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DABC1" w14:textId="77777777" w:rsidR="00275956" w:rsidRDefault="004453E4" w:rsidP="00A84473">
      <w:pPr>
        <w:jc w:val="center"/>
        <w:rPr>
          <w:rFonts w:ascii="Cambria" w:hAnsi="Cambria"/>
        </w:rPr>
      </w:pPr>
      <w:r w:rsidRPr="00A84473">
        <w:rPr>
          <w:rFonts w:ascii="Cambria" w:hAnsi="Cambria"/>
        </w:rPr>
        <w:t>The Respiratory Syncytial Virus Vaccine Landscape</w:t>
      </w:r>
    </w:p>
    <w:p w14:paraId="180EFBFF" w14:textId="77777777" w:rsidR="00B55A8F" w:rsidRDefault="00B55A8F" w:rsidP="00603741">
      <w:pPr>
        <w:rPr>
          <w:rFonts w:ascii="Cambria" w:hAnsi="Cambria"/>
        </w:rPr>
      </w:pPr>
    </w:p>
    <w:p w14:paraId="473832D9" w14:textId="028E1D2E" w:rsidR="00B55A8F" w:rsidRPr="00D5394A" w:rsidRDefault="00B55A8F" w:rsidP="00B55A8F">
      <w:pPr>
        <w:rPr>
          <w:rFonts w:ascii="Cambria" w:hAnsi="Cambria"/>
        </w:rPr>
      </w:pPr>
      <w:r w:rsidRPr="00D5394A">
        <w:rPr>
          <w:rFonts w:ascii="Cambria" w:hAnsi="Cambria"/>
        </w:rPr>
        <w:t xml:space="preserve">Natalie </w:t>
      </w:r>
      <w:r w:rsidR="0004333D">
        <w:rPr>
          <w:rFonts w:ascii="Cambria" w:hAnsi="Cambria"/>
        </w:rPr>
        <w:t>I</w:t>
      </w:r>
      <w:r w:rsidR="00B1121A">
        <w:rPr>
          <w:rFonts w:ascii="Cambria" w:hAnsi="Cambria"/>
        </w:rPr>
        <w:t xml:space="preserve"> </w:t>
      </w:r>
      <w:r w:rsidRPr="00D5394A">
        <w:rPr>
          <w:rFonts w:ascii="Cambria" w:hAnsi="Cambria"/>
        </w:rPr>
        <w:t>Mazur</w:t>
      </w:r>
      <w:r w:rsidRPr="00BF2786">
        <w:rPr>
          <w:rFonts w:ascii="Cambria" w:hAnsi="Cambria"/>
          <w:vertAlign w:val="superscript"/>
        </w:rPr>
        <w:t>1</w:t>
      </w:r>
      <w:r w:rsidR="00917D00">
        <w:rPr>
          <w:rFonts w:ascii="Cambria" w:hAnsi="Cambria"/>
          <w:vertAlign w:val="superscript"/>
        </w:rPr>
        <w:t>,2</w:t>
      </w:r>
      <w:r w:rsidR="00917D00">
        <w:rPr>
          <w:rFonts w:ascii="Cambria" w:hAnsi="Cambria"/>
        </w:rPr>
        <w:t xml:space="preserve">; </w:t>
      </w:r>
      <w:r w:rsidR="00B1121A">
        <w:rPr>
          <w:rFonts w:ascii="Cambria" w:hAnsi="Cambria"/>
        </w:rPr>
        <w:t>Deborah Higgins</w:t>
      </w:r>
      <w:r w:rsidR="005E6FEC">
        <w:rPr>
          <w:rFonts w:ascii="Cambria" w:hAnsi="Cambria"/>
          <w:vertAlign w:val="superscript"/>
        </w:rPr>
        <w:t>3</w:t>
      </w:r>
      <w:r w:rsidR="00917D00">
        <w:rPr>
          <w:rFonts w:ascii="Cambria" w:hAnsi="Cambria"/>
        </w:rPr>
        <w:t xml:space="preserve">; </w:t>
      </w:r>
      <w:r w:rsidR="00B1121A" w:rsidRPr="00E361A2">
        <w:rPr>
          <w:rFonts w:ascii="Cambria" w:hAnsi="Cambria"/>
        </w:rPr>
        <w:t xml:space="preserve">Marta </w:t>
      </w:r>
      <w:r w:rsidR="0004333D">
        <w:rPr>
          <w:rFonts w:ascii="Cambria" w:hAnsi="Cambria"/>
        </w:rPr>
        <w:t>C</w:t>
      </w:r>
      <w:r w:rsidR="00B1121A" w:rsidRPr="00E361A2">
        <w:rPr>
          <w:rFonts w:ascii="Cambria" w:hAnsi="Cambria"/>
        </w:rPr>
        <w:t xml:space="preserve"> Nunes</w:t>
      </w:r>
      <w:r w:rsidR="005E6FEC">
        <w:rPr>
          <w:rFonts w:ascii="Cambria" w:hAnsi="Cambria"/>
          <w:vertAlign w:val="superscript"/>
        </w:rPr>
        <w:t>4,5</w:t>
      </w:r>
      <w:r w:rsidR="00917D00">
        <w:rPr>
          <w:rFonts w:ascii="Cambria" w:hAnsi="Cambria"/>
        </w:rPr>
        <w:t xml:space="preserve">; </w:t>
      </w:r>
      <w:r w:rsidR="00B1121A" w:rsidRPr="00B1121A">
        <w:rPr>
          <w:rFonts w:ascii="Cambria" w:hAnsi="Cambria"/>
        </w:rPr>
        <w:t xml:space="preserve"> </w:t>
      </w:r>
      <w:r w:rsidR="00B1121A" w:rsidRPr="00E361A2">
        <w:rPr>
          <w:rFonts w:ascii="Cambria" w:hAnsi="Cambria"/>
        </w:rPr>
        <w:t>José A. Melero</w:t>
      </w:r>
      <w:r w:rsidR="005E6FEC">
        <w:rPr>
          <w:rFonts w:ascii="Cambria" w:hAnsi="Cambria"/>
          <w:vertAlign w:val="superscript"/>
        </w:rPr>
        <w:t>6</w:t>
      </w:r>
      <w:r w:rsidR="00917D00">
        <w:rPr>
          <w:rFonts w:ascii="Cambria" w:hAnsi="Cambria"/>
        </w:rPr>
        <w:t xml:space="preserve">; </w:t>
      </w:r>
      <w:r w:rsidR="00B1121A">
        <w:rPr>
          <w:rFonts w:ascii="Cambria" w:hAnsi="Cambria"/>
          <w:vertAlign w:val="superscript"/>
        </w:rPr>
        <w:t xml:space="preserve"> </w:t>
      </w:r>
      <w:r w:rsidR="007D5FF6">
        <w:rPr>
          <w:rFonts w:ascii="Cambria" w:hAnsi="Cambria"/>
        </w:rPr>
        <w:t>Annefleur C</w:t>
      </w:r>
      <w:r w:rsidR="00B1121A" w:rsidRPr="00E361A2">
        <w:rPr>
          <w:rFonts w:ascii="Cambria" w:hAnsi="Cambria"/>
        </w:rPr>
        <w:t xml:space="preserve"> Langedijk</w:t>
      </w:r>
      <w:r w:rsidR="006F73C6">
        <w:rPr>
          <w:rFonts w:ascii="Cambria" w:hAnsi="Cambria"/>
          <w:vertAlign w:val="superscript"/>
        </w:rPr>
        <w:t>2</w:t>
      </w:r>
      <w:r w:rsidR="00385D6F">
        <w:rPr>
          <w:rFonts w:ascii="Cambria" w:hAnsi="Cambria"/>
        </w:rPr>
        <w:t xml:space="preserve">; </w:t>
      </w:r>
      <w:r w:rsidR="00D20724">
        <w:rPr>
          <w:rFonts w:ascii="Cambria" w:hAnsi="Cambria"/>
        </w:rPr>
        <w:t>Nicole Horsle</w:t>
      </w:r>
      <w:r w:rsidR="00B1121A" w:rsidRPr="00D5394A">
        <w:rPr>
          <w:rFonts w:ascii="Cambria" w:hAnsi="Cambria"/>
        </w:rPr>
        <w:t>y</w:t>
      </w:r>
      <w:r w:rsidR="006F73C6">
        <w:rPr>
          <w:rFonts w:ascii="Cambria" w:hAnsi="Cambria"/>
          <w:vertAlign w:val="superscript"/>
        </w:rPr>
        <w:t>7</w:t>
      </w:r>
      <w:r w:rsidR="00917D00">
        <w:rPr>
          <w:rFonts w:ascii="Cambria" w:hAnsi="Cambria"/>
        </w:rPr>
        <w:t xml:space="preserve">; </w:t>
      </w:r>
      <w:r w:rsidR="00B1121A">
        <w:rPr>
          <w:rFonts w:ascii="Cambria" w:hAnsi="Cambria"/>
        </w:rPr>
        <w:t xml:space="preserve"> </w:t>
      </w:r>
      <w:r w:rsidR="0004333D">
        <w:rPr>
          <w:rFonts w:ascii="Cambria" w:hAnsi="Cambria"/>
        </w:rPr>
        <w:t>Ursula J</w:t>
      </w:r>
      <w:r w:rsidRPr="00D5394A">
        <w:rPr>
          <w:rFonts w:ascii="Cambria" w:hAnsi="Cambria"/>
        </w:rPr>
        <w:t xml:space="preserve"> Buchholz</w:t>
      </w:r>
      <w:r w:rsidR="00E2596B">
        <w:rPr>
          <w:rFonts w:ascii="Cambria" w:hAnsi="Cambria"/>
          <w:vertAlign w:val="superscript"/>
        </w:rPr>
        <w:t>8</w:t>
      </w:r>
      <w:r w:rsidR="00917D00">
        <w:rPr>
          <w:rFonts w:ascii="Cambria" w:hAnsi="Cambria"/>
        </w:rPr>
        <w:t xml:space="preserve">; </w:t>
      </w:r>
      <w:r w:rsidRPr="00D5394A">
        <w:rPr>
          <w:rFonts w:ascii="Cambria" w:hAnsi="Cambria"/>
        </w:rPr>
        <w:t xml:space="preserve"> </w:t>
      </w:r>
      <w:r w:rsidR="00B1121A" w:rsidRPr="00E361A2">
        <w:rPr>
          <w:rFonts w:ascii="Cambria" w:hAnsi="Cambria"/>
        </w:rPr>
        <w:t xml:space="preserve">Peter </w:t>
      </w:r>
      <w:r w:rsidR="0004333D">
        <w:rPr>
          <w:rFonts w:ascii="Cambria" w:hAnsi="Cambria"/>
        </w:rPr>
        <w:t>J</w:t>
      </w:r>
      <w:r w:rsidR="00B1121A">
        <w:rPr>
          <w:rFonts w:ascii="Cambria" w:hAnsi="Cambria"/>
        </w:rPr>
        <w:t xml:space="preserve"> </w:t>
      </w:r>
      <w:r w:rsidR="00B1121A" w:rsidRPr="00E361A2">
        <w:rPr>
          <w:rFonts w:ascii="Cambria" w:hAnsi="Cambria"/>
        </w:rPr>
        <w:t>Openshaw</w:t>
      </w:r>
      <w:r w:rsidR="00E2596B">
        <w:rPr>
          <w:rFonts w:ascii="Cambria" w:hAnsi="Cambria"/>
          <w:vertAlign w:val="superscript"/>
        </w:rPr>
        <w:t>9</w:t>
      </w:r>
      <w:r w:rsidR="00917D00">
        <w:rPr>
          <w:rFonts w:ascii="Cambria" w:hAnsi="Cambria"/>
        </w:rPr>
        <w:t xml:space="preserve">; </w:t>
      </w:r>
      <w:r w:rsidR="00B1121A">
        <w:rPr>
          <w:rFonts w:ascii="Cambria" w:hAnsi="Cambria"/>
        </w:rPr>
        <w:t xml:space="preserve"> </w:t>
      </w:r>
      <w:r w:rsidR="0004333D">
        <w:rPr>
          <w:rFonts w:ascii="Cambria" w:hAnsi="Cambria"/>
        </w:rPr>
        <w:t>Jason S</w:t>
      </w:r>
      <w:r w:rsidR="00B1121A" w:rsidRPr="00E361A2">
        <w:rPr>
          <w:rFonts w:ascii="Cambria" w:hAnsi="Cambria"/>
        </w:rPr>
        <w:t xml:space="preserve"> McLellan</w:t>
      </w:r>
      <w:r w:rsidR="00E2596B">
        <w:rPr>
          <w:rFonts w:ascii="Cambria" w:hAnsi="Cambria"/>
          <w:vertAlign w:val="superscript"/>
        </w:rPr>
        <w:t>10</w:t>
      </w:r>
      <w:r w:rsidR="00917D00">
        <w:rPr>
          <w:rFonts w:ascii="Cambria" w:hAnsi="Cambria"/>
        </w:rPr>
        <w:t xml:space="preserve">; </w:t>
      </w:r>
      <w:r w:rsidR="00B1121A">
        <w:rPr>
          <w:rFonts w:ascii="Cambria" w:hAnsi="Cambria"/>
        </w:rPr>
        <w:t xml:space="preserve"> </w:t>
      </w:r>
      <w:r w:rsidR="0004333D">
        <w:rPr>
          <w:rFonts w:ascii="Cambria" w:hAnsi="Cambria"/>
        </w:rPr>
        <w:t>Janet A</w:t>
      </w:r>
      <w:r w:rsidR="00B1121A" w:rsidRPr="00D5394A">
        <w:rPr>
          <w:rFonts w:ascii="Cambria" w:hAnsi="Cambria"/>
        </w:rPr>
        <w:t xml:space="preserve"> Englund</w:t>
      </w:r>
      <w:r w:rsidR="00385D6F">
        <w:rPr>
          <w:rFonts w:ascii="Cambria" w:hAnsi="Cambria"/>
          <w:vertAlign w:val="superscript"/>
        </w:rPr>
        <w:t>1</w:t>
      </w:r>
      <w:r w:rsidR="000C2D1F">
        <w:rPr>
          <w:rFonts w:ascii="Cambria" w:hAnsi="Cambria"/>
          <w:vertAlign w:val="superscript"/>
        </w:rPr>
        <w:t>1</w:t>
      </w:r>
      <w:r w:rsidR="00917D00">
        <w:rPr>
          <w:rFonts w:ascii="Cambria" w:hAnsi="Cambria"/>
        </w:rPr>
        <w:t xml:space="preserve">; </w:t>
      </w:r>
      <w:r w:rsidR="00B1121A" w:rsidRPr="00E361A2">
        <w:rPr>
          <w:rFonts w:ascii="Cambria" w:hAnsi="Cambria"/>
        </w:rPr>
        <w:t>Asuncion Mejias</w:t>
      </w:r>
      <w:r w:rsidR="00B1121A" w:rsidRPr="00BF2786">
        <w:rPr>
          <w:rFonts w:ascii="Cambria" w:hAnsi="Cambria"/>
          <w:vertAlign w:val="superscript"/>
        </w:rPr>
        <w:t>1</w:t>
      </w:r>
      <w:r w:rsidR="00385D6F">
        <w:rPr>
          <w:rFonts w:ascii="Cambria" w:hAnsi="Cambria"/>
          <w:vertAlign w:val="superscript"/>
        </w:rPr>
        <w:t>2</w:t>
      </w:r>
      <w:r w:rsidR="00917D00">
        <w:rPr>
          <w:rFonts w:ascii="Cambria" w:hAnsi="Cambria"/>
          <w:vertAlign w:val="superscript"/>
        </w:rPr>
        <w:t>,13</w:t>
      </w:r>
      <w:r w:rsidR="00917D00">
        <w:rPr>
          <w:rFonts w:ascii="Cambria" w:hAnsi="Cambria"/>
        </w:rPr>
        <w:t xml:space="preserve">; </w:t>
      </w:r>
      <w:r w:rsidR="00B1121A" w:rsidRPr="00E361A2">
        <w:rPr>
          <w:rFonts w:ascii="Cambria" w:hAnsi="Cambria"/>
        </w:rPr>
        <w:t xml:space="preserve"> </w:t>
      </w:r>
      <w:r w:rsidR="000C2D1F" w:rsidRPr="00E361A2">
        <w:rPr>
          <w:rFonts w:ascii="Cambria" w:hAnsi="Cambria"/>
        </w:rPr>
        <w:t>Ruth</w:t>
      </w:r>
      <w:r w:rsidR="000C2D1F">
        <w:rPr>
          <w:rFonts w:ascii="Cambria" w:hAnsi="Cambria"/>
        </w:rPr>
        <w:t xml:space="preserve"> A</w:t>
      </w:r>
      <w:r w:rsidR="000C2D1F" w:rsidRPr="00E361A2">
        <w:rPr>
          <w:rFonts w:ascii="Cambria" w:hAnsi="Cambria"/>
        </w:rPr>
        <w:t xml:space="preserve"> Karron</w:t>
      </w:r>
      <w:r w:rsidR="000C2D1F">
        <w:rPr>
          <w:rFonts w:ascii="Cambria" w:hAnsi="Cambria"/>
          <w:vertAlign w:val="superscript"/>
        </w:rPr>
        <w:t>14</w:t>
      </w:r>
      <w:r w:rsidR="000C2D1F">
        <w:rPr>
          <w:rFonts w:ascii="Cambria" w:hAnsi="Cambria"/>
        </w:rPr>
        <w:t xml:space="preserve">; </w:t>
      </w:r>
      <w:r w:rsidR="000C2D1F" w:rsidRPr="00E361A2">
        <w:rPr>
          <w:rFonts w:ascii="Cambria" w:hAnsi="Cambria"/>
        </w:rPr>
        <w:t xml:space="preserve"> </w:t>
      </w:r>
      <w:r w:rsidR="00B1121A" w:rsidRPr="00E361A2">
        <w:rPr>
          <w:rFonts w:ascii="Cambria" w:hAnsi="Cambria"/>
        </w:rPr>
        <w:t>Eric AF Simões</w:t>
      </w:r>
      <w:r w:rsidR="00385D6F">
        <w:rPr>
          <w:rFonts w:ascii="Cambria" w:hAnsi="Cambria"/>
          <w:vertAlign w:val="superscript"/>
        </w:rPr>
        <w:t>1</w:t>
      </w:r>
      <w:r w:rsidR="00B855D5">
        <w:rPr>
          <w:rFonts w:ascii="Cambria" w:hAnsi="Cambria"/>
          <w:vertAlign w:val="superscript"/>
        </w:rPr>
        <w:t>5</w:t>
      </w:r>
      <w:r w:rsidR="00917D00">
        <w:rPr>
          <w:rFonts w:ascii="Cambria" w:hAnsi="Cambria"/>
          <w:vertAlign w:val="superscript"/>
        </w:rPr>
        <w:t>,1</w:t>
      </w:r>
      <w:r w:rsidR="00B855D5">
        <w:rPr>
          <w:rFonts w:ascii="Cambria" w:hAnsi="Cambria"/>
          <w:vertAlign w:val="superscript"/>
        </w:rPr>
        <w:t>6</w:t>
      </w:r>
      <w:r w:rsidR="00917D00">
        <w:rPr>
          <w:rFonts w:ascii="Cambria" w:hAnsi="Cambria"/>
        </w:rPr>
        <w:t xml:space="preserve">; </w:t>
      </w:r>
      <w:r w:rsidR="00B1121A">
        <w:rPr>
          <w:rFonts w:ascii="Cambria" w:hAnsi="Cambria"/>
        </w:rPr>
        <w:t xml:space="preserve"> </w:t>
      </w:r>
      <w:r w:rsidR="00B1121A" w:rsidRPr="00E361A2">
        <w:rPr>
          <w:rFonts w:ascii="Cambria" w:hAnsi="Cambria"/>
        </w:rPr>
        <w:t>Ivana Knezevic</w:t>
      </w:r>
      <w:r w:rsidR="00B1121A" w:rsidRPr="00BF2786">
        <w:rPr>
          <w:rFonts w:ascii="Cambria" w:hAnsi="Cambria"/>
          <w:vertAlign w:val="superscript"/>
        </w:rPr>
        <w:t>1</w:t>
      </w:r>
      <w:r w:rsidR="00176E17">
        <w:rPr>
          <w:rFonts w:ascii="Cambria" w:hAnsi="Cambria"/>
          <w:vertAlign w:val="superscript"/>
        </w:rPr>
        <w:t>7</w:t>
      </w:r>
      <w:r w:rsidR="00917D00">
        <w:rPr>
          <w:rFonts w:ascii="Cambria" w:hAnsi="Cambria"/>
        </w:rPr>
        <w:t xml:space="preserve">; </w:t>
      </w:r>
      <w:r w:rsidR="00B1121A" w:rsidRPr="00E361A2">
        <w:rPr>
          <w:rFonts w:ascii="Cambria" w:hAnsi="Cambria"/>
        </w:rPr>
        <w:t xml:space="preserve"> Octavio Ramilo</w:t>
      </w:r>
      <w:r w:rsidR="00B1121A" w:rsidRPr="00BF2786">
        <w:rPr>
          <w:rFonts w:ascii="Cambria" w:hAnsi="Cambria"/>
          <w:vertAlign w:val="superscript"/>
        </w:rPr>
        <w:t>1</w:t>
      </w:r>
      <w:r w:rsidR="00401E4A">
        <w:rPr>
          <w:rFonts w:ascii="Cambria" w:hAnsi="Cambria"/>
          <w:vertAlign w:val="superscript"/>
        </w:rPr>
        <w:t>8</w:t>
      </w:r>
      <w:r w:rsidR="00917D00">
        <w:rPr>
          <w:rFonts w:ascii="Cambria" w:hAnsi="Cambria"/>
        </w:rPr>
        <w:t xml:space="preserve">; </w:t>
      </w:r>
      <w:r w:rsidR="00B1121A">
        <w:rPr>
          <w:rFonts w:ascii="Cambria" w:hAnsi="Cambria"/>
        </w:rPr>
        <w:t xml:space="preserve"> </w:t>
      </w:r>
      <w:r w:rsidR="00B1121A" w:rsidRPr="00E361A2">
        <w:rPr>
          <w:rFonts w:ascii="Cambria" w:hAnsi="Cambria"/>
        </w:rPr>
        <w:t>Pedro A Piedra</w:t>
      </w:r>
      <w:r w:rsidR="00917D00">
        <w:rPr>
          <w:rFonts w:ascii="Cambria" w:hAnsi="Cambria"/>
          <w:vertAlign w:val="superscript"/>
        </w:rPr>
        <w:t>1</w:t>
      </w:r>
      <w:r w:rsidR="00401E4A">
        <w:rPr>
          <w:rFonts w:ascii="Cambria" w:hAnsi="Cambria"/>
          <w:vertAlign w:val="superscript"/>
        </w:rPr>
        <w:t>9</w:t>
      </w:r>
      <w:r w:rsidR="00917D00">
        <w:rPr>
          <w:rFonts w:ascii="Cambria" w:hAnsi="Cambria"/>
        </w:rPr>
        <w:t xml:space="preserve">; </w:t>
      </w:r>
      <w:r w:rsidR="00B1121A">
        <w:rPr>
          <w:rFonts w:ascii="Cambria" w:hAnsi="Cambria"/>
        </w:rPr>
        <w:t xml:space="preserve"> </w:t>
      </w:r>
      <w:r w:rsidR="0004333D">
        <w:rPr>
          <w:rFonts w:ascii="Cambria" w:hAnsi="Cambria"/>
        </w:rPr>
        <w:t>Helen Y</w:t>
      </w:r>
      <w:r w:rsidRPr="00D5394A">
        <w:rPr>
          <w:rFonts w:ascii="Cambria" w:hAnsi="Cambria"/>
        </w:rPr>
        <w:t xml:space="preserve"> Chu</w:t>
      </w:r>
      <w:r w:rsidR="00401E4A">
        <w:rPr>
          <w:rFonts w:ascii="Cambria" w:hAnsi="Cambria"/>
          <w:vertAlign w:val="superscript"/>
        </w:rPr>
        <w:t>20</w:t>
      </w:r>
      <w:r w:rsidR="00917D00">
        <w:rPr>
          <w:rFonts w:ascii="Cambria" w:hAnsi="Cambria"/>
        </w:rPr>
        <w:t xml:space="preserve">; </w:t>
      </w:r>
      <w:r w:rsidR="0004333D">
        <w:rPr>
          <w:rFonts w:ascii="Cambria" w:hAnsi="Cambria"/>
        </w:rPr>
        <w:t xml:space="preserve"> Ann R</w:t>
      </w:r>
      <w:r w:rsidRPr="00D5394A">
        <w:rPr>
          <w:rFonts w:ascii="Cambria" w:hAnsi="Cambria"/>
        </w:rPr>
        <w:t xml:space="preserve"> Falsey</w:t>
      </w:r>
      <w:r w:rsidR="00917D00">
        <w:rPr>
          <w:rFonts w:ascii="Cambria" w:hAnsi="Cambria"/>
          <w:vertAlign w:val="superscript"/>
        </w:rPr>
        <w:t>2</w:t>
      </w:r>
      <w:r w:rsidR="000949B3">
        <w:rPr>
          <w:rFonts w:ascii="Cambria" w:hAnsi="Cambria"/>
          <w:vertAlign w:val="superscript"/>
        </w:rPr>
        <w:t>1</w:t>
      </w:r>
      <w:r w:rsidR="00917D00">
        <w:rPr>
          <w:rFonts w:ascii="Cambria" w:hAnsi="Cambria"/>
        </w:rPr>
        <w:t xml:space="preserve">; </w:t>
      </w:r>
      <w:r>
        <w:rPr>
          <w:rFonts w:ascii="Cambria" w:hAnsi="Cambria"/>
        </w:rPr>
        <w:t xml:space="preserve"> </w:t>
      </w:r>
      <w:r w:rsidR="00B1121A" w:rsidRPr="00E361A2">
        <w:rPr>
          <w:rFonts w:ascii="Cambria" w:hAnsi="Cambria"/>
        </w:rPr>
        <w:t>Harish Nair</w:t>
      </w:r>
      <w:r w:rsidR="000949B3">
        <w:rPr>
          <w:rFonts w:ascii="Cambria" w:hAnsi="Cambria"/>
          <w:vertAlign w:val="superscript"/>
        </w:rPr>
        <w:t>22</w:t>
      </w:r>
      <w:r w:rsidR="00917D00">
        <w:rPr>
          <w:rFonts w:ascii="Cambria" w:hAnsi="Cambria"/>
        </w:rPr>
        <w:t xml:space="preserve">; </w:t>
      </w:r>
      <w:r w:rsidR="00B1121A">
        <w:rPr>
          <w:rFonts w:ascii="Cambria" w:hAnsi="Cambria"/>
        </w:rPr>
        <w:t xml:space="preserve"> </w:t>
      </w:r>
      <w:r w:rsidR="00B1121A" w:rsidRPr="00E361A2">
        <w:rPr>
          <w:rFonts w:ascii="Cambria" w:hAnsi="Cambria"/>
        </w:rPr>
        <w:t>Leyla Kragten-Tabatabaie</w:t>
      </w:r>
      <w:r w:rsidR="00917D00">
        <w:rPr>
          <w:rFonts w:ascii="Cambria" w:hAnsi="Cambria"/>
          <w:vertAlign w:val="superscript"/>
        </w:rPr>
        <w:t>2</w:t>
      </w:r>
      <w:r w:rsidR="000949B3">
        <w:rPr>
          <w:rFonts w:ascii="Cambria" w:hAnsi="Cambria"/>
          <w:vertAlign w:val="superscript"/>
        </w:rPr>
        <w:t>3,24</w:t>
      </w:r>
      <w:r w:rsidR="00917D00">
        <w:rPr>
          <w:rFonts w:ascii="Cambria" w:hAnsi="Cambria"/>
        </w:rPr>
        <w:t xml:space="preserve">; </w:t>
      </w:r>
      <w:r w:rsidR="00B1121A" w:rsidRPr="00E361A2">
        <w:rPr>
          <w:rFonts w:ascii="Cambria" w:hAnsi="Cambria"/>
        </w:rPr>
        <w:t xml:space="preserve"> </w:t>
      </w:r>
      <w:r w:rsidRPr="00D5394A">
        <w:rPr>
          <w:rFonts w:ascii="Cambria" w:hAnsi="Cambria"/>
        </w:rPr>
        <w:t>Anne Greenough</w:t>
      </w:r>
      <w:r w:rsidR="00917D00">
        <w:rPr>
          <w:rFonts w:ascii="Cambria" w:hAnsi="Cambria"/>
          <w:vertAlign w:val="superscript"/>
        </w:rPr>
        <w:t>25</w:t>
      </w:r>
      <w:r w:rsidR="00917D00">
        <w:rPr>
          <w:rFonts w:ascii="Cambria" w:hAnsi="Cambria"/>
        </w:rPr>
        <w:t xml:space="preserve">; </w:t>
      </w:r>
      <w:r>
        <w:rPr>
          <w:rFonts w:ascii="Cambria" w:hAnsi="Cambria"/>
        </w:rPr>
        <w:t xml:space="preserve"> </w:t>
      </w:r>
      <w:r w:rsidR="00B1121A" w:rsidRPr="00D5394A">
        <w:rPr>
          <w:rFonts w:ascii="Cambria" w:hAnsi="Cambria"/>
        </w:rPr>
        <w:t>Eugenio Baraldi</w:t>
      </w:r>
      <w:r w:rsidR="00917D00">
        <w:rPr>
          <w:rFonts w:ascii="Cambria" w:hAnsi="Cambria"/>
          <w:vertAlign w:val="superscript"/>
        </w:rPr>
        <w:t>26</w:t>
      </w:r>
      <w:r w:rsidR="00917D00">
        <w:rPr>
          <w:rFonts w:ascii="Cambria" w:hAnsi="Cambria"/>
        </w:rPr>
        <w:t xml:space="preserve">; </w:t>
      </w:r>
      <w:r w:rsidR="0004333D">
        <w:rPr>
          <w:rFonts w:ascii="Cambria" w:hAnsi="Cambria"/>
        </w:rPr>
        <w:t>Nikolaos G</w:t>
      </w:r>
      <w:r w:rsidR="0004333D" w:rsidRPr="000D74A8">
        <w:rPr>
          <w:rFonts w:ascii="Cambria" w:hAnsi="Cambria"/>
        </w:rPr>
        <w:t xml:space="preserve"> Papadopoulos</w:t>
      </w:r>
      <w:r w:rsidRPr="00BF2786">
        <w:rPr>
          <w:rFonts w:ascii="Cambria" w:hAnsi="Cambria"/>
          <w:vertAlign w:val="superscript"/>
        </w:rPr>
        <w:t>2</w:t>
      </w:r>
      <w:r w:rsidR="00917D00">
        <w:rPr>
          <w:rFonts w:ascii="Cambria" w:hAnsi="Cambria"/>
          <w:vertAlign w:val="superscript"/>
        </w:rPr>
        <w:t>7</w:t>
      </w:r>
      <w:r w:rsidR="0004333D">
        <w:rPr>
          <w:rFonts w:ascii="Cambria" w:hAnsi="Cambria"/>
          <w:vertAlign w:val="superscript"/>
        </w:rPr>
        <w:t>,28</w:t>
      </w:r>
      <w:r w:rsidR="00917D00">
        <w:rPr>
          <w:rFonts w:ascii="Cambria" w:hAnsi="Cambria"/>
        </w:rPr>
        <w:t xml:space="preserve">; </w:t>
      </w:r>
      <w:r w:rsidR="00B1121A" w:rsidRPr="00E361A2">
        <w:rPr>
          <w:rFonts w:ascii="Cambria" w:hAnsi="Cambria"/>
        </w:rPr>
        <w:t xml:space="preserve"> Johan Vekemans</w:t>
      </w:r>
      <w:r w:rsidR="00B1121A" w:rsidRPr="00BF2786">
        <w:rPr>
          <w:rFonts w:ascii="Cambria" w:hAnsi="Cambria"/>
          <w:vertAlign w:val="superscript"/>
        </w:rPr>
        <w:t>2</w:t>
      </w:r>
      <w:r w:rsidR="0004333D">
        <w:rPr>
          <w:rFonts w:ascii="Cambria" w:hAnsi="Cambria"/>
          <w:vertAlign w:val="superscript"/>
        </w:rPr>
        <w:t>9</w:t>
      </w:r>
      <w:r w:rsidR="00917D00">
        <w:rPr>
          <w:rFonts w:ascii="Cambria" w:hAnsi="Cambria"/>
        </w:rPr>
        <w:t xml:space="preserve">; </w:t>
      </w:r>
      <w:r w:rsidR="00B1121A" w:rsidRPr="00E361A2">
        <w:rPr>
          <w:rFonts w:ascii="Cambria" w:hAnsi="Cambria"/>
        </w:rPr>
        <w:t xml:space="preserve"> Fernando Polack</w:t>
      </w:r>
      <w:r w:rsidR="0004333D">
        <w:rPr>
          <w:rFonts w:ascii="Cambria" w:hAnsi="Cambria"/>
          <w:vertAlign w:val="superscript"/>
        </w:rPr>
        <w:t>30</w:t>
      </w:r>
      <w:r w:rsidR="00917D00">
        <w:rPr>
          <w:rFonts w:ascii="Cambria" w:hAnsi="Cambria"/>
        </w:rPr>
        <w:t xml:space="preserve">; </w:t>
      </w:r>
      <w:r w:rsidR="00B1121A" w:rsidRPr="00E361A2">
        <w:rPr>
          <w:rFonts w:ascii="Cambria" w:hAnsi="Cambria"/>
        </w:rPr>
        <w:t xml:space="preserve"> </w:t>
      </w:r>
      <w:r w:rsidRPr="00E361A2">
        <w:rPr>
          <w:rFonts w:ascii="Cambria" w:hAnsi="Cambria"/>
        </w:rPr>
        <w:t>Mair Powell</w:t>
      </w:r>
      <w:r w:rsidR="00917D00">
        <w:rPr>
          <w:rFonts w:ascii="Cambria" w:hAnsi="Cambria"/>
          <w:vertAlign w:val="superscript"/>
        </w:rPr>
        <w:t>3</w:t>
      </w:r>
      <w:r w:rsidR="0004333D">
        <w:rPr>
          <w:rFonts w:ascii="Cambria" w:hAnsi="Cambria"/>
          <w:vertAlign w:val="superscript"/>
        </w:rPr>
        <w:t>1</w:t>
      </w:r>
      <w:r w:rsidR="00917D00">
        <w:rPr>
          <w:rFonts w:ascii="Cambria" w:hAnsi="Cambria"/>
        </w:rPr>
        <w:t xml:space="preserve">; </w:t>
      </w:r>
      <w:r w:rsidRPr="00E361A2">
        <w:rPr>
          <w:rFonts w:ascii="Cambria" w:hAnsi="Cambria"/>
        </w:rPr>
        <w:t xml:space="preserve"> Ashish Satav</w:t>
      </w:r>
      <w:r w:rsidR="00917D00">
        <w:rPr>
          <w:rFonts w:ascii="Cambria" w:hAnsi="Cambria"/>
          <w:vertAlign w:val="superscript"/>
        </w:rPr>
        <w:t>3</w:t>
      </w:r>
      <w:r w:rsidR="0004333D">
        <w:rPr>
          <w:rFonts w:ascii="Cambria" w:hAnsi="Cambria"/>
          <w:vertAlign w:val="superscript"/>
        </w:rPr>
        <w:t>2</w:t>
      </w:r>
      <w:r w:rsidR="00917D00">
        <w:rPr>
          <w:rFonts w:ascii="Cambria" w:hAnsi="Cambria"/>
        </w:rPr>
        <w:t xml:space="preserve">; </w:t>
      </w:r>
      <w:r w:rsidRPr="00E361A2">
        <w:rPr>
          <w:rFonts w:ascii="Cambria" w:hAnsi="Cambria"/>
        </w:rPr>
        <w:t xml:space="preserve"> </w:t>
      </w:r>
      <w:r w:rsidR="0004333D">
        <w:rPr>
          <w:rFonts w:ascii="Cambria" w:hAnsi="Cambria"/>
        </w:rPr>
        <w:t>Edward E</w:t>
      </w:r>
      <w:r w:rsidR="00B1121A" w:rsidRPr="00E361A2">
        <w:rPr>
          <w:rFonts w:ascii="Cambria" w:hAnsi="Cambria"/>
        </w:rPr>
        <w:t xml:space="preserve"> Walsh</w:t>
      </w:r>
      <w:r w:rsidR="003F0CBF">
        <w:rPr>
          <w:rFonts w:ascii="Cambria" w:hAnsi="Cambria"/>
          <w:vertAlign w:val="superscript"/>
        </w:rPr>
        <w:t>21</w:t>
      </w:r>
      <w:r w:rsidR="00917D00">
        <w:rPr>
          <w:rFonts w:ascii="Cambria" w:hAnsi="Cambria"/>
        </w:rPr>
        <w:t xml:space="preserve">; </w:t>
      </w:r>
      <w:r w:rsidR="00B1121A" w:rsidRPr="00B1121A">
        <w:rPr>
          <w:rFonts w:ascii="Cambria" w:hAnsi="Cambria"/>
        </w:rPr>
        <w:t xml:space="preserve"> </w:t>
      </w:r>
      <w:r w:rsidRPr="00E361A2">
        <w:rPr>
          <w:rFonts w:ascii="Cambria" w:hAnsi="Cambria"/>
        </w:rPr>
        <w:t xml:space="preserve">Renato </w:t>
      </w:r>
      <w:r w:rsidR="0004333D">
        <w:rPr>
          <w:rFonts w:ascii="Cambria" w:hAnsi="Cambria"/>
        </w:rPr>
        <w:t xml:space="preserve">T </w:t>
      </w:r>
      <w:r w:rsidRPr="00E361A2">
        <w:rPr>
          <w:rFonts w:ascii="Cambria" w:hAnsi="Cambria"/>
        </w:rPr>
        <w:t>Stein</w:t>
      </w:r>
      <w:r w:rsidR="00917D00">
        <w:rPr>
          <w:rFonts w:ascii="Cambria" w:hAnsi="Cambria"/>
          <w:vertAlign w:val="superscript"/>
        </w:rPr>
        <w:t>3</w:t>
      </w:r>
      <w:r w:rsidR="005A16D6">
        <w:rPr>
          <w:rFonts w:ascii="Cambria" w:hAnsi="Cambria"/>
          <w:vertAlign w:val="superscript"/>
        </w:rPr>
        <w:t>3</w:t>
      </w:r>
      <w:r w:rsidR="00917D00">
        <w:rPr>
          <w:rFonts w:ascii="Cambria" w:hAnsi="Cambria"/>
        </w:rPr>
        <w:t>;</w:t>
      </w:r>
      <w:r w:rsidR="005A16D6">
        <w:rPr>
          <w:rFonts w:ascii="Cambria" w:hAnsi="Cambria"/>
        </w:rPr>
        <w:t xml:space="preserve"> </w:t>
      </w:r>
      <w:r w:rsidR="00B1121A" w:rsidRPr="00D5394A">
        <w:rPr>
          <w:rFonts w:ascii="Cambria" w:hAnsi="Cambria"/>
        </w:rPr>
        <w:t xml:space="preserve">Barney </w:t>
      </w:r>
      <w:r w:rsidR="0004333D">
        <w:rPr>
          <w:rFonts w:ascii="Cambria" w:hAnsi="Cambria"/>
        </w:rPr>
        <w:t xml:space="preserve">S </w:t>
      </w:r>
      <w:r w:rsidR="00B1121A" w:rsidRPr="00D5394A">
        <w:rPr>
          <w:rFonts w:ascii="Cambria" w:hAnsi="Cambria"/>
        </w:rPr>
        <w:t>Graham</w:t>
      </w:r>
      <w:r w:rsidR="00917D00">
        <w:rPr>
          <w:rFonts w:ascii="Cambria" w:hAnsi="Cambria"/>
          <w:vertAlign w:val="superscript"/>
        </w:rPr>
        <w:t>3</w:t>
      </w:r>
      <w:r w:rsidR="005A16D6">
        <w:rPr>
          <w:rFonts w:ascii="Cambria" w:hAnsi="Cambria"/>
          <w:vertAlign w:val="superscript"/>
        </w:rPr>
        <w:t>4</w:t>
      </w:r>
      <w:r w:rsidR="00917D00">
        <w:rPr>
          <w:rFonts w:ascii="Cambria" w:hAnsi="Cambria"/>
        </w:rPr>
        <w:t xml:space="preserve">; </w:t>
      </w:r>
      <w:r>
        <w:rPr>
          <w:rFonts w:ascii="Cambria" w:hAnsi="Cambria"/>
        </w:rPr>
        <w:t xml:space="preserve"> Louis</w:t>
      </w:r>
      <w:r w:rsidR="0004333D">
        <w:rPr>
          <w:rFonts w:ascii="Cambria" w:hAnsi="Cambria"/>
        </w:rPr>
        <w:t xml:space="preserve"> J</w:t>
      </w:r>
      <w:r>
        <w:rPr>
          <w:rFonts w:ascii="Cambria" w:hAnsi="Cambria"/>
        </w:rPr>
        <w:t xml:space="preserve"> Bont</w:t>
      </w:r>
      <w:r w:rsidR="00917D00">
        <w:rPr>
          <w:rFonts w:ascii="Cambria" w:hAnsi="Cambria"/>
          <w:vertAlign w:val="superscript"/>
        </w:rPr>
        <w:t>1,2</w:t>
      </w:r>
      <w:r w:rsidR="003F0CBF">
        <w:rPr>
          <w:rFonts w:ascii="Cambria" w:hAnsi="Cambria"/>
          <w:vertAlign w:val="superscript"/>
        </w:rPr>
        <w:t>,24</w:t>
      </w:r>
      <w:r w:rsidR="00C24B02">
        <w:rPr>
          <w:rFonts w:ascii="Cambria" w:hAnsi="Cambria"/>
        </w:rPr>
        <w:t>; in collaboration with Respiratory Syncytial Virus Network (ReSViNET)</w:t>
      </w:r>
    </w:p>
    <w:p w14:paraId="11E632D1" w14:textId="77777777" w:rsidR="00B55A8F" w:rsidRPr="00A84473" w:rsidRDefault="00B55A8F" w:rsidP="00603741">
      <w:pPr>
        <w:rPr>
          <w:rFonts w:ascii="Cambria" w:hAnsi="Cambria"/>
        </w:rPr>
      </w:pPr>
    </w:p>
    <w:p w14:paraId="5502C8EE" w14:textId="77777777" w:rsidR="004453E4" w:rsidRPr="00A84473" w:rsidRDefault="004453E4" w:rsidP="004453E4">
      <w:pPr>
        <w:jc w:val="center"/>
        <w:rPr>
          <w:rFonts w:ascii="Cambria" w:hAnsi="Cambria"/>
        </w:rPr>
      </w:pPr>
    </w:p>
    <w:p w14:paraId="553707F4" w14:textId="259D076E" w:rsidR="00603741" w:rsidRPr="00A84473" w:rsidRDefault="00603741" w:rsidP="00603741">
      <w:pPr>
        <w:rPr>
          <w:rFonts w:ascii="Cambria" w:hAnsi="Cambria"/>
        </w:rPr>
      </w:pPr>
      <w:r w:rsidRPr="00A84473">
        <w:rPr>
          <w:rFonts w:ascii="Cambria" w:hAnsi="Cambria"/>
        </w:rPr>
        <w:t>Author</w:t>
      </w:r>
      <w:r w:rsidR="0004333D">
        <w:rPr>
          <w:rFonts w:ascii="Cambria" w:hAnsi="Cambria"/>
        </w:rPr>
        <w:t xml:space="preserve"> Affiliations</w:t>
      </w:r>
      <w:r w:rsidRPr="00A84473">
        <w:rPr>
          <w:rFonts w:ascii="Cambria" w:hAnsi="Cambria"/>
        </w:rPr>
        <w:t>:</w:t>
      </w:r>
    </w:p>
    <w:p w14:paraId="429C89F9" w14:textId="77777777" w:rsidR="00FB1F2C" w:rsidRDefault="00FB1F2C" w:rsidP="00603741">
      <w:pPr>
        <w:rPr>
          <w:rFonts w:ascii="Cambria" w:hAnsi="Cambria"/>
        </w:rPr>
      </w:pPr>
    </w:p>
    <w:p w14:paraId="582022FF" w14:textId="10CEDA65" w:rsidR="007F7323" w:rsidRPr="007F7323" w:rsidRDefault="005E6FEC" w:rsidP="007F7323">
      <w:pPr>
        <w:rPr>
          <w:rFonts w:ascii="Cambria" w:hAnsi="Cambria"/>
        </w:rPr>
      </w:pPr>
      <w:r>
        <w:rPr>
          <w:rFonts w:ascii="Cambria" w:hAnsi="Cambria"/>
        </w:rPr>
        <w:t>1.</w:t>
      </w:r>
      <w:r w:rsidR="007F7323" w:rsidRPr="007F7323">
        <w:rPr>
          <w:rFonts w:ascii="Cambria" w:hAnsi="Cambria"/>
        </w:rPr>
        <w:t> Laborator</w:t>
      </w:r>
      <w:r w:rsidR="00917D00">
        <w:rPr>
          <w:rFonts w:ascii="Cambria" w:hAnsi="Cambria"/>
        </w:rPr>
        <w:t xml:space="preserve">y of Translational Immunology, </w:t>
      </w:r>
      <w:r w:rsidR="007F7323" w:rsidRPr="007F7323">
        <w:rPr>
          <w:rFonts w:ascii="Cambria" w:hAnsi="Cambria"/>
        </w:rPr>
        <w:t>University Medical Centre Utrecht, The Netherlands</w:t>
      </w:r>
    </w:p>
    <w:p w14:paraId="7DF0138C" w14:textId="77777777" w:rsidR="005E6FEC" w:rsidRDefault="005E6FEC" w:rsidP="007F7323">
      <w:pPr>
        <w:rPr>
          <w:rFonts w:ascii="Cambria" w:hAnsi="Cambria"/>
        </w:rPr>
      </w:pPr>
      <w:r>
        <w:rPr>
          <w:rFonts w:ascii="Cambria" w:hAnsi="Cambria"/>
        </w:rPr>
        <w:t>2. </w:t>
      </w:r>
      <w:r w:rsidR="007F7323" w:rsidRPr="007F7323">
        <w:rPr>
          <w:rFonts w:ascii="Cambria" w:hAnsi="Cambria"/>
        </w:rPr>
        <w:t>Department of Paediatrics, Wilhelmina Children’s Hospital, University Medical Centre Utrecht, The Netherlands</w:t>
      </w:r>
    </w:p>
    <w:p w14:paraId="4FE548FC" w14:textId="39EE8DA5" w:rsidR="005E6FEC" w:rsidRDefault="005E6FEC" w:rsidP="005E6FEC">
      <w:r>
        <w:rPr>
          <w:rFonts w:ascii="Cambria" w:hAnsi="Cambria"/>
        </w:rPr>
        <w:t>3.</w:t>
      </w:r>
      <w:r w:rsidRPr="005E6FEC">
        <w:t xml:space="preserve"> </w:t>
      </w:r>
      <w:r>
        <w:t>Center for Vaccine Innovation and Access, PATH</w:t>
      </w:r>
    </w:p>
    <w:p w14:paraId="2A2DCBC2" w14:textId="77777777" w:rsidR="005E6FEC" w:rsidRDefault="005E6FEC" w:rsidP="005E6FEC">
      <w:r>
        <w:t>Seattle, WA USA</w:t>
      </w:r>
    </w:p>
    <w:p w14:paraId="75C9C084" w14:textId="360E7434" w:rsidR="005E6FEC" w:rsidRDefault="005E6FEC" w:rsidP="005E6FEC">
      <w:pPr>
        <w:rPr>
          <w:rFonts w:ascii="Cambria" w:hAnsi="Cambria"/>
        </w:rPr>
      </w:pPr>
      <w:r>
        <w:rPr>
          <w:rFonts w:ascii="Cambria" w:hAnsi="Cambria"/>
        </w:rPr>
        <w:t xml:space="preserve">4. </w:t>
      </w:r>
      <w:r w:rsidRPr="00D33A4F">
        <w:rPr>
          <w:rFonts w:ascii="Cambria" w:hAnsi="Cambria"/>
        </w:rPr>
        <w:t>Medical Research Council: Respiratory and Meningeal Pathogens Research Unit, University of the Witwatersra</w:t>
      </w:r>
      <w:r>
        <w:rPr>
          <w:rFonts w:ascii="Cambria" w:hAnsi="Cambria"/>
        </w:rPr>
        <w:t>nd, Johannesburg, South Africa</w:t>
      </w:r>
    </w:p>
    <w:p w14:paraId="709927E0" w14:textId="28BBB99A" w:rsidR="005E6FEC" w:rsidRDefault="005E6FEC" w:rsidP="005E6FEC">
      <w:pPr>
        <w:rPr>
          <w:rFonts w:ascii="Cambria" w:hAnsi="Cambria"/>
        </w:rPr>
      </w:pPr>
      <w:r>
        <w:rPr>
          <w:rFonts w:ascii="Cambria" w:hAnsi="Cambria"/>
        </w:rPr>
        <w:t xml:space="preserve">5. </w:t>
      </w:r>
      <w:r w:rsidRPr="00D33A4F">
        <w:rPr>
          <w:rFonts w:ascii="Cambria" w:hAnsi="Cambria"/>
        </w:rPr>
        <w:t>Department of Science and Technology/National Research Foundation: Vaccine Preventable Diseases, University of the Witwatersrand, Johannesburg, South Africa</w:t>
      </w:r>
    </w:p>
    <w:p w14:paraId="3C8C6836" w14:textId="4053D8FF" w:rsidR="005E6FEC" w:rsidRPr="00D33A4F" w:rsidRDefault="005E6FEC" w:rsidP="005E6FEC">
      <w:pPr>
        <w:rPr>
          <w:rFonts w:ascii="Cambria" w:hAnsi="Cambria"/>
          <w:lang w:val="es-ES"/>
        </w:rPr>
      </w:pPr>
      <w:r>
        <w:rPr>
          <w:rFonts w:ascii="Cambria" w:hAnsi="Cambria"/>
        </w:rPr>
        <w:t xml:space="preserve">6. </w:t>
      </w:r>
      <w:r w:rsidRPr="00D33A4F">
        <w:rPr>
          <w:rFonts w:ascii="Cambria" w:hAnsi="Cambria"/>
          <w:lang w:val="es-ES"/>
        </w:rPr>
        <w:t>Centr</w:t>
      </w:r>
      <w:r>
        <w:rPr>
          <w:rFonts w:ascii="Cambria" w:hAnsi="Cambria"/>
          <w:lang w:val="es-ES"/>
        </w:rPr>
        <w:t xml:space="preserve">o Nacional de Microbiología and </w:t>
      </w:r>
      <w:r w:rsidRPr="00D33A4F">
        <w:rPr>
          <w:rFonts w:ascii="Cambria" w:hAnsi="Cambria"/>
          <w:lang w:val="es-ES"/>
        </w:rPr>
        <w:t>CIBER de Enfermedades Respiratorias</w:t>
      </w:r>
    </w:p>
    <w:p w14:paraId="7186A9F1" w14:textId="77777777" w:rsidR="005E6FEC" w:rsidRPr="00D33A4F" w:rsidRDefault="005E6FEC" w:rsidP="005E6FEC">
      <w:pPr>
        <w:rPr>
          <w:rFonts w:ascii="Cambria" w:hAnsi="Cambria"/>
          <w:lang w:val="es-ES"/>
        </w:rPr>
      </w:pPr>
      <w:r w:rsidRPr="00D33A4F">
        <w:rPr>
          <w:rFonts w:ascii="Cambria" w:hAnsi="Cambria"/>
          <w:lang w:val="es-ES"/>
        </w:rPr>
        <w:t>Instituto de Salud Carlos III</w:t>
      </w:r>
    </w:p>
    <w:p w14:paraId="6BE2EB71" w14:textId="1EDA5EB4" w:rsidR="005E6FEC" w:rsidRPr="00A84473" w:rsidRDefault="005E6FEC" w:rsidP="005E6FEC">
      <w:pPr>
        <w:rPr>
          <w:rFonts w:ascii="Cambria" w:hAnsi="Cambria"/>
          <w:lang w:val="es-ES"/>
        </w:rPr>
      </w:pPr>
      <w:r>
        <w:rPr>
          <w:rFonts w:ascii="Cambria" w:hAnsi="Cambria"/>
          <w:lang w:val="es-ES"/>
        </w:rPr>
        <w:t xml:space="preserve">Majadahonda, 28220 Madrid, </w:t>
      </w:r>
      <w:r w:rsidRPr="00D33A4F">
        <w:rPr>
          <w:rFonts w:ascii="Cambria" w:hAnsi="Cambria"/>
        </w:rPr>
        <w:t>Spain</w:t>
      </w:r>
    </w:p>
    <w:p w14:paraId="546D9A55" w14:textId="5E9F5CAA" w:rsidR="006F73C6" w:rsidRDefault="006F73C6" w:rsidP="006F73C6">
      <w:pPr>
        <w:outlineLvl w:val="0"/>
        <w:rPr>
          <w:rFonts w:ascii="Cambria" w:hAnsi="Cambria"/>
        </w:rPr>
      </w:pPr>
      <w:r>
        <w:rPr>
          <w:rFonts w:ascii="Cambria" w:hAnsi="Cambria"/>
        </w:rPr>
        <w:t xml:space="preserve">7. </w:t>
      </w:r>
      <w:r w:rsidRPr="00D33A4F">
        <w:rPr>
          <w:rFonts w:ascii="Cambria" w:hAnsi="Cambria"/>
        </w:rPr>
        <w:t>University of Washington, Seattle WA, USA</w:t>
      </w:r>
    </w:p>
    <w:p w14:paraId="04D1DE6D" w14:textId="77777777" w:rsidR="00E2596B" w:rsidRDefault="00E2596B" w:rsidP="00E2596B">
      <w:pPr>
        <w:rPr>
          <w:rFonts w:ascii="Cambria" w:hAnsi="Cambria"/>
        </w:rPr>
      </w:pPr>
      <w:r>
        <w:rPr>
          <w:rFonts w:ascii="Cambria" w:hAnsi="Cambria"/>
        </w:rPr>
        <w:t xml:space="preserve">8. </w:t>
      </w:r>
      <w:r w:rsidRPr="00D33A4F">
        <w:rPr>
          <w:rFonts w:ascii="Cambria" w:hAnsi="Cambria"/>
        </w:rPr>
        <w:t>Laboratory of Infectious Diseases, National Institute of Allergy and Infectious Diseases (NIAID), National Institutes of Health (NIH), Bethesda, MD</w:t>
      </w:r>
    </w:p>
    <w:p w14:paraId="4A2E7D3F" w14:textId="55782A5C" w:rsidR="00E2596B" w:rsidRDefault="00E2596B" w:rsidP="00E2596B">
      <w:r>
        <w:rPr>
          <w:rFonts w:ascii="Cambria" w:hAnsi="Cambria"/>
        </w:rPr>
        <w:t>9.</w:t>
      </w:r>
      <w:r w:rsidRPr="00E2596B">
        <w:t xml:space="preserve"> </w:t>
      </w:r>
      <w:r w:rsidRPr="00D33A4F">
        <w:t>Nati</w:t>
      </w:r>
      <w:r>
        <w:t xml:space="preserve">onal Heart and Lung Institute, </w:t>
      </w:r>
      <w:r w:rsidRPr="00D33A4F">
        <w:t>Faculty of Medicine, Imperial College,London, W2 1PG, United Kingdom</w:t>
      </w:r>
    </w:p>
    <w:p w14:paraId="6CB0E6C5" w14:textId="5991F665" w:rsidR="00E2596B" w:rsidRDefault="00E2596B" w:rsidP="00E2596B">
      <w:pPr>
        <w:rPr>
          <w:rFonts w:ascii="Cambria" w:hAnsi="Cambria"/>
        </w:rPr>
      </w:pPr>
      <w:r>
        <w:t xml:space="preserve">10. </w:t>
      </w:r>
      <w:r w:rsidRPr="00D33A4F">
        <w:rPr>
          <w:rFonts w:ascii="Cambria" w:hAnsi="Cambria"/>
        </w:rPr>
        <w:t>Department of Molecular Biosciences, The University of Texas at Austin, Austin, TX 78712, USA.</w:t>
      </w:r>
    </w:p>
    <w:p w14:paraId="25D00B64" w14:textId="3951CFB3" w:rsidR="000C2D1F" w:rsidRDefault="00E2596B" w:rsidP="000C2D1F">
      <w:pPr>
        <w:rPr>
          <w:rFonts w:ascii="Cambria" w:hAnsi="Cambria"/>
        </w:rPr>
      </w:pPr>
      <w:r>
        <w:rPr>
          <w:rFonts w:ascii="Cambria" w:hAnsi="Cambria"/>
        </w:rPr>
        <w:t xml:space="preserve">11. </w:t>
      </w:r>
      <w:r w:rsidR="000C2D1F" w:rsidRPr="00D33A4F">
        <w:rPr>
          <w:rFonts w:ascii="Cambria" w:hAnsi="Cambria"/>
        </w:rPr>
        <w:t>Seattle Children’s Research Institute and University of Washington, Seattle, WA</w:t>
      </w:r>
      <w:r w:rsidR="000C2D1F">
        <w:rPr>
          <w:rFonts w:ascii="Cambria" w:hAnsi="Cambria"/>
        </w:rPr>
        <w:t>,</w:t>
      </w:r>
      <w:r w:rsidR="000C2D1F" w:rsidRPr="00D33A4F">
        <w:rPr>
          <w:rFonts w:ascii="Cambria" w:hAnsi="Cambria"/>
        </w:rPr>
        <w:t xml:space="preserve">  USA</w:t>
      </w:r>
    </w:p>
    <w:p w14:paraId="3AA0D922" w14:textId="77777777" w:rsidR="000C2D1F" w:rsidRDefault="000C2D1F" w:rsidP="000C2D1F">
      <w:pPr>
        <w:rPr>
          <w:rFonts w:ascii="Cambria" w:hAnsi="Cambria"/>
        </w:rPr>
      </w:pPr>
      <w:r>
        <w:rPr>
          <w:rFonts w:ascii="Cambria" w:hAnsi="Cambria"/>
        </w:rPr>
        <w:t xml:space="preserve">12. </w:t>
      </w:r>
      <w:r w:rsidRPr="00722995">
        <w:rPr>
          <w:rFonts w:ascii="Cambria" w:hAnsi="Cambria"/>
        </w:rPr>
        <w:t>Department of Pediatrics, Division of Infectious Diseases, Ohio State University, Columbus, OH, USA; Center for Vaccines and Immunity at Nationwide Children's Hospital, Ohio State University, Columbus, OH, USA</w:t>
      </w:r>
    </w:p>
    <w:p w14:paraId="71CAF878" w14:textId="48D3C22E" w:rsidR="000C2D1F" w:rsidRPr="00D33A4F" w:rsidRDefault="000C2D1F" w:rsidP="000C2D1F">
      <w:pPr>
        <w:rPr>
          <w:rFonts w:ascii="Cambria" w:hAnsi="Cambria"/>
        </w:rPr>
      </w:pPr>
      <w:r>
        <w:rPr>
          <w:rFonts w:ascii="Cambria" w:hAnsi="Cambria"/>
        </w:rPr>
        <w:t xml:space="preserve">13. </w:t>
      </w:r>
      <w:r w:rsidRPr="00722995">
        <w:rPr>
          <w:rFonts w:ascii="Cambria" w:hAnsi="Cambria"/>
        </w:rPr>
        <w:t>Departamento de Farmacología y Pediatria, Facultad de Medicina, Universidad de Malaga, Spain.</w:t>
      </w:r>
    </w:p>
    <w:p w14:paraId="4D478B05" w14:textId="77777777" w:rsidR="00B855D5" w:rsidRDefault="00B855D5" w:rsidP="00B855D5">
      <w:pPr>
        <w:outlineLvl w:val="0"/>
        <w:rPr>
          <w:rFonts w:ascii="Cambria" w:hAnsi="Cambria"/>
        </w:rPr>
      </w:pPr>
      <w:r>
        <w:rPr>
          <w:rFonts w:ascii="Cambria" w:hAnsi="Cambria"/>
        </w:rPr>
        <w:t xml:space="preserve">14. </w:t>
      </w:r>
      <w:r w:rsidRPr="00E362C7">
        <w:rPr>
          <w:rFonts w:ascii="Cambria" w:hAnsi="Cambria"/>
        </w:rPr>
        <w:t>Center for Immunization Research, Department of International Health, Johns Hopkins Bloomberg School of Public Health, Baltimore, MD, USA 21205</w:t>
      </w:r>
    </w:p>
    <w:p w14:paraId="4767E896" w14:textId="722486A4" w:rsidR="00B855D5" w:rsidRPr="00D33A4F" w:rsidRDefault="00B855D5" w:rsidP="00B855D5">
      <w:pPr>
        <w:rPr>
          <w:rFonts w:ascii="Cambria" w:hAnsi="Cambria" w:cs="Times New Roman"/>
        </w:rPr>
      </w:pPr>
      <w:r w:rsidRPr="00A84473">
        <w:rPr>
          <w:rFonts w:ascii="Cambria" w:hAnsi="Cambria" w:cs="Times New Roman"/>
        </w:rPr>
        <w:t>15.</w:t>
      </w:r>
      <w:r>
        <w:rPr>
          <w:rFonts w:ascii="Cambria" w:hAnsi="Cambria" w:cs="Times New Roman"/>
        </w:rPr>
        <w:t xml:space="preserve"> </w:t>
      </w:r>
      <w:r w:rsidRPr="00B855D5">
        <w:rPr>
          <w:rFonts w:ascii="Cambria" w:hAnsi="Cambria" w:cs="Times New Roman"/>
        </w:rPr>
        <w:t>Department</w:t>
      </w:r>
      <w:r w:rsidRPr="00D33A4F">
        <w:rPr>
          <w:rFonts w:ascii="Cambria" w:hAnsi="Cambria" w:cs="Times New Roman"/>
        </w:rPr>
        <w:t xml:space="preserve"> of Pediatrics, University of Colorado School of Medicine Aurora Colorado, United States,</w:t>
      </w:r>
    </w:p>
    <w:p w14:paraId="7852AA31" w14:textId="7A3D58B9" w:rsidR="00B855D5" w:rsidRDefault="00B855D5" w:rsidP="00B855D5">
      <w:pPr>
        <w:rPr>
          <w:rFonts w:ascii="Cambria" w:hAnsi="Cambria" w:cs="Times New Roman"/>
        </w:rPr>
      </w:pPr>
      <w:r>
        <w:rPr>
          <w:rFonts w:ascii="Cambria" w:hAnsi="Cambria" w:cs="Times New Roman"/>
        </w:rPr>
        <w:lastRenderedPageBreak/>
        <w:t>16</w:t>
      </w:r>
      <w:r w:rsidRPr="00D33A4F">
        <w:rPr>
          <w:rFonts w:ascii="Cambria" w:hAnsi="Cambria" w:cs="Times New Roman"/>
        </w:rPr>
        <w:t>.</w:t>
      </w:r>
      <w:r>
        <w:rPr>
          <w:rFonts w:ascii="Cambria" w:hAnsi="Cambria" w:cs="Times New Roman"/>
        </w:rPr>
        <w:t xml:space="preserve"> </w:t>
      </w:r>
      <w:r w:rsidRPr="00D33A4F">
        <w:rPr>
          <w:rFonts w:ascii="Cambria" w:hAnsi="Cambria" w:cs="Times New Roman"/>
        </w:rPr>
        <w:t>Department of Epidemiology Center for Global Health, Colorado School of Public Health, Aurora Colorado, United States</w:t>
      </w:r>
    </w:p>
    <w:p w14:paraId="1930B07F" w14:textId="68BD7F07" w:rsidR="00401E4A" w:rsidRDefault="00401E4A" w:rsidP="00401E4A">
      <w:pPr>
        <w:outlineLvl w:val="0"/>
        <w:rPr>
          <w:rFonts w:ascii="Cambria" w:hAnsi="Cambria"/>
        </w:rPr>
      </w:pPr>
      <w:r>
        <w:rPr>
          <w:rFonts w:ascii="Cambria" w:hAnsi="Cambria" w:cs="Times New Roman"/>
        </w:rPr>
        <w:t xml:space="preserve">17. </w:t>
      </w:r>
      <w:r w:rsidRPr="00D33A4F">
        <w:rPr>
          <w:rFonts w:ascii="Cambria" w:hAnsi="Cambria"/>
        </w:rPr>
        <w:t>Norms and Standards for Biologicals, Department of Essential Medicines and Health products, World Health Organization, Geneva Switzerlan</w:t>
      </w:r>
      <w:r>
        <w:rPr>
          <w:rFonts w:ascii="Cambria" w:hAnsi="Cambria"/>
        </w:rPr>
        <w:t>d</w:t>
      </w:r>
    </w:p>
    <w:p w14:paraId="47EF9B88" w14:textId="77777777" w:rsidR="00401E4A" w:rsidRDefault="00401E4A" w:rsidP="00401E4A">
      <w:pPr>
        <w:rPr>
          <w:rFonts w:ascii="Cambria" w:hAnsi="Cambria"/>
        </w:rPr>
      </w:pPr>
      <w:r>
        <w:rPr>
          <w:rFonts w:ascii="Cambria" w:hAnsi="Cambria"/>
        </w:rPr>
        <w:t xml:space="preserve">18. </w:t>
      </w:r>
      <w:r>
        <w:t>Nationwide Children’s Hospital and The Ohio State University</w:t>
      </w:r>
    </w:p>
    <w:p w14:paraId="3ED18FF6" w14:textId="3FB041D7" w:rsidR="00401E4A" w:rsidRDefault="00401E4A" w:rsidP="00401E4A">
      <w:pPr>
        <w:outlineLvl w:val="0"/>
        <w:rPr>
          <w:rFonts w:ascii="Cambria" w:eastAsia="Times New Roman" w:hAnsi="Cambria" w:cs="Times New Roman"/>
          <w:lang w:eastAsia="en-US"/>
        </w:rPr>
      </w:pPr>
      <w:r>
        <w:rPr>
          <w:rFonts w:ascii="Cambria" w:hAnsi="Cambria"/>
        </w:rPr>
        <w:t xml:space="preserve">19. </w:t>
      </w:r>
      <w:r w:rsidRPr="00D33A4F">
        <w:rPr>
          <w:rFonts w:ascii="Cambria" w:eastAsia="Times New Roman" w:hAnsi="Cambria" w:cs="Times New Roman"/>
          <w:lang w:eastAsia="en-US"/>
        </w:rPr>
        <w:t>Department of Molecul</w:t>
      </w:r>
      <w:r>
        <w:rPr>
          <w:rFonts w:ascii="Cambria" w:eastAsia="Times New Roman" w:hAnsi="Cambria" w:cs="Times New Roman"/>
          <w:lang w:eastAsia="en-US"/>
        </w:rPr>
        <w:t>a</w:t>
      </w:r>
      <w:r w:rsidRPr="00D33A4F">
        <w:rPr>
          <w:rFonts w:ascii="Cambria" w:eastAsia="Times New Roman" w:hAnsi="Cambria" w:cs="Times New Roman"/>
          <w:lang w:eastAsia="en-US"/>
        </w:rPr>
        <w:t>r Virology and Microbiology, and Pediatrics, Baylor College of Medicine, Houston, TX, USA</w:t>
      </w:r>
    </w:p>
    <w:p w14:paraId="365D21F4" w14:textId="3E416D98" w:rsidR="00401E4A" w:rsidRDefault="00401E4A" w:rsidP="00401E4A">
      <w:pPr>
        <w:outlineLvl w:val="0"/>
        <w:rPr>
          <w:rFonts w:ascii="Cambria" w:hAnsi="Cambria"/>
        </w:rPr>
      </w:pPr>
      <w:r>
        <w:rPr>
          <w:rFonts w:ascii="Cambria" w:eastAsia="Times New Roman" w:hAnsi="Cambria" w:cs="Times New Roman"/>
          <w:lang w:eastAsia="en-US"/>
        </w:rPr>
        <w:t xml:space="preserve">20. </w:t>
      </w:r>
      <w:r w:rsidRPr="00D33A4F">
        <w:rPr>
          <w:rFonts w:ascii="Cambria" w:hAnsi="Cambria"/>
        </w:rPr>
        <w:t>Department of Medicine, University of Washington, Seattle, WA USA</w:t>
      </w:r>
    </w:p>
    <w:p w14:paraId="6F163C27" w14:textId="18C0E25B" w:rsidR="00401E4A" w:rsidRDefault="00401E4A" w:rsidP="00401E4A">
      <w:pPr>
        <w:outlineLvl w:val="0"/>
        <w:rPr>
          <w:rFonts w:ascii="Cambria" w:hAnsi="Cambria"/>
        </w:rPr>
      </w:pPr>
      <w:r>
        <w:rPr>
          <w:rFonts w:ascii="Cambria" w:hAnsi="Cambria"/>
        </w:rPr>
        <w:t xml:space="preserve">21. </w:t>
      </w:r>
      <w:r w:rsidR="000949B3" w:rsidRPr="00D33A4F">
        <w:rPr>
          <w:rFonts w:ascii="Cambria" w:hAnsi="Cambria"/>
        </w:rPr>
        <w:t>Department of Medicine, University of Rochester and Rochester General Hospital, Rochester, NY, USA</w:t>
      </w:r>
    </w:p>
    <w:p w14:paraId="749B8FA7" w14:textId="6F0BE413" w:rsidR="000949B3" w:rsidRPr="00D33A4F" w:rsidRDefault="000949B3" w:rsidP="00A84473">
      <w:pPr>
        <w:rPr>
          <w:rFonts w:ascii="Cambria" w:hAnsi="Cambria"/>
        </w:rPr>
      </w:pPr>
      <w:r>
        <w:rPr>
          <w:rFonts w:ascii="Cambria" w:hAnsi="Cambria"/>
        </w:rPr>
        <w:t xml:space="preserve">22. </w:t>
      </w:r>
      <w:r w:rsidRPr="00C00986">
        <w:rPr>
          <w:rFonts w:ascii="Cambria" w:hAnsi="Cambria"/>
        </w:rPr>
        <w:t>Cen</w:t>
      </w:r>
      <w:r>
        <w:rPr>
          <w:rFonts w:ascii="Cambria" w:hAnsi="Cambria"/>
        </w:rPr>
        <w:t xml:space="preserve">tre for Global Health Research, </w:t>
      </w:r>
      <w:r w:rsidRPr="00C00986">
        <w:rPr>
          <w:rFonts w:ascii="Cambria" w:hAnsi="Cambria"/>
        </w:rPr>
        <w:t>Usher Institute of Population Health Sciences and Informatics,</w:t>
      </w:r>
      <w:r>
        <w:rPr>
          <w:rFonts w:ascii="Cambria" w:hAnsi="Cambria"/>
        </w:rPr>
        <w:t xml:space="preserve"> </w:t>
      </w:r>
      <w:r w:rsidRPr="00C00986">
        <w:rPr>
          <w:rFonts w:ascii="Cambria" w:hAnsi="Cambria"/>
        </w:rPr>
        <w:t>The University of Edinburgh,</w:t>
      </w:r>
      <w:r>
        <w:rPr>
          <w:rFonts w:ascii="Cambria" w:hAnsi="Cambria"/>
        </w:rPr>
        <w:t xml:space="preserve"> </w:t>
      </w:r>
      <w:r w:rsidRPr="00C00986">
        <w:rPr>
          <w:rFonts w:ascii="Cambria" w:hAnsi="Cambria"/>
        </w:rPr>
        <w:t>Edinburgh EH8 9AG</w:t>
      </w:r>
      <w:r>
        <w:rPr>
          <w:rFonts w:ascii="Cambria" w:hAnsi="Cambria"/>
        </w:rPr>
        <w:t xml:space="preserve">, </w:t>
      </w:r>
      <w:r w:rsidRPr="00C00986">
        <w:rPr>
          <w:rFonts w:ascii="Cambria" w:hAnsi="Cambria"/>
        </w:rPr>
        <w:t>United Kingdom</w:t>
      </w:r>
    </w:p>
    <w:p w14:paraId="1EF0B750" w14:textId="100979D5" w:rsidR="000949B3" w:rsidRPr="00D33A4F" w:rsidRDefault="000949B3" w:rsidP="000949B3">
      <w:pPr>
        <w:rPr>
          <w:rFonts w:ascii="Cambria" w:hAnsi="Cambria"/>
        </w:rPr>
      </w:pPr>
      <w:r>
        <w:rPr>
          <w:rFonts w:ascii="Cambria" w:hAnsi="Cambria"/>
        </w:rPr>
        <w:t>23.</w:t>
      </w:r>
      <w:r w:rsidRPr="00D33A4F">
        <w:rPr>
          <w:rFonts w:ascii="Cambria" w:hAnsi="Cambria"/>
        </w:rPr>
        <w:t xml:space="preserve"> Julius Clinical, Zeist, The Netherlands </w:t>
      </w:r>
    </w:p>
    <w:p w14:paraId="13B53595" w14:textId="56938DDC" w:rsidR="000949B3" w:rsidRDefault="000949B3" w:rsidP="000949B3">
      <w:pPr>
        <w:rPr>
          <w:rFonts w:ascii="Cambria" w:hAnsi="Cambria"/>
        </w:rPr>
      </w:pPr>
      <w:r w:rsidRPr="00D33A4F">
        <w:rPr>
          <w:rFonts w:ascii="Cambria" w:hAnsi="Cambria"/>
        </w:rPr>
        <w:t>2</w:t>
      </w:r>
      <w:r>
        <w:rPr>
          <w:rFonts w:ascii="Cambria" w:hAnsi="Cambria"/>
        </w:rPr>
        <w:t>4.</w:t>
      </w:r>
      <w:r w:rsidRPr="00D33A4F">
        <w:rPr>
          <w:rFonts w:ascii="Cambria" w:hAnsi="Cambria"/>
        </w:rPr>
        <w:t xml:space="preserve"> Respiratory Syncytial Virus Network (ReSViNET; www.resvinet.org), Utrecht, The Netherlands</w:t>
      </w:r>
    </w:p>
    <w:p w14:paraId="5C0568BB" w14:textId="77777777" w:rsidR="000949B3" w:rsidRDefault="000949B3" w:rsidP="000949B3">
      <w:pPr>
        <w:rPr>
          <w:rFonts w:ascii="Cambria" w:hAnsi="Cambria"/>
        </w:rPr>
      </w:pPr>
      <w:r>
        <w:rPr>
          <w:rFonts w:ascii="Cambria" w:hAnsi="Cambria"/>
        </w:rPr>
        <w:t xml:space="preserve">25. </w:t>
      </w:r>
      <w:r w:rsidRPr="00E73AD2">
        <w:rPr>
          <w:rFonts w:ascii="Cambria" w:hAnsi="Cambria"/>
        </w:rPr>
        <w:t>MRC-Asthma UK Centre in Allergic Mechanisms of Asthma, Health School of Life Course Sciences, King’s College London UK</w:t>
      </w:r>
    </w:p>
    <w:p w14:paraId="68350DA0" w14:textId="35F98080" w:rsidR="0004333D" w:rsidRDefault="0004333D" w:rsidP="000949B3">
      <w:pPr>
        <w:rPr>
          <w:rFonts w:ascii="Cambria" w:hAnsi="Cambria"/>
        </w:rPr>
      </w:pPr>
      <w:r>
        <w:rPr>
          <w:rFonts w:ascii="Cambria" w:hAnsi="Cambria"/>
        </w:rPr>
        <w:t xml:space="preserve">26. </w:t>
      </w:r>
      <w:r w:rsidRPr="009E5D73">
        <w:rPr>
          <w:rFonts w:ascii="Cambria" w:hAnsi="Cambria"/>
        </w:rPr>
        <w:t>Women's and Children's Health Department, University of Padova, Italy</w:t>
      </w:r>
    </w:p>
    <w:p w14:paraId="32153899" w14:textId="77777777" w:rsidR="0004333D" w:rsidRPr="000D74A8" w:rsidRDefault="0004333D" w:rsidP="0004333D">
      <w:pPr>
        <w:rPr>
          <w:rFonts w:ascii="Cambria" w:hAnsi="Cambria"/>
        </w:rPr>
      </w:pPr>
      <w:r>
        <w:rPr>
          <w:rFonts w:ascii="Cambria" w:hAnsi="Cambria"/>
        </w:rPr>
        <w:t xml:space="preserve">27. </w:t>
      </w:r>
      <w:r w:rsidRPr="000D74A8">
        <w:rPr>
          <w:rFonts w:ascii="Cambria" w:hAnsi="Cambria"/>
        </w:rPr>
        <w:t>Allergy Dpt, 2nd Paediatric Clinic, National Kapodistrian University of Athens, Greece</w:t>
      </w:r>
    </w:p>
    <w:p w14:paraId="0AF50BEE" w14:textId="75D74F72" w:rsidR="0004333D" w:rsidRDefault="0004333D" w:rsidP="0004333D">
      <w:pPr>
        <w:rPr>
          <w:rFonts w:ascii="Cambria" w:hAnsi="Cambria"/>
        </w:rPr>
      </w:pPr>
      <w:r>
        <w:rPr>
          <w:rFonts w:ascii="Cambria" w:hAnsi="Cambria"/>
        </w:rPr>
        <w:t xml:space="preserve">28. </w:t>
      </w:r>
      <w:r w:rsidRPr="000D74A8">
        <w:rPr>
          <w:rFonts w:ascii="Cambria" w:hAnsi="Cambria"/>
        </w:rPr>
        <w:t>Division of Infection, Immunity &amp; Respiratory Medicine, University of Manchester, UK</w:t>
      </w:r>
    </w:p>
    <w:p w14:paraId="450123FF" w14:textId="3B88ABDA" w:rsidR="0004333D" w:rsidRDefault="0004333D" w:rsidP="0004333D">
      <w:pPr>
        <w:rPr>
          <w:rFonts w:ascii="Cambria" w:hAnsi="Cambria"/>
        </w:rPr>
      </w:pPr>
      <w:r>
        <w:rPr>
          <w:rFonts w:ascii="Cambria" w:hAnsi="Cambria"/>
        </w:rPr>
        <w:t xml:space="preserve">29. </w:t>
      </w:r>
      <w:r w:rsidRPr="00D33A4F">
        <w:rPr>
          <w:rFonts w:ascii="Cambria" w:hAnsi="Cambria"/>
        </w:rPr>
        <w:t>Initiative for Vaccine Research, World Health Or</w:t>
      </w:r>
      <w:r>
        <w:rPr>
          <w:rFonts w:ascii="Cambria" w:hAnsi="Cambria"/>
        </w:rPr>
        <w:t>ganization, Geneva, Switzerland</w:t>
      </w:r>
    </w:p>
    <w:p w14:paraId="74954DF1" w14:textId="77777777" w:rsidR="0004333D" w:rsidRDefault="0004333D" w:rsidP="0004333D">
      <w:pPr>
        <w:rPr>
          <w:rFonts w:ascii="Times New Roman" w:hAnsi="Times New Roman" w:cs="Times New Roman"/>
          <w:lang w:val="es-PY"/>
        </w:rPr>
      </w:pPr>
      <w:r>
        <w:rPr>
          <w:rFonts w:ascii="Cambria" w:hAnsi="Cambria"/>
        </w:rPr>
        <w:t xml:space="preserve">30. </w:t>
      </w:r>
      <w:r>
        <w:t>Fundacion INFANT, Buenos Aires, Argentina</w:t>
      </w:r>
    </w:p>
    <w:p w14:paraId="73B452A8" w14:textId="6E32198D" w:rsidR="000949B3" w:rsidRPr="00D33A4F" w:rsidRDefault="0004333D" w:rsidP="000949B3">
      <w:pPr>
        <w:rPr>
          <w:rFonts w:ascii="Cambria" w:hAnsi="Cambria"/>
        </w:rPr>
      </w:pPr>
      <w:r>
        <w:rPr>
          <w:rFonts w:ascii="Cambria" w:hAnsi="Cambria"/>
        </w:rPr>
        <w:t>31</w:t>
      </w:r>
      <w:r w:rsidR="000949B3">
        <w:rPr>
          <w:rFonts w:ascii="Cambria" w:hAnsi="Cambria"/>
        </w:rPr>
        <w:t xml:space="preserve">. </w:t>
      </w:r>
      <w:r w:rsidR="000949B3" w:rsidRPr="00D33A4F">
        <w:rPr>
          <w:rFonts w:ascii="Cambria" w:hAnsi="Cambria"/>
        </w:rPr>
        <w:t>Licensing Division, Medicines and Healthcare products Regulatory Agency (MHRA), London, United Kingdom</w:t>
      </w:r>
    </w:p>
    <w:p w14:paraId="10E6B0E5" w14:textId="029D2ED7" w:rsidR="000949B3" w:rsidRDefault="0004333D" w:rsidP="000949B3">
      <w:pPr>
        <w:rPr>
          <w:rFonts w:ascii="Cambria" w:hAnsi="Cambria"/>
        </w:rPr>
      </w:pPr>
      <w:r>
        <w:rPr>
          <w:rFonts w:ascii="Cambria" w:hAnsi="Cambria"/>
        </w:rPr>
        <w:t>32</w:t>
      </w:r>
      <w:r w:rsidR="000949B3">
        <w:rPr>
          <w:rFonts w:ascii="Cambria" w:hAnsi="Cambria"/>
        </w:rPr>
        <w:t xml:space="preserve">. </w:t>
      </w:r>
      <w:r w:rsidR="007109E7" w:rsidRPr="007109E7">
        <w:rPr>
          <w:rFonts w:ascii="Cambria" w:hAnsi="Cambria"/>
        </w:rPr>
        <w:t>Mahatma Ga</w:t>
      </w:r>
      <w:r w:rsidR="007109E7">
        <w:rPr>
          <w:rFonts w:ascii="Cambria" w:hAnsi="Cambria"/>
        </w:rPr>
        <w:t xml:space="preserve">ndhi Tribal Hospital, Karmagram, </w:t>
      </w:r>
      <w:r w:rsidR="007109E7" w:rsidRPr="007109E7">
        <w:rPr>
          <w:rFonts w:ascii="Cambria" w:hAnsi="Cambria"/>
        </w:rPr>
        <w:t xml:space="preserve">Utavali, Tahsil </w:t>
      </w:r>
      <w:r w:rsidR="007109E7">
        <w:rPr>
          <w:rFonts w:ascii="Cambria" w:hAnsi="Cambria"/>
        </w:rPr>
        <w:t>–</w:t>
      </w:r>
      <w:r w:rsidR="007109E7" w:rsidRPr="007109E7">
        <w:rPr>
          <w:rFonts w:ascii="Cambria" w:hAnsi="Cambria"/>
        </w:rPr>
        <w:t xml:space="preserve"> Dharni</w:t>
      </w:r>
      <w:r w:rsidR="007109E7">
        <w:rPr>
          <w:rFonts w:ascii="Cambria" w:hAnsi="Cambria"/>
        </w:rPr>
        <w:t>, India</w:t>
      </w:r>
    </w:p>
    <w:p w14:paraId="6A87417F" w14:textId="1DC174A2" w:rsidR="0004333D" w:rsidRPr="00D33A4F" w:rsidRDefault="003F0CBF" w:rsidP="000949B3">
      <w:pPr>
        <w:rPr>
          <w:rFonts w:ascii="Cambria" w:hAnsi="Cambria"/>
        </w:rPr>
      </w:pPr>
      <w:r>
        <w:rPr>
          <w:rFonts w:ascii="Cambria" w:hAnsi="Cambria"/>
        </w:rPr>
        <w:t>33</w:t>
      </w:r>
      <w:r w:rsidR="0004333D">
        <w:rPr>
          <w:rFonts w:ascii="Cambria" w:hAnsi="Cambria"/>
        </w:rPr>
        <w:t xml:space="preserve">. </w:t>
      </w:r>
      <w:r w:rsidR="0004333D" w:rsidRPr="00E0465E">
        <w:rPr>
          <w:rFonts w:ascii="Cambria" w:hAnsi="Cambria"/>
        </w:rPr>
        <w:t>Pontificia Universidade Católica RGS (PUCRS), Porto Alegre, Brazil</w:t>
      </w:r>
    </w:p>
    <w:p w14:paraId="395DD643" w14:textId="338AA764" w:rsidR="0004333D" w:rsidRPr="00D33A4F" w:rsidRDefault="003F0CBF" w:rsidP="0004333D">
      <w:pPr>
        <w:rPr>
          <w:rFonts w:ascii="Cambria" w:hAnsi="Cambria"/>
        </w:rPr>
      </w:pPr>
      <w:r>
        <w:rPr>
          <w:rFonts w:ascii="Cambria" w:hAnsi="Cambria"/>
        </w:rPr>
        <w:t>34</w:t>
      </w:r>
      <w:r w:rsidR="0004333D">
        <w:rPr>
          <w:rFonts w:ascii="Cambria" w:hAnsi="Cambria"/>
        </w:rPr>
        <w:t xml:space="preserve">. </w:t>
      </w:r>
      <w:r w:rsidR="0004333D" w:rsidRPr="00D33A4F">
        <w:rPr>
          <w:rFonts w:ascii="Cambria" w:hAnsi="Cambria"/>
        </w:rPr>
        <w:t>Vaccine Research Center, National Institute of Aller</w:t>
      </w:r>
      <w:r w:rsidR="0004333D">
        <w:rPr>
          <w:rFonts w:ascii="Cambria" w:hAnsi="Cambria"/>
        </w:rPr>
        <w:t xml:space="preserve">gy and Infectious Diseases, NIH, </w:t>
      </w:r>
      <w:r w:rsidR="0004333D" w:rsidRPr="00D33A4F">
        <w:rPr>
          <w:rFonts w:ascii="Cambria" w:hAnsi="Cambria"/>
        </w:rPr>
        <w:t>Bethesda, MD</w:t>
      </w:r>
      <w:r w:rsidR="0004333D">
        <w:rPr>
          <w:rFonts w:ascii="Cambria" w:hAnsi="Cambria"/>
        </w:rPr>
        <w:t>,</w:t>
      </w:r>
      <w:r w:rsidR="0004333D" w:rsidRPr="00D33A4F">
        <w:rPr>
          <w:rFonts w:ascii="Cambria" w:hAnsi="Cambria"/>
        </w:rPr>
        <w:t xml:space="preserve"> USA 20892-3017</w:t>
      </w:r>
    </w:p>
    <w:p w14:paraId="5F755563" w14:textId="54F01348" w:rsidR="00C45FA0" w:rsidRPr="00A84473" w:rsidRDefault="00C45FA0" w:rsidP="00FB1F2C">
      <w:pPr>
        <w:rPr>
          <w:rFonts w:ascii="Cambria" w:hAnsi="Cambria"/>
        </w:rPr>
      </w:pPr>
    </w:p>
    <w:p w14:paraId="5782ECEA" w14:textId="47FB7718" w:rsidR="00651DEE" w:rsidRDefault="00651DEE" w:rsidP="0004333D">
      <w:pPr>
        <w:rPr>
          <w:rFonts w:ascii="Times New Roman" w:hAnsi="Times New Roman" w:cs="Times New Roman"/>
          <w:lang w:val="es-PY"/>
        </w:rPr>
      </w:pPr>
    </w:p>
    <w:p w14:paraId="7FB66569" w14:textId="77777777" w:rsidR="00363F34" w:rsidRPr="00A84473" w:rsidRDefault="00363F34" w:rsidP="00720868">
      <w:pPr>
        <w:rPr>
          <w:rFonts w:ascii="Cambria" w:hAnsi="Cambria"/>
        </w:rPr>
      </w:pPr>
    </w:p>
    <w:p w14:paraId="4BE194E1" w14:textId="77777777" w:rsidR="00FF6869" w:rsidRDefault="00FF6869" w:rsidP="00720868"/>
    <w:p w14:paraId="2CF505B5" w14:textId="77777777" w:rsidR="00615040" w:rsidRDefault="00615040" w:rsidP="00603741"/>
    <w:p w14:paraId="2FC5F9A4" w14:textId="77777777" w:rsidR="0004333D" w:rsidRDefault="0004333D">
      <w:pPr>
        <w:rPr>
          <w:rFonts w:ascii="Cambria" w:hAnsi="Cambria"/>
        </w:rPr>
      </w:pPr>
      <w:r>
        <w:rPr>
          <w:rFonts w:ascii="Cambria" w:hAnsi="Cambria"/>
        </w:rPr>
        <w:br w:type="page"/>
      </w:r>
    </w:p>
    <w:p w14:paraId="1CEDA042" w14:textId="5091A415" w:rsidR="00FD376F" w:rsidRPr="00603741" w:rsidRDefault="00FD376F" w:rsidP="00603741">
      <w:r w:rsidRPr="00FD376F">
        <w:rPr>
          <w:rFonts w:ascii="Cambria" w:hAnsi="Cambria"/>
        </w:rPr>
        <w:lastRenderedPageBreak/>
        <w:t>Corresponding Author</w:t>
      </w:r>
    </w:p>
    <w:p w14:paraId="551EAFE7" w14:textId="77777777" w:rsidR="00FD376F" w:rsidRPr="00FD376F" w:rsidRDefault="00FD376F" w:rsidP="00FD376F">
      <w:pPr>
        <w:jc w:val="both"/>
        <w:rPr>
          <w:rFonts w:ascii="Cambria" w:hAnsi="Cambria"/>
        </w:rPr>
      </w:pPr>
      <w:r w:rsidRPr="00FD376F">
        <w:rPr>
          <w:rFonts w:ascii="Cambria" w:hAnsi="Cambria"/>
        </w:rPr>
        <w:t>Louis Bont</w:t>
      </w:r>
    </w:p>
    <w:p w14:paraId="162B5154" w14:textId="77777777" w:rsidR="00FD376F" w:rsidRPr="00FD376F" w:rsidRDefault="00FD376F" w:rsidP="00FD376F">
      <w:pPr>
        <w:jc w:val="both"/>
        <w:rPr>
          <w:rFonts w:ascii="Cambria" w:hAnsi="Cambria"/>
        </w:rPr>
      </w:pPr>
      <w:r w:rsidRPr="00FD376F">
        <w:rPr>
          <w:rFonts w:ascii="Cambria" w:hAnsi="Cambria"/>
        </w:rPr>
        <w:t>Phone:</w:t>
      </w:r>
      <w:r w:rsidRPr="00FD376F">
        <w:rPr>
          <w:rFonts w:ascii="Cambria" w:hAnsi="Cambria"/>
          <w:lang w:val="pt-PT"/>
        </w:rPr>
        <w:t xml:space="preserve"> +31 (0) 88 75 555 55 ext. 54001</w:t>
      </w:r>
    </w:p>
    <w:p w14:paraId="16DBD198" w14:textId="77777777" w:rsidR="00FD376F" w:rsidRPr="00FD376F" w:rsidRDefault="00FD376F" w:rsidP="00FD376F">
      <w:pPr>
        <w:jc w:val="both"/>
        <w:rPr>
          <w:rFonts w:ascii="Cambria" w:hAnsi="Cambria"/>
        </w:rPr>
      </w:pPr>
      <w:r w:rsidRPr="00FD376F">
        <w:rPr>
          <w:rFonts w:ascii="Cambria" w:hAnsi="Cambria"/>
        </w:rPr>
        <w:t>Email:</w:t>
      </w:r>
      <w:r w:rsidRPr="00FD376F">
        <w:rPr>
          <w:rFonts w:ascii="Cambria" w:hAnsi="Cambria"/>
          <w:lang w:val="pt-PT"/>
        </w:rPr>
        <w:t xml:space="preserve"> l.bont@umcutrecht.nl</w:t>
      </w:r>
    </w:p>
    <w:p w14:paraId="0A04720A" w14:textId="77777777" w:rsidR="00FD376F" w:rsidRPr="00FD376F" w:rsidRDefault="00FD376F" w:rsidP="00FD376F">
      <w:pPr>
        <w:jc w:val="both"/>
        <w:rPr>
          <w:rFonts w:ascii="Cambria" w:hAnsi="Cambria"/>
        </w:rPr>
      </w:pPr>
      <w:r w:rsidRPr="00FD376F">
        <w:rPr>
          <w:rFonts w:ascii="Cambria" w:hAnsi="Cambria"/>
        </w:rPr>
        <w:t>Address:</w:t>
      </w:r>
    </w:p>
    <w:p w14:paraId="6797977D" w14:textId="77777777" w:rsidR="00FD376F" w:rsidRPr="00FD376F" w:rsidRDefault="00FD376F" w:rsidP="00FD376F">
      <w:pPr>
        <w:jc w:val="both"/>
        <w:rPr>
          <w:rFonts w:ascii="Cambria" w:hAnsi="Cambria"/>
        </w:rPr>
      </w:pPr>
      <w:r w:rsidRPr="00FD376F">
        <w:rPr>
          <w:rFonts w:ascii="Cambria" w:hAnsi="Cambria"/>
        </w:rPr>
        <w:t>Wilhelmina Children’s Hospital</w:t>
      </w:r>
    </w:p>
    <w:p w14:paraId="3D9B768B" w14:textId="1CEA09F1" w:rsidR="00FD376F" w:rsidRPr="00FD376F" w:rsidRDefault="00026D6F" w:rsidP="00FD376F">
      <w:pPr>
        <w:suppressLineNumbers/>
        <w:jc w:val="both"/>
        <w:rPr>
          <w:rFonts w:ascii="Cambria" w:hAnsi="Cambria"/>
        </w:rPr>
      </w:pPr>
      <w:r>
        <w:rPr>
          <w:rFonts w:ascii="Cambria" w:hAnsi="Cambria"/>
        </w:rPr>
        <w:t xml:space="preserve">Department of </w:t>
      </w:r>
      <w:r w:rsidR="00FD376F" w:rsidRPr="00FD376F">
        <w:rPr>
          <w:rFonts w:ascii="Cambria" w:hAnsi="Cambria"/>
        </w:rPr>
        <w:t>Pediatric Infectious Disease &amp; Immunology</w:t>
      </w:r>
    </w:p>
    <w:p w14:paraId="101F8E10" w14:textId="77777777" w:rsidR="00FD376F" w:rsidRPr="00FD376F" w:rsidRDefault="00FD376F" w:rsidP="00FD376F">
      <w:pPr>
        <w:suppressLineNumbers/>
        <w:jc w:val="both"/>
        <w:rPr>
          <w:rFonts w:ascii="Cambria" w:hAnsi="Cambria"/>
        </w:rPr>
      </w:pPr>
      <w:r w:rsidRPr="00FD376F">
        <w:rPr>
          <w:rFonts w:ascii="Cambria" w:hAnsi="Cambria"/>
        </w:rPr>
        <w:t>University Medical Center Utrecht</w:t>
      </w:r>
    </w:p>
    <w:p w14:paraId="2599ADF1" w14:textId="77777777" w:rsidR="00FD376F" w:rsidRPr="00FD376F" w:rsidRDefault="00FD376F" w:rsidP="00FD376F">
      <w:pPr>
        <w:jc w:val="both"/>
        <w:rPr>
          <w:rFonts w:ascii="Cambria" w:hAnsi="Cambria"/>
        </w:rPr>
      </w:pPr>
      <w:r w:rsidRPr="00FD376F">
        <w:rPr>
          <w:rFonts w:ascii="Cambria" w:hAnsi="Cambria"/>
        </w:rPr>
        <w:t>Lundlaan 6</w:t>
      </w:r>
    </w:p>
    <w:p w14:paraId="13B2BDE3" w14:textId="77777777" w:rsidR="00FD376F" w:rsidRDefault="00FD376F" w:rsidP="00FD376F">
      <w:pPr>
        <w:jc w:val="both"/>
        <w:rPr>
          <w:rFonts w:ascii="Cambria" w:hAnsi="Cambria"/>
        </w:rPr>
      </w:pPr>
      <w:r w:rsidRPr="00FD376F">
        <w:rPr>
          <w:rFonts w:ascii="Cambria" w:hAnsi="Cambria"/>
        </w:rPr>
        <w:t>3584EA Utrecht, The Netherlands</w:t>
      </w:r>
    </w:p>
    <w:p w14:paraId="4B2B5DF1" w14:textId="77777777" w:rsidR="00FD376F" w:rsidRDefault="00FD376F" w:rsidP="00FD376F">
      <w:pPr>
        <w:jc w:val="both"/>
        <w:rPr>
          <w:rFonts w:ascii="Cambria" w:hAnsi="Cambria"/>
        </w:rPr>
      </w:pPr>
    </w:p>
    <w:p w14:paraId="2F440B79" w14:textId="77777777" w:rsidR="00FD376F" w:rsidRDefault="00FD376F" w:rsidP="00FD376F">
      <w:pPr>
        <w:jc w:val="both"/>
        <w:rPr>
          <w:rFonts w:ascii="Cambria" w:hAnsi="Cambria"/>
        </w:rPr>
      </w:pPr>
      <w:r>
        <w:rPr>
          <w:rFonts w:ascii="Cambria" w:hAnsi="Cambria"/>
        </w:rPr>
        <w:t xml:space="preserve">Running title: </w:t>
      </w:r>
      <w:r w:rsidR="00CF39A6">
        <w:rPr>
          <w:rFonts w:ascii="Cambria" w:hAnsi="Cambria"/>
        </w:rPr>
        <w:t>Respiratory Syncytial Virus Vaccine Landscape</w:t>
      </w:r>
    </w:p>
    <w:p w14:paraId="6078E032" w14:textId="77777777" w:rsidR="00FD376F" w:rsidRDefault="00FD376F" w:rsidP="00FD376F">
      <w:pPr>
        <w:jc w:val="both"/>
        <w:rPr>
          <w:rFonts w:ascii="Cambria" w:hAnsi="Cambria"/>
        </w:rPr>
      </w:pPr>
      <w:r>
        <w:rPr>
          <w:rFonts w:ascii="Cambria" w:hAnsi="Cambria"/>
        </w:rPr>
        <w:t>Key words:</w:t>
      </w:r>
      <w:r w:rsidR="00CF39A6">
        <w:rPr>
          <w:rFonts w:ascii="Cambria" w:hAnsi="Cambria"/>
        </w:rPr>
        <w:t xml:space="preserve"> respiratory syncytial virus, vaccines</w:t>
      </w:r>
    </w:p>
    <w:p w14:paraId="183DC3B2" w14:textId="77777777" w:rsidR="00CF39A6" w:rsidRDefault="00CF39A6" w:rsidP="00FD376F">
      <w:pPr>
        <w:jc w:val="both"/>
        <w:rPr>
          <w:rFonts w:ascii="Cambria" w:hAnsi="Cambria"/>
        </w:rPr>
      </w:pPr>
    </w:p>
    <w:p w14:paraId="14893BDD" w14:textId="2CB55651" w:rsidR="00FD376F" w:rsidRDefault="00FD376F" w:rsidP="00FD376F">
      <w:pPr>
        <w:jc w:val="both"/>
        <w:rPr>
          <w:rFonts w:ascii="Cambria" w:hAnsi="Cambria"/>
        </w:rPr>
      </w:pPr>
      <w:r>
        <w:rPr>
          <w:rFonts w:ascii="Cambria" w:hAnsi="Cambria"/>
        </w:rPr>
        <w:t xml:space="preserve">Word count abstract: </w:t>
      </w:r>
      <w:r w:rsidR="00475C81">
        <w:rPr>
          <w:rFonts w:ascii="Cambria" w:hAnsi="Cambria"/>
        </w:rPr>
        <w:t xml:space="preserve">132 </w:t>
      </w:r>
      <w:r>
        <w:rPr>
          <w:rFonts w:ascii="Cambria" w:hAnsi="Cambria"/>
        </w:rPr>
        <w:t>(150)</w:t>
      </w:r>
    </w:p>
    <w:p w14:paraId="3C55CA26" w14:textId="483B329D" w:rsidR="00D3481F" w:rsidRDefault="00D3481F" w:rsidP="00FD376F">
      <w:pPr>
        <w:jc w:val="both"/>
        <w:rPr>
          <w:rFonts w:ascii="Cambria" w:hAnsi="Cambria"/>
        </w:rPr>
      </w:pPr>
      <w:r>
        <w:rPr>
          <w:rFonts w:ascii="Cambria" w:hAnsi="Cambria"/>
        </w:rPr>
        <w:t xml:space="preserve">Word count manuscript: </w:t>
      </w:r>
      <w:r w:rsidR="001C69D5">
        <w:rPr>
          <w:rFonts w:ascii="Cambria" w:hAnsi="Cambria"/>
        </w:rPr>
        <w:t>6,585</w:t>
      </w:r>
      <w:r w:rsidR="00BB67B0">
        <w:rPr>
          <w:rFonts w:ascii="Cambria" w:hAnsi="Cambria"/>
        </w:rPr>
        <w:t xml:space="preserve"> </w:t>
      </w:r>
      <w:r>
        <w:rPr>
          <w:rFonts w:ascii="Cambria" w:hAnsi="Cambria"/>
        </w:rPr>
        <w:t>(</w:t>
      </w:r>
      <w:r w:rsidR="00977557">
        <w:rPr>
          <w:rFonts w:ascii="Cambria" w:hAnsi="Cambria"/>
        </w:rPr>
        <w:t>4500</w:t>
      </w:r>
      <w:r>
        <w:rPr>
          <w:rFonts w:ascii="Cambria" w:hAnsi="Cambria"/>
        </w:rPr>
        <w:t>)</w:t>
      </w:r>
    </w:p>
    <w:p w14:paraId="6FCA499A" w14:textId="0580E603" w:rsidR="00FD376F" w:rsidRDefault="00FD376F" w:rsidP="00FD376F">
      <w:pPr>
        <w:jc w:val="both"/>
        <w:rPr>
          <w:rFonts w:ascii="Cambria" w:hAnsi="Cambria"/>
        </w:rPr>
      </w:pPr>
      <w:r>
        <w:rPr>
          <w:rFonts w:ascii="Cambria" w:hAnsi="Cambria"/>
        </w:rPr>
        <w:t>Number of tables:</w:t>
      </w:r>
      <w:r w:rsidR="00D3481F">
        <w:rPr>
          <w:rFonts w:ascii="Cambria" w:hAnsi="Cambria"/>
        </w:rPr>
        <w:t xml:space="preserve"> </w:t>
      </w:r>
      <w:r w:rsidR="00627EBE">
        <w:rPr>
          <w:rFonts w:ascii="Cambria" w:hAnsi="Cambria"/>
        </w:rPr>
        <w:t>3</w:t>
      </w:r>
    </w:p>
    <w:p w14:paraId="3E767B40" w14:textId="1639F2AA" w:rsidR="00FD376F" w:rsidRDefault="00FD376F" w:rsidP="00FD376F">
      <w:pPr>
        <w:jc w:val="both"/>
        <w:rPr>
          <w:rFonts w:ascii="Cambria" w:hAnsi="Cambria"/>
        </w:rPr>
      </w:pPr>
      <w:r>
        <w:rPr>
          <w:rFonts w:ascii="Cambria" w:hAnsi="Cambria"/>
        </w:rPr>
        <w:t>Number of figures:</w:t>
      </w:r>
      <w:r w:rsidR="00627EBE">
        <w:rPr>
          <w:rFonts w:ascii="Cambria" w:hAnsi="Cambria"/>
        </w:rPr>
        <w:t xml:space="preserve"> </w:t>
      </w:r>
      <w:r w:rsidR="006A4A32">
        <w:rPr>
          <w:rFonts w:ascii="Cambria" w:hAnsi="Cambria"/>
        </w:rPr>
        <w:t>2</w:t>
      </w:r>
    </w:p>
    <w:p w14:paraId="1FE90C55" w14:textId="01B88E47" w:rsidR="00576CB1" w:rsidRDefault="00576CB1" w:rsidP="00FD376F">
      <w:pPr>
        <w:jc w:val="both"/>
        <w:rPr>
          <w:rFonts w:ascii="Cambria" w:hAnsi="Cambria"/>
        </w:rPr>
      </w:pPr>
      <w:r>
        <w:rPr>
          <w:rFonts w:ascii="Cambria" w:hAnsi="Cambria"/>
        </w:rPr>
        <w:t>Supplemental tables: 1</w:t>
      </w:r>
    </w:p>
    <w:p w14:paraId="62632C13" w14:textId="77777777" w:rsidR="00CF39A6" w:rsidRDefault="00CF39A6" w:rsidP="00FD376F">
      <w:pPr>
        <w:jc w:val="both"/>
        <w:rPr>
          <w:rFonts w:ascii="Cambria" w:hAnsi="Cambria"/>
        </w:rPr>
      </w:pPr>
    </w:p>
    <w:p w14:paraId="1484E871" w14:textId="77777777" w:rsidR="00CF39A6" w:rsidRDefault="00CF39A6" w:rsidP="00FD376F">
      <w:pPr>
        <w:jc w:val="both"/>
        <w:rPr>
          <w:rFonts w:ascii="Cambria" w:hAnsi="Cambria"/>
        </w:rPr>
      </w:pPr>
    </w:p>
    <w:p w14:paraId="49D5F47E" w14:textId="77777777" w:rsidR="00FD376F" w:rsidRDefault="00CF39A6" w:rsidP="00FD376F">
      <w:pPr>
        <w:jc w:val="both"/>
        <w:rPr>
          <w:rFonts w:ascii="Cambria" w:hAnsi="Cambria"/>
        </w:rPr>
      </w:pPr>
      <w:r>
        <w:rPr>
          <w:rFonts w:ascii="Cambria" w:hAnsi="Cambria"/>
        </w:rPr>
        <w:t>Funding: none</w:t>
      </w:r>
    </w:p>
    <w:p w14:paraId="29C5CA6E" w14:textId="47E9F4C1" w:rsidR="0048256C" w:rsidRDefault="0048256C" w:rsidP="00FD376F">
      <w:pPr>
        <w:jc w:val="both"/>
        <w:rPr>
          <w:rFonts w:ascii="Cambria" w:hAnsi="Cambria"/>
        </w:rPr>
      </w:pPr>
      <w:r>
        <w:rPr>
          <w:rFonts w:ascii="Cambria" w:hAnsi="Cambria"/>
        </w:rPr>
        <w:t>Author Contributions: LJB and NIM were involved in the design and plan for this review. ACL and NH were involved in the data collection. All authors contributed to the final manuscript.</w:t>
      </w:r>
    </w:p>
    <w:p w14:paraId="30115D84" w14:textId="77777777" w:rsidR="00CF39A6" w:rsidRDefault="00CF39A6" w:rsidP="00FD376F">
      <w:pPr>
        <w:jc w:val="both"/>
        <w:rPr>
          <w:rFonts w:ascii="Cambria" w:hAnsi="Cambria"/>
        </w:rPr>
      </w:pPr>
    </w:p>
    <w:p w14:paraId="0E4491C2" w14:textId="77777777" w:rsidR="00055EC4" w:rsidRDefault="00055EC4">
      <w:pPr>
        <w:rPr>
          <w:rFonts w:ascii="Cambria" w:hAnsi="Cambria"/>
        </w:rPr>
      </w:pPr>
      <w:r>
        <w:rPr>
          <w:rFonts w:ascii="Cambria" w:hAnsi="Cambria"/>
        </w:rPr>
        <w:br w:type="page"/>
      </w:r>
    </w:p>
    <w:p w14:paraId="77988AA0" w14:textId="2F37CC88" w:rsidR="00055EC4" w:rsidRDefault="00055EC4" w:rsidP="00FD376F">
      <w:pPr>
        <w:jc w:val="both"/>
        <w:rPr>
          <w:rFonts w:ascii="Cambria" w:hAnsi="Cambria"/>
        </w:rPr>
      </w:pPr>
      <w:r>
        <w:rPr>
          <w:rFonts w:ascii="Cambria" w:hAnsi="Cambria"/>
        </w:rPr>
        <w:lastRenderedPageBreak/>
        <w:t>Contributors</w:t>
      </w:r>
    </w:p>
    <w:p w14:paraId="10AECC69" w14:textId="415EBA84" w:rsidR="00055EC4" w:rsidRDefault="00055EC4" w:rsidP="00FD376F">
      <w:pPr>
        <w:jc w:val="both"/>
        <w:rPr>
          <w:rFonts w:ascii="Cambria" w:hAnsi="Cambria"/>
        </w:rPr>
      </w:pPr>
      <w:r>
        <w:rPr>
          <w:rFonts w:ascii="Cambria" w:hAnsi="Cambria"/>
        </w:rPr>
        <w:t>LJB and NIM were involved in the design and plan for this review.</w:t>
      </w:r>
    </w:p>
    <w:p w14:paraId="4C594A00" w14:textId="30B2406F" w:rsidR="00055EC4" w:rsidRDefault="00055EC4" w:rsidP="00FD376F">
      <w:pPr>
        <w:jc w:val="both"/>
        <w:rPr>
          <w:rFonts w:ascii="Cambria" w:hAnsi="Cambria"/>
        </w:rPr>
      </w:pPr>
      <w:r>
        <w:rPr>
          <w:rFonts w:ascii="Cambria" w:hAnsi="Cambria"/>
        </w:rPr>
        <w:t>ACL and NH were involved in data collection.</w:t>
      </w:r>
    </w:p>
    <w:p w14:paraId="331A5BC9" w14:textId="51B73468" w:rsidR="00055EC4" w:rsidRDefault="00055EC4" w:rsidP="00FD376F">
      <w:pPr>
        <w:jc w:val="both"/>
        <w:rPr>
          <w:rFonts w:ascii="Cambria" w:hAnsi="Cambria"/>
        </w:rPr>
      </w:pPr>
      <w:r>
        <w:rPr>
          <w:rFonts w:ascii="Cambria" w:hAnsi="Cambria"/>
        </w:rPr>
        <w:t>All authors contributed to the final manuscript.</w:t>
      </w:r>
    </w:p>
    <w:p w14:paraId="320B2372" w14:textId="77777777" w:rsidR="00055EC4" w:rsidRDefault="00055EC4" w:rsidP="00FD376F">
      <w:pPr>
        <w:jc w:val="both"/>
        <w:rPr>
          <w:rFonts w:ascii="Cambria" w:hAnsi="Cambria"/>
        </w:rPr>
      </w:pPr>
    </w:p>
    <w:p w14:paraId="253D5F55" w14:textId="7B0F1FD1" w:rsidR="00CF39A6" w:rsidRDefault="00CF39A6" w:rsidP="00FD376F">
      <w:pPr>
        <w:jc w:val="both"/>
        <w:rPr>
          <w:rFonts w:ascii="Cambria" w:hAnsi="Cambria"/>
        </w:rPr>
      </w:pPr>
      <w:r>
        <w:rPr>
          <w:rFonts w:ascii="Cambria" w:hAnsi="Cambria"/>
        </w:rPr>
        <w:t>Declaration of interest</w:t>
      </w:r>
    </w:p>
    <w:p w14:paraId="7BA91AF6" w14:textId="77777777" w:rsidR="00CC45A6" w:rsidRDefault="00CC45A6" w:rsidP="00CC45A6">
      <w:r>
        <w:rPr>
          <w:rFonts w:ascii="Cambria" w:hAnsi="Cambria"/>
        </w:rPr>
        <w:t xml:space="preserve">HYC: </w:t>
      </w:r>
      <w:r>
        <w:t xml:space="preserve">My institution receives research funding from Sanofi-Pasteur and Novavax. </w:t>
      </w:r>
    </w:p>
    <w:p w14:paraId="1A0C60D8" w14:textId="77777777" w:rsidR="00D660C6" w:rsidRDefault="00D660C6" w:rsidP="00D660C6">
      <w:r w:rsidRPr="00D660C6">
        <w:t>UJB’s work was funded by the Intramural Research Program, NIAID, NIH; Work of the RNA Viruses Section of the Laboratory of Infectious Diseases, Division of Intramural Research, NIAID, NIH was funded in part by a CRADA with Sanofi Pasteur.</w:t>
      </w:r>
    </w:p>
    <w:p w14:paraId="5CF264BA" w14:textId="77777777" w:rsidR="005E6FEC" w:rsidRPr="005E6FEC" w:rsidRDefault="005E6FEC" w:rsidP="005E6FEC">
      <w:r w:rsidRPr="005E6FEC">
        <w:t>JAE:  My institution receives research funding from Novavax, Medimmune, Alios, and GlaxoSmithKline</w:t>
      </w:r>
    </w:p>
    <w:p w14:paraId="7285A1BB" w14:textId="77777777" w:rsidR="00FB25C9" w:rsidRPr="00FB25C9" w:rsidRDefault="00FB25C9" w:rsidP="00FB25C9">
      <w:r w:rsidRPr="00FB25C9">
        <w:t>The authors alone are responsible for the views expressed in this publication, which do not necessarily represent the decisions or the stated policy of any organization, institution or agency.</w:t>
      </w:r>
    </w:p>
    <w:p w14:paraId="4C59D7C7" w14:textId="77777777" w:rsidR="00FB25C9" w:rsidRPr="00D660C6" w:rsidRDefault="00FB25C9" w:rsidP="00D660C6"/>
    <w:p w14:paraId="3918DC99" w14:textId="77777777" w:rsidR="00D660C6" w:rsidRDefault="00D660C6" w:rsidP="00CC45A6"/>
    <w:p w14:paraId="436661EB" w14:textId="49C73E2D" w:rsidR="00CC45A6" w:rsidRDefault="00CC45A6" w:rsidP="00FD376F">
      <w:pPr>
        <w:jc w:val="both"/>
        <w:rPr>
          <w:rFonts w:ascii="Cambria" w:hAnsi="Cambria"/>
        </w:rPr>
      </w:pPr>
    </w:p>
    <w:p w14:paraId="33906E23" w14:textId="77777777" w:rsidR="00442F27" w:rsidRDefault="00442F27" w:rsidP="00FD376F">
      <w:pPr>
        <w:jc w:val="both"/>
        <w:rPr>
          <w:rFonts w:ascii="Cambria" w:hAnsi="Cambria"/>
        </w:rPr>
      </w:pPr>
    </w:p>
    <w:p w14:paraId="46DE044A" w14:textId="77777777" w:rsidR="00442F27" w:rsidRDefault="00442F27" w:rsidP="00FD376F">
      <w:pPr>
        <w:jc w:val="both"/>
        <w:rPr>
          <w:rFonts w:ascii="Cambria" w:hAnsi="Cambria"/>
        </w:rPr>
      </w:pPr>
    </w:p>
    <w:p w14:paraId="7209EF3C" w14:textId="77777777" w:rsidR="00576CB1" w:rsidRDefault="00576CB1">
      <w:pPr>
        <w:rPr>
          <w:rFonts w:ascii="Cambria" w:hAnsi="Cambria"/>
        </w:rPr>
      </w:pPr>
      <w:r>
        <w:rPr>
          <w:rFonts w:ascii="Cambria" w:hAnsi="Cambria"/>
        </w:rPr>
        <w:br w:type="page"/>
      </w:r>
    </w:p>
    <w:p w14:paraId="26350868" w14:textId="0AF2C91B" w:rsidR="00576CB1" w:rsidRDefault="00442F27" w:rsidP="00603741">
      <w:pPr>
        <w:rPr>
          <w:rFonts w:ascii="Cambria" w:hAnsi="Cambria"/>
        </w:rPr>
      </w:pPr>
      <w:r>
        <w:rPr>
          <w:rFonts w:ascii="Cambria" w:hAnsi="Cambria"/>
        </w:rPr>
        <w:lastRenderedPageBreak/>
        <w:t xml:space="preserve">Abstract (word count: </w:t>
      </w:r>
      <w:r w:rsidR="00FE42E4">
        <w:rPr>
          <w:rFonts w:ascii="Cambria" w:hAnsi="Cambria"/>
        </w:rPr>
        <w:t>159</w:t>
      </w:r>
      <w:r>
        <w:rPr>
          <w:rFonts w:ascii="Cambria" w:hAnsi="Cambria"/>
        </w:rPr>
        <w:t>/</w:t>
      </w:r>
      <w:r w:rsidR="00FE42E4">
        <w:rPr>
          <w:rFonts w:ascii="Cambria" w:hAnsi="Cambria"/>
        </w:rPr>
        <w:t>200</w:t>
      </w:r>
      <w:r>
        <w:rPr>
          <w:rFonts w:ascii="Cambria" w:hAnsi="Cambria"/>
        </w:rPr>
        <w:t>)</w:t>
      </w:r>
    </w:p>
    <w:p w14:paraId="44267255" w14:textId="77777777" w:rsidR="003C7290" w:rsidRDefault="003C7290" w:rsidP="00603741">
      <w:pPr>
        <w:rPr>
          <w:rFonts w:ascii="Cambria" w:hAnsi="Cambria"/>
        </w:rPr>
      </w:pPr>
    </w:p>
    <w:p w14:paraId="0F856B95" w14:textId="1F19BE71" w:rsidR="000369C6" w:rsidRDefault="000369C6" w:rsidP="00603741">
      <w:pPr>
        <w:rPr>
          <w:rFonts w:ascii="Cambria" w:hAnsi="Cambria"/>
        </w:rPr>
        <w:sectPr w:rsidR="000369C6" w:rsidSect="00275956">
          <w:footerReference w:type="even" r:id="rId8"/>
          <w:footerReference w:type="default" r:id="rId9"/>
          <w:pgSz w:w="12240" w:h="15840"/>
          <w:pgMar w:top="1440" w:right="1800" w:bottom="1440" w:left="1800" w:header="720" w:footer="720" w:gutter="0"/>
          <w:cols w:space="720"/>
        </w:sectPr>
      </w:pPr>
      <w:r>
        <w:rPr>
          <w:rFonts w:ascii="Cambria" w:hAnsi="Cambria"/>
        </w:rPr>
        <w:t xml:space="preserve">The </w:t>
      </w:r>
      <w:r w:rsidR="00AC5415">
        <w:rPr>
          <w:rFonts w:ascii="Cambria" w:hAnsi="Cambria"/>
        </w:rPr>
        <w:t xml:space="preserve">global </w:t>
      </w:r>
      <w:r>
        <w:rPr>
          <w:rFonts w:ascii="Cambria" w:hAnsi="Cambria"/>
        </w:rPr>
        <w:t>burden of disease</w:t>
      </w:r>
      <w:r w:rsidR="00C87B02">
        <w:rPr>
          <w:rFonts w:ascii="Cambria" w:hAnsi="Cambria"/>
        </w:rPr>
        <w:t xml:space="preserve"> </w:t>
      </w:r>
      <w:r w:rsidR="00AC5415">
        <w:rPr>
          <w:rFonts w:ascii="Cambria" w:hAnsi="Cambria"/>
        </w:rPr>
        <w:t>caused by</w:t>
      </w:r>
      <w:r>
        <w:rPr>
          <w:rFonts w:ascii="Cambria" w:hAnsi="Cambria"/>
        </w:rPr>
        <w:t xml:space="preserve"> respiratory syncytial virus (RSV) </w:t>
      </w:r>
      <w:r w:rsidR="00C23217">
        <w:rPr>
          <w:rFonts w:ascii="Cambria" w:hAnsi="Cambria"/>
        </w:rPr>
        <w:t xml:space="preserve">is </w:t>
      </w:r>
      <w:r w:rsidR="00AC5415">
        <w:rPr>
          <w:rFonts w:ascii="Cambria" w:hAnsi="Cambria"/>
        </w:rPr>
        <w:t>increasingly recognized, not only in infants, but also in older adults</w:t>
      </w:r>
      <w:r>
        <w:rPr>
          <w:rFonts w:ascii="Cambria" w:hAnsi="Cambria"/>
        </w:rPr>
        <w:t>.</w:t>
      </w:r>
      <w:r w:rsidR="004247B8">
        <w:rPr>
          <w:rFonts w:ascii="Cambria" w:hAnsi="Cambria"/>
        </w:rPr>
        <w:t xml:space="preserve"> </w:t>
      </w:r>
      <w:r w:rsidR="00C87B02">
        <w:rPr>
          <w:rFonts w:ascii="Cambria" w:hAnsi="Cambria"/>
        </w:rPr>
        <w:t xml:space="preserve">Advances in knowledge </w:t>
      </w:r>
      <w:r w:rsidR="00C23217">
        <w:rPr>
          <w:rFonts w:ascii="Cambria" w:hAnsi="Cambria"/>
        </w:rPr>
        <w:t xml:space="preserve">of </w:t>
      </w:r>
      <w:r w:rsidR="00501EAB">
        <w:rPr>
          <w:rFonts w:ascii="Cambria" w:hAnsi="Cambria"/>
        </w:rPr>
        <w:t xml:space="preserve">the structural biology of the RSV surface fusion (F) </w:t>
      </w:r>
      <w:r w:rsidR="00A34B85">
        <w:rPr>
          <w:rFonts w:ascii="Cambria" w:hAnsi="Cambria"/>
        </w:rPr>
        <w:t>glyco</w:t>
      </w:r>
      <w:r w:rsidR="00501EAB">
        <w:rPr>
          <w:rFonts w:ascii="Cambria" w:hAnsi="Cambria"/>
        </w:rPr>
        <w:t xml:space="preserve">protein have revolutionized </w:t>
      </w:r>
      <w:r w:rsidR="00A34B85">
        <w:rPr>
          <w:rFonts w:ascii="Cambria" w:hAnsi="Cambria"/>
        </w:rPr>
        <w:t>RSV vaccine development</w:t>
      </w:r>
      <w:r w:rsidR="00624CF1">
        <w:rPr>
          <w:rFonts w:ascii="Cambria" w:hAnsi="Cambria"/>
        </w:rPr>
        <w:t xml:space="preserve"> </w:t>
      </w:r>
      <w:r w:rsidR="00D32183">
        <w:rPr>
          <w:rFonts w:ascii="Cambria" w:hAnsi="Cambria"/>
        </w:rPr>
        <w:t>by providing</w:t>
      </w:r>
      <w:r w:rsidR="00624CF1">
        <w:rPr>
          <w:rFonts w:ascii="Cambria" w:hAnsi="Cambria"/>
        </w:rPr>
        <w:t xml:space="preserve"> a new target for preventive interventions</w:t>
      </w:r>
      <w:r w:rsidR="00501EAB">
        <w:rPr>
          <w:rFonts w:ascii="Cambria" w:hAnsi="Cambria"/>
        </w:rPr>
        <w:t>.</w:t>
      </w:r>
      <w:r w:rsidR="003F6ED9">
        <w:rPr>
          <w:rFonts w:ascii="Cambria" w:hAnsi="Cambria"/>
        </w:rPr>
        <w:t xml:space="preserve"> The RSV vaccine landscape</w:t>
      </w:r>
      <w:r w:rsidR="00EA2B93">
        <w:rPr>
          <w:rFonts w:ascii="Cambria" w:hAnsi="Cambria"/>
        </w:rPr>
        <w:t xml:space="preserve"> has rapidly expanded</w:t>
      </w:r>
      <w:r w:rsidR="003F6ED9">
        <w:rPr>
          <w:rFonts w:ascii="Cambria" w:hAnsi="Cambria"/>
        </w:rPr>
        <w:t xml:space="preserve"> to include 1</w:t>
      </w:r>
      <w:r w:rsidR="00A610E7">
        <w:rPr>
          <w:rFonts w:ascii="Cambria" w:hAnsi="Cambria"/>
        </w:rPr>
        <w:t>9</w:t>
      </w:r>
      <w:r w:rsidR="003F6ED9">
        <w:rPr>
          <w:rFonts w:ascii="Cambria" w:hAnsi="Cambria"/>
        </w:rPr>
        <w:t xml:space="preserve"> vaccine candidates</w:t>
      </w:r>
      <w:r w:rsidR="00C100DB">
        <w:rPr>
          <w:rFonts w:ascii="Cambria" w:hAnsi="Cambria"/>
        </w:rPr>
        <w:t>, including four approaches: (1)particle-based, (2)live-attenuated/chimeric, (3)subunit, (4)</w:t>
      </w:r>
      <w:r w:rsidR="00FE42E4">
        <w:rPr>
          <w:rFonts w:ascii="Cambria" w:hAnsi="Cambria"/>
        </w:rPr>
        <w:t>vector-based,</w:t>
      </w:r>
      <w:r w:rsidR="00EA2B93">
        <w:rPr>
          <w:rFonts w:ascii="Cambria" w:hAnsi="Cambria"/>
        </w:rPr>
        <w:t xml:space="preserve"> </w:t>
      </w:r>
      <w:r w:rsidR="00FE42E4">
        <w:rPr>
          <w:rFonts w:ascii="Cambria" w:hAnsi="Cambria"/>
        </w:rPr>
        <w:t xml:space="preserve">as well as </w:t>
      </w:r>
      <w:r w:rsidR="00EA2B93">
        <w:rPr>
          <w:rFonts w:ascii="Cambria" w:hAnsi="Cambria"/>
        </w:rPr>
        <w:t>monoclonal antibodies (mAbs)</w:t>
      </w:r>
      <w:r w:rsidR="004960B1">
        <w:rPr>
          <w:rFonts w:ascii="Cambria" w:hAnsi="Cambria"/>
        </w:rPr>
        <w:t xml:space="preserve"> in clinical trials</w:t>
      </w:r>
      <w:r w:rsidR="00EA2B93">
        <w:rPr>
          <w:rFonts w:ascii="Cambria" w:hAnsi="Cambria"/>
        </w:rPr>
        <w:t>,</w:t>
      </w:r>
      <w:r w:rsidR="003F6ED9">
        <w:rPr>
          <w:rFonts w:ascii="Cambria" w:hAnsi="Cambria"/>
        </w:rPr>
        <w:t xml:space="preserve"> reflect</w:t>
      </w:r>
      <w:r w:rsidR="00EA2B93">
        <w:rPr>
          <w:rFonts w:ascii="Cambria" w:hAnsi="Cambria"/>
        </w:rPr>
        <w:t>ing</w:t>
      </w:r>
      <w:r w:rsidR="003F6ED9">
        <w:rPr>
          <w:rFonts w:ascii="Cambria" w:hAnsi="Cambria"/>
        </w:rPr>
        <w:t xml:space="preserve"> the urgency of</w:t>
      </w:r>
      <w:r w:rsidR="004823B0">
        <w:rPr>
          <w:rFonts w:ascii="Cambria" w:hAnsi="Cambria"/>
        </w:rPr>
        <w:t xml:space="preserve"> reducing </w:t>
      </w:r>
      <w:r w:rsidR="003F6ED9">
        <w:rPr>
          <w:rFonts w:ascii="Cambria" w:hAnsi="Cambria"/>
        </w:rPr>
        <w:t>this g</w:t>
      </w:r>
      <w:r w:rsidR="000A6FC2">
        <w:rPr>
          <w:rFonts w:ascii="Cambria" w:hAnsi="Cambria"/>
        </w:rPr>
        <w:t>l</w:t>
      </w:r>
      <w:r w:rsidR="003F6ED9">
        <w:rPr>
          <w:rFonts w:ascii="Cambria" w:hAnsi="Cambria"/>
        </w:rPr>
        <w:t>obal health</w:t>
      </w:r>
      <w:r w:rsidR="00C87B02">
        <w:rPr>
          <w:rFonts w:ascii="Cambria" w:hAnsi="Cambria"/>
        </w:rPr>
        <w:t xml:space="preserve"> problem and</w:t>
      </w:r>
      <w:r w:rsidR="004823B0">
        <w:rPr>
          <w:rFonts w:ascii="Cambria" w:hAnsi="Cambria"/>
        </w:rPr>
        <w:t xml:space="preserve"> hence</w:t>
      </w:r>
      <w:r w:rsidR="00C87B02">
        <w:rPr>
          <w:rFonts w:ascii="Cambria" w:hAnsi="Cambria"/>
        </w:rPr>
        <w:t xml:space="preserve"> the priorit</w:t>
      </w:r>
      <w:r w:rsidR="006F7537">
        <w:rPr>
          <w:rFonts w:ascii="Cambria" w:hAnsi="Cambria"/>
        </w:rPr>
        <w:t xml:space="preserve">ization of </w:t>
      </w:r>
      <w:r w:rsidR="00C87B02">
        <w:rPr>
          <w:rFonts w:ascii="Cambria" w:hAnsi="Cambria"/>
        </w:rPr>
        <w:t>RSV vaccine</w:t>
      </w:r>
      <w:r w:rsidR="00466AC7">
        <w:rPr>
          <w:rFonts w:ascii="Cambria" w:hAnsi="Cambria"/>
        </w:rPr>
        <w:t xml:space="preserve"> development</w:t>
      </w:r>
      <w:r w:rsidR="00C87B02">
        <w:rPr>
          <w:rFonts w:ascii="Cambria" w:hAnsi="Cambria"/>
        </w:rPr>
        <w:t xml:space="preserve">. </w:t>
      </w:r>
      <w:r w:rsidR="00466AC7">
        <w:rPr>
          <w:rFonts w:ascii="Cambria" w:hAnsi="Cambria"/>
        </w:rPr>
        <w:t>L</w:t>
      </w:r>
      <w:r w:rsidR="00C87B02">
        <w:rPr>
          <w:rFonts w:ascii="Cambria" w:hAnsi="Cambria"/>
        </w:rPr>
        <w:t xml:space="preserve">ate phase RSV vaccine trial failures highlight gaps in knowledge regarding immunologic protection </w:t>
      </w:r>
      <w:r w:rsidR="000A6FC2">
        <w:rPr>
          <w:rFonts w:ascii="Cambria" w:hAnsi="Cambria"/>
        </w:rPr>
        <w:t>and</w:t>
      </w:r>
      <w:r w:rsidR="006F7537">
        <w:rPr>
          <w:rFonts w:ascii="Cambria" w:hAnsi="Cambria"/>
        </w:rPr>
        <w:t xml:space="preserve"> provide lessons for</w:t>
      </w:r>
      <w:r w:rsidR="000A6FC2">
        <w:rPr>
          <w:rFonts w:ascii="Cambria" w:hAnsi="Cambria"/>
        </w:rPr>
        <w:t xml:space="preserve"> future development.</w:t>
      </w:r>
      <w:r w:rsidR="00F15579">
        <w:rPr>
          <w:rFonts w:ascii="Cambria" w:hAnsi="Cambria"/>
        </w:rPr>
        <w:t xml:space="preserve"> In this review we </w:t>
      </w:r>
      <w:r w:rsidR="004960B1">
        <w:rPr>
          <w:rFonts w:ascii="Cambria" w:hAnsi="Cambria"/>
        </w:rPr>
        <w:t xml:space="preserve">highlight </w:t>
      </w:r>
      <w:r w:rsidR="00F15579">
        <w:rPr>
          <w:rFonts w:ascii="Cambria" w:hAnsi="Cambria"/>
        </w:rPr>
        <w:t xml:space="preserve">promising new approaches to </w:t>
      </w:r>
      <w:r w:rsidR="00466AC7">
        <w:rPr>
          <w:rFonts w:ascii="Cambria" w:hAnsi="Cambria"/>
        </w:rPr>
        <w:t xml:space="preserve">RSV </w:t>
      </w:r>
      <w:r w:rsidR="00F15579">
        <w:rPr>
          <w:rFonts w:ascii="Cambria" w:hAnsi="Cambria"/>
        </w:rPr>
        <w:t xml:space="preserve">vaccine design </w:t>
      </w:r>
      <w:r w:rsidR="000E741C">
        <w:rPr>
          <w:rFonts w:ascii="Cambria" w:hAnsi="Cambria"/>
        </w:rPr>
        <w:t xml:space="preserve">and </w:t>
      </w:r>
      <w:r w:rsidR="003731E6">
        <w:rPr>
          <w:rFonts w:ascii="Cambria" w:hAnsi="Cambria"/>
        </w:rPr>
        <w:t xml:space="preserve">provide </w:t>
      </w:r>
      <w:r w:rsidR="000E741C">
        <w:rPr>
          <w:rFonts w:ascii="Cambria" w:hAnsi="Cambria"/>
        </w:rPr>
        <w:t>a comprehensive overview of RSV vaccine</w:t>
      </w:r>
      <w:r w:rsidR="0059604C">
        <w:rPr>
          <w:rFonts w:ascii="Cambria" w:hAnsi="Cambria"/>
        </w:rPr>
        <w:t xml:space="preserve"> </w:t>
      </w:r>
      <w:r w:rsidR="000E741C">
        <w:rPr>
          <w:rFonts w:ascii="Cambria" w:hAnsi="Cambria"/>
        </w:rPr>
        <w:t>candidates</w:t>
      </w:r>
      <w:r w:rsidR="00AC466B">
        <w:rPr>
          <w:rFonts w:ascii="Cambria" w:hAnsi="Cambria"/>
        </w:rPr>
        <w:t xml:space="preserve"> </w:t>
      </w:r>
      <w:r w:rsidR="00CE6D49">
        <w:rPr>
          <w:rFonts w:ascii="Cambria" w:hAnsi="Cambria"/>
        </w:rPr>
        <w:t xml:space="preserve">and mAbs </w:t>
      </w:r>
      <w:r w:rsidR="00AC466B">
        <w:rPr>
          <w:rFonts w:ascii="Cambria" w:hAnsi="Cambria"/>
        </w:rPr>
        <w:t>currently</w:t>
      </w:r>
      <w:r w:rsidR="000E741C">
        <w:rPr>
          <w:rFonts w:ascii="Cambria" w:hAnsi="Cambria"/>
        </w:rPr>
        <w:t xml:space="preserve"> in clinical development</w:t>
      </w:r>
      <w:r w:rsidR="00FE42E4">
        <w:rPr>
          <w:rFonts w:ascii="Cambria" w:hAnsi="Cambria"/>
        </w:rPr>
        <w:t xml:space="preserve"> to prevent one of the most common and severe infectious diseases in young children and older adults worldwide</w:t>
      </w:r>
      <w:r w:rsidR="00F15579">
        <w:rPr>
          <w:rFonts w:ascii="Cambria" w:hAnsi="Cambria"/>
        </w:rPr>
        <w:t>.</w:t>
      </w:r>
    </w:p>
    <w:p w14:paraId="70DCAC50" w14:textId="77777777" w:rsidR="009E6B99" w:rsidRDefault="009E6B99">
      <w:pPr>
        <w:rPr>
          <w:rFonts w:ascii="Cambria" w:hAnsi="Cambria"/>
        </w:rPr>
      </w:pPr>
      <w:r>
        <w:rPr>
          <w:rFonts w:ascii="Cambria" w:hAnsi="Cambria"/>
        </w:rPr>
        <w:lastRenderedPageBreak/>
        <w:t>Search strategy and selection criteria</w:t>
      </w:r>
    </w:p>
    <w:p w14:paraId="42024214" w14:textId="46207C04" w:rsidR="009E6B99" w:rsidRDefault="009E6B99">
      <w:pPr>
        <w:rPr>
          <w:rFonts w:ascii="Cambria" w:hAnsi="Cambria"/>
        </w:rPr>
      </w:pPr>
      <w:r>
        <w:rPr>
          <w:rFonts w:ascii="Cambria" w:hAnsi="Cambria"/>
        </w:rPr>
        <w:t>References for this review were identified through a search of PubMed with no date or language restrictions, through March 29, 2018. We did not intend to do a systematic review of the literature. No inclusion or exclusion criteria were used. Instead, we selected articles that were most relevant to the subheadings used in this review. ClinicalTrials.gov as well as the WHO tracker for RSV were used to identify all relevant trials for vaccine candidates and mAbs in clinical development. The PATH Vaccine Snapshot was used as a reference to identify which vaccine and mAb candidates were in clinical trials. Additional data was collected during the RSV Vaccines for the World Conference on November 29- December 1, 2018 and using pharmaceutical websites for the respective vaccine and mAb candidates.</w:t>
      </w:r>
      <w:r>
        <w:rPr>
          <w:rFonts w:ascii="Cambria" w:hAnsi="Cambria"/>
        </w:rPr>
        <w:br w:type="page"/>
      </w:r>
    </w:p>
    <w:p w14:paraId="7FA82F9A" w14:textId="60F56A77" w:rsidR="00442F27" w:rsidRDefault="00442F27" w:rsidP="00DF6A3E">
      <w:pPr>
        <w:jc w:val="both"/>
        <w:rPr>
          <w:rFonts w:ascii="Cambria" w:hAnsi="Cambria"/>
        </w:rPr>
      </w:pPr>
      <w:r>
        <w:rPr>
          <w:rFonts w:ascii="Cambria" w:hAnsi="Cambria"/>
        </w:rPr>
        <w:lastRenderedPageBreak/>
        <w:t>Introduction</w:t>
      </w:r>
    </w:p>
    <w:p w14:paraId="2BEF8A47" w14:textId="6D31A3AD" w:rsidR="00D01DBA" w:rsidRDefault="00860379" w:rsidP="00DF6A3E">
      <w:pPr>
        <w:jc w:val="both"/>
        <w:rPr>
          <w:rFonts w:ascii="Cambria" w:hAnsi="Cambria"/>
        </w:rPr>
      </w:pPr>
      <w:r>
        <w:rPr>
          <w:rFonts w:ascii="Cambria" w:hAnsi="Cambria"/>
        </w:rPr>
        <w:t xml:space="preserve">Respiratory </w:t>
      </w:r>
      <w:r w:rsidR="00466AC7">
        <w:rPr>
          <w:rFonts w:ascii="Cambria" w:hAnsi="Cambria"/>
        </w:rPr>
        <w:t>s</w:t>
      </w:r>
      <w:r>
        <w:rPr>
          <w:rFonts w:ascii="Cambria" w:hAnsi="Cambria"/>
        </w:rPr>
        <w:t xml:space="preserve">yncytial </w:t>
      </w:r>
      <w:r w:rsidR="00466AC7">
        <w:rPr>
          <w:rFonts w:ascii="Cambria" w:hAnsi="Cambria"/>
        </w:rPr>
        <w:t>v</w:t>
      </w:r>
      <w:r>
        <w:rPr>
          <w:rFonts w:ascii="Cambria" w:hAnsi="Cambria"/>
        </w:rPr>
        <w:t>irus</w:t>
      </w:r>
      <w:r w:rsidR="00E63F1F">
        <w:rPr>
          <w:rFonts w:ascii="Cambria" w:hAnsi="Cambria"/>
        </w:rPr>
        <w:t xml:space="preserve"> (RSV)</w:t>
      </w:r>
      <w:r w:rsidR="00050598">
        <w:rPr>
          <w:rFonts w:ascii="Cambria" w:hAnsi="Cambria"/>
        </w:rPr>
        <w:t xml:space="preserve"> </w:t>
      </w:r>
      <w:r w:rsidR="001C7193">
        <w:rPr>
          <w:rFonts w:ascii="Cambria" w:hAnsi="Cambria"/>
        </w:rPr>
        <w:t xml:space="preserve">acute lower respiratory infection (ALRI) </w:t>
      </w:r>
      <w:r w:rsidR="00D01B54">
        <w:rPr>
          <w:rFonts w:ascii="Cambria" w:hAnsi="Cambria"/>
        </w:rPr>
        <w:t>has gained recognition</w:t>
      </w:r>
      <w:r w:rsidR="00050598">
        <w:rPr>
          <w:rFonts w:ascii="Cambria" w:hAnsi="Cambria"/>
        </w:rPr>
        <w:t xml:space="preserve"> as a global health problem with a high burden of disease</w:t>
      </w:r>
      <w:r w:rsidR="001C7193">
        <w:rPr>
          <w:rFonts w:ascii="Cambria" w:hAnsi="Cambria"/>
        </w:rPr>
        <w:t xml:space="preserve"> and no vaccine licensed for prevention</w:t>
      </w:r>
      <w:r w:rsidR="005A3FA8">
        <w:rPr>
          <w:rFonts w:ascii="Cambria" w:hAnsi="Cambria"/>
        </w:rPr>
        <w:t xml:space="preserve">. </w:t>
      </w:r>
      <w:r w:rsidR="00901046">
        <w:rPr>
          <w:rFonts w:ascii="Cambria" w:hAnsi="Cambria"/>
        </w:rPr>
        <w:t>In children under 5 years, it is estimated that 33.1 million episodes</w:t>
      </w:r>
      <w:r w:rsidR="006F7537">
        <w:rPr>
          <w:rFonts w:ascii="Cambria" w:hAnsi="Cambria"/>
        </w:rPr>
        <w:t xml:space="preserve"> of</w:t>
      </w:r>
      <w:r w:rsidR="00FA531D">
        <w:rPr>
          <w:rFonts w:ascii="Cambria" w:hAnsi="Cambria"/>
        </w:rPr>
        <w:t xml:space="preserve"> </w:t>
      </w:r>
      <w:r w:rsidR="006F7537">
        <w:rPr>
          <w:rFonts w:ascii="Cambria" w:hAnsi="Cambria"/>
        </w:rPr>
        <w:t>ALRI</w:t>
      </w:r>
      <w:r w:rsidR="00FA531D">
        <w:rPr>
          <w:rFonts w:ascii="Cambria" w:hAnsi="Cambria"/>
        </w:rPr>
        <w:t>,</w:t>
      </w:r>
      <w:r w:rsidR="00901046">
        <w:rPr>
          <w:rFonts w:ascii="Cambria" w:hAnsi="Cambria"/>
        </w:rPr>
        <w:t xml:space="preserve"> 3.2 million hospital admissions</w:t>
      </w:r>
      <w:r w:rsidR="00FA531D">
        <w:rPr>
          <w:rFonts w:ascii="Cambria" w:hAnsi="Cambria"/>
        </w:rPr>
        <w:t xml:space="preserve"> and as many as 118,200 deaths</w:t>
      </w:r>
      <w:r w:rsidR="00901046">
        <w:rPr>
          <w:rFonts w:ascii="Cambria" w:hAnsi="Cambria"/>
        </w:rPr>
        <w:t xml:space="preserve"> </w:t>
      </w:r>
      <w:r w:rsidR="00FA531D">
        <w:rPr>
          <w:rFonts w:ascii="Cambria" w:hAnsi="Cambria"/>
        </w:rPr>
        <w:t>were</w:t>
      </w:r>
      <w:r w:rsidR="00901046">
        <w:rPr>
          <w:rFonts w:ascii="Cambria" w:hAnsi="Cambria"/>
        </w:rPr>
        <w:t xml:space="preserve"> attribut</w:t>
      </w:r>
      <w:r w:rsidR="00FA531D">
        <w:rPr>
          <w:rFonts w:ascii="Cambria" w:hAnsi="Cambria"/>
        </w:rPr>
        <w:t>able</w:t>
      </w:r>
      <w:r w:rsidR="00901046">
        <w:rPr>
          <w:rFonts w:ascii="Cambria" w:hAnsi="Cambria"/>
        </w:rPr>
        <w:t xml:space="preserve"> to RSV</w:t>
      </w:r>
      <w:r w:rsidR="00FA531D">
        <w:rPr>
          <w:rFonts w:ascii="Cambria" w:hAnsi="Cambria"/>
        </w:rPr>
        <w:t xml:space="preserve"> </w:t>
      </w:r>
      <w:r w:rsidR="00A8394E">
        <w:rPr>
          <w:rFonts w:ascii="Cambria" w:hAnsi="Cambria"/>
        </w:rPr>
        <w:t>worldwide</w:t>
      </w:r>
      <w:r w:rsidR="00FA531D">
        <w:rPr>
          <w:rFonts w:ascii="Cambria" w:hAnsi="Cambria"/>
        </w:rPr>
        <w:t xml:space="preserve"> in 2015</w:t>
      </w:r>
      <w:r w:rsidR="00901046">
        <w:rPr>
          <w:rFonts w:ascii="Cambria" w:hAnsi="Cambria"/>
        </w:rPr>
        <w:fldChar w:fldCharType="begin" w:fldLock="1"/>
      </w:r>
      <w:r w:rsidR="001066E3">
        <w:rPr>
          <w:rFonts w:ascii="Cambria" w:hAnsi="Cambria"/>
        </w:rPr>
        <w:instrText>ADDIN CSL_CITATION { "citationItems" : [ { "id" : "ITEM-1", "itemData" : { "DOI" : "10.1016/S0140-6736(17)30938-8", "ISSN" : "01406736", "PMID" : "28689664", "abstract" : "BACKGROUND We have previously estimated that respiratory syncytial virus (RSV) was associated with 22% of all episodes of (severe) acute lower respiratory infection (ALRI) resulting in 55\u2008000 to 199\u2008000 deaths in children younger than 5 years in 2005. In the past 5 years, major research activity on RSV has yielded substantial new data from developing countries. With a considerably expanded dataset from a large international collaboration, we aimed to estimate the global incidence, hospital admission rate, and mortality from RSV-ALRI episodes in young children in 2015. METHODS We estimated the incidence and hospital admission rate of RSV-associated ALRI (RSV-ALRI) in children younger than 5 years stratified by age and World Bank income regions from a systematic review of studies published between Jan 1, 1995, and Dec 31, 2016, and unpublished data from 76 high quality population-based studies. We estimated the RSV-ALRI incidence for 132 developing countries using a risk factor-based model and 2015 population estimates. We estimated the in-hospital RSV-ALRI mortality by combining in-hospital case fatality ratios with hospital admission estimates from hospital-based (published and unpublished) studies. We also estimated overall RSV-ALRI mortality by identifying studies reporting monthly data for ALRI mortality in the community and RSV activity. FINDINGS We estimated that globally in 2015, 33\u00b71 million (uncertainty range [UR] 21\u00b76-50\u00b73) episodes of RSV-ALRI, resulted in about 3\u00b72 million (2\u00b77-3\u00b78) hospital admissions, and 59\u2008600 (48\u2008000-74\u2008500) in-hospital deaths in children younger than 5 years. In children younger than 6 months, 1\u00b74 million (UR 1\u00b72-1\u00b77) hospital admissions, and 27\u2008300 (UR 20\u2008700-36\u2008200) in-hospital deaths were due to RSV-ALRI. We also estimated that the overall RSV-ALRI mortality could be as high as 118\u2008200 (UR 94\u2008600-149\u2008400). Incidence and mortality varied substantially from year to year in any given population. INTERPRETATION Globally, RSV is a common cause of childhood ALRI and a major cause of hospital admissions in young children, resulting in a substantial burden on health-care services. About 45% of hospital admissions and in-hospital deaths due to RSV-ALRI occur in children younger than 6 months. An effective maternal RSV vaccine or monoclonal antibody could have a substantial effect on disease burden in this age group. FUNDING The Bill &amp; Melinda Gates Foundation.", "author" : [ { "dropping-particle" : "", "family" : "Shi", "given" : "Ting", "non-dropping-particle" : "", "parse-names" : false, "suffix" : "" }, { "dropping-particle" : "", "family" : "McAllister", "given" : "David A", "non-dropping-particle" : "", "parse-names" : false, "suffix" : "" }, { "dropping-particle" : "", "family" : "O'Brien", "given" : "Katherine L", "non-dropping-particle" : "", "parse-names" : false, "suffix" : "" }, { "dropping-particle" : "", "family" : "Simoes", "given" : "Eric A F", "non-dropping-particle" : "", "parse-names" : false, "suffix" : "" }, { "dropping-particle" : "", "family" : "Madhi", "given" : "Shabir A", "non-dropping-particle" : "", "parse-names" : false, "suffix" : "" }, { "dropping-particle" : "", "family" : "Gessner", "given" : "Bradford D", "non-dropping-particle" : "", "parse-names" : false, "suffix" : "" }, { "dropping-particle" : "", "family" : "Polack", "given" : "Fernando P", "non-dropping-particle" : "", "parse-names" : false, "suffix" : "" }, { "dropping-particle" : "", "family" : "Balsells", "given" : "Evelyn", "non-dropping-particle" : "", "parse-names" : false, "suffix" : "" }, { "dropping-particle" : "", "family" : "Acacio", "given" : "Sozinho", "non-dropping-particle" : "", "parse-names" : false, "suffix" : "" }, { "dropping-particle" : "", "family" : "Aguayo", "given" : "Claudia", "non-dropping-particle" : "", "parse-names" : false, "suffix" : "" }, { "dropping-particle" : "", "family" : "Alassani", "given" : "Issifou", "non-dropping-particle" : "", "parse-names" : false, "suffix" : "" }, { "dropping-particle" : "", "family" : "Ali", "given" : "Asad", "non-dropping-particle" : "", "parse-names" : false, "suffix" : "" }, { "dropping-particle" : "", "family" : "Antonio", "given" : "Martin", "non-dropping-particle" : "", "parse-names" : false, "suffix" : "" }, { "dropping-particle" : "", "family" : "Awasthi", "given" : "Shally", "non-dropping-particle" : "", "parse-names" : false, "suffix" : "" }, { "dropping-particle" : "", "family" : "Awori", "given" : "Juliet O", "non-dropping-particle" : "", "parse-names" : false, "suffix" : "" }, { "dropping-particle" : "", "family" : "Azziz-Baumgartner", "given" : "Eduardo", "non-dropping-particle" : "", "parse-names" : false, "suffix" : "" }, { "dropping-particle" : "", "family" : "Baggett", "given" : "Henry C", "non-dropping-particle" : "", "parse-names" : false, "suffix" : "" }, { "dropping-particle" : "", "family" : "Baillie", "given" : "Vicky L", "non-dropping-particle" : "", "parse-names" : false, "suffix" : "" }, { "dropping-particle" : "", "family" : "Balmaseda", "given" : "Angel", "non-dropping-particle" : "", "parse-names" : false, "suffix" : "" }, { "dropping-particle" : "", "family" : "Barahona", "given" : "Alfredo", "non-dropping-particle" : "", "parse-names" : false, "suffix" : "" }, { "dropping-particle" : "", "family" : "Basnet", "given" : "Sudha", "non-dropping-particle" : "", "parse-names" : false, "suffix" : "" }, { "dropping-particle" : "", "family" : "Bassat", "given" : "Quique", "non-dropping-particle" : "", "parse-names" : false, "suffix" : "" }, { "dropping-particle" : "", "family" : "Basualdo", "given" : "Wilma", "non-dropping-particle" : "", "parse-names" : false, "suffix" : "" }, { "dropping-particle" : "", "family" : "Bigogo", "given" : "Godfrey", "non-dropping-particle" : "", "parse-names" : false, "suffix" : "" }, { "dropping-particle" : "", "family" : "Bont", "given" : "Louis", "non-dropping-particle" : "", "parse-names" : false, "suffix" : "" }, { "dropping-particle" : "", "family" : "Breiman", "given" : "Robert F", "non-dropping-particle" : "", "parse-names" : false, "suffix" : "" }, { "dropping-particle" : "", "family" : "Brooks", "given" : "W Abdullah", "non-dropping-particle" : "", "parse-names" : false, "suffix" : "" }, { "dropping-particle" : "", "family" : "Broor", "given" : "Shobha", "non-dropping-particle" : "", "parse-names" : false, "suffix" : "" }, { "dropping-particle" : "", "family" : "Bruce", "given" : "Nigel", "non-dropping-particle" : "", "parse-names" : false, "suffix" : "" }, { "dropping-particle" : "", "family" : "Bruden", "given" : "Dana", "non-dropping-particle" : "", "parse-names" : false, "suffix" : "" }, { "dropping-particle" : "", "family" : "Buchy", "given" : "Philippe", "non-dropping-particle" : "", "parse-names" : false, "suffix" : "" }, { "dropping-particle" : "", "family" : "Campbell", "given" : "Stuart", "non-dropping-particle" : "", "parse-names" : false, "suffix" : "" }, { "dropping-particle" : "", "family" : "Carosone-Link", "given" : "Phyllis", "non-dropping-particle" : "", "parse-names" : false, "suffix" : "" }, { "dropping-particle" : "", "family" : "Chadha", "given" : "Mandeep", "non-dropping-particle" : "", "parse-names" : false, "suffix" : "" }, { "dropping-particle" : "", "family" : "Chipeta", "given" : "James", "non-dropping-particle" : "", "parse-names" : false, "suffix" : "" }, { "dropping-particle" : "", "family" : "Chou", "given" : "Monidarin", "non-dropping-particle" : "", "parse-names" : false, "suffix" : "" }, { "dropping-particle" : "", "family" : "Clara", "given" : "Wilfrido", "non-dropping-particle" : "", "parse-names" : false, "suffix" : "" }, { "dropping-particle" : "", "family" : "Cohen", "given" : "Cheryl", "non-dropping-particle" : "", "parse-names" : false, "suffix" : "" }, { "dropping-particle" : "", "family" : "Cuellar", "given" : "Elizabeth", "non-dropping-particle" : "de", "parse-names" : false, "suffix" : "" }, { "dropping-particle" : "", "family" : "Dang", "given" : "Duc-Anh", "non-dropping-particle" : "", "parse-names" : false, "suffix" : "" }, { "dropping-particle" : "", "family" : "Dash-yandag", "given" : "Budragchaagiin", "non-dropping-particle" : "", "parse-names" : false, "suffix" : "" }, { "dropping-particle" : "", "family" : "Deloria-Knoll", "given" : "Maria", "non-dropping-particle" : "", "parse-names" : false, "suffix" : "" }, { "dropping-particle" : "", "family" : "Dherani", "given" : "Mukesh", "non-dropping-particle" : "", "parse-names" : false, "suffix" : "" }, { "dropping-particle" : "", "family" : "Eap", "given" : "Tekchheng", "non-dropping-particle" : "", "parse-names" : false, "suffix" : "" }, { "dropping-particle" : "", "family" : "Ebruke", "given" : "Bernard E", "non-dropping-particle" : "", "parse-names" : false, "suffix" : "" }, { "dropping-particle" : "", "family" : "Echavarria", "given" : "Marcela", "non-dropping-particle" : "", "parse-names" : false, "suffix" : "" }, { "dropping-particle" : "", "family" : "Freitas L\u00e1zaro Emediato", "given" : "Carla Cec\u00edlia", "non-dropping-particle" : "de", "parse-names" : false, "suffix" : "" }, { "dropping-particle" : "", "family" : "Fasce", "given" : "Rodrigo A", "non-dropping-particle" : "", "parse-names" : false, "suffix" : "" }, { "dropping-particle" : "", "family" : "Feikin", "given" : "Daniel R", "non-dropping-particle" : "", "parse-names" : false, "suffix" : "" }, { "dropping-particle" : "", "family" : "Feng", "given" : "Luzhao", "non-dropping-particle" : "", "parse-names" : false, "suffix" : "" }, { "dropping-particle" : "", "family" : "Gentile", "given" : "Angela", "non-dropping-particle" : "", "parse-names" : false, "suffix" : "" }, { "dropping-particle" : "", "family" : "Gordon", "given" : "Aubree", "non-dropping-particle" : "", "parse-names" : false, "suffix" : "" }, { "dropping-particle" : "", "family" : "Goswami", "given" : "Doli", "non-dropping-particle" : "", "parse-names" : false, "suffix" : "" }, { "dropping-particle" : "", "family" : "Goyet", "given" : "Sophie", "non-dropping-particle" : "", "parse-names" : false, "suffix" : "" }, { "dropping-particle" : "", "family" : "Groome", "given" : "Michelle", "non-dropping-particle" : "", "parse-names" : false, "suffix" : "" }, { "dropping-particle" : "", "family" : "Halasa", "given" : "Natasha", "non-dropping-particle" : "", "parse-names" : false, "suffix" : "" }, { "dropping-particle" : "", "family" : "Hirve", "given" : "Siddhivinayak", "non-dropping-particle" : "", "parse-names" : false, "suffix" : "" }, { "dropping-particle" : "", "family" : "Homaira", "given" : "Nusrat", "non-dropping-particle" : "", "parse-names" : false, "suffix" : "" }, { "dropping-particle" : "", "family" : "Howie", "given" : "Stephen R C", "non-dropping-particle" : "", "parse-names" : false, "suffix" : "" }, { "dropping-particle" : "", "family" : "Jara", "given" : "Jorge", "non-dropping-particle" : "", "parse-names" : false, "suffix" : "" }, { "dropping-particle" : "", "family" : "Jroundi", "given" : "Imane", "non-dropping-particle" : "", "parse-names" : false, "suffix" : "" }, { "dropping-particle" : "", "family" : "Kartasasmita", "given" : "Cissy B", "non-dropping-particle" : "", "parse-names" : false, "suffix" : "" }, { "dropping-particle" : "", "family" : "Khuri-Bulos", "given" : "Najwa", "non-dropping-particle" : "", "parse-names" : false, "suffix" : "" }, { "dropping-particle" : "", "family" : "Kotloff", "given" : "Karen L", "non-dropping-particle" : "", "parse-names" : false, "suffix" : "" }, { "dropping-particle" : "", "family" : "Krishnan", "given" : "Anand", "non-dropping-particle" : "", "parse-names" : false, "suffix" : "" }, { "dropping-particle" : "", "family" : "Libster", "given" : "Romina", "non-dropping-particle" : "", "parse-names" : false, "suffix" : "" }, { "dropping-particle" : "", "family" : "Lopez", "given" : "Olga", "non-dropping-particle" : "", "parse-names" : false, "suffix" : "" }, { "dropping-particle" : "", "family" : "Lucero", "given" : "Marilla G", "non-dropping-particle" : "", "parse-names" : false, "suffix" : "" }, { "dropping-particle" : "", "family" : "Lucion", "given" : "Florencia", "non-dropping-particle" : "", "parse-names" : false, "suffix" : "" }, { "dropping-particle" : "", "family" : "Lupisan", "given" : "Socorro P", "non-dropping-particle" : "", "parse-names" : false, "suffix" : "" }, { "dropping-particle" : "", "family" : "Marcone", "given" : "Debora N", "non-dropping-particle" : "", "parse-names" : false, "suffix" : "" }, { "dropping-particle" : "", "family" : "McCracken", "given" : "John P", "non-dropping-particle" : "", "parse-names" : false, "suffix" : "" }, { "dropping-particle" : "", "family" : "Mejia", "given" : "Mario", "non-dropping-particle" : "", "parse-names" : false, "suffix" : "" }, { "dropping-particle" : "", "family" : "Moisi", "given" : "Jennifer C", "non-dropping-particle" : "", "parse-names" : false, "suffix" : "" }, { "dropping-particle" : "", "family" : "Montgomery", "given" : "Joel M", "non-dropping-particle" : "", "parse-names" : false, "suffix" : "" }, { "dropping-particle" : "", "family" : "Moore", "given" : "David P", "non-dropping-particle" : "", "parse-names" : false, "suffix" : "" }, { "dropping-particle" : "", "family" : "Moraleda", "given" : "Cinta", "non-dropping-particle" : "", "parse-names" : false, "suffix" : "" }, { "dropping-particle" : "", "family" : "Moyes", "given" : "Jocelyn", "non-dropping-particle" : "", "parse-names" : false, "suffix" : "" }, { "dropping-particle" : "", "family" : "Munywoki", "given" : "Patrick", "non-dropping-particle" : "", "parse-names" : false, "suffix" : "" }, { "dropping-particle" : "", "family" : "Mutyara", "given" : "Kuswandewi", "non-dropping-particle" : "", "parse-names" : false, "suffix" : "" }, { "dropping-particle" : "", "family" : "Nicol", "given" : "Mark P", "non-dropping-particle" : "", "parse-names" : false, "suffix" : "" }, { "dropping-particle" : "", "family" : "Nokes", "given" : "D James", "non-dropping-particle" : "", "parse-names" : false, "suffix" : "" }, { "dropping-particle" : "", "family" : "Nymadawa", "given" : "Pagbajabyn", "non-dropping-particle" : "", "parse-names" : false, "suffix" : "" }, { "dropping-particle" : "", "family" : "Costa Oliveira", "given" : "Maria Tereza", "non-dropping-particle" : "da", "parse-names" : false, "suffix" : "" }, { "dropping-particle" : "", "family" : "Oshitani", "given" : "Histoshi", "non-dropping-particle" : "", "parse-names" : false, "suffix" : "" }, { "dropping-particle" : "", "family" : "Pandey", "given" : "Nitin", "non-dropping-particle" : "", "parse-names" : false, "suffix" : "" }, { "dropping-particle" : "", "family" : "Paranhos-Baccal\u00e0", "given" : "Gl\u00e1ucia", "non-dropping-particle" : "", "parse-names" : false, "suffix" : "" }, { "dropping-particle" : "", "family" : "Phillips", "given" : "Lia N", "non-dropping-particle" : "", "parse-names" : false, "suffix" : "" }, { "dropping-particle" : "", "family" : "Picot", "given" : "Valentina Sanchez", "non-dropping-particle" : "", "parse-names" : false, "suffix" : "" }, { "dropping-particle" : "", "family" : "Rahman", "given" : "Mustafizur", "non-dropping-particle" : "", "parse-names" : false, "suffix" : "" }, { "dropping-particle" : "", "family" : "Rakoto-Andrianarivelo", "given" : "Mala", "non-dropping-particle" : "", "parse-names" : false, "suffix" : "" }, { "dropping-particle" : "", "family" : "Rasmussen", "given" : "Zeba A", "non-dropping-particle" : "", "parse-names" : false, "suffix" : "" }, { "dropping-particle" : "", "family" : "Rath", "given" : "Barbara A", "non-dropping-particle" : "", "parse-names" : false, "suffix" : "" }, { "dropping-particle" : "", "family" : "Robinson", "given" : "Annick", "non-dropping-particle" : "", "parse-names" : false, "suffix" : "" }, { "dropping-particle" : "", "family" : "Romero", "given" : "Candice", "non-dropping-particle" : "", "parse-names" : false, "suffix" : "" }, { "dropping-particle" : "", "family" : "Russomando", "given" : "Graciela", "non-dropping-particle" : "", "parse-names" : false, "suffix" : "" }, { "dropping-particle" : "", "family" : "Salimi", "given" : "Vahid", "non-dropping-particle" : "", "parse-names" : false, "suffix" : "" }, { "dropping-particle" : "", "family" : "Sawatwong", "given" : "Pongpun", "non-dropping-particle" : "", "parse-names" : false, "suffix" : "" }, { "dropping-particle" : "", "family" : "Scheltema", "given" : "Nienke", "non-dropping-particle" : "", "parse-names" : false, "suffix" : "" }, { "dropping-particle" : "", "family" : "Schweiger", "given" : "Brunhilde", "non-dropping-particle" : "", "parse-names" : false, "suffix" : "" }, { "dropping-particle" : "", "family" : "Scott", "given" : "J Anthony G", "non-dropping-particle" : "", "parse-names" : false, "suffix" : "" }, { "dropping-particle" : "", "family" : "Seidenberg", "given" : "Phil", "non-dropping-particle" : "", "parse-names" : false, "suffix" : "" }, { "dropping-particle" : "", "family" : "Shen", "given" : "Kunling", "non-dropping-particle" : "", "parse-names" : false, "suffix" : "" }, { "dropping-particle" : "", "family" : "Singleton", "given" : "Rosalyn", "non-dropping-particle" : "", "parse-names" : false, "suffix" : "" }, { "dropping-particle" : "", "family" : "Sotomayor", "given" : "Viviana", "non-dropping-particle" : "", "parse-names" : false, "suffix" : "" }, { "dropping-particle" : "", "family" : "Strand", "given" : "Tor A", "non-dropping-particle" : "", "parse-names" : false, "suffix" : "" }, { "dropping-particle" : "", "family" : "Sutanto", "given" : "Agustinus", "non-dropping-particle" : "", "parse-names" : false, "suffix" : "" }, { "dropping-particle" : "", "family" : "Sylla", "given" : "Mariam", "non-dropping-particle" : "", "parse-names" : false, "suffix" : "" }, { "dropping-particle" : "", "family" : "Tapia", "given" : "Milagritos D", "non-dropping-particle" : "", "parse-names" : false, "suffix" : "" }, { "dropping-particle" : "", "family" : "Thamthitiwat", "given" : "Somsak", "non-dropping-particle" : "", "parse-names" : false, "suffix" : "" }, { "dropping-particle" : "", "family" : "Thomas", "given" : "Elizabeth D", "non-dropping-particle" : "", "parse-names" : false, "suffix" : "" }, { "dropping-particle" : "", "family" : "Tokarz", "given" : "Rafal", "non-dropping-particle" : "", "parse-names" : false, "suffix" : "" }, { "dropping-particle" : "", "family" : "Turner", "given" : "Claudia", "non-dropping-particle" : "", "parse-names" : false, "suffix" : "" }, { "dropping-particle" : "", "family" : "Venter", "given" : "Marietjie", "non-dropping-particle" : "", "parse-names" : false, "suffix" : "" }, { "dropping-particle" : "", "family" : "Waicharoen", "given" : "Sunthareeya", "non-dropping-particle" : "", "parse-names" : false, "suffix" : "" }, { "dropping-particle" : "", "family" : "Wang", "given" : "Jianwei", "non-dropping-particle" : "", "parse-names" : false, "suffix" : "" }, { "dropping-particle" : "", "family" : "Watthanaworawit", "given" : "Wanitda", "non-dropping-particle" : "", "parse-names" : false, "suffix" : "" }, { "dropping-particle" : "", "family" : "Yoshida", "given" : "Lay-Myint", "non-dropping-particle" : "", "parse-names" : false, "suffix" : "" }, { "dropping-particle" : "", "family" : "Yu", "given" : "Hongjie", "non-dropping-particle" : "", "parse-names" : false, "suffix" : "" }, { "dropping-particle" : "", "family" : "Zar", "given" : "Heather J", "non-dropping-particle" : "", "parse-names" : false, "suffix" : "" }, { "dropping-particle" : "", "family" : "Campbell", "given" : "Harry", "non-dropping-particle" : "", "parse-names" : false, "suffix" : "" }, { "dropping-particle" : "", "family" : "Nair", "given" : "Harish", "non-dropping-particle" : "", "parse-names" : false, "suffix" : "" }, { "dropping-particle" : "", "family" : "RSV Global Epidemiology Network", "given" : "", "non-dropping-particle" : "", "parse-names" : false, "suffix" : "" } ], "container-title" : "The Lancet", "id" : "ITEM-1", "issue" : "10098", "issued" : { "date-parts" : [ [ "2017", "9", "2" ] ] }, "page" : "946-958", "title" : "Global, regional, and national disease burden estimates of acute lower respiratory infections due to respiratory syncytial virus in young children in 2015: a systematic review and modelling study", "type" : "article-journal", "volume" : "390" }, "uris" : [ "http://www.mendeley.com/documents/?uuid=fc87d297-adb5-343c-922b-5c0803beb912" ] } ], "mendeley" : { "formattedCitation" : "(1)", "plainTextFormattedCitation" : "(1)", "previouslyFormattedCitation" : "(1)" }, "properties" : { "noteIndex" : 0 }, "schema" : "https://github.com/citation-style-language/schema/raw/master/csl-citation.json" }</w:instrText>
      </w:r>
      <w:r w:rsidR="00901046">
        <w:rPr>
          <w:rFonts w:ascii="Cambria" w:hAnsi="Cambria"/>
        </w:rPr>
        <w:fldChar w:fldCharType="separate"/>
      </w:r>
      <w:r w:rsidR="00901046" w:rsidRPr="00901046">
        <w:rPr>
          <w:rFonts w:ascii="Cambria" w:hAnsi="Cambria"/>
          <w:noProof/>
        </w:rPr>
        <w:t>(1)</w:t>
      </w:r>
      <w:r w:rsidR="00901046">
        <w:rPr>
          <w:rFonts w:ascii="Cambria" w:hAnsi="Cambria"/>
        </w:rPr>
        <w:fldChar w:fldCharType="end"/>
      </w:r>
      <w:r w:rsidR="00CE6D49">
        <w:rPr>
          <w:rFonts w:ascii="Cambria" w:hAnsi="Cambria"/>
        </w:rPr>
        <w:t xml:space="preserve"> [Figure 1]</w:t>
      </w:r>
      <w:r w:rsidR="001066E3">
        <w:rPr>
          <w:rFonts w:ascii="Cambria" w:hAnsi="Cambria"/>
        </w:rPr>
        <w:t>. Although often characterized as a pediatric disease, the burden of RSV in adults is also significant with a mortality rate of</w:t>
      </w:r>
      <w:r w:rsidR="00FA531D">
        <w:rPr>
          <w:rFonts w:ascii="Cambria" w:hAnsi="Cambria"/>
        </w:rPr>
        <w:t xml:space="preserve"> 7 to</w:t>
      </w:r>
      <w:r w:rsidR="001066E3">
        <w:rPr>
          <w:rFonts w:ascii="Cambria" w:hAnsi="Cambria"/>
        </w:rPr>
        <w:t xml:space="preserve"> 8% among older adults hospitalized with RSV</w:t>
      </w:r>
      <w:r w:rsidR="00FA531D">
        <w:rPr>
          <w:rFonts w:ascii="Cambria" w:hAnsi="Cambria"/>
        </w:rPr>
        <w:t xml:space="preserve"> ALRI</w:t>
      </w:r>
      <w:r w:rsidR="00AC466B">
        <w:rPr>
          <w:rFonts w:ascii="Cambria" w:hAnsi="Cambria"/>
        </w:rPr>
        <w:t xml:space="preserve"> in the United States</w:t>
      </w:r>
      <w:r w:rsidR="001066E3">
        <w:rPr>
          <w:rFonts w:ascii="Cambria" w:hAnsi="Cambria"/>
        </w:rPr>
        <w:fldChar w:fldCharType="begin" w:fldLock="1"/>
      </w:r>
      <w:r w:rsidR="00AD3B6A">
        <w:rPr>
          <w:rFonts w:ascii="Cambria" w:hAnsi="Cambria"/>
        </w:rPr>
        <w:instrText>ADDIN CSL_CITATION { "citationItems" : [ { "id" : "ITEM-1", "itemData" : { "DOI" : "10.1056/NEJMoa043951", "ISSN" : "0028-4793", "abstract" : "Background Respiratory syncytial virus (RSV) is an increasingly recognized cause of illness in adults. Data on the epidemiology and clinical effects in community-dwelling elderly persons and high-risk adults can help in assessing the need for vaccine development. Methods During four consecutive winters, we evaluated all respiratory illnesses in prospective cohorts of healthy elderly patients (\u226565 years of age) and high-risk adults (those with chronic heart or lung disease) and in patients hospitalized with acute cardiopulmonary conditions. RSV infection and influenza A were diagnosed on the basis of culture, reverse-transcriptase polymerase chain reaction, and serologic studies. Results A total of 608 healthy elderly patients and 540 high-risk adults were enrolled in prospective surveillance, and 1388 hospitalized patients were enrolled. A total of 2514 illnesses were evaluated. RSV infection was identified in 102 patients in the prospective cohorts and 142 hospitalized patients, and influenza A was diagn...", "author" : [ { "dropping-particle" : "", "family" : "Falsey", "given" : "Ann R.", "non-dropping-particle" : "", "parse-names" : false, "suffix" : "" }, { "dropping-particle" : "", "family" : "Hennessey", "given" : "Patricia A.", "non-dropping-particle" : "", "parse-names" : false, "suffix" : "" }, { "dropping-particle" : "", "family" : "Formica", "given" : "Maria A.", "non-dropping-particle" : "", "parse-names" : false, "suffix" : "" }, { "dropping-particle" : "", "family" : "Cox", "given" : "Christopher", "non-dropping-particle" : "", "parse-names" : false, "suffix" : "" }, { "dropping-particle" : "", "family" : "Walsh", "given" : "Edward E.", "non-dropping-particle" : "", "parse-names" : false, "suffix" : "" } ], "container-title" : "New England Journal of Medicine", "id" : "ITEM-1", "issue" : "17", "issued" : { "date-parts" : [ [ "2005", "4", "28" ] ] }, "page" : "1749-1759", "publisher" : " Massachusetts Medical Society ", "title" : "Respiratory Syncytial Virus Infection in Elderly and High-Risk Adults", "type" : "article-journal", "volume" : "352" }, "uris" : [ "http://www.mendeley.com/documents/?uuid=c05ac3ce-f0db-396b-94f1-a3cd78f7d81b" ] } ], "mendeley" : { "formattedCitation" : "(2)", "plainTextFormattedCitation" : "(2)", "previouslyFormattedCitation" : "(2)" }, "properties" : { "noteIndex" : 0 }, "schema" : "https://github.com/citation-style-language/schema/raw/master/csl-citation.json" }</w:instrText>
      </w:r>
      <w:r w:rsidR="001066E3">
        <w:rPr>
          <w:rFonts w:ascii="Cambria" w:hAnsi="Cambria"/>
        </w:rPr>
        <w:fldChar w:fldCharType="separate"/>
      </w:r>
      <w:r w:rsidR="001066E3" w:rsidRPr="001066E3">
        <w:rPr>
          <w:rFonts w:ascii="Cambria" w:hAnsi="Cambria"/>
          <w:noProof/>
        </w:rPr>
        <w:t>(2)</w:t>
      </w:r>
      <w:r w:rsidR="001066E3">
        <w:rPr>
          <w:rFonts w:ascii="Cambria" w:hAnsi="Cambria"/>
        </w:rPr>
        <w:fldChar w:fldCharType="end"/>
      </w:r>
      <w:r w:rsidR="001066E3">
        <w:rPr>
          <w:rFonts w:ascii="Cambria" w:hAnsi="Cambria"/>
        </w:rPr>
        <w:t>.</w:t>
      </w:r>
      <w:r w:rsidR="00901046">
        <w:rPr>
          <w:rFonts w:ascii="Cambria" w:hAnsi="Cambria"/>
        </w:rPr>
        <w:t xml:space="preserve"> </w:t>
      </w:r>
      <w:r w:rsidR="00AC5415">
        <w:rPr>
          <w:rFonts w:ascii="Cambria" w:hAnsi="Cambria"/>
        </w:rPr>
        <w:t xml:space="preserve">The mortality </w:t>
      </w:r>
      <w:r w:rsidR="00510F77">
        <w:rPr>
          <w:rFonts w:ascii="Cambria" w:hAnsi="Cambria"/>
        </w:rPr>
        <w:t>attributable to RSV</w:t>
      </w:r>
      <w:r w:rsidR="00624F04">
        <w:rPr>
          <w:rFonts w:ascii="Cambria" w:hAnsi="Cambria"/>
        </w:rPr>
        <w:t xml:space="preserve"> </w:t>
      </w:r>
      <w:r w:rsidR="00AC5415">
        <w:rPr>
          <w:rFonts w:ascii="Cambria" w:hAnsi="Cambria"/>
        </w:rPr>
        <w:t xml:space="preserve">in adults ≥65 years of age is estimated to be </w:t>
      </w:r>
      <w:r w:rsidR="00624F04">
        <w:rPr>
          <w:rFonts w:ascii="Cambria" w:hAnsi="Cambria"/>
        </w:rPr>
        <w:t>7.2</w:t>
      </w:r>
      <w:r w:rsidR="00CE6D49">
        <w:rPr>
          <w:rFonts w:ascii="Cambria" w:hAnsi="Cambria"/>
        </w:rPr>
        <w:t xml:space="preserve"> per </w:t>
      </w:r>
      <w:r w:rsidR="00EF2CD8">
        <w:rPr>
          <w:rFonts w:ascii="Cambria" w:hAnsi="Cambria"/>
        </w:rPr>
        <w:t>100</w:t>
      </w:r>
      <w:r w:rsidR="00AC5415">
        <w:rPr>
          <w:rFonts w:ascii="Cambria" w:hAnsi="Cambria"/>
        </w:rPr>
        <w:t>,</w:t>
      </w:r>
      <w:r w:rsidR="00EF2CD8">
        <w:rPr>
          <w:rFonts w:ascii="Cambria" w:hAnsi="Cambria"/>
        </w:rPr>
        <w:t xml:space="preserve">000 person years </w:t>
      </w:r>
      <w:r w:rsidR="00BD7B0D">
        <w:rPr>
          <w:rFonts w:ascii="Cambria" w:hAnsi="Cambria"/>
        </w:rPr>
        <w:t>in the United States</w:t>
      </w:r>
      <w:r w:rsidR="00510F77">
        <w:rPr>
          <w:rFonts w:ascii="Cambria" w:hAnsi="Cambria"/>
        </w:rPr>
        <w:fldChar w:fldCharType="begin" w:fldLock="1"/>
      </w:r>
      <w:r w:rsidR="00510F77">
        <w:rPr>
          <w:rFonts w:ascii="Cambria" w:hAnsi="Cambria"/>
        </w:rPr>
        <w:instrText>ADDIN CSL_CITATION { "citationItems" : [ { "id" : "ITEM-1", "itemData" : { "ISSN" : "0098-7484", "PMID" : "12517228", "abstract" : "CONTEXT Influenza and respiratory syncytial virus (RSV) cause substantial morbidity and mortality. Statistical methods used to estimate deaths in the United States attributable to influenza have not accounted for RSV circulation. OBJECTIVE To develop a statistical model using national mortality and viral surveillance data to estimate annual influenza- and RSV-associated deaths in the United States, by age group, virus, and influenza type and subtype. DESIGN, SETTING, AND POPULATION Age-specific Poisson regression models using national viral surveillance data for the 1976-1977 through 1998-1999 seasons were used to estimate influenza-associated deaths. Influenza- and RSV-associated deaths were simultaneously estimated for the 1990-1991 through 1998-1999 seasons. MAIN OUTCOME MEASURES Attributable deaths for 3 categories: underlying pneumonia and influenza, underlying respiratory and circulatory, and all causes. RESULTS Annual estimates of influenza-associated deaths increased significantly between the 1976-1977 and 1998-1999 seasons for all 3 death categories (P&lt;.001 for each category). For the 1990-1991 through 1998-1999 seasons, the greatest mean numbers of deaths were associated with influenza A(H3N2) viruses, followed by RSV, influenza B, and influenza A(H1N1). Influenza viruses and RSV, respectively, were associated with annual means (SD) of 8097 (3084) and 2707 (196) underlying pneumonia and influenza deaths, 36 155 (11 055) and 11 321 (668) underlying respiratory and circulatory deaths, and 51 203 (15 081) and 17 358 (1086) all-cause deaths. For underlying respiratory and circulatory deaths, 90% of influenza- and 78% of RSV-associated deaths occurred among persons aged 65 years or older. Influenza was associated with more deaths than RSV in all age groups except for children younger than 1 year. On average, influenza was associated with 3 times as many deaths as RSV. CONCLUSIONS Mortality associated with both influenza and RSV circulation disproportionately affects elderly persons. Influenza deaths have increased substantially in the last 2 decades, in part because of aging of the population, underscoring the need for better prevention measures, including more effective vaccines and vaccination programs for elderly persons.", "author" : [ { "dropping-particle" : "", "family" : "Thompson", "given" : "William W", "non-dropping-particle" : "", "parse-names" : false, "suffix" : "" }, { "dropping-particle" : "", "family" : "Shay", "given" : "David K", "non-dropping-particle" : "", "parse-names" : false, "suffix" : "" }, { "dropping-particle" : "", "family" : "Weintraub", "given" : "Eric", "non-dropping-particle" : "", "parse-names" : false, "suffix" : "" }, { "dropping-particle" : "", "family" : "Brammer", "given" : "Lynnette", "non-dropping-particle" : "", "parse-names" : false, "suffix" : "" }, { "dropping-particle" : "", "family" : "Cox", "given" : "Nancy", "non-dropping-particle" : "", "parse-names" : false, "suffix" : "" }, { "dropping-particle" : "", "family" : "Anderson", "given" : "Larry J", "non-dropping-particle" : "", "parse-names" : false, "suffix" : "" }, { "dropping-particle" : "", "family" : "Fukuda", "given" : "Keiji", "non-dropping-particle" : "", "parse-names" : false, "suffix" : "" } ], "container-title" : "JAMA", "id" : "ITEM-1", "issue" : "2", "issued" : { "date-parts" : [ [ "2003", "1", "8" ] ] }, "page" : "179-86", "title" : "Mortality associated with influenza and respiratory syncytial virus in the United States.", "type" : "article-journal", "volume" : "289" }, "uris" : [ "http://www.mendeley.com/documents/?uuid=08ab133c-70c3-373c-bc71-7409c0ae3d91" ] } ], "mendeley" : { "formattedCitation" : "(3)", "plainTextFormattedCitation" : "(3)", "previouslyFormattedCitation" : "(3)" }, "properties" : { "noteIndex" : 0 }, "schema" : "https://github.com/citation-style-language/schema/raw/master/csl-citation.json" }</w:instrText>
      </w:r>
      <w:r w:rsidR="00510F77">
        <w:rPr>
          <w:rFonts w:ascii="Cambria" w:hAnsi="Cambria"/>
        </w:rPr>
        <w:fldChar w:fldCharType="separate"/>
      </w:r>
      <w:r w:rsidR="00510F77" w:rsidRPr="00510F77">
        <w:rPr>
          <w:rFonts w:ascii="Cambria" w:hAnsi="Cambria"/>
          <w:noProof/>
        </w:rPr>
        <w:t>(3)</w:t>
      </w:r>
      <w:r w:rsidR="00510F77">
        <w:rPr>
          <w:rFonts w:ascii="Cambria" w:hAnsi="Cambria"/>
        </w:rPr>
        <w:fldChar w:fldCharType="end"/>
      </w:r>
      <w:r w:rsidR="00065312">
        <w:rPr>
          <w:rFonts w:ascii="Cambria" w:hAnsi="Cambria"/>
        </w:rPr>
        <w:t>.</w:t>
      </w:r>
      <w:r w:rsidR="00EF2CD8">
        <w:rPr>
          <w:rFonts w:ascii="Cambria" w:hAnsi="Cambria"/>
        </w:rPr>
        <w:t xml:space="preserve"> </w:t>
      </w:r>
      <w:r w:rsidR="00071F9A">
        <w:rPr>
          <w:rFonts w:ascii="Cambria" w:hAnsi="Cambria"/>
        </w:rPr>
        <w:t>RSV vaccine candidates aim to protect</w:t>
      </w:r>
      <w:r w:rsidR="00FA531D">
        <w:rPr>
          <w:rFonts w:ascii="Cambria" w:hAnsi="Cambria"/>
        </w:rPr>
        <w:t xml:space="preserve"> at least</w:t>
      </w:r>
      <w:r w:rsidR="00071F9A">
        <w:rPr>
          <w:rFonts w:ascii="Cambria" w:hAnsi="Cambria"/>
        </w:rPr>
        <w:t xml:space="preserve"> </w:t>
      </w:r>
      <w:r w:rsidR="0048146B">
        <w:rPr>
          <w:rFonts w:ascii="Cambria" w:hAnsi="Cambria"/>
        </w:rPr>
        <w:t>t</w:t>
      </w:r>
      <w:r w:rsidR="00BF58D6">
        <w:rPr>
          <w:rFonts w:ascii="Cambria" w:hAnsi="Cambria"/>
        </w:rPr>
        <w:t>hree</w:t>
      </w:r>
      <w:r w:rsidR="00DE0AB2">
        <w:rPr>
          <w:rFonts w:ascii="Cambria" w:hAnsi="Cambria"/>
        </w:rPr>
        <w:t xml:space="preserve"> target populations</w:t>
      </w:r>
      <w:r w:rsidR="00071F9A">
        <w:rPr>
          <w:rFonts w:ascii="Cambria" w:hAnsi="Cambria"/>
        </w:rPr>
        <w:t xml:space="preserve"> that </w:t>
      </w:r>
      <w:r w:rsidR="00A8394E">
        <w:rPr>
          <w:rFonts w:ascii="Cambria" w:hAnsi="Cambria"/>
        </w:rPr>
        <w:t>are at risk for</w:t>
      </w:r>
      <w:r w:rsidR="00071F9A">
        <w:rPr>
          <w:rFonts w:ascii="Cambria" w:hAnsi="Cambria"/>
        </w:rPr>
        <w:t xml:space="preserve"> </w:t>
      </w:r>
      <w:r w:rsidR="00627EBE">
        <w:rPr>
          <w:rFonts w:ascii="Cambria" w:hAnsi="Cambria"/>
        </w:rPr>
        <w:t>severe</w:t>
      </w:r>
      <w:r w:rsidR="00071F9A">
        <w:rPr>
          <w:rFonts w:ascii="Cambria" w:hAnsi="Cambria"/>
        </w:rPr>
        <w:t xml:space="preserve"> RSV disease: </w:t>
      </w:r>
      <w:r w:rsidR="00627EBE">
        <w:rPr>
          <w:rFonts w:ascii="Cambria" w:hAnsi="Cambria"/>
        </w:rPr>
        <w:t xml:space="preserve">(1) </w:t>
      </w:r>
      <w:r w:rsidR="0048146B">
        <w:rPr>
          <w:rFonts w:ascii="Cambria" w:hAnsi="Cambria"/>
        </w:rPr>
        <w:t>young</w:t>
      </w:r>
      <w:r w:rsidR="00071F9A">
        <w:rPr>
          <w:rFonts w:ascii="Cambria" w:hAnsi="Cambria"/>
        </w:rPr>
        <w:t xml:space="preserve"> infants</w:t>
      </w:r>
      <w:r w:rsidR="00484E03">
        <w:rPr>
          <w:rFonts w:ascii="Cambria" w:hAnsi="Cambria"/>
        </w:rPr>
        <w:t xml:space="preserve"> through</w:t>
      </w:r>
      <w:r w:rsidR="00506C6D">
        <w:rPr>
          <w:rFonts w:ascii="Cambria" w:hAnsi="Cambria"/>
        </w:rPr>
        <w:t xml:space="preserve"> </w:t>
      </w:r>
      <w:r w:rsidR="00CE6D49">
        <w:rPr>
          <w:rFonts w:ascii="Cambria" w:hAnsi="Cambria"/>
        </w:rPr>
        <w:t xml:space="preserve">passive </w:t>
      </w:r>
      <w:r w:rsidR="0048146B">
        <w:rPr>
          <w:rFonts w:ascii="Cambria" w:hAnsi="Cambria"/>
        </w:rPr>
        <w:t>immunization</w:t>
      </w:r>
      <w:r w:rsidR="009A3582">
        <w:rPr>
          <w:rFonts w:ascii="Cambria" w:hAnsi="Cambria"/>
        </w:rPr>
        <w:t>,</w:t>
      </w:r>
      <w:r w:rsidR="00FE5F44">
        <w:rPr>
          <w:rFonts w:ascii="Cambria" w:hAnsi="Cambria"/>
        </w:rPr>
        <w:t xml:space="preserve"> </w:t>
      </w:r>
      <w:r w:rsidR="00627EBE">
        <w:rPr>
          <w:rFonts w:ascii="Cambria" w:hAnsi="Cambria"/>
        </w:rPr>
        <w:t>(2)</w:t>
      </w:r>
      <w:r w:rsidR="00BF58D6">
        <w:rPr>
          <w:rFonts w:ascii="Cambria" w:hAnsi="Cambria"/>
        </w:rPr>
        <w:t xml:space="preserve"> older infants and young children through active immunization, and (3)</w:t>
      </w:r>
      <w:r w:rsidR="00627EBE">
        <w:rPr>
          <w:rFonts w:ascii="Cambria" w:hAnsi="Cambria"/>
        </w:rPr>
        <w:t xml:space="preserve"> </w:t>
      </w:r>
      <w:r w:rsidR="007D3BEB">
        <w:rPr>
          <w:rFonts w:ascii="Cambria" w:hAnsi="Cambria"/>
        </w:rPr>
        <w:t>older adults</w:t>
      </w:r>
      <w:r w:rsidR="00071F9A">
        <w:rPr>
          <w:rFonts w:ascii="Cambria" w:hAnsi="Cambria"/>
        </w:rPr>
        <w:t>.</w:t>
      </w:r>
      <w:r w:rsidR="005A6D9E">
        <w:rPr>
          <w:rFonts w:ascii="Cambria" w:hAnsi="Cambria"/>
        </w:rPr>
        <w:t xml:space="preserve"> </w:t>
      </w:r>
    </w:p>
    <w:p w14:paraId="0ED8FAF2" w14:textId="62F2A9F9" w:rsidR="0007057D" w:rsidRDefault="00C808BB" w:rsidP="009B6291">
      <w:pPr>
        <w:ind w:firstLine="720"/>
        <w:jc w:val="both"/>
        <w:rPr>
          <w:rFonts w:ascii="Cambria" w:hAnsi="Cambria"/>
        </w:rPr>
      </w:pPr>
      <w:r>
        <w:rPr>
          <w:rFonts w:ascii="Cambria" w:hAnsi="Cambria"/>
        </w:rPr>
        <w:t xml:space="preserve">Development of </w:t>
      </w:r>
      <w:r w:rsidR="007379BB">
        <w:rPr>
          <w:rFonts w:ascii="Cambria" w:hAnsi="Cambria"/>
        </w:rPr>
        <w:t>effective RSV vaccine</w:t>
      </w:r>
      <w:r>
        <w:rPr>
          <w:rFonts w:ascii="Cambria" w:hAnsi="Cambria"/>
        </w:rPr>
        <w:t>s and</w:t>
      </w:r>
      <w:r w:rsidR="00D86298">
        <w:rPr>
          <w:rFonts w:ascii="Cambria" w:hAnsi="Cambria"/>
        </w:rPr>
        <w:t xml:space="preserve"> monoclonal </w:t>
      </w:r>
      <w:r>
        <w:rPr>
          <w:rFonts w:ascii="Cambria" w:hAnsi="Cambria"/>
        </w:rPr>
        <w:t>antibodies</w:t>
      </w:r>
      <w:r w:rsidR="00D86298">
        <w:rPr>
          <w:rFonts w:ascii="Cambria" w:hAnsi="Cambria"/>
        </w:rPr>
        <w:t xml:space="preserve"> (mAb</w:t>
      </w:r>
      <w:r>
        <w:rPr>
          <w:rFonts w:ascii="Cambria" w:hAnsi="Cambria"/>
        </w:rPr>
        <w:t>s</w:t>
      </w:r>
      <w:r w:rsidR="00D86298">
        <w:rPr>
          <w:rFonts w:ascii="Cambria" w:hAnsi="Cambria"/>
        </w:rPr>
        <w:t>)</w:t>
      </w:r>
      <w:r>
        <w:rPr>
          <w:rFonts w:ascii="Cambria" w:hAnsi="Cambria"/>
        </w:rPr>
        <w:t xml:space="preserve"> presents both opportunities and challenges</w:t>
      </w:r>
      <w:r w:rsidR="007379BB">
        <w:rPr>
          <w:rFonts w:ascii="Cambria" w:hAnsi="Cambria"/>
        </w:rPr>
        <w:t>.</w:t>
      </w:r>
      <w:r w:rsidR="00603741">
        <w:rPr>
          <w:rFonts w:ascii="Cambria" w:hAnsi="Cambria"/>
        </w:rPr>
        <w:t xml:space="preserve"> </w:t>
      </w:r>
      <w:r w:rsidR="007379BB">
        <w:rPr>
          <w:rFonts w:ascii="Cambria" w:hAnsi="Cambria"/>
        </w:rPr>
        <w:t>First, c</w:t>
      </w:r>
      <w:r w:rsidR="00DF3AC7">
        <w:rPr>
          <w:rFonts w:ascii="Cambria" w:hAnsi="Cambria"/>
        </w:rPr>
        <w:t>oncerns of enhance</w:t>
      </w:r>
      <w:r w:rsidR="008B28DD">
        <w:rPr>
          <w:rFonts w:ascii="Cambria" w:hAnsi="Cambria"/>
        </w:rPr>
        <w:t>d</w:t>
      </w:r>
      <w:r w:rsidR="00DF3AC7">
        <w:rPr>
          <w:rFonts w:ascii="Cambria" w:hAnsi="Cambria"/>
        </w:rPr>
        <w:t xml:space="preserve"> respiratory disease (ERD) </w:t>
      </w:r>
      <w:r w:rsidR="008B28DD">
        <w:rPr>
          <w:rFonts w:ascii="Cambria" w:hAnsi="Cambria"/>
        </w:rPr>
        <w:t xml:space="preserve">following vaccination </w:t>
      </w:r>
      <w:r w:rsidR="00D01DBA">
        <w:rPr>
          <w:rFonts w:ascii="Cambria" w:hAnsi="Cambria"/>
        </w:rPr>
        <w:t>with</w:t>
      </w:r>
      <w:r w:rsidR="00DF3AC7">
        <w:rPr>
          <w:rFonts w:ascii="Cambria" w:hAnsi="Cambria"/>
        </w:rPr>
        <w:t xml:space="preserve"> the</w:t>
      </w:r>
      <w:r w:rsidR="008B28DD">
        <w:rPr>
          <w:rFonts w:ascii="Cambria" w:hAnsi="Cambria"/>
        </w:rPr>
        <w:t xml:space="preserve"> </w:t>
      </w:r>
      <w:r w:rsidR="00603741">
        <w:rPr>
          <w:rFonts w:ascii="Cambria" w:hAnsi="Cambria"/>
        </w:rPr>
        <w:t xml:space="preserve">formalin-inactivated </w:t>
      </w:r>
      <w:r w:rsidR="008B28DD">
        <w:rPr>
          <w:rFonts w:ascii="Cambria" w:hAnsi="Cambria"/>
        </w:rPr>
        <w:t>RSV</w:t>
      </w:r>
      <w:r w:rsidR="002233D5">
        <w:rPr>
          <w:rFonts w:ascii="Cambria" w:hAnsi="Cambria"/>
        </w:rPr>
        <w:t xml:space="preserve"> (FI-RSV)</w:t>
      </w:r>
      <w:r w:rsidR="00DF3AC7">
        <w:rPr>
          <w:rFonts w:ascii="Cambria" w:hAnsi="Cambria"/>
        </w:rPr>
        <w:t xml:space="preserve"> vaccine</w:t>
      </w:r>
      <w:r w:rsidR="00D01DBA">
        <w:rPr>
          <w:rFonts w:ascii="Cambria" w:hAnsi="Cambria"/>
        </w:rPr>
        <w:t>s</w:t>
      </w:r>
      <w:r w:rsidR="00DF3AC7">
        <w:rPr>
          <w:rFonts w:ascii="Cambria" w:hAnsi="Cambria"/>
        </w:rPr>
        <w:t xml:space="preserve"> in the 1960s </w:t>
      </w:r>
      <w:r w:rsidR="00B76E1C">
        <w:rPr>
          <w:rFonts w:ascii="Cambria" w:hAnsi="Cambria"/>
        </w:rPr>
        <w:t>have complicated</w:t>
      </w:r>
      <w:r w:rsidR="008B28DD">
        <w:rPr>
          <w:rFonts w:ascii="Cambria" w:hAnsi="Cambria"/>
        </w:rPr>
        <w:t xml:space="preserve"> the</w:t>
      </w:r>
      <w:r w:rsidR="00DF3AC7">
        <w:rPr>
          <w:rFonts w:ascii="Cambria" w:hAnsi="Cambria"/>
        </w:rPr>
        <w:t xml:space="preserve"> design</w:t>
      </w:r>
      <w:r w:rsidR="00B76E1C">
        <w:rPr>
          <w:rFonts w:ascii="Cambria" w:hAnsi="Cambria"/>
        </w:rPr>
        <w:t xml:space="preserve"> and testing</w:t>
      </w:r>
      <w:r w:rsidR="00DF3AC7">
        <w:rPr>
          <w:rFonts w:ascii="Cambria" w:hAnsi="Cambria"/>
        </w:rPr>
        <w:t xml:space="preserve"> of </w:t>
      </w:r>
      <w:r w:rsidR="007E55EE">
        <w:rPr>
          <w:rFonts w:ascii="Cambria" w:hAnsi="Cambria"/>
        </w:rPr>
        <w:t xml:space="preserve">RSV </w:t>
      </w:r>
      <w:r w:rsidR="00DF3AC7">
        <w:rPr>
          <w:rFonts w:ascii="Cambria" w:hAnsi="Cambria"/>
        </w:rPr>
        <w:t>vaccines</w:t>
      </w:r>
      <w:r w:rsidR="007C503E">
        <w:rPr>
          <w:rFonts w:ascii="Cambria" w:hAnsi="Cambria"/>
        </w:rPr>
        <w:fldChar w:fldCharType="begin" w:fldLock="1"/>
      </w:r>
      <w:r w:rsidR="00510F77">
        <w:rPr>
          <w:rFonts w:ascii="Cambria" w:hAnsi="Cambria"/>
        </w:rPr>
        <w:instrText>ADDIN CSL_CITATION { "citationItems" : [ { "id" : "ITEM-1", "itemData" : { "ISSN" : "0002-9262", "PMID" : "4305198", "author" : [ { "dropping-particle" : "", "family" : "Kim", "given" : "H W", "non-dropping-particle" : "", "parse-names" : false, "suffix" : "" }, { "dropping-particle" : "", "family" : "Canchola", "given" : "J G", "non-dropping-particle" : "", "parse-names" : false, "suffix" : "" }, { "dropping-particle" : "", "family" : "Brandt", "given" : "C D", "non-dropping-particle" : "", "parse-names" : false, "suffix" : "" }, { "dropping-particle" : "", "family" : "Pyles", "given" : "G", "non-dropping-particle" : "", "parse-names" : false, "suffix" : "" }, { "dropping-particle" : "", "family" : "Chanock", "given" : "R M", "non-dropping-particle" : "", "parse-names" : false, "suffix" : "" }, { "dropping-particle" : "", "family" : "Jensen", "given" : "K", "non-dropping-particle" : "", "parse-names" : false, "suffix" : "" }, { "dropping-particle" : "", "family" : "Parrott", "given" : "R H", "non-dropping-particle" : "", "parse-names" : false, "suffix" : "" } ], "container-title" : "American journal of epidemiology", "id" : "ITEM-1", "issue" : "4", "issued" : { "date-parts" : [ [ "1969", "4" ] ] }, "page" : "422-34", "title" : "Respiratory syncytial virus disease in infants despite prior administration of antigenic inactivated vaccine.", "type" : "article-journal", "volume" : "89" }, "uris" : [ "http://www.mendeley.com/documents/?uuid=2f4da109-6ec9-325b-9d4c-bf26c00403ef" ] } ], "mendeley" : { "formattedCitation" : "(4)", "plainTextFormattedCitation" : "(4)", "previouslyFormattedCitation" : "(4)" }, "properties" : { "noteIndex" : 0 }, "schema" : "https://github.com/citation-style-language/schema/raw/master/csl-citation.json" }</w:instrText>
      </w:r>
      <w:r w:rsidR="007C503E">
        <w:rPr>
          <w:rFonts w:ascii="Cambria" w:hAnsi="Cambria"/>
        </w:rPr>
        <w:fldChar w:fldCharType="separate"/>
      </w:r>
      <w:r w:rsidR="00510F77" w:rsidRPr="00510F77">
        <w:rPr>
          <w:rFonts w:ascii="Cambria" w:hAnsi="Cambria"/>
          <w:noProof/>
        </w:rPr>
        <w:t>(4)</w:t>
      </w:r>
      <w:r w:rsidR="007C503E">
        <w:rPr>
          <w:rFonts w:ascii="Cambria" w:hAnsi="Cambria"/>
        </w:rPr>
        <w:fldChar w:fldCharType="end"/>
      </w:r>
      <w:r w:rsidR="00DF3AC7">
        <w:rPr>
          <w:rFonts w:ascii="Cambria" w:hAnsi="Cambria"/>
        </w:rPr>
        <w:t>.</w:t>
      </w:r>
      <w:r w:rsidR="001375BE">
        <w:rPr>
          <w:rFonts w:ascii="Cambria" w:hAnsi="Cambria"/>
        </w:rPr>
        <w:t xml:space="preserve"> </w:t>
      </w:r>
      <w:r w:rsidR="00F669B3">
        <w:rPr>
          <w:rFonts w:ascii="Cambria" w:hAnsi="Cambria"/>
        </w:rPr>
        <w:t>Current vaccine candidates</w:t>
      </w:r>
      <w:r w:rsidR="00FE5F44">
        <w:rPr>
          <w:rFonts w:ascii="Cambria" w:hAnsi="Cambria"/>
        </w:rPr>
        <w:t xml:space="preserve">, </w:t>
      </w:r>
      <w:r w:rsidR="009D0854">
        <w:rPr>
          <w:rFonts w:ascii="Cambria" w:hAnsi="Cambria"/>
        </w:rPr>
        <w:t>especially</w:t>
      </w:r>
      <w:r w:rsidR="00FE5F44">
        <w:rPr>
          <w:rFonts w:ascii="Cambria" w:hAnsi="Cambria"/>
        </w:rPr>
        <w:t xml:space="preserve"> those d</w:t>
      </w:r>
      <w:r w:rsidR="009D0854">
        <w:rPr>
          <w:rFonts w:ascii="Cambria" w:hAnsi="Cambria"/>
        </w:rPr>
        <w:t>e</w:t>
      </w:r>
      <w:r w:rsidR="00FE5F44">
        <w:rPr>
          <w:rFonts w:ascii="Cambria" w:hAnsi="Cambria"/>
        </w:rPr>
        <w:t>signed for RSV naïve infants and children,</w:t>
      </w:r>
      <w:r w:rsidR="00F669B3">
        <w:rPr>
          <w:rFonts w:ascii="Cambria" w:hAnsi="Cambria"/>
        </w:rPr>
        <w:t xml:space="preserve"> must </w:t>
      </w:r>
      <w:r w:rsidR="009A3582">
        <w:rPr>
          <w:rFonts w:ascii="Cambria" w:hAnsi="Cambria"/>
        </w:rPr>
        <w:t xml:space="preserve">demonstrate </w:t>
      </w:r>
      <w:r w:rsidR="00F669B3">
        <w:rPr>
          <w:rFonts w:ascii="Cambria" w:hAnsi="Cambria"/>
        </w:rPr>
        <w:t xml:space="preserve">safety by avoiding </w:t>
      </w:r>
      <w:r w:rsidR="007E55EE">
        <w:rPr>
          <w:rFonts w:ascii="Cambria" w:hAnsi="Cambria"/>
        </w:rPr>
        <w:t xml:space="preserve">these immunologic hallmarks of </w:t>
      </w:r>
      <w:r w:rsidR="00F669B3">
        <w:rPr>
          <w:rFonts w:ascii="Cambria" w:hAnsi="Cambria"/>
        </w:rPr>
        <w:t>ERD.</w:t>
      </w:r>
      <w:r w:rsidR="00603741">
        <w:rPr>
          <w:rFonts w:ascii="Cambria" w:hAnsi="Cambria"/>
        </w:rPr>
        <w:t xml:space="preserve"> </w:t>
      </w:r>
      <w:r w:rsidR="007379BB">
        <w:rPr>
          <w:rFonts w:ascii="Cambria" w:hAnsi="Cambria"/>
        </w:rPr>
        <w:t>Second, a</w:t>
      </w:r>
      <w:r w:rsidR="00FF492B">
        <w:rPr>
          <w:rFonts w:ascii="Cambria" w:hAnsi="Cambria"/>
        </w:rPr>
        <w:t>n absolute correlate of protection against</w:t>
      </w:r>
      <w:r w:rsidR="00666155">
        <w:rPr>
          <w:rFonts w:ascii="Cambria" w:hAnsi="Cambria"/>
        </w:rPr>
        <w:t xml:space="preserve"> a</w:t>
      </w:r>
      <w:r w:rsidR="00FF492B">
        <w:rPr>
          <w:rFonts w:ascii="Cambria" w:hAnsi="Cambria"/>
        </w:rPr>
        <w:t xml:space="preserve"> clini</w:t>
      </w:r>
      <w:r w:rsidR="007379BB">
        <w:rPr>
          <w:rFonts w:ascii="Cambria" w:hAnsi="Cambria"/>
        </w:rPr>
        <w:t>ca</w:t>
      </w:r>
      <w:r w:rsidR="00666155">
        <w:rPr>
          <w:rFonts w:ascii="Cambria" w:hAnsi="Cambria"/>
        </w:rPr>
        <w:t>l</w:t>
      </w:r>
      <w:r w:rsidR="007379BB">
        <w:rPr>
          <w:rFonts w:ascii="Cambria" w:hAnsi="Cambria"/>
        </w:rPr>
        <w:t>l</w:t>
      </w:r>
      <w:r w:rsidR="00666155">
        <w:rPr>
          <w:rFonts w:ascii="Cambria" w:hAnsi="Cambria"/>
        </w:rPr>
        <w:t>y relevant</w:t>
      </w:r>
      <w:r w:rsidR="007379BB">
        <w:rPr>
          <w:rFonts w:ascii="Cambria" w:hAnsi="Cambria"/>
        </w:rPr>
        <w:t xml:space="preserve"> RSV </w:t>
      </w:r>
      <w:r w:rsidR="00666155">
        <w:rPr>
          <w:rFonts w:ascii="Cambria" w:hAnsi="Cambria"/>
        </w:rPr>
        <w:t xml:space="preserve">infection </w:t>
      </w:r>
      <w:r w:rsidR="007379BB">
        <w:rPr>
          <w:rFonts w:ascii="Cambria" w:hAnsi="Cambria"/>
        </w:rPr>
        <w:t>remains elusive</w:t>
      </w:r>
      <w:r w:rsidR="00603741">
        <w:rPr>
          <w:rFonts w:ascii="Cambria" w:hAnsi="Cambria"/>
        </w:rPr>
        <w:t xml:space="preserve">, although </w:t>
      </w:r>
      <w:r w:rsidR="00E74708">
        <w:rPr>
          <w:rFonts w:ascii="Cambria" w:hAnsi="Cambria"/>
        </w:rPr>
        <w:t>cell-mediated immunity</w:t>
      </w:r>
      <w:r w:rsidR="00E1799F">
        <w:rPr>
          <w:rFonts w:ascii="Cambria" w:hAnsi="Cambria"/>
        </w:rPr>
        <w:fldChar w:fldCharType="begin" w:fldLock="1"/>
      </w:r>
      <w:r w:rsidR="001041E2">
        <w:rPr>
          <w:rFonts w:ascii="Cambria" w:hAnsi="Cambria"/>
        </w:rPr>
        <w:instrText>ADDIN CSL_CITATION { "citationItems" : [ { "id" : "ITEM-1", "itemData" : { "DOI" : "10.1038/ncomms10224", "ISSN" : "2041-1723", "abstract" : "Respiratory syncytial virus (RSV) is a common cause of respiratory tract infections. Here the authors analyse cellular immune responses of individuals experimentally infected with RSV and reveal the presence of high frequencies of virus- specific resident memory CD8+ T cells in the airway, which correlate with improved viral control.", "author" : [ { "dropping-particle" : "", "family" : "Jozwik", "given" : "Agnieszka", "non-dropping-particle" : "", "parse-names" : false, "suffix" : "" }, { "dropping-particle" : "", "family" : "Habibi", "given" : "Maximillian S.", "non-dropping-particle" : "", "parse-names" : false, "suffix" : "" }, { "dropping-particle" : "", "family" : "Paras", "given" : "Allan", "non-dropping-particle" : "", "parse-names" : false, "suffix" : "" }, { "dropping-particle" : "", "family" : "Zhu", "given" : "Jie", "non-dropping-particle" : "", "parse-names" : false, "suffix" : "" }, { "dropping-particle" : "", "family" : "Guvenel", "given" : "Aleks", "non-dropping-particle" : "", "parse-names" : false, "suffix" : "" }, { "dropping-particle" : "", "family" : "Dhariwal", "given" : "Jaideep", "non-dropping-particle" : "", "parse-names" : false, "suffix" : "" }, { "dropping-particle" : "", "family" : "Almond", "given" : "Mark", "non-dropping-particle" : "", "parse-names" : false, "suffix" : "" }, { "dropping-particle" : "", "family" : "Wong", "given" : "Ernie H. C.", "non-dropping-particle" : "", "parse-names" : false, "suffix" : "" }, { "dropping-particle" : "", "family" : "Sykes", "given" : "Annemarie", "non-dropping-particle" : "", "parse-names" : false, "suffix" : "" }, { "dropping-particle" : "", "family" : "Maybeno", "given" : "Matthew", "non-dropping-particle" : "", "parse-names" : false, "suffix" : "" }, { "dropping-particle" : "", "family" : "Rosario", "given" : "Jerico", "non-dropping-particle" : "Del", "parse-names" : false, "suffix" : "" }, { "dropping-particle" : "", "family" : "Trujillo-Torralbo", "given" : "Maria-Belen", "non-dropping-particle" : "", "parse-names" : false, "suffix" : "" }, { "dropping-particle" : "", "family" : "Mallia", "given" : "Patrick", "non-dropping-particle" : "", "parse-names" : false, "suffix" : "" }, { "dropping-particle" : "", "family" : "Sidney", "given" : "John", "non-dropping-particle" : "", "parse-names" : false, "suffix" : "" }, { "dropping-particle" : "", "family" : "Peters", "given" : "Bjoern", "non-dropping-particle" : "", "parse-names" : false, "suffix" : "" }, { "dropping-particle" : "", "family" : "Kon", "given" : "Onn Min", "non-dropping-particle" : "", "parse-names" : false, "suffix" : "" }, { "dropping-particle" : "", "family" : "Sette", "given" : "Alessandro", "non-dropping-particle" : "", "parse-names" : false, "suffix" : "" }, { "dropping-particle" : "", "family" : "Johnston", "given" : "Sebastian L.", "non-dropping-particle" : "", "parse-names" : false, "suffix" : "" }, { "dropping-particle" : "", "family" : "Openshaw", "given" : "Peter J.", "non-dropping-particle" : "", "parse-names" : false, "suffix" : "" }, { "dropping-particle" : "", "family" : "Chiu", "given" : "Christopher", "non-dropping-particle" : "", "parse-names" : false, "suffix" : "" } ], "container-title" : "Nature Communications", "id" : "ITEM-1", "issued" : { "date-parts" : [ [ "2015", "12", "21" ] ] }, "page" : "10224", "title" : "RSV-specific airway resident memory CD8+ T cells and differential disease severity after experimental human infection", "type" : "article-journal", "volume" : "6" }, "uris" : [ "http://www.mendeley.com/documents/?uuid=85193156-1236-3521-99e2-735a399c8172" ] } ], "mendeley" : { "formattedCitation" : "(5)", "plainTextFormattedCitation" : "(5)", "previouslyFormattedCitation" : "(5)" }, "properties" : { "noteIndex" : 0 }, "schema" : "https://github.com/citation-style-language/schema/raw/master/csl-citation.json" }</w:instrText>
      </w:r>
      <w:r w:rsidR="00E1799F">
        <w:rPr>
          <w:rFonts w:ascii="Cambria" w:hAnsi="Cambria"/>
        </w:rPr>
        <w:fldChar w:fldCharType="separate"/>
      </w:r>
      <w:r w:rsidR="001041E2" w:rsidRPr="001041E2">
        <w:rPr>
          <w:rFonts w:ascii="Cambria" w:hAnsi="Cambria"/>
          <w:noProof/>
        </w:rPr>
        <w:t>(5)</w:t>
      </w:r>
      <w:r w:rsidR="00E1799F">
        <w:rPr>
          <w:rFonts w:ascii="Cambria" w:hAnsi="Cambria"/>
        </w:rPr>
        <w:fldChar w:fldCharType="end"/>
      </w:r>
      <w:r w:rsidR="00E74708">
        <w:rPr>
          <w:rFonts w:ascii="Cambria" w:hAnsi="Cambria"/>
        </w:rPr>
        <w:t>, mucosal IgA</w:t>
      </w:r>
      <w:r w:rsidR="00E1799F">
        <w:rPr>
          <w:rFonts w:ascii="Cambria" w:hAnsi="Cambria"/>
        </w:rPr>
        <w:fldChar w:fldCharType="begin" w:fldLock="1"/>
      </w:r>
      <w:r w:rsidR="001041E2">
        <w:rPr>
          <w:rFonts w:ascii="Cambria" w:hAnsi="Cambria"/>
        </w:rPr>
        <w:instrText>ADDIN CSL_CITATION { "citationItems" : [ { "id" : "ITEM-1", "itemData" : { "DOI" : "10.1164/rccm.201412-2256OC", "ISSN" : "1073-449X", "PMID" : "25730467", "abstract" : "RATIONALE Despite relative antigenic stability, respiratory syncytial virus (RSV) reinfects throughout life. After more than 40 years of research, no effective human vaccine exists and correlates of protection remain poorly defined. Most current vaccine candidates seek to induce high levels of RSV-specific serum neutralizing antibodies, which are associated with reduced RSV-related hospitalization rates in observational studies but may not actually prevent infection. OBJECTIVES To characterize correlates of protection from infection and the generation of RSV-specific humoral memory to promote effective vaccine development. METHODS We inoculated 61 healthy adults with live RSV and studied protection from infection by serum and mucosal antibody. We analyzed RSV-specific peripheral blood plasmablast and memory B-cell frequencies and antibody longevity. MEASUREMENTS AND MAIN RESULTS Despite moderately high levels of preexisting serum antibody, 34 (56%) became infected, of whom 23 (68%) developed symptomatic colds. Prior RSV-specific nasal IgA correlated significantly more strongly with protection from polymerase chain reaction-confirmed infection than serum neutralizing antibody. Increases in virus-specific antibody titers were variable and transient in infected subjects but correlated with plasmablasts that peaked around Day 10. During convalescence, only IgG (and no IgA) RSV-specific memory B cells were detectable in peripheral blood. This contrasted with natural influenza infection, in which virus-specific IgA memory B cells were readily recovered. CONCLUSIONS This observed specific defect in IgA memory may partly explain the ability of RSV to cause recurrent symptomatic infections. If so, vaccines able to induce durable RSV-specific IgA responses may be more protective than those generating systemic antibody alone.", "author" : [ { "dropping-particle" : "", "family" : "Habibi", "given" : "Maximillian S.", "non-dropping-particle" : "", "parse-names" : false, "suffix" : "" }, { "dropping-particle" : "", "family" : "Jozwik", "given" : "Agnieszka", "non-dropping-particle" : "", "parse-names" : false, "suffix" : "" }, { "dropping-particle" : "", "family" : "Makris", "given" : "Spyridon", "non-dropping-particle" : "", "parse-names" : false, "suffix" : "" }, { "dropping-particle" : "", "family" : "Dunning", "given" : "Jake", "non-dropping-particle" : "", "parse-names" : false, "suffix" : "" }, { "dropping-particle" : "", "family" : "Paras", "given" : "Allan", "non-dropping-particle" : "", "parse-names" : false, "suffix" : "" }, { "dropping-particle" : "", "family" : "DeVincenzo", "given" : "John P.", "non-dropping-particle" : "", "parse-names" : false, "suffix" : "" }, { "dropping-particle" : "", "family" : "Haan", "given" : "Cornelis A. M.", "non-dropping-particle" : "de", "parse-names" : false, "suffix" : "" }, { "dropping-particle" : "", "family" : "Wrammert", "given" : "Jens", "non-dropping-particle" : "", "parse-names" : false, "suffix" : "" }, { "dropping-particle" : "", "family" : "Openshaw", "given" : "Peter J. M.", "non-dropping-particle" : "", "parse-names" : false, "suffix" : "" }, { "dropping-particle" : "", "family" : "Chiu", "given" : "Christopher", "non-dropping-particle" : "", "parse-names" : false, "suffix" : "" }, { "dropping-particle" : "", "family" : "Mechanisms of Severe Acute Influenza Consortium Investigators", "given" : "", "non-dropping-particle" : "", "parse-names" : false, "suffix" : "" } ], "container-title" : "American Journal of Respiratory and Critical Care Medicine", "id" : "ITEM-1", "issue" : "9", "issued" : { "date-parts" : [ [ "2015", "5", "1" ] ] }, "page" : "1040-1049", "title" : "Impaired Antibody-mediated Protection and Defective IgA B-Cell Memory in Experimental Infection of Adults with Respiratory Syncytial Virus", "type" : "article-journal", "volume" : "191" }, "uris" : [ "http://www.mendeley.com/documents/?uuid=674f248e-ef79-337f-b8cc-7dd63d5e5463" ] } ], "mendeley" : { "formattedCitation" : "(6)", "plainTextFormattedCitation" : "(6)", "previouslyFormattedCitation" : "(6)" }, "properties" : { "noteIndex" : 0 }, "schema" : "https://github.com/citation-style-language/schema/raw/master/csl-citation.json" }</w:instrText>
      </w:r>
      <w:r w:rsidR="00E1799F">
        <w:rPr>
          <w:rFonts w:ascii="Cambria" w:hAnsi="Cambria"/>
        </w:rPr>
        <w:fldChar w:fldCharType="separate"/>
      </w:r>
      <w:r w:rsidR="001041E2" w:rsidRPr="001041E2">
        <w:rPr>
          <w:rFonts w:ascii="Cambria" w:hAnsi="Cambria"/>
          <w:noProof/>
        </w:rPr>
        <w:t>(6)</w:t>
      </w:r>
      <w:r w:rsidR="00E1799F">
        <w:rPr>
          <w:rFonts w:ascii="Cambria" w:hAnsi="Cambria"/>
        </w:rPr>
        <w:fldChar w:fldCharType="end"/>
      </w:r>
      <w:r w:rsidR="00E74708">
        <w:rPr>
          <w:rFonts w:ascii="Cambria" w:hAnsi="Cambria"/>
        </w:rPr>
        <w:t xml:space="preserve"> and pot</w:t>
      </w:r>
      <w:r w:rsidR="00FF492B">
        <w:rPr>
          <w:rFonts w:ascii="Cambria" w:hAnsi="Cambria"/>
        </w:rPr>
        <w:t>ent neutralizing antibodies</w:t>
      </w:r>
      <w:r w:rsidR="00BB2B54">
        <w:rPr>
          <w:rFonts w:ascii="Cambria" w:hAnsi="Cambria"/>
        </w:rPr>
        <w:fldChar w:fldCharType="begin" w:fldLock="1"/>
      </w:r>
      <w:r w:rsidR="001041E2">
        <w:rPr>
          <w:rFonts w:ascii="Cambria" w:hAnsi="Cambria"/>
        </w:rPr>
        <w:instrText>ADDIN CSL_CITATION { "citationItems" : [ { "id" : "ITEM-1", "itemData" : { "DOI" : "10.1093/infdis/jix489", "ISSN" : "0022-1899", "author" : [ { "dropping-particle" : "", "family" : "Capella", "given" : "Cristina", "non-dropping-particle" : "", "parse-names" : false, "suffix" : "" }, { "dropping-particle" : "", "family" : "Chaiwatpongsakorn", "given" : "Supranee", "non-dropping-particle" : "", "parse-names" : false, "suffix" : "" }, { "dropping-particle" : "", "family" : "Gorrell", "given" : "Erin", "non-dropping-particle" : "", "parse-names" : false, "suffix" : "" }, { "dropping-particle" : "", "family" : "Risch", "given" : "Zachary A", "non-dropping-particle" : "", "parse-names" : false, "suffix" : "" }, { "dropping-particle" : "", "family" : "Ye", "given" : "Fang", "non-dropping-particle" : "", "parse-names" : false, "suffix" : "" }, { "dropping-particle" : "", "family" : "Mertz", "given" : "Sara E", "non-dropping-particle" : "", "parse-names" : false, "suffix" : "" }, { "dropping-particle" : "", "family" : "Johnson", "given" : "Sara M", "non-dropping-particle" : "", "parse-names" : false, "suffix" : "" }, { "dropping-particle" : "", "family" : "Moore-Clingenpeel", "given" : "Melissa", "non-dropping-particle" : "", "parse-names" : false, "suffix" : "" }, { "dropping-particle" : "", "family" : "Ramilo", "given" : "Octavio", "non-dropping-particle" : "", "parse-names" : false, "suffix" : "" }, { "dropping-particle" : "", "family" : "Mejias", "given" : "Asuncion", "non-dropping-particle" : "", "parse-names" : false, "suffix" : "" }, { "dropping-particle" : "", "family" : "Peeples", "given" : "Mark E", "non-dropping-particle" : "", "parse-names" : false, "suffix" : "" } ], "container-title" : "The Journal of Infectious Diseases", "id" : "ITEM-1", "issue" : "11", "issued" : { "date-parts" : [ [ "2017", "12", "12" ] ] }, "page" : "1398-1406", "title" : "Prefusion F, Postfusion F, G Antibodies, and Disease Severity in Infants and Young Children With Acute Respiratory Syncytial Virus Infection", "type" : "article-journal", "volume" : "216" }, "uris" : [ "http://www.mendeley.com/documents/?uuid=f35b3a9d-26cf-3993-b09d-e79acd3ce85a" ] } ], "mendeley" : { "formattedCitation" : "(7)", "plainTextFormattedCitation" : "(7)", "previouslyFormattedCitation" : "(7)" }, "properties" : { "noteIndex" : 0 }, "schema" : "https://github.com/citation-style-language/schema/raw/master/csl-citation.json" }</w:instrText>
      </w:r>
      <w:r w:rsidR="00BB2B54">
        <w:rPr>
          <w:rFonts w:ascii="Cambria" w:hAnsi="Cambria"/>
        </w:rPr>
        <w:fldChar w:fldCharType="separate"/>
      </w:r>
      <w:r w:rsidR="001041E2" w:rsidRPr="001041E2">
        <w:rPr>
          <w:rFonts w:ascii="Cambria" w:hAnsi="Cambria"/>
          <w:noProof/>
        </w:rPr>
        <w:t>(7)</w:t>
      </w:r>
      <w:r w:rsidR="00BB2B54">
        <w:rPr>
          <w:rFonts w:ascii="Cambria" w:hAnsi="Cambria"/>
        </w:rPr>
        <w:fldChar w:fldCharType="end"/>
      </w:r>
      <w:r w:rsidR="004E3E6D">
        <w:rPr>
          <w:rFonts w:ascii="Cambria" w:hAnsi="Cambria"/>
        </w:rPr>
        <w:t xml:space="preserve"> have been associated with decreased disease severity</w:t>
      </w:r>
      <w:r w:rsidR="00E74708">
        <w:rPr>
          <w:rFonts w:ascii="Cambria" w:hAnsi="Cambria"/>
        </w:rPr>
        <w:t>.</w:t>
      </w:r>
      <w:r w:rsidR="00757150">
        <w:rPr>
          <w:rFonts w:ascii="Cambria" w:hAnsi="Cambria"/>
        </w:rPr>
        <w:t xml:space="preserve"> </w:t>
      </w:r>
    </w:p>
    <w:p w14:paraId="168809D0" w14:textId="64E22656" w:rsidR="00A67F1E" w:rsidRDefault="00757150" w:rsidP="009B6291">
      <w:pPr>
        <w:ind w:firstLine="720"/>
        <w:jc w:val="both"/>
        <w:rPr>
          <w:rFonts w:ascii="Cambria" w:hAnsi="Cambria"/>
        </w:rPr>
      </w:pPr>
      <w:r>
        <w:rPr>
          <w:rFonts w:ascii="Cambria" w:hAnsi="Cambria"/>
        </w:rPr>
        <w:t>Recently, three phase</w:t>
      </w:r>
      <w:r w:rsidR="00A07269">
        <w:rPr>
          <w:rFonts w:ascii="Cambria" w:hAnsi="Cambria"/>
        </w:rPr>
        <w:t xml:space="preserve"> </w:t>
      </w:r>
      <w:r w:rsidR="00082BE7">
        <w:rPr>
          <w:rFonts w:ascii="Cambria" w:hAnsi="Cambria"/>
        </w:rPr>
        <w:t>II</w:t>
      </w:r>
      <w:r>
        <w:rPr>
          <w:rFonts w:ascii="Cambria" w:hAnsi="Cambria"/>
        </w:rPr>
        <w:t>b/</w:t>
      </w:r>
      <w:r w:rsidR="00082BE7">
        <w:rPr>
          <w:rFonts w:ascii="Cambria" w:hAnsi="Cambria"/>
        </w:rPr>
        <w:t>III</w:t>
      </w:r>
      <w:r>
        <w:rPr>
          <w:rFonts w:ascii="Cambria" w:hAnsi="Cambria"/>
        </w:rPr>
        <w:t xml:space="preserve"> trials</w:t>
      </w:r>
      <w:r w:rsidR="009A3582">
        <w:rPr>
          <w:rFonts w:ascii="Cambria" w:hAnsi="Cambria"/>
        </w:rPr>
        <w:t xml:space="preserve"> (two vaccine trials in older adults</w:t>
      </w:r>
      <w:r w:rsidR="00510F77">
        <w:rPr>
          <w:rFonts w:ascii="Cambria" w:hAnsi="Cambria"/>
        </w:rPr>
        <w:fldChar w:fldCharType="begin" w:fldLock="1"/>
      </w:r>
      <w:r w:rsidR="001041E2">
        <w:rPr>
          <w:rFonts w:ascii="Cambria" w:hAnsi="Cambria"/>
        </w:rPr>
        <w:instrText>ADDIN CSL_CITATION { "citationItems" : [ { "id" : "ITEM-1", "itemData" : { "URL" : "http://www.ema.europa.eu/docs/en_GB/document_library/Other/2016/11/WC500216809.pdf", "accessed" : { "date-parts" : [ [ "2018", "1", "16" ] ] }, "author" : [ { "dropping-particle" : "", "family" : "European Medicines Agency", "given" : "", "non-dropping-particle" : "", "parse-names" : false, "suffix" : "" } ], "container-title" : "EMA document", "id" : "ITEM-1", "issued" : { "date-parts" : [ [ "2016" ] ] }, "page" : "1-2", "title" : "Recombinant respiratory syncytial virus vaccine - Notification of discontinuation of a paediatric development which is covered by an agreed PIP Decision MEDI7510", "type" : "webpage" }, "uris" : [ "http://www.mendeley.com/documents/?uuid=50587cdd-c211-3c9a-a791-c19bb3db0c74" ] }, { "id" : "ITEM-2", "itemData" : { "URL" : "https://ir.novavax.com/news-releases/news-release-details/novavax-announces-topline-rsv-f-vaccine-data-two-clinical-trials", "accessed" : { "date-parts" : [ [ "2018", "1", "16" ] ] }, "author" : [ { "dropping-particle" : "", "family" : "Globe Newswire", "given" : "", "non-dropping-particle" : "", "parse-names" : false, "suffix" : "" } ], "container-title" : "Novavax Press Release", "id" : "ITEM-2", "issued" : { "date-parts" : [ [ "2016" ] ] }, "page" : "1-2", "title" : "Novavax Announces Topline RSV F Vaccine Data from Two Clinical Trials in Older Adults | Novavax Inc. - IR Site", "type" : "webpage" }, "uris" : [ "http://www.mendeley.com/documents/?uuid=dc6e8b69-f1fe-3767-837c-910b4838110f" ] } ], "mendeley" : { "formattedCitation" : "(8,9)", "plainTextFormattedCitation" : "(8,9)", "previouslyFormattedCitation" : "(8,9)" }, "properties" : { "noteIndex" : 0 }, "schema" : "https://github.com/citation-style-language/schema/raw/master/csl-citation.json" }</w:instrText>
      </w:r>
      <w:r w:rsidR="00510F77">
        <w:rPr>
          <w:rFonts w:ascii="Cambria" w:hAnsi="Cambria"/>
        </w:rPr>
        <w:fldChar w:fldCharType="separate"/>
      </w:r>
      <w:r w:rsidR="001041E2" w:rsidRPr="001041E2">
        <w:rPr>
          <w:rFonts w:ascii="Cambria" w:hAnsi="Cambria"/>
          <w:noProof/>
        </w:rPr>
        <w:t>(8,9)</w:t>
      </w:r>
      <w:r w:rsidR="00510F77">
        <w:rPr>
          <w:rFonts w:ascii="Cambria" w:hAnsi="Cambria"/>
        </w:rPr>
        <w:fldChar w:fldCharType="end"/>
      </w:r>
      <w:r w:rsidR="009A3582">
        <w:rPr>
          <w:rFonts w:ascii="Cambria" w:hAnsi="Cambria"/>
        </w:rPr>
        <w:t xml:space="preserve"> and one </w:t>
      </w:r>
      <w:r w:rsidR="00EF0E1B">
        <w:rPr>
          <w:rFonts w:ascii="Cambria" w:hAnsi="Cambria"/>
        </w:rPr>
        <w:t>mAb</w:t>
      </w:r>
      <w:r w:rsidR="009A3582">
        <w:rPr>
          <w:rFonts w:ascii="Cambria" w:hAnsi="Cambria"/>
        </w:rPr>
        <w:t xml:space="preserve"> trial in infants</w:t>
      </w:r>
      <w:r w:rsidR="00510F77">
        <w:rPr>
          <w:rFonts w:ascii="Cambria" w:hAnsi="Cambria"/>
        </w:rPr>
        <w:fldChar w:fldCharType="begin" w:fldLock="1"/>
      </w:r>
      <w:r w:rsidR="001041E2">
        <w:rPr>
          <w:rFonts w:ascii="Cambria" w:hAnsi="Cambria"/>
        </w:rPr>
        <w:instrText>ADDIN CSL_CITATION { "citationItems" : [ { "id" : "ITEM-1", "itemData" : { "URL" : "http://investor.regeneron.com/releaseDetail.cfm?releaseid=1037184", "accessed" : { "date-parts" : [ [ "2018", "1", "16" ] ] }, "author" : [ { "dropping-particle" : "", "family" : "PRNewswire", "given" : "", "non-dropping-particle" : "", "parse-names" : false, "suffix" : "" } ], "container-title" : "Acquire Media", "id" : "ITEM-1", "issued" : { "date-parts" : [ [ "2017" ] ] }, "page" : "1", "title" : "Regeneron to Discontinue Development of Suptavumab for Respiratory Syncytial Virus (NASDAQ:REGN)", "type" : "webpage" }, "uris" : [ "http://www.mendeley.com/documents/?uuid=992fbd7f-cdc9-34d1-983a-0c3a3e1d88e5" ] } ], "mendeley" : { "formattedCitation" : "(10)", "plainTextFormattedCitation" : "(10)", "previouslyFormattedCitation" : "(10)" }, "properties" : { "noteIndex" : 0 }, "schema" : "https://github.com/citation-style-language/schema/raw/master/csl-citation.json" }</w:instrText>
      </w:r>
      <w:r w:rsidR="00510F77">
        <w:rPr>
          <w:rFonts w:ascii="Cambria" w:hAnsi="Cambria"/>
        </w:rPr>
        <w:fldChar w:fldCharType="separate"/>
      </w:r>
      <w:r w:rsidR="001041E2" w:rsidRPr="001041E2">
        <w:rPr>
          <w:rFonts w:ascii="Cambria" w:hAnsi="Cambria"/>
          <w:noProof/>
        </w:rPr>
        <w:t>(10)</w:t>
      </w:r>
      <w:r w:rsidR="00510F77">
        <w:rPr>
          <w:rFonts w:ascii="Cambria" w:hAnsi="Cambria"/>
        </w:rPr>
        <w:fldChar w:fldCharType="end"/>
      </w:r>
      <w:r w:rsidR="009A3582">
        <w:rPr>
          <w:rFonts w:ascii="Cambria" w:hAnsi="Cambria"/>
        </w:rPr>
        <w:t>)</w:t>
      </w:r>
      <w:r>
        <w:rPr>
          <w:rFonts w:ascii="Cambria" w:hAnsi="Cambria"/>
        </w:rPr>
        <w:t xml:space="preserve"> failed to meet clinical endpoints</w:t>
      </w:r>
      <w:r w:rsidR="003D32B0">
        <w:rPr>
          <w:rFonts w:ascii="Cambria" w:hAnsi="Cambria"/>
        </w:rPr>
        <w:t>.</w:t>
      </w:r>
      <w:r>
        <w:rPr>
          <w:rFonts w:ascii="Cambria" w:hAnsi="Cambria"/>
        </w:rPr>
        <w:t xml:space="preserve"> </w:t>
      </w:r>
      <w:r w:rsidR="00392CDF">
        <w:rPr>
          <w:rFonts w:ascii="Cambria" w:hAnsi="Cambria"/>
        </w:rPr>
        <w:t xml:space="preserve">In addition to possible inadequacies in trial design, the </w:t>
      </w:r>
      <w:r w:rsidR="003D32B0">
        <w:rPr>
          <w:rFonts w:ascii="Cambria" w:hAnsi="Cambria"/>
        </w:rPr>
        <w:t>failure of these vaccine</w:t>
      </w:r>
      <w:r w:rsidR="009839C2">
        <w:rPr>
          <w:rFonts w:ascii="Cambria" w:hAnsi="Cambria"/>
        </w:rPr>
        <w:t xml:space="preserve"> and mAb</w:t>
      </w:r>
      <w:r w:rsidR="003D32B0">
        <w:rPr>
          <w:rFonts w:ascii="Cambria" w:hAnsi="Cambria"/>
        </w:rPr>
        <w:t xml:space="preserve"> candidates demonstrates the continued</w:t>
      </w:r>
      <w:r w:rsidR="004D599D">
        <w:rPr>
          <w:rFonts w:ascii="Cambria" w:hAnsi="Cambria"/>
        </w:rPr>
        <w:t xml:space="preserve"> gaps in knowledge regarding immunologic </w:t>
      </w:r>
      <w:r w:rsidR="003D32B0">
        <w:rPr>
          <w:rFonts w:ascii="Cambria" w:hAnsi="Cambria"/>
        </w:rPr>
        <w:t xml:space="preserve">mechanisms </w:t>
      </w:r>
      <w:r w:rsidR="00E10E73">
        <w:rPr>
          <w:rFonts w:ascii="Cambria" w:hAnsi="Cambria"/>
        </w:rPr>
        <w:t>of protection</w:t>
      </w:r>
      <w:r w:rsidR="002D0088">
        <w:rPr>
          <w:rFonts w:ascii="Cambria" w:hAnsi="Cambria"/>
        </w:rPr>
        <w:t xml:space="preserve"> in the different target populations</w:t>
      </w:r>
      <w:r w:rsidR="004D599D">
        <w:rPr>
          <w:rFonts w:ascii="Cambria" w:hAnsi="Cambria"/>
        </w:rPr>
        <w:t>.</w:t>
      </w:r>
      <w:r>
        <w:rPr>
          <w:rFonts w:ascii="Cambria" w:hAnsi="Cambria"/>
        </w:rPr>
        <w:t xml:space="preserve"> </w:t>
      </w:r>
      <w:r w:rsidR="007A42C6">
        <w:rPr>
          <w:rFonts w:ascii="Cambria" w:hAnsi="Cambria"/>
        </w:rPr>
        <w:t xml:space="preserve"> </w:t>
      </w:r>
      <w:r w:rsidR="004D599D">
        <w:rPr>
          <w:rFonts w:ascii="Cambria" w:hAnsi="Cambria"/>
        </w:rPr>
        <w:t xml:space="preserve">Another challenge to RSV vaccine design </w:t>
      </w:r>
      <w:r w:rsidR="00900950">
        <w:rPr>
          <w:rFonts w:ascii="Cambria" w:hAnsi="Cambria"/>
        </w:rPr>
        <w:t xml:space="preserve">is the lack of consensus regarding </w:t>
      </w:r>
      <w:r w:rsidR="00484E03">
        <w:rPr>
          <w:rFonts w:ascii="Cambria" w:hAnsi="Cambria"/>
        </w:rPr>
        <w:t xml:space="preserve">vaccine trial </w:t>
      </w:r>
      <w:r w:rsidR="004D599D">
        <w:rPr>
          <w:rFonts w:ascii="Cambria" w:hAnsi="Cambria"/>
        </w:rPr>
        <w:t xml:space="preserve">clinical endpoints </w:t>
      </w:r>
      <w:r w:rsidR="00E83558">
        <w:rPr>
          <w:rFonts w:ascii="Cambria" w:hAnsi="Cambria"/>
        </w:rPr>
        <w:t>though attempts have been made to define the</w:t>
      </w:r>
      <w:r w:rsidR="00082BE7">
        <w:rPr>
          <w:rFonts w:ascii="Cambria" w:hAnsi="Cambria"/>
        </w:rPr>
        <w:t>s</w:t>
      </w:r>
      <w:r w:rsidR="00E83558">
        <w:rPr>
          <w:rFonts w:ascii="Cambria" w:hAnsi="Cambria"/>
        </w:rPr>
        <w:t xml:space="preserve">e for </w:t>
      </w:r>
      <w:r w:rsidR="00484E03">
        <w:rPr>
          <w:rFonts w:ascii="Cambria" w:hAnsi="Cambria"/>
        </w:rPr>
        <w:t xml:space="preserve">RSV </w:t>
      </w:r>
      <w:r w:rsidR="00E83558">
        <w:rPr>
          <w:rFonts w:ascii="Cambria" w:hAnsi="Cambria"/>
        </w:rPr>
        <w:t>prevention</w:t>
      </w:r>
      <w:r w:rsidR="00572CFB">
        <w:rPr>
          <w:rFonts w:ascii="Cambria" w:hAnsi="Cambria"/>
        </w:rPr>
        <w:t xml:space="preserve"> trials</w:t>
      </w:r>
      <w:r w:rsidR="00E01A54">
        <w:rPr>
          <w:rFonts w:ascii="Cambria" w:hAnsi="Cambria"/>
        </w:rPr>
        <w:fldChar w:fldCharType="begin" w:fldLock="1"/>
      </w:r>
      <w:r w:rsidR="001041E2">
        <w:rPr>
          <w:rFonts w:ascii="Cambria" w:hAnsi="Cambria"/>
        </w:rPr>
        <w:instrText>ADDIN CSL_CITATION { "citationItems" : [ { "id" : "ITEM-1", "itemData" : { "DOI" : "10.1097/INF.0000000000000813", "ISSN" : "0891-3668", "PMID" : "26121204", "abstract" : "Respiratory syncytial virus (RSV) continues to cause significant clinical and economic burden around the world. Historically, RSV-associated hospitalization was used as a primary endpoint for RSV prophylaxis trials in infants. However, because of the changing epidemiology and healthcare system landscape, this endpoint has become a critical bottleneck on the pathway to licensure for new therapeutics. A panel of 7 RSV experts was convened (Chicago, IL, May 22, 2014) to evaluate the challenges of defining RSV prevention endpoints for clinical trials and to develop endpoints that are clinically meaningful while minimizing subjectivity and bias to achieve sufficient consistency of response for regulatory approval. Particular consideration was given to the ability to collect data systematically and consistently in countries with different healthcare practices and systems, while capturing the greatest proportion of disease impact. The group consensus was that a clinically meaningful primary endpoint could include medically attended RSV illness in settings beyond RSV-associated hospitalizations alone, in particular, a composite reduction in hospitalization, emergency room or urgent care center visits because of an RSV respiratory infection. Relevant secondary endpoints included reductions in RSV lower respiratory tract infection, RSV-related intensive care unit rates, subsequent recurrent wheezing or asthma and direct and indirect costs.", "author" : [ { "dropping-particle" : "", "family" : "Sim\u00f5es", "given" : "Eric A.F.", "non-dropping-particle" : "", "parse-names" : false, "suffix" : "" }, { "dropping-particle" : "", "family" : "Carbonell-Estrany", "given" : "Xavier", "non-dropping-particle" : "", "parse-names" : false, "suffix" : "" }, { "dropping-particle" : "", "family" : "Guilbert", "given" : "Theresa", "non-dropping-particle" : "", "parse-names" : false, "suffix" : "" }, { "dropping-particle" : "", "family" : "Mansbach", "given" : "Jonathan M.", "non-dropping-particle" : "", "parse-names" : false, "suffix" : "" }, { "dropping-particle" : "", "family" : "Piedra", "given" : "Pedro A.", "non-dropping-particle" : "", "parse-names" : false, "suffix" : "" }, { "dropping-particle" : "", "family" : "Ramilo", "given" : "Octavio", "non-dropping-particle" : "", "parse-names" : false, "suffix" : "" }, { "dropping-particle" : "", "family" : "Welliver", "given" : "Robert", "non-dropping-particle" : "", "parse-names" : false, "suffix" : "" } ], "container-title" : "The Pediatric Infectious Disease Journal", "id" : "ITEM-1", "issue" : "10", "issued" : { "date-parts" : [ [ "2015", "10" ] ] }, "page" : "1086-1092", "title" : "Clinical Endpoints for Respiratory Syncytial Virus Prophylaxis Trials in Infants and Children in High-income and Middle-income Countries", "type" : "article-journal", "volume" : "34" }, "uris" : [ "http://www.mendeley.com/documents/?uuid=3448652f-2e89-3ecb-a83b-60998f45d4bd" ] }, { "id" : "ITEM-2", "itemData" : { "DOI" : "10.1016/j.vaccine.2015.05.093", "ISSN" : "1873-2518", "PMID" : "26100926", "abstract" : "Respiratory syncytial virus (RSV) is a globally prevalent cause of lower respiratory infection in neonates and infants. Despite its disease burden, a safe and effective RSV vaccine has remained elusive. In recent years, improved understanding of RSV biology and innovations in immunogen design has resulted in the advancement of multiple vaccine candidates into the clinical development pipeline. Given the growing number of vaccines in clinical trials, the rapid pace at which they are being tested, and the likelihood that an RSV vaccine will reach the commercial market in the next 5-10 years, consensus and guidance on clinical development pathways and licensure routes are needed now, before large-scale efficacy trials commence. In pursuit of this aim, the World Health Organization convened the first RSV vaccine consultation in 15 years on the 23rd and 24th of March, 2015 in Geneva, Switzerland. The meeting's primary objective was to provide guidance on clinical endpoints and development pathways for vaccine trials with a focus on considerations of low- and middle-income countries. Meeting participants reached consensus on candidate case definitions for RSV disease, considerations for clinical efficacy endpoints, and the clinical development pathway for active and passive immunization trials in maternal and pediatric populations. The strategic focus of this meeting was on the development of high quality, safe and efficacious RSV preventive interventions for global use and included: (1) maternal/passive immunization to prevent RSV disease in infants less than 6 months; (2) pediatric immunization to prevent RSV disease in infants and young children once protection afforded by maternal immunization wanes.", "author" : [ { "dropping-particle" : "", "family" : "Modjarrad", "given" : "Kayvon", "non-dropping-particle" : "", "parse-names" : false, "suffix" : "" }, { "dropping-particle" : "", "family" : "Giersing", "given" : "Birgitte", "non-dropping-particle" : "", "parse-names" : false, "suffix" : "" }, { "dropping-particle" : "", "family" : "Kaslow", "given" : "David C", "non-dropping-particle" : "", "parse-names" : false, "suffix" : "" }, { "dropping-particle" : "", "family" : "Smith", "given" : "Peter G", "non-dropping-particle" : "", "parse-names" : false, "suffix" : "" }, { "dropping-particle" : "", "family" : "Moorthy", "given" : "Vasee S", "non-dropping-particle" : "", "parse-names" : false, "suffix" : "" }, { "dropping-particle" : "", "family" : "WHO RSV Vaccine Consultation Expert Group", "given" : "", "non-dropping-particle" : "", "parse-names" : false, "suffix" : "" } ], "container-title" : "Vaccine", "id" : "ITEM-2", "issue" : "2", "issued" : { "date-parts" : [ [ "2016", "1", "4" ] ] }, "page" : "190-197", "title" : "WHO consultation on Respiratory Syncytial Virus Vaccine Development Report from a World Health Organization Meeting held on 23-24 March 2015.", "type" : "article-journal", "volume" : "34" }, "uris" : [ "http://www.mendeley.com/documents/?uuid=d6c5dfdf-82f2-3fc1-93dc-fc9a992a8ec2" ] }, { "id" : "ITEM-3", "itemData" : { "DOI" : "10.1016/S2213-2600(17)30303-X", "ISSN" : "2213-2619", "PMID" : "28865676", "abstract" : "Respiratory syncytial virus (RSV) is the most common cause of viral acute lower respiratory tract illness (LRTI) in young children, and a major cause of hospital admissions and health-care utilisation globally. Substantial efforts have been made to develop RSV vaccines and vaccine-like monoclonal antibodies to prevent acute RSV LRTI. Prevention of acute disease could improve long-term lung health, with potential effects on wheezing, asthma, and chronic lung disease. This Personal View describes assessments that should be initiated during clinical trials and continued after licensure to fully evaluate the effect of RSV preventive interventions. These assessments include recording the incidence of RSV-specific LRTI and all-cause LRTI through two RSV seasons, and assessment of the prevalence and severity of recurrent wheezing or asthma in children aged up to 6 years. Standardised assessments in diverse settings are needed to fully determine the effect of interventions for the prevention of RSV disease.", "author" : [ { "dropping-particle" : "", "family" : "Karron", "given" : "Ruth A", "non-dropping-particle" : "", "parse-names" : false, "suffix" : "" }, { "dropping-particle" : "", "family" : "Zar", "given" : "Heather J", "non-dropping-particle" : "", "parse-names" : false, "suffix" : "" } ], "container-title" : "The Lancet. Respiratory medicine", "id" : "ITEM-3", "issue" : "1", "issued" : { "date-parts" : [ [ "2018", "1", "1" ] ] }, "page" : "65-74", "publisher" : "Elsevier", "title" : "Determining the outcomes of interventions to prevent respiratory syncytial virus disease in children: what to measure?", "type" : "article-journal", "volume" : "6" }, "uris" : [ "http://www.mendeley.com/documents/?uuid=2d69f881-f952-3db6-b748-b891fb2b0772" ] } ], "mendeley" : { "formattedCitation" : "(11\u201313)", "plainTextFormattedCitation" : "(11\u201313)", "previouslyFormattedCitation" : "(11\u201313)" }, "properties" : { "noteIndex" : 0 }, "schema" : "https://github.com/citation-style-language/schema/raw/master/csl-citation.json" }</w:instrText>
      </w:r>
      <w:r w:rsidR="00E01A54">
        <w:rPr>
          <w:rFonts w:ascii="Cambria" w:hAnsi="Cambria"/>
        </w:rPr>
        <w:fldChar w:fldCharType="separate"/>
      </w:r>
      <w:r w:rsidR="001041E2" w:rsidRPr="001041E2">
        <w:rPr>
          <w:rFonts w:ascii="Cambria" w:hAnsi="Cambria"/>
          <w:noProof/>
        </w:rPr>
        <w:t>(11–13)</w:t>
      </w:r>
      <w:r w:rsidR="00E01A54">
        <w:rPr>
          <w:rFonts w:ascii="Cambria" w:hAnsi="Cambria"/>
        </w:rPr>
        <w:fldChar w:fldCharType="end"/>
      </w:r>
      <w:r w:rsidR="0000296F">
        <w:rPr>
          <w:rFonts w:ascii="Cambria" w:hAnsi="Cambria"/>
        </w:rPr>
        <w:t>.</w:t>
      </w:r>
      <w:r w:rsidR="00CC45A6">
        <w:rPr>
          <w:rFonts w:ascii="Cambria" w:hAnsi="Cambria"/>
        </w:rPr>
        <w:t xml:space="preserve"> </w:t>
      </w:r>
      <w:r w:rsidR="00021106">
        <w:rPr>
          <w:rFonts w:ascii="Cambria" w:hAnsi="Cambria"/>
        </w:rPr>
        <w:t>Furthermore, t</w:t>
      </w:r>
      <w:r w:rsidR="00CC45A6">
        <w:rPr>
          <w:rFonts w:ascii="Cambria" w:hAnsi="Cambria"/>
        </w:rPr>
        <w:t>hese endpoints may differ based on the target population</w:t>
      </w:r>
      <w:r w:rsidR="007A42C6">
        <w:rPr>
          <w:rFonts w:ascii="Cambria" w:hAnsi="Cambria"/>
        </w:rPr>
        <w:t>.</w:t>
      </w:r>
      <w:r w:rsidR="00603741">
        <w:rPr>
          <w:rFonts w:ascii="Cambria" w:hAnsi="Cambria"/>
        </w:rPr>
        <w:t xml:space="preserve"> </w:t>
      </w:r>
      <w:r w:rsidR="00C91458">
        <w:rPr>
          <w:rFonts w:ascii="Cambria" w:hAnsi="Cambria"/>
        </w:rPr>
        <w:t>Finally, a</w:t>
      </w:r>
      <w:r w:rsidR="005A6D9E">
        <w:rPr>
          <w:rFonts w:ascii="Cambria" w:hAnsi="Cambria"/>
        </w:rPr>
        <w:t xml:space="preserve"> </w:t>
      </w:r>
      <w:r w:rsidR="0030367E">
        <w:rPr>
          <w:rFonts w:ascii="Cambria" w:hAnsi="Cambria"/>
        </w:rPr>
        <w:t>consideration</w:t>
      </w:r>
      <w:r w:rsidR="007379BB">
        <w:rPr>
          <w:rFonts w:ascii="Cambria" w:hAnsi="Cambria"/>
        </w:rPr>
        <w:t xml:space="preserve"> in RSV vaccine development is the limited protection conferred by immun</w:t>
      </w:r>
      <w:r w:rsidR="003D32B0">
        <w:rPr>
          <w:rFonts w:ascii="Cambria" w:hAnsi="Cambria"/>
        </w:rPr>
        <w:t xml:space="preserve">e responses elicited by natural </w:t>
      </w:r>
      <w:r w:rsidR="007379BB">
        <w:rPr>
          <w:rFonts w:ascii="Cambria" w:hAnsi="Cambria"/>
        </w:rPr>
        <w:t>RSV infection.</w:t>
      </w:r>
      <w:r w:rsidR="00FF492B">
        <w:rPr>
          <w:rFonts w:ascii="Cambria" w:hAnsi="Cambria"/>
        </w:rPr>
        <w:t xml:space="preserve"> </w:t>
      </w:r>
      <w:r w:rsidR="00A67F1E">
        <w:rPr>
          <w:rFonts w:ascii="Cambria" w:hAnsi="Cambria"/>
        </w:rPr>
        <w:t xml:space="preserve">Natural immunity </w:t>
      </w:r>
      <w:r w:rsidR="003D32B0">
        <w:rPr>
          <w:rFonts w:ascii="Cambria" w:hAnsi="Cambria"/>
        </w:rPr>
        <w:t>provides only transient protection against subsequent infection and re-infection occurs</w:t>
      </w:r>
      <w:r w:rsidR="00A67F1E">
        <w:rPr>
          <w:rFonts w:ascii="Cambria" w:hAnsi="Cambria"/>
        </w:rPr>
        <w:t xml:space="preserve"> </w:t>
      </w:r>
      <w:r w:rsidR="0030367E">
        <w:rPr>
          <w:rFonts w:ascii="Cambria" w:hAnsi="Cambria"/>
        </w:rPr>
        <w:t>frequently</w:t>
      </w:r>
      <w:r w:rsidR="000B3888">
        <w:rPr>
          <w:rFonts w:ascii="Cambria" w:hAnsi="Cambria"/>
        </w:rPr>
        <w:fldChar w:fldCharType="begin" w:fldLock="1"/>
      </w:r>
      <w:r w:rsidR="001041E2">
        <w:rPr>
          <w:rFonts w:ascii="Cambria" w:hAnsi="Cambria"/>
        </w:rPr>
        <w:instrText>ADDIN CSL_CITATION { "citationItems" : [ { "id" : "ITEM-1", "itemData" : { "DOI" : "10.1001/archpedi.1986.02140200053026", "ISSN" : "1072-4710", "abstract" : "\u2022 Respiratory syncytial virus is the most important cause of serious lower respiratory tract infection in children. For children followed up from birth in the Houston Family Study, the infection rate was 68.8/100 children less than 12 months of age and 82.6/100 during the second year of life. Virtually all children had been infected at least once by 24 months of age, and about one half had experienced two infections. Although lower respiratory tract disease (LRD) was common (22.4/100 during year 1 and 13.0/100 during year 2), most children had only one LRD illness. The risk of reinfection was inversely related to the level of neutralizing antibodies in the serum. Reinfection illnesses were generally mild, and risk of reinfection decreased to only 33.3/100 during year 4. Studies of children with LRD and surveys of hospitalizations provide the basis for an estimate of the number of children hospitalized each year during the respiratory syncytial virus epidemics. Almost 100,000 children in the United States experience an illness of sufficient severity to require hospitalization. (AJDC1986;140:543-546)", "author" : [ { "dropping-particle" : "", "family" : "Glezen", "given" : "W. Paul", "non-dropping-particle" : "", "parse-names" : false, "suffix" : "" }, { "dropping-particle" : "", "family" : "Taber", "given" : "Larry H.", "non-dropping-particle" : "", "parse-names" : false, "suffix" : "" }, { "dropping-particle" : "", "family" : "Frank", "given" : "Arthur L.", "non-dropping-particle" : "", "parse-names" : false, "suffix" : "" }, { "dropping-particle" : "", "family" : "Kasel", "given" : "Julius A.", "non-dropping-particle" : "", "parse-names" : false, "suffix" : "" } ], "container-title" : "Am J Dis Child", "id" : "ITEM-1", "issue" : "6", "issued" : { "date-parts" : [ [ "1986", "6", "1" ] ] }, "page" : "543-546", "title" : "Risk of Primary Infection and Reinfection With Respiratory Syncytial Virus", "type" : "article-journal", "volume" : "140" }, "uris" : [ "http://www.mendeley.com/documents/?uuid=df2980ac-cb92-375c-b9b8-194c89d6a0cb" ] } ], "mendeley" : { "formattedCitation" : "(14)", "plainTextFormattedCitation" : "(14)", "previouslyFormattedCitation" : "(14)" }, "properties" : { "noteIndex" : 0 }, "schema" : "https://github.com/citation-style-language/schema/raw/master/csl-citation.json" }</w:instrText>
      </w:r>
      <w:r w:rsidR="000B3888">
        <w:rPr>
          <w:rFonts w:ascii="Cambria" w:hAnsi="Cambria"/>
        </w:rPr>
        <w:fldChar w:fldCharType="separate"/>
      </w:r>
      <w:r w:rsidR="001041E2" w:rsidRPr="001041E2">
        <w:rPr>
          <w:rFonts w:ascii="Cambria" w:hAnsi="Cambria"/>
          <w:noProof/>
        </w:rPr>
        <w:t>(14)</w:t>
      </w:r>
      <w:r w:rsidR="000B3888">
        <w:rPr>
          <w:rFonts w:ascii="Cambria" w:hAnsi="Cambria"/>
        </w:rPr>
        <w:fldChar w:fldCharType="end"/>
      </w:r>
      <w:r w:rsidR="0030367E">
        <w:rPr>
          <w:rFonts w:ascii="Cambria" w:hAnsi="Cambria"/>
        </w:rPr>
        <w:t xml:space="preserve"> </w:t>
      </w:r>
      <w:r w:rsidR="00E362C7">
        <w:rPr>
          <w:rFonts w:ascii="Cambria" w:hAnsi="Cambria"/>
        </w:rPr>
        <w:t>though the most severe RSV disease is usually observed during the primary infection</w:t>
      </w:r>
      <w:r w:rsidR="00A67F1E">
        <w:rPr>
          <w:rFonts w:ascii="Cambria" w:hAnsi="Cambria"/>
        </w:rPr>
        <w:t>.</w:t>
      </w:r>
      <w:r w:rsidR="00E64165">
        <w:rPr>
          <w:rFonts w:ascii="Cambria" w:hAnsi="Cambria"/>
        </w:rPr>
        <w:t xml:space="preserve"> </w:t>
      </w:r>
      <w:r w:rsidR="00E362C7">
        <w:rPr>
          <w:rFonts w:ascii="Cambria" w:hAnsi="Cambria"/>
        </w:rPr>
        <w:t>Disease in older children and healthy younger adults is typically mild</w:t>
      </w:r>
      <w:r w:rsidR="00F52C84">
        <w:rPr>
          <w:rFonts w:ascii="Cambria" w:hAnsi="Cambria"/>
        </w:rPr>
        <w:t xml:space="preserve">. </w:t>
      </w:r>
      <w:r w:rsidR="00DC0694">
        <w:rPr>
          <w:rFonts w:ascii="Cambria" w:hAnsi="Cambria"/>
        </w:rPr>
        <w:t>Monoclonal antibodies circumvent the problem</w:t>
      </w:r>
      <w:r w:rsidR="00DC58E9">
        <w:rPr>
          <w:rFonts w:ascii="Cambria" w:hAnsi="Cambria"/>
        </w:rPr>
        <w:t xml:space="preserve"> of</w:t>
      </w:r>
      <w:r w:rsidR="00DC0694">
        <w:rPr>
          <w:rFonts w:ascii="Cambria" w:hAnsi="Cambria"/>
        </w:rPr>
        <w:t xml:space="preserve"> transient immunity to RSV and an immature immune response to vaccination in young infants at risk of severe disease. </w:t>
      </w:r>
      <w:r w:rsidR="00AE5C58">
        <w:rPr>
          <w:rFonts w:ascii="Cambria" w:hAnsi="Cambria"/>
        </w:rPr>
        <w:t xml:space="preserve">An ideal RSV vaccine candidate should </w:t>
      </w:r>
      <w:r w:rsidR="00E64165">
        <w:rPr>
          <w:rFonts w:ascii="Cambria" w:hAnsi="Cambria"/>
        </w:rPr>
        <w:t>prevent severe disease</w:t>
      </w:r>
      <w:r w:rsidR="00AE5C58">
        <w:rPr>
          <w:rFonts w:ascii="Cambria" w:hAnsi="Cambria"/>
        </w:rPr>
        <w:t xml:space="preserve"> in at risk populations</w:t>
      </w:r>
      <w:r w:rsidR="00E362C7">
        <w:rPr>
          <w:rFonts w:ascii="Cambria" w:hAnsi="Cambria"/>
        </w:rPr>
        <w:t>. C</w:t>
      </w:r>
      <w:r w:rsidR="0017649E">
        <w:rPr>
          <w:rFonts w:ascii="Cambria" w:hAnsi="Cambria"/>
        </w:rPr>
        <w:t>ertain vaccines might also lesse</w:t>
      </w:r>
      <w:r w:rsidR="00E362C7">
        <w:rPr>
          <w:rFonts w:ascii="Cambria" w:hAnsi="Cambria"/>
        </w:rPr>
        <w:t>n person-to-person</w:t>
      </w:r>
      <w:r w:rsidR="00AE5C58">
        <w:rPr>
          <w:rFonts w:ascii="Cambria" w:hAnsi="Cambria"/>
        </w:rPr>
        <w:t xml:space="preserve"> transmission and thereby</w:t>
      </w:r>
      <w:r w:rsidR="00865007">
        <w:rPr>
          <w:rFonts w:ascii="Cambria" w:hAnsi="Cambria"/>
        </w:rPr>
        <w:t xml:space="preserve"> provide secondary benefits in t</w:t>
      </w:r>
      <w:r w:rsidR="00AE5C58">
        <w:rPr>
          <w:rFonts w:ascii="Cambria" w:hAnsi="Cambria"/>
        </w:rPr>
        <w:t>hose who cannot benefit directly from vaccination</w:t>
      </w:r>
      <w:r w:rsidR="009F500F">
        <w:rPr>
          <w:rFonts w:ascii="Cambria" w:hAnsi="Cambria"/>
        </w:rPr>
        <w:fldChar w:fldCharType="begin" w:fldLock="1"/>
      </w:r>
      <w:r w:rsidR="00AC7A3A">
        <w:rPr>
          <w:rFonts w:ascii="Cambria" w:hAnsi="Cambria"/>
        </w:rPr>
        <w:instrText>ADDIN CSL_CITATION { "citationItems" : [ { "id" : "ITEM-1", "itemData" : { "DOI" : "10.1073/pnas.1522597113", "ISSN" : "0027-8424", "PMID" : "27799521", "abstract" : "Respiratory syncytial virus (RSV) is the most common cause of US infant hospitalization. Additionally, RSV is responsible for 10,000 deaths annually among the elderly across the United States, and accounts for nearly as many hospitalizations as influenza. Currently, several RSV vaccine candidates are under development to target different age groups. To evaluate the potential effectiveness of age-specific vaccination strategies in averting RSV incidence, we developed a transmission model that integrates data on daily infectious viral load and changes of behavior associated with RSV symptoms. Calibrating to RSV weekly incidence rates in Texas, California, Colorado, and Pennsylvania, we show that in all states considered, an infected child under 5 y of age is more than twice as likely as a person over 50 y of age to transmit the virus. Geographic variability in the effectiveness of a vaccination program across states arises from interplay between seasonality patterns, population demography, vaccination uptake, and vaccine mechanism of action. Regardless of these variabilities, our analysis showed that allocating vaccine to children under 5 y of age would be the most efficient strategy per dose to avert RSV in both children and adults. Furthermore, due to substantial indirect protection, the targeting of children is even predicted to reduce RSV in the elderly more than directly vaccinating the elderly themselves. Our results can help inform ongoing clinical trials and future recommendations on RSV vaccination.", "author" : [ { "dropping-particle" : "", "family" : "Yamin", "given" : "Dan", "non-dropping-particle" : "", "parse-names" : false, "suffix" : "" }, { "dropping-particle" : "", "family" : "Jones", "given" : "Forrest K.", "non-dropping-particle" : "", "parse-names" : false, "suffix" : "" }, { "dropping-particle" : "", "family" : "DeVincenzo", "given" : "John P.", "non-dropping-particle" : "", "parse-names" : false, "suffix" : "" }, { "dropping-particle" : "", "family" : "Gertler", "given" : "Shai", "non-dropping-particle" : "", "parse-names" : false, "suffix" : "" }, { "dropping-particle" : "", "family" : "Kobiler", "given" : "Oren", "non-dropping-particle" : "", "parse-names" : false, "suffix" : "" }, { "dropping-particle" : "", "family" : "Townsend", "given" : "Jeffrey P.", "non-dropping-particle" : "", "parse-names" : false, "suffix" : "" }, { "dropping-particle" : "", "family" : "Galvani", "given" : "Alison P.", "non-dropping-particle" : "", "parse-names" : false, "suffix" : "" } ], "container-title" : "Proceedings of the National Academy of Sciences", "id" : "ITEM-1", "issue" : "46", "issued" : { "date-parts" : [ [ "2016", "11", "15" ] ] }, "page" : "13239-13244", "title" : "Vaccination strategies against respiratory syncytial virus", "type" : "article-journal", "volume" : "113" }, "uris" : [ "http://www.mendeley.com/documents/?uuid=d560aaf6-ec1b-3305-aa34-d72c653e712f" ] } ], "mendeley" : { "formattedCitation" : "(15)", "plainTextFormattedCitation" : "(15)", "previouslyFormattedCitation" : "(15)" }, "properties" : { "noteIndex" : 0 }, "schema" : "https://github.com/citation-style-language/schema/raw/master/csl-citation.json" }</w:instrText>
      </w:r>
      <w:r w:rsidR="009F500F">
        <w:rPr>
          <w:rFonts w:ascii="Cambria" w:hAnsi="Cambria"/>
        </w:rPr>
        <w:fldChar w:fldCharType="separate"/>
      </w:r>
      <w:r w:rsidR="009F500F" w:rsidRPr="009F500F">
        <w:rPr>
          <w:rFonts w:ascii="Cambria" w:hAnsi="Cambria"/>
          <w:noProof/>
        </w:rPr>
        <w:t>(15)</w:t>
      </w:r>
      <w:r w:rsidR="009F500F">
        <w:rPr>
          <w:rFonts w:ascii="Cambria" w:hAnsi="Cambria"/>
        </w:rPr>
        <w:fldChar w:fldCharType="end"/>
      </w:r>
      <w:r w:rsidR="00E64165">
        <w:rPr>
          <w:rFonts w:ascii="Cambria" w:hAnsi="Cambria"/>
        </w:rPr>
        <w:t>.</w:t>
      </w:r>
      <w:r w:rsidR="004C290D">
        <w:rPr>
          <w:rFonts w:ascii="Cambria" w:hAnsi="Cambria"/>
        </w:rPr>
        <w:t xml:space="preserve"> </w:t>
      </w:r>
    </w:p>
    <w:p w14:paraId="2F41B21E" w14:textId="0D81AB9C" w:rsidR="00425357" w:rsidRDefault="00DD6002" w:rsidP="00DF6A3E">
      <w:pPr>
        <w:jc w:val="both"/>
        <w:rPr>
          <w:rFonts w:ascii="Cambria" w:hAnsi="Cambria"/>
        </w:rPr>
      </w:pPr>
      <w:r>
        <w:rPr>
          <w:rFonts w:ascii="Cambria" w:hAnsi="Cambria"/>
        </w:rPr>
        <w:tab/>
      </w:r>
      <w:r w:rsidR="004E3E6D">
        <w:rPr>
          <w:rFonts w:ascii="Cambria" w:hAnsi="Cambria"/>
        </w:rPr>
        <w:t>Despite these obstacle</w:t>
      </w:r>
      <w:r w:rsidR="00DF6A3E">
        <w:rPr>
          <w:rFonts w:ascii="Cambria" w:hAnsi="Cambria"/>
        </w:rPr>
        <w:t>s</w:t>
      </w:r>
      <w:r w:rsidR="004E3E6D">
        <w:rPr>
          <w:rFonts w:ascii="Cambria" w:hAnsi="Cambria"/>
        </w:rPr>
        <w:t>, there are several opportunities for RSV vaccine</w:t>
      </w:r>
      <w:r w:rsidR="00DC0694">
        <w:rPr>
          <w:rFonts w:ascii="Cambria" w:hAnsi="Cambria"/>
        </w:rPr>
        <w:t xml:space="preserve"> and m</w:t>
      </w:r>
      <w:r w:rsidR="008A6654">
        <w:rPr>
          <w:rFonts w:ascii="Cambria" w:hAnsi="Cambria"/>
        </w:rPr>
        <w:t xml:space="preserve">Ab </w:t>
      </w:r>
      <w:r w:rsidR="004E3E6D">
        <w:rPr>
          <w:rFonts w:ascii="Cambria" w:hAnsi="Cambria"/>
        </w:rPr>
        <w:t xml:space="preserve">development. First, </w:t>
      </w:r>
      <w:r w:rsidR="004D599D">
        <w:rPr>
          <w:rFonts w:ascii="Cambria" w:hAnsi="Cambria"/>
        </w:rPr>
        <w:t xml:space="preserve">the </w:t>
      </w:r>
      <w:r w:rsidR="004E3E6D">
        <w:rPr>
          <w:rFonts w:ascii="Cambria" w:hAnsi="Cambria"/>
        </w:rPr>
        <w:t xml:space="preserve">RSV </w:t>
      </w:r>
      <w:r w:rsidR="004D599D">
        <w:rPr>
          <w:rFonts w:ascii="Cambria" w:hAnsi="Cambria"/>
        </w:rPr>
        <w:t>disease burden</w:t>
      </w:r>
      <w:r w:rsidR="004E3E6D">
        <w:rPr>
          <w:rFonts w:ascii="Cambria" w:hAnsi="Cambria"/>
        </w:rPr>
        <w:t xml:space="preserve"> has received increasing attention </w:t>
      </w:r>
      <w:r w:rsidR="00AD46EE">
        <w:rPr>
          <w:rFonts w:ascii="Cambria" w:hAnsi="Cambria"/>
        </w:rPr>
        <w:t xml:space="preserve">from </w:t>
      </w:r>
      <w:r w:rsidR="002B3B1C">
        <w:rPr>
          <w:rFonts w:ascii="Cambria" w:hAnsi="Cambria"/>
        </w:rPr>
        <w:t>international stakeholders</w:t>
      </w:r>
      <w:r w:rsidR="00AD46EE">
        <w:rPr>
          <w:rFonts w:ascii="Cambria" w:hAnsi="Cambria"/>
        </w:rPr>
        <w:t xml:space="preserve"> such as </w:t>
      </w:r>
      <w:r w:rsidR="004E3E6D">
        <w:rPr>
          <w:rFonts w:ascii="Cambria" w:hAnsi="Cambria"/>
        </w:rPr>
        <w:t>the World Health Organization</w:t>
      </w:r>
      <w:r w:rsidR="003E0AD2">
        <w:rPr>
          <w:rFonts w:ascii="Cambria" w:hAnsi="Cambria"/>
        </w:rPr>
        <w:t xml:space="preserve"> (WHO)</w:t>
      </w:r>
      <w:r w:rsidR="00462310">
        <w:rPr>
          <w:rFonts w:ascii="Cambria" w:hAnsi="Cambria"/>
        </w:rPr>
        <w:fldChar w:fldCharType="begin" w:fldLock="1"/>
      </w:r>
      <w:r w:rsidR="00AC7A3A">
        <w:rPr>
          <w:rFonts w:ascii="Cambria" w:hAnsi="Cambria"/>
        </w:rPr>
        <w:instrText>ADDIN CSL_CITATION { "citationItems" : [ { "id" : "ITEM-1", "itemData" : { "abstract" : "The development of Respiratory Syncytial Virus (RSV) vaccines have been identified as a priority for WHO Initiative for Vaccine Research, through PDVAC consultation. WHO preferred Product Characteristics aim to discuss and present preferences relative to vaccine parameters that are important when considering the public health need and the pathway to policy decision and use. Vaccine development technology roadmaps aim to highlight priority activities for vaccine researchers, funders and product developers, with the goal to accelerate the pathway to availability.", "container-title" : "WHO", "id" : "ITEM-1", "issued" : { "date-parts" : [ [ "2017" ] ] }, "page" : "Licence: CC BY-NC-SA 3.0 IGO", "publisher" : "World Health Organization", "title" : "WHO | RSV vaccine research and development technical roadmap and WHO Preferred Product Characteristics", "type" : "webpage" }, "uris" : [ "http://www.mendeley.com/documents/?uuid=f496e2fb-cb80-3126-a445-a52a780f7ada", "http://www.mendeley.com/documents/?uuid=01ff71e3-5939-4778-b2de-5c84fee5f605" ] } ], "mendeley" : { "formattedCitation" : "(16)", "plainTextFormattedCitation" : "(16)", "previouslyFormattedCitation" : "(16)" }, "properties" : { "noteIndex" : 0 }, "schema" : "https://github.com/citation-style-language/schema/raw/master/csl-citation.json" }</w:instrText>
      </w:r>
      <w:r w:rsidR="00462310">
        <w:rPr>
          <w:rFonts w:ascii="Cambria" w:hAnsi="Cambria"/>
        </w:rPr>
        <w:fldChar w:fldCharType="separate"/>
      </w:r>
      <w:r w:rsidR="009F500F" w:rsidRPr="009F500F">
        <w:rPr>
          <w:rFonts w:ascii="Cambria" w:hAnsi="Cambria"/>
          <w:noProof/>
        </w:rPr>
        <w:t>(16)</w:t>
      </w:r>
      <w:r w:rsidR="00462310">
        <w:rPr>
          <w:rFonts w:ascii="Cambria" w:hAnsi="Cambria"/>
        </w:rPr>
        <w:fldChar w:fldCharType="end"/>
      </w:r>
      <w:r w:rsidR="004E3E6D">
        <w:rPr>
          <w:rFonts w:ascii="Cambria" w:hAnsi="Cambria"/>
        </w:rPr>
        <w:t xml:space="preserve"> </w:t>
      </w:r>
      <w:r>
        <w:rPr>
          <w:rFonts w:ascii="Cambria" w:hAnsi="Cambria"/>
        </w:rPr>
        <w:t xml:space="preserve">and the Bill </w:t>
      </w:r>
      <w:r w:rsidR="00D84A8E">
        <w:rPr>
          <w:rFonts w:ascii="Cambria" w:hAnsi="Cambria"/>
        </w:rPr>
        <w:t>&amp;</w:t>
      </w:r>
      <w:r>
        <w:rPr>
          <w:rFonts w:ascii="Cambria" w:hAnsi="Cambria"/>
        </w:rPr>
        <w:t xml:space="preserve"> Melinda Gates Foundation </w:t>
      </w:r>
      <w:r w:rsidR="00F156F3">
        <w:rPr>
          <w:rFonts w:ascii="Cambria" w:hAnsi="Cambria"/>
        </w:rPr>
        <w:t xml:space="preserve">based on better </w:t>
      </w:r>
      <w:r w:rsidR="00462310">
        <w:rPr>
          <w:rFonts w:ascii="Cambria" w:hAnsi="Cambria"/>
        </w:rPr>
        <w:t>estimates</w:t>
      </w:r>
      <w:r w:rsidR="00F156F3">
        <w:rPr>
          <w:rFonts w:ascii="Cambria" w:hAnsi="Cambria"/>
        </w:rPr>
        <w:t xml:space="preserve"> of RSV-associated mortality worldwide</w:t>
      </w:r>
      <w:r w:rsidR="00082BE7">
        <w:rPr>
          <w:rFonts w:ascii="Cambria" w:hAnsi="Cambria"/>
        </w:rPr>
        <w:fldChar w:fldCharType="begin" w:fldLock="1"/>
      </w:r>
      <w:r w:rsidR="00AC7A3A">
        <w:rPr>
          <w:rFonts w:ascii="Cambria" w:hAnsi="Cambria"/>
        </w:rPr>
        <w:instrText>ADDIN CSL_CITATION { "citationItems" : [ { "id" : "ITEM-1", "itemData" : { "DOI" : "10.1016/S0140-6736(10)60206-1", "ISSN" : "1474-547X", "PMID" : "20399493", "abstract" : "BACKGROUND: The global burden of disease attributable to respiratory syncytial virus (RSV) remains unknown. We aimed to estimate the global incidence of and mortality from episodes of acute lower respiratory infection (ALRI) due to RSV in children younger than 5 years in 2005.\n\nMETHODS: We estimated the incidence of RSV-associated ALRI in children younger than 5 years, stratified by age, using data from a systematic review of studies published between January, 1995, and June, 2009, and ten unpublished population-based studies. We estimated possible boundaries for RSV-associated ALRI mortality by combining case fatality ratios with incidence estimates from hospital-based reports from published and unpublished studies and identifying studies with population-based data for RSV seasonality and monthly ALRI mortality.\n\nFINDINGS: In 2005, an estimated 33.8 (95% CI 19.3-46.2) million new episodes of RSV-associated ALRI occurred worldwide in children younger than 5 years (22% of ALRI episodes), with at least 3.4 (2.8-4.3) million episodes representing severe RSV-associated ALRI necessitating hospital admission. We estimated that 66 000-199 000 children younger than 5 years died from RSV-associated ALRI in 2005, with 99% of these deaths occurring in developing countries. Incidence and mortality can vary substantially from year to year in any one setting.\n\nINTERPRETATION: Globally, RSV is the most common cause of childhood ALRI and a major cause of admission to hospital as a result of severe ALRI. Mortality data suggest that RSV is an important cause of death in childhood from ALRI, after pneumococcal pneumonia and Haemophilus influenzae type b. The development of novel prevention and treatment strategies should be accelerated as a priority.\n\nFUNDING: WHO; Bill &amp; Melinda Gates Foundation.", "author" : [ { "dropping-particle" : "", "family" : "Nair", "given" : "Harish", "non-dropping-particle" : "", "parse-names" : false, "suffix" : "" }, { "dropping-particle" : "", "family" : "Nokes", "given" : "D James", "non-dropping-particle" : "", "parse-names" : false, "suffix" : "" }, { "dropping-particle" : "", "family" : "Gessner", "given" : "Bradford D", "non-dropping-particle" : "", "parse-names" : false, "suffix" : "" }, { "dropping-particle" : "", "family" : "Dherani", "given" : "Mukesh", "non-dropping-particle" : "", "parse-names" : false, "suffix" : "" }, { "dropping-particle" : "", "family" : "Madhi", "given" : "Shabir a", "non-dropping-particle" : "", "parse-names" : false, "suffix" : "" }, { "dropping-particle" : "", "family" : "Singleton", "given" : "Rosalyn J", "non-dropping-particle" : "", "parse-names" : false, "suffix" : "" }, { "dropping-particle" : "", "family" : "O'Brien", "given" : "Katherine L", "non-dropping-particle" : "", "parse-names" : false, "suffix" : "" }, { "dropping-particle" : "", "family" : "Roca", "given" : "Anna", "non-dropping-particle" : "", "parse-names" : false, "suffix" : "" }, { "dropping-particle" : "", "family" : "Wright", "given" : "Peter F", "non-dropping-particle" : "", "parse-names" : false, "suffix" : "" }, { "dropping-particle" : "", "family" : "Bruce", "given" : "Nigel", "non-dropping-particle" : "", "parse-names" : false, "suffix" : "" }, { "dropping-particle" : "", "family" : "Chandran", "given" : "Aruna", "non-dropping-particle" : "", "parse-names" : false, "suffix" : "" }, { "dropping-particle" : "", "family" : "Theodoratou", "given" : "Evropi", "non-dropping-particle" : "", "parse-names" : false, "suffix" : "" }, { "dropping-particle" : "", "family" : "Sutanto", "given" : "Agustinus", "non-dropping-particle" : "", "parse-names" : false, "suffix" : "" }, { "dropping-particle" : "", "family" : "Sedyaningsih", "given" : "Endang R", "non-dropping-particle" : "", "parse-names" : false, "suffix" : "" }, { "dropping-particle" : "", "family" : "Ngama", "given" : "Mwanajuma", "non-dropping-particle" : "", "parse-names" : false, "suffix" : "" }, { "dropping-particle" : "", "family" : "Munywoki", "given" : "Patrick K", "non-dropping-particle" : "", "parse-names" : false, "suffix" : "" }, { "dropping-particle" : "", "family" : "Kartasasmita", "given" : "Cissy", "non-dropping-particle" : "", "parse-names" : false, "suffix" : "" }, { "dropping-particle" : "", "family" : "Sim\u00f5es", "given" : "Eric a F", "non-dropping-particle" : "", "parse-names" : false, "suffix" : "" }, { "dropping-particle" : "", "family" : "Rudan", "given" : "Igor", "non-dropping-particle" : "", "parse-names" : false, "suffix" : "" }, { "dropping-particle" : "", "family" : "Weber", "given" : "Martin W", "non-dropping-particle" : "", "parse-names" : false, "suffix" : "" }, { "dropping-particle" : "", "family" : "Campbell", "given" : "Harry", "non-dropping-particle" : "", "parse-names" : false, "suffix" : "" } ], "container-title" : "Lancet", "id" : "ITEM-1", "issue" : "9725", "issued" : { "date-parts" : [ [ "2010", "5", "1" ] ] }, "page" : "1545-55", "publisher" : "Elsevier Ltd", "title" : "Global burden of acute lower respiratory infections due to respiratory syncytial virus in young children: a systematic review and meta-analysis.", "type" : "article-journal", "volume" : "375" }, "uris" : [ "http://www.mendeley.com/documents/?uuid=01614334-2173-4113-8091-fcc4b007ab26" ] } ], "mendeley" : { "formattedCitation" : "(17)", "plainTextFormattedCitation" : "(17)", "previouslyFormattedCitation" : "(17)" }, "properties" : { "noteIndex" : 0 }, "schema" : "https://github.com/citation-style-language/schema/raw/master/csl-citation.json" }</w:instrText>
      </w:r>
      <w:r w:rsidR="00082BE7">
        <w:rPr>
          <w:rFonts w:ascii="Cambria" w:hAnsi="Cambria"/>
        </w:rPr>
        <w:fldChar w:fldCharType="separate"/>
      </w:r>
      <w:r w:rsidR="009F500F" w:rsidRPr="009F500F">
        <w:rPr>
          <w:rFonts w:ascii="Cambria" w:hAnsi="Cambria"/>
          <w:noProof/>
        </w:rPr>
        <w:t>(17)</w:t>
      </w:r>
      <w:r w:rsidR="00082BE7">
        <w:rPr>
          <w:rFonts w:ascii="Cambria" w:hAnsi="Cambria"/>
        </w:rPr>
        <w:fldChar w:fldCharType="end"/>
      </w:r>
      <w:r w:rsidR="004E3E6D" w:rsidRPr="002623EE">
        <w:rPr>
          <w:rFonts w:ascii="Cambria" w:hAnsi="Cambria"/>
        </w:rPr>
        <w:t xml:space="preserve">. Second, </w:t>
      </w:r>
      <w:r w:rsidR="004E3E6D">
        <w:rPr>
          <w:rFonts w:ascii="Cambria" w:hAnsi="Cambria"/>
        </w:rPr>
        <w:t>the discovery</w:t>
      </w:r>
      <w:r w:rsidR="00E535C8">
        <w:rPr>
          <w:rFonts w:ascii="Cambria" w:hAnsi="Cambria"/>
        </w:rPr>
        <w:t xml:space="preserve"> </w:t>
      </w:r>
      <w:r w:rsidR="00971374">
        <w:rPr>
          <w:rFonts w:ascii="Cambria" w:hAnsi="Cambria"/>
        </w:rPr>
        <w:t xml:space="preserve">and </w:t>
      </w:r>
      <w:r w:rsidR="004E3E6D">
        <w:rPr>
          <w:rFonts w:ascii="Cambria" w:hAnsi="Cambria"/>
        </w:rPr>
        <w:t>stabilization of the prefusion</w:t>
      </w:r>
      <w:r w:rsidR="004D599D">
        <w:rPr>
          <w:rFonts w:ascii="Cambria" w:hAnsi="Cambria"/>
        </w:rPr>
        <w:t xml:space="preserve"> </w:t>
      </w:r>
      <w:r w:rsidR="004D599D">
        <w:rPr>
          <w:rFonts w:ascii="Cambria" w:hAnsi="Cambria"/>
        </w:rPr>
        <w:lastRenderedPageBreak/>
        <w:t>(pre</w:t>
      </w:r>
      <w:r w:rsidR="00C35468">
        <w:rPr>
          <w:rFonts w:ascii="Cambria" w:hAnsi="Cambria"/>
        </w:rPr>
        <w:t>-</w:t>
      </w:r>
      <w:r w:rsidR="004D599D">
        <w:rPr>
          <w:rFonts w:ascii="Cambria" w:hAnsi="Cambria"/>
        </w:rPr>
        <w:t>F)</w:t>
      </w:r>
      <w:r w:rsidR="004E3E6D">
        <w:rPr>
          <w:rFonts w:ascii="Cambria" w:hAnsi="Cambria"/>
        </w:rPr>
        <w:t xml:space="preserve"> conformation of the RSV F</w:t>
      </w:r>
      <w:r w:rsidR="004D599D">
        <w:rPr>
          <w:rFonts w:ascii="Cambria" w:hAnsi="Cambria"/>
        </w:rPr>
        <w:t xml:space="preserve"> protein</w:t>
      </w:r>
      <w:r w:rsidR="004E3E6D">
        <w:rPr>
          <w:rFonts w:ascii="Cambria" w:hAnsi="Cambria"/>
        </w:rPr>
        <w:t xml:space="preserve"> </w:t>
      </w:r>
      <w:r w:rsidR="00971374">
        <w:rPr>
          <w:rFonts w:ascii="Cambria" w:hAnsi="Cambria"/>
        </w:rPr>
        <w:t>provided a new target for vaccines and mAbs</w:t>
      </w:r>
      <w:r w:rsidR="00971374">
        <w:rPr>
          <w:rFonts w:ascii="Cambria" w:hAnsi="Cambria"/>
        </w:rPr>
        <w:fldChar w:fldCharType="begin" w:fldLock="1"/>
      </w:r>
      <w:r w:rsidR="00AC7A3A">
        <w:rPr>
          <w:rFonts w:ascii="Cambria" w:hAnsi="Cambria"/>
        </w:rPr>
        <w:instrText>ADDIN CSL_CITATION { "citationItems" : [ { "id" : "ITEM-1", "itemData" : { "DOI" : "10.1126/scitranslmed.aac4241", "ISSN" : "1946-6234", "PMID" : "26468324", "abstract" : "Respiratory syncytial virus (RSV) is estimated to claim more lives among infants &lt;1 year old than any other single pathogen, except malaria, and poses a substantial global health burden. Viral entry is mediated by a type I fusion glycoprotein (F) that transitions from a metastable prefusion (pre-F) to a stable postfusion (post-F) trimer. A highly neutralization-sensitive epitope, antigenic site \u00d8, is found only on pre-F. We determined what fraction of neutralizing (NT) activity in human sera is dependent on antibodies specific for antigenic site \u00d8 or other antigenic sites on F in healthy subjects from ages 7 to 93 years. Adsorption of individual sera with stabilized pre-F protein removed &gt;90% of NT activity and depleted binding antibodies to both F conformations. In contrast, adsorption with post-F removed ~30% of NT activity, and binding antibodies to pre-F were retained. These findings were consistent across all age groups. Protein competition neutralization assays with pre-F mutants in which sites \u00d8 or II were altered to knock out binding of antibodies to the corresponding sites showed that these sites accounted for ~35 and &lt;10% of NT activity, respectively. Binding competition assays with monoclonal antibodies (mAbs) indicated that the amount of site \u00d8-specific antibodies correlated with NT activity, whereas the magnitude of binding competed by site II mAbs did not correlate with neutralization. Our results indicate that RSV NT activity in human sera is primarily derived from pre-F-specific antibodies, and therefore, inducing or boosting NT activity by vaccination will be facilitated by using pre-F antigens that preserve site \u00d8.", "author" : [ { "dropping-particle" : "", "family" : "Ngwuta", "given" : "J. O.", "non-dropping-particle" : "", "parse-names" : false, "suffix" : "" }, { "dropping-particle" : "", "family" : "Chen", "given" : "M.", "non-dropping-particle" : "", "parse-names" : false, "suffix" : "" }, { "dropping-particle" : "", "family" : "Modjarrad", "given" : "K.", "non-dropping-particle" : "", "parse-names" : false, "suffix" : "" }, { "dropping-particle" : "", "family" : "Joyce", "given" : "M. G.", "non-dropping-particle" : "", "parse-names" : false, "suffix" : "" }, { "dropping-particle" : "", "family" : "Kanekiyo", "given" : "M.", "non-dropping-particle" : "", "parse-names" : false, "suffix" : "" }, { "dropping-particle" : "", "family" : "Kumar", "given" : "A.", "non-dropping-particle" : "", "parse-names" : false, "suffix" : "" }, { "dropping-particle" : "", "family" : "Yassine", "given" : "H. M.", "non-dropping-particle" : "", "parse-names" : false, "suffix" : "" }, { "dropping-particle" : "", "family" : "Moin", "given" : "S. M.", "non-dropping-particle" : "", "parse-names" : false, "suffix" : "" }, { "dropping-particle" : "", "family" : "Killikelly", "given" : "A. M.", "non-dropping-particle" : "", "parse-names" : false, "suffix" : "" }, { "dropping-particle" : "", "family" : "Chuang", "given" : "G.-Y.", "non-dropping-particle" : "", "parse-names" : false, "suffix" : "" }, { "dropping-particle" : "", "family" : "Druz", "given" : "A.", "non-dropping-particle" : "", "parse-names" : false, "suffix" : "" }, { "dropping-particle" : "", "family" : "Georgiev", "given" : "I. S.", "non-dropping-particle" : "", "parse-names" : false, "suffix" : "" }, { "dropping-particle" : "", "family" : "Rundlet", "given" : "E. J.", "non-dropping-particle" : "", "parse-names" : false, "suffix" : "" }, { "dropping-particle" : "", "family" : "Sastry", "given" : "M.", "non-dropping-particle" : "", "parse-names" : false, "suffix" : "" }, { "dropping-particle" : "", "family" : "Stewart-Jones", "given" : "G. B. E.", "non-dropping-particle" : "", "parse-names" : false, "suffix" : "" }, { "dropping-particle" : "", "family" : "Yang", "given" : "Y.", "non-dropping-particle" : "", "parse-names" : false, "suffix" : "" }, { "dropping-particle" : "", "family" : "Zhang", "given" : "B.", "non-dropping-particle" : "", "parse-names" : false, "suffix" : "" }, { "dropping-particle" : "", "family" : "Nason", "given" : "M. C.", "non-dropping-particle" : "", "parse-names" : false, "suffix" : "" }, { "dropping-particle" : "", "family" : "Capella", "given" : "C.", "non-dropping-particle" : "", "parse-names" : false, "suffix" : "" }, { "dropping-particle" : "", "family" : "Peeples", "given" : "M. E.", "non-dropping-particle" : "", "parse-names" : false, "suffix" : "" }, { "dropping-particle" : "", "family" : "Ledgerwood", "given" : "J. E.", "non-dropping-particle" : "", "parse-names" : false, "suffix" : "" }, { "dropping-particle" : "", "family" : "McLellan", "given" : "J. S.", "non-dropping-particle" : "", "parse-names" : false, "suffix" : "" }, { "dropping-particle" : "", "family" : "Kwong", "given" : "P. D.", "non-dropping-particle" : "", "parse-names" : false, "suffix" : "" }, { "dropping-particle" : "", "family" : "Graham", "given" : "B. S.", "non-dropping-particle" : "", "parse-names" : false, "suffix" : "" } ], "container-title" : "Science Translational Medicine", "id" : "ITEM-1", "issue" : "309", "issued" : { "date-parts" : [ [ "2015", "10", "14" ] ] }, "page" : "309ra162", "title" : "Prefusion F-specific antibodies determine the magnitude of RSV neutralizing activity in human sera", "type" : "article-journal", "volume" : "7" }, "uris" : [ "http://www.mendeley.com/documents/?uuid=c18035cc-795d-3d52-9733-9a1118c890bf" ] }, { "id" : "ITEM-2", "itemData" : { "DOI" : "10.1126/science.1234914", "ISSN" : "1095-9203", "PMID" : "23618766", "abstract" : "The prefusion state of respiratory syncytial virus (RSV) fusion (F) glycoprotein is the target of most RSV-neutralizing activity in human sera, but its metastability has hindered characterization. To overcome this obstacle, we identified prefusion-specific antibodies that were substantially more potent than the prophylactic antibody palivizumab. The cocrystal structure for one of these antibodies, D25, in complex with the F glycoprotein revealed D25 to lock F in its prefusion state by binding to a quaternary epitope at the trimer apex. Electron microscopy showed that two other antibodies, AM22 and 5C4, also bound to the newly identified site of vulnerability, which we named antigenic site \u00d8. These studies should enable design of improved vaccine antigens and define new targets for passive prevention of RSV-induced disease.", "author" : [ { "dropping-particle" : "", "family" : "McLellan", "given" : "Jason S", "non-dropping-particle" : "", "parse-names" : false, "suffix" : "" }, { "dropping-particle" : "", "family" : "Chen", "given" : "Man", "non-dropping-particle" : "", "parse-names" : false, "suffix" : "" }, { "dropping-particle" : "", "family" : "Leung", "given" : "Sherman", "non-dropping-particle" : "", "parse-names" : false, "suffix" : "" }, { "dropping-particle" : "", "family" : "Graepel", "given" : "Kevin W", "non-dropping-particle" : "", "parse-names" : false, "suffix" : "" }, { "dropping-particle" : "", "family" : "Du", "given" : "Xiulian", "non-dropping-particle" : "", "parse-names" : false, "suffix" : "" }, { "dropping-particle" : "", "family" : "Yang", "given" : "Yongping", "non-dropping-particle" : "", "parse-names" : false, "suffix" : "" }, { "dropping-particle" : "", "family" : "Zhou", "given" : "Tongqing", "non-dropping-particle" : "", "parse-names" : false, "suffix" : "" }, { "dropping-particle" : "", "family" : "Baxa", "given" : "Ulrich", "non-dropping-particle" : "", "parse-names" : false, "suffix" : "" }, { "dropping-particle" : "", "family" : "Yasuda", "given" : "Etsuko", "non-dropping-particle" : "", "parse-names" : false, "suffix" : "" }, { "dropping-particle" : "", "family" : "Beaumont", "given" : "Tim", "non-dropping-particle" : "", "parse-names" : false, "suffix" : "" }, { "dropping-particle" : "", "family" : "Kumar", "given" : "Azad", "non-dropping-particle" : "", "parse-names" : false, "suffix" : "" }, { "dropping-particle" : "", "family" : "Modjarrad", "given" : "Kayvon", "non-dropping-particle" : "", "parse-names" : false, "suffix" : "" }, { "dropping-particle" : "", "family" : "Zheng", "given" : "Zizheng", "non-dropping-particle" : "", "parse-names" : false, "suffix" : "" }, { "dropping-particle" : "", "family" : "Zhao", "given" : "Min", "non-dropping-particle" : "", "parse-names" : false, "suffix" : "" }, { "dropping-particle" : "", "family" : "Xia", "given" : "Ningshao", "non-dropping-particle" : "", "parse-names" : false, "suffix" : "" }, { "dropping-particle" : "", "family" : "Kwong", "given" : "Peter D", "non-dropping-particle" : "", "parse-names" : false, "suffix" : "" }, { "dropping-particle" : "", "family" : "Graham", "given" : "Barney S", "non-dropping-particle" : "", "parse-names" : false, "suffix" : "" } ], "container-title" : "Science (New York, N.Y.)", "id" : "ITEM-2", "issue" : "6136", "issued" : { "date-parts" : [ [ "2013", "5", "31" ] ] }, "page" : "1113-7", "title" : "Structure of RSV fusion glycoprotein trimer bound to a prefusion-specific neutralizing antibody.", "type" : "article-journal", "volume" : "340" }, "uris" : [ "http://www.mendeley.com/documents/?uuid=5c818baa-795d-47bb-8b02-4a761ffeba3a" ] } ], "mendeley" : { "formattedCitation" : "(18,19)", "plainTextFormattedCitation" : "(18,19)", "previouslyFormattedCitation" : "(18,19)" }, "properties" : { "noteIndex" : 0 }, "schema" : "https://github.com/citation-style-language/schema/raw/master/csl-citation.json" }</w:instrText>
      </w:r>
      <w:r w:rsidR="00971374">
        <w:rPr>
          <w:rFonts w:ascii="Cambria" w:hAnsi="Cambria"/>
        </w:rPr>
        <w:fldChar w:fldCharType="separate"/>
      </w:r>
      <w:r w:rsidR="009F500F" w:rsidRPr="009F500F">
        <w:rPr>
          <w:rFonts w:ascii="Cambria" w:hAnsi="Cambria"/>
          <w:noProof/>
        </w:rPr>
        <w:t>(18,19)</w:t>
      </w:r>
      <w:r w:rsidR="00971374">
        <w:rPr>
          <w:rFonts w:ascii="Cambria" w:hAnsi="Cambria"/>
        </w:rPr>
        <w:fldChar w:fldCharType="end"/>
      </w:r>
      <w:r w:rsidR="00971374">
        <w:rPr>
          <w:rFonts w:ascii="Cambria" w:hAnsi="Cambria"/>
        </w:rPr>
        <w:t xml:space="preserve"> as p</w:t>
      </w:r>
      <w:r w:rsidR="00E10E73">
        <w:rPr>
          <w:rFonts w:ascii="Cambria" w:hAnsi="Cambria"/>
        </w:rPr>
        <w:t>re</w:t>
      </w:r>
      <w:r w:rsidR="00C35468">
        <w:rPr>
          <w:rFonts w:ascii="Cambria" w:hAnsi="Cambria"/>
        </w:rPr>
        <w:t xml:space="preserve">-F </w:t>
      </w:r>
      <w:r w:rsidR="00E10E73">
        <w:rPr>
          <w:rFonts w:ascii="Cambria" w:hAnsi="Cambria"/>
        </w:rPr>
        <w:t>specific antibodies</w:t>
      </w:r>
      <w:r w:rsidR="004E3E6D">
        <w:rPr>
          <w:rFonts w:ascii="Cambria" w:hAnsi="Cambria"/>
        </w:rPr>
        <w:t xml:space="preserve"> may be </w:t>
      </w:r>
      <w:r w:rsidR="00E535C8">
        <w:rPr>
          <w:rFonts w:ascii="Cambria" w:hAnsi="Cambria"/>
        </w:rPr>
        <w:t xml:space="preserve">more potent </w:t>
      </w:r>
      <w:r w:rsidR="00702A60">
        <w:rPr>
          <w:rFonts w:ascii="Cambria" w:hAnsi="Cambria"/>
        </w:rPr>
        <w:t xml:space="preserve">than </w:t>
      </w:r>
      <w:r w:rsidR="00082BE7">
        <w:rPr>
          <w:rFonts w:ascii="Cambria" w:hAnsi="Cambria"/>
        </w:rPr>
        <w:t>postfusion (</w:t>
      </w:r>
      <w:r w:rsidR="00702A60">
        <w:rPr>
          <w:rFonts w:ascii="Cambria" w:hAnsi="Cambria"/>
        </w:rPr>
        <w:t>post</w:t>
      </w:r>
      <w:r w:rsidR="001C7E85">
        <w:rPr>
          <w:rFonts w:ascii="Cambria" w:hAnsi="Cambria"/>
        </w:rPr>
        <w:t>-</w:t>
      </w:r>
      <w:r w:rsidR="00702A60">
        <w:rPr>
          <w:rFonts w:ascii="Cambria" w:hAnsi="Cambria"/>
        </w:rPr>
        <w:t>F</w:t>
      </w:r>
      <w:r w:rsidR="00082BE7">
        <w:rPr>
          <w:rFonts w:ascii="Cambria" w:hAnsi="Cambria"/>
        </w:rPr>
        <w:t>)</w:t>
      </w:r>
      <w:r w:rsidR="0031302F">
        <w:rPr>
          <w:rFonts w:ascii="Cambria" w:hAnsi="Cambria"/>
        </w:rPr>
        <w:t xml:space="preserve"> antibodies</w:t>
      </w:r>
      <w:r w:rsidR="0031302F" w:rsidRPr="0031302F">
        <w:rPr>
          <w:rFonts w:ascii="Cambria" w:hAnsi="Cambria"/>
        </w:rPr>
        <w:t xml:space="preserve"> </w:t>
      </w:r>
      <w:r w:rsidR="0031302F">
        <w:rPr>
          <w:rFonts w:ascii="Cambria" w:hAnsi="Cambria"/>
        </w:rPr>
        <w:t>in protecting against RSV LRTI</w:t>
      </w:r>
      <w:r w:rsidR="00971374">
        <w:rPr>
          <w:rFonts w:ascii="Cambria" w:hAnsi="Cambria"/>
        </w:rPr>
        <w:t xml:space="preserve">. </w:t>
      </w:r>
      <w:r w:rsidR="004E3E6D">
        <w:rPr>
          <w:rFonts w:ascii="Cambria" w:hAnsi="Cambria"/>
        </w:rPr>
        <w:t>Third</w:t>
      </w:r>
      <w:r w:rsidR="004E3E6D" w:rsidRPr="002623EE">
        <w:rPr>
          <w:rFonts w:ascii="Cambria" w:hAnsi="Cambria"/>
        </w:rPr>
        <w:t xml:space="preserve">, </w:t>
      </w:r>
      <w:r w:rsidR="004E3E6D">
        <w:rPr>
          <w:rFonts w:ascii="Cambria" w:hAnsi="Cambria"/>
        </w:rPr>
        <w:t xml:space="preserve">pharmaceutical </w:t>
      </w:r>
      <w:r w:rsidR="00DF6A3E">
        <w:rPr>
          <w:rFonts w:ascii="Cambria" w:hAnsi="Cambria"/>
        </w:rPr>
        <w:t>companies</w:t>
      </w:r>
      <w:r w:rsidR="004E3E6D">
        <w:rPr>
          <w:rFonts w:ascii="Cambria" w:hAnsi="Cambria"/>
        </w:rPr>
        <w:t xml:space="preserve"> have </w:t>
      </w:r>
      <w:r>
        <w:rPr>
          <w:rFonts w:ascii="Cambria" w:hAnsi="Cambria"/>
        </w:rPr>
        <w:t>recognized</w:t>
      </w:r>
      <w:r w:rsidR="004E3E6D">
        <w:rPr>
          <w:rFonts w:ascii="Cambria" w:hAnsi="Cambria"/>
        </w:rPr>
        <w:t xml:space="preserve"> the urgent unmet need of RSV </w:t>
      </w:r>
      <w:r w:rsidR="00082BE7">
        <w:rPr>
          <w:rFonts w:ascii="Cambria" w:hAnsi="Cambria"/>
        </w:rPr>
        <w:t xml:space="preserve">prevention </w:t>
      </w:r>
      <w:r w:rsidR="004E3E6D">
        <w:rPr>
          <w:rFonts w:ascii="Cambria" w:hAnsi="Cambria"/>
        </w:rPr>
        <w:t xml:space="preserve">and prioritized the development of RSV </w:t>
      </w:r>
      <w:r w:rsidR="009079E4">
        <w:rPr>
          <w:rFonts w:ascii="Cambria" w:hAnsi="Cambria"/>
        </w:rPr>
        <w:t>vaccines</w:t>
      </w:r>
      <w:r w:rsidR="002D624D">
        <w:rPr>
          <w:rFonts w:ascii="Cambria" w:hAnsi="Cambria"/>
        </w:rPr>
        <w:t xml:space="preserve"> and mAbs</w:t>
      </w:r>
      <w:r w:rsidR="004E3E6D">
        <w:rPr>
          <w:rFonts w:ascii="Cambria" w:hAnsi="Cambria"/>
        </w:rPr>
        <w:t xml:space="preserve">. </w:t>
      </w:r>
    </w:p>
    <w:p w14:paraId="44DE2C69" w14:textId="3C6233EB" w:rsidR="00DD6002" w:rsidRDefault="00425357" w:rsidP="009B6291">
      <w:pPr>
        <w:ind w:firstLine="720"/>
        <w:jc w:val="both"/>
        <w:rPr>
          <w:rFonts w:ascii="Cambria" w:hAnsi="Cambria"/>
        </w:rPr>
      </w:pPr>
      <w:r>
        <w:rPr>
          <w:rFonts w:ascii="Cambria" w:hAnsi="Cambria"/>
        </w:rPr>
        <w:t xml:space="preserve">In 2015, a review of new RSV </w:t>
      </w:r>
      <w:r w:rsidR="00082BE7">
        <w:rPr>
          <w:rFonts w:ascii="Cambria" w:hAnsi="Cambria"/>
        </w:rPr>
        <w:t xml:space="preserve">prevention and </w:t>
      </w:r>
      <w:r>
        <w:rPr>
          <w:rFonts w:ascii="Cambria" w:hAnsi="Cambria"/>
        </w:rPr>
        <w:t>therapeutic</w:t>
      </w:r>
      <w:r w:rsidR="00B1121A">
        <w:rPr>
          <w:rFonts w:ascii="Cambria" w:hAnsi="Cambria"/>
        </w:rPr>
        <w:t xml:space="preserve"> strategies</w:t>
      </w:r>
      <w:r w:rsidR="00082BE7">
        <w:rPr>
          <w:rFonts w:ascii="Cambria" w:hAnsi="Cambria"/>
        </w:rPr>
        <w:t xml:space="preserve"> </w:t>
      </w:r>
      <w:r>
        <w:rPr>
          <w:rFonts w:ascii="Cambria" w:hAnsi="Cambria"/>
        </w:rPr>
        <w:t>was conducted which demonstrated that 10 vaccines were in clinical development</w:t>
      </w:r>
      <w:r>
        <w:rPr>
          <w:rFonts w:ascii="Cambria" w:hAnsi="Cambria"/>
        </w:rPr>
        <w:fldChar w:fldCharType="begin" w:fldLock="1"/>
      </w:r>
      <w:r w:rsidR="00AC7A3A">
        <w:rPr>
          <w:rFonts w:ascii="Cambria" w:hAnsi="Cambria"/>
        </w:rPr>
        <w:instrText>ADDIN CSL_CITATION { "citationItems" : [ { "id" : "ITEM-1", "itemData" : { "DOI" : "10.1016/S2213-2600(15)00255-6", "ISSN" : "22132600", "PMID" : "26411809", "abstract" : "Respiratory syncytial virus (RSV) is a major worldwide cause of morbidity and mortality in children under five years of age. Evidence-based management guidelines suggest that there is no effective treatment for RSV lower respiratory tract infection (LRTI) and that supportive care, ie, hydration and oxygenation, remains the cornerstone of clinical management. However, RSV treatments in development in the past decade include 10 vaccines and 11 therapeutic agents in active clinical trials. Maternal vaccination is particularly relevant because the most severe disease occurs within the first 6 months of life, when children are unlikely to benefit from active immunisation. We must optimise the implementation of novel RSV therapeutics by understanding the target populations, showing safety, and striving for acceptable pricing in the context of this worldwide health problem. In this Review, we outline the limitations of RSV LRTI management, the drugs in development, and the remaining challenges related to study design, regulatory approval, and implementation.", "author" : [ { "dropping-particle" : "", "family" : "Mazur", "given" : "Natalie I", "non-dropping-particle" : "", "parse-names" : false, "suffix" : "" }, { "dropping-particle" : "", "family" : "Martin\u00f3n-Torres", "given" : "Federico", "non-dropping-particle" : "", "parse-names" : false, "suffix" : "" }, { "dropping-particle" : "", "family" : "Baraldi", "given" : "Eugenio", "non-dropping-particle" : "", "parse-names" : false, "suffix" : "" }, { "dropping-particle" : "", "family" : "Fauroux", "given" : "Brigitte", "non-dropping-particle" : "", "parse-names" : false, "suffix" : "" }, { "dropping-particle" : "", "family" : "Greenough", "given" : "Anne", "non-dropping-particle" : "", "parse-names" : false, "suffix" : "" }, { "dropping-particle" : "", "family" : "Heikkinen", "given" : "Terho", "non-dropping-particle" : "", "parse-names" : false, "suffix" : "" }, { "dropping-particle" : "", "family" : "Manzoni", "given" : "Paolo", "non-dropping-particle" : "", "parse-names" : false, "suffix" : "" }, { "dropping-particle" : "", "family" : "Mejias", "given" : "Asuncion", "non-dropping-particle" : "", "parse-names" : false, "suffix" : "" }, { "dropping-particle" : "", "family" : "Nair", "given" : "Harish", "non-dropping-particle" : "", "parse-names" : false, "suffix" : "" }, { "dropping-particle" : "", "family" : "Papadopoulos", "given" : "Nikolaos G", "non-dropping-particle" : "", "parse-names" : false, "suffix" : "" }, { "dropping-particle" : "", "family" : "Polack", "given" : "Fernando P", "non-dropping-particle" : "", "parse-names" : false, "suffix" : "" }, { "dropping-particle" : "", "family" : "Ramilo", "given" : "Octavio", "non-dropping-particle" : "", "parse-names" : false, "suffix" : "" }, { "dropping-particle" : "", "family" : "Sharland", "given" : "Mike", "non-dropping-particle" : "", "parse-names" : false, "suffix" : "" }, { "dropping-particle" : "", "family" : "Stein", "given" : "Renato", "non-dropping-particle" : "", "parse-names" : false, "suffix" : "" }, { "dropping-particle" : "", "family" : "Madhi", "given" : "Shabir A", "non-dropping-particle" : "", "parse-names" : false, "suffix" : "" }, { "dropping-particle" : "", "family" : "Bont", "given" : "Louis", "non-dropping-particle" : "", "parse-names" : false, "suffix" : "" }, { "dropping-particle" : "", "family" : "Respiratory Syncytial Virus Network (ReSViNET)", "given" : "", "non-dropping-particle" : "", "parse-names" : false, "suffix" : "" } ], "container-title" : "The Lancet Respiratory Medicine", "id" : "ITEM-1", "issue" : "11", "issued" : { "date-parts" : [ [ "2015", "11" ] ] }, "page" : "888-900", "title" : "Lower respiratory tract infection caused by respiratory syncytial virus: current management and new therapeutics", "type" : "article-journal", "volume" : "3" }, "uris" : [ "http://www.mendeley.com/documents/?uuid=281e06df-5b7a-3560-861e-51504d05f544" ] } ], "mendeley" : { "formattedCitation" : "(20)", "plainTextFormattedCitation" : "(20)", "previouslyFormattedCitation" : "(20)" }, "properties" : { "noteIndex" : 0 }, "schema" : "https://github.com/citation-style-language/schema/raw/master/csl-citation.json" }</w:instrText>
      </w:r>
      <w:r>
        <w:rPr>
          <w:rFonts w:ascii="Cambria" w:hAnsi="Cambria"/>
        </w:rPr>
        <w:fldChar w:fldCharType="separate"/>
      </w:r>
      <w:r w:rsidR="009F500F" w:rsidRPr="009F500F">
        <w:rPr>
          <w:rFonts w:ascii="Cambria" w:hAnsi="Cambria"/>
          <w:noProof/>
        </w:rPr>
        <w:t>(20)</w:t>
      </w:r>
      <w:r>
        <w:rPr>
          <w:rFonts w:ascii="Cambria" w:hAnsi="Cambria"/>
        </w:rPr>
        <w:fldChar w:fldCharType="end"/>
      </w:r>
      <w:r>
        <w:rPr>
          <w:rFonts w:ascii="Cambria" w:hAnsi="Cambria"/>
        </w:rPr>
        <w:t>. An update of that review is necessary in light of the</w:t>
      </w:r>
      <w:r w:rsidR="00460E97">
        <w:rPr>
          <w:rFonts w:ascii="Cambria" w:hAnsi="Cambria"/>
        </w:rPr>
        <w:t xml:space="preserve"> recent failures and</w:t>
      </w:r>
      <w:r>
        <w:rPr>
          <w:rFonts w:ascii="Cambria" w:hAnsi="Cambria"/>
        </w:rPr>
        <w:t xml:space="preserve"> new candidates in the last several years.  In </w:t>
      </w:r>
      <w:r w:rsidR="0077132C">
        <w:rPr>
          <w:rFonts w:ascii="Cambria" w:hAnsi="Cambria"/>
        </w:rPr>
        <w:t xml:space="preserve">this review, we show that only </w:t>
      </w:r>
      <w:r w:rsidR="00AD02B0">
        <w:rPr>
          <w:rFonts w:ascii="Cambria" w:hAnsi="Cambria"/>
        </w:rPr>
        <w:t>5</w:t>
      </w:r>
      <w:r w:rsidR="0077132C">
        <w:rPr>
          <w:rFonts w:ascii="Cambria" w:hAnsi="Cambria"/>
        </w:rPr>
        <w:t>0% (</w:t>
      </w:r>
      <w:r w:rsidR="00AD02B0">
        <w:rPr>
          <w:rFonts w:ascii="Cambria" w:hAnsi="Cambria"/>
        </w:rPr>
        <w:t>5</w:t>
      </w:r>
      <w:r>
        <w:rPr>
          <w:rFonts w:ascii="Cambria" w:hAnsi="Cambria"/>
        </w:rPr>
        <w:t>/10) of candidates from 2015 are currently cont</w:t>
      </w:r>
      <w:r w:rsidR="0077132C">
        <w:rPr>
          <w:rFonts w:ascii="Cambria" w:hAnsi="Cambria"/>
        </w:rPr>
        <w:t>inuing in clinical trial</w:t>
      </w:r>
      <w:r w:rsidR="00A34A11">
        <w:rPr>
          <w:rFonts w:ascii="Cambria" w:hAnsi="Cambria"/>
        </w:rPr>
        <w:t>s and 14</w:t>
      </w:r>
      <w:r>
        <w:rPr>
          <w:rFonts w:ascii="Cambria" w:hAnsi="Cambria"/>
        </w:rPr>
        <w:t xml:space="preserve"> additional new candidates have entered clinical trials</w:t>
      </w:r>
      <w:r w:rsidR="0077132C">
        <w:rPr>
          <w:rFonts w:ascii="Cambria" w:hAnsi="Cambria"/>
        </w:rPr>
        <w:t xml:space="preserve"> [Figure 2]</w:t>
      </w:r>
      <w:r>
        <w:rPr>
          <w:rFonts w:ascii="Cambria" w:hAnsi="Cambria"/>
        </w:rPr>
        <w:t xml:space="preserve">. In the context of RSV as an increasingly recognized global health problem, these rapid </w:t>
      </w:r>
      <w:r w:rsidR="004C6218">
        <w:rPr>
          <w:rFonts w:ascii="Cambria" w:hAnsi="Cambria"/>
        </w:rPr>
        <w:t>changes and expansion</w:t>
      </w:r>
      <w:r>
        <w:rPr>
          <w:rFonts w:ascii="Cambria" w:hAnsi="Cambria"/>
        </w:rPr>
        <w:t xml:space="preserve"> show the prioritization of RSV vaccine</w:t>
      </w:r>
      <w:r w:rsidR="008A6654">
        <w:rPr>
          <w:rFonts w:ascii="Cambria" w:hAnsi="Cambria"/>
        </w:rPr>
        <w:t xml:space="preserve"> and mAb</w:t>
      </w:r>
      <w:r>
        <w:rPr>
          <w:rFonts w:ascii="Cambria" w:hAnsi="Cambria"/>
        </w:rPr>
        <w:t xml:space="preserve"> development.</w:t>
      </w:r>
      <w:r w:rsidR="00C91458">
        <w:rPr>
          <w:rFonts w:ascii="Cambria" w:hAnsi="Cambria"/>
        </w:rPr>
        <w:tab/>
      </w:r>
    </w:p>
    <w:p w14:paraId="2E3D5DBB" w14:textId="63A223B5" w:rsidR="006E5098" w:rsidRDefault="006E5098">
      <w:pPr>
        <w:rPr>
          <w:rFonts w:ascii="Cambria" w:hAnsi="Cambria"/>
          <w:u w:val="single"/>
        </w:rPr>
      </w:pPr>
      <w:r>
        <w:rPr>
          <w:rFonts w:ascii="Cambria" w:hAnsi="Cambria"/>
          <w:u w:val="single"/>
        </w:rPr>
        <w:br w:type="page"/>
      </w:r>
    </w:p>
    <w:p w14:paraId="028C4ECB" w14:textId="64550F6B" w:rsidR="00442F27" w:rsidRPr="00B06BC8" w:rsidRDefault="00442F27" w:rsidP="00C26CE6">
      <w:pPr>
        <w:jc w:val="both"/>
        <w:rPr>
          <w:rFonts w:ascii="Cambria" w:hAnsi="Cambria"/>
          <w:u w:val="single"/>
        </w:rPr>
      </w:pPr>
      <w:r w:rsidRPr="00B06BC8">
        <w:rPr>
          <w:rFonts w:ascii="Cambria" w:hAnsi="Cambria"/>
          <w:u w:val="single"/>
        </w:rPr>
        <w:lastRenderedPageBreak/>
        <w:t>Methods</w:t>
      </w:r>
    </w:p>
    <w:p w14:paraId="6846F88E" w14:textId="68B544FC" w:rsidR="00E63F1F" w:rsidRDefault="009079E4" w:rsidP="00C26CE6">
      <w:pPr>
        <w:jc w:val="both"/>
        <w:rPr>
          <w:rFonts w:ascii="Cambria" w:hAnsi="Cambria"/>
        </w:rPr>
      </w:pPr>
      <w:r>
        <w:rPr>
          <w:rFonts w:ascii="Cambria" w:hAnsi="Cambria"/>
        </w:rPr>
        <w:t>A</w:t>
      </w:r>
      <w:r w:rsidR="007D61D4">
        <w:rPr>
          <w:rFonts w:ascii="Cambria" w:hAnsi="Cambria"/>
        </w:rPr>
        <w:t xml:space="preserve"> data collection template was designed for all vaccines in clinical development according to the PATH RSV Vaccine</w:t>
      </w:r>
      <w:r w:rsidR="00EF0E1B">
        <w:rPr>
          <w:rFonts w:ascii="Cambria" w:hAnsi="Cambria"/>
        </w:rPr>
        <w:t xml:space="preserve"> and mAb</w:t>
      </w:r>
      <w:r w:rsidR="007D61D4">
        <w:rPr>
          <w:rFonts w:ascii="Cambria" w:hAnsi="Cambria"/>
        </w:rPr>
        <w:t xml:space="preserve"> snapshot </w:t>
      </w:r>
      <w:r>
        <w:rPr>
          <w:rFonts w:ascii="Cambria" w:hAnsi="Cambria"/>
        </w:rPr>
        <w:t>(</w:t>
      </w:r>
      <w:r w:rsidR="007D61D4">
        <w:rPr>
          <w:rFonts w:ascii="Cambria" w:hAnsi="Cambria"/>
        </w:rPr>
        <w:t xml:space="preserve">updated </w:t>
      </w:r>
      <w:r>
        <w:rPr>
          <w:rFonts w:ascii="Cambria" w:hAnsi="Cambria"/>
        </w:rPr>
        <w:t xml:space="preserve">November </w:t>
      </w:r>
      <w:r w:rsidR="007D61D4">
        <w:rPr>
          <w:rFonts w:ascii="Cambria" w:hAnsi="Cambria"/>
        </w:rPr>
        <w:t>2017</w:t>
      </w:r>
      <w:r>
        <w:rPr>
          <w:rFonts w:ascii="Cambria" w:hAnsi="Cambria"/>
        </w:rPr>
        <w:t xml:space="preserve"> </w:t>
      </w:r>
      <w:r w:rsidR="006A4A32">
        <w:rPr>
          <w:rFonts w:ascii="Cambria" w:hAnsi="Cambria"/>
        </w:rPr>
        <w:fldChar w:fldCharType="begin" w:fldLock="1"/>
      </w:r>
      <w:r w:rsidR="00AC7A3A">
        <w:rPr>
          <w:rFonts w:ascii="Cambria" w:hAnsi="Cambria"/>
        </w:rPr>
        <w:instrText>ADDIN CSL_CITATION { "citationItems" : [ { "id" : "ITEM-1", "itemData" : { "URL" : "http://vaccineresources.org/details.php?i=1562", "accessed" : { "date-parts" : [ [ "2017", "12", "22" ] ] }, "author" : [ { "dropping-particle" : "", "family" : "PATH", "given" : "", "non-dropping-particle" : "", "parse-names" : false, "suffix" : "" } ], "id" : "ITEM-1", "issued" : { "date-parts" : [ [ "2017" ] ] }, "title" : "RSV Vaccine and mAb Snapshot - PATH Vaccine Resource Library", "type" : "webpage" }, "uris" : [ "http://www.mendeley.com/documents/?uuid=7effd1b2-04f7-3c44-b30b-b1f08c47e3e9" ] } ], "mendeley" : { "formattedCitation" : "(21)", "plainTextFormattedCitation" : "(21)", "previouslyFormattedCitation" : "(21)" }, "properties" : { "noteIndex" : 0 }, "schema" : "https://github.com/citation-style-language/schema/raw/master/csl-citation.json" }</w:instrText>
      </w:r>
      <w:r w:rsidR="006A4A32">
        <w:rPr>
          <w:rFonts w:ascii="Cambria" w:hAnsi="Cambria"/>
        </w:rPr>
        <w:fldChar w:fldCharType="separate"/>
      </w:r>
      <w:r w:rsidR="009F500F" w:rsidRPr="009F500F">
        <w:rPr>
          <w:rFonts w:ascii="Cambria" w:hAnsi="Cambria"/>
          <w:noProof/>
        </w:rPr>
        <w:t>(21)</w:t>
      </w:r>
      <w:r w:rsidR="006A4A32">
        <w:rPr>
          <w:rFonts w:ascii="Cambria" w:hAnsi="Cambria"/>
        </w:rPr>
        <w:fldChar w:fldCharType="end"/>
      </w:r>
      <w:r>
        <w:rPr>
          <w:rFonts w:ascii="Cambria" w:hAnsi="Cambria"/>
        </w:rPr>
        <w:t>)</w:t>
      </w:r>
      <w:r w:rsidR="00FA07DE">
        <w:rPr>
          <w:rFonts w:ascii="Cambria" w:hAnsi="Cambria"/>
        </w:rPr>
        <w:t xml:space="preserve"> [Supplementary Table 1]</w:t>
      </w:r>
      <w:r>
        <w:rPr>
          <w:rFonts w:ascii="Cambria" w:hAnsi="Cambria"/>
        </w:rPr>
        <w:t>. G</w:t>
      </w:r>
      <w:r w:rsidR="007D61D4">
        <w:rPr>
          <w:rFonts w:ascii="Cambria" w:hAnsi="Cambria"/>
        </w:rPr>
        <w:t>aps in knowledge were identified by searching Pub</w:t>
      </w:r>
      <w:r w:rsidR="00557DE4">
        <w:rPr>
          <w:rFonts w:ascii="Cambria" w:hAnsi="Cambria"/>
        </w:rPr>
        <w:t>M</w:t>
      </w:r>
      <w:r w:rsidR="007D61D4">
        <w:rPr>
          <w:rFonts w:ascii="Cambria" w:hAnsi="Cambria"/>
        </w:rPr>
        <w:t xml:space="preserve">ed, clinical trial registries, </w:t>
      </w:r>
      <w:r w:rsidR="006A4A32">
        <w:rPr>
          <w:rFonts w:ascii="Cambria" w:hAnsi="Cambria"/>
        </w:rPr>
        <w:t>WHO</w:t>
      </w:r>
      <w:r w:rsidR="007D61D4">
        <w:rPr>
          <w:rFonts w:ascii="Cambria" w:hAnsi="Cambria"/>
        </w:rPr>
        <w:t xml:space="preserve">, </w:t>
      </w:r>
      <w:r w:rsidR="006A4A32">
        <w:rPr>
          <w:rFonts w:ascii="Cambria" w:hAnsi="Cambria"/>
        </w:rPr>
        <w:t>European Medicines Agency (</w:t>
      </w:r>
      <w:r w:rsidR="007D61D4">
        <w:rPr>
          <w:rFonts w:ascii="Cambria" w:hAnsi="Cambria"/>
        </w:rPr>
        <w:t>EMA</w:t>
      </w:r>
      <w:r w:rsidR="006A4A32">
        <w:rPr>
          <w:rFonts w:ascii="Cambria" w:hAnsi="Cambria"/>
        </w:rPr>
        <w:t>)</w:t>
      </w:r>
      <w:r w:rsidR="007D61D4">
        <w:rPr>
          <w:rFonts w:ascii="Cambria" w:hAnsi="Cambria"/>
        </w:rPr>
        <w:t xml:space="preserve"> and pharmaceutical websites for each vaccine</w:t>
      </w:r>
      <w:r w:rsidR="002D6BF3">
        <w:rPr>
          <w:rFonts w:ascii="Cambria" w:hAnsi="Cambria"/>
        </w:rPr>
        <w:t xml:space="preserve"> candidate, with no</w:t>
      </w:r>
      <w:r w:rsidR="00506C6D">
        <w:rPr>
          <w:rFonts w:ascii="Cambria" w:hAnsi="Cambria"/>
        </w:rPr>
        <w:t xml:space="preserve"> </w:t>
      </w:r>
      <w:r w:rsidR="002D6BF3">
        <w:rPr>
          <w:rFonts w:ascii="Cambria" w:hAnsi="Cambria"/>
        </w:rPr>
        <w:t xml:space="preserve">date or language restrictions, on </w:t>
      </w:r>
      <w:r w:rsidR="00021106">
        <w:rPr>
          <w:rFonts w:ascii="Cambria" w:hAnsi="Cambria"/>
        </w:rPr>
        <w:t>January</w:t>
      </w:r>
      <w:r w:rsidR="002D6BF3">
        <w:rPr>
          <w:rFonts w:ascii="Cambria" w:hAnsi="Cambria"/>
        </w:rPr>
        <w:t xml:space="preserve"> 31, 2018</w:t>
      </w:r>
      <w:r w:rsidR="00506C6D">
        <w:rPr>
          <w:rFonts w:ascii="Cambria" w:hAnsi="Cambria"/>
        </w:rPr>
        <w:t>(NM, A</w:t>
      </w:r>
      <w:r w:rsidR="00DD1FA4">
        <w:rPr>
          <w:rFonts w:ascii="Cambria" w:hAnsi="Cambria"/>
        </w:rPr>
        <w:t>C</w:t>
      </w:r>
      <w:r w:rsidR="00506C6D">
        <w:rPr>
          <w:rFonts w:ascii="Cambria" w:hAnsi="Cambria"/>
        </w:rPr>
        <w:t>L, NH, IR, EP, JS)</w:t>
      </w:r>
      <w:r w:rsidR="007D61D4">
        <w:rPr>
          <w:rFonts w:ascii="Cambria" w:hAnsi="Cambria"/>
        </w:rPr>
        <w:t xml:space="preserve">. </w:t>
      </w:r>
      <w:r w:rsidR="002D6BF3">
        <w:rPr>
          <w:rFonts w:ascii="Cambria" w:hAnsi="Cambria"/>
        </w:rPr>
        <w:t xml:space="preserve">We did not intend to do a systematic review of the literature. No inclusion or exclusion criteria were used. Instead, we selected articles that were most relevant to the subheadings used in this review as well as each vaccine candidate or mAb in </w:t>
      </w:r>
      <w:r w:rsidR="00F11234">
        <w:rPr>
          <w:rFonts w:ascii="Cambria" w:hAnsi="Cambria"/>
        </w:rPr>
        <w:t xml:space="preserve">clinical </w:t>
      </w:r>
      <w:r w:rsidR="002D6BF3">
        <w:rPr>
          <w:rFonts w:ascii="Cambria" w:hAnsi="Cambria"/>
        </w:rPr>
        <w:t>development</w:t>
      </w:r>
      <w:r w:rsidR="005B6D17">
        <w:rPr>
          <w:rFonts w:ascii="Cambria" w:hAnsi="Cambria"/>
        </w:rPr>
        <w:t xml:space="preserve">. </w:t>
      </w:r>
      <w:r w:rsidR="007D61D4">
        <w:rPr>
          <w:rFonts w:ascii="Cambria" w:hAnsi="Cambria"/>
        </w:rPr>
        <w:t xml:space="preserve">To supplement </w:t>
      </w:r>
      <w:r w:rsidR="003C32E5">
        <w:rPr>
          <w:rFonts w:ascii="Cambria" w:hAnsi="Cambria"/>
        </w:rPr>
        <w:t xml:space="preserve">the </w:t>
      </w:r>
      <w:r w:rsidR="007D61D4">
        <w:rPr>
          <w:rFonts w:ascii="Cambria" w:hAnsi="Cambria"/>
        </w:rPr>
        <w:t xml:space="preserve">data collected and the identified gaps in knowledge, data </w:t>
      </w:r>
      <w:r w:rsidR="00EB00F4">
        <w:rPr>
          <w:rFonts w:ascii="Cambria" w:hAnsi="Cambria"/>
        </w:rPr>
        <w:t xml:space="preserve">for this review </w:t>
      </w:r>
      <w:r w:rsidR="00E92F12">
        <w:rPr>
          <w:rFonts w:ascii="Cambria" w:hAnsi="Cambria"/>
        </w:rPr>
        <w:t xml:space="preserve">were </w:t>
      </w:r>
      <w:r w:rsidR="00EB00F4">
        <w:rPr>
          <w:rFonts w:ascii="Cambria" w:hAnsi="Cambria"/>
        </w:rPr>
        <w:t>systematically collected</w:t>
      </w:r>
      <w:r w:rsidR="00E05FE8">
        <w:rPr>
          <w:rFonts w:ascii="Cambria" w:hAnsi="Cambria"/>
        </w:rPr>
        <w:t xml:space="preserve"> using the data collection template</w:t>
      </w:r>
      <w:r w:rsidR="00F11234">
        <w:rPr>
          <w:rFonts w:ascii="Cambria" w:hAnsi="Cambria"/>
        </w:rPr>
        <w:t xml:space="preserve"> [</w:t>
      </w:r>
      <w:r w:rsidR="00D76102">
        <w:rPr>
          <w:rFonts w:ascii="Cambria" w:hAnsi="Cambria"/>
        </w:rPr>
        <w:t>S</w:t>
      </w:r>
      <w:r w:rsidR="00F11234">
        <w:rPr>
          <w:rFonts w:ascii="Cambria" w:hAnsi="Cambria"/>
        </w:rPr>
        <w:t xml:space="preserve">upplemental </w:t>
      </w:r>
      <w:r w:rsidR="00D76102">
        <w:rPr>
          <w:rFonts w:ascii="Cambria" w:hAnsi="Cambria"/>
        </w:rPr>
        <w:t>T</w:t>
      </w:r>
      <w:r w:rsidR="00F11234">
        <w:rPr>
          <w:rFonts w:ascii="Cambria" w:hAnsi="Cambria"/>
        </w:rPr>
        <w:t>able 1]</w:t>
      </w:r>
      <w:r w:rsidR="00EB00F4">
        <w:rPr>
          <w:rFonts w:ascii="Cambria" w:hAnsi="Cambria"/>
        </w:rPr>
        <w:t xml:space="preserve"> at</w:t>
      </w:r>
      <w:r w:rsidR="003E57B6">
        <w:rPr>
          <w:rFonts w:ascii="Cambria" w:hAnsi="Cambria"/>
        </w:rPr>
        <w:t xml:space="preserve"> the RSV Vaccines for the World conference organized</w:t>
      </w:r>
      <w:r w:rsidR="005D70E6">
        <w:rPr>
          <w:rFonts w:ascii="Cambria" w:hAnsi="Cambria"/>
        </w:rPr>
        <w:t xml:space="preserve"> by the Respiratory Syncytial Virus Network (ReSViN</w:t>
      </w:r>
      <w:r w:rsidR="00BB25CC">
        <w:rPr>
          <w:rFonts w:ascii="Cambria" w:hAnsi="Cambria"/>
        </w:rPr>
        <w:t>ET</w:t>
      </w:r>
      <w:r w:rsidR="005D70E6">
        <w:rPr>
          <w:rFonts w:ascii="Cambria" w:hAnsi="Cambria"/>
        </w:rPr>
        <w:t>)</w:t>
      </w:r>
      <w:r w:rsidR="003E57B6">
        <w:rPr>
          <w:rFonts w:ascii="Cambria" w:hAnsi="Cambria"/>
        </w:rPr>
        <w:t xml:space="preserve"> from November 29 - December 1</w:t>
      </w:r>
      <w:r w:rsidR="0057227A">
        <w:rPr>
          <w:rFonts w:ascii="Cambria" w:hAnsi="Cambria"/>
        </w:rPr>
        <w:t>, 2017</w:t>
      </w:r>
      <w:r w:rsidR="003E57B6">
        <w:rPr>
          <w:rFonts w:ascii="Cambria" w:hAnsi="Cambria"/>
        </w:rPr>
        <w:t xml:space="preserve"> in Malaga, Spain.</w:t>
      </w:r>
      <w:r w:rsidR="00EB00F4">
        <w:rPr>
          <w:rFonts w:ascii="Cambria" w:hAnsi="Cambria"/>
        </w:rPr>
        <w:t xml:space="preserve"> The goal of this meeting was to share scientific data and expertise on RSV vaccine development</w:t>
      </w:r>
      <w:r w:rsidR="00117D6C">
        <w:rPr>
          <w:rFonts w:ascii="Cambria" w:hAnsi="Cambria"/>
        </w:rPr>
        <w:t>, and to connect stakeholders involved in RSV research</w:t>
      </w:r>
      <w:r w:rsidR="00EB00F4">
        <w:rPr>
          <w:rFonts w:ascii="Cambria" w:hAnsi="Cambria"/>
        </w:rPr>
        <w:t>.</w:t>
      </w:r>
      <w:r w:rsidR="00F77F49">
        <w:rPr>
          <w:rFonts w:ascii="Cambria" w:hAnsi="Cambria"/>
        </w:rPr>
        <w:t xml:space="preserve"> During the meeting information was collected </w:t>
      </w:r>
      <w:r w:rsidR="00552C0E">
        <w:rPr>
          <w:rFonts w:ascii="Cambria" w:hAnsi="Cambria"/>
        </w:rPr>
        <w:t>(NM, A</w:t>
      </w:r>
      <w:r w:rsidR="00DD1FA4">
        <w:rPr>
          <w:rFonts w:ascii="Cambria" w:hAnsi="Cambria"/>
        </w:rPr>
        <w:t>C</w:t>
      </w:r>
      <w:r w:rsidR="00552C0E">
        <w:rPr>
          <w:rFonts w:ascii="Cambria" w:hAnsi="Cambria"/>
        </w:rPr>
        <w:t>L</w:t>
      </w:r>
      <w:r w:rsidR="002623EE">
        <w:rPr>
          <w:rFonts w:ascii="Cambria" w:hAnsi="Cambria"/>
        </w:rPr>
        <w:t xml:space="preserve">, NH, IR, EP, JS) </w:t>
      </w:r>
      <w:r w:rsidR="003C32E5">
        <w:rPr>
          <w:rFonts w:ascii="Cambria" w:hAnsi="Cambria"/>
        </w:rPr>
        <w:t xml:space="preserve">from </w:t>
      </w:r>
      <w:r w:rsidR="00F77F49">
        <w:rPr>
          <w:rFonts w:ascii="Cambria" w:hAnsi="Cambria"/>
        </w:rPr>
        <w:t xml:space="preserve">scientific presentations, posters and personal </w:t>
      </w:r>
      <w:r w:rsidR="00A34A11">
        <w:rPr>
          <w:rFonts w:ascii="Cambria" w:hAnsi="Cambria"/>
        </w:rPr>
        <w:t>communications</w:t>
      </w:r>
      <w:r w:rsidR="00F77F49">
        <w:rPr>
          <w:rFonts w:ascii="Cambria" w:hAnsi="Cambria"/>
        </w:rPr>
        <w:t>.</w:t>
      </w:r>
    </w:p>
    <w:p w14:paraId="7FA8F0B4" w14:textId="3FA42FD0" w:rsidR="0095624A" w:rsidRDefault="000E38C1" w:rsidP="00C26CE6">
      <w:pPr>
        <w:jc w:val="both"/>
        <w:rPr>
          <w:rFonts w:ascii="Cambria" w:hAnsi="Cambria"/>
        </w:rPr>
      </w:pPr>
      <w:r>
        <w:rPr>
          <w:rFonts w:ascii="Cambria" w:hAnsi="Cambria"/>
        </w:rPr>
        <w:tab/>
        <w:t>We included all vaccine</w:t>
      </w:r>
      <w:r w:rsidR="00636444">
        <w:rPr>
          <w:rFonts w:ascii="Cambria" w:hAnsi="Cambria"/>
        </w:rPr>
        <w:t xml:space="preserve"> candidates and mAbs</w:t>
      </w:r>
      <w:r>
        <w:rPr>
          <w:rFonts w:ascii="Cambria" w:hAnsi="Cambria"/>
        </w:rPr>
        <w:t xml:space="preserve"> in clinical development according to the PATH RSV </w:t>
      </w:r>
      <w:r w:rsidR="00520823">
        <w:rPr>
          <w:rFonts w:ascii="Cambria" w:hAnsi="Cambria"/>
        </w:rPr>
        <w:t>V</w:t>
      </w:r>
      <w:r>
        <w:rPr>
          <w:rFonts w:ascii="Cambria" w:hAnsi="Cambria"/>
        </w:rPr>
        <w:t>accine snapshot</w:t>
      </w:r>
      <w:r w:rsidR="00520823">
        <w:rPr>
          <w:rFonts w:ascii="Cambria" w:hAnsi="Cambria"/>
        </w:rPr>
        <w:t xml:space="preserve"> and mAb snapshot</w:t>
      </w:r>
      <w:r w:rsidR="003C32E5">
        <w:rPr>
          <w:rFonts w:ascii="Cambria" w:hAnsi="Cambria"/>
        </w:rPr>
        <w:t>.</w:t>
      </w:r>
      <w:r w:rsidR="007D61D4">
        <w:rPr>
          <w:rFonts w:ascii="Cambria" w:hAnsi="Cambria"/>
        </w:rPr>
        <w:t xml:space="preserve"> </w:t>
      </w:r>
      <w:r w:rsidR="003C32E5">
        <w:rPr>
          <w:rFonts w:ascii="Cambria" w:hAnsi="Cambria"/>
        </w:rPr>
        <w:t>V</w:t>
      </w:r>
      <w:r>
        <w:rPr>
          <w:rFonts w:ascii="Cambria" w:hAnsi="Cambria"/>
        </w:rPr>
        <w:t>accines were</w:t>
      </w:r>
      <w:r w:rsidR="007D61D4">
        <w:rPr>
          <w:rFonts w:ascii="Cambria" w:hAnsi="Cambria"/>
        </w:rPr>
        <w:t xml:space="preserve"> </w:t>
      </w:r>
      <w:r>
        <w:rPr>
          <w:rFonts w:ascii="Cambria" w:hAnsi="Cambria"/>
        </w:rPr>
        <w:t xml:space="preserve">divided into four </w:t>
      </w:r>
      <w:r w:rsidR="00CE2F6C">
        <w:rPr>
          <w:rFonts w:ascii="Cambria" w:hAnsi="Cambria"/>
        </w:rPr>
        <w:t>major groups</w:t>
      </w:r>
      <w:r>
        <w:rPr>
          <w:rFonts w:ascii="Cambria" w:hAnsi="Cambria"/>
        </w:rPr>
        <w:t>: particle-based, vector-based, live-attenuated</w:t>
      </w:r>
      <w:r w:rsidR="006A4A32">
        <w:rPr>
          <w:rFonts w:ascii="Cambria" w:hAnsi="Cambria"/>
        </w:rPr>
        <w:t>/chimeric</w:t>
      </w:r>
      <w:r>
        <w:rPr>
          <w:rFonts w:ascii="Cambria" w:hAnsi="Cambria"/>
        </w:rPr>
        <w:t xml:space="preserve"> and subunit</w:t>
      </w:r>
      <w:r w:rsidR="003828B2">
        <w:rPr>
          <w:rFonts w:ascii="Cambria" w:hAnsi="Cambria"/>
        </w:rPr>
        <w:t xml:space="preserve"> vaccines</w:t>
      </w:r>
      <w:r w:rsidR="00F963F6">
        <w:rPr>
          <w:rFonts w:ascii="Cambria" w:hAnsi="Cambria"/>
        </w:rPr>
        <w:t>.</w:t>
      </w:r>
      <w:r>
        <w:rPr>
          <w:rFonts w:ascii="Cambria" w:hAnsi="Cambria"/>
        </w:rPr>
        <w:t xml:space="preserve"> </w:t>
      </w:r>
      <w:r w:rsidR="00F963F6">
        <w:rPr>
          <w:rFonts w:ascii="Cambria" w:hAnsi="Cambria"/>
        </w:rPr>
        <w:t>I</w:t>
      </w:r>
      <w:r w:rsidR="00557DE4">
        <w:rPr>
          <w:rFonts w:ascii="Cambria" w:hAnsi="Cambria"/>
        </w:rPr>
        <w:t>mmuno</w:t>
      </w:r>
      <w:r>
        <w:rPr>
          <w:rFonts w:ascii="Cambria" w:hAnsi="Cambria"/>
        </w:rPr>
        <w:t xml:space="preserve">prophylaxis with </w:t>
      </w:r>
      <w:r w:rsidR="00A34A11">
        <w:rPr>
          <w:rFonts w:ascii="Cambria" w:hAnsi="Cambria"/>
        </w:rPr>
        <w:t>mAbs</w:t>
      </w:r>
      <w:r>
        <w:rPr>
          <w:rFonts w:ascii="Cambria" w:hAnsi="Cambria"/>
        </w:rPr>
        <w:t xml:space="preserve"> was included as a fifth category.</w:t>
      </w:r>
    </w:p>
    <w:p w14:paraId="1BE957A3" w14:textId="77777777" w:rsidR="00C81BD6" w:rsidRDefault="00C81BD6" w:rsidP="00C26CE6">
      <w:pPr>
        <w:jc w:val="both"/>
        <w:rPr>
          <w:rFonts w:ascii="Cambria" w:hAnsi="Cambria"/>
        </w:rPr>
      </w:pPr>
    </w:p>
    <w:p w14:paraId="1F8B2AFF" w14:textId="38FD3BA0" w:rsidR="000E38C1" w:rsidRPr="00B06BC8" w:rsidRDefault="000E38C1" w:rsidP="00C26CE6">
      <w:pPr>
        <w:jc w:val="both"/>
        <w:rPr>
          <w:rFonts w:ascii="Cambria" w:hAnsi="Cambria"/>
          <w:u w:val="single"/>
        </w:rPr>
      </w:pPr>
      <w:r w:rsidRPr="00B06BC8">
        <w:rPr>
          <w:rFonts w:ascii="Cambria" w:hAnsi="Cambria"/>
          <w:u w:val="single"/>
        </w:rPr>
        <w:t>RSV Vaccine History</w:t>
      </w:r>
    </w:p>
    <w:p w14:paraId="6A6FF4D5" w14:textId="0565F0CA" w:rsidR="00521C2F" w:rsidRDefault="00F26F88" w:rsidP="00C26CE6">
      <w:pPr>
        <w:jc w:val="both"/>
        <w:rPr>
          <w:rFonts w:ascii="Cambria" w:hAnsi="Cambria"/>
        </w:rPr>
      </w:pPr>
      <w:r>
        <w:rPr>
          <w:rFonts w:ascii="Cambria" w:hAnsi="Cambria"/>
        </w:rPr>
        <w:t xml:space="preserve">RSV vaccine development started shortly after the first identification of </w:t>
      </w:r>
      <w:r w:rsidR="00DD1FA4">
        <w:rPr>
          <w:rFonts w:ascii="Cambria" w:hAnsi="Cambria"/>
        </w:rPr>
        <w:t>the virus</w:t>
      </w:r>
      <w:r>
        <w:rPr>
          <w:rFonts w:ascii="Cambria" w:hAnsi="Cambria"/>
        </w:rPr>
        <w:t xml:space="preserve"> in human</w:t>
      </w:r>
      <w:r w:rsidR="00CE2F6C">
        <w:rPr>
          <w:rFonts w:ascii="Cambria" w:hAnsi="Cambria"/>
        </w:rPr>
        <w:t>s</w:t>
      </w:r>
      <w:r>
        <w:rPr>
          <w:rFonts w:ascii="Cambria" w:hAnsi="Cambria"/>
        </w:rPr>
        <w:t xml:space="preserve"> in 1957</w:t>
      </w:r>
      <w:r w:rsidR="0011675B">
        <w:rPr>
          <w:rFonts w:ascii="Cambria" w:hAnsi="Cambria"/>
        </w:rPr>
        <w:fldChar w:fldCharType="begin" w:fldLock="1"/>
      </w:r>
      <w:r w:rsidR="00AC7A3A">
        <w:rPr>
          <w:rFonts w:ascii="Cambria" w:hAnsi="Cambria"/>
        </w:rPr>
        <w:instrText>ADDIN CSL_CITATION { "citationItems" : [ { "id" : "ITEM-1", "itemData" : { "ISSN" : "0096-5294", "PMID" : "13478579", "author" : [ { "dropping-particle" : "", "family" : "Chanock", "given" : "R", "non-dropping-particle" : "", "parse-names" : false, "suffix" : "" }, { "dropping-particle" : "", "family" : "Finberg", "given" : "L", "non-dropping-particle" : "", "parse-names" : false, "suffix" : "" } ], "container-title" : "Am J Hyg", "id" : "ITEM-1", "issue" : "3", "issued" : { "date-parts" : [ [ "1957", "11" ] ] }, "page" : "291-300", "title" : "Recovery from infants with respiratory illness of a virus related to chimpanzee coryza agent (CCA). II. Epidemiologic aspects of infection in infants and young children.", "type" : "article-journal", "volume" : "66" }, "uris" : [ "http://www.mendeley.com/documents/?uuid=3d8dde33-e2dc-3d39-b51f-b4ee4091b3c8" ] } ], "mendeley" : { "formattedCitation" : "(22)", "plainTextFormattedCitation" : "(22)", "previouslyFormattedCitation" : "(22)" }, "properties" : { "noteIndex" : 0 }, "schema" : "https://github.com/citation-style-language/schema/raw/master/csl-citation.json" }</w:instrText>
      </w:r>
      <w:r w:rsidR="0011675B">
        <w:rPr>
          <w:rFonts w:ascii="Cambria" w:hAnsi="Cambria"/>
        </w:rPr>
        <w:fldChar w:fldCharType="separate"/>
      </w:r>
      <w:r w:rsidR="009F500F" w:rsidRPr="009F500F">
        <w:rPr>
          <w:rFonts w:ascii="Cambria" w:hAnsi="Cambria"/>
          <w:noProof/>
        </w:rPr>
        <w:t>(22)</w:t>
      </w:r>
      <w:r w:rsidR="0011675B">
        <w:rPr>
          <w:rFonts w:ascii="Cambria" w:hAnsi="Cambria"/>
        </w:rPr>
        <w:fldChar w:fldCharType="end"/>
      </w:r>
      <w:r>
        <w:rPr>
          <w:rFonts w:ascii="Cambria" w:hAnsi="Cambria"/>
        </w:rPr>
        <w:t xml:space="preserve">. However, </w:t>
      </w:r>
      <w:r w:rsidR="00FB31C6">
        <w:rPr>
          <w:rFonts w:ascii="Cambria" w:hAnsi="Cambria"/>
        </w:rPr>
        <w:t>ERD</w:t>
      </w:r>
      <w:r w:rsidR="006941AB">
        <w:rPr>
          <w:rFonts w:ascii="Cambria" w:hAnsi="Cambria"/>
        </w:rPr>
        <w:t xml:space="preserve"> upon natural</w:t>
      </w:r>
      <w:r w:rsidR="00FB31C6">
        <w:rPr>
          <w:rFonts w:ascii="Cambria" w:hAnsi="Cambria"/>
        </w:rPr>
        <w:t xml:space="preserve"> RSV</w:t>
      </w:r>
      <w:r w:rsidR="006941AB">
        <w:rPr>
          <w:rFonts w:ascii="Cambria" w:hAnsi="Cambria"/>
        </w:rPr>
        <w:t xml:space="preserve"> infection after vaccination with</w:t>
      </w:r>
      <w:r>
        <w:rPr>
          <w:rFonts w:ascii="Cambria" w:hAnsi="Cambria"/>
        </w:rPr>
        <w:t xml:space="preserve"> </w:t>
      </w:r>
      <w:r w:rsidR="00117D6C">
        <w:rPr>
          <w:rFonts w:ascii="Cambria" w:hAnsi="Cambria"/>
        </w:rPr>
        <w:t xml:space="preserve">a </w:t>
      </w:r>
      <w:r>
        <w:rPr>
          <w:rFonts w:ascii="Cambria" w:hAnsi="Cambria"/>
        </w:rPr>
        <w:t>formalin-inactivated RSV (FI-RSV)</w:t>
      </w:r>
      <w:r w:rsidR="00117D6C">
        <w:rPr>
          <w:rFonts w:ascii="Cambria" w:hAnsi="Cambria"/>
        </w:rPr>
        <w:t xml:space="preserve"> candidate</w:t>
      </w:r>
      <w:r w:rsidR="006941AB">
        <w:rPr>
          <w:rFonts w:ascii="Cambria" w:hAnsi="Cambria"/>
        </w:rPr>
        <w:t xml:space="preserve"> in</w:t>
      </w:r>
      <w:r w:rsidR="008E76B2">
        <w:rPr>
          <w:rFonts w:ascii="Cambria" w:hAnsi="Cambria"/>
        </w:rPr>
        <w:t xml:space="preserve"> a series of trials in the 1960s severely hindered inactivated virus and subunit vaccine development for many years. In the youngest age cohort of RSV </w:t>
      </w:r>
      <w:r w:rsidR="006941AB">
        <w:rPr>
          <w:rFonts w:ascii="Cambria" w:hAnsi="Cambria"/>
        </w:rPr>
        <w:t>naïve infants</w:t>
      </w:r>
      <w:r w:rsidR="008E76B2">
        <w:rPr>
          <w:rFonts w:ascii="Cambria" w:hAnsi="Cambria"/>
        </w:rPr>
        <w:t>, 20 of 31 infants were infected and 16</w:t>
      </w:r>
      <w:r>
        <w:rPr>
          <w:rFonts w:ascii="Cambria" w:hAnsi="Cambria"/>
        </w:rPr>
        <w:t xml:space="preserve"> </w:t>
      </w:r>
      <w:r w:rsidR="008E76B2">
        <w:rPr>
          <w:rFonts w:ascii="Cambria" w:hAnsi="Cambria"/>
        </w:rPr>
        <w:t>(</w:t>
      </w:r>
      <w:r w:rsidR="00631615">
        <w:rPr>
          <w:rFonts w:ascii="Cambria" w:hAnsi="Cambria"/>
        </w:rPr>
        <w:t>80%</w:t>
      </w:r>
      <w:r w:rsidR="008E76B2">
        <w:rPr>
          <w:rFonts w:ascii="Cambria" w:hAnsi="Cambria"/>
        </w:rPr>
        <w:t>) required</w:t>
      </w:r>
      <w:r w:rsidR="00631615">
        <w:rPr>
          <w:rFonts w:ascii="Cambria" w:hAnsi="Cambria"/>
        </w:rPr>
        <w:t xml:space="preserve"> </w:t>
      </w:r>
      <w:r w:rsidR="0025083C">
        <w:rPr>
          <w:rFonts w:ascii="Cambria" w:hAnsi="Cambria"/>
        </w:rPr>
        <w:t>hospitalization</w:t>
      </w:r>
      <w:r w:rsidR="008E76B2">
        <w:rPr>
          <w:rFonts w:ascii="Cambria" w:hAnsi="Cambria"/>
        </w:rPr>
        <w:t xml:space="preserve"> including</w:t>
      </w:r>
      <w:r>
        <w:rPr>
          <w:rFonts w:ascii="Cambria" w:hAnsi="Cambria"/>
        </w:rPr>
        <w:t xml:space="preserve"> two deaths</w:t>
      </w:r>
      <w:r w:rsidR="003943A1">
        <w:rPr>
          <w:rFonts w:ascii="Cambria" w:hAnsi="Cambria"/>
        </w:rPr>
        <w:fldChar w:fldCharType="begin" w:fldLock="1"/>
      </w:r>
      <w:r w:rsidR="00510F77">
        <w:rPr>
          <w:rFonts w:ascii="Cambria" w:hAnsi="Cambria"/>
        </w:rPr>
        <w:instrText>ADDIN CSL_CITATION { "citationItems" : [ { "id" : "ITEM-1", "itemData" : { "ISSN" : "0002-9262", "PMID" : "4305198", "author" : [ { "dropping-particle" : "", "family" : "Kim", "given" : "H W", "non-dropping-particle" : "", "parse-names" : false, "suffix" : "" }, { "dropping-particle" : "", "family" : "Canchola", "given" : "J G", "non-dropping-particle" : "", "parse-names" : false, "suffix" : "" }, { "dropping-particle" : "", "family" : "Brandt", "given" : "C D", "non-dropping-particle" : "", "parse-names" : false, "suffix" : "" }, { "dropping-particle" : "", "family" : "Pyles", "given" : "G", "non-dropping-particle" : "", "parse-names" : false, "suffix" : "" }, { "dropping-particle" : "", "family" : "Chanock", "given" : "R M", "non-dropping-particle" : "", "parse-names" : false, "suffix" : "" }, { "dropping-particle" : "", "family" : "Jensen", "given" : "K", "non-dropping-particle" : "", "parse-names" : false, "suffix" : "" }, { "dropping-particle" : "", "family" : "Parrott", "given" : "R H", "non-dropping-particle" : "", "parse-names" : false, "suffix" : "" } ], "container-title" : "American journal of epidemiology", "id" : "ITEM-1", "issue" : "4", "issued" : { "date-parts" : [ [ "1969", "4" ] ] }, "page" : "422-34", "title" : "Respiratory syncytial virus disease in infants despite prior administration of antigenic inactivated vaccine.", "type" : "article-journal", "volume" : "89" }, "uris" : [ "http://www.mendeley.com/documents/?uuid=2f4da109-6ec9-325b-9d4c-bf26c00403ef" ] } ], "mendeley" : { "formattedCitation" : "(4)", "plainTextFormattedCitation" : "(4)", "previouslyFormattedCitation" : "(4)" }, "properties" : { "noteIndex" : 0 }, "schema" : "https://github.com/citation-style-language/schema/raw/master/csl-citation.json" }</w:instrText>
      </w:r>
      <w:r w:rsidR="003943A1">
        <w:rPr>
          <w:rFonts w:ascii="Cambria" w:hAnsi="Cambria"/>
        </w:rPr>
        <w:fldChar w:fldCharType="separate"/>
      </w:r>
      <w:r w:rsidR="00510F77" w:rsidRPr="00510F77">
        <w:rPr>
          <w:rFonts w:ascii="Cambria" w:hAnsi="Cambria"/>
          <w:noProof/>
        </w:rPr>
        <w:t>(4)</w:t>
      </w:r>
      <w:r w:rsidR="003943A1">
        <w:rPr>
          <w:rFonts w:ascii="Cambria" w:hAnsi="Cambria"/>
        </w:rPr>
        <w:fldChar w:fldCharType="end"/>
      </w:r>
      <w:r w:rsidR="00557DE4">
        <w:rPr>
          <w:rFonts w:ascii="Cambria" w:hAnsi="Cambria"/>
        </w:rPr>
        <w:t>.</w:t>
      </w:r>
      <w:r w:rsidR="0025083C">
        <w:rPr>
          <w:rFonts w:ascii="Cambria" w:hAnsi="Cambria"/>
        </w:rPr>
        <w:t xml:space="preserve"> </w:t>
      </w:r>
      <w:r w:rsidR="00521C2F">
        <w:rPr>
          <w:rFonts w:ascii="Cambria" w:hAnsi="Cambria"/>
        </w:rPr>
        <w:t>ERD occurred in RSV-naïve infants who experienced infection with community-acquired wild-type RSV following receipt of FI-RSV.</w:t>
      </w:r>
      <w:r w:rsidR="00521C2F" w:rsidRPr="008B28DD">
        <w:rPr>
          <w:rFonts w:ascii="Cambria" w:hAnsi="Cambria"/>
        </w:rPr>
        <w:t xml:space="preserve"> </w:t>
      </w:r>
      <w:r w:rsidR="00521C2F">
        <w:rPr>
          <w:rFonts w:ascii="Cambria" w:hAnsi="Cambria"/>
        </w:rPr>
        <w:t xml:space="preserve">Decades of research have revealed that </w:t>
      </w:r>
      <w:r w:rsidR="00A03932">
        <w:rPr>
          <w:rFonts w:ascii="Cambria" w:hAnsi="Cambria"/>
        </w:rPr>
        <w:t>priming with</w:t>
      </w:r>
      <w:r w:rsidR="00521C2F">
        <w:rPr>
          <w:rFonts w:ascii="Cambria" w:hAnsi="Cambria"/>
        </w:rPr>
        <w:t xml:space="preserve"> FI-RSV triggered a strong but non-neutralizing antibody response</w:t>
      </w:r>
      <w:r w:rsidR="00521C2F">
        <w:rPr>
          <w:rFonts w:ascii="Cambria" w:hAnsi="Cambria"/>
        </w:rPr>
        <w:fldChar w:fldCharType="begin" w:fldLock="1"/>
      </w:r>
      <w:r w:rsidR="00AC7A3A">
        <w:rPr>
          <w:rFonts w:ascii="Cambria" w:hAnsi="Cambria"/>
        </w:rPr>
        <w:instrText>ADDIN CSL_CITATION { "citationItems" : [ { "id" : "ITEM-1", "itemData" : { "DOI" : "10.1038/nm.1894", "ISSN" : "1078-8956", "abstract" : "A formalin-inactivated vaccine from the 1960s against respiratory syncytial virus (RSV) failed to protect children. Although scientists thought that its failure resulted from formalin disruption of protective antigens, it is now shown that it resulted from low antibody avidity for protective epitopes after poor Toll-like receptor (TLR) stimulation. RSV vaccines could therefore become effective by including TLR agonists in their formulation (pages 21\u201322).", "author" : [ { "dropping-particle" : "", "family" : "Delgado", "given" : "Maria Florencia", "non-dropping-particle" : "", "parse-names" : false, "suffix" : "" }, { "dropping-particle" : "", "family" : "Coviello", "given" : "Silvina", "non-dropping-particle" : "", "parse-names" : false, "suffix" : "" }, { "dropping-particle" : "", "family" : "Monsalvo", "given" : "A Clara", "non-dropping-particle" : "", "parse-names" : false, "suffix" : "" }, { "dropping-particle" : "", "family" : "Melendi", "given" : "Guillermina A", "non-dropping-particle" : "", "parse-names" : false, "suffix" : "" }, { "dropping-particle" : "", "family" : "Hernandez", "given" : "Johanna Zea", "non-dropping-particle" : "", "parse-names" : false, "suffix" : "" }, { "dropping-particle" : "", "family" : "Batalle", "given" : "Juan P", "non-dropping-particle" : "", "parse-names" : false, "suffix" : "" }, { "dropping-particle" : "", "family" : "Diaz", "given" : "Leandro", "non-dropping-particle" : "", "parse-names" : false, "suffix" : "" }, { "dropping-particle" : "", "family" : "Trento", "given" : "Alfonsina", "non-dropping-particle" : "", "parse-names" : false, "suffix" : "" }, { "dropping-particle" : "", "family" : "Chang", "given" : "Herng-Yu", "non-dropping-particle" : "", "parse-names" : false, "suffix" : "" }, { "dropping-particle" : "", "family" : "Mitzner", "given" : "Wayne", "non-dropping-particle" : "", "parse-names" : false, "suffix" : "" }, { "dropping-particle" : "", "family" : "Ravetch", "given" : "Jeffrey", "non-dropping-particle" : "", "parse-names" : false, "suffix" : "" }, { "dropping-particle" : "", "family" : "Melero", "given" : "Jos\u00e9 A", "non-dropping-particle" : "", "parse-names" : false, "suffix" : "" }, { "dropping-particle" : "", "family" : "Irusta", "given" : "Pablo M", "non-dropping-particle" : "", "parse-names" : false, "suffix" : "" }, { "dropping-particle" : "", "family" : "Polack", "given" : "Fernando P", "non-dropping-particle" : "", "parse-names" : false, "suffix" : "" } ], "container-title" : "Nature Medicine", "id" : "ITEM-1", "issue" : "1", "issued" : { "date-parts" : [ [ "2009", "1", "14" ] ] }, "page" : "34-41", "title" : "Lack of antibody affinity maturation due to poor Toll-like receptor stimulation leads to enhanced respiratory syncytial virus disease", "type" : "article-journal", "volume" : "15" }, "uris" : [ "http://www.mendeley.com/documents/?uuid=eb06dbbe-c474-3387-bb92-9f015b5ebd93" ] } ], "mendeley" : { "formattedCitation" : "(23)", "plainTextFormattedCitation" : "(23)", "previouslyFormattedCitation" : "(23)" }, "properties" : { "noteIndex" : 0 }, "schema" : "https://github.com/citation-style-language/schema/raw/master/csl-citation.json" }</w:instrText>
      </w:r>
      <w:r w:rsidR="00521C2F">
        <w:rPr>
          <w:rFonts w:ascii="Cambria" w:hAnsi="Cambria"/>
        </w:rPr>
        <w:fldChar w:fldCharType="separate"/>
      </w:r>
      <w:r w:rsidR="009F500F" w:rsidRPr="009F500F">
        <w:rPr>
          <w:rFonts w:ascii="Cambria" w:hAnsi="Cambria"/>
          <w:noProof/>
        </w:rPr>
        <w:t>(23)</w:t>
      </w:r>
      <w:r w:rsidR="00521C2F">
        <w:rPr>
          <w:rFonts w:ascii="Cambria" w:hAnsi="Cambria"/>
        </w:rPr>
        <w:fldChar w:fldCharType="end"/>
      </w:r>
      <w:r w:rsidR="00521C2F">
        <w:rPr>
          <w:rFonts w:ascii="Cambria" w:hAnsi="Cambria"/>
        </w:rPr>
        <w:t>,</w:t>
      </w:r>
      <w:r w:rsidR="00BB2A91">
        <w:rPr>
          <w:rFonts w:ascii="Cambria" w:hAnsi="Cambria"/>
        </w:rPr>
        <w:t xml:space="preserve"> </w:t>
      </w:r>
      <w:r w:rsidR="00521C2F">
        <w:rPr>
          <w:rFonts w:ascii="Cambria" w:hAnsi="Cambria"/>
        </w:rPr>
        <w:t>followed by a T helper 2 (Th2) skewed immunologic response</w:t>
      </w:r>
      <w:r w:rsidR="00521C2F">
        <w:rPr>
          <w:rFonts w:ascii="Cambria" w:hAnsi="Cambria"/>
        </w:rPr>
        <w:fldChar w:fldCharType="begin" w:fldLock="1"/>
      </w:r>
      <w:r w:rsidR="00AC7A3A">
        <w:rPr>
          <w:rFonts w:ascii="Cambria" w:hAnsi="Cambria"/>
        </w:rPr>
        <w:instrText>ADDIN CSL_CITATION { "citationItems" : [ { "id" : "ITEM-1", "itemData" : { "DOI" : "10.1038/nm1456", "ISSN" : "1078-8956", "PMID" : "16862151", "abstract" : "Heat, oxidation and exposure to aldehydes create reactive carbonyl groups on proteins, targeting antigens to scavenger receptors. Formaldehyde is widely used in making vaccines, but has been associated with atypical enhanced disease during subsequent infection with paramyxoviruses. We show that carbonyl groups on formaldehyde-treated vaccine antigens boost T helper type 2 (T(H)2) responses and enhance respiratory syncytial virus (RSV) disease in mice, an effect partially reversible by chemical reduction of carbonyl groups.", "author" : [ { "dropping-particle" : "", "family" : "Moghaddam", "given" : "Amin", "non-dropping-particle" : "", "parse-names" : false, "suffix" : "" }, { "dropping-particle" : "", "family" : "Olszewska", "given" : "Wieslawa", "non-dropping-particle" : "", "parse-names" : false, "suffix" : "" }, { "dropping-particle" : "", "family" : "Wang", "given" : "Belinda", "non-dropping-particle" : "", "parse-names" : false, "suffix" : "" }, { "dropping-particle" : "", "family" : "Tregoning", "given" : "John S", "non-dropping-particle" : "", "parse-names" : false, "suffix" : "" }, { "dropping-particle" : "", "family" : "Helson", "given" : "Rebecca", "non-dropping-particle" : "", "parse-names" : false, "suffix" : "" }, { "dropping-particle" : "", "family" : "Sattentau", "given" : "Quentin J", "non-dropping-particle" : "", "parse-names" : false, "suffix" : "" }, { "dropping-particle" : "", "family" : "Openshaw", "given" : "Peter J M", "non-dropping-particle" : "", "parse-names" : false, "suffix" : "" } ], "container-title" : "Nature Medicine", "id" : "ITEM-1", "issue" : "8", "issued" : { "date-parts" : [ [ "2006", "8", "23" ] ] }, "page" : "905-907", "title" : "A potential molecular mechanism for hypersensitivity caused by formalin-inactivated vaccines", "type" : "article-journal", "volume" : "12" }, "uris" : [ "http://www.mendeley.com/documents/?uuid=89d997f9-7bd1-383f-b186-a9f9062f2738" ] } ], "mendeley" : { "formattedCitation" : "(24)", "plainTextFormattedCitation" : "(24)", "previouslyFormattedCitation" : "(24)" }, "properties" : { "noteIndex" : 0 }, "schema" : "https://github.com/citation-style-language/schema/raw/master/csl-citation.json" }</w:instrText>
      </w:r>
      <w:r w:rsidR="00521C2F">
        <w:rPr>
          <w:rFonts w:ascii="Cambria" w:hAnsi="Cambria"/>
        </w:rPr>
        <w:fldChar w:fldCharType="separate"/>
      </w:r>
      <w:r w:rsidR="009F500F" w:rsidRPr="009F500F">
        <w:rPr>
          <w:rFonts w:ascii="Cambria" w:hAnsi="Cambria"/>
          <w:noProof/>
        </w:rPr>
        <w:t>(24)</w:t>
      </w:r>
      <w:r w:rsidR="00521C2F">
        <w:rPr>
          <w:rFonts w:ascii="Cambria" w:hAnsi="Cambria"/>
        </w:rPr>
        <w:fldChar w:fldCharType="end"/>
      </w:r>
      <w:r w:rsidR="00A03932">
        <w:rPr>
          <w:rFonts w:ascii="Cambria" w:hAnsi="Cambria"/>
        </w:rPr>
        <w:t xml:space="preserve"> which led to ERD upon natural RSV infection</w:t>
      </w:r>
      <w:r w:rsidR="00521C2F">
        <w:rPr>
          <w:rFonts w:ascii="Cambria" w:hAnsi="Cambria"/>
        </w:rPr>
        <w:t xml:space="preserve">. </w:t>
      </w:r>
      <w:r w:rsidR="00BB2A91">
        <w:rPr>
          <w:rFonts w:ascii="Cambria" w:hAnsi="Cambria"/>
        </w:rPr>
        <w:t>Other aspects of the immune response implicated in ERD include distinct subsets of CD4 cells</w:t>
      </w:r>
      <w:r w:rsidR="00BB2A91">
        <w:rPr>
          <w:rFonts w:ascii="Cambria" w:hAnsi="Cambria"/>
        </w:rPr>
        <w:fldChar w:fldCharType="begin" w:fldLock="1"/>
      </w:r>
      <w:r w:rsidR="00AC7A3A">
        <w:rPr>
          <w:rFonts w:ascii="Cambria" w:hAnsi="Cambria"/>
        </w:rPr>
        <w:instrText>ADDIN CSL_CITATION { "citationItems" : [ { "id" : "ITEM-1", "itemData" : { "DOI" : "10.1371/journal.ppat.1004757", "ISSN" : "1553-7374", "PMID" : "25769044", "abstract" : "There is no currently licensed vaccine for respiratory syncytial virus (RSV) despite being the leading cause of lower respiratory tract infections in children. Children previously immunized with a formalin-inactivated RSV (FI-RSV) vaccine exhibited enhanced respiratory disease following natural RSV infection. Subsequent studies in animal models have implicated roles for CD4 T cells, eosinophils and non-neutralizing antibodies in mediating enhanced respiratory disease. However, the underlying immunological mechanisms responsible for the enhanced respiratory disease and other disease manifestations associated with FI-RSV vaccine-enhanced disease remain unclear. We demonstrate for the first time that while CD4 T cells mediate all aspects of vaccine-enhanced disease, distinct CD4 T cell subsets orchestrate discrete and specific disease parameters. A Th2-biased immune response, but not eosinophils specifically, was required for airway hyperreactivity and mucus hypersecretion. In contrast, the Th1-associated cytokine TNF-\u03b1 was necessary to mediate airway obstruction and weight loss. Our data demonstrate that individual disease manifestations associated with FI-RSV vaccine-enhanced disease are mediated by distinct subsets of CD4 T cells.", "author" : [ { "dropping-particle" : "", "family" : "Knudson", "given" : "Cory J.", "non-dropping-particle" : "", "parse-names" : false, "suffix" : "" }, { "dropping-particle" : "", "family" : "Hartwig", "given" : "Stacey M.", "non-dropping-particle" : "", "parse-names" : false, "suffix" : "" }, { "dropping-particle" : "", "family" : "Meyerholz", "given" : "David K.", "non-dropping-particle" : "", "parse-names" : false, "suffix" : "" }, { "dropping-particle" : "", "family" : "Varga", "given" : "Steven M.", "non-dropping-particle" : "", "parse-names" : false, "suffix" : "" } ], "container-title" : "PLOS Pathogens", "editor" : [ { "dropping-particle" : "", "family" : "Thomas", "given" : "Paul G.", "non-dropping-particle" : "", "parse-names" : false, "suffix" : "" } ], "id" : "ITEM-1", "issue" : "3", "issued" : { "date-parts" : [ [ "2015", "3", "13" ] ] }, "page" : "e1004757", "title" : "RSV Vaccine-Enhanced Disease Is Orchestrated by the Combined Actions of Distinct CD4 T Cell Subsets", "type" : "article-journal", "volume" : "11" }, "uris" : [ "http://www.mendeley.com/documents/?uuid=7da72130-503a-3c69-8312-14a02d57c627" ] } ], "mendeley" : { "formattedCitation" : "(25)", "plainTextFormattedCitation" : "(25)", "previouslyFormattedCitation" : "(25)" }, "properties" : { "noteIndex" : 0 }, "schema" : "https://github.com/citation-style-language/schema/raw/master/csl-citation.json" }</w:instrText>
      </w:r>
      <w:r w:rsidR="00BB2A91">
        <w:rPr>
          <w:rFonts w:ascii="Cambria" w:hAnsi="Cambria"/>
        </w:rPr>
        <w:fldChar w:fldCharType="separate"/>
      </w:r>
      <w:r w:rsidR="009F500F" w:rsidRPr="009F500F">
        <w:rPr>
          <w:rFonts w:ascii="Cambria" w:hAnsi="Cambria"/>
          <w:noProof/>
        </w:rPr>
        <w:t>(25)</w:t>
      </w:r>
      <w:r w:rsidR="00BB2A91">
        <w:rPr>
          <w:rFonts w:ascii="Cambria" w:hAnsi="Cambria"/>
        </w:rPr>
        <w:fldChar w:fldCharType="end"/>
      </w:r>
      <w:r w:rsidR="00BB2A91">
        <w:rPr>
          <w:rFonts w:ascii="Cambria" w:hAnsi="Cambria"/>
        </w:rPr>
        <w:t xml:space="preserve"> and memory CD8 T cells</w:t>
      </w:r>
      <w:r w:rsidR="00BB2A91">
        <w:rPr>
          <w:rFonts w:ascii="Cambria" w:hAnsi="Cambria"/>
        </w:rPr>
        <w:fldChar w:fldCharType="begin" w:fldLock="1"/>
      </w:r>
      <w:r w:rsidR="00AC7A3A">
        <w:rPr>
          <w:rFonts w:ascii="Cambria" w:hAnsi="Cambria"/>
        </w:rPr>
        <w:instrText>ADDIN CSL_CITATION { "citationItems" : [ { "id" : "ITEM-1", "itemData" : { "DOI" : "10.1371/journal.ppat.1006810", "ISSN" : "1553-7374", "PMID" : "29293660", "abstract" : "Memory CD8 T cells can provide protection from re-infection by respiratory viruses such as influenza and SARS. However, the relative contribution of memory CD8 T cells in providing protection against respiratory syncytial virus (RSV) infection is currently unclear. To address this knowledge gap, we utilized a prime-boost immunization approach to induce robust memory CD8 T cell responses in the absence of RSV-specific CD4 T cells and antibodies. Unexpectedly, RSV infection of mice with pre-existing CD8 T cell memory led to exacerbated weight loss, pulmonary disease, and lethal immunopathology. The exacerbated disease in immunized mice was not epitope-dependent and occurred despite a significant reduction in RSV viral titers. In addition, the lethal immunopathology was unique to the context of an RSV infection as mice were protected from a normally lethal challenge with a recombinant influenza virus expressing an RSV epitope. Memory CD8 T cells rapidly produced IFN-\u03b3 following RSV infection resulting in elevated protein levels in the lung and periphery. Neutralization of IFN-\u03b3 in the respiratory tract reduced morbidity and prevented mortality. These results demonstrate that in contrast to other respiratory viruses, RSV-specific memory CD8 T cells can induce lethal immunopathology despite mediating enhanced viral clearance.", "author" : [ { "dropping-particle" : "", "family" : "Schmidt", "given" : "Megan E", "non-dropping-particle" : "", "parse-names" : false, "suffix" : "" }, { "dropping-particle" : "", "family" : "Knudson", "given" : "Cory J", "non-dropping-particle" : "", "parse-names" : false, "suffix" : "" }, { "dropping-particle" : "", "family" : "Hartwig", "given" : "Stacey M", "non-dropping-particle" : "", "parse-names" : false, "suffix" : "" }, { "dropping-particle" : "", "family" : "Pewe", "given" : "Lecia L", "non-dropping-particle" : "", "parse-names" : false, "suffix" : "" }, { "dropping-particle" : "", "family" : "Meyerholz", "given" : "David K", "non-dropping-particle" : "", "parse-names" : false, "suffix" : "" }, { "dropping-particle" : "", "family" : "Langlois", "given" : "Ryan A", "non-dropping-particle" : "", "parse-names" : false, "suffix" : "" }, { "dropping-particle" : "", "family" : "Harty", "given" : "John T", "non-dropping-particle" : "", "parse-names" : false, "suffix" : "" }, { "dropping-particle" : "", "family" : "Varga", "given" : "Steven M", "non-dropping-particle" : "", "parse-names" : false, "suffix" : "" } ], "container-title" : "PLoS pathogens", "id" : "ITEM-1", "issue" : "1", "issued" : { "date-parts" : [ [ "2018", "1" ] ] }, "page" : "e1006810", "publisher" : "Public Library of Science", "title" : "Memory CD8 T cells mediate severe immunopathology following respiratory syncytial virus infection.", "type" : "article-journal", "volume" : "14" }, "uris" : [ "http://www.mendeley.com/documents/?uuid=a098b1c3-235e-37a4-9ee8-7c45ed143c8c" ] } ], "mendeley" : { "formattedCitation" : "(26)", "plainTextFormattedCitation" : "(26)", "previouslyFormattedCitation" : "(26)" }, "properties" : { "noteIndex" : 0 }, "schema" : "https://github.com/citation-style-language/schema/raw/master/csl-citation.json" }</w:instrText>
      </w:r>
      <w:r w:rsidR="00BB2A91">
        <w:rPr>
          <w:rFonts w:ascii="Cambria" w:hAnsi="Cambria"/>
        </w:rPr>
        <w:fldChar w:fldCharType="separate"/>
      </w:r>
      <w:r w:rsidR="009F500F" w:rsidRPr="009F500F">
        <w:rPr>
          <w:rFonts w:ascii="Cambria" w:hAnsi="Cambria"/>
          <w:noProof/>
        </w:rPr>
        <w:t>(26)</w:t>
      </w:r>
      <w:r w:rsidR="00BB2A91">
        <w:rPr>
          <w:rFonts w:ascii="Cambria" w:hAnsi="Cambria"/>
        </w:rPr>
        <w:fldChar w:fldCharType="end"/>
      </w:r>
      <w:r w:rsidR="00BB2A91">
        <w:rPr>
          <w:rFonts w:ascii="Cambria" w:hAnsi="Cambria"/>
        </w:rPr>
        <w:t xml:space="preserve">. </w:t>
      </w:r>
      <w:r w:rsidR="00521C2F">
        <w:rPr>
          <w:rFonts w:ascii="Cambria" w:hAnsi="Cambria"/>
        </w:rPr>
        <w:t>The failure to mount a protective cytotoxic T lymphocyte (CTL) response was coupled with excess lung eosinophilia and neutrophilia, monocytic infiltration, and immune complex deposition in the lungs</w:t>
      </w:r>
      <w:r w:rsidR="00521C2F">
        <w:rPr>
          <w:rFonts w:ascii="Cambria" w:hAnsi="Cambria"/>
        </w:rPr>
        <w:fldChar w:fldCharType="begin" w:fldLock="1"/>
      </w:r>
      <w:r w:rsidR="00AC7A3A">
        <w:rPr>
          <w:rFonts w:ascii="Cambria" w:hAnsi="Cambria"/>
        </w:rPr>
        <w:instrText>ADDIN CSL_CITATION { "citationItems" : [ { "id" : "ITEM-1", "itemData" : { "DOI" : "10.1128/CVI.00609-15", "ISSN" : "1556-679X", "PMID" : "26677198", "abstract" : "In 1967, infants and toddlers immunized with a formalin-inactivated vaccine against respiratory syncytial virus (RSV) experienced an enhanced form of RSV disease characterized by high fever, bronchopneumonia, and wheezing when they became infected with wild-type virus in the community. Hospitalizations were frequent, and two immunized toddlers died upon infection with wild-type RSV. The enhanced disease was initially characterized as a \"peribronchiolar monocytic infiltration with some excess in eosinophils.\" Decades of research defined enhanced RSV disease (ERD) as the result of immunization with antigens not processed in the cytoplasm, resulting in a nonprotective antibody response and CD4(+) T helper priming in the absence of cytotoxic T lymphocytes. This response to vaccination led to a pathogenic Th2 memory response with eosinophil and immune complex deposition in the lungs after RSV infection. In recent years, the field of RSV experienced significant changes. Numerous vaccine candidates with novel designs and formulations are approaching clinical trials, defying our previous understanding of favorable parameters for ERD. This review provides a succinct analysis of these parameters and explores criteria for assessing the risk of ERD in new vaccine candidates.", "author" : [ { "dropping-particle" : "", "family" : "Acosta", "given" : "Patricio L", "non-dropping-particle" : "", "parse-names" : false, "suffix" : "" }, { "dropping-particle" : "", "family" : "Caballero", "given" : "Mauricio T", "non-dropping-particle" : "", "parse-names" : false, "suffix" : "" }, { "dropping-particle" : "", "family" : "Polack", "given" : "Fernando P", "non-dropping-particle" : "", "parse-names" : false, "suffix" : "" } ], "container-title" : "Clinical and vaccine immunology : CVI", "id" : "ITEM-1", "issue" : "3", "issued" : { "date-parts" : [ [ "2015", "12", "16" ] ] }, "page" : "189-95", "title" : "Brief History and Characterization of Enhanced Respiratory Syncytial Virus Disease.", "type" : "article-journal", "volume" : "23" }, "uris" : [ "http://www.mendeley.com/documents/?uuid=c718d0b6-a1cb-3d10-97a4-bd7083961fa5" ] } ], "mendeley" : { "formattedCitation" : "(27)", "plainTextFormattedCitation" : "(27)", "previouslyFormattedCitation" : "(27)" }, "properties" : { "noteIndex" : 0 }, "schema" : "https://github.com/citation-style-language/schema/raw/master/csl-citation.json" }</w:instrText>
      </w:r>
      <w:r w:rsidR="00521C2F">
        <w:rPr>
          <w:rFonts w:ascii="Cambria" w:hAnsi="Cambria"/>
        </w:rPr>
        <w:fldChar w:fldCharType="separate"/>
      </w:r>
      <w:r w:rsidR="009F500F" w:rsidRPr="009F500F">
        <w:rPr>
          <w:rFonts w:ascii="Cambria" w:hAnsi="Cambria"/>
          <w:noProof/>
        </w:rPr>
        <w:t>(27)</w:t>
      </w:r>
      <w:r w:rsidR="00521C2F">
        <w:rPr>
          <w:rFonts w:ascii="Cambria" w:hAnsi="Cambria"/>
        </w:rPr>
        <w:fldChar w:fldCharType="end"/>
      </w:r>
      <w:r w:rsidR="00521C2F">
        <w:rPr>
          <w:rFonts w:ascii="Cambria" w:hAnsi="Cambria"/>
        </w:rPr>
        <w:t xml:space="preserve">. </w:t>
      </w:r>
    </w:p>
    <w:p w14:paraId="09E20DF7" w14:textId="43D2B69B" w:rsidR="00557DE4" w:rsidRDefault="008E76B2" w:rsidP="005A0B3F">
      <w:pPr>
        <w:ind w:firstLine="720"/>
        <w:jc w:val="both"/>
        <w:rPr>
          <w:rFonts w:ascii="Cambria" w:hAnsi="Cambria"/>
        </w:rPr>
      </w:pPr>
      <w:r>
        <w:rPr>
          <w:rFonts w:ascii="Cambria" w:hAnsi="Cambria"/>
        </w:rPr>
        <w:t>Nevertheless,</w:t>
      </w:r>
      <w:r w:rsidR="00E52B09">
        <w:rPr>
          <w:rFonts w:ascii="Cambria" w:hAnsi="Cambria"/>
        </w:rPr>
        <w:t xml:space="preserve"> work continued on development and human testing of live-attenuated RSV vaccine candidates</w:t>
      </w:r>
      <w:r w:rsidR="00F26F88">
        <w:rPr>
          <w:rFonts w:ascii="Cambria" w:hAnsi="Cambria"/>
        </w:rPr>
        <w:t>.</w:t>
      </w:r>
      <w:r w:rsidR="004C40BB">
        <w:rPr>
          <w:rFonts w:ascii="Cambria" w:hAnsi="Cambria"/>
        </w:rPr>
        <w:t xml:space="preserve"> </w:t>
      </w:r>
      <w:r w:rsidR="00217499">
        <w:rPr>
          <w:rFonts w:ascii="Cambria" w:hAnsi="Cambria"/>
        </w:rPr>
        <w:t xml:space="preserve">In the following 60 years, </w:t>
      </w:r>
      <w:r w:rsidR="001D7D10">
        <w:rPr>
          <w:rFonts w:ascii="Cambria" w:hAnsi="Cambria"/>
        </w:rPr>
        <w:t>only two</w:t>
      </w:r>
      <w:r w:rsidR="00D9667C">
        <w:rPr>
          <w:rFonts w:ascii="Cambria" w:hAnsi="Cambria"/>
        </w:rPr>
        <w:t xml:space="preserve"> products </w:t>
      </w:r>
      <w:r w:rsidR="001D7D10">
        <w:rPr>
          <w:rFonts w:ascii="Cambria" w:hAnsi="Cambria"/>
        </w:rPr>
        <w:t xml:space="preserve">were </w:t>
      </w:r>
      <w:r w:rsidR="00D9667C">
        <w:rPr>
          <w:rFonts w:ascii="Cambria" w:hAnsi="Cambria"/>
        </w:rPr>
        <w:t>license</w:t>
      </w:r>
      <w:r w:rsidR="00217499">
        <w:rPr>
          <w:rFonts w:ascii="Cambria" w:hAnsi="Cambria"/>
        </w:rPr>
        <w:t>d</w:t>
      </w:r>
      <w:r w:rsidR="00D9667C">
        <w:rPr>
          <w:rFonts w:ascii="Cambria" w:hAnsi="Cambria"/>
        </w:rPr>
        <w:t xml:space="preserve"> for prevention of RSV</w:t>
      </w:r>
      <w:r w:rsidR="00DD1FA4">
        <w:rPr>
          <w:rFonts w:ascii="Cambria" w:hAnsi="Cambria"/>
        </w:rPr>
        <w:t>:</w:t>
      </w:r>
      <w:r w:rsidR="001D7D10">
        <w:rPr>
          <w:rFonts w:ascii="Cambria" w:hAnsi="Cambria"/>
        </w:rPr>
        <w:t xml:space="preserve"> </w:t>
      </w:r>
      <w:r w:rsidR="00E81CBF">
        <w:rPr>
          <w:rFonts w:ascii="Cambria" w:hAnsi="Cambria"/>
        </w:rPr>
        <w:t>RSV intravenous immunoglobulin (</w:t>
      </w:r>
      <w:r w:rsidR="003C31A8">
        <w:rPr>
          <w:rFonts w:ascii="Cambria" w:hAnsi="Cambria"/>
        </w:rPr>
        <w:t>RSV-IVIG</w:t>
      </w:r>
      <w:r w:rsidR="00FB31C6">
        <w:rPr>
          <w:rFonts w:ascii="Cambria" w:hAnsi="Cambria"/>
        </w:rPr>
        <w:t>)</w:t>
      </w:r>
      <w:r w:rsidR="00E728E1">
        <w:rPr>
          <w:rFonts w:ascii="Cambria" w:hAnsi="Cambria"/>
        </w:rPr>
        <w:t xml:space="preserve">, a polyclonal immunoglobulin preparation with high titers of anti-RSV neutralizing </w:t>
      </w:r>
      <w:r>
        <w:rPr>
          <w:rFonts w:ascii="Cambria" w:hAnsi="Cambria"/>
        </w:rPr>
        <w:t>activity</w:t>
      </w:r>
      <w:r w:rsidR="00FB31C6">
        <w:rPr>
          <w:rFonts w:ascii="Cambria" w:hAnsi="Cambria"/>
        </w:rPr>
        <w:t>,</w:t>
      </w:r>
      <w:r w:rsidR="003C31A8">
        <w:rPr>
          <w:rFonts w:ascii="Cambria" w:hAnsi="Cambria"/>
        </w:rPr>
        <w:t xml:space="preserve"> </w:t>
      </w:r>
      <w:r w:rsidR="00FB31C6">
        <w:rPr>
          <w:rFonts w:ascii="Cambria" w:hAnsi="Cambria"/>
        </w:rPr>
        <w:t xml:space="preserve">that </w:t>
      </w:r>
      <w:r w:rsidR="00000C68">
        <w:rPr>
          <w:rFonts w:ascii="Cambria" w:hAnsi="Cambria"/>
        </w:rPr>
        <w:t>was</w:t>
      </w:r>
      <w:r w:rsidR="003C31A8">
        <w:rPr>
          <w:rFonts w:ascii="Cambria" w:hAnsi="Cambria"/>
        </w:rPr>
        <w:t xml:space="preserve"> approved in the United States and Canada and discontinued after 2003</w:t>
      </w:r>
      <w:r w:rsidR="00D9667C">
        <w:rPr>
          <w:rFonts w:ascii="Cambria" w:hAnsi="Cambria"/>
        </w:rPr>
        <w:t xml:space="preserve"> </w:t>
      </w:r>
      <w:r w:rsidR="003C31A8">
        <w:rPr>
          <w:rFonts w:ascii="Cambria" w:hAnsi="Cambria"/>
        </w:rPr>
        <w:t>when replaced by</w:t>
      </w:r>
      <w:r w:rsidR="00CE2F6C">
        <w:rPr>
          <w:rFonts w:ascii="Cambria" w:hAnsi="Cambria"/>
        </w:rPr>
        <w:t xml:space="preserve"> </w:t>
      </w:r>
      <w:r w:rsidR="008C32D4">
        <w:rPr>
          <w:rFonts w:ascii="Cambria" w:hAnsi="Cambria"/>
        </w:rPr>
        <w:t>palivizumab</w:t>
      </w:r>
      <w:r w:rsidR="000C3CC7">
        <w:rPr>
          <w:rFonts w:ascii="Cambria" w:hAnsi="Cambria"/>
        </w:rPr>
        <w:t>,</w:t>
      </w:r>
      <w:r w:rsidR="00CE2F6C" w:rsidDel="00CE2F6C">
        <w:rPr>
          <w:rFonts w:ascii="Cambria" w:hAnsi="Cambria"/>
        </w:rPr>
        <w:t xml:space="preserve"> </w:t>
      </w:r>
      <w:r w:rsidR="000C3CC7">
        <w:rPr>
          <w:rFonts w:ascii="Cambria" w:hAnsi="Cambria"/>
        </w:rPr>
        <w:t xml:space="preserve">a humanized </w:t>
      </w:r>
      <w:r w:rsidR="00441571">
        <w:rPr>
          <w:rFonts w:ascii="Cambria" w:hAnsi="Cambria"/>
        </w:rPr>
        <w:t>mAb</w:t>
      </w:r>
      <w:r w:rsidR="000C3CC7">
        <w:rPr>
          <w:rFonts w:ascii="Cambria" w:hAnsi="Cambria"/>
        </w:rPr>
        <w:t xml:space="preserve"> directed against the RSV F </w:t>
      </w:r>
      <w:r w:rsidR="000C3CC7">
        <w:rPr>
          <w:rFonts w:ascii="Cambria" w:hAnsi="Cambria"/>
        </w:rPr>
        <w:lastRenderedPageBreak/>
        <w:t>glycoprotein</w:t>
      </w:r>
      <w:r w:rsidR="004E1A7F">
        <w:rPr>
          <w:rFonts w:ascii="Cambria" w:hAnsi="Cambria"/>
        </w:rPr>
        <w:fldChar w:fldCharType="begin" w:fldLock="1"/>
      </w:r>
      <w:r w:rsidR="00AC7A3A">
        <w:rPr>
          <w:rFonts w:ascii="Cambria" w:hAnsi="Cambria"/>
        </w:rPr>
        <w:instrText>ADDIN CSL_CITATION { "citationItems" : [ { "id" : "ITEM-1", "itemData" : { "ISSN" : "0031-4005", "PMID" : "7700741", "abstract" : "OBJECTIVE To evaluate the safety and efficacy of respiratory syncytial virus immune globulin (RSVIG) in the prevention of severe respiratory syncytial virus (RSV) lower respiratory tract infection (LRTI) in infants born prematurely with or without bronchopulmonary dysplasia (BPD). METHODS Data from a prospective, blinded, randomized, multicenter trial during three consecutive RSV seasons involving 249 children. This analysis comprises 162 preterm children, of whom 102 had BPD. The 87 children with congenital heart disease (CHD) were excluded from this analysis. Children were randomized to receive monthly infusions of RSVIG 750 mg/kg (high dose), RSVIG 150 mg/kg (low dose), or no RSVIG: Results from the preterm infants with and without BPD who received RSVIG 750 mg/kg are contrasted with control infants who did not receive RSVIG: RESULTS As compared with controls, high-dose RSVIG administration significantly reduced the incidences of RSV LRTI (P = .01) and moderate-to-severe LRTI (P = .006). RSV-associated hospitalization also was decreased (P = .06) as well as were total RSV-associated days in the intensive care unit (P = .05). Significantly fewer preterm infants developed severe RSV LRTI in the RSVIG group compared with controls (4/58 [7%] vs 14/58 [24%], respectively; P = .01). Adverse reactions occurred in 5% of RSVIG infusions. These were generally mild and included reversible fluid overload, transient fever, and decreases in oxygen saturation. There was one death unrelated to either RSV or RSVIG administration. CONCLUSIONS Prophylaxis with RSVIG is safe and is currently the only effective means to prevent severe RSV LRTI in high-risk preterm infants.", "author" : [ { "dropping-particle" : "", "family" : "Groothuis", "given" : "J R", "non-dropping-particle" : "", "parse-names" : false, "suffix" : "" }, { "dropping-particle" : "", "family" : "Simoes", "given" : "E A", "non-dropping-particle" : "", "parse-names" : false, "suffix" : "" }, { "dropping-particle" : "", "family" : "Hemming", "given" : "V G", "non-dropping-particle" : "", "parse-names" : false, "suffix" : "" } ], "container-title" : "Pediatrics", "id" : "ITEM-1", "issue" : "4", "issued" : { "date-parts" : [ [ "1995", "4" ] ] }, "page" : "463-7", "title" : "Respiratory syncytial virus (RSV) infection in preterm infants and the protective effects of RSV immune globulin (RSVIG). Respiratory Syncytial Virus Immune Globulin Study Group.", "type" : "article-journal", "volume" : "95" }, "uris" : [ "http://www.mendeley.com/documents/?uuid=d17a58e3-ff5b-380f-a5f8-3f795610ef67" ] }, { "id" : "ITEM-2", "itemData" : { "PMID" : "9738173", "abstract" : "OBJECTIVE To determine the safety and efficacy of prophylaxis with palivizumab in reducing the incidence of hospitalization because of respiratory syncytial virus (RSV) infection in high-risk infants. METHODS A randomized, double-blind, placebo-controlled trial was conducted at 139 centers in the United States, the United Kingdom, and Canada. During the 1996 to 1997 RSV season, 1502 children with prematurity (less than or equal to 35 weeks) or bronchopulmonary dysplasia (BPD) were randomized to receive 5 injections of either palivizumab (15 mg/kg) or an equivalent volume of placebo by intramuscular injection every 30 days. The primary endpoint was hospitalization with confirmed RSV infection. Children were followed for 150 days (30 days from the last injection). Those with hospitalization as a result of RSV infection were evaluated for total number of days in the hospital, total days with increased supplemental oxygen, total days with moderate or severe lower respiratory tract illness, and incidence and total days of intensive care and mechanical ventilation. The incidence of hospitalization for respiratory illness not caused by RSV and the incidence of otitis media were also evaluated. The placebo and palivizumab groups were balanced at entry for demographics and RSV risk factors. Ninety-nine percent of children in both groups completed the protocol and approximately 93% received all five scheduled injections. RESULTS Palivizumab prophylaxis resulted in a 55% reduction in hospitalization as a result of RSV (10.6% placebo vs 4.8% palivizumab). Children with prematurity but without BPD had a 78% reduction in RSV hospitalization (8.1% vs 1.8%); children with BPD had a 39% reduction (12.8% vs 7.9%). When gender, entry age, entry weight, BPD, and gestational age were included in a logistic regression model, the effect of prophylaxis with palivizumab remained statistically significant. The palivizumab group had proportionally fewer total RSV hospital days, fewer RSV hospital days with increased oxygen, fewer RSV hospital days with a moderate/severe lower respiratory tract illness, and a lower incidence of intensive care unit admission. Palivizumab was safe and well tolerated. No significant differences were observed in reported adverse events between the two groups. Few children discontinued injections for related adverse events (0.3%). Reactions at the site of injection were uncommon (1.8% placebo vs 2.7% palivizumab); the most frequent reaction was mild an\u2026", "author" : [ { "dropping-particle" : "", "family" : "IMpact Study Group", "given" : "", "non-dropping-particle" : "", "parse-names" : false, "suffix" : "" } ], "container-title" : "Pediatrics", "id" : "ITEM-2", "issue" : "3 Pt 1", "issued" : { "date-parts" : [ [ "1998", "9" ] ] }, "page" : "531-7", "title" : "Palivizumab, a humanized respiratory syncytial virus monoclonal antibody, reduces hospitalization from respiratory syncytial virus infection in high-risk infants. The IMpact-RSV Study Group.", "type" : "article-journal", "volume" : "102" }, "uris" : [ "http://www.mendeley.com/documents/?uuid=d8e38d7f-6209-3b02-99cc-be50f1099db1" ] } ], "mendeley" : { "formattedCitation" : "(28,29)", "plainTextFormattedCitation" : "(28,29)", "previouslyFormattedCitation" : "(28,29)" }, "properties" : { "noteIndex" : 0 }, "schema" : "https://github.com/citation-style-language/schema/raw/master/csl-citation.json" }</w:instrText>
      </w:r>
      <w:r w:rsidR="004E1A7F">
        <w:rPr>
          <w:rFonts w:ascii="Cambria" w:hAnsi="Cambria"/>
        </w:rPr>
        <w:fldChar w:fldCharType="separate"/>
      </w:r>
      <w:r w:rsidR="009F500F" w:rsidRPr="009F500F">
        <w:rPr>
          <w:rFonts w:ascii="Cambria" w:hAnsi="Cambria"/>
          <w:noProof/>
        </w:rPr>
        <w:t>(28,29)</w:t>
      </w:r>
      <w:r w:rsidR="004E1A7F">
        <w:rPr>
          <w:rFonts w:ascii="Cambria" w:hAnsi="Cambria"/>
        </w:rPr>
        <w:fldChar w:fldCharType="end"/>
      </w:r>
      <w:r w:rsidR="0096172E">
        <w:rPr>
          <w:rFonts w:ascii="Cambria" w:hAnsi="Cambria"/>
        </w:rPr>
        <w:t xml:space="preserve">. Since its </w:t>
      </w:r>
      <w:r w:rsidR="00117D6C">
        <w:rPr>
          <w:rFonts w:ascii="Cambria" w:hAnsi="Cambria"/>
        </w:rPr>
        <w:t xml:space="preserve">initial </w:t>
      </w:r>
      <w:r w:rsidR="0096172E">
        <w:rPr>
          <w:rFonts w:ascii="Cambria" w:hAnsi="Cambria"/>
        </w:rPr>
        <w:t>approval in 199</w:t>
      </w:r>
      <w:r w:rsidR="00D9667C">
        <w:rPr>
          <w:rFonts w:ascii="Cambria" w:hAnsi="Cambria"/>
        </w:rPr>
        <w:t xml:space="preserve">8, palivizumab </w:t>
      </w:r>
      <w:r w:rsidR="00B37A34">
        <w:rPr>
          <w:rFonts w:ascii="Cambria" w:hAnsi="Cambria"/>
        </w:rPr>
        <w:t xml:space="preserve">remains </w:t>
      </w:r>
      <w:r w:rsidR="00D9667C">
        <w:rPr>
          <w:rFonts w:ascii="Cambria" w:hAnsi="Cambria"/>
        </w:rPr>
        <w:t xml:space="preserve">the only </w:t>
      </w:r>
      <w:r w:rsidR="00FB31C6">
        <w:rPr>
          <w:rFonts w:ascii="Cambria" w:hAnsi="Cambria"/>
        </w:rPr>
        <w:t xml:space="preserve">licensed </w:t>
      </w:r>
      <w:r w:rsidR="000C3CC7">
        <w:rPr>
          <w:rFonts w:ascii="Cambria" w:hAnsi="Cambria"/>
        </w:rPr>
        <w:t>preventive intervention</w:t>
      </w:r>
      <w:r w:rsidR="00D9667C">
        <w:rPr>
          <w:rFonts w:ascii="Cambria" w:hAnsi="Cambria"/>
        </w:rPr>
        <w:t xml:space="preserve"> against RSV</w:t>
      </w:r>
      <w:r w:rsidR="00F022ED" w:rsidRPr="00F022ED">
        <w:rPr>
          <w:rFonts w:ascii="Cambria" w:hAnsi="Cambria"/>
        </w:rPr>
        <w:t xml:space="preserve"> </w:t>
      </w:r>
      <w:r w:rsidR="00F022ED">
        <w:rPr>
          <w:rFonts w:ascii="Cambria" w:hAnsi="Cambria"/>
        </w:rPr>
        <w:t>after demonstrating almost 80% reduction of RSV hospitalization in preterm infants (less than 35 weeks gestational age) without chronic lung disease</w:t>
      </w:r>
      <w:r w:rsidR="0096172E">
        <w:rPr>
          <w:rFonts w:ascii="Cambria" w:hAnsi="Cambria"/>
        </w:rPr>
        <w:fldChar w:fldCharType="begin" w:fldLock="1"/>
      </w:r>
      <w:r w:rsidR="00AC7A3A">
        <w:rPr>
          <w:rFonts w:ascii="Cambria" w:hAnsi="Cambria"/>
        </w:rPr>
        <w:instrText>ADDIN CSL_CITATION { "citationItems" : [ { "id" : "ITEM-1", "itemData" : { "PMID" : "9738173", "abstract" : "OBJECTIVE To determine the safety and efficacy of prophylaxis with palivizumab in reducing the incidence of hospitalization because of respiratory syncytial virus (RSV) infection in high-risk infants. METHODS A randomized, double-blind, placebo-controlled trial was conducted at 139 centers in the United States, the United Kingdom, and Canada. During the 1996 to 1997 RSV season, 1502 children with prematurity (less than or equal to 35 weeks) or bronchopulmonary dysplasia (BPD) were randomized to receive 5 injections of either palivizumab (15 mg/kg) or an equivalent volume of placebo by intramuscular injection every 30 days. The primary endpoint was hospitalization with confirmed RSV infection. Children were followed for 150 days (30 days from the last injection). Those with hospitalization as a result of RSV infection were evaluated for total number of days in the hospital, total days with increased supplemental oxygen, total days with moderate or severe lower respiratory tract illness, and incidence and total days of intensive care and mechanical ventilation. The incidence of hospitalization for respiratory illness not caused by RSV and the incidence of otitis media were also evaluated. The placebo and palivizumab groups were balanced at entry for demographics and RSV risk factors. Ninety-nine percent of children in both groups completed the protocol and approximately 93% received all five scheduled injections. RESULTS Palivizumab prophylaxis resulted in a 55% reduction in hospitalization as a result of RSV (10.6% placebo vs 4.8% palivizumab). Children with prematurity but without BPD had a 78% reduction in RSV hospitalization (8.1% vs 1.8%); children with BPD had a 39% reduction (12.8% vs 7.9%). When gender, entry age, entry weight, BPD, and gestational age were included in a logistic regression model, the effect of prophylaxis with palivizumab remained statistically significant. The palivizumab group had proportionally fewer total RSV hospital days, fewer RSV hospital days with increased oxygen, fewer RSV hospital days with a moderate/severe lower respiratory tract illness, and a lower incidence of intensive care unit admission. Palivizumab was safe and well tolerated. No significant differences were observed in reported adverse events between the two groups. Few children discontinued injections for related adverse events (0.3%). Reactions at the site of injection were uncommon (1.8% placebo vs 2.7% palivizumab); the most frequent reaction was mild an\u2026", "author" : [ { "dropping-particle" : "", "family" : "IMpact Study Group", "given" : "", "non-dropping-particle" : "", "parse-names" : false, "suffix" : "" } ], "container-title" : "Pediatrics", "id" : "ITEM-1", "issue" : "3 Pt 1", "issued" : { "date-parts" : [ [ "1998", "9" ] ] }, "page" : "531-7", "title" : "Palivizumab, a humanized respiratory syncytial virus monoclonal antibody, reduces hospitalization from respiratory syncytial virus infection in high-risk infants. The IMpact-RSV Study Group.", "type" : "article-journal", "volume" : "102" }, "uris" : [ "http://www.mendeley.com/documents/?uuid=d8e38d7f-6209-3b02-99cc-be50f1099db1" ] } ], "mendeley" : { "formattedCitation" : "(29)", "plainTextFormattedCitation" : "(29)", "previouslyFormattedCitation" : "(29)" }, "properties" : { "noteIndex" : 0 }, "schema" : "https://github.com/citation-style-language/schema/raw/master/csl-citation.json" }</w:instrText>
      </w:r>
      <w:r w:rsidR="0096172E">
        <w:rPr>
          <w:rFonts w:ascii="Cambria" w:hAnsi="Cambria"/>
        </w:rPr>
        <w:fldChar w:fldCharType="separate"/>
      </w:r>
      <w:r w:rsidR="009F500F" w:rsidRPr="009F500F">
        <w:rPr>
          <w:rFonts w:ascii="Cambria" w:hAnsi="Cambria"/>
          <w:noProof/>
        </w:rPr>
        <w:t>(29)</w:t>
      </w:r>
      <w:r w:rsidR="0096172E">
        <w:rPr>
          <w:rFonts w:ascii="Cambria" w:hAnsi="Cambria"/>
        </w:rPr>
        <w:fldChar w:fldCharType="end"/>
      </w:r>
      <w:r w:rsidR="00D9667C">
        <w:rPr>
          <w:rFonts w:ascii="Cambria" w:hAnsi="Cambria"/>
        </w:rPr>
        <w:t xml:space="preserve">. </w:t>
      </w:r>
      <w:r w:rsidR="00705567">
        <w:rPr>
          <w:rFonts w:ascii="Cambria" w:hAnsi="Cambria"/>
        </w:rPr>
        <w:t xml:space="preserve">Palivizumab has an excellent safety profile and is indicated </w:t>
      </w:r>
      <w:r w:rsidR="00B1562E">
        <w:rPr>
          <w:rFonts w:ascii="Cambria" w:hAnsi="Cambria"/>
        </w:rPr>
        <w:t xml:space="preserve">for the prevention of </w:t>
      </w:r>
      <w:r w:rsidR="003B1BC3">
        <w:rPr>
          <w:rFonts w:ascii="Cambria" w:hAnsi="Cambria"/>
        </w:rPr>
        <w:t>severe RSV ALRI</w:t>
      </w:r>
      <w:r w:rsidR="00B1562E">
        <w:rPr>
          <w:rFonts w:ascii="Cambria" w:hAnsi="Cambria"/>
        </w:rPr>
        <w:t xml:space="preserve"> in </w:t>
      </w:r>
      <w:r w:rsidR="00705567">
        <w:rPr>
          <w:rFonts w:ascii="Cambria" w:hAnsi="Cambria"/>
        </w:rPr>
        <w:t>children</w:t>
      </w:r>
      <w:r w:rsidR="00B1562E">
        <w:rPr>
          <w:rFonts w:ascii="Cambria" w:hAnsi="Cambria"/>
        </w:rPr>
        <w:t xml:space="preserve"> born </w:t>
      </w:r>
      <w:r w:rsidR="00DF69CF">
        <w:rPr>
          <w:rFonts w:ascii="Cambria" w:hAnsi="Cambria"/>
        </w:rPr>
        <w:t xml:space="preserve">prematurely, </w:t>
      </w:r>
      <w:r w:rsidR="00705567">
        <w:rPr>
          <w:rFonts w:ascii="Cambria" w:hAnsi="Cambria"/>
        </w:rPr>
        <w:t>with congenital heart disease</w:t>
      </w:r>
      <w:r w:rsidR="00DF69CF">
        <w:rPr>
          <w:rFonts w:ascii="Cambria" w:hAnsi="Cambria"/>
        </w:rPr>
        <w:t xml:space="preserve">, </w:t>
      </w:r>
      <w:r w:rsidR="00F11234">
        <w:rPr>
          <w:rFonts w:ascii="Cambria" w:hAnsi="Cambria"/>
        </w:rPr>
        <w:t>or</w:t>
      </w:r>
      <w:r w:rsidR="00DF69CF">
        <w:rPr>
          <w:rFonts w:ascii="Cambria" w:hAnsi="Cambria"/>
        </w:rPr>
        <w:t xml:space="preserve"> with </w:t>
      </w:r>
      <w:r w:rsidR="00FB31C6">
        <w:rPr>
          <w:rFonts w:ascii="Cambria" w:hAnsi="Cambria"/>
        </w:rPr>
        <w:t>chronic lung disease</w:t>
      </w:r>
      <w:r w:rsidR="009464BA">
        <w:rPr>
          <w:rFonts w:ascii="Cambria" w:hAnsi="Cambria"/>
        </w:rPr>
        <w:fldChar w:fldCharType="begin" w:fldLock="1"/>
      </w:r>
      <w:r w:rsidR="00AC7A3A">
        <w:rPr>
          <w:rFonts w:ascii="Cambria" w:hAnsi="Cambria"/>
        </w:rPr>
        <w:instrText>ADDIN CSL_CITATION { "citationItems" : [ { "id" : "ITEM-1", "itemData" : { "DOI" : "10.1542/peds.2014-1665", "ISSN" : "1098-4275", "PMID" : "25070315", "abstract" : "Palivizumab was licensed in June 1998 by the Food and Drug Administration for the reduction of serious lower respiratory tract infection caused by respiratory syncytial virus (RSV) in children at increased risk of severe disease. Since that time, the American Academy of Pediatrics has updated its guidance for the use of palivizumab 4 times as additional data became available to provide a better understanding of infants and young children at greatest risk of hospitalization attributable to RSV infection. The updated recommendations in this policy statement reflect new information regarding the seasonality of RSV circulation, palivizumab pharmacokinetics, the changing incidence of bronchiolitis hospitalizations, the effect of gestational age and other risk factors on RSV hospitalization rates, the mortality of children hospitalized with RSV infection, the effect of prophylaxis on wheezing, and palivizumab-resistant RSV isolates. This policy statement updates and replaces the recommendations found in the 2012 Red Book.", "container-title" : "Pediatrics", "id" : "ITEM-1", "issue" : "2", "issued" : { "date-parts" : [ [ "2014", "8" ] ] }, "page" : "415-20", "title" : "Updated guidance for palivizumab prophylaxis among infants and young children at increased risk of hospitalization for respiratory syncytial virus infection.", "type" : "article-journal", "volume" : "134" }, "uris" : [ "http://www.mendeley.com/documents/?uuid=8025d250-139a-4365-a904-a1099d5f794c" ] } ], "mendeley" : { "formattedCitation" : "(30)", "plainTextFormattedCitation" : "(30)", "previouslyFormattedCitation" : "(30)" }, "properties" : { "noteIndex" : 0 }, "schema" : "https://github.com/citation-style-language/schema/raw/master/csl-citation.json" }</w:instrText>
      </w:r>
      <w:r w:rsidR="009464BA">
        <w:rPr>
          <w:rFonts w:ascii="Cambria" w:hAnsi="Cambria"/>
        </w:rPr>
        <w:fldChar w:fldCharType="separate"/>
      </w:r>
      <w:r w:rsidR="009F500F" w:rsidRPr="009F500F">
        <w:rPr>
          <w:rFonts w:ascii="Cambria" w:hAnsi="Cambria"/>
          <w:noProof/>
        </w:rPr>
        <w:t>(30)</w:t>
      </w:r>
      <w:r w:rsidR="009464BA">
        <w:rPr>
          <w:rFonts w:ascii="Cambria" w:hAnsi="Cambria"/>
        </w:rPr>
        <w:fldChar w:fldCharType="end"/>
      </w:r>
      <w:r w:rsidR="00705567">
        <w:rPr>
          <w:rFonts w:ascii="Cambria" w:hAnsi="Cambria"/>
        </w:rPr>
        <w:t xml:space="preserve">. </w:t>
      </w:r>
    </w:p>
    <w:p w14:paraId="70A26086" w14:textId="0F39F5FA" w:rsidR="002D3B27" w:rsidRDefault="0031302F" w:rsidP="009B6291">
      <w:pPr>
        <w:ind w:firstLine="720"/>
        <w:jc w:val="both"/>
        <w:rPr>
          <w:rFonts w:ascii="Cambria" w:hAnsi="Cambria"/>
        </w:rPr>
      </w:pPr>
      <w:r>
        <w:rPr>
          <w:rFonts w:ascii="Cambria" w:hAnsi="Cambria"/>
        </w:rPr>
        <w:t>Motavizumab</w:t>
      </w:r>
      <w:r w:rsidR="00FB31C6">
        <w:rPr>
          <w:rFonts w:ascii="Cambria" w:hAnsi="Cambria"/>
        </w:rPr>
        <w:t xml:space="preserve">, a </w:t>
      </w:r>
      <w:r w:rsidR="00D9667C">
        <w:rPr>
          <w:rFonts w:ascii="Cambria" w:hAnsi="Cambria"/>
        </w:rPr>
        <w:t xml:space="preserve">higher affinity variant of palivizumab, was </w:t>
      </w:r>
      <w:r w:rsidR="00557DE4">
        <w:rPr>
          <w:rFonts w:ascii="Cambria" w:hAnsi="Cambria"/>
        </w:rPr>
        <w:t xml:space="preserve">developed </w:t>
      </w:r>
      <w:r w:rsidR="00C92FC3">
        <w:rPr>
          <w:rFonts w:ascii="Cambria" w:hAnsi="Cambria"/>
        </w:rPr>
        <w:t xml:space="preserve">in </w:t>
      </w:r>
      <w:r w:rsidR="00D9667C">
        <w:rPr>
          <w:rFonts w:ascii="Cambria" w:hAnsi="Cambria"/>
        </w:rPr>
        <w:t xml:space="preserve">early 2000 but </w:t>
      </w:r>
      <w:r w:rsidR="003B1BC3">
        <w:rPr>
          <w:rFonts w:ascii="Cambria" w:hAnsi="Cambria"/>
        </w:rPr>
        <w:t xml:space="preserve">was </w:t>
      </w:r>
      <w:r w:rsidR="00D9667C">
        <w:rPr>
          <w:rFonts w:ascii="Cambria" w:hAnsi="Cambria"/>
        </w:rPr>
        <w:t>withdrawn in 2010</w:t>
      </w:r>
      <w:r w:rsidR="007C74D2">
        <w:rPr>
          <w:rFonts w:ascii="Cambria" w:hAnsi="Cambria"/>
        </w:rPr>
        <w:fldChar w:fldCharType="begin" w:fldLock="1"/>
      </w:r>
      <w:r w:rsidR="00AC7A3A">
        <w:rPr>
          <w:rFonts w:ascii="Cambria" w:hAnsi="Cambria"/>
        </w:rPr>
        <w:instrText>ADDIN CSL_CITATION { "citationItems" : [ { "id" : "ITEM-1", "itemData" : { "DOI" : "10.1016/S1473-3099(15)00304-7", "ISSN" : "14733099", "PMID" : "26511957", "author" : [ { "dropping-particle" : "", "family" : "Mazur", "given" : "Natalie I", "non-dropping-particle" : "", "parse-names" : false, "suffix" : "" }, { "dropping-particle" : "", "family" : "Delden", "given" : "Johannes JM", "non-dropping-particle" : "van", "parse-names" : false, "suffix" : "" }, { "dropping-particle" : "", "family" : "Bont", "given" : "Louis J", "non-dropping-particle" : "", "parse-names" : false, "suffix" : "" } ], "container-title" : "The Lancet Infectious Diseases", "id" : "ITEM-1", "issue" : "12", "issued" : { "date-parts" : [ [ "2015", "12" ] ] }, "page" : "1363-1365", "title" : "Respiratory syncytial virus trials and beyond", "type" : "article-journal", "volume" : "15" }, "uris" : [ "http://www.mendeley.com/documents/?uuid=436182ab-b22f-33af-bb8d-236fae9380db" ] } ], "mendeley" : { "formattedCitation" : "(31)", "plainTextFormattedCitation" : "(31)", "previouslyFormattedCitation" : "(31)" }, "properties" : { "noteIndex" : 0 }, "schema" : "https://github.com/citation-style-language/schema/raw/master/csl-citation.json" }</w:instrText>
      </w:r>
      <w:r w:rsidR="007C74D2">
        <w:rPr>
          <w:rFonts w:ascii="Cambria" w:hAnsi="Cambria"/>
        </w:rPr>
        <w:fldChar w:fldCharType="separate"/>
      </w:r>
      <w:r w:rsidR="009F500F" w:rsidRPr="009F500F">
        <w:rPr>
          <w:rFonts w:ascii="Cambria" w:hAnsi="Cambria"/>
          <w:noProof/>
        </w:rPr>
        <w:t>(31)</w:t>
      </w:r>
      <w:r w:rsidR="007C74D2">
        <w:rPr>
          <w:rFonts w:ascii="Cambria" w:hAnsi="Cambria"/>
        </w:rPr>
        <w:fldChar w:fldCharType="end"/>
      </w:r>
      <w:r w:rsidR="00D9667C">
        <w:rPr>
          <w:rFonts w:ascii="Cambria" w:hAnsi="Cambria"/>
        </w:rPr>
        <w:t>.</w:t>
      </w:r>
      <w:r w:rsidR="00552C0E">
        <w:rPr>
          <w:rFonts w:ascii="Cambria" w:hAnsi="Cambria"/>
        </w:rPr>
        <w:t xml:space="preserve"> In a head-to-head comparative trial</w:t>
      </w:r>
      <w:r w:rsidR="008E76B2">
        <w:rPr>
          <w:rFonts w:ascii="Cambria" w:hAnsi="Cambria"/>
        </w:rPr>
        <w:t xml:space="preserve"> designed to show non-inferiority</w:t>
      </w:r>
      <w:r w:rsidR="00B962E6">
        <w:rPr>
          <w:rFonts w:ascii="Cambria" w:hAnsi="Cambria"/>
        </w:rPr>
        <w:t xml:space="preserve"> to palivizumab</w:t>
      </w:r>
      <w:r w:rsidR="008E76B2">
        <w:rPr>
          <w:rFonts w:ascii="Cambria" w:hAnsi="Cambria"/>
        </w:rPr>
        <w:t>,</w:t>
      </w:r>
      <w:r w:rsidR="00B962E6">
        <w:rPr>
          <w:rFonts w:ascii="Cambria" w:hAnsi="Cambria"/>
        </w:rPr>
        <w:t xml:space="preserve"> motavizumab recipients had a slightly higher frequency of</w:t>
      </w:r>
      <w:r w:rsidR="00705567">
        <w:rPr>
          <w:rFonts w:ascii="Cambria" w:hAnsi="Cambria"/>
        </w:rPr>
        <w:t xml:space="preserve"> mild skin reaction</w:t>
      </w:r>
      <w:r w:rsidR="00B962E6">
        <w:rPr>
          <w:rFonts w:ascii="Cambria" w:hAnsi="Cambria"/>
        </w:rPr>
        <w:t>s</w:t>
      </w:r>
      <w:r w:rsidR="00705567">
        <w:rPr>
          <w:rFonts w:ascii="Cambria" w:hAnsi="Cambria"/>
        </w:rPr>
        <w:t xml:space="preserve"> </w:t>
      </w:r>
      <w:r w:rsidR="00AF2B7D">
        <w:rPr>
          <w:rFonts w:ascii="Cambria" w:hAnsi="Cambria"/>
        </w:rPr>
        <w:t xml:space="preserve">following </w:t>
      </w:r>
      <w:r w:rsidR="00B962E6">
        <w:rPr>
          <w:rFonts w:ascii="Cambria" w:hAnsi="Cambria"/>
        </w:rPr>
        <w:t>administration</w:t>
      </w:r>
      <w:r w:rsidR="002D14EB">
        <w:rPr>
          <w:rFonts w:ascii="Cambria" w:hAnsi="Cambria"/>
        </w:rPr>
        <w:fldChar w:fldCharType="begin" w:fldLock="1"/>
      </w:r>
      <w:r w:rsidR="00AC7A3A">
        <w:rPr>
          <w:rFonts w:ascii="Cambria" w:hAnsi="Cambria"/>
        </w:rPr>
        <w:instrText>ADDIN CSL_CITATION { "citationItems" : [ { "id" : "ITEM-1", "itemData" : { "DOI" : "10.1203/PDR.0b013e318220a553", "ISSN" : "1530-0447", "PMID" : "21522037", "abstract" : "Children with hemodynamically significant congenital heart disease (CHD) are at risk for serious respiratory syncytial virus (RSV) disease. This study was designed to assess the safety and tolerability of motavizumab versus palivizumab in children with CHD and was not powered for efficacy. Patients (n = 1236) aged \u226424 mo were randomized to receive five monthly doses (15 mg/kg) of motavizumab or palivizumab during the RSV season. Adverse events (AEs) and serious AEs (SAEs) were recorded through 30 d after the last dose. RSV hospitalizations and RSV outpatient medically attended lower respiratory tract infections (MALRI; season 2) were summarized. Approximately 93 and 50% of patients reported an AE or SAE, respectively. Skin events occurred in 19.3% of motavizumab recipients and 16.2% of palivizumab recipients. Rates of hospitalizations and RSV MALRI were similar between treatment groups [relative risk (RR): 0.75; 95% CI, 0.34-1.59 and RR: 0.49; 95% CI, 0.10-1.99, respectively; both p &gt; 0.05]. Motavizumab and palivizumab had similar safety profiles in children with hemodynamically significantly CHD; with the exception of skin events which were increased in motavizumab recipients. Safety and efficacy were consistent with another study comparing motavizumab with palivizumab in premature infants without CHD.", "author" : [ { "dropping-particle" : "", "family" : "Feltes", "given" : "Timothy F", "non-dropping-particle" : "", "parse-names" : false, "suffix" : "" }, { "dropping-particle" : "", "family" : "Sondheimer", "given" : "Henry M", "non-dropping-particle" : "", "parse-names" : false, "suffix" : "" }, { "dropping-particle" : "", "family" : "Tulloh", "given" : "Robert M R", "non-dropping-particle" : "", "parse-names" : false, "suffix" : "" }, { "dropping-particle" : "", "family" : "Harris", "given" : "Brian S", "non-dropping-particle" : "", "parse-names" : false, "suffix" : "" }, { "dropping-particle" : "", "family" : "Jensen", "given" : "Kathryn M", "non-dropping-particle" : "", "parse-names" : false, "suffix" : "" }, { "dropping-particle" : "", "family" : "Losonsky", "given" : "Genevieve A", "non-dropping-particle" : "", "parse-names" : false, "suffix" : "" }, { "dropping-particle" : "", "family" : "Griffin", "given" : "M Pamela", "non-dropping-particle" : "", "parse-names" : false, "suffix" : "" } ], "container-title" : "Pediatric research", "id" : "ITEM-1", "issue" : "2", "issued" : { "date-parts" : [ [ "2011", "8" ] ] }, "page" : "186-91", "title" : "A randomized controlled trial of motavizumab versus palivizumab for the prophylaxis of serious respiratory syncytial virus disease in children with hemodynamically significant congenital heart disease.", "type" : "article-journal", "volume" : "70" }, "uris" : [ "http://www.mendeley.com/documents/?uuid=52fa9237-e8db-4a58-9e74-c88521e6954e" ] } ], "mendeley" : { "formattedCitation" : "(32)", "plainTextFormattedCitation" : "(32)", "previouslyFormattedCitation" : "(32)" }, "properties" : { "noteIndex" : 0 }, "schema" : "https://github.com/citation-style-language/schema/raw/master/csl-citation.json" }</w:instrText>
      </w:r>
      <w:r w:rsidR="002D14EB">
        <w:rPr>
          <w:rFonts w:ascii="Cambria" w:hAnsi="Cambria"/>
        </w:rPr>
        <w:fldChar w:fldCharType="separate"/>
      </w:r>
      <w:r w:rsidR="009F500F" w:rsidRPr="009F500F">
        <w:rPr>
          <w:rFonts w:ascii="Cambria" w:hAnsi="Cambria"/>
          <w:noProof/>
        </w:rPr>
        <w:t>(32)</w:t>
      </w:r>
      <w:r w:rsidR="002D14EB">
        <w:rPr>
          <w:rFonts w:ascii="Cambria" w:hAnsi="Cambria"/>
        </w:rPr>
        <w:fldChar w:fldCharType="end"/>
      </w:r>
      <w:r w:rsidR="00705567">
        <w:rPr>
          <w:rFonts w:ascii="Cambria" w:hAnsi="Cambria"/>
        </w:rPr>
        <w:t xml:space="preserve">. </w:t>
      </w:r>
      <w:r w:rsidR="00087DC9">
        <w:rPr>
          <w:rFonts w:ascii="Cambria" w:hAnsi="Cambria"/>
        </w:rPr>
        <w:t>Without</w:t>
      </w:r>
      <w:r w:rsidR="00B962E6">
        <w:rPr>
          <w:rFonts w:ascii="Cambria" w:hAnsi="Cambria"/>
        </w:rPr>
        <w:t xml:space="preserve"> evidence of superiority for protection from RSV-related hospitalization, evidence of slightly higher side effects, and no plan for dose reduction or cost-saving, the product did not attain regulatory approval</w:t>
      </w:r>
      <w:r w:rsidR="00464CF7">
        <w:rPr>
          <w:rFonts w:ascii="Cambria" w:hAnsi="Cambria"/>
        </w:rPr>
        <w:fldChar w:fldCharType="begin" w:fldLock="1"/>
      </w:r>
      <w:r w:rsidR="00AC7A3A">
        <w:rPr>
          <w:rFonts w:ascii="Cambria" w:hAnsi="Cambria"/>
        </w:rPr>
        <w:instrText>ADDIN CSL_CITATION { "citationItems" : [ { "id" : "ITEM-1", "itemData" : { "DOI" : "10.1203/PDR.0b013e318220a553", "ISSN" : "0031-3998", "PMID" : "21522037", "abstract" : "Children with hemodynamically significant congenital heart disease (CHD) are at risk for serious respiratory syncytial virus (RSV) disease. This study was designed to assess the safety and tolerability of motavizumab versus palivizumab in children with CHD and was not powered for efficacy. Patients (n = 1236) aged \u226424 mo were randomized to receive five monthly doses (15 mg/kg) of motavizumab or palivizumab during the RSV season. Adverse events (AEs) and serious AEs (SAEs) were recorded through 30 d after the last dose. RSV hospitalizations and RSV outpatient medically attended lower respiratory tract infections (MALRI; season 2) were summarized. Approximately 93 and 50% of patients reported an AE or SAE, respectively. Skin events occurred in 19.3% of motavizumab recipients and 16.2% of palivizumab recipients. Rates of hospitalizations and RSV MALRI were similar between treatment groups [relative risk (RR): 0.75; 95% CI, 0.34-1.59 and RR: 0.49; 95% CI, 0.10-1.99, respectively; both p &gt; 0.05]. Motavizumab and palivizumab had similar safety profiles in children with hemodynamically significantly CHD; with the exception of skin events which were increased in motavizumab recipients. Safety and efficacy were consistent with another study comparing motavizumab with palivizumab in premature infants without CHD.", "author" : [ { "dropping-particle" : "", "family" : "Feltes", "given" : "Timothy F", "non-dropping-particle" : "", "parse-names" : false, "suffix" : "" }, { "dropping-particle" : "", "family" : "Sondheimer", "given" : "Henry M", "non-dropping-particle" : "", "parse-names" : false, "suffix" : "" }, { "dropping-particle" : "", "family" : "Tulloh", "given" : "Robert M R", "non-dropping-particle" : "", "parse-names" : false, "suffix" : "" }, { "dropping-particle" : "", "family" : "Harris", "given" : "Brian S", "non-dropping-particle" : "", "parse-names" : false, "suffix" : "" }, { "dropping-particle" : "", "family" : "Jensen", "given" : "Kathryn M", "non-dropping-particle" : "", "parse-names" : false, "suffix" : "" }, { "dropping-particle" : "", "family" : "Losonsky", "given" : "Genevieve A", "non-dropping-particle" : "", "parse-names" : false, "suffix" : "" }, { "dropping-particle" : "", "family" : "Griffin", "given" : "M Pamela", "non-dropping-particle" : "", "parse-names" : false, "suffix" : "" }, { "dropping-particle" : "", "family" : "Motavizumab Cardiac Study Group", "given" : "", "non-dropping-particle" : "", "parse-names" : false, "suffix" : "" } ], "container-title" : "Pediatric Research", "id" : "ITEM-1", "issue" : "2", "issued" : { "date-parts" : [ [ "2011", "8" ] ] }, "page" : "186-191", "title" : "A Randomized Controlled Trial of Motavizumab Versus Palivizumab for the Prophylaxis of Serious Respiratory Syncytial Virus Disease in Children With Hemodynamically Significant Congenital Heart Disease", "type" : "article-journal", "volume" : "70" }, "uris" : [ "http://www.mendeley.com/documents/?uuid=23b9fe18-e998-3899-af28-041a94734e0d" ] }, { "id" : "ITEM-2", "itemData" : { "DOI" : "10.1542/peds.2008-1036", "ISSN" : "0031-4005", "PMID" : "20008423", "abstract" : "OBJECTIVE Palivizumab reduces respiratory syncytial virus (RSV) hospitalization in children at high risk by approximately 50% compared with placebo. We compared the efficacy and safety of motavizumab, an investigational monoclonal antibody with enhanced anti-RSV activity in preclinical studies, with palivizumab. METHODS This randomized, double-blind, multinational, phase 3, noninferiority trial assessed safety and RSV hospitalization in 6635 preterm infants aged &lt;or=6 months at enrollment or children aged &lt;or=24 months with chronic lung disease of prematurity who received 15 mg/kg palivizumab or motavizumab monthly. Secondary end points included outpatient medically attended lower respiratory tract infections (MALRIs), RSV-specific LRIs, otitis media, antibiotic use, development of antimotavizumab antibodies, and motavizumab serum concentrations. RESULTS Motavizumab recipients had a 26% relative reduction in RSV hospitalization compared with palivizumab recipients, achieving noninferiority. Motavizumab was superior to palivizumab for reduction of RSV-specific outpatient MALRIs (50% relative reduction). Overall, adverse events (AEs) were not significantly different between groups. Cutaneous events were reported in 2 percentage points more motavizumab recipients (7.2% vs 5.1%); most were mild, but 0.3% resulted in dosing discontinuation. Antidrug antibodies (ADA) were detected in 1.8% of motavizumab recipients. Patients with anti-drug antibody reported 6 RSV events and 17 cutaneous events. CONCLUSIONS Children receiving prophylaxis with motavizumab or palivizumab had low rates of RSV hospitalization; motavizumab recipients experienced 50% fewer RSV MALRIs than palivizumab recipients. AEs were similar in both groups, although cutaneous AEs were higher for motavizumab recipients. Motavizumab may offer an improved alternative in prophylaxis for serious RSV disease in infants and children at high risk.", "author" : [ { "dropping-particle" : "", "family" : "Carbonell-Estrany", "given" : "X.", "non-dropping-particle" : "", "parse-names" : false, "suffix" : "" }, { "dropping-particle" : "", "family" : "Simoes", "given" : "E. A. F.", "non-dropping-particle" : "", "parse-names" : false, "suffix" : "" }, { "dropping-particle" : "", "family" : "Dagan", "given" : "R.", "non-dropping-particle" : "", "parse-names" : false, "suffix" : "" }, { "dropping-particle" : "", "family" : "Hall", "given" : "C. B.", "non-dropping-particle" : "", "parse-names" : false, "suffix" : "" }, { "dropping-particle" : "", "family" : "Harris", "given" : "B.", "non-dropping-particle" : "", "parse-names" : false, "suffix" : "" }, { "dropping-particle" : "", "family" : "Hultquist", "given" : "M.", "non-dropping-particle" : "", "parse-names" : false, "suffix" : "" }, { "dropping-particle" : "", "family" : "Connor", "given" : "E. M.", "non-dropping-particle" : "", "parse-names" : false, "suffix" : "" }, { "dropping-particle" : "", "family" : "Losonsky", "given" : "G. A.", "non-dropping-particle" : "", "parse-names" : false, "suffix" : "" }, { "dropping-particle" : "", "family" : "Motavizumab Study Group", "given" : "", "non-dropping-particle" : "", "parse-names" : false, "suffix" : "" } ], "container-title" : "PEDIATRICS", "id" : "ITEM-2", "issue" : "1", "issued" : { "date-parts" : [ [ "2010", "1", "1" ] ] }, "page" : "e35-e51", "title" : "Motavizumab for Prophylaxis of Respiratory Syncytial Virus in High-Risk Children: A Noninferiority Trial", "type" : "article-journal", "volume" : "125" }, "uris" : [ "http://www.mendeley.com/documents/?uuid=90e472c9-3a34-3558-b12b-5be89db87a02" ] } ], "mendeley" : { "formattedCitation" : "(33,34)", "plainTextFormattedCitation" : "(33,34)", "previouslyFormattedCitation" : "(33,34)" }, "properties" : { "noteIndex" : 0 }, "schema" : "https://github.com/citation-style-language/schema/raw/master/csl-citation.json" }</w:instrText>
      </w:r>
      <w:r w:rsidR="00464CF7">
        <w:rPr>
          <w:rFonts w:ascii="Cambria" w:hAnsi="Cambria"/>
        </w:rPr>
        <w:fldChar w:fldCharType="separate"/>
      </w:r>
      <w:r w:rsidR="009F500F" w:rsidRPr="009F500F">
        <w:rPr>
          <w:rFonts w:ascii="Cambria" w:hAnsi="Cambria"/>
          <w:noProof/>
        </w:rPr>
        <w:t>(33,34)</w:t>
      </w:r>
      <w:r w:rsidR="00464CF7">
        <w:rPr>
          <w:rFonts w:ascii="Cambria" w:hAnsi="Cambria"/>
        </w:rPr>
        <w:fldChar w:fldCharType="end"/>
      </w:r>
      <w:r w:rsidR="00B962E6">
        <w:rPr>
          <w:rFonts w:ascii="Cambria" w:hAnsi="Cambria"/>
        </w:rPr>
        <w:t xml:space="preserve">. </w:t>
      </w:r>
      <w:r w:rsidR="004F15AB">
        <w:rPr>
          <w:rFonts w:ascii="Cambria" w:hAnsi="Cambria"/>
        </w:rPr>
        <w:t>However, in a placebo-controlled trial, motavizumab was highly efficacious against inpatient and outpatient RSV LRI in healthy term American Indian infants</w:t>
      </w:r>
      <w:r w:rsidR="00FB31C6">
        <w:rPr>
          <w:rFonts w:ascii="Cambria" w:hAnsi="Cambria"/>
        </w:rPr>
        <w:t xml:space="preserve"> </w:t>
      </w:r>
      <w:r w:rsidR="00A62B61">
        <w:rPr>
          <w:rFonts w:ascii="Cambria" w:hAnsi="Cambria"/>
        </w:rPr>
        <w:fldChar w:fldCharType="begin" w:fldLock="1"/>
      </w:r>
      <w:r w:rsidR="00AC7A3A">
        <w:rPr>
          <w:rFonts w:ascii="Cambria" w:hAnsi="Cambria"/>
        </w:rPr>
        <w:instrText>ADDIN CSL_CITATION { "citationItems" : [ { "id" : "ITEM-1", "itemData" : { "DOI" : "10.1016/S1473-3099(15)00247-9", "ISSN" : "14733099", "PMID" : "26511956", "abstract" : "BACKGROUND Respiratory syncytial virus (RSV) is a leading cause of acute lower respiratory tract infections in children. We aimed to assess the safety and efficacy of an anti-RSV monoclonal antibody (motavizumab) in healthy term (\u226536 weeks' gestational age) infants for the prevention of medically attended RSV acute lower respiratory tract infections. METHODS This phase 3, double-blind, placebo-controlled, randomised trial enrolled healthy Native American infants aged 6 months or younger who were born at 36 weeks' gestational age in southwestern USA, on the Navajo Nation, the White Mountain Apache reservation, and the San Carlos Apache Indian reservation. Participants were randomly assigned (2:1) to receive either five monthly intramuscular doses of motavizumab (15 mg/kg) or placebo. They were followed up for 150 days after the first dose, and the primary endpoints were respiratory admission to hospital with a positive result for RSV by RT-PCR and death caused by RSV. Participants were followed up for medically attended wheezing until they reached age 3 years. Analysis was by intention to treat (ITT). This trial is registered with ClinicalTrials.gov, number NCT00121108. FINDINGS During the autumn seasons (October to December) between 2004 and 2007, 2127 infants of the 2596 infants enrolled were randomly assigned to receive either motavizumab (1417) or placebo (710). After ITT analysis, motavizumab resulted in an 87% relative reduction (relative risk [RR] 0\u00b713, 95% CI 0\u00b708-0\u00b721) in the proportion of infants admitted to hospital with RSV (21 [2%] of 1417 participants who received motavizumab; 80 [11%] of 710 participants who received placebo, p&lt;0\u00b70001). Serious adverse events were less common in particpants taking motavizumab (212 [15%]) than particpants on placebo (148 [21%]). Six deaths occurred in study participants (motavizumab, n=4 [0\u00b73%]; placebo, n=2 [0\u00b73%]); none were deemed to be related to the study product. Hypersensitivity events were more common in patients given motavizumab (208 [14\u00b77%]) than in placebo recipients (87 [12\u00b73%]; p=0\u00b714). There was no effect on rates of medically attended wheezing in children aged 1-3 years (190 [14\u00b79%] of participants randomly assigned to receive motavizumab vs 90 [14\u00b70%] participants randomly assigned to receive placebo). INTERPRETATION To our knowledge, this is the only trial of an anti-RSV antibody to prevent serious RSV disease in healthy term infants. Motavizumab significantly reduced the RSV-associated in\u2026", "author" : [ { "dropping-particle" : "", "family" : "O'Brien", "given" : "Katherine L", "non-dropping-particle" : "", "parse-names" : false, "suffix" : "" }, { "dropping-particle" : "", "family" : "Chandran", "given" : "Aruna", "non-dropping-particle" : "", "parse-names" : false, "suffix" : "" }, { "dropping-particle" : "", "family" : "Weatherholtz", "given" : "Robert", "non-dropping-particle" : "", "parse-names" : false, "suffix" : "" }, { "dropping-particle" : "", "family" : "Jafri", "given" : "Hasan S", "non-dropping-particle" : "", "parse-names" : false, "suffix" : "" }, { "dropping-particle" : "", "family" : "Griffin", "given" : "M Pamela", "non-dropping-particle" : "", "parse-names" : false, "suffix" : "" }, { "dropping-particle" : "", "family" : "Bellamy", "given" : "Terramika", "non-dropping-particle" : "", "parse-names" : false, "suffix" : "" }, { "dropping-particle" : "V", "family" : "Millar", "given" : "Eugene", "non-dropping-particle" : "", "parse-names" : false, "suffix" : "" }, { "dropping-particle" : "", "family" : "Jensen", "given" : "Kathryn M", "non-dropping-particle" : "", "parse-names" : false, "suffix" : "" }, { "dropping-particle" : "", "family" : "Harris", "given" : "Brian S", "non-dropping-particle" : "", "parse-names" : false, "suffix" : "" }, { "dropping-particle" : "", "family" : "Reid", "given" : "Raymond", "non-dropping-particle" : "", "parse-names" : false, "suffix" : "" }, { "dropping-particle" : "", "family" : "Moulton", "given" : "Lawrence H", "non-dropping-particle" : "", "parse-names" : false, "suffix" : "" }, { "dropping-particle" : "", "family" : "Losonsky", "given" : "Genevieve A", "non-dropping-particle" : "", "parse-names" : false, "suffix" : "" }, { "dropping-particle" : "", "family" : "Karron", "given" : "Ruth A", "non-dropping-particle" : "", "parse-names" : false, "suffix" : "" }, { "dropping-particle" : "", "family" : "Santosham", "given" : "Mathuram", "non-dropping-particle" : "", "parse-names" : false, "suffix" : "" }, { "dropping-particle" : "", "family" : "Respiratory Syncytial Virus (RSV) Prevention study group", "given" : "", "non-dropping-particle" : "", "parse-names" : false, "suffix" : "" } ], "container-title" : "The Lancet Infectious Diseases", "id" : "ITEM-1", "issue" : "12", "issued" : { "date-parts" : [ [ "2015", "12" ] ] }, "page" : "1398-1408", "title" : "Efficacy of motavizumab for the prevention of respiratory syncytial virus disease in healthy Native American infants: a phase 3 randomised double-blind placebo-controlled trial", "type" : "article-journal", "volume" : "15" }, "uris" : [ "http://www.mendeley.com/documents/?uuid=fb1adabd-c42a-3c80-920f-47df5d73221e" ] } ], "mendeley" : { "formattedCitation" : "(35)", "plainTextFormattedCitation" : "(35)", "previouslyFormattedCitation" : "(35)" }, "properties" : { "noteIndex" : 0 }, "schema" : "https://github.com/citation-style-language/schema/raw/master/csl-citation.json" }</w:instrText>
      </w:r>
      <w:r w:rsidR="00A62B61">
        <w:rPr>
          <w:rFonts w:ascii="Cambria" w:hAnsi="Cambria"/>
        </w:rPr>
        <w:fldChar w:fldCharType="separate"/>
      </w:r>
      <w:r w:rsidR="009F500F" w:rsidRPr="009F500F">
        <w:rPr>
          <w:rFonts w:ascii="Cambria" w:hAnsi="Cambria"/>
          <w:noProof/>
        </w:rPr>
        <w:t>(35)</w:t>
      </w:r>
      <w:r w:rsidR="00A62B61">
        <w:rPr>
          <w:rFonts w:ascii="Cambria" w:hAnsi="Cambria"/>
        </w:rPr>
        <w:fldChar w:fldCharType="end"/>
      </w:r>
      <w:r w:rsidR="00A62B61">
        <w:rPr>
          <w:rFonts w:ascii="Cambria" w:hAnsi="Cambria"/>
        </w:rPr>
        <w:t xml:space="preserve">. </w:t>
      </w:r>
    </w:p>
    <w:p w14:paraId="3305861F" w14:textId="54F79B17" w:rsidR="002D3B27" w:rsidRDefault="002D3B27" w:rsidP="009B6291">
      <w:pPr>
        <w:ind w:firstLine="720"/>
        <w:jc w:val="both"/>
        <w:rPr>
          <w:rFonts w:ascii="Cambria" w:hAnsi="Cambria"/>
        </w:rPr>
      </w:pPr>
      <w:r>
        <w:rPr>
          <w:rFonts w:ascii="Cambria" w:hAnsi="Cambria"/>
        </w:rPr>
        <w:t xml:space="preserve">With respect to vaccines for active immunization, many approaches </w:t>
      </w:r>
      <w:r w:rsidR="00B37A34">
        <w:rPr>
          <w:rFonts w:ascii="Cambria" w:hAnsi="Cambria"/>
        </w:rPr>
        <w:t xml:space="preserve">targeted for RSV naïve children </w:t>
      </w:r>
      <w:r>
        <w:rPr>
          <w:rFonts w:ascii="Cambria" w:hAnsi="Cambria"/>
        </w:rPr>
        <w:t>were evaluated pre-clinically over the years</w:t>
      </w:r>
      <w:r w:rsidR="00460E97">
        <w:rPr>
          <w:rFonts w:ascii="Cambria" w:hAnsi="Cambria"/>
        </w:rPr>
        <w:t>.</w:t>
      </w:r>
      <w:r>
        <w:rPr>
          <w:rFonts w:ascii="Cambria" w:hAnsi="Cambria"/>
        </w:rPr>
        <w:t xml:space="preserve"> </w:t>
      </w:r>
      <w:r w:rsidR="00253294">
        <w:rPr>
          <w:rFonts w:ascii="Cambria" w:hAnsi="Cambria"/>
        </w:rPr>
        <w:t>L</w:t>
      </w:r>
      <w:r>
        <w:rPr>
          <w:rFonts w:ascii="Cambria" w:hAnsi="Cambria"/>
        </w:rPr>
        <w:t>ive-attenuated vaccine candidates were considered safe for clinical evaluation</w:t>
      </w:r>
      <w:r w:rsidR="00B37A34">
        <w:rPr>
          <w:rFonts w:ascii="Cambria" w:hAnsi="Cambria"/>
        </w:rPr>
        <w:t xml:space="preserve"> in these children</w:t>
      </w:r>
      <w:r w:rsidR="00253294">
        <w:rPr>
          <w:rFonts w:ascii="Cambria" w:hAnsi="Cambria"/>
        </w:rPr>
        <w:t xml:space="preserve"> because these vaccines are not expected to cause ERD</w:t>
      </w:r>
      <w:r w:rsidR="00CC5CBE">
        <w:rPr>
          <w:rFonts w:ascii="Cambria" w:hAnsi="Cambria"/>
        </w:rPr>
        <w:fldChar w:fldCharType="begin" w:fldLock="1"/>
      </w:r>
      <w:r w:rsidR="00AC7A3A">
        <w:rPr>
          <w:rFonts w:ascii="Cambria" w:hAnsi="Cambria"/>
        </w:rPr>
        <w:instrText>ADDIN CSL_CITATION { "citationItems" : [ { "id" : "ITEM-1", "itemData" : { "DOI" : "10.1006/viro.2002.1437", "ISSN" : "00426822", "PMID" : "12069519", "author" : [ { "dropping-particle" : "", "family" : "Collins", "given" : "Peter L.", "non-dropping-particle" : "", "parse-names" : false, "suffix" : "" }, { "dropping-particle" : "", "family" : "Murphy", "given" : "Brian R.", "non-dropping-particle" : "", "parse-names" : false, "suffix" : "" } ], "container-title" : "Virology", "id" : "ITEM-1", "issue" : "2", "issued" : { "date-parts" : [ [ "2002", "5", "10" ] ] }, "page" : "204-211", "title" : "Respiratory Syncytial Virus: Reverse Genetics and Vaccine Strategies", "type" : "article-journal", "volume" : "296" }, "uris" : [ "http://www.mendeley.com/documents/?uuid=10ead8a4-5482-3fee-96a4-2d18ed78c137" ] } ], "mendeley" : { "formattedCitation" : "(36)", "plainTextFormattedCitation" : "(36)", "previouslyFormattedCitation" : "(36)" }, "properties" : { "noteIndex" : 0 }, "schema" : "https://github.com/citation-style-language/schema/raw/master/csl-citation.json" }</w:instrText>
      </w:r>
      <w:r w:rsidR="00CC5CBE">
        <w:rPr>
          <w:rFonts w:ascii="Cambria" w:hAnsi="Cambria"/>
        </w:rPr>
        <w:fldChar w:fldCharType="separate"/>
      </w:r>
      <w:r w:rsidR="009F500F" w:rsidRPr="009F500F">
        <w:rPr>
          <w:rFonts w:ascii="Cambria" w:hAnsi="Cambria"/>
          <w:noProof/>
        </w:rPr>
        <w:t>(36)</w:t>
      </w:r>
      <w:r w:rsidR="00CC5CBE">
        <w:rPr>
          <w:rFonts w:ascii="Cambria" w:hAnsi="Cambria"/>
        </w:rPr>
        <w:fldChar w:fldCharType="end"/>
      </w:r>
      <w:r w:rsidR="00CC5CBE">
        <w:rPr>
          <w:rFonts w:ascii="Cambria" w:hAnsi="Cambria"/>
        </w:rPr>
        <w:t xml:space="preserve">. </w:t>
      </w:r>
      <w:r>
        <w:rPr>
          <w:rFonts w:ascii="Cambria" w:hAnsi="Cambria"/>
        </w:rPr>
        <w:t xml:space="preserve">Over the past 40 years, several biologically derived live-attenuated vaccine candidates with attenuating temperature sensitivity or cold-passage mutations were evaluated clinically, including in the pediatric population, but the appropriate balance of attenuation and immunogenicity, suitable for RSV-naive children and infants, remained elusive. </w:t>
      </w:r>
      <w:r w:rsidR="00E64987">
        <w:rPr>
          <w:rFonts w:ascii="Cambria" w:hAnsi="Cambria"/>
        </w:rPr>
        <w:t xml:space="preserve">After </w:t>
      </w:r>
      <w:r>
        <w:rPr>
          <w:rFonts w:ascii="Cambria" w:hAnsi="Cambria"/>
        </w:rPr>
        <w:t>reverse genetics techniques became available in the 1990s, it became possible to design vaccine</w:t>
      </w:r>
      <w:r w:rsidR="00D342C2">
        <w:rPr>
          <w:rFonts w:ascii="Cambria" w:hAnsi="Cambria"/>
        </w:rPr>
        <w:t>s</w:t>
      </w:r>
      <w:r>
        <w:rPr>
          <w:rFonts w:ascii="Cambria" w:hAnsi="Cambria"/>
        </w:rPr>
        <w:t xml:space="preserve"> with the appropriate level of attenuation, but with increased immunogenicity</w:t>
      </w:r>
      <w:r w:rsidR="00CC5CBE">
        <w:rPr>
          <w:rFonts w:ascii="Cambria" w:hAnsi="Cambria"/>
        </w:rPr>
        <w:fldChar w:fldCharType="begin" w:fldLock="1"/>
      </w:r>
      <w:r w:rsidR="00AC7A3A">
        <w:rPr>
          <w:rFonts w:ascii="Cambria" w:hAnsi="Cambria"/>
        </w:rPr>
        <w:instrText>ADDIN CSL_CITATION { "citationItems" : [ { "id" : "ITEM-1", "itemData" : { "DOI" : "10.1126/scitranslmed.aac8463", "ISSN" : "1946-6242", "PMID" : "26537255", "abstract" : "Respiratory syncytial virus (RSV) is the leading viral cause of severe pediatric respiratory illness, and a safe and effective vaccine for use in infancy and early childhood is needed. We previously showed that deletion of the coding sequence for the viral M2-2 protein (\u0394M2-2) down-regulated viral RNA replication and up-regulated gene transcription and antigen synthesis, raising the possibility of development of an attenuated vaccine with enhanced immunogenicity. RSV MEDI \u0394M2-2 was therefore evaluated as a live intranasal vaccine in adults, RSV-seropositive children, and RSV-seronegative children. When results in RSV-seronegative children were compared to those achieved with the previous leading live attenuated RSV candidate vaccine, vaccine virus shedding was significantly more restricted, yet the postvaccination RSV-neutralizing serum antibody achieved [geometric mean titer (GMT) = 1:97] was significantly greater. Surveillance during the subsequent RSV season showed that several seronegative RSV MEDI \u0394M2-2 recipients had substantial antibody rises without reported illness, suggesting that the vaccine was protective yet primed for anamnestic responses to RSV. Rational design appears to have yielded a candidate RSV vaccine that is intrinsically superior at eliciting protective antibody in RSV-na\u00efve children and highlights an approach for the development of live attenuated RSV vaccines.", "author" : [ { "dropping-particle" : "", "family" : "Karron", "given" : "Ruth A", "non-dropping-particle" : "", "parse-names" : false, "suffix" : "" }, { "dropping-particle" : "", "family" : "Luongo", "given" : "Cindy", "non-dropping-particle" : "", "parse-names" : false, "suffix" : "" }, { "dropping-particle" : "", "family" : "Thumar", "given" : "Bhagvanji", "non-dropping-particle" : "", "parse-names" : false, "suffix" : "" }, { "dropping-particle" : "", "family" : "Loehr", "given" : "Karen M", "non-dropping-particle" : "", "parse-names" : false, "suffix" : "" }, { "dropping-particle" : "", "family" : "Englund", "given" : "Janet A", "non-dropping-particle" : "", "parse-names" : false, "suffix" : "" }, { "dropping-particle" : "", "family" : "Collins", "given" : "Peter L", "non-dropping-particle" : "", "parse-names" : false, "suffix" : "" }, { "dropping-particle" : "", "family" : "Buchholz", "given" : "Ursula J", "non-dropping-particle" : "", "parse-names" : false, "suffix" : "" } ], "container-title" : "Science translational medicine", "id" : "ITEM-1", "issue" : "312", "issued" : { "date-parts" : [ [ "2015", "11", "4" ] ] }, "page" : "312ra175", "title" : "A gene deletion that up-regulates viral gene expression yields an attenuated RSV vaccine with improved antibody responses in children.", "type" : "article-journal", "volume" : "7" }, "uris" : [ "http://www.mendeley.com/documents/?uuid=7c98401e-161d-3222-a1c7-eb94fa133980" ] } ], "mendeley" : { "formattedCitation" : "(37)", "plainTextFormattedCitation" : "(37)", "previouslyFormattedCitation" : "(37)" }, "properties" : { "noteIndex" : 0 }, "schema" : "https://github.com/citation-style-language/schema/raw/master/csl-citation.json" }</w:instrText>
      </w:r>
      <w:r w:rsidR="00CC5CBE">
        <w:rPr>
          <w:rFonts w:ascii="Cambria" w:hAnsi="Cambria"/>
        </w:rPr>
        <w:fldChar w:fldCharType="separate"/>
      </w:r>
      <w:r w:rsidR="009F500F" w:rsidRPr="009F500F">
        <w:rPr>
          <w:rFonts w:ascii="Cambria" w:hAnsi="Cambria"/>
          <w:noProof/>
        </w:rPr>
        <w:t>(37)</w:t>
      </w:r>
      <w:r w:rsidR="00CC5CBE">
        <w:rPr>
          <w:rFonts w:ascii="Cambria" w:hAnsi="Cambria"/>
        </w:rPr>
        <w:fldChar w:fldCharType="end"/>
      </w:r>
      <w:r w:rsidR="00CC5CBE">
        <w:rPr>
          <w:rFonts w:ascii="Cambria" w:hAnsi="Cambria"/>
        </w:rPr>
        <w:t>.</w:t>
      </w:r>
      <w:r>
        <w:rPr>
          <w:rFonts w:ascii="Cambria" w:hAnsi="Cambria"/>
        </w:rPr>
        <w:t xml:space="preserve"> </w:t>
      </w:r>
      <w:r w:rsidR="006C7DCF">
        <w:rPr>
          <w:rFonts w:ascii="Cambria" w:hAnsi="Cambria"/>
        </w:rPr>
        <w:t>While</w:t>
      </w:r>
      <w:r>
        <w:rPr>
          <w:rFonts w:ascii="Cambria" w:hAnsi="Cambria"/>
        </w:rPr>
        <w:t xml:space="preserve"> pediatric live-attenuated RSV vaccine candidates were under continued evaluation since the 1970s</w:t>
      </w:r>
      <w:r w:rsidR="006C7DCF" w:rsidRPr="006C7DCF">
        <w:rPr>
          <w:rFonts w:ascii="Cambria" w:hAnsi="Cambria"/>
        </w:rPr>
        <w:t xml:space="preserve"> </w:t>
      </w:r>
      <w:r w:rsidR="006C7DCF">
        <w:rPr>
          <w:rFonts w:ascii="Cambria" w:hAnsi="Cambria"/>
        </w:rPr>
        <w:t>there were</w:t>
      </w:r>
      <w:r w:rsidR="001C38EA">
        <w:rPr>
          <w:rFonts w:ascii="Cambria" w:hAnsi="Cambria"/>
        </w:rPr>
        <w:t xml:space="preserve"> relatively</w:t>
      </w:r>
      <w:r w:rsidR="006C7DCF">
        <w:rPr>
          <w:rFonts w:ascii="Cambria" w:hAnsi="Cambria"/>
        </w:rPr>
        <w:t xml:space="preserve"> </w:t>
      </w:r>
      <w:r w:rsidR="00272E20">
        <w:rPr>
          <w:rFonts w:ascii="Cambria" w:hAnsi="Cambria"/>
        </w:rPr>
        <w:t>few</w:t>
      </w:r>
      <w:r w:rsidR="006C7DCF">
        <w:rPr>
          <w:rFonts w:ascii="Cambria" w:hAnsi="Cambria"/>
        </w:rPr>
        <w:t xml:space="preserve"> trials</w:t>
      </w:r>
      <w:r w:rsidR="001C38EA">
        <w:rPr>
          <w:rFonts w:ascii="Cambria" w:hAnsi="Cambria"/>
        </w:rPr>
        <w:t xml:space="preserve"> of RSV subunit vaccines</w:t>
      </w:r>
      <w:r w:rsidR="006C7DCF">
        <w:rPr>
          <w:rFonts w:ascii="Cambria" w:hAnsi="Cambria"/>
        </w:rPr>
        <w:t xml:space="preserve"> conducted before 2000</w:t>
      </w:r>
      <w:r w:rsidR="001C38EA">
        <w:rPr>
          <w:rFonts w:ascii="Cambria" w:hAnsi="Cambria"/>
        </w:rPr>
        <w:t>, with the</w:t>
      </w:r>
      <w:r>
        <w:rPr>
          <w:rFonts w:ascii="Cambria" w:hAnsi="Cambria"/>
        </w:rPr>
        <w:t xml:space="preserve"> except</w:t>
      </w:r>
      <w:r w:rsidR="001C38EA">
        <w:rPr>
          <w:rFonts w:ascii="Cambria" w:hAnsi="Cambria"/>
        </w:rPr>
        <w:t>ion</w:t>
      </w:r>
      <w:r>
        <w:rPr>
          <w:rFonts w:ascii="Cambria" w:hAnsi="Cambria"/>
        </w:rPr>
        <w:t xml:space="preserve"> </w:t>
      </w:r>
      <w:r w:rsidR="001C38EA">
        <w:rPr>
          <w:rFonts w:ascii="Cambria" w:hAnsi="Cambria"/>
        </w:rPr>
        <w:t xml:space="preserve">of </w:t>
      </w:r>
      <w:r>
        <w:rPr>
          <w:rFonts w:ascii="Cambria" w:hAnsi="Cambria"/>
        </w:rPr>
        <w:t>the purified F</w:t>
      </w:r>
      <w:r w:rsidR="001C38EA">
        <w:rPr>
          <w:rFonts w:ascii="Cambria" w:hAnsi="Cambria"/>
        </w:rPr>
        <w:t xml:space="preserve"> protein (PFP)</w:t>
      </w:r>
      <w:r>
        <w:rPr>
          <w:rFonts w:ascii="Cambria" w:hAnsi="Cambria"/>
        </w:rPr>
        <w:t xml:space="preserve"> vaccine</w:t>
      </w:r>
      <w:r w:rsidR="00970621">
        <w:rPr>
          <w:rFonts w:ascii="Cambria" w:hAnsi="Cambria"/>
        </w:rPr>
        <w:t>s</w:t>
      </w:r>
      <w:r>
        <w:rPr>
          <w:rFonts w:ascii="Cambria" w:hAnsi="Cambria"/>
        </w:rPr>
        <w:fldChar w:fldCharType="begin" w:fldLock="1"/>
      </w:r>
      <w:r w:rsidR="00AC7A3A">
        <w:rPr>
          <w:rFonts w:ascii="Cambria" w:hAnsi="Cambria"/>
        </w:rPr>
        <w:instrText>ADDIN CSL_CITATION { "citationItems" : [ { "id" : "ITEM-1", "itemData" : { "ISSN" : "0891-3668", "PMID" : "8684872", "abstract" : "OBJECTIVE To test in a double blind, placebo-controlled study a purified fusion protein (PFP-2) vaccine against respiratory syncytial virus (RSV) in RSV-seropositive children with cystic fibrosis (CF). METHODS Seventeen CF children, mean age 4.5 years, received PFP-2 vaccine and 17 CF children, mean age 5.8 years, received a saline vaccine. At enrollment the Shwachman clinical score, Brasfield radiographic score, oxygen saturation (SpO2), anthropometric indices and other variables were recorded. After vaccination the reactions were assessed daily for 7 days. During the RSV season weekly telephone interviews were performed and children with an acute respiratory illness were evaluated and cultured for RSV. Serum was drawn before vaccination, 1 month after vaccination and at the end of the RSV season and tested for antibodies to RSV. RESULTS Other than age the baseline measurements at enrollment were similar between groups. The PFP-2 vaccine produced mild local reactions and induced a significant neutralizing antibody response in two-thirds of the vaccinees and a significant enzyme-linked immunosorbent assay-fusion glycoprotein antibody response in nearly all the PFP-2 vaccinees. Vaccine-enhanced disease was not observed in PFP-2 vaccines infected with RSV. Protection against RSV infection was not observed; however, a significant reduction (t test, P &lt; 0.01) in mean number of lower respiratory tract illnesses (0.8 vs. 2.1), antibiotic courses (2.2 vs 4.5) and days ill (30.5 vs. 67) occurred among RSV-infected PFP-2 vaccinees. CONCLUSIONS Efficacy of the PFP-2 vaccine against lower respiratory tract illness during the RSV season was shown in RSV-seropositive children with CF.", "author" : [ { "dropping-particle" : "", "family" : "Piedra", "given" : "P A", "non-dropping-particle" : "", "parse-names" : false, "suffix" : "" }, { "dropping-particle" : "", "family" : "Grace", "given" : "S", "non-dropping-particle" : "", "parse-names" : false, "suffix" : "" }, { "dropping-particle" : "", "family" : "Jewell", "given" : "A", "non-dropping-particle" : "", "parse-names" : false, "suffix" : "" }, { "dropping-particle" : "", "family" : "Spinelli", "given" : "S", "non-dropping-particle" : "", "parse-names" : false, "suffix" : "" }, { "dropping-particle" : "", "family" : "Bunting", "given" : "D", "non-dropping-particle" : "", "parse-names" : false, "suffix" : "" }, { "dropping-particle" : "", "family" : "Hogerman", "given" : "D A", "non-dropping-particle" : "", "parse-names" : false, "suffix" : "" }, { "dropping-particle" : "", "family" : "Malinoski", "given" : "F", "non-dropping-particle" : "", "parse-names" : false, "suffix" : "" }, { "dropping-particle" : "", "family" : "Hiatt", "given" : "P W", "non-dropping-particle" : "", "parse-names" : false, "suffix" : "" } ], "container-title" : "The Pediatric infectious disease journal", "id" : "ITEM-1", "issue" : "1", "issued" : { "date-parts" : [ [ "1996", "1" ] ] }, "page" : "23-31", "title" : "Purified fusion protein vaccine protects against lower respiratory tract illness during respiratory syncytial virus season in children with cystic fibrosis.", "type" : "article-journal", "volume" : "15" }, "uris" : [ "http://www.mendeley.com/documents/?uuid=479f5963-7779-3c8e-bbee-5cb073890bdd" ] }, { "id" : "ITEM-2", "itemData" : { "ISSN" : "0264-410X", "PMID" : "12850361", "abstract" : "A randomized, double-blind, placebo controlled study was carried out to determine the safety and immunogenicity of RSV PFP-2 vaccine (Wyeth-Lederle Vaccines, NY) in 35 healthy women in the third trimester of pregnancy and their offspring. Infants were followed during their first RSV season for occurrence and severity of respiratory illnesses. RSV-PFP-2 vaccine was safe and well tolerated by pregnant women. Mild pain at the site of injection occurred in 65% of PFP-2 and 13% of placebo recipients (P=0.005). There were no systemic reactions, fever, or serious adverse events associated with vaccine administration in mothers. All 35 infants were born healthy, and there were no differences among the groups in perinatal or neonatal outcomes, growth and development in the first year of life. During the RSV season, there was no increase in the frequency or morbidity associated with respiratory tract illnesses in infants of vaccine recipients. 15/20 (75%) vaccine recipients had a response to PFP-2 by Western blot vs. 0/15 placebo recipients (P&lt;0.01). 19/20 (95%) vaccine recipients had a &gt; or =4 fold rise in IgG ELISA Ab after immunization with PFP-2 vs. 0/15 placebo recipients (P&lt;0.01). Geometric mean concentrations of IgG ELISA Ab were 4 fold higher in infants of vaccine recipients at birth, 2 and 6 months after delivery than in infants of placebo recipients (P&lt;0.01). A modest (0.5log2) increase in neutralization Ab was observed in vaccine recipients and their infants. The half-life of maternal antibodies in infants was &gt; or =3 weeks. There was no evidence of enhanced T-cell or cytokine activity in infants of vaccine recipients vs. infants of placebo recipients. Vaccine specific anti-F IgA and IgG concentrations in breast milk were higher in mothers who received RSV-PFP-2.", "author" : [ { "dropping-particle" : "", "family" : "Munoz", "given" : "Flor M", "non-dropping-particle" : "", "parse-names" : false, "suffix" : "" }, { "dropping-particle" : "", "family" : "Piedra", "given" : "Pedro A", "non-dropping-particle" : "", "parse-names" : false, "suffix" : "" }, { "dropping-particle" : "", "family" : "Glezen", "given" : "W Paul", "non-dropping-particle" : "", "parse-names" : false, "suffix" : "" } ], "container-title" : "Vaccine", "id" : "ITEM-2", "issue" : "24", "issued" : { "date-parts" : [ [ "2003", "7", "28" ] ] }, "page" : "3465-7", "title" : "Safety and immunogenicity of respiratory syncytial virus purified fusion protein-2 vaccine in pregnant women.", "type" : "article-journal", "volume" : "21" }, "uris" : [ "http://www.mendeley.com/documents/?uuid=7d7e5e63-5f59-3373-8c50-1535ba078959" ] } ], "mendeley" : { "formattedCitation" : "(38,39)", "plainTextFormattedCitation" : "(38,39)", "previouslyFormattedCitation" : "(38,39)" }, "properties" : { "noteIndex" : 0 }, "schema" : "https://github.com/citation-style-language/schema/raw/master/csl-citation.json" }</w:instrText>
      </w:r>
      <w:r>
        <w:rPr>
          <w:rFonts w:ascii="Cambria" w:hAnsi="Cambria"/>
        </w:rPr>
        <w:fldChar w:fldCharType="separate"/>
      </w:r>
      <w:r w:rsidR="009F500F" w:rsidRPr="009F500F">
        <w:rPr>
          <w:rFonts w:ascii="Cambria" w:hAnsi="Cambria"/>
          <w:noProof/>
        </w:rPr>
        <w:t>(38,39)</w:t>
      </w:r>
      <w:r>
        <w:rPr>
          <w:rFonts w:ascii="Cambria" w:hAnsi="Cambria"/>
        </w:rPr>
        <w:fldChar w:fldCharType="end"/>
      </w:r>
      <w:r w:rsidR="00970621">
        <w:rPr>
          <w:rFonts w:ascii="Cambria" w:hAnsi="Cambria"/>
        </w:rPr>
        <w:t>, and an RSV fusion (F)</w:t>
      </w:r>
      <w:r w:rsidR="00872A96">
        <w:rPr>
          <w:rFonts w:ascii="Cambria" w:hAnsi="Cambria"/>
        </w:rPr>
        <w:t xml:space="preserve"> attach</w:t>
      </w:r>
      <w:r w:rsidR="00970621">
        <w:rPr>
          <w:rFonts w:ascii="Cambria" w:hAnsi="Cambria"/>
        </w:rPr>
        <w:t>ment (G), and matrix (M) subunit vaccine</w:t>
      </w:r>
      <w:r w:rsidR="00D33D9E">
        <w:rPr>
          <w:rFonts w:ascii="Cambria" w:hAnsi="Cambria"/>
        </w:rPr>
        <w:fldChar w:fldCharType="begin" w:fldLock="1"/>
      </w:r>
      <w:r w:rsidR="00AC7A3A">
        <w:rPr>
          <w:rFonts w:ascii="Cambria" w:hAnsi="Cambria"/>
        </w:rPr>
        <w:instrText>ADDIN CSL_CITATION { "citationItems" : [ { "id" : "ITEM-1", "itemData" : { "DOI" : "10.1086/592168", "ISSN" : "0022-1899", "author" : [ { "dropping-particle" : "", "family" : "Falsey", "given" : "Ann\u00a0R.", "non-dropping-particle" : "", "parse-names" : false, "suffix" : "" }, { "dropping-particle" : "", "family" : "Walsh", "given" : "Edward\u00a0E.", "non-dropping-particle" : "", "parse-names" : false, "suffix" : "" }, { "dropping-particle" : "", "family" : "Capellan", "given" : "Jose", "non-dropping-particle" : "", "parse-names" : false, "suffix" : "" }, { "dropping-particle" : "", "family" : "Gravenstein", "given" : "Stefan", "non-dropping-particle" : "", "parse-names" : false, "suffix" : "" }, { "dropping-particle" : "", "family" : "Zambon", "given" : "Maria", "non-dropping-particle" : "", "parse-names" : false, "suffix" : "" }, { "dropping-particle" : "", "family" : "Yau", "given" : "Eddy", "non-dropping-particle" : "", "parse-names" : false, "suffix" : "" }, { "dropping-particle" : "", "family" : "Gorse", "given" : "Geoffrey\u00a0J.", "non-dropping-particle" : "", "parse-names" : false, "suffix" : "" }, { "dropping-particle" : "", "family" : "Edelman", "given" : "Robert", "non-dropping-particle" : "", "parse-names" : false, "suffix" : "" }, { "dropping-particle" : "", "family" : "Hayden", "given" : "Frederick\u00a0G.", "non-dropping-particle" : "", "parse-names" : false, "suffix" : "" }, { "dropping-particle" : "", "family" : "McElhaney", "given" : "Janet\u00a0E.", "non-dropping-particle" : "", "parse-names" : false, "suffix" : "" }, { "dropping-particle" : "", "family" : "Neuzil", "given" : "Kathleen\u00a0M.", "non-dropping-particle" : "", "parse-names" : false, "suffix" : "" }, { "dropping-particle" : "", "family" : "Nichol", "given" : "Kristen\u00a0L.", "non-dropping-particle" : "", "parse-names" : false, "suffix" : "" }, { "dropping-particle" : "", "family" : "Sim\u00f5es", "given" : "Eric\u00a0A.\u00a0F.", "non-dropping-particle" : "", "parse-names" : false, "suffix" : "" }, { "dropping-particle" : "", "family" : "Wright", "given" : "Peter\u00a0F.", "non-dropping-particle" : "", "parse-names" : false, "suffix" : "" }, { "dropping-particle" : "", "family" : "Sales", "given" : "Val\u00e9rie\u00a0M.\u2010P.", "non-dropping-particle" : "", "parse-names" : false, "suffix" : "" } ], "container-title" : "The Journal of Infectious Diseases", "id" : "ITEM-1", "issue" : "9", "issued" : { "date-parts" : [ [ "2008", "11", "1" ] ] }, "page" : "1317-1326", "publisher" : "Oxford University Press", "title" : "Comparison of the Safety and Immunogenicity of 2 Respiratory Syncytial Virus (RSV) Vaccines\u2014 Nonadjuvanted Vaccine or Vaccine Adjuvanted with Alum\u2014Given Concomitantly with Influenza Vaccine to High\u2010Risk Elderly Individuals", "type" : "article-journal", "volume" : "198" }, "uris" : [ "http://www.mendeley.com/documents/?uuid=a39eee0a-10f4-329c-af2a-7d23dc3a6f34" ] } ], "mendeley" : { "formattedCitation" : "(40)", "plainTextFormattedCitation" : "(40)", "previouslyFormattedCitation" : "(40)" }, "properties" : { "noteIndex" : 0 }, "schema" : "https://github.com/citation-style-language/schema/raw/master/csl-citation.json" }</w:instrText>
      </w:r>
      <w:r w:rsidR="00D33D9E">
        <w:rPr>
          <w:rFonts w:ascii="Cambria" w:hAnsi="Cambria"/>
        </w:rPr>
        <w:fldChar w:fldCharType="separate"/>
      </w:r>
      <w:r w:rsidR="009F500F" w:rsidRPr="009F500F">
        <w:rPr>
          <w:rFonts w:ascii="Cambria" w:hAnsi="Cambria"/>
          <w:noProof/>
        </w:rPr>
        <w:t>(40)</w:t>
      </w:r>
      <w:r w:rsidR="00D33D9E">
        <w:rPr>
          <w:rFonts w:ascii="Cambria" w:hAnsi="Cambria"/>
        </w:rPr>
        <w:fldChar w:fldCharType="end"/>
      </w:r>
      <w:r>
        <w:rPr>
          <w:rFonts w:ascii="Cambria" w:hAnsi="Cambria"/>
        </w:rPr>
        <w:t xml:space="preserve">. </w:t>
      </w:r>
    </w:p>
    <w:p w14:paraId="53511DC0" w14:textId="4C1BEC8E" w:rsidR="00756466" w:rsidRDefault="00B37A34" w:rsidP="009B6291">
      <w:pPr>
        <w:ind w:firstLine="720"/>
        <w:jc w:val="both"/>
        <w:rPr>
          <w:rFonts w:ascii="Cambria" w:hAnsi="Cambria"/>
        </w:rPr>
      </w:pPr>
      <w:r>
        <w:rPr>
          <w:rFonts w:ascii="Cambria" w:hAnsi="Cambria"/>
        </w:rPr>
        <w:t xml:space="preserve">Over the past 10 years development of preventive interventions for RSV has rapidly expanded. </w:t>
      </w:r>
      <w:r w:rsidR="006F4411">
        <w:rPr>
          <w:rFonts w:ascii="Cambria" w:hAnsi="Cambria"/>
        </w:rPr>
        <w:t>Currently,</w:t>
      </w:r>
      <w:r w:rsidR="00D9667C">
        <w:rPr>
          <w:rFonts w:ascii="Cambria" w:hAnsi="Cambria"/>
        </w:rPr>
        <w:t xml:space="preserve"> </w:t>
      </w:r>
      <w:r w:rsidR="007904D5">
        <w:rPr>
          <w:rFonts w:ascii="Cambria" w:hAnsi="Cambria"/>
        </w:rPr>
        <w:t>1</w:t>
      </w:r>
      <w:r w:rsidR="003B1BC3">
        <w:rPr>
          <w:rFonts w:ascii="Cambria" w:hAnsi="Cambria"/>
        </w:rPr>
        <w:t>9</w:t>
      </w:r>
      <w:r w:rsidR="007904D5">
        <w:rPr>
          <w:rFonts w:ascii="Cambria" w:hAnsi="Cambria"/>
        </w:rPr>
        <w:t xml:space="preserve"> vaccine</w:t>
      </w:r>
      <w:r w:rsidR="008C3AD1">
        <w:rPr>
          <w:rFonts w:ascii="Cambria" w:hAnsi="Cambria"/>
        </w:rPr>
        <w:t xml:space="preserve"> candidate</w:t>
      </w:r>
      <w:r w:rsidR="007904D5">
        <w:rPr>
          <w:rFonts w:ascii="Cambria" w:hAnsi="Cambria"/>
        </w:rPr>
        <w:t xml:space="preserve">s and </w:t>
      </w:r>
      <w:r w:rsidR="008C3AD1">
        <w:rPr>
          <w:rFonts w:ascii="Cambria" w:hAnsi="Cambria"/>
        </w:rPr>
        <w:t>mAbs</w:t>
      </w:r>
      <w:r w:rsidR="006F4411">
        <w:rPr>
          <w:rFonts w:ascii="Cambria" w:hAnsi="Cambria"/>
        </w:rPr>
        <w:t xml:space="preserve"> for different target populations are</w:t>
      </w:r>
      <w:r w:rsidR="007904D5">
        <w:rPr>
          <w:rFonts w:ascii="Cambria" w:hAnsi="Cambria"/>
        </w:rPr>
        <w:t xml:space="preserve"> in clinical </w:t>
      </w:r>
      <w:r w:rsidR="002B3B1C">
        <w:rPr>
          <w:rFonts w:ascii="Cambria" w:hAnsi="Cambria"/>
        </w:rPr>
        <w:t>trials</w:t>
      </w:r>
      <w:r w:rsidR="005460B0">
        <w:rPr>
          <w:rFonts w:ascii="Cambria" w:hAnsi="Cambria"/>
        </w:rPr>
        <w:t>,</w:t>
      </w:r>
      <w:r w:rsidR="002B3B1C">
        <w:rPr>
          <w:rFonts w:ascii="Cambria" w:hAnsi="Cambria"/>
        </w:rPr>
        <w:t xml:space="preserve"> </w:t>
      </w:r>
      <w:r w:rsidR="007904D5">
        <w:rPr>
          <w:rFonts w:ascii="Cambria" w:hAnsi="Cambria"/>
        </w:rPr>
        <w:t>and many more</w:t>
      </w:r>
      <w:r w:rsidR="00970621">
        <w:rPr>
          <w:rFonts w:ascii="Cambria" w:hAnsi="Cambria"/>
        </w:rPr>
        <w:t xml:space="preserve"> are</w:t>
      </w:r>
      <w:r w:rsidR="007904D5">
        <w:rPr>
          <w:rFonts w:ascii="Cambria" w:hAnsi="Cambria"/>
        </w:rPr>
        <w:t xml:space="preserve"> in preclinical development</w:t>
      </w:r>
      <w:r w:rsidR="007904D5">
        <w:rPr>
          <w:rFonts w:ascii="Cambria" w:hAnsi="Cambria"/>
        </w:rPr>
        <w:fldChar w:fldCharType="begin" w:fldLock="1"/>
      </w:r>
      <w:r w:rsidR="00AC7A3A">
        <w:rPr>
          <w:rFonts w:ascii="Cambria" w:hAnsi="Cambria"/>
        </w:rPr>
        <w:instrText>ADDIN CSL_CITATION { "citationItems" : [ { "id" : "ITEM-1", "itemData" : { "DOI" : "10.1080/14760584.2017.1333425", "ISSN" : "1476-0584", "PMID" : "28525961", "abstract" : "INTRODUCTION Respiratory syncytial virus (RSV) is the leading cause of lower respiratory tract infections in infants worldwide and also causes significant disease in the elderly. Despite 60\u00a0years of RSV research and vaccine development, there is only one approved medicine to prevent RSV infections. Palivizumab, a monoclonal antibody (mAb) against the RSV fusion (F) protein, is indicated for preterm infants and children at high-risk for RSV infections. It is an active time in RSV vaccine and mAb development with 14 vaccines and 2 mAbs currently being tested in clinical trials as of 13 February 2017. Active vaccination of women in the third trimester or passive immunization of infants with a mAb are particularly attractive approaches as the most severe disease occurs within the first 6\u00a0months of life. Areas covered: Here, we review current approaches for preventing RSV in the young and old, describe proposed clinical endpoints for studies in pediatric and adult clinical trials and highlight results from recent and ongoing clinical studies. Expert commentary: With 16 candidates in clinical development, approval of the first RSV vaccine or mAb for the prevention of RSV in all infants or the elderly is likely to occur in the next five years.", "author" : [ { "dropping-particle" : "", "family" : "Villafana", "given" : "Tonya", "non-dropping-particle" : "", "parse-names" : false, "suffix" : "" }, { "dropping-particle" : "", "family" : "Falloon", "given" : "Judith", "non-dropping-particle" : "", "parse-names" : false, "suffix" : "" }, { "dropping-particle" : "", "family" : "Griffin", "given" : "M. Pamela", "non-dropping-particle" : "", "parse-names" : false, "suffix" : "" }, { "dropping-particle" : "", "family" : "Zhu", "given" : "Qing", "non-dropping-particle" : "", "parse-names" : false, "suffix" : "" }, { "dropping-particle" : "", "family" : "Esser", "given" : "Mark T.", "non-dropping-particle" : "", "parse-names" : false, "suffix" : "" } ], "container-title" : "Expert Review of Vaccines", "id" : "ITEM-1", "issue" : "7", "issued" : { "date-parts" : [ [ "2017", "7", "3" ] ] }, "page" : "737-749", "title" : "Passive and active immunization against respiratory syncytial virus for the young and old", "type" : "article-journal", "volume" : "16" }, "uris" : [ "http://www.mendeley.com/documents/?uuid=fcd86f63-3a8a-3d92-86c0-ab43f8d9a44b" ] } ], "mendeley" : { "formattedCitation" : "(41)", "plainTextFormattedCitation" : "(41)", "previouslyFormattedCitation" : "(41)" }, "properties" : { "noteIndex" : 0 }, "schema" : "https://github.com/citation-style-language/schema/raw/master/csl-citation.json" }</w:instrText>
      </w:r>
      <w:r w:rsidR="007904D5">
        <w:rPr>
          <w:rFonts w:ascii="Cambria" w:hAnsi="Cambria"/>
        </w:rPr>
        <w:fldChar w:fldCharType="separate"/>
      </w:r>
      <w:r w:rsidR="009F500F" w:rsidRPr="009F500F">
        <w:rPr>
          <w:rFonts w:ascii="Cambria" w:hAnsi="Cambria"/>
          <w:noProof/>
        </w:rPr>
        <w:t>(41)</w:t>
      </w:r>
      <w:r w:rsidR="007904D5">
        <w:rPr>
          <w:rFonts w:ascii="Cambria" w:hAnsi="Cambria"/>
        </w:rPr>
        <w:fldChar w:fldCharType="end"/>
      </w:r>
      <w:r w:rsidR="007904D5">
        <w:rPr>
          <w:rFonts w:ascii="Cambria" w:hAnsi="Cambria"/>
        </w:rPr>
        <w:t>.</w:t>
      </w:r>
      <w:r w:rsidR="00C534CA">
        <w:rPr>
          <w:rFonts w:ascii="Cambria" w:hAnsi="Cambria"/>
        </w:rPr>
        <w:t xml:space="preserve"> </w:t>
      </w:r>
    </w:p>
    <w:p w14:paraId="2EAF42B0" w14:textId="77777777" w:rsidR="00611EA7" w:rsidRDefault="00611EA7" w:rsidP="009B6291">
      <w:pPr>
        <w:ind w:firstLine="720"/>
        <w:jc w:val="both"/>
        <w:rPr>
          <w:rFonts w:ascii="Cambria" w:hAnsi="Cambria"/>
        </w:rPr>
      </w:pPr>
    </w:p>
    <w:p w14:paraId="351B542F" w14:textId="7917AFE2" w:rsidR="0037577D" w:rsidRPr="001C009B" w:rsidRDefault="00611EA7" w:rsidP="00C26CE6">
      <w:pPr>
        <w:jc w:val="both"/>
        <w:rPr>
          <w:rFonts w:ascii="Cambria" w:hAnsi="Cambria"/>
          <w:u w:val="single"/>
        </w:rPr>
      </w:pPr>
      <w:r w:rsidRPr="001C009B">
        <w:rPr>
          <w:rFonts w:ascii="Cambria" w:hAnsi="Cambria"/>
          <w:u w:val="single"/>
        </w:rPr>
        <w:t>Lessons from the vaccine</w:t>
      </w:r>
      <w:r w:rsidR="00A62B61">
        <w:rPr>
          <w:rFonts w:ascii="Cambria" w:hAnsi="Cambria"/>
          <w:u w:val="single"/>
        </w:rPr>
        <w:t xml:space="preserve"> and mAb</w:t>
      </w:r>
      <w:r w:rsidRPr="001C009B">
        <w:rPr>
          <w:rFonts w:ascii="Cambria" w:hAnsi="Cambria"/>
          <w:u w:val="single"/>
        </w:rPr>
        <w:t xml:space="preserve"> graveyard</w:t>
      </w:r>
    </w:p>
    <w:p w14:paraId="5187AA91" w14:textId="5E983C75" w:rsidR="00557DE4" w:rsidRDefault="00DF29BF" w:rsidP="00C26CE6">
      <w:pPr>
        <w:jc w:val="both"/>
        <w:rPr>
          <w:rFonts w:ascii="Cambria" w:hAnsi="Cambria"/>
        </w:rPr>
      </w:pPr>
      <w:r>
        <w:rPr>
          <w:rFonts w:ascii="Cambria" w:hAnsi="Cambria"/>
        </w:rPr>
        <w:t xml:space="preserve">While vaccine development has accelerated, there have been </w:t>
      </w:r>
      <w:r w:rsidR="00843B24">
        <w:rPr>
          <w:rFonts w:ascii="Cambria" w:hAnsi="Cambria"/>
        </w:rPr>
        <w:t xml:space="preserve">three </w:t>
      </w:r>
      <w:r w:rsidR="001D7D10">
        <w:rPr>
          <w:rFonts w:ascii="Cambria" w:hAnsi="Cambria"/>
        </w:rPr>
        <w:t>recent</w:t>
      </w:r>
      <w:r>
        <w:rPr>
          <w:rFonts w:ascii="Cambria" w:hAnsi="Cambria"/>
        </w:rPr>
        <w:t xml:space="preserve"> late-phase vaccine</w:t>
      </w:r>
      <w:r w:rsidR="00702A60">
        <w:rPr>
          <w:rFonts w:ascii="Cambria" w:hAnsi="Cambria"/>
        </w:rPr>
        <w:t xml:space="preserve"> and mAb</w:t>
      </w:r>
      <w:r>
        <w:rPr>
          <w:rFonts w:ascii="Cambria" w:hAnsi="Cambria"/>
        </w:rPr>
        <w:t xml:space="preserve"> trial failures. </w:t>
      </w:r>
      <w:r w:rsidR="00CD0460">
        <w:rPr>
          <w:rFonts w:ascii="Cambria" w:hAnsi="Cambria"/>
        </w:rPr>
        <w:t>It is important to distil lessons learned from these results</w:t>
      </w:r>
      <w:r w:rsidR="004A4256">
        <w:rPr>
          <w:rFonts w:ascii="Cambria" w:hAnsi="Cambria"/>
        </w:rPr>
        <w:t xml:space="preserve"> </w:t>
      </w:r>
      <w:r w:rsidR="00F27242">
        <w:rPr>
          <w:rFonts w:ascii="Cambria" w:hAnsi="Cambria"/>
        </w:rPr>
        <w:t>to inform future vaccine development.</w:t>
      </w:r>
      <w:r w:rsidR="00AB7CF5">
        <w:rPr>
          <w:rFonts w:ascii="Cambria" w:hAnsi="Cambria"/>
        </w:rPr>
        <w:t xml:space="preserve"> </w:t>
      </w:r>
    </w:p>
    <w:p w14:paraId="7CB091FB" w14:textId="0311DA6C" w:rsidR="009B601E" w:rsidRPr="009B6291" w:rsidRDefault="009B601E" w:rsidP="009B6291">
      <w:pPr>
        <w:pStyle w:val="ListParagraph"/>
        <w:numPr>
          <w:ilvl w:val="0"/>
          <w:numId w:val="2"/>
        </w:numPr>
        <w:ind w:left="567" w:hanging="578"/>
        <w:jc w:val="both"/>
        <w:rPr>
          <w:rFonts w:ascii="Cambria" w:hAnsi="Cambria"/>
        </w:rPr>
      </w:pPr>
      <w:r w:rsidRPr="009B6291">
        <w:rPr>
          <w:rFonts w:ascii="Cambria" w:hAnsi="Cambria"/>
        </w:rPr>
        <w:t>A phase III double-blind, placebo-controlled trial</w:t>
      </w:r>
      <w:r w:rsidR="00FF6C6E" w:rsidRPr="009B6291">
        <w:rPr>
          <w:rFonts w:ascii="Cambria" w:hAnsi="Cambria"/>
        </w:rPr>
        <w:t xml:space="preserve"> (NURSERY)</w:t>
      </w:r>
      <w:r w:rsidRPr="009B6291">
        <w:rPr>
          <w:rFonts w:ascii="Cambria" w:hAnsi="Cambria"/>
        </w:rPr>
        <w:t xml:space="preserve"> evaluating REGN2222</w:t>
      </w:r>
      <w:r w:rsidR="00EB1F71">
        <w:rPr>
          <w:rFonts w:ascii="Cambria" w:hAnsi="Cambria"/>
        </w:rPr>
        <w:t xml:space="preserve"> (suptavumab)</w:t>
      </w:r>
      <w:r w:rsidR="00FF6C6E" w:rsidRPr="009B6291">
        <w:rPr>
          <w:rFonts w:ascii="Cambria" w:hAnsi="Cambria"/>
        </w:rPr>
        <w:t xml:space="preserve">, a </w:t>
      </w:r>
      <w:r w:rsidR="00EE7791" w:rsidRPr="009B6291">
        <w:rPr>
          <w:rFonts w:ascii="Cambria" w:hAnsi="Cambria"/>
        </w:rPr>
        <w:t>mAb</w:t>
      </w:r>
      <w:r w:rsidR="00FF6C6E" w:rsidRPr="009B6291">
        <w:rPr>
          <w:rFonts w:ascii="Cambria" w:hAnsi="Cambria"/>
        </w:rPr>
        <w:t xml:space="preserve"> against </w:t>
      </w:r>
      <w:r w:rsidR="0086792E" w:rsidRPr="009B6291">
        <w:rPr>
          <w:rFonts w:ascii="Cambria" w:hAnsi="Cambria"/>
        </w:rPr>
        <w:t>antigenic site V on the RSV pre</w:t>
      </w:r>
      <w:r w:rsidR="0086792E">
        <w:rPr>
          <w:rFonts w:ascii="Cambria" w:hAnsi="Cambria"/>
        </w:rPr>
        <w:t>-</w:t>
      </w:r>
      <w:r w:rsidR="0086792E" w:rsidRPr="009B6291">
        <w:rPr>
          <w:rFonts w:ascii="Cambria" w:hAnsi="Cambria"/>
        </w:rPr>
        <w:t xml:space="preserve">F protein, a major target for high-potency </w:t>
      </w:r>
      <w:r w:rsidR="0086792E">
        <w:rPr>
          <w:rFonts w:ascii="Cambria" w:hAnsi="Cambria"/>
        </w:rPr>
        <w:t>mAbs</w:t>
      </w:r>
      <w:r w:rsidR="0086792E" w:rsidRPr="009B6291">
        <w:rPr>
          <w:rFonts w:ascii="Cambria" w:hAnsi="Cambria"/>
        </w:rPr>
        <w:fldChar w:fldCharType="begin" w:fldLock="1"/>
      </w:r>
      <w:r w:rsidR="00AC7A3A">
        <w:rPr>
          <w:rFonts w:ascii="Cambria" w:hAnsi="Cambria"/>
        </w:rPr>
        <w:instrText>ADDIN CSL_CITATION { "citationItems" : [ { "id" : "ITEM-1", "itemData" : { "DOI" : "10.1126/sciimmunol.aaj1879", "PMID" : "28111638", "abstract" : "Respiratory syncytial virus (RSV) causes substantial morbidity and mortality in young children and the elderly. There are currently no licensed RSV vaccines, and passive prophylaxis with the monoclonal antibody palivizumab is restricted to high-risk infants in part due to its modest efficacy. Although it is widely agreed that an effective RSV vaccine will require the induction of a potent neutralizing antibody response against the RSV fusion (F) glycoprotein, little is known about the specificities and functional activities of RSV F-specific antibodies induced by natural infection. Here, we have comprehensively profiled the human antibody response to RSV F by isolating and characterizing 364 RSV F-specific monoclonal antibodies from the memory B cells of three healthy adult donors. In all donors, the antibody response to RSV F is comprised of a broad diversity of clones that target several antigenic sites. Nearly half of the most potent antibodies target a previously undefined site of vulnerability near the apex of the prefusion conformation of RSV F (preF), providing strong support for the development of RSV vaccine candidates that preserve the membrane-distal hemisphere of the preF protein. Additionally, the antibodies targeting this new site display convergent sequence features, thus providing a future means to rapidly detect the presence of these antibodies in human vaccine samples. Many of the antibodies that bind preF-specific surfaces are over 100 times more potent than palivizumab, and several cross-neutralize human metapneumovirus (HMPV). Taken together, the results have implications for the design and evaluation of RSV vaccine candidates and offer new options for passive prophylaxis.", "author" : [ { "dropping-particle" : "", "family" : "Gilman", "given" : "M. S. A.", "non-dropping-particle" : "", "parse-names" : false, "suffix" : "" }, { "dropping-particle" : "", "family" : "Castellanos", "given" : "C. A.", "non-dropping-particle" : "", "parse-names" : false, "suffix" : "" }, { "dropping-particle" : "", "family" : "Chen", "given" : "M.", "non-dropping-particle" : "", "parse-names" : false, "suffix" : "" }, { "dropping-particle" : "", "family" : "Ngwuta", "given" : "J. O.", "non-dropping-particle" : "", "parse-names" : false, "suffix" : "" }, { "dropping-particle" : "", "family" : "Goodwin", "given" : "E.", "non-dropping-particle" : "", "parse-names" : false, "suffix" : "" }, { "dropping-particle" : "", "family" : "Moin", "given" : "S. M.", "non-dropping-particle" : "", "parse-names" : false, "suffix" : "" }, { "dropping-particle" : "", "family" : "Mas", "given" : "V.", "non-dropping-particle" : "", "parse-names" : false, "suffix" : "" }, { "dropping-particle" : "", "family" : "Melero", "given" : "J. A.", "non-dropping-particle" : "", "parse-names" : false, "suffix" : "" }, { "dropping-particle" : "", "family" : "Wright", "given" : "P. F.", "non-dropping-particle" : "", "parse-names" : false, "suffix" : "" }, { "dropping-particle" : "", "family" : "Graham", "given" : "B. S.", "non-dropping-particle" : "", "parse-names" : false, "suffix" : "" }, { "dropping-particle" : "", "family" : "McLellan", "given" : "J. S.", "non-dropping-particle" : "", "parse-names" : false, "suffix" : "" }, { "dropping-particle" : "", "family" : "Walker", "given" : "L. M.", "non-dropping-particle" : "", "parse-names" : false, "suffix" : "" } ], "container-title" : "Sci Immunol", "id" : "ITEM-1", "issue" : "6", "issued" : { "date-parts" : [ [ "2016", "12", "9" ] ] }, "page" : "eaaj1879", "title" : "Rapid profiling of RSV antibody repertoires from the memory B cells of naturally infected adult donors", "type" : "article-journal", "volume" : "1" }, "uris" : [ "http://www.mendeley.com/documents/?uuid=c9c0e13b-c9aa-3731-99c7-92939178c7c1" ] } ], "mendeley" : { "formattedCitation" : "(42)", "plainTextFormattedCitation" : "(42)", "previouslyFormattedCitation" : "(42)" }, "properties" : { "noteIndex" : 0 }, "schema" : "https://github.com/citation-style-language/schema/raw/master/csl-citation.json" }</w:instrText>
      </w:r>
      <w:r w:rsidR="0086792E" w:rsidRPr="009B6291">
        <w:rPr>
          <w:rFonts w:ascii="Cambria" w:hAnsi="Cambria"/>
        </w:rPr>
        <w:fldChar w:fldCharType="separate"/>
      </w:r>
      <w:r w:rsidR="009F500F" w:rsidRPr="009F500F">
        <w:rPr>
          <w:rFonts w:ascii="Cambria" w:hAnsi="Cambria"/>
          <w:noProof/>
        </w:rPr>
        <w:t>(42)</w:t>
      </w:r>
      <w:r w:rsidR="0086792E" w:rsidRPr="009B6291">
        <w:rPr>
          <w:rFonts w:ascii="Cambria" w:hAnsi="Cambria"/>
        </w:rPr>
        <w:fldChar w:fldCharType="end"/>
      </w:r>
      <w:r w:rsidR="0086792E">
        <w:rPr>
          <w:rFonts w:ascii="Cambria" w:hAnsi="Cambria"/>
        </w:rPr>
        <w:t xml:space="preserve"> was conducted</w:t>
      </w:r>
      <w:r w:rsidR="004C1A75">
        <w:rPr>
          <w:rFonts w:ascii="Cambria" w:hAnsi="Cambria"/>
        </w:rPr>
        <w:t xml:space="preserve"> at 250 sites in 19 countries</w:t>
      </w:r>
      <w:r w:rsidR="0086792E">
        <w:rPr>
          <w:rFonts w:ascii="Cambria" w:hAnsi="Cambria"/>
        </w:rPr>
        <w:t>. REGN2222 was</w:t>
      </w:r>
      <w:r w:rsidRPr="009B6291">
        <w:rPr>
          <w:rFonts w:ascii="Cambria" w:hAnsi="Cambria"/>
        </w:rPr>
        <w:t xml:space="preserve"> </w:t>
      </w:r>
      <w:r w:rsidR="000B175A">
        <w:rPr>
          <w:rFonts w:ascii="Cambria" w:hAnsi="Cambria"/>
        </w:rPr>
        <w:t xml:space="preserve">administered </w:t>
      </w:r>
      <w:r w:rsidR="005D5571">
        <w:rPr>
          <w:rFonts w:ascii="Cambria" w:hAnsi="Cambria"/>
        </w:rPr>
        <w:t>once or twice</w:t>
      </w:r>
      <w:r w:rsidR="000B175A">
        <w:rPr>
          <w:rFonts w:ascii="Cambria" w:hAnsi="Cambria"/>
        </w:rPr>
        <w:t xml:space="preserve"> during the respiratory season in</w:t>
      </w:r>
      <w:r w:rsidR="000B175A" w:rsidRPr="00B42260">
        <w:rPr>
          <w:rFonts w:ascii="Cambria" w:hAnsi="Cambria"/>
        </w:rPr>
        <w:t xml:space="preserve"> 1,149 healthy preterm infants</w:t>
      </w:r>
      <w:r w:rsidR="00EF7917">
        <w:rPr>
          <w:rFonts w:ascii="Cambria" w:hAnsi="Cambria"/>
        </w:rPr>
        <w:t xml:space="preserve"> </w:t>
      </w:r>
      <w:r w:rsidR="00B962E6">
        <w:rPr>
          <w:rFonts w:ascii="Cambria" w:hAnsi="Cambria"/>
        </w:rPr>
        <w:t>&lt;</w:t>
      </w:r>
      <w:r w:rsidR="00EF7917">
        <w:rPr>
          <w:rFonts w:ascii="Cambria" w:hAnsi="Cambria"/>
        </w:rPr>
        <w:t xml:space="preserve"> 6 months</w:t>
      </w:r>
      <w:r w:rsidR="0086792E">
        <w:rPr>
          <w:rFonts w:ascii="Cambria" w:hAnsi="Cambria"/>
        </w:rPr>
        <w:t xml:space="preserve"> of age</w:t>
      </w:r>
      <w:r w:rsidR="008C3AD1">
        <w:rPr>
          <w:rFonts w:ascii="Cambria" w:hAnsi="Cambria"/>
        </w:rPr>
        <w:t xml:space="preserve"> with a gestational age</w:t>
      </w:r>
      <w:r w:rsidR="000B175A">
        <w:rPr>
          <w:rFonts w:ascii="Cambria" w:hAnsi="Cambria"/>
        </w:rPr>
        <w:t xml:space="preserve"> </w:t>
      </w:r>
      <w:r w:rsidR="00BD201A">
        <w:rPr>
          <w:rFonts w:ascii="Cambria" w:hAnsi="Cambria"/>
        </w:rPr>
        <w:t>≤</w:t>
      </w:r>
      <w:r w:rsidR="000B175A">
        <w:rPr>
          <w:rFonts w:ascii="Cambria" w:hAnsi="Cambria"/>
        </w:rPr>
        <w:t>35 weeks</w:t>
      </w:r>
      <w:r w:rsidR="00E02259">
        <w:rPr>
          <w:rFonts w:ascii="Cambria" w:hAnsi="Cambria"/>
        </w:rPr>
        <w:t xml:space="preserve"> and were excluded if eligible to receive palivizumab.</w:t>
      </w:r>
      <w:r w:rsidR="000B175A" w:rsidRPr="00B42260">
        <w:rPr>
          <w:rFonts w:ascii="Cambria" w:hAnsi="Cambria"/>
        </w:rPr>
        <w:t xml:space="preserve"> </w:t>
      </w:r>
      <w:r w:rsidR="00E02259">
        <w:rPr>
          <w:rFonts w:ascii="Cambria" w:hAnsi="Cambria"/>
        </w:rPr>
        <w:t xml:space="preserve">The trial </w:t>
      </w:r>
      <w:r w:rsidRPr="009B6291">
        <w:rPr>
          <w:rFonts w:ascii="Cambria" w:hAnsi="Cambria"/>
        </w:rPr>
        <w:t>did not meet its primary</w:t>
      </w:r>
      <w:r w:rsidR="00E02259">
        <w:rPr>
          <w:rFonts w:ascii="Cambria" w:hAnsi="Cambria"/>
        </w:rPr>
        <w:t xml:space="preserve"> efficacy</w:t>
      </w:r>
      <w:r w:rsidRPr="009B6291">
        <w:rPr>
          <w:rFonts w:ascii="Cambria" w:hAnsi="Cambria"/>
        </w:rPr>
        <w:t xml:space="preserve"> endpoint to prevent medically-attended RSV infectio</w:t>
      </w:r>
      <w:r w:rsidR="000B175A">
        <w:rPr>
          <w:rFonts w:ascii="Cambria" w:hAnsi="Cambria"/>
        </w:rPr>
        <w:t>ns</w:t>
      </w:r>
      <w:r w:rsidR="00D2489B" w:rsidRPr="009B6291">
        <w:rPr>
          <w:rFonts w:ascii="Cambria" w:hAnsi="Cambria"/>
        </w:rPr>
        <w:t xml:space="preserve"> through day 150</w:t>
      </w:r>
      <w:r w:rsidR="00D61073" w:rsidRPr="009B6291">
        <w:rPr>
          <w:rFonts w:ascii="Cambria" w:hAnsi="Cambria"/>
        </w:rPr>
        <w:t xml:space="preserve"> of life</w:t>
      </w:r>
      <w:r w:rsidR="00611ADD">
        <w:rPr>
          <w:rFonts w:ascii="Cambria" w:hAnsi="Cambria"/>
        </w:rPr>
        <w:fldChar w:fldCharType="begin" w:fldLock="1"/>
      </w:r>
      <w:r w:rsidR="0019712C">
        <w:rPr>
          <w:rFonts w:ascii="Cambria" w:hAnsi="Cambria"/>
        </w:rPr>
        <w:instrText>ADDIN CSL_CITATION { "citationItems" : [ { "id" : "ITEM-1", "itemData" : { "URL" : "https://clinicaltrials.gov/ct2/show/study/NCT02325791?show_locs=Y", "accessed" : { "date-parts" : [ [ "2018", "3", "28" ] ] }, "author" : [ { "dropping-particle" : "", "family" : "clinicaltrials.gov", "given" : "", "non-dropping-particle" : "", "parse-names" : false, "suffix" : "" } ], "container-title" : "NIH: US National Library of Medicine", "id" : "ITEM-1", "issued" : { "date-parts" : [ [ "2018" ] ] }, "title" : "Study to Evaluate the Efficacy and Safety of REGN2222, for the Prevention of Medically Attended RSV (Respiratory Syncytial Virus) Infection in Preterm Infants - Full Text View - ClinicalTrials.gov", "type" : "webpage" }, "uris" : [ "http://www.mendeley.com/documents/?uuid=ede9003d-6439-38b1-bcd0-9740261c0616" ] } ], "mendeley" : { "formattedCitation" : "(43)", "plainTextFormattedCitation" : "(43)", "previouslyFormattedCitation" : "(43)" }, "properties" : { "noteIndex" : 0 }, "schema" : "https://github.com/citation-style-language/schema/raw/master/csl-citation.json" }</w:instrText>
      </w:r>
      <w:r w:rsidR="00611ADD">
        <w:rPr>
          <w:rFonts w:ascii="Cambria" w:hAnsi="Cambria"/>
        </w:rPr>
        <w:fldChar w:fldCharType="separate"/>
      </w:r>
      <w:r w:rsidR="00611ADD" w:rsidRPr="00611ADD">
        <w:rPr>
          <w:rFonts w:ascii="Cambria" w:hAnsi="Cambria"/>
          <w:noProof/>
        </w:rPr>
        <w:t>(43)</w:t>
      </w:r>
      <w:r w:rsidR="00611ADD">
        <w:rPr>
          <w:rFonts w:ascii="Cambria" w:hAnsi="Cambria"/>
        </w:rPr>
        <w:fldChar w:fldCharType="end"/>
      </w:r>
      <w:r w:rsidRPr="009B6291">
        <w:rPr>
          <w:rFonts w:ascii="Cambria" w:hAnsi="Cambria"/>
        </w:rPr>
        <w:t>.</w:t>
      </w:r>
      <w:r w:rsidR="00790D16" w:rsidRPr="009B6291">
        <w:rPr>
          <w:rFonts w:ascii="Cambria" w:hAnsi="Cambria"/>
        </w:rPr>
        <w:t xml:space="preserve"> REGN2222 was accelerated </w:t>
      </w:r>
      <w:r w:rsidR="00790D16" w:rsidRPr="009B6291">
        <w:rPr>
          <w:rFonts w:ascii="Cambria" w:hAnsi="Cambria"/>
        </w:rPr>
        <w:lastRenderedPageBreak/>
        <w:t xml:space="preserve">from </w:t>
      </w:r>
      <w:r w:rsidR="002F73A6">
        <w:rPr>
          <w:rFonts w:ascii="Cambria" w:hAnsi="Cambria"/>
        </w:rPr>
        <w:t>p</w:t>
      </w:r>
      <w:r w:rsidR="00790D16" w:rsidRPr="009B6291">
        <w:rPr>
          <w:rFonts w:ascii="Cambria" w:hAnsi="Cambria"/>
        </w:rPr>
        <w:t xml:space="preserve">hase I to </w:t>
      </w:r>
      <w:r w:rsidR="002F73A6">
        <w:rPr>
          <w:rFonts w:ascii="Cambria" w:hAnsi="Cambria"/>
        </w:rPr>
        <w:t>p</w:t>
      </w:r>
      <w:r w:rsidR="00790D16" w:rsidRPr="009B6291">
        <w:rPr>
          <w:rFonts w:ascii="Cambria" w:hAnsi="Cambria"/>
        </w:rPr>
        <w:t xml:space="preserve">hase III due to promising results and the </w:t>
      </w:r>
      <w:r w:rsidR="00917D00">
        <w:rPr>
          <w:rFonts w:ascii="Cambria" w:hAnsi="Cambria"/>
        </w:rPr>
        <w:t>United States Food and Drug A</w:t>
      </w:r>
      <w:r w:rsidR="009B0F80">
        <w:rPr>
          <w:rFonts w:ascii="Cambria" w:hAnsi="Cambria"/>
        </w:rPr>
        <w:t>dministration (</w:t>
      </w:r>
      <w:r w:rsidR="00790D16" w:rsidRPr="009B6291">
        <w:rPr>
          <w:rFonts w:ascii="Cambria" w:hAnsi="Cambria"/>
        </w:rPr>
        <w:t>FDA</w:t>
      </w:r>
      <w:r w:rsidR="009B0F80">
        <w:rPr>
          <w:rFonts w:ascii="Cambria" w:hAnsi="Cambria"/>
        </w:rPr>
        <w:t>)</w:t>
      </w:r>
      <w:r w:rsidR="00790D16" w:rsidRPr="009B6291">
        <w:rPr>
          <w:rFonts w:ascii="Cambria" w:hAnsi="Cambria"/>
        </w:rPr>
        <w:t xml:space="preserve"> granted Fast Track designation in October 2015.</w:t>
      </w:r>
      <w:r w:rsidR="00B73425" w:rsidRPr="009B6291">
        <w:rPr>
          <w:rFonts w:ascii="Cambria" w:hAnsi="Cambria"/>
        </w:rPr>
        <w:t xml:space="preserve"> </w:t>
      </w:r>
      <w:r w:rsidR="00611ADD">
        <w:rPr>
          <w:rFonts w:ascii="Cambria" w:hAnsi="Cambria"/>
        </w:rPr>
        <w:t>A proposed explanation</w:t>
      </w:r>
      <w:r w:rsidR="00941DED">
        <w:rPr>
          <w:rFonts w:ascii="Cambria" w:hAnsi="Cambria"/>
        </w:rPr>
        <w:t xml:space="preserve"> </w:t>
      </w:r>
      <w:r w:rsidR="00611ADD">
        <w:rPr>
          <w:rFonts w:ascii="Cambria" w:hAnsi="Cambria"/>
        </w:rPr>
        <w:t>for the failure of this trial may be</w:t>
      </w:r>
      <w:r w:rsidR="00941DED">
        <w:rPr>
          <w:rFonts w:ascii="Cambria" w:hAnsi="Cambria"/>
        </w:rPr>
        <w:t xml:space="preserve"> inadequate dosing schedule in regard to the antibody half-life. </w:t>
      </w:r>
      <w:r w:rsidR="00611ADD">
        <w:rPr>
          <w:rFonts w:ascii="Cambria" w:hAnsi="Cambria"/>
        </w:rPr>
        <w:t>Ultimately, t</w:t>
      </w:r>
      <w:r w:rsidR="00611ADD" w:rsidRPr="009B6291">
        <w:rPr>
          <w:rFonts w:ascii="Cambria" w:hAnsi="Cambria"/>
        </w:rPr>
        <w:t xml:space="preserve">he </w:t>
      </w:r>
      <w:r w:rsidR="00272E20">
        <w:rPr>
          <w:rFonts w:ascii="Cambria" w:hAnsi="Cambria"/>
        </w:rPr>
        <w:t xml:space="preserve">basis for failing to meet the primary clinical endpoint is not </w:t>
      </w:r>
      <w:r w:rsidR="00087DC9">
        <w:rPr>
          <w:rFonts w:ascii="Cambria" w:hAnsi="Cambria"/>
        </w:rPr>
        <w:t>known,</w:t>
      </w:r>
      <w:r w:rsidR="00272E20">
        <w:rPr>
          <w:rFonts w:ascii="Cambria" w:hAnsi="Cambria"/>
        </w:rPr>
        <w:t xml:space="preserve"> as </w:t>
      </w:r>
      <w:r w:rsidR="00D635D3" w:rsidRPr="009B6291">
        <w:rPr>
          <w:rFonts w:ascii="Cambria" w:hAnsi="Cambria"/>
        </w:rPr>
        <w:t>analyses</w:t>
      </w:r>
      <w:r w:rsidR="00D61073" w:rsidRPr="009B6291">
        <w:rPr>
          <w:rFonts w:ascii="Cambria" w:hAnsi="Cambria"/>
        </w:rPr>
        <w:t xml:space="preserve"> of this late-stage failure</w:t>
      </w:r>
      <w:r w:rsidR="00D635D3" w:rsidRPr="009B6291">
        <w:rPr>
          <w:rFonts w:ascii="Cambria" w:hAnsi="Cambria"/>
        </w:rPr>
        <w:t xml:space="preserve"> have </w:t>
      </w:r>
      <w:r w:rsidR="00AB7CF5" w:rsidRPr="009B6291">
        <w:rPr>
          <w:rFonts w:ascii="Cambria" w:hAnsi="Cambria"/>
        </w:rPr>
        <w:t xml:space="preserve">not yet been </w:t>
      </w:r>
      <w:r w:rsidR="00D635D3" w:rsidRPr="009B6291">
        <w:rPr>
          <w:rFonts w:ascii="Cambria" w:hAnsi="Cambria"/>
        </w:rPr>
        <w:t>made publi</w:t>
      </w:r>
      <w:r w:rsidR="00D61073" w:rsidRPr="009B6291">
        <w:rPr>
          <w:rFonts w:ascii="Cambria" w:hAnsi="Cambria"/>
        </w:rPr>
        <w:t>c.</w:t>
      </w:r>
    </w:p>
    <w:p w14:paraId="6AE2F723" w14:textId="3F5B1081" w:rsidR="00B8013C" w:rsidRPr="009B6291" w:rsidRDefault="00B8013C" w:rsidP="009B6291">
      <w:pPr>
        <w:pStyle w:val="ListParagraph"/>
        <w:numPr>
          <w:ilvl w:val="0"/>
          <w:numId w:val="2"/>
        </w:numPr>
        <w:ind w:left="567" w:hanging="567"/>
        <w:jc w:val="both"/>
        <w:rPr>
          <w:rFonts w:ascii="Cambria" w:hAnsi="Cambria"/>
        </w:rPr>
      </w:pPr>
      <w:r w:rsidRPr="009B6291">
        <w:rPr>
          <w:rFonts w:ascii="Cambria" w:hAnsi="Cambria"/>
        </w:rPr>
        <w:t>The second candidate that failed</w:t>
      </w:r>
      <w:r w:rsidR="004801B8" w:rsidRPr="009B6291">
        <w:rPr>
          <w:rFonts w:ascii="Cambria" w:hAnsi="Cambria"/>
        </w:rPr>
        <w:t xml:space="preserve"> to meet the </w:t>
      </w:r>
      <w:r w:rsidR="00EF7917">
        <w:rPr>
          <w:rFonts w:ascii="Cambria" w:hAnsi="Cambria"/>
        </w:rPr>
        <w:t xml:space="preserve">predefined </w:t>
      </w:r>
      <w:r w:rsidR="004801B8" w:rsidRPr="009B6291">
        <w:rPr>
          <w:rFonts w:ascii="Cambria" w:hAnsi="Cambria"/>
        </w:rPr>
        <w:t>study endpoint</w:t>
      </w:r>
      <w:r w:rsidRPr="009B6291">
        <w:rPr>
          <w:rFonts w:ascii="Cambria" w:hAnsi="Cambria"/>
        </w:rPr>
        <w:t xml:space="preserve"> in </w:t>
      </w:r>
      <w:r w:rsidR="002F73A6">
        <w:rPr>
          <w:rFonts w:ascii="Cambria" w:hAnsi="Cambria"/>
        </w:rPr>
        <w:t>p</w:t>
      </w:r>
      <w:r w:rsidRPr="009B6291">
        <w:rPr>
          <w:rFonts w:ascii="Cambria" w:hAnsi="Cambria"/>
        </w:rPr>
        <w:t xml:space="preserve">hase III clinical trials was the </w:t>
      </w:r>
      <w:r w:rsidR="0075395D" w:rsidRPr="009B6291">
        <w:rPr>
          <w:rFonts w:ascii="Cambria" w:hAnsi="Cambria"/>
        </w:rPr>
        <w:t xml:space="preserve">RSV F </w:t>
      </w:r>
      <w:r w:rsidRPr="009B6291">
        <w:rPr>
          <w:rFonts w:ascii="Cambria" w:hAnsi="Cambria"/>
        </w:rPr>
        <w:t>nanoparticle vaccine</w:t>
      </w:r>
      <w:r w:rsidR="00EE7791" w:rsidRPr="009B6291">
        <w:rPr>
          <w:rFonts w:ascii="Cambria" w:hAnsi="Cambria"/>
        </w:rPr>
        <w:t xml:space="preserve"> candidate</w:t>
      </w:r>
      <w:r w:rsidRPr="009B6291">
        <w:rPr>
          <w:rFonts w:ascii="Cambria" w:hAnsi="Cambria"/>
        </w:rPr>
        <w:t xml:space="preserve"> for </w:t>
      </w:r>
      <w:r w:rsidR="007D3BEB" w:rsidRPr="009B6291">
        <w:rPr>
          <w:rFonts w:ascii="Cambria" w:hAnsi="Cambria"/>
        </w:rPr>
        <w:t>older adults</w:t>
      </w:r>
      <w:r w:rsidR="00EE7791" w:rsidRPr="009B6291">
        <w:rPr>
          <w:rFonts w:ascii="Cambria" w:hAnsi="Cambria"/>
        </w:rPr>
        <w:t>, a candidate based on aggregates of full-length post</w:t>
      </w:r>
      <w:r w:rsidR="001C7E85">
        <w:rPr>
          <w:rFonts w:ascii="Cambria" w:hAnsi="Cambria"/>
        </w:rPr>
        <w:t>-</w:t>
      </w:r>
      <w:r w:rsidR="00EE7791" w:rsidRPr="009B6291">
        <w:rPr>
          <w:rFonts w:ascii="Cambria" w:hAnsi="Cambria"/>
        </w:rPr>
        <w:t>F</w:t>
      </w:r>
      <w:r w:rsidRPr="009B6291">
        <w:rPr>
          <w:rFonts w:ascii="Cambria" w:hAnsi="Cambria"/>
        </w:rPr>
        <w:t xml:space="preserve">. </w:t>
      </w:r>
      <w:r w:rsidR="00274550" w:rsidRPr="009B6291">
        <w:rPr>
          <w:rFonts w:ascii="Cambria" w:hAnsi="Cambria"/>
        </w:rPr>
        <w:t xml:space="preserve">The results of the </w:t>
      </w:r>
      <w:r w:rsidR="006C7DCF">
        <w:rPr>
          <w:rFonts w:ascii="Cambria" w:hAnsi="Cambria"/>
        </w:rPr>
        <w:t>prec</w:t>
      </w:r>
      <w:r w:rsidR="00EF7917">
        <w:rPr>
          <w:rFonts w:ascii="Cambria" w:hAnsi="Cambria"/>
        </w:rPr>
        <w:t xml:space="preserve">eding </w:t>
      </w:r>
      <w:r w:rsidR="00274550" w:rsidRPr="009B6291">
        <w:rPr>
          <w:rFonts w:ascii="Cambria" w:hAnsi="Cambria"/>
        </w:rPr>
        <w:t>phase II</w:t>
      </w:r>
      <w:r w:rsidR="0075395D" w:rsidRPr="009B6291">
        <w:rPr>
          <w:rFonts w:ascii="Cambria" w:hAnsi="Cambria"/>
        </w:rPr>
        <w:t xml:space="preserve"> RSV F nanoparticle</w:t>
      </w:r>
      <w:r w:rsidR="00274550" w:rsidRPr="009B6291">
        <w:rPr>
          <w:rFonts w:ascii="Cambria" w:hAnsi="Cambria"/>
        </w:rPr>
        <w:t xml:space="preserve"> trial </w:t>
      </w:r>
      <w:r w:rsidR="00123DA1">
        <w:rPr>
          <w:rFonts w:ascii="Cambria" w:hAnsi="Cambria"/>
        </w:rPr>
        <w:t>suggested the candidate vaccine might have modest efficacy</w:t>
      </w:r>
      <w:r w:rsidR="006538DE">
        <w:rPr>
          <w:rFonts w:ascii="Cambria" w:hAnsi="Cambria"/>
        </w:rPr>
        <w:fldChar w:fldCharType="begin" w:fldLock="1"/>
      </w:r>
      <w:r w:rsidR="0019712C">
        <w:rPr>
          <w:rFonts w:ascii="Cambria" w:hAnsi="Cambria"/>
        </w:rPr>
        <w:instrText>ADDIN CSL_CITATION { "citationItems" : [ { "id" : "ITEM-1", "itemData" : { "URL" : "http://novavax.com/download/files/presentation/Novavax_RSV_Analyst_Day_7-24-17_PDF2.pdf", "accessed" : { "date-parts" : [ [ "2018", "1", "16" ] ] }, "author" : [ { "dropping-particle" : "", "family" : "Novavax", "given" : "", "non-dropping-particle" : "", "parse-names" : false, "suffix" : "" } ], "container-title" : "Investor Slide Deck", "id" : "ITEM-1", "issued" : { "date-parts" : [ [ "2017" ] ] }, "title" : "Positive Topline Data from Phase 2 Older Adult Trial and Path Forward for RSV F Vaccine Programs", "type" : "webpage" }, "uris" : [ "http://www.mendeley.com/documents/?uuid=4c89f69b-88b1-3bfa-8b2d-cc3aa8321b02" ] } ], "mendeley" : { "formattedCitation" : "(45)", "plainTextFormattedCitation" : "(45)", "previouslyFormattedCitation" : "(45)" }, "properties" : { "noteIndex" : 0 }, "schema" : "https://github.com/citation-style-language/schema/raw/master/csl-citation.json" }</w:instrText>
      </w:r>
      <w:r w:rsidR="006538DE">
        <w:rPr>
          <w:rFonts w:ascii="Cambria" w:hAnsi="Cambria"/>
        </w:rPr>
        <w:fldChar w:fldCharType="separate"/>
      </w:r>
      <w:r w:rsidR="00611ADD" w:rsidRPr="00611ADD">
        <w:rPr>
          <w:rFonts w:ascii="Cambria" w:hAnsi="Cambria"/>
          <w:noProof/>
        </w:rPr>
        <w:t>(45)</w:t>
      </w:r>
      <w:r w:rsidR="006538DE">
        <w:rPr>
          <w:rFonts w:ascii="Cambria" w:hAnsi="Cambria"/>
        </w:rPr>
        <w:fldChar w:fldCharType="end"/>
      </w:r>
      <w:r w:rsidR="00274550" w:rsidRPr="009B6291">
        <w:rPr>
          <w:rFonts w:ascii="Cambria" w:hAnsi="Cambria"/>
        </w:rPr>
        <w:t xml:space="preserve">. In the phase III trial, </w:t>
      </w:r>
      <w:r w:rsidR="00BD5FD2" w:rsidRPr="009B6291">
        <w:rPr>
          <w:rFonts w:ascii="Cambria" w:hAnsi="Cambria"/>
        </w:rPr>
        <w:t>11,8</w:t>
      </w:r>
      <w:r w:rsidR="00821946">
        <w:rPr>
          <w:rFonts w:ascii="Cambria" w:hAnsi="Cambria"/>
        </w:rPr>
        <w:t>50</w:t>
      </w:r>
      <w:r w:rsidR="00BD5FD2" w:rsidRPr="009B6291">
        <w:rPr>
          <w:rFonts w:ascii="Cambria" w:hAnsi="Cambria"/>
        </w:rPr>
        <w:t xml:space="preserve"> </w:t>
      </w:r>
      <w:r w:rsidR="00670260">
        <w:rPr>
          <w:rFonts w:ascii="Cambria" w:hAnsi="Cambria"/>
        </w:rPr>
        <w:t>subjects ≥</w:t>
      </w:r>
      <w:r w:rsidRPr="009B6291">
        <w:rPr>
          <w:rFonts w:ascii="Cambria" w:hAnsi="Cambria"/>
        </w:rPr>
        <w:t>60 years of age were enrolled in 60 US sites in a double-blind placebo-controlled trial</w:t>
      </w:r>
      <w:r w:rsidR="00C61FA9" w:rsidRPr="009B6291">
        <w:rPr>
          <w:rFonts w:ascii="Cambria" w:hAnsi="Cambria"/>
        </w:rPr>
        <w:t xml:space="preserve"> (RESOLVE) over a single</w:t>
      </w:r>
      <w:r w:rsidRPr="009B6291">
        <w:rPr>
          <w:rFonts w:ascii="Cambria" w:hAnsi="Cambria"/>
        </w:rPr>
        <w:t xml:space="preserve"> season </w:t>
      </w:r>
      <w:r w:rsidR="00C14FFC" w:rsidRPr="009B6291">
        <w:rPr>
          <w:rFonts w:ascii="Cambria" w:hAnsi="Cambria"/>
        </w:rPr>
        <w:t xml:space="preserve">starting </w:t>
      </w:r>
      <w:r w:rsidRPr="009B6291">
        <w:rPr>
          <w:rFonts w:ascii="Cambria" w:hAnsi="Cambria"/>
        </w:rPr>
        <w:t>Nov</w:t>
      </w:r>
      <w:r w:rsidR="00887B35" w:rsidRPr="009B6291">
        <w:rPr>
          <w:rFonts w:ascii="Cambria" w:hAnsi="Cambria"/>
        </w:rPr>
        <w:t>ember</w:t>
      </w:r>
      <w:r w:rsidRPr="009B6291">
        <w:rPr>
          <w:rFonts w:ascii="Cambria" w:hAnsi="Cambria"/>
        </w:rPr>
        <w:t xml:space="preserve"> 2015 </w:t>
      </w:r>
      <w:r w:rsidR="00AA5D1B" w:rsidRPr="009B6291">
        <w:rPr>
          <w:rFonts w:ascii="Cambria" w:hAnsi="Cambria"/>
        </w:rPr>
        <w:t xml:space="preserve">with </w:t>
      </w:r>
      <w:r w:rsidR="001A49CB">
        <w:rPr>
          <w:rFonts w:ascii="Cambria" w:hAnsi="Cambria"/>
        </w:rPr>
        <w:t xml:space="preserve">182 </w:t>
      </w:r>
      <w:r w:rsidR="001D1BF3">
        <w:rPr>
          <w:rFonts w:ascii="Cambria" w:hAnsi="Cambria"/>
        </w:rPr>
        <w:t xml:space="preserve">days </w:t>
      </w:r>
      <w:r w:rsidR="00AA5D1B" w:rsidRPr="009B6291">
        <w:rPr>
          <w:rFonts w:ascii="Cambria" w:hAnsi="Cambria"/>
        </w:rPr>
        <w:t>follow-up</w:t>
      </w:r>
      <w:r w:rsidR="001A49CB">
        <w:rPr>
          <w:rFonts w:ascii="Cambria" w:hAnsi="Cambria"/>
        </w:rPr>
        <w:t xml:space="preserve"> for the efficacy outcome</w:t>
      </w:r>
      <w:r w:rsidR="00ED71A3" w:rsidRPr="00ED71A3">
        <w:rPr>
          <w:rFonts w:ascii="Cambria" w:hAnsi="Cambria"/>
        </w:rPr>
        <w:t xml:space="preserve"> </w:t>
      </w:r>
      <w:r w:rsidR="00ED71A3">
        <w:rPr>
          <w:rFonts w:ascii="Cambria" w:hAnsi="Cambria"/>
        </w:rPr>
        <w:t xml:space="preserve">and was granted fast track designation by the FDA in 2016. </w:t>
      </w:r>
      <w:r w:rsidR="001A49CB">
        <w:rPr>
          <w:rFonts w:ascii="Cambria" w:hAnsi="Cambria"/>
        </w:rPr>
        <w:fldChar w:fldCharType="begin" w:fldLock="1"/>
      </w:r>
      <w:r w:rsidR="0019712C">
        <w:rPr>
          <w:rFonts w:ascii="Cambria" w:hAnsi="Cambria"/>
        </w:rPr>
        <w:instrText>ADDIN CSL_CITATION { "citationItems" : [ { "id" : "ITEM-1", "itemData" : { "URL" : "https://clinicaltrials.gov/ct2/show/study/NCT02608502?show_locs=Y", "accessed" : { "date-parts" : [ [ "2018", "3", "26" ] ] }, "author" : [ { "dropping-particle" : "", "family" : "ClinicalTrials.gov", "given" : "", "non-dropping-particle" : "", "parse-names" : false, "suffix" : "" } ], "container-title" : "NIH: US National Library of Medicine", "id" : "ITEM-1", "issued" : { "date-parts" : [ [ "2017" ] ] }, "title" : "A Study to Evaluate the Efficacy of an RSV F Vaccine in Older Adults", "type" : "webpage" }, "uris" : [ "http://www.mendeley.com/documents/?uuid=3ded584b-1e64-3fda-b901-d420150afe8a" ] } ], "mendeley" : { "formattedCitation" : "(46)", "plainTextFormattedCitation" : "(46)", "previouslyFormattedCitation" : "(46)" }, "properties" : { "noteIndex" : 0 }, "schema" : "https://github.com/citation-style-language/schema/raw/master/csl-citation.json" }</w:instrText>
      </w:r>
      <w:r w:rsidR="001A49CB">
        <w:rPr>
          <w:rFonts w:ascii="Cambria" w:hAnsi="Cambria"/>
        </w:rPr>
        <w:fldChar w:fldCharType="separate"/>
      </w:r>
      <w:r w:rsidR="00611ADD" w:rsidRPr="00611ADD">
        <w:rPr>
          <w:rFonts w:ascii="Cambria" w:hAnsi="Cambria"/>
          <w:noProof/>
        </w:rPr>
        <w:t>(46)</w:t>
      </w:r>
      <w:r w:rsidR="001A49CB">
        <w:rPr>
          <w:rFonts w:ascii="Cambria" w:hAnsi="Cambria"/>
        </w:rPr>
        <w:fldChar w:fldCharType="end"/>
      </w:r>
      <w:r w:rsidR="00AA5D1B" w:rsidRPr="009B6291">
        <w:rPr>
          <w:rFonts w:ascii="Cambria" w:hAnsi="Cambria"/>
        </w:rPr>
        <w:t xml:space="preserve">. </w:t>
      </w:r>
      <w:r w:rsidR="00533951">
        <w:rPr>
          <w:rFonts w:ascii="Cambria" w:hAnsi="Cambria"/>
        </w:rPr>
        <w:t>T</w:t>
      </w:r>
      <w:r w:rsidR="00AA5D1B" w:rsidRPr="009B6291">
        <w:rPr>
          <w:rFonts w:ascii="Cambria" w:hAnsi="Cambria"/>
        </w:rPr>
        <w:t>he vaccine</w:t>
      </w:r>
      <w:r w:rsidR="00ED71A3">
        <w:rPr>
          <w:rFonts w:ascii="Cambria" w:hAnsi="Cambria"/>
        </w:rPr>
        <w:t xml:space="preserve"> candidate</w:t>
      </w:r>
      <w:r w:rsidR="00AA5D1B" w:rsidRPr="009B6291">
        <w:rPr>
          <w:rFonts w:ascii="Cambria" w:hAnsi="Cambria"/>
        </w:rPr>
        <w:t xml:space="preserve"> showed promising </w:t>
      </w:r>
      <w:r w:rsidR="00533951">
        <w:rPr>
          <w:rFonts w:ascii="Cambria" w:hAnsi="Cambria"/>
        </w:rPr>
        <w:t xml:space="preserve">efficacy </w:t>
      </w:r>
      <w:r w:rsidR="00C818C3">
        <w:rPr>
          <w:rFonts w:ascii="Cambria" w:hAnsi="Cambria"/>
        </w:rPr>
        <w:t>and</w:t>
      </w:r>
      <w:r w:rsidR="001D1BF3">
        <w:rPr>
          <w:rFonts w:ascii="Cambria" w:hAnsi="Cambria"/>
        </w:rPr>
        <w:t xml:space="preserve"> immunogenicity measures</w:t>
      </w:r>
      <w:r w:rsidR="00ED71A3">
        <w:rPr>
          <w:rFonts w:ascii="Cambria" w:hAnsi="Cambria"/>
        </w:rPr>
        <w:t>,</w:t>
      </w:r>
      <w:r w:rsidR="001D1BF3">
        <w:rPr>
          <w:rFonts w:ascii="Cambria" w:hAnsi="Cambria"/>
        </w:rPr>
        <w:t xml:space="preserve"> </w:t>
      </w:r>
      <w:r w:rsidR="00D81E14">
        <w:rPr>
          <w:rFonts w:ascii="Cambria" w:hAnsi="Cambria"/>
        </w:rPr>
        <w:t xml:space="preserve">as determined </w:t>
      </w:r>
      <w:r w:rsidR="00C87948">
        <w:rPr>
          <w:rFonts w:ascii="Cambria" w:hAnsi="Cambria"/>
        </w:rPr>
        <w:t xml:space="preserve">by rise in geometric mean titer for </w:t>
      </w:r>
      <w:r w:rsidR="00533951">
        <w:rPr>
          <w:rFonts w:ascii="Cambria" w:hAnsi="Cambria"/>
        </w:rPr>
        <w:t xml:space="preserve">IgG </w:t>
      </w:r>
      <w:r w:rsidR="00C87948">
        <w:rPr>
          <w:rFonts w:ascii="Cambria" w:hAnsi="Cambria"/>
        </w:rPr>
        <w:t>antibodies against the F protein</w:t>
      </w:r>
      <w:r w:rsidR="00533951">
        <w:rPr>
          <w:rFonts w:ascii="Cambria" w:hAnsi="Cambria"/>
        </w:rPr>
        <w:t xml:space="preserve"> and palivizumab competing antibodies</w:t>
      </w:r>
      <w:r w:rsidR="00D32F92">
        <w:rPr>
          <w:rFonts w:ascii="Cambria" w:hAnsi="Cambria"/>
        </w:rPr>
        <w:t xml:space="preserve"> (PCA)</w:t>
      </w:r>
      <w:r w:rsidR="00ED71A3">
        <w:rPr>
          <w:rFonts w:ascii="Cambria" w:hAnsi="Cambria"/>
        </w:rPr>
        <w:t>,</w:t>
      </w:r>
      <w:r w:rsidR="00533951">
        <w:rPr>
          <w:rFonts w:ascii="Cambria" w:hAnsi="Cambria"/>
        </w:rPr>
        <w:t xml:space="preserve"> in the phase II trial</w:t>
      </w:r>
      <w:r w:rsidR="0019712C">
        <w:rPr>
          <w:rFonts w:ascii="Cambria" w:hAnsi="Cambria"/>
        </w:rPr>
        <w:fldChar w:fldCharType="begin" w:fldLock="1"/>
      </w:r>
      <w:r w:rsidR="003327D5">
        <w:rPr>
          <w:rFonts w:ascii="Cambria" w:hAnsi="Cambria"/>
        </w:rPr>
        <w:instrText>ADDIN CSL_CITATION { "citationItems" : [ { "id" : "ITEM-1", "itemData" : { "URL" : "http://www.multivu.com/players/English/7590851-novavax-rsv/", "accessed" : { "date-parts" : [ [ "2018", "3", "28" ] ] }, "author" : [ { "dropping-particle" : "", "family" : "Novavax", "given" : "Inc", "non-dropping-particle" : "", "parse-names" : false, "suffix" : "" } ], "id" : "ITEM-1", "issued" : { "date-parts" : [ [ "2015" ] ] }, "title" : "Novavax Announces Positive Top-Line Data from Phase 2 RSV F-Protein Vaccine Clinical Trial in Older Adults", "type" : "webpage" }, "uris" : [ "http://www.mendeley.com/documents/?uuid=b1a571ed-d859-35fa-a721-085513bcc780" ] } ], "mendeley" : { "formattedCitation" : "(47)", "plainTextFormattedCitation" : "(47)", "previouslyFormattedCitation" : "(47)" }, "properties" : { "noteIndex" : 0 }, "schema" : "https://github.com/citation-style-language/schema/raw/master/csl-citation.json" }</w:instrText>
      </w:r>
      <w:r w:rsidR="0019712C">
        <w:rPr>
          <w:rFonts w:ascii="Cambria" w:hAnsi="Cambria"/>
        </w:rPr>
        <w:fldChar w:fldCharType="separate"/>
      </w:r>
      <w:r w:rsidR="0019712C" w:rsidRPr="0019712C">
        <w:rPr>
          <w:rFonts w:ascii="Cambria" w:hAnsi="Cambria"/>
          <w:noProof/>
        </w:rPr>
        <w:t>(47)</w:t>
      </w:r>
      <w:r w:rsidR="0019712C">
        <w:rPr>
          <w:rFonts w:ascii="Cambria" w:hAnsi="Cambria"/>
        </w:rPr>
        <w:fldChar w:fldCharType="end"/>
      </w:r>
      <w:r w:rsidR="00533951">
        <w:rPr>
          <w:rFonts w:ascii="Cambria" w:hAnsi="Cambria"/>
        </w:rPr>
        <w:t>.</w:t>
      </w:r>
      <w:r w:rsidR="00AA5D1B" w:rsidRPr="009B6291">
        <w:rPr>
          <w:rFonts w:ascii="Cambria" w:hAnsi="Cambria"/>
        </w:rPr>
        <w:t xml:space="preserve"> </w:t>
      </w:r>
      <w:r w:rsidR="00533951">
        <w:rPr>
          <w:rFonts w:ascii="Cambria" w:hAnsi="Cambria"/>
        </w:rPr>
        <w:t xml:space="preserve">However, </w:t>
      </w:r>
      <w:r w:rsidR="00AA5D1B" w:rsidRPr="009B6291">
        <w:rPr>
          <w:rFonts w:ascii="Cambria" w:hAnsi="Cambria"/>
        </w:rPr>
        <w:t>the vaccine</w:t>
      </w:r>
      <w:r w:rsidR="00087DC9">
        <w:rPr>
          <w:rFonts w:ascii="Cambria" w:hAnsi="Cambria"/>
        </w:rPr>
        <w:t xml:space="preserve"> candidate</w:t>
      </w:r>
      <w:r w:rsidR="00AA5D1B" w:rsidRPr="009B6291">
        <w:rPr>
          <w:rFonts w:ascii="Cambria" w:hAnsi="Cambria"/>
        </w:rPr>
        <w:t xml:space="preserve"> failed to show efficacy against RSV moderate–severe lower respiratory tract disease</w:t>
      </w:r>
      <w:r w:rsidR="0075395D" w:rsidRPr="009B6291">
        <w:rPr>
          <w:rFonts w:ascii="Cambria" w:hAnsi="Cambria"/>
        </w:rPr>
        <w:t xml:space="preserve"> (ms-LRTD</w:t>
      </w:r>
      <w:r w:rsidR="00D4246E" w:rsidRPr="009B6291">
        <w:rPr>
          <w:rFonts w:ascii="Cambria" w:hAnsi="Cambria"/>
        </w:rPr>
        <w:t>)</w:t>
      </w:r>
      <w:r w:rsidR="001D1BF3">
        <w:rPr>
          <w:rFonts w:ascii="Cambria" w:hAnsi="Cambria"/>
        </w:rPr>
        <w:t xml:space="preserve"> in phase III results</w:t>
      </w:r>
      <w:r w:rsidR="00A5051A">
        <w:rPr>
          <w:rFonts w:ascii="Cambria" w:hAnsi="Cambria"/>
        </w:rPr>
        <w:fldChar w:fldCharType="begin" w:fldLock="1"/>
      </w:r>
      <w:r w:rsidR="001041E2">
        <w:rPr>
          <w:rFonts w:ascii="Cambria" w:hAnsi="Cambria"/>
        </w:rPr>
        <w:instrText>ADDIN CSL_CITATION { "citationItems" : [ { "id" : "ITEM-1", "itemData" : { "URL" : "https://ir.novavax.com/news-releases/news-release-details/novavax-announces-topline-rsv-f-vaccine-data-two-clinical-trials", "accessed" : { "date-parts" : [ [ "2018", "1", "16" ] ] }, "author" : [ { "dropping-particle" : "", "family" : "Globe Newswire", "given" : "", "non-dropping-particle" : "", "parse-names" : false, "suffix" : "" } ], "container-title" : "Novavax Press Release", "id" : "ITEM-1", "issued" : { "date-parts" : [ [ "2016" ] ] }, "page" : "1-2", "title" : "Novavax Announces Topline RSV F Vaccine Data from Two Clinical Trials in Older Adults | Novavax Inc. - IR Site", "type" : "webpage" }, "uris" : [ "http://www.mendeley.com/documents/?uuid=dc6e8b69-f1fe-3767-837c-910b4838110f" ] } ], "mendeley" : { "formattedCitation" : "(9)", "plainTextFormattedCitation" : "(9)", "previouslyFormattedCitation" : "(9)" }, "properties" : { "noteIndex" : 0 }, "schema" : "https://github.com/citation-style-language/schema/raw/master/csl-citation.json" }</w:instrText>
      </w:r>
      <w:r w:rsidR="00A5051A">
        <w:rPr>
          <w:rFonts w:ascii="Cambria" w:hAnsi="Cambria"/>
        </w:rPr>
        <w:fldChar w:fldCharType="separate"/>
      </w:r>
      <w:r w:rsidR="001041E2" w:rsidRPr="001041E2">
        <w:rPr>
          <w:rFonts w:ascii="Cambria" w:hAnsi="Cambria"/>
          <w:noProof/>
        </w:rPr>
        <w:t>(9)</w:t>
      </w:r>
      <w:r w:rsidR="00A5051A">
        <w:rPr>
          <w:rFonts w:ascii="Cambria" w:hAnsi="Cambria"/>
        </w:rPr>
        <w:fldChar w:fldCharType="end"/>
      </w:r>
      <w:r w:rsidR="00AA5D1B" w:rsidRPr="009B6291">
        <w:rPr>
          <w:rFonts w:ascii="Cambria" w:hAnsi="Cambria"/>
        </w:rPr>
        <w:t>.</w:t>
      </w:r>
      <w:r w:rsidR="009251C2" w:rsidRPr="009B6291">
        <w:rPr>
          <w:rFonts w:ascii="Cambria" w:hAnsi="Cambria"/>
        </w:rPr>
        <w:t xml:space="preserve"> </w:t>
      </w:r>
      <w:r w:rsidR="00726BB6">
        <w:rPr>
          <w:rFonts w:ascii="Cambria" w:hAnsi="Cambria"/>
        </w:rPr>
        <w:t>C</w:t>
      </w:r>
      <w:r w:rsidR="00C14FFC" w:rsidRPr="009B6291">
        <w:rPr>
          <w:rFonts w:ascii="Cambria" w:hAnsi="Cambria"/>
        </w:rPr>
        <w:t xml:space="preserve">ompared to </w:t>
      </w:r>
      <w:r w:rsidR="00726BB6">
        <w:rPr>
          <w:rFonts w:ascii="Cambria" w:hAnsi="Cambria"/>
        </w:rPr>
        <w:t>the previous</w:t>
      </w:r>
      <w:r w:rsidR="00C14FFC" w:rsidRPr="009B6291">
        <w:rPr>
          <w:rFonts w:ascii="Cambria" w:hAnsi="Cambria"/>
        </w:rPr>
        <w:t xml:space="preserve"> season</w:t>
      </w:r>
      <w:r w:rsidR="00726BB6">
        <w:rPr>
          <w:rFonts w:ascii="Cambria" w:hAnsi="Cambria"/>
        </w:rPr>
        <w:t xml:space="preserve">, </w:t>
      </w:r>
      <w:r w:rsidR="008C3AD1" w:rsidRPr="00A373DC">
        <w:rPr>
          <w:rFonts w:ascii="Cambria" w:hAnsi="Cambria"/>
        </w:rPr>
        <w:t>RSV acute respiratory disease (RSV-ARD) and ms-LRTD attack rates were lower than expected</w:t>
      </w:r>
      <w:r w:rsidR="008C3AD1">
        <w:rPr>
          <w:rFonts w:ascii="Cambria" w:hAnsi="Cambria"/>
        </w:rPr>
        <w:t xml:space="preserve"> </w:t>
      </w:r>
      <w:r w:rsidR="00726BB6">
        <w:rPr>
          <w:rFonts w:ascii="Cambria" w:hAnsi="Cambria"/>
        </w:rPr>
        <w:t>in the 2015 – 2016 season</w:t>
      </w:r>
      <w:r w:rsidR="00C14FFC" w:rsidRPr="009B6291">
        <w:rPr>
          <w:rFonts w:ascii="Cambria" w:hAnsi="Cambria"/>
        </w:rPr>
        <w:t xml:space="preserve"> </w:t>
      </w:r>
      <w:r w:rsidR="007D1420" w:rsidRPr="00DE5E6B">
        <w:rPr>
          <w:rFonts w:ascii="Times" w:hAnsi="Times"/>
        </w:rPr>
        <w:t>(RSV-ARD: 2.0% versus 4.9% and RSV-msLRTD 0.4% versus 1.8%</w:t>
      </w:r>
      <w:r w:rsidR="00B65B72">
        <w:rPr>
          <w:rFonts w:ascii="Times" w:hAnsi="Times"/>
        </w:rPr>
        <w:t xml:space="preserve"> during the vaccine and previous season</w:t>
      </w:r>
      <w:r w:rsidR="00087DC9">
        <w:rPr>
          <w:rFonts w:ascii="Times" w:hAnsi="Times"/>
        </w:rPr>
        <w:t xml:space="preserve"> respectively</w:t>
      </w:r>
      <w:r w:rsidR="007D1420" w:rsidRPr="00DE5E6B">
        <w:rPr>
          <w:rFonts w:ascii="Times" w:hAnsi="Times"/>
        </w:rPr>
        <w:t>)</w:t>
      </w:r>
      <w:r w:rsidR="00A5051A">
        <w:rPr>
          <w:rFonts w:ascii="Cambria" w:hAnsi="Cambria"/>
        </w:rPr>
        <w:t>.</w:t>
      </w:r>
      <w:r w:rsidR="00C14FFC" w:rsidRPr="009B6291">
        <w:rPr>
          <w:rFonts w:ascii="Cambria" w:hAnsi="Cambria"/>
        </w:rPr>
        <w:t xml:space="preserve"> </w:t>
      </w:r>
      <w:r w:rsidR="00A5051A">
        <w:rPr>
          <w:rFonts w:ascii="Cambria" w:hAnsi="Cambria"/>
        </w:rPr>
        <w:t>The pharmaceutical company</w:t>
      </w:r>
      <w:r w:rsidR="00A5051A" w:rsidRPr="009B6291">
        <w:rPr>
          <w:rFonts w:ascii="Cambria" w:hAnsi="Cambria"/>
        </w:rPr>
        <w:t xml:space="preserve"> </w:t>
      </w:r>
      <w:r w:rsidR="008A121C">
        <w:rPr>
          <w:rFonts w:ascii="Cambria" w:hAnsi="Cambria"/>
        </w:rPr>
        <w:t>speculates that</w:t>
      </w:r>
      <w:r w:rsidR="008A121C" w:rsidRPr="009B6291">
        <w:rPr>
          <w:rFonts w:ascii="Cambria" w:hAnsi="Cambria"/>
        </w:rPr>
        <w:t xml:space="preserve"> </w:t>
      </w:r>
      <w:r w:rsidR="00A5051A">
        <w:rPr>
          <w:rFonts w:ascii="Cambria" w:hAnsi="Cambria"/>
        </w:rPr>
        <w:t>the difference</w:t>
      </w:r>
      <w:r w:rsidR="00C14FFC" w:rsidRPr="009B6291">
        <w:rPr>
          <w:rFonts w:ascii="Cambria" w:hAnsi="Cambria"/>
        </w:rPr>
        <w:t xml:space="preserve"> </w:t>
      </w:r>
      <w:r w:rsidR="00A5051A">
        <w:rPr>
          <w:rFonts w:ascii="Cambria" w:hAnsi="Cambria"/>
        </w:rPr>
        <w:t xml:space="preserve">in </w:t>
      </w:r>
      <w:r w:rsidR="00C14FFC" w:rsidRPr="009B6291">
        <w:rPr>
          <w:rFonts w:ascii="Cambria" w:hAnsi="Cambria"/>
        </w:rPr>
        <w:t>vaccine efficacy observed</w:t>
      </w:r>
      <w:r w:rsidR="008A121C">
        <w:rPr>
          <w:rFonts w:ascii="Cambria" w:hAnsi="Cambria"/>
        </w:rPr>
        <w:t xml:space="preserve"> may in part be due</w:t>
      </w:r>
      <w:r w:rsidR="00A5051A">
        <w:rPr>
          <w:rFonts w:ascii="Cambria" w:hAnsi="Cambria"/>
        </w:rPr>
        <w:t xml:space="preserve"> to the lower attack rate</w:t>
      </w:r>
      <w:r w:rsidR="008E28D6">
        <w:rPr>
          <w:rFonts w:ascii="Cambria" w:hAnsi="Cambria"/>
        </w:rPr>
        <w:t xml:space="preserve"> as well as high pre-existing immunity in the study population</w:t>
      </w:r>
      <w:r w:rsidR="00D166E9" w:rsidRPr="009B6291">
        <w:rPr>
          <w:rFonts w:ascii="Cambria" w:hAnsi="Cambria"/>
        </w:rPr>
        <w:fldChar w:fldCharType="begin" w:fldLock="1"/>
      </w:r>
      <w:r w:rsidR="0019712C">
        <w:rPr>
          <w:rFonts w:ascii="Cambria" w:hAnsi="Cambria"/>
        </w:rPr>
        <w:instrText>ADDIN CSL_CITATION { "citationItems" : [ { "id" : "ITEM-1", "itemData" : { "URL" : "http://novavax.com/download/files/presentation/Novavax_RSV_Analyst_Day_7-24-17_PDF2.pdf", "accessed" : { "date-parts" : [ [ "2018", "1", "16" ] ] }, "author" : [ { "dropping-particle" : "", "family" : "Novavax", "given" : "", "non-dropping-particle" : "", "parse-names" : false, "suffix" : "" } ], "container-title" : "Investor Slide Deck", "id" : "ITEM-1", "issued" : { "date-parts" : [ [ "2017" ] ] }, "title" : "Positive Topline Data from Phase 2 Older Adult Trial and Path Forward for RSV F Vaccine Programs", "type" : "webpage" }, "uris" : [ "http://www.mendeley.com/documents/?uuid=4c89f69b-88b1-3bfa-8b2d-cc3aa8321b02" ] } ], "mendeley" : { "formattedCitation" : "(45)", "plainTextFormattedCitation" : "(45)", "previouslyFormattedCitation" : "(45)" }, "properties" : { "noteIndex" : 0 }, "schema" : "https://github.com/citation-style-language/schema/raw/master/csl-citation.json" }</w:instrText>
      </w:r>
      <w:r w:rsidR="00D166E9" w:rsidRPr="009B6291">
        <w:rPr>
          <w:rFonts w:ascii="Cambria" w:hAnsi="Cambria"/>
        </w:rPr>
        <w:fldChar w:fldCharType="separate"/>
      </w:r>
      <w:r w:rsidR="00611ADD" w:rsidRPr="00611ADD">
        <w:rPr>
          <w:rFonts w:ascii="Cambria" w:hAnsi="Cambria"/>
          <w:noProof/>
        </w:rPr>
        <w:t>(45)</w:t>
      </w:r>
      <w:r w:rsidR="00D166E9" w:rsidRPr="009B6291">
        <w:rPr>
          <w:rFonts w:ascii="Cambria" w:hAnsi="Cambria"/>
        </w:rPr>
        <w:fldChar w:fldCharType="end"/>
      </w:r>
      <w:r w:rsidR="009251C2" w:rsidRPr="009B6291">
        <w:rPr>
          <w:rFonts w:ascii="Cambria" w:hAnsi="Cambria"/>
        </w:rPr>
        <w:t xml:space="preserve">. </w:t>
      </w:r>
      <w:r w:rsidR="00557DE4" w:rsidRPr="009B6291">
        <w:rPr>
          <w:rFonts w:ascii="Cambria" w:hAnsi="Cambria"/>
        </w:rPr>
        <w:t>In a post-hoc subgroup analysis, the</w:t>
      </w:r>
      <w:r w:rsidR="008C3AD1">
        <w:rPr>
          <w:rFonts w:ascii="Cambria" w:hAnsi="Cambria"/>
        </w:rPr>
        <w:t xml:space="preserve"> vaccine candidate</w:t>
      </w:r>
      <w:r w:rsidR="00557DE4" w:rsidRPr="009B6291">
        <w:rPr>
          <w:rFonts w:ascii="Cambria" w:hAnsi="Cambria"/>
        </w:rPr>
        <w:t xml:space="preserve"> showed</w:t>
      </w:r>
      <w:r w:rsidR="00C14FFC" w:rsidRPr="009B6291">
        <w:rPr>
          <w:rFonts w:ascii="Cambria" w:hAnsi="Cambria"/>
        </w:rPr>
        <w:t xml:space="preserve"> efficacy against hospitalizations </w:t>
      </w:r>
      <w:r w:rsidR="00C818C3">
        <w:rPr>
          <w:rFonts w:ascii="Cambria" w:hAnsi="Cambria"/>
        </w:rPr>
        <w:t>for</w:t>
      </w:r>
      <w:r w:rsidR="00C14FFC" w:rsidRPr="009B6291">
        <w:rPr>
          <w:rFonts w:ascii="Cambria" w:hAnsi="Cambria"/>
        </w:rPr>
        <w:t xml:space="preserve"> </w:t>
      </w:r>
      <w:r w:rsidR="001E3689" w:rsidRPr="009B6291">
        <w:rPr>
          <w:rFonts w:ascii="Cambria" w:hAnsi="Cambria"/>
        </w:rPr>
        <w:t>chronic obstructive pulmonary disease (</w:t>
      </w:r>
      <w:r w:rsidR="00C14FFC" w:rsidRPr="009B6291">
        <w:rPr>
          <w:rFonts w:ascii="Cambria" w:hAnsi="Cambria"/>
        </w:rPr>
        <w:t>COPD</w:t>
      </w:r>
      <w:r w:rsidR="001E3689" w:rsidRPr="009B6291">
        <w:rPr>
          <w:rFonts w:ascii="Cambria" w:hAnsi="Cambria"/>
        </w:rPr>
        <w:t>)</w:t>
      </w:r>
      <w:r w:rsidR="00C14FFC" w:rsidRPr="009B6291">
        <w:rPr>
          <w:rFonts w:ascii="Cambria" w:hAnsi="Cambria"/>
        </w:rPr>
        <w:t xml:space="preserve"> exacerbation</w:t>
      </w:r>
      <w:r w:rsidR="00726BB6">
        <w:rPr>
          <w:rFonts w:ascii="Cambria" w:hAnsi="Cambria"/>
        </w:rPr>
        <w:t>s</w:t>
      </w:r>
      <w:r w:rsidR="00557DE4" w:rsidRPr="009B6291">
        <w:rPr>
          <w:rFonts w:ascii="Cambria" w:hAnsi="Cambria"/>
        </w:rPr>
        <w:t xml:space="preserve"> from all causes</w:t>
      </w:r>
      <w:r w:rsidR="00E5271A">
        <w:rPr>
          <w:rFonts w:ascii="Cambria" w:hAnsi="Cambria"/>
        </w:rPr>
        <w:fldChar w:fldCharType="begin" w:fldLock="1"/>
      </w:r>
      <w:r w:rsidR="0019712C">
        <w:rPr>
          <w:rFonts w:ascii="Cambria" w:hAnsi="Cambria"/>
        </w:rPr>
        <w:instrText>ADDIN CSL_CITATION { "citationItems" : [ { "id" : "ITEM-1", "itemData" : { "URL" : "http://novavax.com/download/files/presentation/Novavax_RSV_Analyst_Day_7-24-17_PDF2.pdf", "accessed" : { "date-parts" : [ [ "2018", "1", "16" ] ] }, "author" : [ { "dropping-particle" : "", "family" : "Novavax", "given" : "", "non-dropping-particle" : "", "parse-names" : false, "suffix" : "" } ], "container-title" : "Investor Slide Deck", "id" : "ITEM-1", "issued" : { "date-parts" : [ [ "2017" ] ] }, "title" : "Positive Topline Data from Phase 2 Older Adult Trial and Path Forward for RSV F Vaccine Programs", "type" : "webpage" }, "uris" : [ "http://www.mendeley.com/documents/?uuid=4c89f69b-88b1-3bfa-8b2d-cc3aa8321b02" ] } ], "mendeley" : { "formattedCitation" : "(45)", "plainTextFormattedCitation" : "(45)", "previouslyFormattedCitation" : "(45)" }, "properties" : { "noteIndex" : 0 }, "schema" : "https://github.com/citation-style-language/schema/raw/master/csl-citation.json" }</w:instrText>
      </w:r>
      <w:r w:rsidR="00E5271A">
        <w:rPr>
          <w:rFonts w:ascii="Cambria" w:hAnsi="Cambria"/>
        </w:rPr>
        <w:fldChar w:fldCharType="separate"/>
      </w:r>
      <w:r w:rsidR="00611ADD" w:rsidRPr="00611ADD">
        <w:rPr>
          <w:rFonts w:ascii="Cambria" w:hAnsi="Cambria"/>
          <w:noProof/>
        </w:rPr>
        <w:t>(45)</w:t>
      </w:r>
      <w:r w:rsidR="00E5271A">
        <w:rPr>
          <w:rFonts w:ascii="Cambria" w:hAnsi="Cambria"/>
        </w:rPr>
        <w:fldChar w:fldCharType="end"/>
      </w:r>
      <w:r w:rsidR="00C14FFC" w:rsidRPr="009B6291">
        <w:rPr>
          <w:rFonts w:ascii="Cambria" w:hAnsi="Cambria"/>
        </w:rPr>
        <w:t xml:space="preserve">. </w:t>
      </w:r>
      <w:r w:rsidR="0094600D" w:rsidRPr="009B6291">
        <w:rPr>
          <w:rFonts w:ascii="Cambria" w:hAnsi="Cambria"/>
        </w:rPr>
        <w:t xml:space="preserve">Upon further analysis of the phase III results, </w:t>
      </w:r>
      <w:r w:rsidR="0025312E" w:rsidRPr="009B6291">
        <w:rPr>
          <w:rFonts w:ascii="Cambria" w:hAnsi="Cambria"/>
        </w:rPr>
        <w:t xml:space="preserve">there was a trend towards higher </w:t>
      </w:r>
      <w:r w:rsidR="0094600D" w:rsidRPr="009B6291">
        <w:rPr>
          <w:rFonts w:ascii="Cambria" w:hAnsi="Cambria"/>
        </w:rPr>
        <w:t>RSV microneutralization titers in adults without RSV-ARD when compared to adults with RSV-ARD</w:t>
      </w:r>
      <w:r w:rsidR="00D32F92">
        <w:rPr>
          <w:rFonts w:ascii="Cambria" w:hAnsi="Cambria"/>
        </w:rPr>
        <w:t>, but this difference was not statistically significant</w:t>
      </w:r>
      <w:r w:rsidR="0094600D" w:rsidRPr="009B6291">
        <w:rPr>
          <w:rFonts w:ascii="Cambria" w:hAnsi="Cambria"/>
        </w:rPr>
        <w:t xml:space="preserve">. </w:t>
      </w:r>
      <w:r w:rsidR="00C14FFC" w:rsidRPr="009B6291">
        <w:rPr>
          <w:rFonts w:ascii="Cambria" w:hAnsi="Cambria"/>
        </w:rPr>
        <w:t xml:space="preserve">One conclusion </w:t>
      </w:r>
      <w:r w:rsidR="007437FD">
        <w:rPr>
          <w:rFonts w:ascii="Cambria" w:hAnsi="Cambria"/>
        </w:rPr>
        <w:t>that can be drawn from this trial</w:t>
      </w:r>
      <w:r w:rsidR="00C14FFC" w:rsidRPr="009B6291">
        <w:rPr>
          <w:rFonts w:ascii="Cambria" w:hAnsi="Cambria"/>
        </w:rPr>
        <w:t xml:space="preserve"> is that l</w:t>
      </w:r>
      <w:r w:rsidR="009251C2" w:rsidRPr="009B6291">
        <w:rPr>
          <w:rFonts w:ascii="Cambria" w:hAnsi="Cambria"/>
        </w:rPr>
        <w:t>ate</w:t>
      </w:r>
      <w:r w:rsidR="00624CF1" w:rsidRPr="009B6291">
        <w:rPr>
          <w:rFonts w:ascii="Cambria" w:hAnsi="Cambria"/>
        </w:rPr>
        <w:t>-</w:t>
      </w:r>
      <w:r w:rsidR="009251C2" w:rsidRPr="009B6291">
        <w:rPr>
          <w:rFonts w:ascii="Cambria" w:hAnsi="Cambria"/>
        </w:rPr>
        <w:t xml:space="preserve">phase clinical </w:t>
      </w:r>
      <w:r w:rsidR="0075395D" w:rsidRPr="009B6291">
        <w:rPr>
          <w:rFonts w:ascii="Cambria" w:hAnsi="Cambria"/>
        </w:rPr>
        <w:t xml:space="preserve">research for an RSV vaccine candidate </w:t>
      </w:r>
      <w:r w:rsidR="008A121C">
        <w:rPr>
          <w:rFonts w:ascii="Cambria" w:hAnsi="Cambria"/>
        </w:rPr>
        <w:t>should include</w:t>
      </w:r>
      <w:r w:rsidR="005A0E5A" w:rsidRPr="009B6291">
        <w:rPr>
          <w:rFonts w:ascii="Cambria" w:hAnsi="Cambria"/>
        </w:rPr>
        <w:t xml:space="preserve"> evaluation</w:t>
      </w:r>
      <w:r w:rsidR="009251C2" w:rsidRPr="009B6291">
        <w:rPr>
          <w:rFonts w:ascii="Cambria" w:hAnsi="Cambria"/>
        </w:rPr>
        <w:t xml:space="preserve"> </w:t>
      </w:r>
      <w:r w:rsidR="005A0E5A" w:rsidRPr="009B6291">
        <w:rPr>
          <w:rFonts w:ascii="Cambria" w:hAnsi="Cambria"/>
        </w:rPr>
        <w:t>across more than one RSV season</w:t>
      </w:r>
      <w:r w:rsidR="009251C2" w:rsidRPr="009B6291">
        <w:rPr>
          <w:rFonts w:ascii="Cambria" w:hAnsi="Cambria"/>
        </w:rPr>
        <w:t>.</w:t>
      </w:r>
      <w:r w:rsidR="004801B8" w:rsidRPr="009B6291">
        <w:rPr>
          <w:rFonts w:ascii="Cambria" w:hAnsi="Cambria"/>
        </w:rPr>
        <w:t xml:space="preserve"> </w:t>
      </w:r>
      <w:r w:rsidR="008E28D6">
        <w:rPr>
          <w:rFonts w:ascii="Cambria" w:hAnsi="Cambria"/>
        </w:rPr>
        <w:t xml:space="preserve"> Another proposed explanation for failure of this vaccine candidate is that the </w:t>
      </w:r>
      <w:r w:rsidR="00D32F92">
        <w:rPr>
          <w:rFonts w:ascii="Cambria" w:hAnsi="Cambria"/>
        </w:rPr>
        <w:t>quantity of the immune response to vaccination may not represent effective immunity</w:t>
      </w:r>
      <w:r w:rsidR="008E28D6">
        <w:rPr>
          <w:rFonts w:ascii="Cambria" w:hAnsi="Cambria"/>
        </w:rPr>
        <w:t>.</w:t>
      </w:r>
      <w:r w:rsidR="00D32F92">
        <w:rPr>
          <w:rFonts w:ascii="Cambria" w:hAnsi="Cambria"/>
        </w:rPr>
        <w:t xml:space="preserve"> </w:t>
      </w:r>
      <w:r w:rsidR="00764B44">
        <w:rPr>
          <w:rFonts w:ascii="Cambria" w:hAnsi="Cambria"/>
        </w:rPr>
        <w:t>For example, PCA titers may not correspond to effective immunity as non-neutralizing antibodies also bind the palivizumab binding site and can interfere with the binding of neutralizing antibodies</w:t>
      </w:r>
      <w:r w:rsidR="003327D5">
        <w:rPr>
          <w:rFonts w:ascii="Cambria" w:hAnsi="Cambria"/>
        </w:rPr>
        <w:fldChar w:fldCharType="begin" w:fldLock="1"/>
      </w:r>
      <w:r w:rsidR="003327D5">
        <w:rPr>
          <w:rFonts w:ascii="Cambria" w:hAnsi="Cambria"/>
        </w:rPr>
        <w:instrText>ADDIN CSL_CITATION { "citationItems" : [ { "id" : "ITEM-1", "itemData" : { "DOI" : "10.1073/pnas.1609449113", "ISSN" : "0027-8424", "PMID" : "27791117", "abstract" : "Palivizumab was the first antiviral monoclonal antibody (mAb) approved for therapeutic use in humans, and remains a prophylactic treatment for infants at risk for severe disease because of respiratory syncytial virus (RSV). Palivizumab is an engineered humanized version of a murine mAb targeting antigenic site II of the RSV fusion (F) protein, a key target in vaccine development. There are limited reported naturally occurring human mAbs to site II; therefore, the structural basis for human antibody recognition of this major antigenic site is poorly understood. Here, we describe a nonneutralizing class of site II-specific mAbs that competed for binding with palivizumab to postfusion RSV F protein. We also describe two classes of site II-specific neutralizing mAbs, one of which escaped competition with nonneutralizing mAbs. An X-ray crystal structure of the neutralizing mAb 14N4 in complex with F protein showed that the binding angle at which human neutralizing mAbs interact with antigenic site II determines whether or not nonneutralizing antibodies compete with their binding. Fine-mapping studies determined that nonneutralizing mAbs that interfere with binding of neutralizing mAbs recognize site II with a pose that facilitates binding to an epitope containing F surface residues on a neighboring protomer. Neutralizing antibodies, like motavizumab and a new mAb designated 3J20 that escape interference by the inhibiting mAbs, avoid such contact by binding at an angle that is shifted away from the nonneutralizing site. Furthermore, binding to rationally and computationally designed site II helix-loop-helix epitope-scaffold vaccines distinguished neutralizing from nonneutralizing site II antibodies.", "author" : [ { "dropping-particle" : "", "family" : "Mousa", "given" : "Jarrod J.", "non-dropping-particle" : "", "parse-names" : false, "suffix" : "" }, { "dropping-particle" : "", "family" : "Sauer", "given" : "Marion F.", "non-dropping-particle" : "", "parse-names" : false, "suffix" : "" }, { "dropping-particle" : "", "family" : "Sevy", "given" : "Alexander M.", "non-dropping-particle" : "", "parse-names" : false, "suffix" : "" }, { "dropping-particle" : "", "family" : "Finn", "given" : "Jessica A.", "non-dropping-particle" : "", "parse-names" : false, "suffix" : "" }, { "dropping-particle" : "", "family" : "Bates", "given" : "John T.", "non-dropping-particle" : "", "parse-names" : false, "suffix" : "" }, { "dropping-particle" : "", "family" : "Alvarado", "given" : "Gabriela", "non-dropping-particle" : "", "parse-names" : false, "suffix" : "" }, { "dropping-particle" : "", "family" : "King", "given" : "Hannah G.", "non-dropping-particle" : "", "parse-names" : false, "suffix" : "" }, { "dropping-particle" : "", "family" : "Loerinc", "given" : "Leah B.", "non-dropping-particle" : "", "parse-names" : false, "suffix" : "" }, { "dropping-particle" : "", "family" : "Fong", "given" : "Rachel H.", "non-dropping-particle" : "", "parse-names" : false, "suffix" : "" }, { "dropping-particle" : "", "family" : "Doranz", "given" : "Benjamin J.", "non-dropping-particle" : "", "parse-names" : false, "suffix" : "" }, { "dropping-particle" : "", "family" : "Correia", "given" : "Bruno E.", "non-dropping-particle" : "", "parse-names" : false, "suffix" : "" }, { "dropping-particle" : "", "family" : "Kalyuzhniy", "given" : "Oleksandr", "non-dropping-particle" : "", "parse-names" : false, "suffix" : "" }, { "dropping-particle" : "", "family" : "Wen", "given" : "Xiaolin", "non-dropping-particle" : "", "parse-names" : false, "suffix" : "" }, { "dropping-particle" : "", "family" : "Jardetzky", "given" : "Theodore S.", "non-dropping-particle" : "", "parse-names" : false, "suffix" : "" }, { "dropping-particle" : "", "family" : "Schief", "given" : "William R.", "non-dropping-particle" : "", "parse-names" : false, "suffix" : "" }, { "dropping-particle" : "", "family" : "Ohi", "given" : "Melanie D.", "non-dropping-particle" : "", "parse-names" : false, "suffix" : "" }, { "dropping-particle" : "", "family" : "Meiler", "given" : "Jens", "non-dropping-particle" : "", "parse-names" : false, "suffix" : "" }, { "dropping-particle" : "", "family" : "Crowe", "given" : "James E.", "non-dropping-particle" : "", "parse-names" : false, "suffix" : "" } ], "container-title" : "Proceedings of the National Academy of Sciences", "id" : "ITEM-1", "issue" : "44", "issued" : { "date-parts" : [ [ "2016", "11", "1" ] ] }, "page" : "E6849-E6858", "title" : "Structural basis for nonneutralizing antibody competition at antigenic site II of the respiratory syncytial virus fusion protein", "type" : "article-journal", "volume" : "113" }, "uris" : [ "http://www.mendeley.com/documents/?uuid=ad943851-4473-3d12-bd2f-f550f2fe0af0" ] } ], "mendeley" : { "formattedCitation" : "(48)", "plainTextFormattedCitation" : "(48)", "previouslyFormattedCitation" : "(48)" }, "properties" : { "noteIndex" : 0 }, "schema" : "https://github.com/citation-style-language/schema/raw/master/csl-citation.json" }</w:instrText>
      </w:r>
      <w:r w:rsidR="003327D5">
        <w:rPr>
          <w:rFonts w:ascii="Cambria" w:hAnsi="Cambria"/>
        </w:rPr>
        <w:fldChar w:fldCharType="separate"/>
      </w:r>
      <w:r w:rsidR="003327D5" w:rsidRPr="003327D5">
        <w:rPr>
          <w:rFonts w:ascii="Cambria" w:hAnsi="Cambria"/>
          <w:noProof/>
        </w:rPr>
        <w:t>(48)</w:t>
      </w:r>
      <w:r w:rsidR="003327D5">
        <w:rPr>
          <w:rFonts w:ascii="Cambria" w:hAnsi="Cambria"/>
        </w:rPr>
        <w:fldChar w:fldCharType="end"/>
      </w:r>
      <w:r w:rsidR="00764B44">
        <w:rPr>
          <w:rFonts w:ascii="Cambria" w:hAnsi="Cambria"/>
        </w:rPr>
        <w:t xml:space="preserve">. </w:t>
      </w:r>
    </w:p>
    <w:p w14:paraId="64797FFE" w14:textId="4E1B69DC" w:rsidR="007B1D75" w:rsidRPr="009B6291" w:rsidRDefault="00627B12" w:rsidP="009B6291">
      <w:pPr>
        <w:pStyle w:val="ListParagraph"/>
        <w:numPr>
          <w:ilvl w:val="0"/>
          <w:numId w:val="2"/>
        </w:numPr>
        <w:ind w:left="567" w:hanging="567"/>
        <w:jc w:val="both"/>
        <w:rPr>
          <w:rFonts w:ascii="Cambria" w:hAnsi="Cambria"/>
        </w:rPr>
      </w:pPr>
      <w:r w:rsidRPr="009B6291">
        <w:rPr>
          <w:rFonts w:ascii="Cambria" w:hAnsi="Cambria"/>
        </w:rPr>
        <w:t>Development</w:t>
      </w:r>
      <w:r w:rsidR="004D07BE" w:rsidRPr="009B6291">
        <w:rPr>
          <w:rFonts w:ascii="Cambria" w:hAnsi="Cambria"/>
        </w:rPr>
        <w:t xml:space="preserve"> of the MEDI-7510 vaccine candidate,</w:t>
      </w:r>
      <w:r w:rsidRPr="009B6291">
        <w:rPr>
          <w:rFonts w:ascii="Cambria" w:hAnsi="Cambria"/>
        </w:rPr>
        <w:t xml:space="preserve"> </w:t>
      </w:r>
      <w:r w:rsidR="004D07BE" w:rsidRPr="009B6291">
        <w:rPr>
          <w:rFonts w:ascii="Cambria" w:hAnsi="Cambria"/>
        </w:rPr>
        <w:t xml:space="preserve">a </w:t>
      </w:r>
      <w:r w:rsidRPr="009B6291">
        <w:rPr>
          <w:rFonts w:ascii="Cambria" w:hAnsi="Cambria"/>
        </w:rPr>
        <w:t xml:space="preserve">subunit vaccine candidate for older adults, </w:t>
      </w:r>
      <w:r w:rsidR="004D07BE" w:rsidRPr="009B6291">
        <w:rPr>
          <w:rFonts w:ascii="Cambria" w:hAnsi="Cambria"/>
        </w:rPr>
        <w:t xml:space="preserve">was </w:t>
      </w:r>
      <w:r w:rsidR="007437FD">
        <w:rPr>
          <w:rFonts w:ascii="Cambria" w:hAnsi="Cambria"/>
        </w:rPr>
        <w:t>disco</w:t>
      </w:r>
      <w:r w:rsidR="007437FD" w:rsidRPr="007437FD">
        <w:rPr>
          <w:rFonts w:ascii="Cambria" w:hAnsi="Cambria"/>
        </w:rPr>
        <w:t>nt</w:t>
      </w:r>
      <w:r w:rsidR="007437FD">
        <w:rPr>
          <w:rFonts w:ascii="Cambria" w:hAnsi="Cambria"/>
        </w:rPr>
        <w:t>inu</w:t>
      </w:r>
      <w:r w:rsidR="007437FD" w:rsidRPr="007437FD">
        <w:rPr>
          <w:rFonts w:ascii="Cambria" w:hAnsi="Cambria"/>
        </w:rPr>
        <w:t>ed</w:t>
      </w:r>
      <w:r w:rsidRPr="009B6291">
        <w:rPr>
          <w:rFonts w:ascii="Cambria" w:hAnsi="Cambria"/>
        </w:rPr>
        <w:t xml:space="preserve"> after a phase IIb trial in North America, Europe, South Africa</w:t>
      </w:r>
      <w:r w:rsidR="00726BB6">
        <w:rPr>
          <w:rFonts w:ascii="Cambria" w:hAnsi="Cambria"/>
        </w:rPr>
        <w:t>,</w:t>
      </w:r>
      <w:r w:rsidRPr="009B6291">
        <w:rPr>
          <w:rFonts w:ascii="Cambria" w:hAnsi="Cambria"/>
        </w:rPr>
        <w:t xml:space="preserve"> and Chile in </w:t>
      </w:r>
      <w:r w:rsidR="00C14FFC" w:rsidRPr="009B6291">
        <w:rPr>
          <w:rFonts w:ascii="Cambria" w:hAnsi="Cambria"/>
        </w:rPr>
        <w:t xml:space="preserve">1900 </w:t>
      </w:r>
      <w:r w:rsidRPr="009B6291">
        <w:rPr>
          <w:rFonts w:ascii="Cambria" w:hAnsi="Cambria"/>
        </w:rPr>
        <w:t xml:space="preserve">adults </w:t>
      </w:r>
      <w:r w:rsidR="00851B26">
        <w:rPr>
          <w:rFonts w:ascii="Cambria" w:hAnsi="Cambria"/>
        </w:rPr>
        <w:t>≥</w:t>
      </w:r>
      <w:r w:rsidRPr="009B6291">
        <w:rPr>
          <w:rFonts w:ascii="Cambria" w:hAnsi="Cambria"/>
        </w:rPr>
        <w:t>60 years after the study failed to meet its primary objective</w:t>
      </w:r>
      <w:r w:rsidR="00DD6727">
        <w:rPr>
          <w:rFonts w:ascii="Cambria" w:hAnsi="Cambria"/>
        </w:rPr>
        <w:t>, efficacy against RSV-associated respiratory illness between 14</w:t>
      </w:r>
      <w:bookmarkStart w:id="0" w:name="_GoBack"/>
      <w:bookmarkEnd w:id="0"/>
      <w:r w:rsidR="00DD6727">
        <w:rPr>
          <w:rFonts w:ascii="Cambria" w:hAnsi="Cambria"/>
        </w:rPr>
        <w:t xml:space="preserve"> days throughout the surveillance period, approximately 7 months</w:t>
      </w:r>
      <w:r w:rsidRPr="009B6291">
        <w:rPr>
          <w:rFonts w:ascii="Cambria" w:hAnsi="Cambria"/>
        </w:rPr>
        <w:t>. MEDI-7510 was a subunit vaccine using</w:t>
      </w:r>
      <w:r w:rsidR="00EE7791" w:rsidRPr="009B6291">
        <w:rPr>
          <w:rFonts w:ascii="Cambria" w:hAnsi="Cambria"/>
        </w:rPr>
        <w:t xml:space="preserve"> soluble (unag</w:t>
      </w:r>
      <w:r w:rsidR="00625147">
        <w:rPr>
          <w:rFonts w:ascii="Cambria" w:hAnsi="Cambria"/>
        </w:rPr>
        <w:t>g</w:t>
      </w:r>
      <w:r w:rsidR="00EE7791" w:rsidRPr="009B6291">
        <w:rPr>
          <w:rFonts w:ascii="Cambria" w:hAnsi="Cambria"/>
        </w:rPr>
        <w:t>regated)</w:t>
      </w:r>
      <w:r w:rsidRPr="009B6291">
        <w:rPr>
          <w:rFonts w:ascii="Cambria" w:hAnsi="Cambria"/>
        </w:rPr>
        <w:t xml:space="preserve"> post</w:t>
      </w:r>
      <w:r w:rsidR="00851B26">
        <w:rPr>
          <w:rFonts w:ascii="Cambria" w:hAnsi="Cambria"/>
        </w:rPr>
        <w:t>fusion (post</w:t>
      </w:r>
      <w:r w:rsidR="001C7E85">
        <w:rPr>
          <w:rFonts w:ascii="Cambria" w:hAnsi="Cambria"/>
        </w:rPr>
        <w:t>-</w:t>
      </w:r>
      <w:r w:rsidR="00851B26">
        <w:rPr>
          <w:rFonts w:ascii="Cambria" w:hAnsi="Cambria"/>
        </w:rPr>
        <w:t>F)</w:t>
      </w:r>
      <w:r w:rsidR="00726BB6">
        <w:rPr>
          <w:rFonts w:ascii="Cambria" w:hAnsi="Cambria"/>
        </w:rPr>
        <w:t xml:space="preserve"> conformation of the F protein</w:t>
      </w:r>
      <w:r w:rsidRPr="009B6291">
        <w:rPr>
          <w:rFonts w:ascii="Cambria" w:hAnsi="Cambria"/>
        </w:rPr>
        <w:t xml:space="preserve"> with a TLR4</w:t>
      </w:r>
      <w:r w:rsidR="00EE7791" w:rsidRPr="009B6291">
        <w:rPr>
          <w:rFonts w:ascii="Cambria" w:hAnsi="Cambria"/>
        </w:rPr>
        <w:t xml:space="preserve"> agonist</w:t>
      </w:r>
      <w:r w:rsidRPr="009B6291">
        <w:rPr>
          <w:rFonts w:ascii="Cambria" w:hAnsi="Cambria"/>
        </w:rPr>
        <w:t xml:space="preserve"> adjuvant</w:t>
      </w:r>
      <w:r w:rsidR="00B47872">
        <w:rPr>
          <w:rFonts w:ascii="Cambria" w:hAnsi="Cambria"/>
        </w:rPr>
        <w:t>.</w:t>
      </w:r>
      <w:r w:rsidRPr="009B6291">
        <w:rPr>
          <w:rFonts w:ascii="Cambria" w:hAnsi="Cambria"/>
        </w:rPr>
        <w:t xml:space="preserve"> </w:t>
      </w:r>
      <w:r w:rsidR="00B47872">
        <w:rPr>
          <w:rFonts w:ascii="Cambria" w:hAnsi="Cambria"/>
        </w:rPr>
        <w:t>The vaccine candidate</w:t>
      </w:r>
      <w:r w:rsidR="00B47872" w:rsidRPr="009B6291">
        <w:rPr>
          <w:rFonts w:ascii="Cambria" w:hAnsi="Cambria"/>
        </w:rPr>
        <w:t xml:space="preserve"> </w:t>
      </w:r>
      <w:r w:rsidRPr="009B6291">
        <w:rPr>
          <w:rFonts w:ascii="Cambria" w:hAnsi="Cambria"/>
        </w:rPr>
        <w:t xml:space="preserve">showed safety </w:t>
      </w:r>
      <w:r w:rsidR="004E57BE" w:rsidRPr="009B6291">
        <w:rPr>
          <w:rFonts w:ascii="Cambria" w:hAnsi="Cambria"/>
        </w:rPr>
        <w:t xml:space="preserve">and immunogenicity </w:t>
      </w:r>
      <w:r w:rsidR="00BE402F">
        <w:rPr>
          <w:rFonts w:ascii="Cambria" w:hAnsi="Cambria"/>
        </w:rPr>
        <w:t xml:space="preserve">with elevated B and T cell </w:t>
      </w:r>
      <w:r w:rsidR="00BE402F">
        <w:rPr>
          <w:rFonts w:ascii="Cambria" w:hAnsi="Cambria"/>
        </w:rPr>
        <w:lastRenderedPageBreak/>
        <w:t>responses in the vaccine group compared to the placebo group</w:t>
      </w:r>
      <w:r w:rsidR="00B65B72">
        <w:rPr>
          <w:rFonts w:ascii="Cambria" w:hAnsi="Cambria"/>
        </w:rPr>
        <w:t xml:space="preserve"> in phase I clinical trials</w:t>
      </w:r>
      <w:r w:rsidR="009B507D">
        <w:rPr>
          <w:rFonts w:ascii="Cambria" w:hAnsi="Cambria"/>
        </w:rPr>
        <w:fldChar w:fldCharType="begin" w:fldLock="1"/>
      </w:r>
      <w:r w:rsidR="00EB32F4">
        <w:rPr>
          <w:rFonts w:ascii="Cambria" w:hAnsi="Cambria"/>
        </w:rPr>
        <w:instrText>ADDIN CSL_CITATION { "citationItems" : [ { "id" : "ITEM-1", "itemData" : { "DOI" : "10.1093/infdis/jix503", "ISSN" : "0022-1899", "PMID" : "29029260", "abstract" : "Background Respiratory syncytial virus (RSV) is an important cause of illness in older adults. This study assessed efficacy of a vaccine for prevention of RSV-associated acute respiratory illness (ARI), defined by specified symptoms with virologic confirmation. Methods This phase 2b study evaluated RSV postfusion F protein (120 \u00b5g) with glucopyranosyl lipid adjuvant (5 \u00b5g) in 2% stable emulsion. Subjects aged \u226560 years were randomly assigned at a ratio of 1:1 to receive vaccine or placebo (all received inactivated influenza vaccine). Ill subjects recorded symptoms and provided blood and nasal swab samples. Results In the per-protocol population (n = 1894), the incidence of RSV-associated ARI occurring \u226514 days after dosing was 1.7% and 1.6% in the vaccine and placebo groups, respectively, for a vaccine efficacy (VE) of -7.1% (90% confidence interval [CI], -106.9%-44.3%). Efficacy was not observed in secondary analyses that included seroresponse to nonvaccine RSV antigens (VE, 8.9%; 90% CI, -28.5%-35.4%) or symptoms combined with seroresponse (VE, 10.0%; 90% CI, -45.4%-44.4%). On day 29, 92.9% of vaccinees had an anti-F immunoglobulin G antibody seroresponse. Overall, 48.5% and 30.9% of RSV vaccine recipients reported local and systemic solicited symptoms, respectively. Conclusion The RSV vaccine was immunogenic but did not protect older adults from RSV illness. Clinical Trials Registration NCT02508194.", "author" : [ { "dropping-particle" : "", "family" : "Falloon", "given" : "Judith", "non-dropping-particle" : "", "parse-names" : false, "suffix" : "" }, { "dropping-particle" : "", "family" : "Yu", "given" : "Jing", "non-dropping-particle" : "", "parse-names" : false, "suffix" : "" }, { "dropping-particle" : "", "family" : "Esser", "given" : "Mark T", "non-dropping-particle" : "", "parse-names" : false, "suffix" : "" }, { "dropping-particle" : "", "family" : "Villafana", "given" : "Tonya", "non-dropping-particle" : "", "parse-names" : false, "suffix" : "" }, { "dropping-particle" : "", "family" : "Yu", "given" : "Li", "non-dropping-particle" : "", "parse-names" : false, "suffix" : "" }, { "dropping-particle" : "", "family" : "Dubovsky", "given" : "Filip", "non-dropping-particle" : "", "parse-names" : false, "suffix" : "" }, { "dropping-particle" : "", "family" : "Takas", "given" : "Therese", "non-dropping-particle" : "", "parse-names" : false, "suffix" : "" }, { "dropping-particle" : "", "family" : "Levin", "given" : "Myron J", "non-dropping-particle" : "", "parse-names" : false, "suffix" : "" }, { "dropping-particle" : "", "family" : "Falsey", "given" : "Ann R", "non-dropping-particle" : "", "parse-names" : false, "suffix" : "" } ], "container-title" : "The Journal of Infectious Diseases", "id" : "ITEM-1", "issue" : "11", "issued" : { "date-parts" : [ [ "2017", "12", "12" ] ] }, "page" : "1362-1370", "title" : "An Adjuvanted, Postfusion F Protein\u2013Based Vaccine Did Not Prevent Respiratory Syncytial Virus Illness in Older Adults", "type" : "article-journal", "volume" : "216" }, "uris" : [ "http://www.mendeley.com/documents/?uuid=fd1be60c-c85a-3b7b-9c44-426a3da1e5a7" ] } ], "mendeley" : { "formattedCitation" : "(50)", "plainTextFormattedCitation" : "(50)", "previouslyFormattedCitation" : "(50)" }, "properties" : { "noteIndex" : 0 }, "schema" : "https://github.com/citation-style-language/schema/raw/master/csl-citation.json" }</w:instrText>
      </w:r>
      <w:r w:rsidR="009B507D">
        <w:rPr>
          <w:rFonts w:ascii="Cambria" w:hAnsi="Cambria"/>
        </w:rPr>
        <w:fldChar w:fldCharType="separate"/>
      </w:r>
      <w:r w:rsidR="003327D5" w:rsidRPr="003327D5">
        <w:rPr>
          <w:rFonts w:ascii="Cambria" w:hAnsi="Cambria"/>
          <w:noProof/>
        </w:rPr>
        <w:t>(50)</w:t>
      </w:r>
      <w:r w:rsidR="009B507D">
        <w:rPr>
          <w:rFonts w:ascii="Cambria" w:hAnsi="Cambria"/>
        </w:rPr>
        <w:fldChar w:fldCharType="end"/>
      </w:r>
      <w:r w:rsidR="00B47872">
        <w:rPr>
          <w:rFonts w:ascii="Cambria" w:hAnsi="Cambria"/>
        </w:rPr>
        <w:t xml:space="preserve"> after safety and improved immunogenicity with an adjuvant was demonstrated in a first-in-human trial</w:t>
      </w:r>
      <w:r w:rsidR="00B47872">
        <w:rPr>
          <w:rFonts w:ascii="Cambria" w:hAnsi="Cambria"/>
        </w:rPr>
        <w:fldChar w:fldCharType="begin" w:fldLock="1"/>
      </w:r>
      <w:r w:rsidR="00EB32F4">
        <w:rPr>
          <w:rFonts w:ascii="Cambria" w:hAnsi="Cambria"/>
        </w:rPr>
        <w:instrText>ADDIN CSL_CITATION { "citationItems" : [ { "id" : "ITEM-1", "itemData" : { "DOI" : "10.1016/j.vaccine.2016.04.002", "ISSN" : "0264410X", "PMID" : "27102821", "abstract" : "BACKGROUND Respiratory syncytial virus (RSV) causes significant illness in older adults resulting in substantial health and economic impact. A successful vaccine would reduce morbidity in this growing segment of the population. METHODS In this double-blind phase 1 study, subjects 60 years of age and older were enrolled by cohort and randomized to receive vaccines containing escalating doses (20, 50, or 80\u03bcg) of soluble RSV fusion protein (sF) alone or adjuvanted with 2.5\u03bcg of glucopyranosyl lipid A, a toll-like receptor-4 agonist, in 2% stable emulsion (GLA-SE). Each cohort included 20 vaccine and 4 placebo recipients. Immune responses were evaluated using assays for RSV microneutralizing, anti-F IgG, and palivizumab competitive antibodies and for F-specific interferon (IFN)-\u03b3 enzyme-linked immunospot (ELISPOT) responses. RESULTS The inclusion of adjuvant increased local reactogenicity, with the majority of subjects who received sF and adjuvant reporting low-grade injection site pain or tenderness. At all doses, the safety profile was acceptable for further development. Immune responses were antigen dose-dependent, and the inclusion of adjuvant increased both humoral and cellular immune responses, with responses statistically higher than for placebo recipients in all 4 assays. At the highest dosage level with adjuvant, half of the subjects had a \u22653-fold rise from day 0 in RSV neutralizing antibody titers, and all had a \u22653-fold rise in antibody levels by anti-F IgG and palivizumab competitive antibody assays on day 29. For the day 8 IFN\u03b3 ELISPOT assay, 74% of subjects in the highest dosing cohort had a \u22653-fold rise from baseline. CONCLUSIONS The safety and immunogenicity results from this study support inclusion of the GLA-SE adjuvant in this RSV vaccine for older adults and also support assessment of the efficacy of the vaccine in a larger clinical trial. Clinicaltrials.gov NCT02115815.", "author" : [ { "dropping-particle" : "", "family" : "Falloon", "given" : "Judith", "non-dropping-particle" : "", "parse-names" : false, "suffix" : "" }, { "dropping-particle" : "", "family" : "Ji", "given" : "Fei", "non-dropping-particle" : "", "parse-names" : false, "suffix" : "" }, { "dropping-particle" : "", "family" : "Curtis", "given" : "Craig", "non-dropping-particle" : "", "parse-names" : false, "suffix" : "" }, { "dropping-particle" : "", "family" : "Bart", "given" : "Stephan", "non-dropping-particle" : "", "parse-names" : false, "suffix" : "" }, { "dropping-particle" : "", "family" : "Sheldon", "given" : "Eric", "non-dropping-particle" : "", "parse-names" : false, "suffix" : "" }, { "dropping-particle" : "", "family" : "Krieger", "given" : "Diane", "non-dropping-particle" : "", "parse-names" : false, "suffix" : "" }, { "dropping-particle" : "", "family" : "Dubovsky", "given" : "Filip", "non-dropping-particle" : "", "parse-names" : false, "suffix" : "" }, { "dropping-particle" : "", "family" : "Lambert", "given" : "Stacie", "non-dropping-particle" : "", "parse-names" : false, "suffix" : "" }, { "dropping-particle" : "", "family" : "Takas", "given" : "Therese", "non-dropping-particle" : "", "parse-names" : false, "suffix" : "" }, { "dropping-particle" : "", "family" : "Villafana", "given" : "Tonya", "non-dropping-particle" : "", "parse-names" : false, "suffix" : "" }, { "dropping-particle" : "", "family" : "Esser", "given" : "Mark T.", "non-dropping-particle" : "", "parse-names" : false, "suffix" : "" } ], "container-title" : "Vaccine", "id" : "ITEM-1", "issue" : "25", "issued" : { "date-parts" : [ [ "2016", "5", "27" ] ] }, "page" : "2847-2854", "title" : "A phase 1a, first-in-human, randomized study of a respiratory syncytial virus F protein vaccine with and without a toll-like receptor-4 agonist and stable emulsion adjuvant", "type" : "article-journal", "volume" : "34" }, "uris" : [ "http://www.mendeley.com/documents/?uuid=ad9ec5bf-4b40-3dc2-8d16-e4ef2b0536d9" ] } ], "mendeley" : { "formattedCitation" : "(51)", "plainTextFormattedCitation" : "(51)", "previouslyFormattedCitation" : "(51)" }, "properties" : { "noteIndex" : 0 }, "schema" : "https://github.com/citation-style-language/schema/raw/master/csl-citation.json" }</w:instrText>
      </w:r>
      <w:r w:rsidR="00B47872">
        <w:rPr>
          <w:rFonts w:ascii="Cambria" w:hAnsi="Cambria"/>
        </w:rPr>
        <w:fldChar w:fldCharType="separate"/>
      </w:r>
      <w:r w:rsidR="003327D5" w:rsidRPr="003327D5">
        <w:rPr>
          <w:rFonts w:ascii="Cambria" w:hAnsi="Cambria"/>
          <w:noProof/>
        </w:rPr>
        <w:t>(51)</w:t>
      </w:r>
      <w:r w:rsidR="00B47872">
        <w:rPr>
          <w:rFonts w:ascii="Cambria" w:hAnsi="Cambria"/>
        </w:rPr>
        <w:fldChar w:fldCharType="end"/>
      </w:r>
      <w:r w:rsidR="004E57BE" w:rsidRPr="009B6291">
        <w:rPr>
          <w:rFonts w:ascii="Cambria" w:hAnsi="Cambria"/>
        </w:rPr>
        <w:t xml:space="preserve">. </w:t>
      </w:r>
      <w:r w:rsidR="004D07BE" w:rsidRPr="009B6291">
        <w:rPr>
          <w:rFonts w:ascii="Cambria" w:hAnsi="Cambria"/>
        </w:rPr>
        <w:t>The incidence of RSV-associated ARI as diagnosed by PCR was 1.7% and 1.6% in the vaccine and placebo groups respectively, for a vaccine efficacy (VE) of -7.1</w:t>
      </w:r>
      <w:r w:rsidR="00EB32F4">
        <w:rPr>
          <w:rFonts w:ascii="Cambria" w:hAnsi="Cambria"/>
        </w:rPr>
        <w:fldChar w:fldCharType="begin" w:fldLock="1"/>
      </w:r>
      <w:r w:rsidR="00D83E6A">
        <w:rPr>
          <w:rFonts w:ascii="Cambria" w:hAnsi="Cambria"/>
        </w:rPr>
        <w:instrText>ADDIN CSL_CITATION { "citationItems" : [ { "id" : "ITEM-1", "itemData" : { "DOI" : "10.1093/infdis/jix503", "ISSN" : "0022-1899", "PMID" : "29029260", "abstract" : "Background Respiratory syncytial virus (RSV) is an important cause of illness in older adults. This study assessed efficacy of a vaccine for prevention of RSV-associated acute respiratory illness (ARI), defined by specified symptoms with virologic confirmation. Methods This phase 2b study evaluated RSV postfusion F protein (120 \u00b5g) with glucopyranosyl lipid adjuvant (5 \u00b5g) in 2% stable emulsion. Subjects aged \u226560 years were randomly assigned at a ratio of 1:1 to receive vaccine or placebo (all received inactivated influenza vaccine). Ill subjects recorded symptoms and provided blood and nasal swab samples. Results In the per-protocol population (n = 1894), the incidence of RSV-associated ARI occurring \u226514 days after dosing was 1.7% and 1.6% in the vaccine and placebo groups, respectively, for a vaccine efficacy (VE) of -7.1% (90% confidence interval [CI], -106.9%-44.3%). Efficacy was not observed in secondary analyses that included seroresponse to nonvaccine RSV antigens (VE, 8.9%; 90% CI, -28.5%-35.4%) or symptoms combined with seroresponse (VE, 10.0%; 90% CI, -45.4%-44.4%). On day 29, 92.9% of vaccinees had an anti-F immunoglobulin G antibody seroresponse. Overall, 48.5% and 30.9% of RSV vaccine recipients reported local and systemic solicited symptoms, respectively. Conclusion The RSV vaccine was immunogenic but did not protect older adults from RSV illness. Clinical Trials Registration NCT02508194.", "author" : [ { "dropping-particle" : "", "family" : "Falloon", "given" : "Judith", "non-dropping-particle" : "", "parse-names" : false, "suffix" : "" }, { "dropping-particle" : "", "family" : "Yu", "given" : "Jing", "non-dropping-particle" : "", "parse-names" : false, "suffix" : "" }, { "dropping-particle" : "", "family" : "Esser", "given" : "Mark T", "non-dropping-particle" : "", "parse-names" : false, "suffix" : "" }, { "dropping-particle" : "", "family" : "Villafana", "given" : "Tonya", "non-dropping-particle" : "", "parse-names" : false, "suffix" : "" }, { "dropping-particle" : "", "family" : "Yu", "given" : "Li", "non-dropping-particle" : "", "parse-names" : false, "suffix" : "" }, { "dropping-particle" : "", "family" : "Dubovsky", "given" : "Filip", "non-dropping-particle" : "", "parse-names" : false, "suffix" : "" }, { "dropping-particle" : "", "family" : "Takas", "given" : "Therese", "non-dropping-particle" : "", "parse-names" : false, "suffix" : "" }, { "dropping-particle" : "", "family" : "Levin", "given" : "Myron J", "non-dropping-particle" : "", "parse-names" : false, "suffix" : "" }, { "dropping-particle" : "", "family" : "Falsey", "given" : "Ann R", "non-dropping-particle" : "", "parse-names" : false, "suffix" : "" } ], "container-title" : "The Journal of Infectious Diseases", "id" : "ITEM-1", "issue" : "11", "issued" : { "date-parts" : [ [ "2017", "12", "12" ] ] }, "page" : "1362-1370", "title" : "An Adjuvanted, Postfusion F Protein\u2013Based Vaccine Did Not Prevent Respiratory Syncytial Virus Illness in Older Adults", "type" : "article-journal", "volume" : "216" }, "uris" : [ "http://www.mendeley.com/documents/?uuid=fd1be60c-c85a-3b7b-9c44-426a3da1e5a7" ] } ], "mendeley" : { "formattedCitation" : "(50)", "plainTextFormattedCitation" : "(50)", "previouslyFormattedCitation" : "(50)" }, "properties" : { "noteIndex" : 0 }, "schema" : "https://github.com/citation-style-language/schema/raw/master/csl-citation.json" }</w:instrText>
      </w:r>
      <w:r w:rsidR="00EB32F4">
        <w:rPr>
          <w:rFonts w:ascii="Cambria" w:hAnsi="Cambria"/>
        </w:rPr>
        <w:fldChar w:fldCharType="separate"/>
      </w:r>
      <w:r w:rsidR="00462954" w:rsidRPr="00462954">
        <w:rPr>
          <w:rFonts w:ascii="Cambria" w:hAnsi="Cambria"/>
          <w:noProof/>
        </w:rPr>
        <w:t>(50)</w:t>
      </w:r>
      <w:r w:rsidR="00EB32F4">
        <w:rPr>
          <w:rFonts w:ascii="Cambria" w:hAnsi="Cambria"/>
        </w:rPr>
        <w:fldChar w:fldCharType="end"/>
      </w:r>
      <w:r w:rsidR="008A221D">
        <w:rPr>
          <w:rFonts w:ascii="Cambria" w:hAnsi="Cambria"/>
        </w:rPr>
        <w:t>.</w:t>
      </w:r>
      <w:r w:rsidR="008667BE">
        <w:rPr>
          <w:rFonts w:ascii="Cambria" w:hAnsi="Cambria"/>
        </w:rPr>
        <w:t xml:space="preserve"> N</w:t>
      </w:r>
      <w:r w:rsidR="00D129BB">
        <w:rPr>
          <w:rFonts w:ascii="Cambria" w:hAnsi="Cambria"/>
        </w:rPr>
        <w:t>o efficacy was found</w:t>
      </w:r>
      <w:r w:rsidR="008667BE">
        <w:rPr>
          <w:rFonts w:ascii="Cambria" w:hAnsi="Cambria"/>
        </w:rPr>
        <w:t xml:space="preserve"> in secondary subset analyses</w:t>
      </w:r>
      <w:r w:rsidR="004D07BE" w:rsidRPr="009B6291">
        <w:rPr>
          <w:rFonts w:ascii="Cambria" w:hAnsi="Cambria"/>
        </w:rPr>
        <w:t xml:space="preserve">. On day 29, 93% of vaccinees had an anti-F </w:t>
      </w:r>
      <w:r w:rsidR="00EB32F4">
        <w:rPr>
          <w:rFonts w:ascii="Cambria" w:hAnsi="Cambria"/>
        </w:rPr>
        <w:t xml:space="preserve">IgG </w:t>
      </w:r>
      <w:r w:rsidR="004D07BE" w:rsidRPr="009B6291">
        <w:rPr>
          <w:rFonts w:ascii="Cambria" w:hAnsi="Cambria"/>
        </w:rPr>
        <w:t>antibody seroresponse</w:t>
      </w:r>
      <w:r w:rsidR="00EB32F4">
        <w:rPr>
          <w:rFonts w:ascii="Cambria" w:hAnsi="Cambria"/>
        </w:rPr>
        <w:t xml:space="preserve"> and there was a geometric mean fold rise in anti-F IgG titer of 4.6 at the end of the RSV season in vaccine recipients compared to the placebo group</w:t>
      </w:r>
      <w:r w:rsidR="003146B6" w:rsidRPr="009B6291">
        <w:rPr>
          <w:rFonts w:ascii="Cambria" w:hAnsi="Cambria"/>
        </w:rPr>
        <w:fldChar w:fldCharType="begin" w:fldLock="1"/>
      </w:r>
      <w:r w:rsidR="00EB32F4">
        <w:rPr>
          <w:rFonts w:ascii="Cambria" w:hAnsi="Cambria"/>
        </w:rPr>
        <w:instrText>ADDIN CSL_CITATION { "citationItems" : [ { "id" : "ITEM-1", "itemData" : { "DOI" : "10.1093/infdis/jix503", "ISSN" : "0022-1899", "PMID" : "29029260", "abstract" : "Background Respiratory syncytial virus (RSV) is an important cause of illness in older adults. This study assessed efficacy of a vaccine for prevention of RSV-associated acute respiratory illness (ARI), defined by specified symptoms with virologic confirmation. Methods This phase 2b study evaluated RSV postfusion F protein (120 \u00b5g) with glucopyranosyl lipid adjuvant (5 \u00b5g) in 2% stable emulsion. Subjects aged \u226560 years were randomly assigned at a ratio of 1:1 to receive vaccine or placebo (all received inactivated influenza vaccine). Ill subjects recorded symptoms and provided blood and nasal swab samples. Results In the per-protocol population (n = 1894), the incidence of RSV-associated ARI occurring \u226514 days after dosing was 1.7% and 1.6% in the vaccine and placebo groups, respectively, for a vaccine efficacy (VE) of -7.1% (90% confidence interval [CI], -106.9%-44.3%). Efficacy was not observed in secondary analyses that included seroresponse to nonvaccine RSV antigens (VE, 8.9%; 90% CI, -28.5%-35.4%) or symptoms combined with seroresponse (VE, 10.0%; 90% CI, -45.4%-44.4%). On day 29, 92.9% of vaccinees had an anti-F immunoglobulin G antibody seroresponse. Overall, 48.5% and 30.9% of RSV vaccine recipients reported local and systemic solicited symptoms, respectively. Conclusion The RSV vaccine was immunogenic but did not protect older adults from RSV illness. Clinical Trials Registration NCT02508194.", "author" : [ { "dropping-particle" : "", "family" : "Falloon", "given" : "Judith", "non-dropping-particle" : "", "parse-names" : false, "suffix" : "" }, { "dropping-particle" : "", "family" : "Yu", "given" : "Jing", "non-dropping-particle" : "", "parse-names" : false, "suffix" : "" }, { "dropping-particle" : "", "family" : "Esser", "given" : "Mark T", "non-dropping-particle" : "", "parse-names" : false, "suffix" : "" }, { "dropping-particle" : "", "family" : "Villafana", "given" : "Tonya", "non-dropping-particle" : "", "parse-names" : false, "suffix" : "" }, { "dropping-particle" : "", "family" : "Yu", "given" : "Li", "non-dropping-particle" : "", "parse-names" : false, "suffix" : "" }, { "dropping-particle" : "", "family" : "Dubovsky", "given" : "Filip", "non-dropping-particle" : "", "parse-names" : false, "suffix" : "" }, { "dropping-particle" : "", "family" : "Takas", "given" : "Therese", "non-dropping-particle" : "", "parse-names" : false, "suffix" : "" }, { "dropping-particle" : "", "family" : "Levin", "given" : "Myron J", "non-dropping-particle" : "", "parse-names" : false, "suffix" : "" }, { "dropping-particle" : "", "family" : "Falsey", "given" : "Ann R", "non-dropping-particle" : "", "parse-names" : false, "suffix" : "" } ], "container-title" : "The Journal of Infectious Diseases", "id" : "ITEM-1", "issue" : "11", "issued" : { "date-parts" : [ [ "2017", "12", "12" ] ] }, "page" : "1362-1370", "title" : "An Adjuvanted, Postfusion F Protein\u2013Based Vaccine Did Not Prevent Respiratory Syncytial Virus Illness in Older Adults", "type" : "article-journal", "volume" : "216" }, "uris" : [ "http://www.mendeley.com/documents/?uuid=fd1be60c-c85a-3b7b-9c44-426a3da1e5a7" ] } ], "mendeley" : { "formattedCitation" : "(50)", "plainTextFormattedCitation" : "(50)", "previouslyFormattedCitation" : "(50)" }, "properties" : { "noteIndex" : 0 }, "schema" : "https://github.com/citation-style-language/schema/raw/master/csl-citation.json" }</w:instrText>
      </w:r>
      <w:r w:rsidR="003146B6" w:rsidRPr="009B6291">
        <w:rPr>
          <w:rFonts w:ascii="Cambria" w:hAnsi="Cambria"/>
        </w:rPr>
        <w:fldChar w:fldCharType="separate"/>
      </w:r>
      <w:r w:rsidR="003327D5" w:rsidRPr="003327D5">
        <w:rPr>
          <w:rFonts w:ascii="Cambria" w:hAnsi="Cambria"/>
          <w:noProof/>
        </w:rPr>
        <w:t>(50)</w:t>
      </w:r>
      <w:r w:rsidR="003146B6" w:rsidRPr="009B6291">
        <w:rPr>
          <w:rFonts w:ascii="Cambria" w:hAnsi="Cambria"/>
        </w:rPr>
        <w:fldChar w:fldCharType="end"/>
      </w:r>
      <w:r w:rsidR="004D07BE" w:rsidRPr="009B6291">
        <w:rPr>
          <w:rFonts w:ascii="Cambria" w:hAnsi="Cambria"/>
        </w:rPr>
        <w:t>.</w:t>
      </w:r>
      <w:r w:rsidRPr="009B6291">
        <w:rPr>
          <w:rFonts w:ascii="Cambria" w:hAnsi="Cambria"/>
        </w:rPr>
        <w:t xml:space="preserve"> </w:t>
      </w:r>
      <w:r w:rsidR="00270ACF">
        <w:rPr>
          <w:rFonts w:ascii="Cambria" w:hAnsi="Cambria"/>
        </w:rPr>
        <w:t>One proposed explana</w:t>
      </w:r>
      <w:r w:rsidR="00B411FF">
        <w:rPr>
          <w:rFonts w:ascii="Cambria" w:hAnsi="Cambria"/>
        </w:rPr>
        <w:t>tion for the negative results may be that</w:t>
      </w:r>
      <w:r w:rsidR="00270ACF" w:rsidRPr="009B6291">
        <w:rPr>
          <w:rFonts w:ascii="Cambria" w:hAnsi="Cambria"/>
        </w:rPr>
        <w:t xml:space="preserve"> </w:t>
      </w:r>
      <w:r w:rsidRPr="009B6291">
        <w:rPr>
          <w:rFonts w:ascii="Cambria" w:hAnsi="Cambria"/>
        </w:rPr>
        <w:t>the choice of a post</w:t>
      </w:r>
      <w:r w:rsidR="001C7E85">
        <w:rPr>
          <w:rFonts w:ascii="Cambria" w:hAnsi="Cambria"/>
        </w:rPr>
        <w:t>-</w:t>
      </w:r>
      <w:r w:rsidRPr="009B6291">
        <w:rPr>
          <w:rFonts w:ascii="Cambria" w:hAnsi="Cambria"/>
        </w:rPr>
        <w:t>F</w:t>
      </w:r>
      <w:r w:rsidR="00D129BB">
        <w:rPr>
          <w:rFonts w:ascii="Cambria" w:hAnsi="Cambria"/>
        </w:rPr>
        <w:t xml:space="preserve"> </w:t>
      </w:r>
      <w:r w:rsidR="00D129BB" w:rsidRPr="00DA7853">
        <w:rPr>
          <w:rFonts w:ascii="Cambria" w:hAnsi="Cambria"/>
        </w:rPr>
        <w:t>antigen</w:t>
      </w:r>
      <w:r w:rsidR="00D129BB">
        <w:rPr>
          <w:rFonts w:ascii="Cambria" w:hAnsi="Cambria"/>
        </w:rPr>
        <w:t xml:space="preserve"> induced antibodies</w:t>
      </w:r>
      <w:r w:rsidRPr="009B6291">
        <w:rPr>
          <w:rFonts w:ascii="Cambria" w:hAnsi="Cambria"/>
        </w:rPr>
        <w:t xml:space="preserve"> </w:t>
      </w:r>
      <w:r w:rsidR="00355892">
        <w:rPr>
          <w:rFonts w:ascii="Cambria" w:hAnsi="Cambria"/>
        </w:rPr>
        <w:t>with</w:t>
      </w:r>
      <w:r w:rsidR="003524D2">
        <w:rPr>
          <w:rFonts w:ascii="Cambria" w:hAnsi="Cambria"/>
        </w:rPr>
        <w:t>out</w:t>
      </w:r>
      <w:r w:rsidR="00355892">
        <w:rPr>
          <w:rFonts w:ascii="Cambria" w:hAnsi="Cambria"/>
        </w:rPr>
        <w:t xml:space="preserve"> </w:t>
      </w:r>
      <w:r w:rsidR="003524D2">
        <w:rPr>
          <w:rFonts w:ascii="Cambria" w:hAnsi="Cambria"/>
        </w:rPr>
        <w:t>appropriate</w:t>
      </w:r>
      <w:r w:rsidR="00355892">
        <w:rPr>
          <w:rFonts w:ascii="Cambria" w:hAnsi="Cambria"/>
        </w:rPr>
        <w:t xml:space="preserve"> epitope specificity</w:t>
      </w:r>
      <w:r w:rsidR="00A807AA">
        <w:rPr>
          <w:rFonts w:ascii="Cambria" w:hAnsi="Cambria"/>
        </w:rPr>
        <w:fldChar w:fldCharType="begin" w:fldLock="1"/>
      </w:r>
      <w:r w:rsidR="00D83E6A">
        <w:rPr>
          <w:rFonts w:ascii="Cambria" w:hAnsi="Cambria"/>
        </w:rPr>
        <w:instrText>ADDIN CSL_CITATION { "citationItems" : [ { "id" : "ITEM-1", "itemData" : { "DOI" : "10.1093/infdis/jix504", "ISSN" : "0022-1899", "author" : [ { "dropping-particle" : "", "family" : "Langley", "given" : "Joanne M", "non-dropping-particle" : "", "parse-names" : false, "suffix" : "" } ], "container-title" : "The Journal of Infectious Diseases", "id" : "ITEM-1", "issue" : "11", "issued" : { "date-parts" : [ [ "2017", "12", "12" ] ] }, "page" : "1334-1336", "publisher" : "Oxford University Press", "title" : "Vaccine Prevention of Respiratory Syncytial Virus Infection in Older Adults: The Work Continues", "type" : "article-journal", "volume" : "216" }, "uris" : [ "http://www.mendeley.com/documents/?uuid=ecdde9ee-5f63-329a-bb21-c2fa655add1e" ] } ], "mendeley" : { "formattedCitation" : "(52)", "plainTextFormattedCitation" : "(52)", "previouslyFormattedCitation" : "(52)" }, "properties" : { "noteIndex" : 0 }, "schema" : "https://github.com/citation-style-language/schema/raw/master/csl-citation.json" }</w:instrText>
      </w:r>
      <w:r w:rsidR="00A807AA">
        <w:rPr>
          <w:rFonts w:ascii="Cambria" w:hAnsi="Cambria"/>
        </w:rPr>
        <w:fldChar w:fldCharType="separate"/>
      </w:r>
      <w:r w:rsidR="00462954" w:rsidRPr="00462954">
        <w:rPr>
          <w:rFonts w:ascii="Cambria" w:hAnsi="Cambria"/>
          <w:noProof/>
        </w:rPr>
        <w:t>(52)</w:t>
      </w:r>
      <w:r w:rsidR="00A807AA">
        <w:rPr>
          <w:rFonts w:ascii="Cambria" w:hAnsi="Cambria"/>
        </w:rPr>
        <w:fldChar w:fldCharType="end"/>
      </w:r>
      <w:r w:rsidR="00460E97">
        <w:rPr>
          <w:rFonts w:ascii="Cambria" w:hAnsi="Cambria"/>
        </w:rPr>
        <w:t>.</w:t>
      </w:r>
      <w:r w:rsidR="00A807AA">
        <w:rPr>
          <w:rFonts w:ascii="Cambria" w:hAnsi="Cambria"/>
        </w:rPr>
        <w:t xml:space="preserve"> </w:t>
      </w:r>
      <w:r w:rsidR="00460E97">
        <w:rPr>
          <w:rFonts w:ascii="Cambria" w:hAnsi="Cambria"/>
        </w:rPr>
        <w:t xml:space="preserve">Upon </w:t>
      </w:r>
      <w:r w:rsidR="00A807AA">
        <w:rPr>
          <w:rFonts w:ascii="Cambria" w:hAnsi="Cambria"/>
        </w:rPr>
        <w:t>further analysis</w:t>
      </w:r>
      <w:r w:rsidR="00460E97">
        <w:rPr>
          <w:rFonts w:ascii="Cambria" w:hAnsi="Cambria"/>
        </w:rPr>
        <w:t>,</w:t>
      </w:r>
      <w:r w:rsidR="00A807AA">
        <w:rPr>
          <w:rFonts w:ascii="Cambria" w:hAnsi="Cambria"/>
        </w:rPr>
        <w:t xml:space="preserve"> </w:t>
      </w:r>
      <w:r w:rsidR="00460E97">
        <w:rPr>
          <w:rFonts w:ascii="Cambria" w:hAnsi="Cambria"/>
        </w:rPr>
        <w:t xml:space="preserve">other proposed explanations </w:t>
      </w:r>
      <w:r w:rsidR="00A807AA">
        <w:rPr>
          <w:rFonts w:ascii="Cambria" w:hAnsi="Cambria"/>
        </w:rPr>
        <w:t>include a low incidence of lab-confirmed RSV in the study population</w:t>
      </w:r>
      <w:r w:rsidR="00460E97">
        <w:rPr>
          <w:rFonts w:ascii="Cambria" w:hAnsi="Cambria"/>
        </w:rPr>
        <w:t>,</w:t>
      </w:r>
      <w:r w:rsidR="00A807AA">
        <w:rPr>
          <w:rFonts w:ascii="Cambria" w:hAnsi="Cambria"/>
        </w:rPr>
        <w:t xml:space="preserve"> or </w:t>
      </w:r>
      <w:r w:rsidR="00460E97">
        <w:rPr>
          <w:rFonts w:ascii="Cambria" w:hAnsi="Cambria"/>
        </w:rPr>
        <w:t xml:space="preserve">a </w:t>
      </w:r>
      <w:r w:rsidR="00A807AA">
        <w:rPr>
          <w:rFonts w:ascii="Cambria" w:hAnsi="Cambria"/>
        </w:rPr>
        <w:t>selection of the study population</w:t>
      </w:r>
      <w:r w:rsidR="00460E97">
        <w:rPr>
          <w:rFonts w:ascii="Cambria" w:hAnsi="Cambria"/>
        </w:rPr>
        <w:t>,</w:t>
      </w:r>
      <w:r w:rsidR="00A807AA">
        <w:rPr>
          <w:rFonts w:ascii="Cambria" w:hAnsi="Cambria"/>
        </w:rPr>
        <w:t xml:space="preserve"> which included high-risk and low-risk older adults</w:t>
      </w:r>
      <w:r w:rsidRPr="009B6291">
        <w:rPr>
          <w:rFonts w:ascii="Cambria" w:hAnsi="Cambria"/>
        </w:rPr>
        <w:t xml:space="preserve">. </w:t>
      </w:r>
      <w:r w:rsidR="00A807AA">
        <w:rPr>
          <w:rFonts w:ascii="Cambria" w:hAnsi="Cambria"/>
        </w:rPr>
        <w:t xml:space="preserve">Considerations for the future </w:t>
      </w:r>
      <w:r w:rsidR="008667BE">
        <w:rPr>
          <w:rFonts w:ascii="Cambria" w:hAnsi="Cambria"/>
        </w:rPr>
        <w:t>include</w:t>
      </w:r>
      <w:r w:rsidR="00A807AA">
        <w:rPr>
          <w:rFonts w:ascii="Cambria" w:hAnsi="Cambria"/>
        </w:rPr>
        <w:t xml:space="preserve"> select</w:t>
      </w:r>
      <w:r w:rsidR="008667BE">
        <w:rPr>
          <w:rFonts w:ascii="Cambria" w:hAnsi="Cambria"/>
        </w:rPr>
        <w:t>ion of</w:t>
      </w:r>
      <w:r w:rsidR="00A807AA">
        <w:rPr>
          <w:rFonts w:ascii="Cambria" w:hAnsi="Cambria"/>
        </w:rPr>
        <w:t xml:space="preserve"> an older study population at higher risk of RSV infection.</w:t>
      </w:r>
    </w:p>
    <w:p w14:paraId="11EDA51A" w14:textId="77777777" w:rsidR="0049223C" w:rsidRDefault="0049223C" w:rsidP="00C26CE6">
      <w:pPr>
        <w:jc w:val="both"/>
        <w:rPr>
          <w:rFonts w:ascii="Cambria" w:hAnsi="Cambria"/>
        </w:rPr>
      </w:pPr>
    </w:p>
    <w:p w14:paraId="3BEADF08" w14:textId="720C76CA" w:rsidR="00442F27" w:rsidRPr="00B06BC8" w:rsidRDefault="00442F27" w:rsidP="00C26CE6">
      <w:pPr>
        <w:jc w:val="both"/>
        <w:rPr>
          <w:rFonts w:ascii="Cambria" w:hAnsi="Cambria"/>
          <w:u w:val="single"/>
        </w:rPr>
      </w:pPr>
      <w:r w:rsidRPr="00B06BC8">
        <w:rPr>
          <w:rFonts w:ascii="Cambria" w:hAnsi="Cambria"/>
          <w:u w:val="single"/>
        </w:rPr>
        <w:t xml:space="preserve">Vaccine </w:t>
      </w:r>
      <w:r w:rsidR="0043754E" w:rsidRPr="00B06BC8">
        <w:rPr>
          <w:rFonts w:ascii="Cambria" w:hAnsi="Cambria"/>
          <w:u w:val="single"/>
        </w:rPr>
        <w:t>antigens</w:t>
      </w:r>
    </w:p>
    <w:p w14:paraId="13E0BBC4" w14:textId="72DB1A37" w:rsidR="009B77B6" w:rsidRPr="009B77B6" w:rsidRDefault="00B54EA2" w:rsidP="00D70D17">
      <w:pPr>
        <w:jc w:val="both"/>
      </w:pPr>
      <w:r>
        <w:rPr>
          <w:rFonts w:ascii="Cambria" w:hAnsi="Cambria"/>
        </w:rPr>
        <w:t>V</w:t>
      </w:r>
      <w:r w:rsidR="00B738A2">
        <w:rPr>
          <w:rFonts w:ascii="Cambria" w:hAnsi="Cambria"/>
        </w:rPr>
        <w:t>accine</w:t>
      </w:r>
      <w:r>
        <w:rPr>
          <w:rFonts w:ascii="Cambria" w:hAnsi="Cambria"/>
        </w:rPr>
        <w:t xml:space="preserve"> antigens </w:t>
      </w:r>
      <w:r w:rsidR="00694A51">
        <w:rPr>
          <w:rFonts w:ascii="Cambria" w:hAnsi="Cambria"/>
        </w:rPr>
        <w:t>included in</w:t>
      </w:r>
      <w:r>
        <w:rPr>
          <w:rFonts w:ascii="Cambria" w:hAnsi="Cambria"/>
        </w:rPr>
        <w:t xml:space="preserve"> </w:t>
      </w:r>
      <w:r w:rsidR="005460B0">
        <w:rPr>
          <w:rFonts w:ascii="Cambria" w:hAnsi="Cambria"/>
        </w:rPr>
        <w:t xml:space="preserve">RSV </w:t>
      </w:r>
      <w:r>
        <w:rPr>
          <w:rFonts w:ascii="Cambria" w:hAnsi="Cambria"/>
        </w:rPr>
        <w:t>vaccine candidates</w:t>
      </w:r>
      <w:r w:rsidR="00BF2C00">
        <w:rPr>
          <w:rFonts w:ascii="Cambria" w:hAnsi="Cambria"/>
        </w:rPr>
        <w:t xml:space="preserve"> are diverse</w:t>
      </w:r>
      <w:r>
        <w:rPr>
          <w:rFonts w:ascii="Cambria" w:hAnsi="Cambria"/>
        </w:rPr>
        <w:t>.</w:t>
      </w:r>
      <w:r w:rsidR="001C009B">
        <w:rPr>
          <w:rFonts w:ascii="Cambria" w:hAnsi="Cambria"/>
        </w:rPr>
        <w:t xml:space="preserve"> </w:t>
      </w:r>
      <w:r w:rsidR="00854CC8">
        <w:rPr>
          <w:rFonts w:ascii="Cambria" w:hAnsi="Cambria"/>
        </w:rPr>
        <w:t>T</w:t>
      </w:r>
      <w:r w:rsidR="00206C73" w:rsidRPr="00B57FF0">
        <w:rPr>
          <w:rFonts w:ascii="Cambria" w:hAnsi="Cambria"/>
        </w:rPr>
        <w:t xml:space="preserve">he </w:t>
      </w:r>
      <w:r w:rsidR="00C534CA" w:rsidRPr="00B57FF0">
        <w:rPr>
          <w:rFonts w:ascii="Cambria" w:hAnsi="Cambria"/>
        </w:rPr>
        <w:t>majority of vaccines in clinical trials (</w:t>
      </w:r>
      <w:r w:rsidR="000457C3">
        <w:rPr>
          <w:rFonts w:ascii="Cambria" w:hAnsi="Cambria"/>
        </w:rPr>
        <w:t>11</w:t>
      </w:r>
      <w:r w:rsidR="00C534CA" w:rsidRPr="00B57FF0">
        <w:rPr>
          <w:rFonts w:ascii="Cambria" w:hAnsi="Cambria"/>
        </w:rPr>
        <w:t>/1</w:t>
      </w:r>
      <w:r w:rsidR="003308EB">
        <w:rPr>
          <w:rFonts w:ascii="Cambria" w:hAnsi="Cambria"/>
        </w:rPr>
        <w:t>8</w:t>
      </w:r>
      <w:r w:rsidR="00C534CA" w:rsidRPr="00B57FF0">
        <w:rPr>
          <w:rFonts w:ascii="Cambria" w:hAnsi="Cambria"/>
        </w:rPr>
        <w:t>) utilize the F protein</w:t>
      </w:r>
      <w:r w:rsidR="00907EE8" w:rsidRPr="00B57FF0">
        <w:rPr>
          <w:rFonts w:ascii="Cambria" w:hAnsi="Cambria"/>
        </w:rPr>
        <w:t xml:space="preserve">, a </w:t>
      </w:r>
      <w:r w:rsidR="00474C04">
        <w:rPr>
          <w:rFonts w:ascii="Cambria" w:hAnsi="Cambria"/>
        </w:rPr>
        <w:t>class</w:t>
      </w:r>
      <w:r w:rsidR="00474C04" w:rsidRPr="00B57FF0">
        <w:rPr>
          <w:rFonts w:ascii="Cambria" w:hAnsi="Cambria"/>
        </w:rPr>
        <w:t xml:space="preserve"> </w:t>
      </w:r>
      <w:r w:rsidR="00907EE8" w:rsidRPr="00B57FF0">
        <w:rPr>
          <w:rFonts w:ascii="Cambria" w:hAnsi="Cambria"/>
        </w:rPr>
        <w:t>I viral fusion protein,</w:t>
      </w:r>
      <w:r w:rsidR="00C534CA" w:rsidRPr="00B57FF0">
        <w:rPr>
          <w:rFonts w:ascii="Cambria" w:hAnsi="Cambria"/>
        </w:rPr>
        <w:t xml:space="preserve"> as</w:t>
      </w:r>
      <w:r w:rsidR="00BF2C00">
        <w:rPr>
          <w:rFonts w:ascii="Cambria" w:hAnsi="Cambria"/>
        </w:rPr>
        <w:t xml:space="preserve"> an</w:t>
      </w:r>
      <w:r w:rsidR="00E23684">
        <w:rPr>
          <w:rFonts w:ascii="Cambria" w:hAnsi="Cambria"/>
        </w:rPr>
        <w:t xml:space="preserve"> </w:t>
      </w:r>
      <w:r w:rsidR="00C534CA" w:rsidRPr="00B57FF0">
        <w:rPr>
          <w:rFonts w:ascii="Cambria" w:hAnsi="Cambria"/>
        </w:rPr>
        <w:t>antigenic target</w:t>
      </w:r>
      <w:r w:rsidR="00436F8C" w:rsidRPr="00B57FF0">
        <w:rPr>
          <w:rFonts w:ascii="Cambria" w:hAnsi="Cambria"/>
        </w:rPr>
        <w:t>. The RSV F protein</w:t>
      </w:r>
      <w:r w:rsidR="005A19D4">
        <w:rPr>
          <w:rFonts w:ascii="Cambria" w:hAnsi="Cambria"/>
        </w:rPr>
        <w:t xml:space="preserve"> is highly conserved and</w:t>
      </w:r>
      <w:r w:rsidR="00436F8C" w:rsidRPr="00B57FF0">
        <w:rPr>
          <w:rFonts w:ascii="Cambria" w:hAnsi="Cambria"/>
        </w:rPr>
        <w:t xml:space="preserve"> </w:t>
      </w:r>
      <w:r w:rsidR="00C534CA" w:rsidRPr="00B57FF0">
        <w:rPr>
          <w:rFonts w:ascii="Cambria" w:hAnsi="Cambria"/>
        </w:rPr>
        <w:t>facilitate</w:t>
      </w:r>
      <w:r w:rsidR="005A19D4">
        <w:rPr>
          <w:rFonts w:ascii="Cambria" w:hAnsi="Cambria"/>
        </w:rPr>
        <w:t>s</w:t>
      </w:r>
      <w:r w:rsidR="00C534CA" w:rsidRPr="00B57FF0">
        <w:rPr>
          <w:rFonts w:ascii="Cambria" w:hAnsi="Cambria"/>
        </w:rPr>
        <w:t xml:space="preserve"> viral fusion with host cells. </w:t>
      </w:r>
      <w:r w:rsidR="00445FE0" w:rsidRPr="00B57FF0">
        <w:rPr>
          <w:rFonts w:ascii="Cambria" w:hAnsi="Cambria"/>
        </w:rPr>
        <w:t>An</w:t>
      </w:r>
      <w:r w:rsidR="00C534CA" w:rsidRPr="00B57FF0">
        <w:rPr>
          <w:rFonts w:ascii="Cambria" w:hAnsi="Cambria"/>
        </w:rPr>
        <w:t xml:space="preserve"> understanding of </w:t>
      </w:r>
      <w:r w:rsidR="00445FE0" w:rsidRPr="00B57FF0">
        <w:rPr>
          <w:rFonts w:ascii="Cambria" w:hAnsi="Cambria"/>
        </w:rPr>
        <w:t xml:space="preserve">the </w:t>
      </w:r>
      <w:r w:rsidR="00C534CA" w:rsidRPr="00B57FF0">
        <w:rPr>
          <w:rFonts w:ascii="Cambria" w:hAnsi="Cambria"/>
        </w:rPr>
        <w:t xml:space="preserve">structural </w:t>
      </w:r>
      <w:r w:rsidR="00A5051A">
        <w:rPr>
          <w:rFonts w:ascii="Cambria" w:hAnsi="Cambria"/>
        </w:rPr>
        <w:t>differences</w:t>
      </w:r>
      <w:r w:rsidR="00A5051A" w:rsidRPr="00B57FF0">
        <w:rPr>
          <w:rFonts w:ascii="Cambria" w:hAnsi="Cambria"/>
        </w:rPr>
        <w:t xml:space="preserve"> </w:t>
      </w:r>
      <w:r w:rsidR="00C534CA" w:rsidRPr="00B57FF0">
        <w:rPr>
          <w:rFonts w:ascii="Cambria" w:hAnsi="Cambria"/>
        </w:rPr>
        <w:t xml:space="preserve">between </w:t>
      </w:r>
      <w:r w:rsidR="00291A40" w:rsidRPr="00B57FF0">
        <w:rPr>
          <w:rFonts w:ascii="Cambria" w:hAnsi="Cambria"/>
        </w:rPr>
        <w:t>pre</w:t>
      </w:r>
      <w:r w:rsidR="00C35468">
        <w:rPr>
          <w:rFonts w:ascii="Cambria" w:hAnsi="Cambria"/>
        </w:rPr>
        <w:t>-</w:t>
      </w:r>
      <w:r w:rsidR="00291A40" w:rsidRPr="00B57FF0">
        <w:rPr>
          <w:rFonts w:ascii="Cambria" w:hAnsi="Cambria"/>
        </w:rPr>
        <w:t>F</w:t>
      </w:r>
      <w:r w:rsidR="00445FE0" w:rsidRPr="00B57FF0">
        <w:rPr>
          <w:rFonts w:ascii="Cambria" w:hAnsi="Cambria"/>
        </w:rPr>
        <w:t xml:space="preserve"> and </w:t>
      </w:r>
      <w:r w:rsidR="00291A40" w:rsidRPr="00B57FF0">
        <w:rPr>
          <w:rFonts w:ascii="Cambria" w:hAnsi="Cambria"/>
        </w:rPr>
        <w:t>post</w:t>
      </w:r>
      <w:r w:rsidR="002C300D">
        <w:rPr>
          <w:rFonts w:ascii="Cambria" w:hAnsi="Cambria"/>
        </w:rPr>
        <w:t>-</w:t>
      </w:r>
      <w:r w:rsidR="00291A40" w:rsidRPr="00B57FF0">
        <w:rPr>
          <w:rFonts w:ascii="Cambria" w:hAnsi="Cambria"/>
        </w:rPr>
        <w:t>F</w:t>
      </w:r>
      <w:r w:rsidR="00445FE0" w:rsidRPr="00B57FF0">
        <w:rPr>
          <w:rFonts w:ascii="Cambria" w:hAnsi="Cambria"/>
        </w:rPr>
        <w:t xml:space="preserve"> </w:t>
      </w:r>
      <w:r w:rsidR="000E388B">
        <w:rPr>
          <w:rFonts w:ascii="Cambria" w:hAnsi="Cambria"/>
        </w:rPr>
        <w:t>conformations</w:t>
      </w:r>
      <w:r w:rsidR="00A95A58">
        <w:rPr>
          <w:rFonts w:ascii="Cambria" w:hAnsi="Cambria"/>
        </w:rPr>
        <w:t>,</w:t>
      </w:r>
      <w:r w:rsidR="00445FE0" w:rsidRPr="00B57FF0">
        <w:rPr>
          <w:rFonts w:ascii="Cambria" w:hAnsi="Cambria"/>
        </w:rPr>
        <w:t xml:space="preserve"> as well as</w:t>
      </w:r>
      <w:r w:rsidR="00C534CA" w:rsidRPr="00B57FF0">
        <w:rPr>
          <w:rFonts w:ascii="Cambria" w:hAnsi="Cambria"/>
        </w:rPr>
        <w:t xml:space="preserve"> stabilization of the pre</w:t>
      </w:r>
      <w:r w:rsidR="00C35468">
        <w:rPr>
          <w:rFonts w:ascii="Cambria" w:hAnsi="Cambria"/>
        </w:rPr>
        <w:t>-</w:t>
      </w:r>
      <w:r w:rsidR="00C534CA" w:rsidRPr="00B57FF0">
        <w:rPr>
          <w:rFonts w:ascii="Cambria" w:hAnsi="Cambria"/>
        </w:rPr>
        <w:t>F</w:t>
      </w:r>
      <w:r w:rsidR="00D0346E">
        <w:rPr>
          <w:rFonts w:ascii="Cambria" w:hAnsi="Cambria"/>
        </w:rPr>
        <w:t xml:space="preserve"> soluble</w:t>
      </w:r>
      <w:r w:rsidR="00C534CA" w:rsidRPr="00B57FF0">
        <w:rPr>
          <w:rFonts w:ascii="Cambria" w:hAnsi="Cambria"/>
        </w:rPr>
        <w:t xml:space="preserve"> form</w:t>
      </w:r>
      <w:r w:rsidR="00D0346E">
        <w:rPr>
          <w:rFonts w:ascii="Cambria" w:hAnsi="Cambria"/>
        </w:rPr>
        <w:t>s</w:t>
      </w:r>
      <w:r w:rsidR="00A95A58">
        <w:rPr>
          <w:rFonts w:ascii="Cambria" w:hAnsi="Cambria"/>
        </w:rPr>
        <w:t>,</w:t>
      </w:r>
      <w:r w:rsidR="00C534CA" w:rsidRPr="00B57FF0">
        <w:rPr>
          <w:rFonts w:ascii="Cambria" w:hAnsi="Cambria"/>
        </w:rPr>
        <w:t xml:space="preserve"> </w:t>
      </w:r>
      <w:r w:rsidR="00276630">
        <w:rPr>
          <w:rFonts w:ascii="Cambria" w:hAnsi="Cambria"/>
        </w:rPr>
        <w:t xml:space="preserve">has resulted in </w:t>
      </w:r>
      <w:r w:rsidR="00D0346E">
        <w:rPr>
          <w:rFonts w:ascii="Cambria" w:hAnsi="Cambria"/>
        </w:rPr>
        <w:t>advance</w:t>
      </w:r>
      <w:r w:rsidR="00A95A58">
        <w:rPr>
          <w:rFonts w:ascii="Cambria" w:hAnsi="Cambria"/>
        </w:rPr>
        <w:t>ment</w:t>
      </w:r>
      <w:r w:rsidR="00D0346E">
        <w:rPr>
          <w:rFonts w:ascii="Cambria" w:hAnsi="Cambria"/>
        </w:rPr>
        <w:t xml:space="preserve"> in </w:t>
      </w:r>
      <w:r w:rsidR="00EC3D4F" w:rsidRPr="00B57FF0">
        <w:rPr>
          <w:rFonts w:ascii="Cambria" w:hAnsi="Cambria"/>
        </w:rPr>
        <w:t xml:space="preserve">vaccine </w:t>
      </w:r>
      <w:r w:rsidR="00F36E09">
        <w:rPr>
          <w:rFonts w:ascii="Cambria" w:hAnsi="Cambria"/>
        </w:rPr>
        <w:t>antigen</w:t>
      </w:r>
      <w:r w:rsidR="00A95A58">
        <w:rPr>
          <w:rFonts w:ascii="Cambria" w:hAnsi="Cambria"/>
        </w:rPr>
        <w:t xml:space="preserve"> design</w:t>
      </w:r>
      <w:r w:rsidR="00854CC8">
        <w:rPr>
          <w:rFonts w:ascii="Cambria" w:hAnsi="Cambria"/>
        </w:rPr>
        <w:fldChar w:fldCharType="begin" w:fldLock="1"/>
      </w:r>
      <w:r w:rsidR="00D83E6A">
        <w:rPr>
          <w:rFonts w:ascii="Cambria" w:hAnsi="Cambria"/>
        </w:rPr>
        <w:instrText>ADDIN CSL_CITATION { "citationItems" : [ { "id" : "ITEM-1", "itemData" : { "DOI" : "10.1126/science.1234914", "ISSN" : "1095-9203", "PMID" : "23618766", "abstract" : "The prefusion state of respiratory syncytial virus (RSV) fusion (F) glycoprotein is the target of most RSV-neutralizing activity in human sera, but its metastability has hindered characterization. To overcome this obstacle, we identified prefusion-specific antibodies that were substantially more potent than the prophylactic antibody palivizumab. The cocrystal structure for one of these antibodies, D25, in complex with the F glycoprotein revealed D25 to lock F in its prefusion state by binding to a quaternary epitope at the trimer apex. Electron microscopy showed that two other antibodies, AM22 and 5C4, also bound to the newly identified site of vulnerability, which we named antigenic site \u00d8. These studies should enable design of improved vaccine antigens and define new targets for passive prevention of RSV-induced disease.", "author" : [ { "dropping-particle" : "", "family" : "McLellan", "given" : "Jason S", "non-dropping-particle" : "", "parse-names" : false, "suffix" : "" }, { "dropping-particle" : "", "family" : "Chen", "given" : "Man", "non-dropping-particle" : "", "parse-names" : false, "suffix" : "" }, { "dropping-particle" : "", "family" : "Leung", "given" : "Sherman", "non-dropping-particle" : "", "parse-names" : false, "suffix" : "" }, { "dropping-particle" : "", "family" : "Graepel", "given" : "Kevin W", "non-dropping-particle" : "", "parse-names" : false, "suffix" : "" }, { "dropping-particle" : "", "family" : "Du", "given" : "Xiulian", "non-dropping-particle" : "", "parse-names" : false, "suffix" : "" }, { "dropping-particle" : "", "family" : "Yang", "given" : "Yongping", "non-dropping-particle" : "", "parse-names" : false, "suffix" : "" }, { "dropping-particle" : "", "family" : "Zhou", "given" : "Tongqing", "non-dropping-particle" : "", "parse-names" : false, "suffix" : "" }, { "dropping-particle" : "", "family" : "Baxa", "given" : "Ulrich", "non-dropping-particle" : "", "parse-names" : false, "suffix" : "" }, { "dropping-particle" : "", "family" : "Yasuda", "given" : "Etsuko", "non-dropping-particle" : "", "parse-names" : false, "suffix" : "" }, { "dropping-particle" : "", "family" : "Beaumont", "given" : "Tim", "non-dropping-particle" : "", "parse-names" : false, "suffix" : "" }, { "dropping-particle" : "", "family" : "Kumar", "given" : "Azad", "non-dropping-particle" : "", "parse-names" : false, "suffix" : "" }, { "dropping-particle" : "", "family" : "Modjarrad", "given" : "Kayvon", "non-dropping-particle" : "", "parse-names" : false, "suffix" : "" }, { "dropping-particle" : "", "family" : "Zheng", "given" : "Zizheng", "non-dropping-particle" : "", "parse-names" : false, "suffix" : "" }, { "dropping-particle" : "", "family" : "Zhao", "given" : "Min", "non-dropping-particle" : "", "parse-names" : false, "suffix" : "" }, { "dropping-particle" : "", "family" : "Xia", "given" : "Ningshao", "non-dropping-particle" : "", "parse-names" : false, "suffix" : "" }, { "dropping-particle" : "", "family" : "Kwong", "given" : "Peter D", "non-dropping-particle" : "", "parse-names" : false, "suffix" : "" }, { "dropping-particle" : "", "family" : "Graham", "given" : "Barney S", "non-dropping-particle" : "", "parse-names" : false, "suffix" : "" } ], "container-title" : "Science (New York, N.Y.)", "id" : "ITEM-1", "issue" : "6136", "issued" : { "date-parts" : [ [ "2013", "5", "31" ] ] }, "page" : "1113-7", "title" : "Structure of RSV fusion glycoprotein trimer bound to a prefusion-specific neutralizing antibody.", "type" : "article-journal", "volume" : "340" }, "uris" : [ "http://www.mendeley.com/documents/?uuid=5c818baa-795d-47bb-8b02-4a761ffeba3a" ] }, { "id" : "ITEM-2", "itemData" : { "DOI" : "10.1038/ncomms9143", "ISSN" : "2041-1723", "abstract" : "Respiratory syncytial virus (RSV) is a highly contagious childhood pathogen of the respiratory tract for which no vaccine is currently available. Here the authors present a strategy to stabilize the RSV F protein in a prefusion conformation that can elicit a strong protective immune response in animal models.", "author" : [ { "dropping-particle" : "", "family" : "Krarup", "given" : "Anders", "non-dropping-particle" : "", "parse-names" : false, "suffix" : "" }, { "dropping-particle" : "", "family" : "Truan", "given" : "Daphn\u00e9", "non-dropping-particle" : "", "parse-names" : false, "suffix" : "" }, { "dropping-particle" : "", "family" : "Furmanova-Hollenstein", "given" : "Polina", "non-dropping-particle" : "", "parse-names" : false, "suffix" : "" }, { "dropping-particle" : "", "family" : "Bogaert", "given" : "Lies", "non-dropping-particle" : "", "parse-names" : false, "suffix" : "" }, { "dropping-particle" : "", "family" : "Bouchier", "given" : "Pascale", "non-dropping-particle" : "", "parse-names" : false, "suffix" : "" }, { "dropping-particle" : "", "family" : "Bisschop", "given" : "Ilona J. M.", "non-dropping-particle" : "", "parse-names" : false, "suffix" : "" }, { "dropping-particle" : "", "family" : "Widjojoatmodjo", "given" : "Myra N.", "non-dropping-particle" : "", "parse-names" : false, "suffix" : "" }, { "dropping-particle" : "", "family" : "Zahn", "given" : "Roland", "non-dropping-particle" : "", "parse-names" : false, "suffix" : "" }, { "dropping-particle" : "", "family" : "Schuitemaker", "given" : "Hanneke", "non-dropping-particle" : "", "parse-names" : false, "suffix" : "" }, { "dropping-particle" : "", "family" : "McLellan", "given" : "Jason S.", "non-dropping-particle" : "", "parse-names" : false, "suffix" : "" }, { "dropping-particle" : "", "family" : "Langedijk", "given" : "Johannes P. M.", "non-dropping-particle" : "", "parse-names" : false, "suffix" : "" } ], "container-title" : "Nature Communications", "id" : "ITEM-2", "issued" : { "date-parts" : [ [ "2015", "9", "3" ] ] }, "page" : "8143", "publisher" : "Nature Publishing Group", "title" : "A highly stable prefusion RSV F vaccine derived from structural analysis of the fusion mechanism", "type" : "article-journal", "volume" : "6" }, "uris" : [ "http://www.mendeley.com/documents/?uuid=78d804d3-b0f2-34a2-85fe-15aea2def1b9" ] } ], "mendeley" : { "formattedCitation" : "(19,53)", "plainTextFormattedCitation" : "(19,53)", "previouslyFormattedCitation" : "(19,53)" }, "properties" : { "noteIndex" : 0 }, "schema" : "https://github.com/citation-style-language/schema/raw/master/csl-citation.json" }</w:instrText>
      </w:r>
      <w:r w:rsidR="00854CC8">
        <w:rPr>
          <w:rFonts w:ascii="Cambria" w:hAnsi="Cambria"/>
        </w:rPr>
        <w:fldChar w:fldCharType="separate"/>
      </w:r>
      <w:r w:rsidR="00462954" w:rsidRPr="00462954">
        <w:rPr>
          <w:rFonts w:ascii="Cambria" w:hAnsi="Cambria"/>
          <w:noProof/>
        </w:rPr>
        <w:t>(19,53)</w:t>
      </w:r>
      <w:r w:rsidR="00854CC8">
        <w:rPr>
          <w:rFonts w:ascii="Cambria" w:hAnsi="Cambria"/>
        </w:rPr>
        <w:fldChar w:fldCharType="end"/>
      </w:r>
      <w:r w:rsidR="00D323FF">
        <w:rPr>
          <w:rFonts w:ascii="Cambria" w:hAnsi="Cambria"/>
        </w:rPr>
        <w:t>. Current vaccines</w:t>
      </w:r>
      <w:r w:rsidR="00291A40" w:rsidRPr="00B57FF0">
        <w:rPr>
          <w:rFonts w:ascii="Cambria" w:hAnsi="Cambria"/>
        </w:rPr>
        <w:t xml:space="preserve"> use pre</w:t>
      </w:r>
      <w:r w:rsidR="00C35468">
        <w:rPr>
          <w:rFonts w:ascii="Cambria" w:hAnsi="Cambria"/>
        </w:rPr>
        <w:t>-</w:t>
      </w:r>
      <w:r w:rsidR="00291A40" w:rsidRPr="00B57FF0">
        <w:rPr>
          <w:rFonts w:ascii="Cambria" w:hAnsi="Cambria"/>
        </w:rPr>
        <w:t>F</w:t>
      </w:r>
      <w:r w:rsidR="00442DBC">
        <w:rPr>
          <w:rFonts w:ascii="Cambria" w:hAnsi="Cambria"/>
        </w:rPr>
        <w:t xml:space="preserve"> and</w:t>
      </w:r>
      <w:r w:rsidR="00291A40" w:rsidRPr="00B57FF0">
        <w:rPr>
          <w:rFonts w:ascii="Cambria" w:hAnsi="Cambria"/>
        </w:rPr>
        <w:t xml:space="preserve"> post</w:t>
      </w:r>
      <w:r w:rsidR="001C7E85">
        <w:rPr>
          <w:rFonts w:ascii="Cambria" w:hAnsi="Cambria"/>
        </w:rPr>
        <w:t>-</w:t>
      </w:r>
      <w:r w:rsidR="00291A40" w:rsidRPr="00B57FF0">
        <w:rPr>
          <w:rFonts w:ascii="Cambria" w:hAnsi="Cambria"/>
        </w:rPr>
        <w:t>F as vaccine antigens</w:t>
      </w:r>
      <w:r w:rsidR="00D76102">
        <w:rPr>
          <w:rFonts w:ascii="Cambria" w:hAnsi="Cambria"/>
        </w:rPr>
        <w:t xml:space="preserve"> </w:t>
      </w:r>
      <w:r w:rsidR="001D1CB2">
        <w:rPr>
          <w:rFonts w:ascii="Cambria" w:hAnsi="Cambria"/>
        </w:rPr>
        <w:t xml:space="preserve">[Table </w:t>
      </w:r>
      <w:r w:rsidR="00FC15CE">
        <w:rPr>
          <w:rFonts w:ascii="Cambria" w:hAnsi="Cambria"/>
        </w:rPr>
        <w:t>1</w:t>
      </w:r>
      <w:r w:rsidR="001D1CB2">
        <w:rPr>
          <w:rFonts w:ascii="Cambria" w:hAnsi="Cambria"/>
        </w:rPr>
        <w:t>]</w:t>
      </w:r>
      <w:r w:rsidR="00291A40" w:rsidRPr="00B57FF0">
        <w:rPr>
          <w:rFonts w:ascii="Cambria" w:hAnsi="Cambria"/>
        </w:rPr>
        <w:t>.</w:t>
      </w:r>
      <w:r w:rsidR="000540FC" w:rsidRPr="00B57FF0">
        <w:rPr>
          <w:rFonts w:ascii="Cambria" w:hAnsi="Cambria"/>
        </w:rPr>
        <w:t xml:space="preserve"> </w:t>
      </w:r>
      <w:r w:rsidR="00F10855">
        <w:rPr>
          <w:rFonts w:ascii="Cambria" w:hAnsi="Cambria"/>
        </w:rPr>
        <w:t>Of note, the predominant conformation displayed on the FI-RSV vaccine candidate was the post-F conformation</w:t>
      </w:r>
      <w:r w:rsidR="00F10855">
        <w:rPr>
          <w:rFonts w:ascii="Cambria" w:hAnsi="Cambria"/>
        </w:rPr>
        <w:fldChar w:fldCharType="begin" w:fldLock="1"/>
      </w:r>
      <w:r w:rsidR="00D83E6A">
        <w:rPr>
          <w:rFonts w:ascii="Cambria" w:hAnsi="Cambria"/>
        </w:rPr>
        <w:instrText>ADDIN CSL_CITATION { "citationItems" : [ { "id" : "ITEM-1", "itemData" : { "DOI" : "10.1038/srep34108", "ISSN" : "2045-2322", "PMID" : "27682426", "abstract" : "The lack of a licensed vaccine for respiratory syncytial virus (RSV) can be partly attributed to regulatory hurdles resulting from vaccine enhanced respiratory disease (ERD) subsequent to natural RSV infection that was observed in clinical trials of formalin-inactivated RSV (FI-RSV) in antigen-na\u00efve infants. To develop an effective vaccine that does not enhance RSV illness, it is important to understand how formalin and heat inactivation affected the antigenicity and immunogenicity of FI-RSV compared to native virus. Informed by atomic structures of RSV fusion (F) glycoprotein in prefusion (pre-F) and postfusion (post-F) conformations, we demonstrate that FI-RSV predominately presents post-F on the virion surface, whereas infectious RSV presents both pre-F and post-F conformations. This significant antigenic distinction has not been previously appreciated. Thus, a stabilized pre-F antigen is more representative of live RSV than F in its post-F conformation, as displayed on the surface of FI-RSV. This finding has major implications for discriminating current pre-F-based immunogens from FI-RSV used in historical vaccine trials.", "author" : [ { "dropping-particle" : "", "family" : "Killikelly", "given" : "April M", "non-dropping-particle" : "", "parse-names" : false, "suffix" : "" }, { "dropping-particle" : "", "family" : "Kanekiyo", "given" : "Masaru", "non-dropping-particle" : "", "parse-names" : false, "suffix" : "" }, { "dropping-particle" : "", "family" : "Graham", "given" : "Barney S", "non-dropping-particle" : "", "parse-names" : false, "suffix" : "" } ], "container-title" : "Scientific reports", "id" : "ITEM-1", "issued" : { "date-parts" : [ [ "2016", "9", "29" ] ] }, "page" : "34108", "publisher" : "Nature Publishing Group", "title" : "Pre-fusion F is absent on the surface of formalin-inactivated respiratory syncytial virus.", "type" : "article-journal", "volume" : "6" }, "uris" : [ "http://www.mendeley.com/documents/?uuid=b490a4b3-c381-3bb8-867a-ad40e5fe039b" ] } ], "mendeley" : { "formattedCitation" : "(54)", "plainTextFormattedCitation" : "(54)", "previouslyFormattedCitation" : "(54)" }, "properties" : { "noteIndex" : 0 }, "schema" : "https://github.com/citation-style-language/schema/raw/master/csl-citation.json" }</w:instrText>
      </w:r>
      <w:r w:rsidR="00F10855">
        <w:rPr>
          <w:rFonts w:ascii="Cambria" w:hAnsi="Cambria"/>
        </w:rPr>
        <w:fldChar w:fldCharType="separate"/>
      </w:r>
      <w:r w:rsidR="00462954" w:rsidRPr="00462954">
        <w:rPr>
          <w:rFonts w:ascii="Cambria" w:hAnsi="Cambria"/>
          <w:noProof/>
        </w:rPr>
        <w:t>(54)</w:t>
      </w:r>
      <w:r w:rsidR="00F10855">
        <w:rPr>
          <w:rFonts w:ascii="Cambria" w:hAnsi="Cambria"/>
        </w:rPr>
        <w:fldChar w:fldCharType="end"/>
      </w:r>
      <w:r w:rsidR="00E6364D">
        <w:rPr>
          <w:rFonts w:ascii="Cambria" w:hAnsi="Cambria"/>
        </w:rPr>
        <w:t>.</w:t>
      </w:r>
      <w:r w:rsidR="00C229F4">
        <w:rPr>
          <w:rFonts w:ascii="Cambria" w:hAnsi="Cambria"/>
        </w:rPr>
        <w:t xml:space="preserve"> It remains unclear as to whether there is a</w:t>
      </w:r>
      <w:r w:rsidR="00006107">
        <w:rPr>
          <w:rFonts w:ascii="Cambria" w:hAnsi="Cambria"/>
        </w:rPr>
        <w:t xml:space="preserve"> trigger for the pre</w:t>
      </w:r>
      <w:r w:rsidR="00C35468">
        <w:rPr>
          <w:rFonts w:ascii="Cambria" w:hAnsi="Cambria"/>
        </w:rPr>
        <w:t>-</w:t>
      </w:r>
      <w:r w:rsidR="00006107">
        <w:rPr>
          <w:rFonts w:ascii="Cambria" w:hAnsi="Cambria"/>
        </w:rPr>
        <w:t>F to post</w:t>
      </w:r>
      <w:r w:rsidR="00C35468">
        <w:rPr>
          <w:rFonts w:ascii="Cambria" w:hAnsi="Cambria"/>
        </w:rPr>
        <w:t>-</w:t>
      </w:r>
      <w:r w:rsidR="00006107">
        <w:rPr>
          <w:rFonts w:ascii="Cambria" w:hAnsi="Cambria"/>
        </w:rPr>
        <w:t>F conformational change</w:t>
      </w:r>
      <w:r w:rsidR="00C229F4">
        <w:rPr>
          <w:rFonts w:ascii="Cambria" w:hAnsi="Cambria"/>
        </w:rPr>
        <w:t>, but it does occurs spontaneously,</w:t>
      </w:r>
      <w:r w:rsidR="00BB611A">
        <w:rPr>
          <w:rFonts w:ascii="Cambria" w:hAnsi="Cambria"/>
        </w:rPr>
        <w:t xml:space="preserve"> making it difficult to ensure a </w:t>
      </w:r>
      <w:r w:rsidR="00DC108A">
        <w:rPr>
          <w:rFonts w:ascii="Cambria" w:hAnsi="Cambria"/>
        </w:rPr>
        <w:t xml:space="preserve">wild-type F </w:t>
      </w:r>
      <w:r w:rsidR="00BB611A">
        <w:rPr>
          <w:rFonts w:ascii="Cambria" w:hAnsi="Cambria"/>
        </w:rPr>
        <w:t>vaccine antigen maintains a pre</w:t>
      </w:r>
      <w:r w:rsidR="00C35468">
        <w:rPr>
          <w:rFonts w:ascii="Cambria" w:hAnsi="Cambria"/>
        </w:rPr>
        <w:t>-</w:t>
      </w:r>
      <w:r w:rsidR="00BB611A">
        <w:rPr>
          <w:rFonts w:ascii="Cambria" w:hAnsi="Cambria"/>
        </w:rPr>
        <w:t>F conformation</w:t>
      </w:r>
      <w:r w:rsidR="00C229F4">
        <w:rPr>
          <w:rFonts w:ascii="Cambria" w:hAnsi="Cambria"/>
        </w:rPr>
        <w:t>. However,</w:t>
      </w:r>
      <w:r w:rsidR="00DC108A">
        <w:rPr>
          <w:rFonts w:ascii="Cambria" w:hAnsi="Cambria"/>
        </w:rPr>
        <w:t xml:space="preserve"> stabilizing mutations have been identified that can preserve the pre-F-specific epitopes</w:t>
      </w:r>
      <w:r w:rsidR="0081402D">
        <w:rPr>
          <w:rFonts w:ascii="Cambria" w:hAnsi="Cambria"/>
        </w:rPr>
        <w:fldChar w:fldCharType="begin" w:fldLock="1"/>
      </w:r>
      <w:r w:rsidR="00D83E6A">
        <w:rPr>
          <w:rFonts w:ascii="Cambria" w:hAnsi="Cambria"/>
        </w:rPr>
        <w:instrText>ADDIN CSL_CITATION { "citationItems" : [ { "id" : "ITEM-1", "itemData" : { "DOI" : "10.1126/science.1243283", "ISSN" : "1095-9203", "PMID" : "24179220", "abstract" : "Respiratory syncytial virus (RSV) is the leading cause of hospitalization for children under 5 years of age. We sought to engineer a viral antigen that provides greater protection than currently available vaccines and focused on antigenic site \u00d8, a metastable site specific to the prefusion state of the RSV fusion (F) glycoprotein, as this site is targeted by extremely potent RSV-neutralizing antibodies. Structure-based design yielded stabilized versions of RSV F that maintained antigenic site \u00d8 when exposed to extremes of pH, osmolality, and temperature. Six RSV F crystal structures provided atomic-level data on how introduced cysteine residues and filled hydrophobic cavities improved stability. Immunization with site \u00d8-stabilized variants of RSV F in mice and macaques elicited levels of RSV-specific neutralizing activity many times the protective threshold.", "author" : [ { "dropping-particle" : "", "family" : "McLellan", "given" : "Jason S", "non-dropping-particle" : "", "parse-names" : false, "suffix" : "" }, { "dropping-particle" : "", "family" : "Chen", "given" : "Man", "non-dropping-particle" : "", "parse-names" : false, "suffix" : "" }, { "dropping-particle" : "", "family" : "Joyce", "given" : "M Gordon", "non-dropping-particle" : "", "parse-names" : false, "suffix" : "" }, { "dropping-particle" : "", "family" : "Sastry", "given" : "Mallika", "non-dropping-particle" : "", "parse-names" : false, "suffix" : "" }, { "dropping-particle" : "", "family" : "Stewart-Jones", "given" : "Guillaume B E", "non-dropping-particle" : "", "parse-names" : false, "suffix" : "" }, { "dropping-particle" : "", "family" : "Yang", "given" : "Yongping", "non-dropping-particle" : "", "parse-names" : false, "suffix" : "" }, { "dropping-particle" : "", "family" : "Zhang", "given" : "Baoshan", "non-dropping-particle" : "", "parse-names" : false, "suffix" : "" }, { "dropping-particle" : "", "family" : "Chen", "given" : "Lei", "non-dropping-particle" : "", "parse-names" : false, "suffix" : "" }, { "dropping-particle" : "", "family" : "Srivatsan", "given" : "Sanjay", "non-dropping-particle" : "", "parse-names" : false, "suffix" : "" }, { "dropping-particle" : "", "family" : "Zheng", "given" : "Anqi", "non-dropping-particle" : "", "parse-names" : false, "suffix" : "" }, { "dropping-particle" : "", "family" : "Zhou", "given" : "Tongqing", "non-dropping-particle" : "", "parse-names" : false, "suffix" : "" }, { "dropping-particle" : "", "family" : "Graepel", "given" : "Kevin W", "non-dropping-particle" : "", "parse-names" : false, "suffix" : "" }, { "dropping-particle" : "", "family" : "Kumar", "given" : "Azad", "non-dropping-particle" : "", "parse-names" : false, "suffix" : "" }, { "dropping-particle" : "", "family" : "Moin", "given" : "Syed", "non-dropping-particle" : "", "parse-names" : false, "suffix" : "" }, { "dropping-particle" : "", "family" : "Boyington", "given" : "Jeffrey C", "non-dropping-particle" : "", "parse-names" : false, "suffix" : "" }, { "dropping-particle" : "", "family" : "Chuang", "given" : "Gwo-Yu", "non-dropping-particle" : "", "parse-names" : false, "suffix" : "" }, { "dropping-particle" : "", "family" : "Soto", "given" : "Cinque", "non-dropping-particle" : "", "parse-names" : false, "suffix" : "" }, { "dropping-particle" : "", "family" : "Baxa", "given" : "Ulrich", "non-dropping-particle" : "", "parse-names" : false, "suffix" : "" }, { "dropping-particle" : "", "family" : "Bakker", "given" : "Arjen Q", "non-dropping-particle" : "", "parse-names" : false, "suffix" : "" }, { "dropping-particle" : "", "family" : "Spits", "given" : "Hergen", "non-dropping-particle" : "", "parse-names" : false, "suffix" : "" }, { "dropping-particle" : "", "family" : "Beaumont", "given" : "Tim", "non-dropping-particle" : "", "parse-names" : false, "suffix" : "" }, { "dropping-particle" : "", "family" : "Zheng", "given" : "Zizheng", "non-dropping-particle" : "", "parse-names" : false, "suffix" : "" }, { "dropping-particle" : "", "family" : "Xia", "given" : "Ningshao", "non-dropping-particle" : "", "parse-names" : false, "suffix" : "" }, { "dropping-particle" : "", "family" : "Ko", "given" : "Sung-Youl", "non-dropping-particle" : "", "parse-names" : false, "suffix" : "" }, { "dropping-particle" : "", "family" : "Todd", "given" : "John-Paul", "non-dropping-particle" : "", "parse-names" : false, "suffix" : "" }, { "dropping-particle" : "", "family" : "Rao", "given" : "Srinivas", "non-dropping-particle" : "", "parse-names" : false, "suffix" : "" }, { "dropping-particle" : "", "family" : "Graham", "given" : "Barney S", "non-dropping-particle" : "", "parse-names" : false, "suffix" : "" }, { "dropping-particle" : "", "family" : "Kwong", "given" : "Peter D", "non-dropping-particle" : "", "parse-names" : false, "suffix" : "" } ], "container-title" : "Science", "id" : "ITEM-1", "issue" : "6158", "issued" : { "date-parts" : [ [ "2013", "11", "1" ] ] }, "page" : "592-8", "title" : "Structure-based design of a fusion glycoprotein vaccine for respiratory syncytial virus.", "type" : "article-journal", "volume" : "342" }, "uris" : [ "http://www.mendeley.com/documents/?uuid=a49c379d-caab-30d7-9531-49c9a6cb3668" ] }, { "id" : "ITEM-2", "itemData" : { "DOI" : "10.1038/ncomms9143", "ISSN" : "2041-1723", "abstract" : "Respiratory syncytial virus (RSV) is a highly contagious childhood pathogen of the respiratory tract for which no vaccine is currently available. Here the authors present a strategy to stabilize the RSV F protein in a prefusion conformation that can elicit a strong protective immune response in animal models.", "author" : [ { "dropping-particle" : "", "family" : "Krarup", "given" : "Anders", "non-dropping-particle" : "", "parse-names" : false, "suffix" : "" }, { "dropping-particle" : "", "family" : "Truan", "given" : "Daphn\u00e9", "non-dropping-particle" : "", "parse-names" : false, "suffix" : "" }, { "dropping-particle" : "", "family" : "Furmanova-Hollenstein", "given" : "Polina", "non-dropping-particle" : "", "parse-names" : false, "suffix" : "" }, { "dropping-particle" : "", "family" : "Bogaert", "given" : "Lies", "non-dropping-particle" : "", "parse-names" : false, "suffix" : "" }, { "dropping-particle" : "", "family" : "Bouchier", "given" : "Pascale", "non-dropping-particle" : "", "parse-names" : false, "suffix" : "" }, { "dropping-particle" : "", "family" : "Bisschop", "given" : "Ilona J. M.", "non-dropping-particle" : "", "parse-names" : false, "suffix" : "" }, { "dropping-particle" : "", "family" : "Widjojoatmodjo", "given" : "Myra N.", "non-dropping-particle" : "", "parse-names" : false, "suffix" : "" }, { "dropping-particle" : "", "family" : "Zahn", "given" : "Roland", "non-dropping-particle" : "", "parse-names" : false, "suffix" : "" }, { "dropping-particle" : "", "family" : "Schuitemaker", "given" : "Hanneke", "non-dropping-particle" : "", "parse-names" : false, "suffix" : "" }, { "dropping-particle" : "", "family" : "McLellan", "given" : "Jason S.", "non-dropping-particle" : "", "parse-names" : false, "suffix" : "" }, { "dropping-particle" : "", "family" : "Langedijk", "given" : "Johannes P. M.", "non-dropping-particle" : "", "parse-names" : false, "suffix" : "" } ], "container-title" : "Nature Communications", "id" : "ITEM-2", "issued" : { "date-parts" : [ [ "2015", "9", "3" ] ] }, "page" : "8143", "publisher" : "Nature Publishing Group", "title" : "A highly stable prefusion RSV F vaccine derived from structural analysis of the fusion mechanism", "type" : "article-journal", "volume" : "6" }, "uris" : [ "http://www.mendeley.com/documents/?uuid=78d804d3-b0f2-34a2-85fe-15aea2def1b9" ] } ], "mendeley" : { "formattedCitation" : "(53,55)", "plainTextFormattedCitation" : "(53,55)", "previouslyFormattedCitation" : "(53,55)" }, "properties" : { "noteIndex" : 0 }, "schema" : "https://github.com/citation-style-language/schema/raw/master/csl-citation.json" }</w:instrText>
      </w:r>
      <w:r w:rsidR="0081402D">
        <w:rPr>
          <w:rFonts w:ascii="Cambria" w:hAnsi="Cambria"/>
        </w:rPr>
        <w:fldChar w:fldCharType="separate"/>
      </w:r>
      <w:r w:rsidR="00462954" w:rsidRPr="00462954">
        <w:rPr>
          <w:rFonts w:ascii="Cambria" w:hAnsi="Cambria"/>
          <w:noProof/>
        </w:rPr>
        <w:t>(53,55)</w:t>
      </w:r>
      <w:r w:rsidR="0081402D">
        <w:rPr>
          <w:rFonts w:ascii="Cambria" w:hAnsi="Cambria"/>
        </w:rPr>
        <w:fldChar w:fldCharType="end"/>
      </w:r>
      <w:r w:rsidR="00BB611A">
        <w:rPr>
          <w:rFonts w:ascii="Cambria" w:hAnsi="Cambria"/>
        </w:rPr>
        <w:t>.</w:t>
      </w:r>
      <w:r w:rsidR="00006107">
        <w:rPr>
          <w:rFonts w:ascii="Cambria" w:hAnsi="Cambria"/>
        </w:rPr>
        <w:t xml:space="preserve"> </w:t>
      </w:r>
      <w:r w:rsidR="00C229F4" w:rsidRPr="00C229F4">
        <w:rPr>
          <w:rFonts w:ascii="Cambria" w:hAnsi="Cambria"/>
        </w:rPr>
        <w:t xml:space="preserve">The antigenicity of some stabilized pre-F constructs has not been rigorously investigated, and it remains an open question as to whether certain stabilizing mutations affect the conformation of antibody binding sites </w:t>
      </w:r>
      <w:r w:rsidR="00BB611A">
        <w:rPr>
          <w:rFonts w:ascii="Cambria" w:hAnsi="Cambria"/>
        </w:rPr>
        <w:t xml:space="preserve">Assays to assess antigen conformation are needed. Likewise there is no consensus on </w:t>
      </w:r>
      <w:r w:rsidR="00006107">
        <w:rPr>
          <w:rFonts w:ascii="Cambria" w:hAnsi="Cambria"/>
        </w:rPr>
        <w:t>cellular receptors that determine viral tropism</w:t>
      </w:r>
      <w:r w:rsidR="00006107">
        <w:rPr>
          <w:rFonts w:ascii="Cambria" w:hAnsi="Cambria"/>
        </w:rPr>
        <w:fldChar w:fldCharType="begin" w:fldLock="1"/>
      </w:r>
      <w:r w:rsidR="00D83E6A">
        <w:rPr>
          <w:rFonts w:ascii="Cambria" w:hAnsi="Cambria"/>
        </w:rPr>
        <w:instrText>ADDIN CSL_CITATION { "citationItems" : [ { "id" : "ITEM-1", "itemData" : { "DOI" : "10.1007/978-3-642-38919-1_4", "PMID" : "24362685", "abstract" : "The two major glycoproteins on the surface of the respiratory syncytial virus (RSV) virion, the attachment glycoprotein (G) and the fusion glycoprotein (F), control the initial phases of infection. G targets the ciliated cells of the airways, and F causes the virion membrane to fuse with the target cell membrane. The F protein is the major target for antiviral drug development, and both G and F glycoproteins are the antigens targeted by neutralizing antibodies induced by infection. In this chapter, we review the structure and function of the RSV surface glycoproteins, including recent X-ray crystallographic data of the F glycoprotein in its pre- and postfusion conformations, and discuss how this information informs antigen selection and vaccine development.", "author" : [ { "dropping-particle" : "", "family" : "McLellan", "given" : "Jason S", "non-dropping-particle" : "", "parse-names" : false, "suffix" : "" }, { "dropping-particle" : "", "family" : "Ray", "given" : "William C", "non-dropping-particle" : "", "parse-names" : false, "suffix" : "" }, { "dropping-particle" : "", "family" : "Peeples", "given" : "Mark E", "non-dropping-particle" : "", "parse-names" : false, "suffix" : "" } ], "container-title" : "Curr Top Microbiol Immunol", "id" : "ITEM-1", "issued" : { "date-parts" : [ [ "2013" ] ] }, "page" : "83-104", "title" : "Structure and function of respiratory syncytial virus surface glycoproteins.", "type" : "article-journal", "volume" : "372" }, "uris" : [ "http://www.mendeley.com/documents/?uuid=fba3d491-7213-31a0-aa16-665257a55892" ] } ], "mendeley" : { "formattedCitation" : "(56)", "plainTextFormattedCitation" : "(56)", "previouslyFormattedCitation" : "(56)" }, "properties" : { "noteIndex" : 0 }, "schema" : "https://github.com/citation-style-language/schema/raw/master/csl-citation.json" }</w:instrText>
      </w:r>
      <w:r w:rsidR="00006107">
        <w:rPr>
          <w:rFonts w:ascii="Cambria" w:hAnsi="Cambria"/>
        </w:rPr>
        <w:fldChar w:fldCharType="separate"/>
      </w:r>
      <w:r w:rsidR="00462954" w:rsidRPr="00462954">
        <w:rPr>
          <w:rFonts w:ascii="Cambria" w:hAnsi="Cambria"/>
          <w:noProof/>
        </w:rPr>
        <w:t>(56)</w:t>
      </w:r>
      <w:r w:rsidR="00006107">
        <w:rPr>
          <w:rFonts w:ascii="Cambria" w:hAnsi="Cambria"/>
        </w:rPr>
        <w:fldChar w:fldCharType="end"/>
      </w:r>
      <w:r w:rsidR="00006107">
        <w:rPr>
          <w:rFonts w:ascii="Cambria" w:hAnsi="Cambria"/>
        </w:rPr>
        <w:t>.</w:t>
      </w:r>
      <w:r w:rsidR="00006107" w:rsidRPr="00B57FF0">
        <w:rPr>
          <w:rFonts w:ascii="Cambria" w:hAnsi="Cambria"/>
        </w:rPr>
        <w:t xml:space="preserve"> </w:t>
      </w:r>
    </w:p>
    <w:p w14:paraId="41E54159" w14:textId="24A1C396" w:rsidR="00006107" w:rsidRPr="00A84473" w:rsidRDefault="009B77B6" w:rsidP="00F32144">
      <w:pPr>
        <w:pStyle w:val="NormalWeb"/>
        <w:spacing w:before="0" w:beforeAutospacing="0" w:after="0" w:afterAutospacing="0"/>
        <w:contextualSpacing/>
        <w:rPr>
          <w:rFonts w:ascii="Cambria" w:hAnsi="Cambria"/>
          <w:sz w:val="24"/>
          <w:szCs w:val="24"/>
        </w:rPr>
      </w:pPr>
      <w:r w:rsidRPr="009B77B6">
        <w:rPr>
          <w:sz w:val="24"/>
          <w:szCs w:val="24"/>
        </w:rPr>
        <w:tab/>
      </w:r>
      <w:r w:rsidR="00E40313" w:rsidRPr="00A84473">
        <w:rPr>
          <w:rFonts w:ascii="Cambria" w:hAnsi="Cambria"/>
          <w:sz w:val="24"/>
          <w:szCs w:val="24"/>
        </w:rPr>
        <w:t xml:space="preserve">Other </w:t>
      </w:r>
      <w:r w:rsidR="001B38A5" w:rsidRPr="00A84473">
        <w:rPr>
          <w:rFonts w:ascii="Cambria" w:hAnsi="Cambria"/>
          <w:sz w:val="24"/>
          <w:szCs w:val="24"/>
        </w:rPr>
        <w:t xml:space="preserve">less frequently utilized </w:t>
      </w:r>
      <w:r w:rsidR="00E40313" w:rsidRPr="00A84473">
        <w:rPr>
          <w:rFonts w:ascii="Cambria" w:hAnsi="Cambria"/>
          <w:sz w:val="24"/>
          <w:szCs w:val="24"/>
        </w:rPr>
        <w:t>vaccine antigens</w:t>
      </w:r>
      <w:r w:rsidR="00637AE0" w:rsidRPr="00A84473">
        <w:rPr>
          <w:rFonts w:ascii="Cambria" w:hAnsi="Cambria"/>
          <w:sz w:val="24"/>
          <w:szCs w:val="24"/>
        </w:rPr>
        <w:t xml:space="preserve">, </w:t>
      </w:r>
      <w:r w:rsidR="00E96B0A" w:rsidRPr="00A84473">
        <w:rPr>
          <w:rFonts w:ascii="Cambria" w:hAnsi="Cambria"/>
          <w:sz w:val="24"/>
          <w:szCs w:val="24"/>
        </w:rPr>
        <w:t xml:space="preserve">used </w:t>
      </w:r>
      <w:r w:rsidR="00637AE0" w:rsidRPr="00A84473">
        <w:rPr>
          <w:rFonts w:ascii="Cambria" w:hAnsi="Cambria"/>
          <w:sz w:val="24"/>
          <w:szCs w:val="24"/>
        </w:rPr>
        <w:t>alone or in combination</w:t>
      </w:r>
      <w:r w:rsidR="001B38A5" w:rsidRPr="00A84473">
        <w:rPr>
          <w:rFonts w:ascii="Cambria" w:hAnsi="Cambria"/>
          <w:sz w:val="24"/>
          <w:szCs w:val="24"/>
        </w:rPr>
        <w:t xml:space="preserve"> </w:t>
      </w:r>
      <w:r w:rsidR="00E6364D">
        <w:rPr>
          <w:rFonts w:ascii="Cambria" w:hAnsi="Cambria"/>
          <w:sz w:val="24"/>
          <w:szCs w:val="24"/>
        </w:rPr>
        <w:t xml:space="preserve">with other antigens </w:t>
      </w:r>
      <w:r w:rsidR="001B38A5" w:rsidRPr="00A84473">
        <w:rPr>
          <w:rFonts w:ascii="Cambria" w:hAnsi="Cambria"/>
          <w:sz w:val="24"/>
          <w:szCs w:val="24"/>
        </w:rPr>
        <w:t>in vaccine candidates</w:t>
      </w:r>
      <w:r w:rsidR="00637AE0" w:rsidRPr="00A84473">
        <w:rPr>
          <w:rFonts w:ascii="Cambria" w:hAnsi="Cambria"/>
          <w:sz w:val="24"/>
          <w:szCs w:val="24"/>
        </w:rPr>
        <w:t xml:space="preserve">, </w:t>
      </w:r>
      <w:r w:rsidR="002B620C" w:rsidRPr="00A84473">
        <w:rPr>
          <w:rFonts w:ascii="Cambria" w:hAnsi="Cambria"/>
          <w:sz w:val="24"/>
          <w:szCs w:val="24"/>
        </w:rPr>
        <w:t>include</w:t>
      </w:r>
      <w:r w:rsidR="00570E67" w:rsidRPr="00A84473">
        <w:rPr>
          <w:rFonts w:ascii="Cambria" w:hAnsi="Cambria"/>
          <w:sz w:val="24"/>
          <w:szCs w:val="24"/>
        </w:rPr>
        <w:t xml:space="preserve"> </w:t>
      </w:r>
      <w:r w:rsidR="00BE02FA" w:rsidRPr="00A84473">
        <w:rPr>
          <w:rFonts w:ascii="Cambria" w:hAnsi="Cambria"/>
          <w:sz w:val="24"/>
          <w:szCs w:val="24"/>
        </w:rPr>
        <w:t>the RSV envelope associated</w:t>
      </w:r>
      <w:r w:rsidR="00570E67" w:rsidRPr="00A84473">
        <w:rPr>
          <w:rFonts w:ascii="Cambria" w:hAnsi="Cambria"/>
          <w:sz w:val="24"/>
          <w:szCs w:val="24"/>
        </w:rPr>
        <w:t xml:space="preserve"> </w:t>
      </w:r>
      <w:r w:rsidR="00BE02FA" w:rsidRPr="00A84473">
        <w:rPr>
          <w:rFonts w:ascii="Cambria" w:hAnsi="Cambria"/>
          <w:sz w:val="24"/>
          <w:szCs w:val="24"/>
        </w:rPr>
        <w:t>glyco</w:t>
      </w:r>
      <w:r w:rsidR="00570E67" w:rsidRPr="00A84473">
        <w:rPr>
          <w:rFonts w:ascii="Cambria" w:hAnsi="Cambria"/>
          <w:sz w:val="24"/>
          <w:szCs w:val="24"/>
        </w:rPr>
        <w:t>proteins</w:t>
      </w:r>
      <w:r w:rsidR="00867EEB" w:rsidRPr="00A84473">
        <w:rPr>
          <w:rFonts w:ascii="Cambria" w:hAnsi="Cambria"/>
          <w:sz w:val="24"/>
          <w:szCs w:val="24"/>
        </w:rPr>
        <w:t xml:space="preserve"> </w:t>
      </w:r>
      <w:r w:rsidR="00E40313" w:rsidRPr="00A84473">
        <w:rPr>
          <w:rFonts w:ascii="Cambria" w:hAnsi="Cambria"/>
          <w:sz w:val="24"/>
          <w:szCs w:val="24"/>
        </w:rPr>
        <w:t>G (1/1</w:t>
      </w:r>
      <w:r w:rsidR="003308EB" w:rsidRPr="00A84473">
        <w:rPr>
          <w:rFonts w:ascii="Cambria" w:hAnsi="Cambria"/>
          <w:sz w:val="24"/>
          <w:szCs w:val="24"/>
        </w:rPr>
        <w:t>8</w:t>
      </w:r>
      <w:r w:rsidR="00E40313" w:rsidRPr="00A84473">
        <w:rPr>
          <w:rFonts w:ascii="Cambria" w:hAnsi="Cambria"/>
          <w:sz w:val="24"/>
          <w:szCs w:val="24"/>
        </w:rPr>
        <w:t>)</w:t>
      </w:r>
      <w:r w:rsidR="00570E67" w:rsidRPr="00A84473">
        <w:rPr>
          <w:rFonts w:ascii="Cambria" w:hAnsi="Cambria"/>
          <w:sz w:val="24"/>
          <w:szCs w:val="24"/>
        </w:rPr>
        <w:t xml:space="preserve"> and </w:t>
      </w:r>
      <w:r w:rsidR="009C1D13" w:rsidRPr="00A84473">
        <w:rPr>
          <w:rFonts w:ascii="Cambria" w:hAnsi="Cambria"/>
          <w:sz w:val="24"/>
          <w:szCs w:val="24"/>
        </w:rPr>
        <w:t>small hydrophobic protein (</w:t>
      </w:r>
      <w:r w:rsidR="00570E67" w:rsidRPr="00A84473">
        <w:rPr>
          <w:rFonts w:ascii="Cambria" w:hAnsi="Cambria"/>
          <w:sz w:val="24"/>
          <w:szCs w:val="24"/>
        </w:rPr>
        <w:t>SH</w:t>
      </w:r>
      <w:r w:rsidR="009C1D13" w:rsidRPr="00A84473">
        <w:rPr>
          <w:rFonts w:ascii="Cambria" w:hAnsi="Cambria"/>
          <w:sz w:val="24"/>
          <w:szCs w:val="24"/>
        </w:rPr>
        <w:t>)</w:t>
      </w:r>
      <w:r w:rsidR="00570E67" w:rsidRPr="00A84473">
        <w:rPr>
          <w:rFonts w:ascii="Cambria" w:hAnsi="Cambria"/>
          <w:sz w:val="24"/>
          <w:szCs w:val="24"/>
        </w:rPr>
        <w:t xml:space="preserve"> (1/1</w:t>
      </w:r>
      <w:r w:rsidR="00403859" w:rsidRPr="00A84473">
        <w:rPr>
          <w:rFonts w:ascii="Cambria" w:hAnsi="Cambria"/>
          <w:sz w:val="24"/>
          <w:szCs w:val="24"/>
        </w:rPr>
        <w:t>8</w:t>
      </w:r>
      <w:r w:rsidR="00570E67" w:rsidRPr="00A84473">
        <w:rPr>
          <w:rFonts w:ascii="Cambria" w:hAnsi="Cambria"/>
          <w:sz w:val="24"/>
          <w:szCs w:val="24"/>
        </w:rPr>
        <w:t xml:space="preserve">) as well as </w:t>
      </w:r>
      <w:r w:rsidR="00BE02FA" w:rsidRPr="00A84473">
        <w:rPr>
          <w:rFonts w:ascii="Cambria" w:hAnsi="Cambria"/>
          <w:sz w:val="24"/>
          <w:szCs w:val="24"/>
        </w:rPr>
        <w:t xml:space="preserve">internal </w:t>
      </w:r>
      <w:r w:rsidR="00570E67" w:rsidRPr="00A84473">
        <w:rPr>
          <w:rFonts w:ascii="Cambria" w:hAnsi="Cambria"/>
          <w:sz w:val="24"/>
          <w:szCs w:val="24"/>
        </w:rPr>
        <w:t>proteins</w:t>
      </w:r>
      <w:r w:rsidR="00D924FF" w:rsidRPr="00A84473">
        <w:rPr>
          <w:rFonts w:ascii="Cambria" w:hAnsi="Cambria"/>
          <w:sz w:val="24"/>
          <w:szCs w:val="24"/>
        </w:rPr>
        <w:t>:</w:t>
      </w:r>
      <w:r w:rsidR="00024B7F" w:rsidRPr="00A84473">
        <w:rPr>
          <w:rFonts w:ascii="Cambria" w:hAnsi="Cambria"/>
          <w:sz w:val="24"/>
          <w:szCs w:val="24"/>
        </w:rPr>
        <w:t xml:space="preserve"> nucleocapsid</w:t>
      </w:r>
      <w:r w:rsidR="00570E67" w:rsidRPr="00A84473">
        <w:rPr>
          <w:rFonts w:ascii="Cambria" w:hAnsi="Cambria"/>
          <w:sz w:val="24"/>
          <w:szCs w:val="24"/>
        </w:rPr>
        <w:t xml:space="preserve"> </w:t>
      </w:r>
      <w:r w:rsidR="00024B7F" w:rsidRPr="00A84473">
        <w:rPr>
          <w:rFonts w:ascii="Cambria" w:hAnsi="Cambria"/>
          <w:sz w:val="24"/>
          <w:szCs w:val="24"/>
        </w:rPr>
        <w:t>(</w:t>
      </w:r>
      <w:r w:rsidR="00E40313" w:rsidRPr="00A84473">
        <w:rPr>
          <w:rFonts w:ascii="Cambria" w:hAnsi="Cambria"/>
          <w:sz w:val="24"/>
          <w:szCs w:val="24"/>
        </w:rPr>
        <w:t>N</w:t>
      </w:r>
      <w:r w:rsidR="00024B7F" w:rsidRPr="00A84473">
        <w:rPr>
          <w:rFonts w:ascii="Cambria" w:hAnsi="Cambria"/>
          <w:sz w:val="24"/>
          <w:szCs w:val="24"/>
        </w:rPr>
        <w:t>)</w:t>
      </w:r>
      <w:r w:rsidR="00E40313" w:rsidRPr="00A84473">
        <w:rPr>
          <w:rFonts w:ascii="Cambria" w:hAnsi="Cambria"/>
          <w:sz w:val="24"/>
          <w:szCs w:val="24"/>
        </w:rPr>
        <w:t xml:space="preserve"> (3/1</w:t>
      </w:r>
      <w:r w:rsidR="00403859" w:rsidRPr="00A84473">
        <w:rPr>
          <w:rFonts w:ascii="Cambria" w:hAnsi="Cambria"/>
          <w:sz w:val="24"/>
          <w:szCs w:val="24"/>
        </w:rPr>
        <w:t>8</w:t>
      </w:r>
      <w:r w:rsidR="00E40313" w:rsidRPr="00A84473">
        <w:rPr>
          <w:rFonts w:ascii="Cambria" w:hAnsi="Cambria"/>
          <w:sz w:val="24"/>
          <w:szCs w:val="24"/>
        </w:rPr>
        <w:t>)</w:t>
      </w:r>
      <w:r w:rsidR="00373A16" w:rsidRPr="00A84473">
        <w:rPr>
          <w:rFonts w:ascii="Cambria" w:hAnsi="Cambria"/>
          <w:sz w:val="24"/>
          <w:szCs w:val="24"/>
        </w:rPr>
        <w:t>,</w:t>
      </w:r>
      <w:r w:rsidR="00570E67" w:rsidRPr="00A84473">
        <w:rPr>
          <w:rFonts w:ascii="Cambria" w:hAnsi="Cambria"/>
          <w:sz w:val="24"/>
          <w:szCs w:val="24"/>
        </w:rPr>
        <w:t xml:space="preserve"> </w:t>
      </w:r>
      <w:r w:rsidR="00E40313" w:rsidRPr="00A84473">
        <w:rPr>
          <w:rFonts w:ascii="Cambria" w:hAnsi="Cambria"/>
          <w:sz w:val="24"/>
          <w:szCs w:val="24"/>
        </w:rPr>
        <w:t>M</w:t>
      </w:r>
      <w:r w:rsidR="00005849" w:rsidRPr="00A84473">
        <w:rPr>
          <w:rFonts w:ascii="Cambria" w:hAnsi="Cambria"/>
          <w:sz w:val="24"/>
          <w:szCs w:val="24"/>
        </w:rPr>
        <w:t xml:space="preserve"> (</w:t>
      </w:r>
      <w:r w:rsidR="00373A16" w:rsidRPr="00A84473">
        <w:rPr>
          <w:rFonts w:ascii="Cambria" w:hAnsi="Cambria"/>
          <w:sz w:val="24"/>
          <w:szCs w:val="24"/>
        </w:rPr>
        <w:t>1</w:t>
      </w:r>
      <w:r w:rsidR="00005849" w:rsidRPr="00A84473">
        <w:rPr>
          <w:rFonts w:ascii="Cambria" w:hAnsi="Cambria"/>
          <w:sz w:val="24"/>
          <w:szCs w:val="24"/>
        </w:rPr>
        <w:t>/1</w:t>
      </w:r>
      <w:r w:rsidR="00403859" w:rsidRPr="00A84473">
        <w:rPr>
          <w:rFonts w:ascii="Cambria" w:hAnsi="Cambria"/>
          <w:sz w:val="24"/>
          <w:szCs w:val="24"/>
        </w:rPr>
        <w:t>8</w:t>
      </w:r>
      <w:r w:rsidR="00373A16" w:rsidRPr="00A84473">
        <w:rPr>
          <w:rFonts w:ascii="Cambria" w:hAnsi="Cambria"/>
          <w:sz w:val="24"/>
          <w:szCs w:val="24"/>
        </w:rPr>
        <w:t>), and M2-1 (1/1</w:t>
      </w:r>
      <w:r w:rsidR="00403859" w:rsidRPr="00A84473">
        <w:rPr>
          <w:rFonts w:ascii="Cambria" w:hAnsi="Cambria"/>
          <w:sz w:val="24"/>
          <w:szCs w:val="24"/>
        </w:rPr>
        <w:t>8</w:t>
      </w:r>
      <w:r w:rsidR="00373A16" w:rsidRPr="00A84473">
        <w:rPr>
          <w:rFonts w:ascii="Cambria" w:hAnsi="Cambria"/>
          <w:sz w:val="24"/>
          <w:szCs w:val="24"/>
        </w:rPr>
        <w:t>)</w:t>
      </w:r>
      <w:r w:rsidR="00E40313" w:rsidRPr="00A84473">
        <w:rPr>
          <w:rFonts w:ascii="Cambria" w:hAnsi="Cambria"/>
          <w:sz w:val="24"/>
          <w:szCs w:val="24"/>
        </w:rPr>
        <w:t>.</w:t>
      </w:r>
      <w:r w:rsidR="00340C41" w:rsidRPr="00A84473">
        <w:rPr>
          <w:rFonts w:ascii="Cambria" w:hAnsi="Cambria"/>
          <w:sz w:val="24"/>
          <w:szCs w:val="24"/>
        </w:rPr>
        <w:t xml:space="preserve"> </w:t>
      </w:r>
      <w:r w:rsidR="001E6EE5" w:rsidRPr="00A84473">
        <w:rPr>
          <w:rFonts w:ascii="Cambria" w:hAnsi="Cambria"/>
          <w:sz w:val="24"/>
          <w:szCs w:val="24"/>
        </w:rPr>
        <w:t xml:space="preserve">Other than </w:t>
      </w:r>
      <w:r w:rsidR="005A19D4" w:rsidRPr="00A84473">
        <w:rPr>
          <w:rFonts w:ascii="Cambria" w:hAnsi="Cambria"/>
          <w:sz w:val="24"/>
          <w:szCs w:val="24"/>
        </w:rPr>
        <w:t>the F protein, the G protein is the other target</w:t>
      </w:r>
      <w:r w:rsidR="003A31DD" w:rsidRPr="00A84473">
        <w:rPr>
          <w:rFonts w:ascii="Cambria" w:hAnsi="Cambria"/>
          <w:sz w:val="24"/>
          <w:szCs w:val="24"/>
        </w:rPr>
        <w:t xml:space="preserve"> for neutralizing antibodies</w:t>
      </w:r>
      <w:r w:rsidR="005A19D4" w:rsidRPr="00A84473">
        <w:rPr>
          <w:rFonts w:ascii="Cambria" w:hAnsi="Cambria"/>
          <w:sz w:val="24"/>
          <w:szCs w:val="24"/>
        </w:rPr>
        <w:t xml:space="preserve"> on the viral surface.</w:t>
      </w:r>
      <w:r w:rsidR="00DC066F" w:rsidRPr="00A84473">
        <w:rPr>
          <w:rFonts w:ascii="Cambria" w:hAnsi="Cambria"/>
          <w:sz w:val="24"/>
          <w:szCs w:val="24"/>
        </w:rPr>
        <w:t xml:space="preserve"> </w:t>
      </w:r>
      <w:r w:rsidR="00340C41" w:rsidRPr="00A84473">
        <w:rPr>
          <w:rFonts w:ascii="Cambria" w:hAnsi="Cambria"/>
          <w:sz w:val="24"/>
          <w:szCs w:val="24"/>
        </w:rPr>
        <w:t xml:space="preserve">The G </w:t>
      </w:r>
      <w:r w:rsidR="002B620C" w:rsidRPr="00A84473">
        <w:rPr>
          <w:rFonts w:ascii="Cambria" w:hAnsi="Cambria"/>
          <w:sz w:val="24"/>
          <w:szCs w:val="24"/>
        </w:rPr>
        <w:t>protein</w:t>
      </w:r>
      <w:r w:rsidR="00340C41" w:rsidRPr="00A84473">
        <w:rPr>
          <w:rFonts w:ascii="Cambria" w:hAnsi="Cambria"/>
          <w:sz w:val="24"/>
          <w:szCs w:val="24"/>
        </w:rPr>
        <w:t xml:space="preserve"> </w:t>
      </w:r>
      <w:r w:rsidRPr="00A84473">
        <w:rPr>
          <w:rFonts w:ascii="Cambria" w:hAnsi="Cambria"/>
          <w:sz w:val="24"/>
          <w:szCs w:val="24"/>
        </w:rPr>
        <w:t xml:space="preserve">is most important </w:t>
      </w:r>
      <w:r w:rsidR="001E1329" w:rsidRPr="00A84473">
        <w:rPr>
          <w:rFonts w:ascii="Cambria" w:hAnsi="Cambria"/>
          <w:sz w:val="24"/>
          <w:szCs w:val="24"/>
        </w:rPr>
        <w:t>for</w:t>
      </w:r>
      <w:r w:rsidRPr="00A84473">
        <w:rPr>
          <w:rFonts w:ascii="Cambria" w:hAnsi="Cambria"/>
          <w:sz w:val="24"/>
          <w:szCs w:val="24"/>
        </w:rPr>
        <w:t xml:space="preserve"> viral attachment of RSV</w:t>
      </w:r>
      <w:r w:rsidR="001E1329" w:rsidRPr="00A84473">
        <w:rPr>
          <w:rFonts w:ascii="Cambria" w:hAnsi="Cambria"/>
          <w:sz w:val="24"/>
          <w:szCs w:val="24"/>
        </w:rPr>
        <w:t xml:space="preserve"> and</w:t>
      </w:r>
      <w:r w:rsidR="00854CC8" w:rsidRPr="00A84473">
        <w:rPr>
          <w:rFonts w:ascii="Cambria" w:hAnsi="Cambria"/>
          <w:sz w:val="24"/>
          <w:szCs w:val="24"/>
        </w:rPr>
        <w:t xml:space="preserve"> is less frequently u</w:t>
      </w:r>
      <w:r w:rsidR="009C1D13" w:rsidRPr="00A84473">
        <w:rPr>
          <w:rFonts w:ascii="Cambria" w:hAnsi="Cambria"/>
          <w:sz w:val="24"/>
          <w:szCs w:val="24"/>
        </w:rPr>
        <w:t>tilized</w:t>
      </w:r>
      <w:r w:rsidR="00854CC8" w:rsidRPr="00A84473">
        <w:rPr>
          <w:rFonts w:ascii="Cambria" w:hAnsi="Cambria"/>
          <w:sz w:val="24"/>
          <w:szCs w:val="24"/>
        </w:rPr>
        <w:t xml:space="preserve"> </w:t>
      </w:r>
      <w:r w:rsidR="001E1329" w:rsidRPr="00A84473">
        <w:rPr>
          <w:rFonts w:ascii="Cambria" w:hAnsi="Cambria"/>
          <w:sz w:val="24"/>
          <w:szCs w:val="24"/>
        </w:rPr>
        <w:t xml:space="preserve">as a </w:t>
      </w:r>
      <w:r w:rsidR="00854CC8" w:rsidRPr="00A84473">
        <w:rPr>
          <w:rFonts w:ascii="Cambria" w:hAnsi="Cambria"/>
          <w:sz w:val="24"/>
          <w:szCs w:val="24"/>
        </w:rPr>
        <w:t>v</w:t>
      </w:r>
      <w:r w:rsidR="001E1329" w:rsidRPr="00A84473">
        <w:rPr>
          <w:rFonts w:ascii="Cambria" w:hAnsi="Cambria"/>
          <w:sz w:val="24"/>
          <w:szCs w:val="24"/>
        </w:rPr>
        <w:t>accine</w:t>
      </w:r>
      <w:r w:rsidR="00854CC8" w:rsidRPr="00A84473">
        <w:rPr>
          <w:rFonts w:ascii="Cambria" w:hAnsi="Cambria"/>
          <w:sz w:val="24"/>
          <w:szCs w:val="24"/>
        </w:rPr>
        <w:t xml:space="preserve"> antigen due to </w:t>
      </w:r>
      <w:r w:rsidR="00E96B0A" w:rsidRPr="00A84473">
        <w:rPr>
          <w:rFonts w:ascii="Cambria" w:hAnsi="Cambria"/>
          <w:sz w:val="24"/>
          <w:szCs w:val="24"/>
        </w:rPr>
        <w:t xml:space="preserve">high </w:t>
      </w:r>
      <w:r w:rsidR="00854CC8" w:rsidRPr="00A84473">
        <w:rPr>
          <w:rFonts w:ascii="Cambria" w:hAnsi="Cambria"/>
          <w:sz w:val="24"/>
          <w:szCs w:val="24"/>
        </w:rPr>
        <w:t>variability</w:t>
      </w:r>
      <w:r w:rsidR="001E1329" w:rsidRPr="00A84473">
        <w:rPr>
          <w:rFonts w:ascii="Cambria" w:hAnsi="Cambria"/>
          <w:sz w:val="24"/>
          <w:szCs w:val="24"/>
        </w:rPr>
        <w:t xml:space="preserve"> across RSV strains</w:t>
      </w:r>
      <w:r w:rsidR="00E96B0A" w:rsidRPr="00A84473">
        <w:rPr>
          <w:rFonts w:ascii="Cambria" w:hAnsi="Cambria"/>
          <w:sz w:val="24"/>
          <w:szCs w:val="24"/>
        </w:rPr>
        <w:fldChar w:fldCharType="begin" w:fldLock="1"/>
      </w:r>
      <w:r w:rsidR="00D83E6A">
        <w:rPr>
          <w:rFonts w:ascii="Cambria" w:hAnsi="Cambria"/>
          <w:sz w:val="24"/>
          <w:szCs w:val="24"/>
        </w:rPr>
        <w:instrText>ADDIN CSL_CITATION { "citationItems" : [ { "id" : "ITEM-1", "itemData" : { "DOI" : "10.1099/0022-1317-68-9-2521", "ISSN" : "0022-1317", "PMID" : "3655746", "abstract" : "Two monospecific rabbit antisera to the G glycoprotein, one induced with purified G and the second with a recombinant vaccinia virus containing the gene for G, inhibit the attachment of purified [35S]methionine-labelled Long strain of respiratory syncytial virus to monolayers of HeLa cells. Attachment was not inhibited by monospecific rabbit antisera to glycoprotein F induced with either purified F or with a recombinant vaccinia virus containing the gene for F.", "author" : [ { "dropping-particle" : "", "family" : "Levine", "given" : "S.", "non-dropping-particle" : "", "parse-names" : false, "suffix" : "" }, { "dropping-particle" : "", "family" : "Klaiber-Franco", "given" : "R.", "non-dropping-particle" : "", "parse-names" : false, "suffix" : "" }, { "dropping-particle" : "", "family" : "Paradiso", "given" : "P. R.", "non-dropping-particle" : "", "parse-names" : false, "suffix" : "" } ], "container-title" : "Journal of General Virology", "id" : "ITEM-1", "issue" : "9", "issued" : { "date-parts" : [ [ "1987", "9", "1" ] ] }, "page" : "2521-2524", "title" : "Demonstration that Glycoprotein G Is the Attachment Protein of Respiratory Syncytial Virus", "type" : "article-journal", "volume" : "68" }, "uris" : [ "http://www.mendeley.com/documents/?uuid=34b7f34a-8471-31fc-9769-87a2e793944a" ] } ], "mendeley" : { "formattedCitation" : "(57)", "plainTextFormattedCitation" : "(57)", "previouslyFormattedCitation" : "(57)" }, "properties" : { "noteIndex" : 0 }, "schema" : "https://github.com/citation-style-language/schema/raw/master/csl-citation.json" }</w:instrText>
      </w:r>
      <w:r w:rsidR="00E96B0A" w:rsidRPr="00A84473">
        <w:rPr>
          <w:rFonts w:ascii="Cambria" w:hAnsi="Cambria"/>
          <w:sz w:val="24"/>
          <w:szCs w:val="24"/>
        </w:rPr>
        <w:fldChar w:fldCharType="separate"/>
      </w:r>
      <w:r w:rsidR="00462954" w:rsidRPr="00462954">
        <w:rPr>
          <w:rFonts w:ascii="Cambria" w:hAnsi="Cambria"/>
          <w:noProof/>
          <w:sz w:val="24"/>
          <w:szCs w:val="24"/>
        </w:rPr>
        <w:t>(57)</w:t>
      </w:r>
      <w:r w:rsidR="00E96B0A" w:rsidRPr="00A84473">
        <w:rPr>
          <w:rFonts w:ascii="Cambria" w:hAnsi="Cambria"/>
          <w:sz w:val="24"/>
          <w:szCs w:val="24"/>
        </w:rPr>
        <w:fldChar w:fldCharType="end"/>
      </w:r>
      <w:r w:rsidR="002D1BCE" w:rsidRPr="00A84473">
        <w:rPr>
          <w:rFonts w:ascii="Cambria" w:hAnsi="Cambria"/>
          <w:sz w:val="24"/>
          <w:szCs w:val="24"/>
        </w:rPr>
        <w:t>,</w:t>
      </w:r>
      <w:r w:rsidR="00854CC8" w:rsidRPr="00A84473">
        <w:rPr>
          <w:rFonts w:ascii="Cambria" w:hAnsi="Cambria"/>
          <w:sz w:val="24"/>
          <w:szCs w:val="24"/>
        </w:rPr>
        <w:t xml:space="preserve"> and limited knowledge of its surface structure</w:t>
      </w:r>
      <w:r w:rsidR="00854CC8" w:rsidRPr="00A84473">
        <w:rPr>
          <w:rFonts w:ascii="Cambria" w:hAnsi="Cambria"/>
          <w:sz w:val="24"/>
          <w:szCs w:val="24"/>
        </w:rPr>
        <w:fldChar w:fldCharType="begin" w:fldLock="1"/>
      </w:r>
      <w:r w:rsidR="00D83E6A">
        <w:rPr>
          <w:rFonts w:ascii="Cambria" w:hAnsi="Cambria"/>
          <w:sz w:val="24"/>
          <w:szCs w:val="24"/>
        </w:rPr>
        <w:instrText>ADDIN CSL_CITATION { "citationItems" : [ { "id" : "ITEM-1", "itemData" : { "DOI" : "10.1016/j.coi.2015.04.005", "ISSN" : "1879-0372", "PMID" : "26070108", "abstract" : "Respiratory syncytial virus (RSV) remains a leading global cause of infant mortality and adult morbidity. Infection, which recurs throughout life, elicits only short-lived immunity. The development of a safe and efficacious vaccine has, thus far, been elusive. Recent technological advances, however, have yielded promising RSV vaccine candidates that are based on solving atomic-level structures of surface glycoproteins interacting with neutralizing antibodies. The class I fusion glycoprotein, F, serves as the primary antigenic component of most vaccines, and is the target of the only licensed monoclonal antibody product used to reduce the frequency of severe disease in high-risk neonates. However, success of prior F-based vaccines has been limited by the lack of understanding how the conformational rearrangement between a metastable prefusion F (pre-F) and a stable postfusion F (post-F) affected the epitope content. Neutralizing epitopes reside on both conformations, but those specific to pre-F are far more potent than those previously identified and present on post-F. The solution of the pre-F structure and its subsequent characterization and stabilization illustrates the value of a structure-based approach to vaccine development, and provides hope that a safe and effective RSV vaccine is possible.", "author" : [ { "dropping-particle" : "", "family" : "Graham", "given" : "Barney S", "non-dropping-particle" : "", "parse-names" : false, "suffix" : "" }, { "dropping-particle" : "", "family" : "Modjarrad", "given" : "Kayvon", "non-dropping-particle" : "", "parse-names" : false, "suffix" : "" }, { "dropping-particle" : "", "family" : "McLellan", "given" : "Jason S", "non-dropping-particle" : "", "parse-names" : false, "suffix" : "" } ], "container-title" : "Current opinion in immunology", "id" : "ITEM-1", "issued" : { "date-parts" : [ [ "2015", "8" ] ] }, "page" : "30-8", "title" : "Novel antigens for RSV vaccines.", "type" : "article-journal", "volume" : "35" }, "uris" : [ "http://www.mendeley.com/documents/?uuid=39739666-53b0-3e97-b22f-8c9fac6dcb65" ] } ], "mendeley" : { "formattedCitation" : "(58)", "plainTextFormattedCitation" : "(58)", "previouslyFormattedCitation" : "(58)" }, "properties" : { "noteIndex" : 0 }, "schema" : "https://github.com/citation-style-language/schema/raw/master/csl-citation.json" }</w:instrText>
      </w:r>
      <w:r w:rsidR="00854CC8" w:rsidRPr="00A84473">
        <w:rPr>
          <w:rFonts w:ascii="Cambria" w:hAnsi="Cambria"/>
          <w:sz w:val="24"/>
          <w:szCs w:val="24"/>
        </w:rPr>
        <w:fldChar w:fldCharType="separate"/>
      </w:r>
      <w:r w:rsidR="00462954" w:rsidRPr="00462954">
        <w:rPr>
          <w:rFonts w:ascii="Cambria" w:hAnsi="Cambria"/>
          <w:noProof/>
          <w:sz w:val="24"/>
          <w:szCs w:val="24"/>
        </w:rPr>
        <w:t>(58)</w:t>
      </w:r>
      <w:r w:rsidR="00854CC8" w:rsidRPr="00A84473">
        <w:rPr>
          <w:rFonts w:ascii="Cambria" w:hAnsi="Cambria"/>
          <w:sz w:val="24"/>
          <w:szCs w:val="24"/>
        </w:rPr>
        <w:fldChar w:fldCharType="end"/>
      </w:r>
      <w:r w:rsidR="00F32144" w:rsidRPr="00A84473">
        <w:rPr>
          <w:rFonts w:ascii="Cambria" w:hAnsi="Cambria"/>
          <w:sz w:val="24"/>
          <w:szCs w:val="24"/>
        </w:rPr>
        <w:t xml:space="preserve">. </w:t>
      </w:r>
      <w:r w:rsidR="002D1BCE" w:rsidRPr="00A84473">
        <w:rPr>
          <w:rFonts w:ascii="Cambria" w:hAnsi="Cambria"/>
          <w:sz w:val="24"/>
          <w:szCs w:val="24"/>
        </w:rPr>
        <w:t xml:space="preserve">The </w:t>
      </w:r>
      <w:r w:rsidR="005A19D4" w:rsidRPr="00A84473">
        <w:rPr>
          <w:rFonts w:ascii="Cambria" w:hAnsi="Cambria"/>
          <w:sz w:val="24"/>
          <w:szCs w:val="24"/>
        </w:rPr>
        <w:t>G protein</w:t>
      </w:r>
      <w:r w:rsidR="00955277" w:rsidRPr="00A84473">
        <w:rPr>
          <w:rFonts w:ascii="Cambria" w:hAnsi="Cambria"/>
          <w:sz w:val="24"/>
          <w:szCs w:val="24"/>
        </w:rPr>
        <w:t xml:space="preserve"> exists as an oligomer on the surface of RSV</w:t>
      </w:r>
      <w:r w:rsidR="000662EE" w:rsidRPr="00A84473">
        <w:rPr>
          <w:rFonts w:ascii="Cambria" w:hAnsi="Cambria"/>
          <w:sz w:val="24"/>
          <w:szCs w:val="24"/>
        </w:rPr>
        <w:t xml:space="preserve"> particles</w:t>
      </w:r>
      <w:r w:rsidR="00955277" w:rsidRPr="00A84473">
        <w:rPr>
          <w:rFonts w:ascii="Cambria" w:hAnsi="Cambria"/>
          <w:sz w:val="24"/>
          <w:szCs w:val="24"/>
        </w:rPr>
        <w:t xml:space="preserve"> and a</w:t>
      </w:r>
      <w:r w:rsidR="000662EE" w:rsidRPr="00A84473">
        <w:rPr>
          <w:rFonts w:ascii="Cambria" w:hAnsi="Cambria"/>
          <w:sz w:val="24"/>
          <w:szCs w:val="24"/>
        </w:rPr>
        <w:t>s a</w:t>
      </w:r>
      <w:r w:rsidR="00955277" w:rsidRPr="00A84473">
        <w:rPr>
          <w:rFonts w:ascii="Cambria" w:hAnsi="Cambria"/>
          <w:sz w:val="24"/>
          <w:szCs w:val="24"/>
        </w:rPr>
        <w:t xml:space="preserve"> monomer when </w:t>
      </w:r>
      <w:r w:rsidR="000662EE" w:rsidRPr="00A84473">
        <w:rPr>
          <w:rFonts w:ascii="Cambria" w:hAnsi="Cambria"/>
          <w:sz w:val="24"/>
          <w:szCs w:val="24"/>
        </w:rPr>
        <w:t>secreted from infected cells as a soluble form</w:t>
      </w:r>
      <w:r w:rsidR="00955277" w:rsidRPr="00A84473">
        <w:rPr>
          <w:rFonts w:ascii="Cambria" w:hAnsi="Cambria"/>
          <w:sz w:val="24"/>
          <w:szCs w:val="24"/>
        </w:rPr>
        <w:fldChar w:fldCharType="begin" w:fldLock="1"/>
      </w:r>
      <w:r w:rsidR="00D83E6A">
        <w:rPr>
          <w:rFonts w:ascii="Cambria" w:hAnsi="Cambria"/>
          <w:sz w:val="24"/>
          <w:szCs w:val="24"/>
        </w:rPr>
        <w:instrText>ADDIN CSL_CITATION { "citationItems" : [ { "id" : "ITEM-1", "itemData" : { "DOI" : "10.1128/JVI.78.7.3524\u20133532.2004", "abstract" : "The soluble (Gs) and membrane-bound (Gm) forms of human respiratory syncytial virus (HRSV) attach-ment protein were purified by immunoaffinity chromatography from cultures of HEp-2 cells infected with vaccinia virus recombinants expressing either protein. Sucrose gradient centrifugation indicated that Gs, which is secreted into the culture medium, remains monomeric, whereas Gm is an oligomer, probably a homotetramer. Nevertheless, Gs was capable of binding to the surface of cells in vitro, as assessed by a flow cytometry-based binding assay. The attachment of Gs to cells was inhibited by previous heparinase treatment of living cells, and Gs did not bind to CHO cell mutants defective in proteoglycan biosynthesis. Thus, Gs, as previously reported for the G protein of intact virions, binds to glycosaminoglycans presented at the cell surface as proteoglycans. Deletion of a previously reported heparin binding domain from Gs protein substan-tially inhibited its ability to bind to cells, but the remaining level of binding was still sensitive to heparinase treatment, suggesting that other regions of the Gs molecule may contribute to attachment to proteoglycans. The significance of these results for HRSV infection is discussed.", "author" : [ { "dropping-particle" : "", "family" : "Escribano-Romero", "given" : "Estela", "non-dropping-particle" : "", "parse-names" : false, "suffix" : "" }, { "dropping-particle" : "", "family" : "Rawling", "given" : "Joanna", "non-dropping-particle" : "", "parse-names" : false, "suffix" : "" }, { "dropping-particle" : "", "family" : "Garc\u00eda-Barreno", "given" : "Blanca", "non-dropping-particle" : "", "parse-names" : false, "suffix" : "" }, { "dropping-particle" : "", "family" : "Melero", "given" : "Jos\u00e9 A", "non-dropping-particle" : "", "parse-names" : false, "suffix" : "" } ], "container-title" : "JOURNAL OF VIROLOGY", "id" : "ITEM-1", "issue" : "7", "issued" : { "date-parts" : [ [ "2004" ] ] }, "page" : "3524-3532", "title" : "The Soluble Form of Human Respiratory Syncytial Virus Attachment Protein Differs from the Membrane-Bound Form in Its Oligomeric State but Is Still Capable of Binding to Cell Surface Proteoglycans", "type" : "article-journal", "volume" : "78" }, "uris" : [ "http://www.mendeley.com/documents/?uuid=a12dbdb8-95ac-3cae-9176-ed74f9ab0f99" ] } ], "mendeley" : { "formattedCitation" : "(59)", "plainTextFormattedCitation" : "(59)", "previouslyFormattedCitation" : "(59)" }, "properties" : { "noteIndex" : 0 }, "schema" : "https://github.com/citation-style-language/schema/raw/master/csl-citation.json" }</w:instrText>
      </w:r>
      <w:r w:rsidR="00955277" w:rsidRPr="00A84473">
        <w:rPr>
          <w:rFonts w:ascii="Cambria" w:hAnsi="Cambria"/>
          <w:sz w:val="24"/>
          <w:szCs w:val="24"/>
        </w:rPr>
        <w:fldChar w:fldCharType="separate"/>
      </w:r>
      <w:r w:rsidR="00462954" w:rsidRPr="00462954">
        <w:rPr>
          <w:rFonts w:ascii="Cambria" w:hAnsi="Cambria"/>
          <w:noProof/>
          <w:sz w:val="24"/>
          <w:szCs w:val="24"/>
        </w:rPr>
        <w:t>(59)</w:t>
      </w:r>
      <w:r w:rsidR="00955277" w:rsidRPr="00A84473">
        <w:rPr>
          <w:rFonts w:ascii="Cambria" w:hAnsi="Cambria"/>
          <w:sz w:val="24"/>
          <w:szCs w:val="24"/>
        </w:rPr>
        <w:fldChar w:fldCharType="end"/>
      </w:r>
      <w:r w:rsidR="00955277" w:rsidRPr="00A84473">
        <w:rPr>
          <w:rFonts w:ascii="Cambria" w:hAnsi="Cambria"/>
          <w:sz w:val="24"/>
          <w:szCs w:val="24"/>
        </w:rPr>
        <w:t xml:space="preserve">. </w:t>
      </w:r>
      <w:r w:rsidR="00ED6E22" w:rsidRPr="00A84473">
        <w:rPr>
          <w:rFonts w:ascii="Cambria" w:hAnsi="Cambria"/>
          <w:sz w:val="24"/>
          <w:szCs w:val="24"/>
        </w:rPr>
        <w:t>There is evidence that the</w:t>
      </w:r>
      <w:r w:rsidR="00BE02FA" w:rsidRPr="00A84473">
        <w:rPr>
          <w:rFonts w:ascii="Cambria" w:hAnsi="Cambria"/>
          <w:sz w:val="24"/>
          <w:szCs w:val="24"/>
        </w:rPr>
        <w:t xml:space="preserve"> soluble form of</w:t>
      </w:r>
      <w:r w:rsidR="00ED6E22" w:rsidRPr="00A84473">
        <w:rPr>
          <w:rFonts w:ascii="Cambria" w:hAnsi="Cambria"/>
          <w:sz w:val="24"/>
          <w:szCs w:val="24"/>
        </w:rPr>
        <w:t xml:space="preserve"> G protein</w:t>
      </w:r>
      <w:r w:rsidR="00C325AC" w:rsidRPr="00A84473">
        <w:rPr>
          <w:rFonts w:ascii="Cambria" w:hAnsi="Cambria"/>
          <w:sz w:val="24"/>
          <w:szCs w:val="24"/>
        </w:rPr>
        <w:t xml:space="preserve"> </w:t>
      </w:r>
      <w:r w:rsidR="00ED6E22" w:rsidRPr="00A84473">
        <w:rPr>
          <w:rFonts w:ascii="Cambria" w:hAnsi="Cambria"/>
          <w:sz w:val="24"/>
          <w:szCs w:val="24"/>
        </w:rPr>
        <w:t xml:space="preserve">can act as a decoy </w:t>
      </w:r>
      <w:r w:rsidR="00C325AC" w:rsidRPr="00A84473">
        <w:rPr>
          <w:rFonts w:ascii="Cambria" w:hAnsi="Cambria"/>
          <w:sz w:val="24"/>
          <w:szCs w:val="24"/>
        </w:rPr>
        <w:t>that helps the virus evade the antibody response</w:t>
      </w:r>
      <w:r w:rsidR="00C325AC" w:rsidRPr="00A84473">
        <w:rPr>
          <w:rFonts w:ascii="Cambria" w:hAnsi="Cambria"/>
          <w:sz w:val="24"/>
          <w:szCs w:val="24"/>
        </w:rPr>
        <w:fldChar w:fldCharType="begin" w:fldLock="1"/>
      </w:r>
      <w:r w:rsidR="00D83E6A">
        <w:rPr>
          <w:rFonts w:ascii="Cambria" w:hAnsi="Cambria"/>
          <w:sz w:val="24"/>
          <w:szCs w:val="24"/>
        </w:rPr>
        <w:instrText>ADDIN CSL_CITATION { "citationItems" : [ { "id" : "ITEM-1", "itemData" : { "DOI" : "10.1128/JVI.01604-08", "ISSN" : "1098-5514", "PMID" : "18842713", "abstract" : "Respiratory syncytial virus (RSV) readily infects and reinfects during infancy and throughout life, despite maternal antibodies and immunity from prior infection and without the need for significant antigenic change. RSV has two neutralization antigens, the F and G virion glycoproteins. G is expressed in both membrane-bound (mG) and secreted (sG) forms. We investigated whether sG might act as a decoy for neutralizing antibodies by comparing the in vitro neutralization of wild-type (wt) RSV versus recombinant mG RSV expressing only mG. wt RSV indeed was less susceptible than mG RSV to monovalent G-specific and polyvalent RSV-specific antibodies, whereas susceptibility to F-specific antibodies was equivalent. This difference disappeared when the virus preparations were purified to remove sG. Thus, sG appears to function as a neutralization decoy. We evaluated this effect in vivo in mice by comparing the effects of passively transferred antibodies on the pulmonary replication of wt RSV versus mG RSV. Again, wt RSV was less sensitive than mG RSV to G-specific and RSV-specific antibodies; however, a similar difference was also observed with F-specific antibodies. This confirmed that sG helps wt RSV evade the antibody-dependent restriction of replication but indicated that in mice, it is not acting primarily as a decoy for G-specific antibodies, perhaps because sG is produced in insufficient quantities in this poorly permissive animal. Rather, we found that the greater sensitivity of mG versus wt RSV to the antiviral effect of passively transferred RSV antibodies required the presence of inflammatory cells in the lung and was Fc gamma receptor dependent. Thus, sG helps RSV escape the antibody-dependent restriction of replication via effects as an antigen decoy and as a modulator of leukocytes bearing Fc gamma receptors.", "author" : [ { "dropping-particle" : "", "family" : "Bukreyev", "given" : "Alexander", "non-dropping-particle" : "", "parse-names" : false, "suffix" : "" }, { "dropping-particle" : "", "family" : "Yang", "given" : "Lijuan", "non-dropping-particle" : "", "parse-names" : false, "suffix" : "" }, { "dropping-particle" : "", "family" : "Fricke", "given" : "Jens", "non-dropping-particle" : "", "parse-names" : false, "suffix" : "" }, { "dropping-particle" : "", "family" : "Cheng", "given" : "Lily", "non-dropping-particle" : "", "parse-names" : false, "suffix" : "" }, { "dropping-particle" : "", "family" : "Ward", "given" : "Jerrold M", "non-dropping-particle" : "", "parse-names" : false, "suffix" : "" }, { "dropping-particle" : "", "family" : "Murphy", "given" : "Brian R", "non-dropping-particle" : "", "parse-names" : false, "suffix" : "" }, { "dropping-particle" : "", "family" : "Collins", "given" : "Peter L", "non-dropping-particle" : "", "parse-names" : false, "suffix" : "" } ], "container-title" : "Journal of virology", "id" : "ITEM-1", "issue" : "24", "issued" : { "date-parts" : [ [ "2008", "12", "15" ] ] }, "page" : "12191-204", "publisher" : "American Society for Microbiology", "title" : "The secreted form of respiratory syncytial virus G glycoprotein helps the virus evade antibody-mediated restriction of replication by acting as an antigen decoy and through effects on Fc receptor-bearing leukocytes.", "type" : "article-journal", "volume" : "82" }, "uris" : [ "http://www.mendeley.com/documents/?uuid=d9b15668-5539-3b60-b625-cdd4e1561bc7" ] } ], "mendeley" : { "formattedCitation" : "(60)", "plainTextFormattedCitation" : "(60)", "previouslyFormattedCitation" : "(60)" }, "properties" : { "noteIndex" : 0 }, "schema" : "https://github.com/citation-style-language/schema/raw/master/csl-citation.json" }</w:instrText>
      </w:r>
      <w:r w:rsidR="00C325AC" w:rsidRPr="00A84473">
        <w:rPr>
          <w:rFonts w:ascii="Cambria" w:hAnsi="Cambria"/>
          <w:sz w:val="24"/>
          <w:szCs w:val="24"/>
        </w:rPr>
        <w:fldChar w:fldCharType="separate"/>
      </w:r>
      <w:r w:rsidR="00462954" w:rsidRPr="00462954">
        <w:rPr>
          <w:rFonts w:ascii="Cambria" w:hAnsi="Cambria"/>
          <w:noProof/>
          <w:sz w:val="24"/>
          <w:szCs w:val="24"/>
        </w:rPr>
        <w:t>(60)</w:t>
      </w:r>
      <w:r w:rsidR="00C325AC" w:rsidRPr="00A84473">
        <w:rPr>
          <w:rFonts w:ascii="Cambria" w:hAnsi="Cambria"/>
          <w:sz w:val="24"/>
          <w:szCs w:val="24"/>
        </w:rPr>
        <w:fldChar w:fldCharType="end"/>
      </w:r>
      <w:r w:rsidR="00ED6E22" w:rsidRPr="00A84473">
        <w:rPr>
          <w:rFonts w:ascii="Cambria" w:hAnsi="Cambria"/>
          <w:sz w:val="24"/>
          <w:szCs w:val="24"/>
        </w:rPr>
        <w:t xml:space="preserve">. </w:t>
      </w:r>
      <w:r w:rsidR="002F541A" w:rsidRPr="00A84473">
        <w:rPr>
          <w:rFonts w:ascii="Cambria" w:hAnsi="Cambria"/>
          <w:sz w:val="24"/>
          <w:szCs w:val="24"/>
        </w:rPr>
        <w:t xml:space="preserve">Another possible vaccine target, </w:t>
      </w:r>
      <w:r w:rsidR="00A85EB0" w:rsidRPr="00A84473">
        <w:rPr>
          <w:rFonts w:ascii="Cambria" w:hAnsi="Cambria"/>
          <w:sz w:val="24"/>
          <w:szCs w:val="24"/>
        </w:rPr>
        <w:t>the SH protein</w:t>
      </w:r>
      <w:r w:rsidR="002F541A" w:rsidRPr="00A84473">
        <w:rPr>
          <w:rFonts w:ascii="Cambria" w:hAnsi="Cambria"/>
          <w:sz w:val="24"/>
          <w:szCs w:val="24"/>
        </w:rPr>
        <w:t>,</w:t>
      </w:r>
      <w:r w:rsidR="00A85EB0" w:rsidRPr="00A84473">
        <w:rPr>
          <w:rFonts w:ascii="Cambria" w:hAnsi="Cambria"/>
          <w:sz w:val="24"/>
          <w:szCs w:val="24"/>
        </w:rPr>
        <w:t xml:space="preserve"> is not well understood</w:t>
      </w:r>
      <w:r w:rsidR="00F265E9" w:rsidRPr="00A84473">
        <w:rPr>
          <w:rFonts w:ascii="Cambria" w:hAnsi="Cambria"/>
          <w:sz w:val="24"/>
          <w:szCs w:val="24"/>
        </w:rPr>
        <w:t>,</w:t>
      </w:r>
      <w:r w:rsidR="00A85EB0" w:rsidRPr="00A84473">
        <w:rPr>
          <w:rFonts w:ascii="Cambria" w:hAnsi="Cambria"/>
          <w:sz w:val="24"/>
          <w:szCs w:val="24"/>
        </w:rPr>
        <w:t xml:space="preserve"> but has been </w:t>
      </w:r>
      <w:r w:rsidR="00A85EB0" w:rsidRPr="00A84473">
        <w:rPr>
          <w:rFonts w:ascii="Cambria" w:hAnsi="Cambria"/>
          <w:sz w:val="24"/>
          <w:szCs w:val="24"/>
        </w:rPr>
        <w:lastRenderedPageBreak/>
        <w:t xml:space="preserve">observed to play a role in viral replication </w:t>
      </w:r>
      <w:r w:rsidR="00A85EB0" w:rsidRPr="00A84473">
        <w:rPr>
          <w:rFonts w:ascii="Cambria" w:hAnsi="Cambria"/>
          <w:i/>
          <w:sz w:val="24"/>
          <w:szCs w:val="24"/>
        </w:rPr>
        <w:t>in vivo</w:t>
      </w:r>
      <w:r w:rsidR="00EC56C9" w:rsidRPr="00A84473">
        <w:rPr>
          <w:rFonts w:ascii="Cambria" w:hAnsi="Cambria"/>
          <w:i/>
          <w:sz w:val="24"/>
          <w:szCs w:val="24"/>
        </w:rPr>
        <w:fldChar w:fldCharType="begin" w:fldLock="1"/>
      </w:r>
      <w:r w:rsidR="00D83E6A">
        <w:rPr>
          <w:rFonts w:ascii="Cambria" w:hAnsi="Cambria"/>
          <w:i/>
          <w:sz w:val="24"/>
          <w:szCs w:val="24"/>
        </w:rPr>
        <w:instrText>ADDIN CSL_CITATION { "citationItems" : [ { "id" : "ITEM-1", "itemData" : { "DOI" : "10.1007/978-3-642-38919-1_4", "PMID" : "24362685", "abstract" : "The two major glycoproteins on the surface of the respiratory syncytial virus (RSV) virion, the attachment glycoprotein (G) and the fusion glycoprotein (F), control the initial phases of infection. G targets the ciliated cells of the airways, and F causes the virion membrane to fuse with the target cell membrane. The F protein is the major target for antiviral drug development, and both G and F glycoproteins are the antigens targeted by neutralizing antibodies induced by infection. In this chapter, we review the structure and function of the RSV surface glycoproteins, including recent X-ray crystallographic data of the F glycoprotein in its pre- and postfusion conformations, and discuss how this information informs antigen selection and vaccine development.", "author" : [ { "dropping-particle" : "", "family" : "McLellan", "given" : "Jason S", "non-dropping-particle" : "", "parse-names" : false, "suffix" : "" }, { "dropping-particle" : "", "family" : "Ray", "given" : "William C", "non-dropping-particle" : "", "parse-names" : false, "suffix" : "" }, { "dropping-particle" : "", "family" : "Peeples", "given" : "Mark E", "non-dropping-particle" : "", "parse-names" : false, "suffix" : "" } ], "container-title" : "Curr Top Microbiol Immunol", "id" : "ITEM-1", "issued" : { "date-parts" : [ [ "2013" ] ] }, "page" : "83-104", "title" : "Structure and function of respiratory syncytial virus surface glycoproteins.", "type" : "article-journal", "volume" : "372" }, "uris" : [ "http://www.mendeley.com/documents/?uuid=fba3d491-7213-31a0-aa16-665257a55892" ] } ], "mendeley" : { "formattedCitation" : "(56)", "plainTextFormattedCitation" : "(56)", "previouslyFormattedCitation" : "(56)" }, "properties" : { "noteIndex" : 0 }, "schema" : "https://github.com/citation-style-language/schema/raw/master/csl-citation.json" }</w:instrText>
      </w:r>
      <w:r w:rsidR="00EC56C9" w:rsidRPr="00A84473">
        <w:rPr>
          <w:rFonts w:ascii="Cambria" w:hAnsi="Cambria"/>
          <w:i/>
          <w:sz w:val="24"/>
          <w:szCs w:val="24"/>
        </w:rPr>
        <w:fldChar w:fldCharType="separate"/>
      </w:r>
      <w:r w:rsidR="00462954" w:rsidRPr="00462954">
        <w:rPr>
          <w:rFonts w:ascii="Cambria" w:hAnsi="Cambria"/>
          <w:noProof/>
          <w:sz w:val="24"/>
          <w:szCs w:val="24"/>
        </w:rPr>
        <w:t>(56)</w:t>
      </w:r>
      <w:r w:rsidR="00EC56C9" w:rsidRPr="00A84473">
        <w:rPr>
          <w:rFonts w:ascii="Cambria" w:hAnsi="Cambria"/>
          <w:i/>
          <w:sz w:val="24"/>
          <w:szCs w:val="24"/>
        </w:rPr>
        <w:fldChar w:fldCharType="end"/>
      </w:r>
      <w:r w:rsidR="00BE7E7F" w:rsidRPr="00A84473">
        <w:rPr>
          <w:rFonts w:ascii="Cambria" w:hAnsi="Cambria"/>
          <w:i/>
          <w:sz w:val="24"/>
          <w:szCs w:val="24"/>
        </w:rPr>
        <w:t xml:space="preserve"> </w:t>
      </w:r>
      <w:r w:rsidR="00BE7E7F" w:rsidRPr="00A84473">
        <w:rPr>
          <w:rFonts w:ascii="Cambria" w:hAnsi="Cambria"/>
          <w:sz w:val="24"/>
          <w:szCs w:val="24"/>
        </w:rPr>
        <w:t>and inflammasome activation</w:t>
      </w:r>
      <w:r w:rsidR="00BE7E7F" w:rsidRPr="00A84473">
        <w:rPr>
          <w:rFonts w:ascii="Cambria" w:hAnsi="Cambria"/>
          <w:sz w:val="24"/>
          <w:szCs w:val="24"/>
        </w:rPr>
        <w:fldChar w:fldCharType="begin" w:fldLock="1"/>
      </w:r>
      <w:r w:rsidR="00D83E6A">
        <w:rPr>
          <w:rFonts w:ascii="Cambria" w:hAnsi="Cambria"/>
          <w:sz w:val="24"/>
          <w:szCs w:val="24"/>
        </w:rPr>
        <w:instrText>ADDIN CSL_CITATION { "citationItems" : [ { "id" : "ITEM-1", "itemData" : { "DOI" : "10.1136/thoraxjnl-2012-202182", "ISSN" : "1468-3296", "PMID" : "23229815", "abstract" : "BACKGROUND Respiratory syncytial virus (RSV) remains the leading cause of serious viral bronchiolitis and pneumonia in infants and young children throughout the world. The burden of disease is significant, with 70% of all infants being infected with RSV within the first year of their life. 40% of those children discharged from hospital have recurrent, repeated respiratory symptoms and wheezing for at least 10 years. The infection is also an important illness in the elderly and immunocompromised individuals. Ongoing symptoms relate to continued lung inflammation. One cytokine that is associated with RSV infection is IL-1\u03b2, but the mechanism of activation remain unclear. OBJECTIVES In the current study, we set out to decipher the molecular mechanisms of RSV-induced inflammasome activation. METHODS AND RESULTS Using deletion mutants of the virus and measuring IL-1\u03b2 secretion, as well as caspase 1 expression via western blotting, we demonstrate that the NLRP3 inflammasome is activated through the small hydrophobic (SH) RSV viroporin which induces membrane permeability to ions or small molecules. Confocal microscopy revealed that during virus infection, SH seems to accumulate within lipid rafts in the Golgi compartments. CONCLUSIONS Upon RSV infection, SH gets localised in the cell membranes and intracellular organelle membranes, and then induces permeability by disrupting membrane architecture, thus leading us to believe that formation of viral ion channels in lipid bilayers of cells is a viral recognition pathway used by the host to signal inflammasome activation.", "author" : [ { "dropping-particle" : "", "family" : "Triantafilou", "given" : "Kathy", "non-dropping-particle" : "", "parse-names" : false, "suffix" : "" }, { "dropping-particle" : "", "family" : "Kar", "given" : "Satwik", "non-dropping-particle" : "", "parse-names" : false, "suffix" : "" }, { "dropping-particle" : "", "family" : "Vakakis", "given" : "Emmanouil", "non-dropping-particle" : "", "parse-names" : false, "suffix" : "" }, { "dropping-particle" : "", "family" : "Kotecha", "given" : "Sailesh", "non-dropping-particle" : "", "parse-names" : false, "suffix" : "" }, { "dropping-particle" : "", "family" : "Triantafilou", "given" : "Martha", "non-dropping-particle" : "", "parse-names" : false, "suffix" : "" } ], "container-title" : "Thorax", "id" : "ITEM-1", "issue" : "1", "issued" : { "date-parts" : [ [ "2013", "1", "1" ] ] }, "page" : "66-75", "publisher" : "BMJ Publishing Group Ltd", "title" : "Human respiratory syncytial virus viroporin SH: a viral recognition pathway used by the host to signal inflammasome activation.", "type" : "article-journal", "volume" : "68" }, "uris" : [ "http://www.mendeley.com/documents/?uuid=2f5dfd9d-4dbe-3144-8c6b-eb6ee898a8ae" ] } ], "mendeley" : { "formattedCitation" : "(61)", "plainTextFormattedCitation" : "(61)", "previouslyFormattedCitation" : "(61)" }, "properties" : { "noteIndex" : 0 }, "schema" : "https://github.com/citation-style-language/schema/raw/master/csl-citation.json" }</w:instrText>
      </w:r>
      <w:r w:rsidR="00BE7E7F" w:rsidRPr="00A84473">
        <w:rPr>
          <w:rFonts w:ascii="Cambria" w:hAnsi="Cambria"/>
          <w:sz w:val="24"/>
          <w:szCs w:val="24"/>
        </w:rPr>
        <w:fldChar w:fldCharType="separate"/>
      </w:r>
      <w:r w:rsidR="00462954" w:rsidRPr="00462954">
        <w:rPr>
          <w:rFonts w:ascii="Cambria" w:hAnsi="Cambria"/>
          <w:noProof/>
          <w:sz w:val="24"/>
          <w:szCs w:val="24"/>
        </w:rPr>
        <w:t>(61)</w:t>
      </w:r>
      <w:r w:rsidR="00BE7E7F" w:rsidRPr="00A84473">
        <w:rPr>
          <w:rFonts w:ascii="Cambria" w:hAnsi="Cambria"/>
          <w:sz w:val="24"/>
          <w:szCs w:val="24"/>
        </w:rPr>
        <w:fldChar w:fldCharType="end"/>
      </w:r>
      <w:r w:rsidR="00A85EB0" w:rsidRPr="00A84473">
        <w:rPr>
          <w:rFonts w:ascii="Cambria" w:hAnsi="Cambria"/>
          <w:sz w:val="24"/>
          <w:szCs w:val="24"/>
        </w:rPr>
        <w:t xml:space="preserve">. </w:t>
      </w:r>
      <w:r w:rsidR="000177AF" w:rsidRPr="00A84473">
        <w:rPr>
          <w:rFonts w:ascii="Cambria" w:hAnsi="Cambria"/>
          <w:sz w:val="24"/>
          <w:szCs w:val="24"/>
        </w:rPr>
        <w:t xml:space="preserve">The SH protein contains a transmembrane and extracellular </w:t>
      </w:r>
      <w:r w:rsidR="00570E67" w:rsidRPr="00A84473">
        <w:rPr>
          <w:rFonts w:ascii="Cambria" w:hAnsi="Cambria"/>
          <w:sz w:val="24"/>
          <w:szCs w:val="24"/>
        </w:rPr>
        <w:t>domain</w:t>
      </w:r>
      <w:r w:rsidR="00E76755" w:rsidRPr="00A84473">
        <w:rPr>
          <w:rFonts w:ascii="Cambria" w:hAnsi="Cambria"/>
          <w:sz w:val="24"/>
          <w:szCs w:val="24"/>
        </w:rPr>
        <w:fldChar w:fldCharType="begin" w:fldLock="1"/>
      </w:r>
      <w:r w:rsidR="00D83E6A">
        <w:rPr>
          <w:rFonts w:ascii="Cambria" w:hAnsi="Cambria"/>
          <w:sz w:val="24"/>
          <w:szCs w:val="24"/>
        </w:rPr>
        <w:instrText>ADDIN CSL_CITATION { "citationItems" : [ { "id" : "ITEM-1", "itemData" : { "DOI" : "10.1099/0022-1317-74-7-1445", "ISSN" : "0022-1317", "PMID" : "8336126", "abstract" : "Previous work has demonstrated that the small hydrophobic (SH) protein of human respiratory syncytial virus (RSV) A2 strain is a 64 amino acid integral membrane protein that accumulates intracellularly as an unglycosylated major species (SH0), a minor species truncated at the amino terminus and two N-glycosylated species one of which contains a further addition of polylactosamine. In this study, the membrane orientation of SH0 was mapped by trypsinization of intact RSV-infected cells followed by washout, lysis and immunoprecipitation of protected fragments with antisera specific for the protein termini. This showed that the C terminus is extracellular and the SH protein was not detectably palmitylated. Analysis of the SH protein by sedimentation on sucrose gradients showed that it rapidly assembles into a homo-oligomer that co-sediments with the F protein tetramer. Interestingly, all forms of the SH protein were found in the oligomeric fraction. Chemical cross-linking generated species which appeared to represent dimers, trimers, tetramers and pentamers as well as a minor species of 180K which might correspond to the oligomeric form detected by sucrose gradient sedimentation.", "author" : [ { "dropping-particle" : "", "family" : "Collins", "given" : "P. L.", "non-dropping-particle" : "", "parse-names" : false, "suffix" : "" }, { "dropping-particle" : "", "family" : "Mottet", "given" : "G.", "non-dropping-particle" : "", "parse-names" : false, "suffix" : "" } ], "container-title" : "Journal of General Virology", "id" : "ITEM-1", "issue" : "7", "issued" : { "date-parts" : [ [ "1993", "7", "1" ] ] }, "page" : "1445-1450", "title" : "Membrane orientation and oligomerization of the small hydrophobic protein of human respiratory syncytial virus", "type" : "article-journal", "volume" : "74" }, "uris" : [ "http://www.mendeley.com/documents/?uuid=57dd8d06-0c0f-30d2-81b0-6d0d554bed95" ] } ], "mendeley" : { "formattedCitation" : "(62)", "plainTextFormattedCitation" : "(62)", "previouslyFormattedCitation" : "(62)" }, "properties" : { "noteIndex" : 0 }, "schema" : "https://github.com/citation-style-language/schema/raw/master/csl-citation.json" }</w:instrText>
      </w:r>
      <w:r w:rsidR="00E76755" w:rsidRPr="00A84473">
        <w:rPr>
          <w:rFonts w:ascii="Cambria" w:hAnsi="Cambria"/>
          <w:sz w:val="24"/>
          <w:szCs w:val="24"/>
        </w:rPr>
        <w:fldChar w:fldCharType="separate"/>
      </w:r>
      <w:r w:rsidR="00462954" w:rsidRPr="00462954">
        <w:rPr>
          <w:rFonts w:ascii="Cambria" w:hAnsi="Cambria"/>
          <w:noProof/>
          <w:sz w:val="24"/>
          <w:szCs w:val="24"/>
        </w:rPr>
        <w:t>(62)</w:t>
      </w:r>
      <w:r w:rsidR="00E76755" w:rsidRPr="00A84473">
        <w:rPr>
          <w:rFonts w:ascii="Cambria" w:hAnsi="Cambria"/>
          <w:sz w:val="24"/>
          <w:szCs w:val="24"/>
        </w:rPr>
        <w:fldChar w:fldCharType="end"/>
      </w:r>
      <w:r w:rsidR="00570E67" w:rsidRPr="00A84473">
        <w:rPr>
          <w:rFonts w:ascii="Cambria" w:hAnsi="Cambria"/>
          <w:sz w:val="24"/>
          <w:szCs w:val="24"/>
        </w:rPr>
        <w:t xml:space="preserve">; the latter has been </w:t>
      </w:r>
      <w:r w:rsidR="009C1D13" w:rsidRPr="00A84473">
        <w:rPr>
          <w:rFonts w:ascii="Cambria" w:hAnsi="Cambria"/>
          <w:sz w:val="24"/>
          <w:szCs w:val="24"/>
        </w:rPr>
        <w:t>used</w:t>
      </w:r>
      <w:r w:rsidR="00570E67" w:rsidRPr="00A84473">
        <w:rPr>
          <w:rFonts w:ascii="Cambria" w:hAnsi="Cambria"/>
          <w:sz w:val="24"/>
          <w:szCs w:val="24"/>
        </w:rPr>
        <w:t xml:space="preserve"> as a </w:t>
      </w:r>
      <w:r w:rsidR="000177AF" w:rsidRPr="00A84473">
        <w:rPr>
          <w:rFonts w:ascii="Cambria" w:hAnsi="Cambria"/>
          <w:sz w:val="24"/>
          <w:szCs w:val="24"/>
        </w:rPr>
        <w:t>vaccine antigen</w:t>
      </w:r>
      <w:r w:rsidR="00FD3648" w:rsidRPr="00A84473">
        <w:rPr>
          <w:rFonts w:ascii="Cambria" w:hAnsi="Cambria"/>
          <w:sz w:val="24"/>
          <w:szCs w:val="24"/>
        </w:rPr>
        <w:fldChar w:fldCharType="begin" w:fldLock="1"/>
      </w:r>
      <w:r w:rsidR="00D83E6A">
        <w:rPr>
          <w:rFonts w:ascii="Cambria" w:hAnsi="Cambria"/>
          <w:sz w:val="24"/>
          <w:szCs w:val="24"/>
        </w:rPr>
        <w:instrText>ADDIN CSL_CITATION { "citationItems" : [ { "id" : "ITEM-1", "itemData" : { "DOI" : "10.2217/imt.15.11", "ISSN" : "1750-743X", "PMID" : "25804473", "author" : [ { "dropping-particle" : "", "family" : "Schepens", "given" : "Bert", "non-dropping-particle" : "", "parse-names" : false, "suffix" : "" }, { "dropping-particle" : "", "family" : "Schotsaert", "given" : "Michael", "non-dropping-particle" : "", "parse-names" : false, "suffix" : "" }, { "dropping-particle" : "", "family" : "Saelens", "given" : "Xavier", "non-dropping-particle" : "", "parse-names" : false, "suffix" : "" } ], "container-title" : "Immunotherapy", "id" : "ITEM-1", "issue" : "3", "issued" : { "date-parts" : [ [ "2015", "3" ] ] }, "page" : "203-206", "title" : "Small hydrophobic protein of respiratory syncytial virus as a novel vaccine antigen", "type" : "article-journal", "volume" : "7" }, "uris" : [ "http://www.mendeley.com/documents/?uuid=d33bc658-585c-3e57-862b-b8777cd3e7ce" ] } ], "mendeley" : { "formattedCitation" : "(63)", "plainTextFormattedCitation" : "(63)", "previouslyFormattedCitation" : "(63)" }, "properties" : { "noteIndex" : 0 }, "schema" : "https://github.com/citation-style-language/schema/raw/master/csl-citation.json" }</w:instrText>
      </w:r>
      <w:r w:rsidR="00FD3648" w:rsidRPr="00A84473">
        <w:rPr>
          <w:rFonts w:ascii="Cambria" w:hAnsi="Cambria"/>
          <w:sz w:val="24"/>
          <w:szCs w:val="24"/>
        </w:rPr>
        <w:fldChar w:fldCharType="separate"/>
      </w:r>
      <w:r w:rsidR="00462954" w:rsidRPr="00462954">
        <w:rPr>
          <w:rFonts w:ascii="Cambria" w:hAnsi="Cambria"/>
          <w:noProof/>
          <w:sz w:val="24"/>
          <w:szCs w:val="24"/>
        </w:rPr>
        <w:t>(63)</w:t>
      </w:r>
      <w:r w:rsidR="00FD3648" w:rsidRPr="00A84473">
        <w:rPr>
          <w:rFonts w:ascii="Cambria" w:hAnsi="Cambria"/>
          <w:sz w:val="24"/>
          <w:szCs w:val="24"/>
        </w:rPr>
        <w:fldChar w:fldCharType="end"/>
      </w:r>
      <w:r w:rsidR="000177AF" w:rsidRPr="00A84473">
        <w:rPr>
          <w:rFonts w:ascii="Cambria" w:hAnsi="Cambria"/>
          <w:sz w:val="24"/>
          <w:szCs w:val="24"/>
        </w:rPr>
        <w:t xml:space="preserve">. </w:t>
      </w:r>
      <w:r w:rsidR="003A31DD" w:rsidRPr="00A84473">
        <w:rPr>
          <w:rFonts w:ascii="Cambria" w:hAnsi="Cambria"/>
          <w:sz w:val="24"/>
          <w:szCs w:val="24"/>
        </w:rPr>
        <w:t>Internal proteins are particularly relevant to induce T</w:t>
      </w:r>
      <w:r w:rsidR="00F265E9" w:rsidRPr="00A84473">
        <w:rPr>
          <w:rFonts w:ascii="Cambria" w:hAnsi="Cambria"/>
          <w:sz w:val="24"/>
          <w:szCs w:val="24"/>
        </w:rPr>
        <w:t xml:space="preserve"> </w:t>
      </w:r>
      <w:r w:rsidR="003A31DD" w:rsidRPr="00A84473">
        <w:rPr>
          <w:rFonts w:ascii="Cambria" w:hAnsi="Cambria"/>
          <w:sz w:val="24"/>
          <w:szCs w:val="24"/>
        </w:rPr>
        <w:t>cell</w:t>
      </w:r>
      <w:r w:rsidR="00F265E9" w:rsidRPr="00A84473">
        <w:rPr>
          <w:rFonts w:ascii="Cambria" w:hAnsi="Cambria"/>
          <w:sz w:val="24"/>
          <w:szCs w:val="24"/>
        </w:rPr>
        <w:t>-</w:t>
      </w:r>
      <w:r w:rsidR="003A31DD" w:rsidRPr="00A84473">
        <w:rPr>
          <w:rFonts w:ascii="Cambria" w:hAnsi="Cambria"/>
          <w:sz w:val="24"/>
          <w:szCs w:val="24"/>
        </w:rPr>
        <w:t>mediated immunity</w:t>
      </w:r>
      <w:r w:rsidR="005349C7" w:rsidRPr="00A84473">
        <w:rPr>
          <w:rFonts w:ascii="Cambria" w:hAnsi="Cambria"/>
          <w:sz w:val="24"/>
          <w:szCs w:val="24"/>
        </w:rPr>
        <w:fldChar w:fldCharType="begin" w:fldLock="1"/>
      </w:r>
      <w:r w:rsidR="00D83E6A">
        <w:rPr>
          <w:rFonts w:ascii="Cambria" w:hAnsi="Cambria"/>
          <w:sz w:val="24"/>
          <w:szCs w:val="24"/>
        </w:rPr>
        <w:instrText>ADDIN CSL_CITATION { "citationItems" : [ { "id" : "ITEM-1", "itemData" : { "DOI" : "10.1016/j.coi.2015.04.005", "ISSN" : "1879-0372", "PMID" : "26070108", "abstract" : "Respiratory syncytial virus (RSV) remains a leading global cause of infant mortality and adult morbidity. Infection, which recurs throughout life, elicits only short-lived immunity. The development of a safe and efficacious vaccine has, thus far, been elusive. Recent technological advances, however, have yielded promising RSV vaccine candidates that are based on solving atomic-level structures of surface glycoproteins interacting with neutralizing antibodies. The class I fusion glycoprotein, F, serves as the primary antigenic component of most vaccines, and is the target of the only licensed monoclonal antibody product used to reduce the frequency of severe disease in high-risk neonates. However, success of prior F-based vaccines has been limited by the lack of understanding how the conformational rearrangement between a metastable prefusion F (pre-F) and a stable postfusion F (post-F) affected the epitope content. Neutralizing epitopes reside on both conformations, but those specific to pre-F are far more potent than those previously identified and present on post-F. The solution of the pre-F structure and its subsequent characterization and stabilization illustrates the value of a structure-based approach to vaccine development, and provides hope that a safe and effective RSV vaccine is possible.", "author" : [ { "dropping-particle" : "", "family" : "Graham", "given" : "Barney S", "non-dropping-particle" : "", "parse-names" : false, "suffix" : "" }, { "dropping-particle" : "", "family" : "Modjarrad", "given" : "Kayvon", "non-dropping-particle" : "", "parse-names" : false, "suffix" : "" }, { "dropping-particle" : "", "family" : "McLellan", "given" : "Jason S", "non-dropping-particle" : "", "parse-names" : false, "suffix" : "" } ], "container-title" : "Current opinion in immunology", "id" : "ITEM-1", "issued" : { "date-parts" : [ [ "2015", "8" ] ] }, "page" : "30-8", "title" : "Novel antigens for RSV vaccines.", "type" : "article-journal", "volume" : "35" }, "uris" : [ "http://www.mendeley.com/documents/?uuid=39739666-53b0-3e97-b22f-8c9fac6dcb65" ] } ], "mendeley" : { "formattedCitation" : "(58)", "plainTextFormattedCitation" : "(58)", "previouslyFormattedCitation" : "(58)" }, "properties" : { "noteIndex" : 0 }, "schema" : "https://github.com/citation-style-language/schema/raw/master/csl-citation.json" }</w:instrText>
      </w:r>
      <w:r w:rsidR="005349C7" w:rsidRPr="00A84473">
        <w:rPr>
          <w:rFonts w:ascii="Cambria" w:hAnsi="Cambria"/>
          <w:sz w:val="24"/>
          <w:szCs w:val="24"/>
        </w:rPr>
        <w:fldChar w:fldCharType="separate"/>
      </w:r>
      <w:r w:rsidR="00462954" w:rsidRPr="00462954">
        <w:rPr>
          <w:rFonts w:ascii="Cambria" w:hAnsi="Cambria"/>
          <w:noProof/>
          <w:sz w:val="24"/>
          <w:szCs w:val="24"/>
        </w:rPr>
        <w:t>(58)</w:t>
      </w:r>
      <w:r w:rsidR="005349C7" w:rsidRPr="00A84473">
        <w:rPr>
          <w:rFonts w:ascii="Cambria" w:hAnsi="Cambria"/>
          <w:sz w:val="24"/>
          <w:szCs w:val="24"/>
        </w:rPr>
        <w:fldChar w:fldCharType="end"/>
      </w:r>
      <w:r w:rsidR="003A31DD" w:rsidRPr="00A84473">
        <w:rPr>
          <w:rFonts w:ascii="Cambria" w:hAnsi="Cambria"/>
          <w:sz w:val="24"/>
          <w:szCs w:val="24"/>
        </w:rPr>
        <w:t xml:space="preserve">. </w:t>
      </w:r>
      <w:r w:rsidR="003D2780" w:rsidRPr="00843BEC">
        <w:rPr>
          <w:rFonts w:ascii="Cambria" w:hAnsi="Cambria"/>
          <w:sz w:val="24"/>
          <w:szCs w:val="24"/>
        </w:rPr>
        <w:t>A</w:t>
      </w:r>
      <w:r w:rsidR="00262918">
        <w:rPr>
          <w:rFonts w:ascii="Cambria" w:hAnsi="Cambria"/>
          <w:sz w:val="24"/>
          <w:szCs w:val="24"/>
        </w:rPr>
        <w:t>s</w:t>
      </w:r>
      <w:r w:rsidR="003D2780" w:rsidRPr="00843BEC">
        <w:rPr>
          <w:rFonts w:ascii="Cambria" w:hAnsi="Cambria"/>
          <w:sz w:val="24"/>
          <w:szCs w:val="24"/>
        </w:rPr>
        <w:t xml:space="preserve"> such, </w:t>
      </w:r>
      <w:r w:rsidR="002F541A" w:rsidRPr="00A84473">
        <w:rPr>
          <w:rFonts w:ascii="Cambria" w:hAnsi="Cambria"/>
          <w:sz w:val="24"/>
          <w:szCs w:val="24"/>
        </w:rPr>
        <w:t xml:space="preserve">three </w:t>
      </w:r>
      <w:r w:rsidR="000177AF" w:rsidRPr="00A84473">
        <w:rPr>
          <w:rFonts w:ascii="Cambria" w:hAnsi="Cambria"/>
          <w:sz w:val="24"/>
          <w:szCs w:val="24"/>
        </w:rPr>
        <w:t>non</w:t>
      </w:r>
      <w:r w:rsidR="00E76755" w:rsidRPr="00A84473">
        <w:rPr>
          <w:rFonts w:ascii="Cambria" w:hAnsi="Cambria"/>
          <w:sz w:val="24"/>
          <w:szCs w:val="24"/>
        </w:rPr>
        <w:t>-membrane RSV proteins have been included in RSV vaccine design.</w:t>
      </w:r>
      <w:r w:rsidR="00AC313F" w:rsidRPr="00A84473">
        <w:rPr>
          <w:rFonts w:ascii="Cambria" w:hAnsi="Cambria"/>
          <w:sz w:val="24"/>
          <w:szCs w:val="24"/>
        </w:rPr>
        <w:t xml:space="preserve"> The N protein is the major nucleocapsid protein that encaps</w:t>
      </w:r>
      <w:r w:rsidR="001A3683" w:rsidRPr="00A84473">
        <w:rPr>
          <w:rFonts w:ascii="Cambria" w:hAnsi="Cambria"/>
          <w:sz w:val="24"/>
          <w:szCs w:val="24"/>
        </w:rPr>
        <w:t>idat</w:t>
      </w:r>
      <w:r w:rsidR="004636CA" w:rsidRPr="00A84473">
        <w:rPr>
          <w:rFonts w:ascii="Cambria" w:hAnsi="Cambria"/>
          <w:sz w:val="24"/>
          <w:szCs w:val="24"/>
        </w:rPr>
        <w:t>es</w:t>
      </w:r>
      <w:r w:rsidR="00AC313F" w:rsidRPr="00A84473">
        <w:rPr>
          <w:rFonts w:ascii="Cambria" w:hAnsi="Cambria"/>
          <w:sz w:val="24"/>
          <w:szCs w:val="24"/>
        </w:rPr>
        <w:t xml:space="preserve"> the RNA genome of the virus</w:t>
      </w:r>
      <w:r w:rsidR="00756AD2" w:rsidRPr="00A84473">
        <w:rPr>
          <w:rFonts w:ascii="Cambria" w:hAnsi="Cambria"/>
          <w:sz w:val="24"/>
          <w:szCs w:val="24"/>
        </w:rPr>
        <w:fldChar w:fldCharType="begin" w:fldLock="1"/>
      </w:r>
      <w:r w:rsidR="00D83E6A">
        <w:rPr>
          <w:rFonts w:ascii="Cambria" w:hAnsi="Cambria"/>
          <w:sz w:val="24"/>
          <w:szCs w:val="24"/>
        </w:rPr>
        <w:instrText>ADDIN CSL_CITATION { "citationItems" : [ { "id" : "ITEM-1", "itemData" : { "DOI" : "10.1006/viro.1997.8734", "ISSN" : "00426822", "PMID" : "9299631", "abstract" : "A popular model for RNA synthesis by nonsegmented negative-strand RNA viruses is that transcription and RNA replication are executed by the same polymerase complex and that there is a dynamic balance between the two processes that is mediated by the nucleocapsid N protein. According to this model, transcription occurs until sufficient soluble N protein accumulates to initiate encapsidation of the nascent RNA product, which somehow switches the polymerase into a readthrough replicative mode. This model was examined for respiratory syncytial virus (RSV) using a reconstituted transcription and RNA replication system that involves a minireplicon and viral proteins that are expressed intracellularly from transfected plasmids. Preliminary experiments showed that reconstituted RNA replication was highly productive, such that on average each molecule of plasmid-supplied minigenome that became encapsidated was amplified 10- to 50-fold. N protein was increased on its own or in concert with the phosphoprotein P and in the presence or absence of the M2 ORF1 transcription elongation factor. The maximum level of N and P protein expression achieved from plasmids equalled or exceeded that obtained in RSV-infected cells. Increased levels of N protein stimulated RNA replication. This is consistent with the idea that RNA replication is dependent on the availability of N protein for encapsidation, which is one postulate of the model. The M2 ORF1 protein had no detectable effect on RNA replication under the various conditions of expression of N and P, which confirmed and extended previous results. However, there was no evidence of a significant switch in positive-sense RNA synthesis from transcription (synthesis of mRNAs) to RNA replication (synthesis of antigenome). The synthesis of positive-sense antigenome and mRNA appeared to occur at a fixed ratio, with mRNA being by far the more abundant product.", "author" : [ { "dropping-particle" : "", "family" : "Fearns", "given" : "Rachel", "non-dropping-particle" : "", "parse-names" : false, "suffix" : "" }, { "dropping-particle" : "", "family" : "Peeples", "given" : "Mark E.", "non-dropping-particle" : "", "parse-names" : false, "suffix" : "" }, { "dropping-particle" : "", "family" : "Collins", "given" : "Peter L.", "non-dropping-particle" : "", "parse-names" : false, "suffix" : "" } ], "container-title" : "Virology", "id" : "ITEM-1", "issue" : "1", "issued" : { "date-parts" : [ [ "1997", "9", "15" ] ] }, "page" : "188-201", "title" : "Increased Expression of the N Protein of Respiratory Syncytial Virus Stimulates Minigenome Replication but Does Not Alter the Balance between the Synthesis of mRNA and Antigenome", "type" : "article-journal", "volume" : "236" }, "uris" : [ "http://www.mendeley.com/documents/?uuid=656efd13-20ff-344f-96f6-d9fb996ed540" ] } ], "mendeley" : { "formattedCitation" : "(64)", "plainTextFormattedCitation" : "(64)", "previouslyFormattedCitation" : "(64)" }, "properties" : { "noteIndex" : 0 }, "schema" : "https://github.com/citation-style-language/schema/raw/master/csl-citation.json" }</w:instrText>
      </w:r>
      <w:r w:rsidR="00756AD2" w:rsidRPr="00A84473">
        <w:rPr>
          <w:rFonts w:ascii="Cambria" w:hAnsi="Cambria"/>
          <w:sz w:val="24"/>
          <w:szCs w:val="24"/>
        </w:rPr>
        <w:fldChar w:fldCharType="separate"/>
      </w:r>
      <w:r w:rsidR="00462954" w:rsidRPr="00462954">
        <w:rPr>
          <w:rFonts w:ascii="Cambria" w:hAnsi="Cambria"/>
          <w:noProof/>
          <w:sz w:val="24"/>
          <w:szCs w:val="24"/>
        </w:rPr>
        <w:t>(64)</w:t>
      </w:r>
      <w:r w:rsidR="00756AD2" w:rsidRPr="00A84473">
        <w:rPr>
          <w:rFonts w:ascii="Cambria" w:hAnsi="Cambria"/>
          <w:sz w:val="24"/>
          <w:szCs w:val="24"/>
        </w:rPr>
        <w:fldChar w:fldCharType="end"/>
      </w:r>
      <w:r w:rsidR="00A063CA" w:rsidRPr="00A84473">
        <w:rPr>
          <w:rFonts w:ascii="Cambria" w:hAnsi="Cambria"/>
          <w:sz w:val="24"/>
          <w:szCs w:val="24"/>
        </w:rPr>
        <w:t>. The</w:t>
      </w:r>
      <w:r w:rsidR="00AC313F" w:rsidRPr="00A84473">
        <w:rPr>
          <w:rFonts w:ascii="Cambria" w:hAnsi="Cambria"/>
          <w:sz w:val="24"/>
          <w:szCs w:val="24"/>
        </w:rPr>
        <w:t xml:space="preserve"> M</w:t>
      </w:r>
      <w:r w:rsidR="00A063CA" w:rsidRPr="00A84473">
        <w:rPr>
          <w:rFonts w:ascii="Cambria" w:hAnsi="Cambria"/>
          <w:sz w:val="24"/>
          <w:szCs w:val="24"/>
        </w:rPr>
        <w:t>2-1 and M2-2</w:t>
      </w:r>
      <w:r w:rsidR="00AC313F" w:rsidRPr="00A84473">
        <w:rPr>
          <w:rFonts w:ascii="Cambria" w:hAnsi="Cambria"/>
          <w:sz w:val="24"/>
          <w:szCs w:val="24"/>
        </w:rPr>
        <w:t xml:space="preserve"> protein</w:t>
      </w:r>
      <w:r w:rsidR="00A063CA" w:rsidRPr="00A84473">
        <w:rPr>
          <w:rFonts w:ascii="Cambria" w:hAnsi="Cambria"/>
          <w:sz w:val="24"/>
          <w:szCs w:val="24"/>
        </w:rPr>
        <w:t xml:space="preserve">s are specific </w:t>
      </w:r>
      <w:r w:rsidR="007A35BF" w:rsidRPr="00A84473">
        <w:rPr>
          <w:rFonts w:ascii="Cambria" w:hAnsi="Cambria"/>
          <w:sz w:val="24"/>
          <w:szCs w:val="24"/>
        </w:rPr>
        <w:t>to</w:t>
      </w:r>
      <w:r w:rsidR="00A063CA" w:rsidRPr="00A84473">
        <w:rPr>
          <w:rFonts w:ascii="Cambria" w:hAnsi="Cambria"/>
          <w:sz w:val="24"/>
          <w:szCs w:val="24"/>
        </w:rPr>
        <w:t xml:space="preserve"> RSV</w:t>
      </w:r>
      <w:r w:rsidR="004A1261" w:rsidRPr="00A84473">
        <w:rPr>
          <w:rFonts w:ascii="Cambria" w:hAnsi="Cambria"/>
          <w:sz w:val="24"/>
          <w:szCs w:val="24"/>
        </w:rPr>
        <w:t xml:space="preserve"> and other </w:t>
      </w:r>
      <w:r w:rsidR="004A1261" w:rsidRPr="00A84473">
        <w:rPr>
          <w:rFonts w:ascii="Cambria" w:hAnsi="Cambria"/>
          <w:i/>
          <w:sz w:val="24"/>
          <w:szCs w:val="24"/>
        </w:rPr>
        <w:t>Pneumoviridae</w:t>
      </w:r>
      <w:r w:rsidR="00A063CA" w:rsidRPr="00A84473">
        <w:rPr>
          <w:rFonts w:ascii="Cambria" w:hAnsi="Cambria"/>
          <w:sz w:val="24"/>
          <w:szCs w:val="24"/>
        </w:rPr>
        <w:t>.</w:t>
      </w:r>
      <w:r w:rsidR="00AC313F" w:rsidRPr="00A84473">
        <w:rPr>
          <w:rFonts w:ascii="Cambria" w:hAnsi="Cambria"/>
          <w:sz w:val="24"/>
          <w:szCs w:val="24"/>
        </w:rPr>
        <w:t xml:space="preserve"> </w:t>
      </w:r>
      <w:r w:rsidR="003823F8" w:rsidRPr="00A84473">
        <w:rPr>
          <w:rFonts w:ascii="Cambria" w:hAnsi="Cambria"/>
          <w:sz w:val="24"/>
          <w:szCs w:val="24"/>
        </w:rPr>
        <w:t xml:space="preserve">M2-1 is an essential protein </w:t>
      </w:r>
      <w:r w:rsidR="00A063CA" w:rsidRPr="00A84473">
        <w:rPr>
          <w:rFonts w:ascii="Cambria" w:hAnsi="Cambria"/>
          <w:sz w:val="24"/>
          <w:szCs w:val="24"/>
        </w:rPr>
        <w:t xml:space="preserve">for viral transcription </w:t>
      </w:r>
      <w:r w:rsidR="009857E8" w:rsidRPr="00A84473">
        <w:rPr>
          <w:rFonts w:ascii="Cambria" w:hAnsi="Cambria"/>
          <w:sz w:val="24"/>
          <w:szCs w:val="24"/>
        </w:rPr>
        <w:fldChar w:fldCharType="begin" w:fldLock="1"/>
      </w:r>
      <w:r w:rsidR="00D83E6A">
        <w:rPr>
          <w:rFonts w:ascii="Cambria" w:hAnsi="Cambria"/>
          <w:sz w:val="24"/>
          <w:szCs w:val="24"/>
        </w:rPr>
        <w:instrText>ADDIN CSL_CITATION { "citationItems" : [ { "id" : "ITEM-1", "itemData" : { "DOI" : "10.1128/JVI.01625-07", "ISSN" : "1098-5514", "PMID" : "17928346", "author" : [ { "dropping-particle" : "", "family" : "Collins", "given" : "Peter L", "non-dropping-particle" : "", "parse-names" : false, "suffix" : "" }, { "dropping-particle" : "", "family" : "Graham", "given" : "Barney S", "non-dropping-particle" : "", "parse-names" : false, "suffix" : "" } ], "container-title" : "Journal of virology", "id" : "ITEM-1", "issue" : "5", "issued" : { "date-parts" : [ [ "2008", "3", "1" ] ] }, "page" : "2040-55", "publisher" : "American Society for Microbiology", "title" : "Viral and host factors in human respiratory syncytial virus pathogenesis.", "type" : "article-journal", "volume" : "82" }, "uris" : [ "http://www.mendeley.com/documents/?uuid=7164ae52-24a8-3213-af4f-7e335d801814" ] } ], "mendeley" : { "formattedCitation" : "(65)", "plainTextFormattedCitation" : "(65)", "previouslyFormattedCitation" : "(65)" }, "properties" : { "noteIndex" : 0 }, "schema" : "https://github.com/citation-style-language/schema/raw/master/csl-citation.json" }</w:instrText>
      </w:r>
      <w:r w:rsidR="009857E8" w:rsidRPr="00A84473">
        <w:rPr>
          <w:rFonts w:ascii="Cambria" w:hAnsi="Cambria"/>
          <w:sz w:val="24"/>
          <w:szCs w:val="24"/>
        </w:rPr>
        <w:fldChar w:fldCharType="separate"/>
      </w:r>
      <w:r w:rsidR="00462954" w:rsidRPr="00462954">
        <w:rPr>
          <w:rFonts w:ascii="Cambria" w:hAnsi="Cambria"/>
          <w:noProof/>
          <w:sz w:val="24"/>
          <w:szCs w:val="24"/>
        </w:rPr>
        <w:t>(65)</w:t>
      </w:r>
      <w:r w:rsidR="009857E8" w:rsidRPr="00A84473">
        <w:rPr>
          <w:rFonts w:ascii="Cambria" w:hAnsi="Cambria"/>
          <w:sz w:val="24"/>
          <w:szCs w:val="24"/>
        </w:rPr>
        <w:fldChar w:fldCharType="end"/>
      </w:r>
      <w:r w:rsidR="00262918">
        <w:rPr>
          <w:rFonts w:ascii="Cambria" w:hAnsi="Cambria"/>
          <w:sz w:val="24"/>
          <w:szCs w:val="24"/>
        </w:rPr>
        <w:t>, and deletion of M2-2 is utilized in live vaccine candidates for viral attenuation</w:t>
      </w:r>
      <w:r w:rsidR="003823F8" w:rsidRPr="00A84473">
        <w:rPr>
          <w:rFonts w:ascii="Cambria" w:hAnsi="Cambria"/>
          <w:sz w:val="24"/>
          <w:szCs w:val="24"/>
        </w:rPr>
        <w:t>.</w:t>
      </w:r>
      <w:r w:rsidR="003A31DD" w:rsidRPr="00A84473">
        <w:rPr>
          <w:rFonts w:ascii="Cambria" w:hAnsi="Cambria"/>
          <w:sz w:val="24"/>
          <w:szCs w:val="24"/>
        </w:rPr>
        <w:t xml:space="preserve"> </w:t>
      </w:r>
      <w:r w:rsidR="00373A16" w:rsidRPr="00A84473">
        <w:rPr>
          <w:rFonts w:ascii="Cambria" w:hAnsi="Cambria"/>
          <w:sz w:val="24"/>
          <w:szCs w:val="24"/>
        </w:rPr>
        <w:t>Finally, the M protein is a membrane-associated protein which is important for formation of the viral envelope</w:t>
      </w:r>
      <w:r w:rsidR="00BE1FD9" w:rsidRPr="00A84473">
        <w:rPr>
          <w:rFonts w:ascii="Cambria" w:hAnsi="Cambria"/>
          <w:sz w:val="24"/>
          <w:szCs w:val="24"/>
        </w:rPr>
        <w:fldChar w:fldCharType="begin" w:fldLock="1"/>
      </w:r>
      <w:r w:rsidR="00D83E6A">
        <w:rPr>
          <w:rFonts w:ascii="Cambria" w:hAnsi="Cambria"/>
          <w:sz w:val="24"/>
          <w:szCs w:val="24"/>
        </w:rPr>
        <w:instrText>ADDIN CSL_CITATION { "citationItems" : [ { "id" : "ITEM-1", "itemData" : { "ISSN" : "0022-538X", "PMID" : "9621029", "abstract" : "We developed a system to identify the viral proteins required for the packaging and passage of human respiratory syncytial virus (RSV) by reconstructing these events with cDNA-encoded components. Plasmids encoding individual RSV proteins, each under the control of a T7 promoter, were cotransfected in various combinations together with a plasmid containing a minigenome into cells infected with a vaccinia virus recombinant expressing T7 RNA polymerase. Supernatants from these cells were passaged onto fresh cells which were then superinfected with RSV. Functional reconstitution of RSV-specific packaging and passage was detected by expression of the reporter gene carried on the minigenome. As expected, the four nucleocapsid proteins N, P, L, and M2-1 failed to direct packaging and passage of the minigenome. Passage was achieved by further addition of plasmids expressing three membrane-associated proteins, M, G, and F; inclusion of the fourth envelope- associated protein, SH, did not alter passage efficiency. Passage was reduced 10- to 20-fold by omission of G and was abrogated by omission of either M or F. Coexpression of the nonstructural NS1 or NS2 protein had little effect on packaging and passage except through indirect effects on RNA synthesis in the initial transfection. The M2-1 transcription elongation factor was not required for the generation of passage-competent particles. However, addition of increasing quantities of M2-1 to the transfection mediated a dose-dependent inhibition of passage which was alleviated by coexpression of the putative negative regulatory factor M2-2. Omission of the L plasmid reduced passage 10- to 20-fold, most likely due to reduced availability of encapsidated minigenomes for packaging. However, the residual level of passage indicated that neither L protein nor the process of RSV-specific RNA synthesis is required for the production and passage of particles. Omission of N or P from the transfection abrogated passage. Thus, the minimum RSV protein requirements for packaging and passaging a minigenome are N, P, M, and F, although the efficiency is greatly increased by addition of L and G.", "author" : [ { "dropping-particle" : "", "family" : "Teng", "given" : "M N", "non-dropping-particle" : "", "parse-names" : false, "suffix" : "" }, { "dropping-particle" : "", "family" : "Collins", "given" : "P L", "non-dropping-particle" : "", "parse-names" : false, "suffix" : "" } ], "container-title" : "Journal of virology", "id" : "ITEM-1", "issue" : "7", "issued" : { "date-parts" : [ [ "1998", "7" ] ] }, "page" : "5707-16", "title" : "Identification of the respiratory syncytial virus proteins required for formation and passage of helper-dependent infectious particles.", "type" : "article-journal", "volume" : "72" }, "uris" : [ "http://www.mendeley.com/documents/?uuid=20ac498d-045c-3ff5-b9a5-e3380db29580" ] } ], "mendeley" : { "formattedCitation" : "(66)", "plainTextFormattedCitation" : "(66)", "previouslyFormattedCitation" : "(66)" }, "properties" : { "noteIndex" : 0 }, "schema" : "https://github.com/citation-style-language/schema/raw/master/csl-citation.json" }</w:instrText>
      </w:r>
      <w:r w:rsidR="00BE1FD9" w:rsidRPr="00A84473">
        <w:rPr>
          <w:rFonts w:ascii="Cambria" w:hAnsi="Cambria"/>
          <w:sz w:val="24"/>
          <w:szCs w:val="24"/>
        </w:rPr>
        <w:fldChar w:fldCharType="separate"/>
      </w:r>
      <w:r w:rsidR="00462954" w:rsidRPr="00462954">
        <w:rPr>
          <w:rFonts w:ascii="Cambria" w:hAnsi="Cambria"/>
          <w:noProof/>
          <w:sz w:val="24"/>
          <w:szCs w:val="24"/>
        </w:rPr>
        <w:t>(66)</w:t>
      </w:r>
      <w:r w:rsidR="00BE1FD9" w:rsidRPr="00A84473">
        <w:rPr>
          <w:rFonts w:ascii="Cambria" w:hAnsi="Cambria"/>
          <w:sz w:val="24"/>
          <w:szCs w:val="24"/>
        </w:rPr>
        <w:fldChar w:fldCharType="end"/>
      </w:r>
      <w:r w:rsidR="00373A16" w:rsidRPr="00A84473">
        <w:rPr>
          <w:rFonts w:ascii="Cambria" w:hAnsi="Cambria"/>
          <w:sz w:val="24"/>
          <w:szCs w:val="24"/>
        </w:rPr>
        <w:t>.</w:t>
      </w:r>
      <w:r w:rsidR="00BE1FD9" w:rsidRPr="00A84473">
        <w:rPr>
          <w:rFonts w:ascii="Cambria" w:hAnsi="Cambria"/>
          <w:sz w:val="24"/>
          <w:szCs w:val="24"/>
        </w:rPr>
        <w:t xml:space="preserve"> </w:t>
      </w:r>
      <w:r w:rsidR="00006107" w:rsidRPr="00A84473">
        <w:rPr>
          <w:rFonts w:ascii="Cambria" w:hAnsi="Cambria"/>
          <w:sz w:val="24"/>
          <w:szCs w:val="24"/>
        </w:rPr>
        <w:t>In summary, different viral proteins are being employed as</w:t>
      </w:r>
      <w:r w:rsidR="00BE1FD9" w:rsidRPr="00A84473">
        <w:rPr>
          <w:rFonts w:ascii="Cambria" w:hAnsi="Cambria"/>
          <w:sz w:val="24"/>
          <w:szCs w:val="24"/>
        </w:rPr>
        <w:t xml:space="preserve"> antigens in RSV vaccine design. </w:t>
      </w:r>
      <w:r w:rsidR="00006107" w:rsidRPr="00A84473">
        <w:rPr>
          <w:rFonts w:ascii="Cambria" w:hAnsi="Cambria"/>
          <w:sz w:val="24"/>
          <w:szCs w:val="24"/>
        </w:rPr>
        <w:t xml:space="preserve">Viral surface </w:t>
      </w:r>
      <w:r w:rsidR="00BE02FA" w:rsidRPr="00A84473">
        <w:rPr>
          <w:rFonts w:ascii="Cambria" w:hAnsi="Cambria"/>
          <w:sz w:val="24"/>
          <w:szCs w:val="24"/>
        </w:rPr>
        <w:t>glyco</w:t>
      </w:r>
      <w:r w:rsidR="00006107" w:rsidRPr="00A84473">
        <w:rPr>
          <w:rFonts w:ascii="Cambria" w:hAnsi="Cambria"/>
          <w:sz w:val="24"/>
          <w:szCs w:val="24"/>
        </w:rPr>
        <w:t>proteins such as F</w:t>
      </w:r>
      <w:r w:rsidR="00BE1FD9" w:rsidRPr="00A84473">
        <w:rPr>
          <w:rFonts w:ascii="Cambria" w:hAnsi="Cambria"/>
          <w:sz w:val="24"/>
          <w:szCs w:val="24"/>
        </w:rPr>
        <w:t xml:space="preserve"> and G</w:t>
      </w:r>
      <w:r w:rsidR="00006107" w:rsidRPr="00A84473">
        <w:rPr>
          <w:rFonts w:ascii="Cambria" w:hAnsi="Cambria"/>
          <w:sz w:val="24"/>
          <w:szCs w:val="24"/>
        </w:rPr>
        <w:t xml:space="preserve"> are known to induce antibodies with differing neutralization </w:t>
      </w:r>
      <w:r w:rsidR="009F1A59" w:rsidRPr="00A84473">
        <w:rPr>
          <w:rFonts w:ascii="Cambria" w:hAnsi="Cambria"/>
          <w:sz w:val="24"/>
          <w:szCs w:val="24"/>
        </w:rPr>
        <w:t>capacit</w:t>
      </w:r>
      <w:r w:rsidR="00917F43">
        <w:rPr>
          <w:rFonts w:ascii="Cambria" w:hAnsi="Cambria"/>
          <w:sz w:val="24"/>
          <w:szCs w:val="24"/>
        </w:rPr>
        <w:t>y. The</w:t>
      </w:r>
      <w:r w:rsidR="00006107" w:rsidRPr="00A84473">
        <w:rPr>
          <w:rFonts w:ascii="Cambria" w:hAnsi="Cambria"/>
          <w:sz w:val="24"/>
          <w:szCs w:val="24"/>
        </w:rPr>
        <w:t xml:space="preserve"> </w:t>
      </w:r>
      <w:r w:rsidR="00BE1FD9" w:rsidRPr="00A84473">
        <w:rPr>
          <w:rFonts w:ascii="Cambria" w:hAnsi="Cambria"/>
          <w:sz w:val="24"/>
          <w:szCs w:val="24"/>
        </w:rPr>
        <w:t>SH</w:t>
      </w:r>
      <w:r w:rsidR="00006107" w:rsidRPr="00A84473">
        <w:rPr>
          <w:rFonts w:ascii="Cambria" w:hAnsi="Cambria"/>
          <w:sz w:val="24"/>
          <w:szCs w:val="24"/>
        </w:rPr>
        <w:t xml:space="preserve"> protein </w:t>
      </w:r>
      <w:r w:rsidR="00BE1FD9" w:rsidRPr="00A84473">
        <w:rPr>
          <w:rFonts w:ascii="Cambria" w:hAnsi="Cambria"/>
          <w:sz w:val="24"/>
          <w:szCs w:val="24"/>
        </w:rPr>
        <w:t xml:space="preserve">may be important </w:t>
      </w:r>
      <w:r w:rsidR="00917F43">
        <w:rPr>
          <w:rFonts w:ascii="Cambria" w:hAnsi="Cambria"/>
          <w:sz w:val="24"/>
          <w:szCs w:val="24"/>
        </w:rPr>
        <w:t>for</w:t>
      </w:r>
      <w:r w:rsidR="00917F43" w:rsidRPr="00A84473">
        <w:rPr>
          <w:rFonts w:ascii="Cambria" w:hAnsi="Cambria"/>
          <w:sz w:val="24"/>
          <w:szCs w:val="24"/>
        </w:rPr>
        <w:t xml:space="preserve"> </w:t>
      </w:r>
      <w:r w:rsidR="00BE1FD9" w:rsidRPr="00A84473">
        <w:rPr>
          <w:rFonts w:ascii="Cambria" w:hAnsi="Cambria"/>
          <w:sz w:val="24"/>
          <w:szCs w:val="24"/>
        </w:rPr>
        <w:t>induc</w:t>
      </w:r>
      <w:r w:rsidR="00917F43">
        <w:rPr>
          <w:rFonts w:ascii="Cambria" w:hAnsi="Cambria"/>
          <w:sz w:val="24"/>
          <w:szCs w:val="24"/>
        </w:rPr>
        <w:t>tion of</w:t>
      </w:r>
      <w:r w:rsidR="00006107" w:rsidRPr="00A84473">
        <w:rPr>
          <w:rFonts w:ascii="Cambria" w:hAnsi="Cambria"/>
          <w:sz w:val="24"/>
          <w:szCs w:val="24"/>
        </w:rPr>
        <w:t xml:space="preserve"> antibody</w:t>
      </w:r>
      <w:r w:rsidR="00A85A77" w:rsidRPr="00A84473">
        <w:rPr>
          <w:rFonts w:ascii="Cambria" w:hAnsi="Cambria"/>
          <w:sz w:val="24"/>
          <w:szCs w:val="24"/>
        </w:rPr>
        <w:t xml:space="preserve"> dependent</w:t>
      </w:r>
      <w:r w:rsidR="00051A78" w:rsidRPr="00A84473">
        <w:rPr>
          <w:rFonts w:ascii="Cambria" w:hAnsi="Cambria"/>
          <w:sz w:val="24"/>
          <w:szCs w:val="24"/>
        </w:rPr>
        <w:t xml:space="preserve"> cel</w:t>
      </w:r>
      <w:r w:rsidR="00A85A77" w:rsidRPr="00A84473">
        <w:rPr>
          <w:rFonts w:ascii="Cambria" w:hAnsi="Cambria"/>
          <w:sz w:val="24"/>
          <w:szCs w:val="24"/>
        </w:rPr>
        <w:t xml:space="preserve">l-mediated </w:t>
      </w:r>
      <w:r w:rsidR="00051A78" w:rsidRPr="00A84473">
        <w:rPr>
          <w:rFonts w:ascii="Cambria" w:hAnsi="Cambria"/>
          <w:sz w:val="24"/>
          <w:szCs w:val="24"/>
        </w:rPr>
        <w:t>cytotoxicity</w:t>
      </w:r>
      <w:r w:rsidR="00A85A77" w:rsidRPr="00A84473">
        <w:rPr>
          <w:rFonts w:ascii="Cambria" w:hAnsi="Cambria"/>
          <w:sz w:val="24"/>
          <w:szCs w:val="24"/>
        </w:rPr>
        <w:t xml:space="preserve"> (ADCC)</w:t>
      </w:r>
      <w:r w:rsidR="00917F43">
        <w:rPr>
          <w:rFonts w:ascii="Cambria" w:hAnsi="Cambria"/>
          <w:sz w:val="24"/>
          <w:szCs w:val="24"/>
        </w:rPr>
        <w:t>,</w:t>
      </w:r>
      <w:r w:rsidR="00051A78" w:rsidRPr="00A84473">
        <w:rPr>
          <w:rFonts w:ascii="Cambria" w:hAnsi="Cambria"/>
          <w:sz w:val="24"/>
          <w:szCs w:val="24"/>
        </w:rPr>
        <w:t xml:space="preserve"> whereas non-membrane </w:t>
      </w:r>
      <w:r w:rsidR="00BE1FD9" w:rsidRPr="00A84473">
        <w:rPr>
          <w:rFonts w:ascii="Cambria" w:hAnsi="Cambria"/>
          <w:sz w:val="24"/>
          <w:szCs w:val="24"/>
        </w:rPr>
        <w:t xml:space="preserve">proteins </w:t>
      </w:r>
      <w:r w:rsidR="00051A78" w:rsidRPr="00A84473">
        <w:rPr>
          <w:rFonts w:ascii="Cambria" w:hAnsi="Cambria"/>
          <w:sz w:val="24"/>
          <w:szCs w:val="24"/>
        </w:rPr>
        <w:t>are especially important to induce a robust T</w:t>
      </w:r>
      <w:r w:rsidR="000F141B" w:rsidRPr="00A84473">
        <w:rPr>
          <w:rFonts w:ascii="Cambria" w:hAnsi="Cambria"/>
          <w:sz w:val="24"/>
          <w:szCs w:val="24"/>
        </w:rPr>
        <w:t xml:space="preserve"> </w:t>
      </w:r>
      <w:r w:rsidR="00051A78" w:rsidRPr="00A84473">
        <w:rPr>
          <w:rFonts w:ascii="Cambria" w:hAnsi="Cambria"/>
          <w:sz w:val="24"/>
          <w:szCs w:val="24"/>
        </w:rPr>
        <w:t>cell response</w:t>
      </w:r>
      <w:r w:rsidR="00105FEC" w:rsidRPr="00A84473">
        <w:rPr>
          <w:rFonts w:ascii="Cambria" w:hAnsi="Cambria"/>
          <w:sz w:val="24"/>
          <w:szCs w:val="24"/>
        </w:rPr>
        <w:fldChar w:fldCharType="begin" w:fldLock="1"/>
      </w:r>
      <w:r w:rsidR="00D83E6A">
        <w:rPr>
          <w:rFonts w:ascii="Cambria" w:hAnsi="Cambria"/>
          <w:sz w:val="24"/>
          <w:szCs w:val="24"/>
        </w:rPr>
        <w:instrText>ADDIN CSL_CITATION { "citationItems" : [ { "id" : "ITEM-1", "itemData" : { "DOI" : "10.1016/j.coi.2015.04.005", "ISSN" : "1879-0372", "PMID" : "26070108", "abstract" : "Respiratory syncytial virus (RSV) remains a leading global cause of infant mortality and adult morbidity. Infection, which recurs throughout life, elicits only short-lived immunity. The development of a safe and efficacious vaccine has, thus far, been elusive. Recent technological advances, however, have yielded promising RSV vaccine candidates that are based on solving atomic-level structures of surface glycoproteins interacting with neutralizing antibodies. The class I fusion glycoprotein, F, serves as the primary antigenic component of most vaccines, and is the target of the only licensed monoclonal antibody product used to reduce the frequency of severe disease in high-risk neonates. However, success of prior F-based vaccines has been limited by the lack of understanding how the conformational rearrangement between a metastable prefusion F (pre-F) and a stable postfusion F (post-F) affected the epitope content. Neutralizing epitopes reside on both conformations, but those specific to pre-F are far more potent than those previously identified and present on post-F. The solution of the pre-F structure and its subsequent characterization and stabilization illustrates the value of a structure-based approach to vaccine development, and provides hope that a safe and effective RSV vaccine is possible.", "author" : [ { "dropping-particle" : "", "family" : "Graham", "given" : "Barney S", "non-dropping-particle" : "", "parse-names" : false, "suffix" : "" }, { "dropping-particle" : "", "family" : "Modjarrad", "given" : "Kayvon", "non-dropping-particle" : "", "parse-names" : false, "suffix" : "" }, { "dropping-particle" : "", "family" : "McLellan", "given" : "Jason S", "non-dropping-particle" : "", "parse-names" : false, "suffix" : "" } ], "container-title" : "Current opinion in immunology", "id" : "ITEM-1", "issued" : { "date-parts" : [ [ "2015", "8" ] ] }, "page" : "30-8", "title" : "Novel antigens for RSV vaccines.", "type" : "article-journal", "volume" : "35" }, "uris" : [ "http://www.mendeley.com/documents/?uuid=39739666-53b0-3e97-b22f-8c9fac6dcb65" ] } ], "mendeley" : { "formattedCitation" : "(58)", "plainTextFormattedCitation" : "(58)", "previouslyFormattedCitation" : "(58)" }, "properties" : { "noteIndex" : 0 }, "schema" : "https://github.com/citation-style-language/schema/raw/master/csl-citation.json" }</w:instrText>
      </w:r>
      <w:r w:rsidR="00105FEC" w:rsidRPr="00A84473">
        <w:rPr>
          <w:rFonts w:ascii="Cambria" w:hAnsi="Cambria"/>
          <w:sz w:val="24"/>
          <w:szCs w:val="24"/>
        </w:rPr>
        <w:fldChar w:fldCharType="separate"/>
      </w:r>
      <w:r w:rsidR="00462954" w:rsidRPr="00462954">
        <w:rPr>
          <w:rFonts w:ascii="Cambria" w:hAnsi="Cambria"/>
          <w:noProof/>
          <w:sz w:val="24"/>
          <w:szCs w:val="24"/>
        </w:rPr>
        <w:t>(58)</w:t>
      </w:r>
      <w:r w:rsidR="00105FEC" w:rsidRPr="00A84473">
        <w:rPr>
          <w:rFonts w:ascii="Cambria" w:hAnsi="Cambria"/>
          <w:sz w:val="24"/>
          <w:szCs w:val="24"/>
        </w:rPr>
        <w:fldChar w:fldCharType="end"/>
      </w:r>
      <w:r w:rsidR="00051A78" w:rsidRPr="00A84473">
        <w:rPr>
          <w:rFonts w:ascii="Cambria" w:hAnsi="Cambria"/>
          <w:sz w:val="24"/>
          <w:szCs w:val="24"/>
        </w:rPr>
        <w:t>.</w:t>
      </w:r>
    </w:p>
    <w:p w14:paraId="16F0441B" w14:textId="77777777" w:rsidR="001D2232" w:rsidRPr="009C5A75" w:rsidRDefault="001D2232" w:rsidP="00C566BC">
      <w:pPr>
        <w:jc w:val="both"/>
        <w:rPr>
          <w:rFonts w:ascii="Cambria" w:hAnsi="Cambria"/>
          <w:u w:val="single"/>
        </w:rPr>
      </w:pPr>
    </w:p>
    <w:p w14:paraId="490C25A1" w14:textId="63361EDD" w:rsidR="0043754E" w:rsidRPr="00B06BC8" w:rsidRDefault="0043754E" w:rsidP="00C566BC">
      <w:pPr>
        <w:jc w:val="both"/>
        <w:rPr>
          <w:rFonts w:ascii="Cambria" w:hAnsi="Cambria"/>
          <w:u w:val="single"/>
        </w:rPr>
      </w:pPr>
      <w:r w:rsidRPr="00B06BC8">
        <w:rPr>
          <w:rFonts w:ascii="Cambria" w:hAnsi="Cambria"/>
          <w:u w:val="single"/>
        </w:rPr>
        <w:t>Target populations</w:t>
      </w:r>
    </w:p>
    <w:p w14:paraId="601E26D9" w14:textId="61718C04" w:rsidR="00DB38A5" w:rsidRDefault="00A66738" w:rsidP="00C566BC">
      <w:pPr>
        <w:jc w:val="both"/>
        <w:rPr>
          <w:rFonts w:ascii="Cambria" w:hAnsi="Cambria"/>
        </w:rPr>
      </w:pPr>
      <w:r>
        <w:rPr>
          <w:rFonts w:ascii="Cambria" w:hAnsi="Cambria"/>
        </w:rPr>
        <w:t xml:space="preserve">RSV </w:t>
      </w:r>
      <w:r w:rsidR="00BB611A">
        <w:rPr>
          <w:rFonts w:ascii="Cambria" w:hAnsi="Cambria"/>
        </w:rPr>
        <w:t xml:space="preserve">prophylactic interventions </w:t>
      </w:r>
      <w:r w:rsidR="007262A9">
        <w:rPr>
          <w:rFonts w:ascii="Cambria" w:hAnsi="Cambria"/>
        </w:rPr>
        <w:t>are</w:t>
      </w:r>
      <w:r w:rsidR="005672D0">
        <w:rPr>
          <w:rFonts w:ascii="Cambria" w:hAnsi="Cambria"/>
        </w:rPr>
        <w:t xml:space="preserve"> designed </w:t>
      </w:r>
      <w:r w:rsidR="00887B35">
        <w:rPr>
          <w:rFonts w:ascii="Cambria" w:hAnsi="Cambria"/>
        </w:rPr>
        <w:t xml:space="preserve">to </w:t>
      </w:r>
      <w:r w:rsidR="00511A43">
        <w:rPr>
          <w:rFonts w:ascii="Cambria" w:hAnsi="Cambria"/>
        </w:rPr>
        <w:t xml:space="preserve">protect </w:t>
      </w:r>
      <w:r w:rsidR="00E21B99">
        <w:rPr>
          <w:rFonts w:ascii="Cambria" w:hAnsi="Cambria"/>
        </w:rPr>
        <w:t xml:space="preserve">at least </w:t>
      </w:r>
      <w:r w:rsidR="00E6364D">
        <w:rPr>
          <w:rFonts w:ascii="Cambria" w:hAnsi="Cambria"/>
        </w:rPr>
        <w:t>two</w:t>
      </w:r>
      <w:r w:rsidR="00511A43">
        <w:rPr>
          <w:rFonts w:ascii="Cambria" w:hAnsi="Cambria"/>
        </w:rPr>
        <w:t xml:space="preserve"> populations most vulnerable </w:t>
      </w:r>
      <w:r w:rsidR="00917F43">
        <w:rPr>
          <w:rFonts w:ascii="Cambria" w:hAnsi="Cambria"/>
        </w:rPr>
        <w:t xml:space="preserve">to </w:t>
      </w:r>
      <w:r w:rsidR="00511A43">
        <w:rPr>
          <w:rFonts w:ascii="Cambria" w:hAnsi="Cambria"/>
        </w:rPr>
        <w:t>severe RSV disease</w:t>
      </w:r>
      <w:r>
        <w:rPr>
          <w:rFonts w:ascii="Cambria" w:hAnsi="Cambria"/>
        </w:rPr>
        <w:t>:</w:t>
      </w:r>
      <w:r w:rsidR="00511A43">
        <w:rPr>
          <w:rFonts w:ascii="Cambria" w:hAnsi="Cambria"/>
        </w:rPr>
        <w:t xml:space="preserve"> </w:t>
      </w:r>
      <w:r w:rsidR="00694A51">
        <w:rPr>
          <w:rFonts w:ascii="Cambria" w:hAnsi="Cambria"/>
        </w:rPr>
        <w:t xml:space="preserve">RSV-naïve </w:t>
      </w:r>
      <w:r w:rsidR="00D32482">
        <w:rPr>
          <w:rFonts w:ascii="Cambria" w:hAnsi="Cambria"/>
        </w:rPr>
        <w:t>young infants</w:t>
      </w:r>
      <w:r w:rsidR="00917F43">
        <w:rPr>
          <w:rFonts w:ascii="Cambria" w:hAnsi="Cambria"/>
        </w:rPr>
        <w:t xml:space="preserve"> and</w:t>
      </w:r>
      <w:r w:rsidR="00694A51">
        <w:rPr>
          <w:rFonts w:ascii="Cambria" w:hAnsi="Cambria"/>
        </w:rPr>
        <w:t xml:space="preserve"> children,</w:t>
      </w:r>
      <w:r w:rsidR="00561143">
        <w:rPr>
          <w:rFonts w:ascii="Cambria" w:hAnsi="Cambria"/>
        </w:rPr>
        <w:t xml:space="preserve"> and </w:t>
      </w:r>
      <w:r w:rsidR="00DF6A3E">
        <w:rPr>
          <w:rFonts w:ascii="Cambria" w:hAnsi="Cambria"/>
        </w:rPr>
        <w:t>older</w:t>
      </w:r>
      <w:r w:rsidR="00704536">
        <w:rPr>
          <w:rFonts w:ascii="Cambria" w:hAnsi="Cambria"/>
        </w:rPr>
        <w:t xml:space="preserve"> </w:t>
      </w:r>
      <w:r w:rsidR="00DF6A3E">
        <w:rPr>
          <w:rFonts w:ascii="Cambria" w:hAnsi="Cambria"/>
        </w:rPr>
        <w:t>adults</w:t>
      </w:r>
      <w:r w:rsidR="00C734BB">
        <w:rPr>
          <w:rFonts w:ascii="Cambria" w:hAnsi="Cambria"/>
        </w:rPr>
        <w:t xml:space="preserve">, although </w:t>
      </w:r>
      <w:r w:rsidR="00B778AB">
        <w:rPr>
          <w:rFonts w:ascii="Cambria" w:hAnsi="Cambria"/>
        </w:rPr>
        <w:t>other important high-</w:t>
      </w:r>
      <w:r w:rsidR="00C734BB">
        <w:rPr>
          <w:rFonts w:ascii="Cambria" w:hAnsi="Cambria"/>
        </w:rPr>
        <w:t>risk</w:t>
      </w:r>
      <w:r w:rsidR="00B65B72">
        <w:rPr>
          <w:rFonts w:ascii="Cambria" w:hAnsi="Cambria"/>
        </w:rPr>
        <w:t xml:space="preserve"> </w:t>
      </w:r>
      <w:r w:rsidR="00C734BB">
        <w:rPr>
          <w:rFonts w:ascii="Cambria" w:hAnsi="Cambria"/>
        </w:rPr>
        <w:t xml:space="preserve">populations </w:t>
      </w:r>
      <w:r w:rsidR="007262A9">
        <w:rPr>
          <w:rFonts w:ascii="Cambria" w:hAnsi="Cambria"/>
        </w:rPr>
        <w:t xml:space="preserve">are important </w:t>
      </w:r>
      <w:r w:rsidR="00C734BB">
        <w:rPr>
          <w:rFonts w:ascii="Cambria" w:hAnsi="Cambria"/>
        </w:rPr>
        <w:t>to consider</w:t>
      </w:r>
      <w:r w:rsidR="00561143">
        <w:rPr>
          <w:rFonts w:ascii="Cambria" w:hAnsi="Cambria"/>
        </w:rPr>
        <w:t>.</w:t>
      </w:r>
      <w:r w:rsidR="00DB38A5">
        <w:rPr>
          <w:rFonts w:ascii="Cambria" w:hAnsi="Cambria"/>
        </w:rPr>
        <w:t xml:space="preserve"> </w:t>
      </w:r>
      <w:r w:rsidR="00763F13">
        <w:rPr>
          <w:rFonts w:ascii="Cambria" w:hAnsi="Cambria"/>
        </w:rPr>
        <w:t xml:space="preserve">It is estimated that 45% of hospital admissions and in-hospital deaths due to RSV-ALRI occur </w:t>
      </w:r>
      <w:r w:rsidR="00717FBE">
        <w:rPr>
          <w:rFonts w:ascii="Cambria" w:hAnsi="Cambria"/>
        </w:rPr>
        <w:t>in infants younger than 6 months of age</w:t>
      </w:r>
      <w:r w:rsidR="00D32482">
        <w:rPr>
          <w:rFonts w:ascii="Cambria" w:hAnsi="Cambria"/>
        </w:rPr>
        <w:fldChar w:fldCharType="begin" w:fldLock="1"/>
      </w:r>
      <w:r w:rsidR="00744571">
        <w:rPr>
          <w:rFonts w:ascii="Cambria" w:hAnsi="Cambria"/>
        </w:rPr>
        <w:instrText>ADDIN CSL_CITATION { "citationItems" : [ { "id" : "ITEM-1", "itemData" : { "DOI" : "10.1016/S0140-6736(17)30938-8", "ISSN" : "01406736", "PMID" : "28689664", "abstract" : "BACKGROUND We have previously estimated that respiratory syncytial virus (RSV) was associated with 22% of all episodes of (severe) acute lower respiratory infection (ALRI) resulting in 55\u2008000 to 199\u2008000 deaths in children younger than 5 years in 2005. In the past 5 years, major research activity on RSV has yielded substantial new data from developing countries. With a considerably expanded dataset from a large international collaboration, we aimed to estimate the global incidence, hospital admission rate, and mortality from RSV-ALRI episodes in young children in 2015. METHODS We estimated the incidence and hospital admission rate of RSV-associated ALRI (RSV-ALRI) in children younger than 5 years stratified by age and World Bank income regions from a systematic review of studies published between Jan 1, 1995, and Dec 31, 2016, and unpublished data from 76 high quality population-based studies. We estimated the RSV-ALRI incidence for 132 developing countries using a risk factor-based model and 2015 population estimates. We estimated the in-hospital RSV-ALRI mortality by combining in-hospital case fatality ratios with hospital admission estimates from hospital-based (published and unpublished) studies. We also estimated overall RSV-ALRI mortality by identifying studies reporting monthly data for ALRI mortality in the community and RSV activity. FINDINGS We estimated that globally in 2015, 33\u00b71 million (uncertainty range [UR] 21\u00b76-50\u00b73) episodes of RSV-ALRI, resulted in about 3\u00b72 million (2\u00b77-3\u00b78) hospital admissions, and 59\u2008600 (48\u2008000-74\u2008500) in-hospital deaths in children younger than 5 years. In children younger than 6 months, 1\u00b74 million (UR 1\u00b72-1\u00b77) hospital admissions, and 27\u2008300 (UR 20\u2008700-36\u2008200) in-hospital deaths were due to RSV-ALRI. We also estimated that the overall RSV-ALRI mortality could be as high as 118\u2008200 (UR 94\u2008600-149\u2008400). Incidence and mortality varied substantially from year to year in any given population. INTERPRETATION Globally, RSV is a common cause of childhood ALRI and a major cause of hospital admissions in young children, resulting in a substantial burden on health-care services. About 45% of hospital admissions and in-hospital deaths due to RSV-ALRI occur in children younger than 6 months. An effective maternal RSV vaccine or monoclonal antibody could have a substantial effect on disease burden in this age group. FUNDING The Bill &amp; Melinda Gates Foundation.", "author" : [ { "dropping-particle" : "", "family" : "Shi", "given" : "Ting", "non-dropping-particle" : "", "parse-names" : false, "suffix" : "" }, { "dropping-particle" : "", "family" : "McAllister", "given" : "David A", "non-dropping-particle" : "", "parse-names" : false, "suffix" : "" }, { "dropping-particle" : "", "family" : "O'Brien", "given" : "Katherine L", "non-dropping-particle" : "", "parse-names" : false, "suffix" : "" }, { "dropping-particle" : "", "family" : "Simoes", "given" : "Eric A F", "non-dropping-particle" : "", "parse-names" : false, "suffix" : "" }, { "dropping-particle" : "", "family" : "Madhi", "given" : "Shabir A", "non-dropping-particle" : "", "parse-names" : false, "suffix" : "" }, { "dropping-particle" : "", "family" : "Gessner", "given" : "Bradford D", "non-dropping-particle" : "", "parse-names" : false, "suffix" : "" }, { "dropping-particle" : "", "family" : "Polack", "given" : "Fernando P", "non-dropping-particle" : "", "parse-names" : false, "suffix" : "" }, { "dropping-particle" : "", "family" : "Balsells", "given" : "Evelyn", "non-dropping-particle" : "", "parse-names" : false, "suffix" : "" }, { "dropping-particle" : "", "family" : "Acacio", "given" : "Sozinho", "non-dropping-particle" : "", "parse-names" : false, "suffix" : "" }, { "dropping-particle" : "", "family" : "Aguayo", "given" : "Claudia", "non-dropping-particle" : "", "parse-names" : false, "suffix" : "" }, { "dropping-particle" : "", "family" : "Alassani", "given" : "Issifou", "non-dropping-particle" : "", "parse-names" : false, "suffix" : "" }, { "dropping-particle" : "", "family" : "Ali", "given" : "Asad", "non-dropping-particle" : "", "parse-names" : false, "suffix" : "" }, { "dropping-particle" : "", "family" : "Antonio", "given" : "Martin", "non-dropping-particle" : "", "parse-names" : false, "suffix" : "" }, { "dropping-particle" : "", "family" : "Awasthi", "given" : "Shally", "non-dropping-particle" : "", "parse-names" : false, "suffix" : "" }, { "dropping-particle" : "", "family" : "Awori", "given" : "Juliet O", "non-dropping-particle" : "", "parse-names" : false, "suffix" : "" }, { "dropping-particle" : "", "family" : "Azziz-Baumgartner", "given" : "Eduardo", "non-dropping-particle" : "", "parse-names" : false, "suffix" : "" }, { "dropping-particle" : "", "family" : "Baggett", "given" : "Henry C", "non-dropping-particle" : "", "parse-names" : false, "suffix" : "" }, { "dropping-particle" : "", "family" : "Baillie", "given" : "Vicky L", "non-dropping-particle" : "", "parse-names" : false, "suffix" : "" }, { "dropping-particle" : "", "family" : "Balmaseda", "given" : "Angel", "non-dropping-particle" : "", "parse-names" : false, "suffix" : "" }, { "dropping-particle" : "", "family" : "Barahona", "given" : "Alfredo", "non-dropping-particle" : "", "parse-names" : false, "suffix" : "" }, { "dropping-particle" : "", "family" : "Basnet", "given" : "Sudha", "non-dropping-particle" : "", "parse-names" : false, "suffix" : "" }, { "dropping-particle" : "", "family" : "Bassat", "given" : "Quique", "non-dropping-particle" : "", "parse-names" : false, "suffix" : "" }, { "dropping-particle" : "", "family" : "Basualdo", "given" : "Wilma", "non-dropping-particle" : "", "parse-names" : false, "suffix" : "" }, { "dropping-particle" : "", "family" : "Bigogo", "given" : "Godfrey", "non-dropping-particle" : "", "parse-names" : false, "suffix" : "" }, { "dropping-particle" : "", "family" : "Bont", "given" : "Louis", "non-dropping-particle" : "", "parse-names" : false, "suffix" : "" }, { "dropping-particle" : "", "family" : "Breiman", "given" : "Robert F", "non-dropping-particle" : "", "parse-names" : false, "suffix" : "" }, { "dropping-particle" : "", "family" : "Brooks", "given" : "W Abdullah", "non-dropping-particle" : "", "parse-names" : false, "suffix" : "" }, { "dropping-particle" : "", "family" : "Broor", "given" : "Shobha", "non-dropping-particle" : "", "parse-names" : false, "suffix" : "" }, { "dropping-particle" : "", "family" : "Bruce", "given" : "Nigel", "non-dropping-particle" : "", "parse-names" : false, "suffix" : "" }, { "dropping-particle" : "", "family" : "Bruden", "given" : "Dana", "non-dropping-particle" : "", "parse-names" : false, "suffix" : "" }, { "dropping-particle" : "", "family" : "Buchy", "given" : "Philippe", "non-dropping-particle" : "", "parse-names" : false, "suffix" : "" }, { "dropping-particle" : "", "family" : "Campbell", "given" : "Stuart", "non-dropping-particle" : "", "parse-names" : false, "suffix" : "" }, { "dropping-particle" : "", "family" : "Carosone-Link", "given" : "Phyllis", "non-dropping-particle" : "", "parse-names" : false, "suffix" : "" }, { "dropping-particle" : "", "family" : "Chadha", "given" : "Mandeep", "non-dropping-particle" : "", "parse-names" : false, "suffix" : "" }, { "dropping-particle" : "", "family" : "Chipeta", "given" : "James", "non-dropping-particle" : "", "parse-names" : false, "suffix" : "" }, { "dropping-particle" : "", "family" : "Chou", "given" : "Monidarin", "non-dropping-particle" : "", "parse-names" : false, "suffix" : "" }, { "dropping-particle" : "", "family" : "Clara", "given" : "Wilfrido", "non-dropping-particle" : "", "parse-names" : false, "suffix" : "" }, { "dropping-particle" : "", "family" : "Cohen", "given" : "Cheryl", "non-dropping-particle" : "", "parse-names" : false, "suffix" : "" }, { "dropping-particle" : "", "family" : "Cuellar", "given" : "Elizabeth", "non-dropping-particle" : "de", "parse-names" : false, "suffix" : "" }, { "dropping-particle" : "", "family" : "Dang", "given" : "Duc-Anh", "non-dropping-particle" : "", "parse-names" : false, "suffix" : "" }, { "dropping-particle" : "", "family" : "Dash-yandag", "given" : "Budragchaagiin", "non-dropping-particle" : "", "parse-names" : false, "suffix" : "" }, { "dropping-particle" : "", "family" : "Deloria-Knoll", "given" : "Maria", "non-dropping-particle" : "", "parse-names" : false, "suffix" : "" }, { "dropping-particle" : "", "family" : "Dherani", "given" : "Mukesh", "non-dropping-particle" : "", "parse-names" : false, "suffix" : "" }, { "dropping-particle" : "", "family" : "Eap", "given" : "Tekchheng", "non-dropping-particle" : "", "parse-names" : false, "suffix" : "" }, { "dropping-particle" : "", "family" : "Ebruke", "given" : "Bernard E", "non-dropping-particle" : "", "parse-names" : false, "suffix" : "" }, { "dropping-particle" : "", "family" : "Echavarria", "given" : "Marcela", "non-dropping-particle" : "", "parse-names" : false, "suffix" : "" }, { "dropping-particle" : "", "family" : "Freitas L\u00e1zaro Emediato", "given" : "Carla Cec\u00edlia", "non-dropping-particle" : "de", "parse-names" : false, "suffix" : "" }, { "dropping-particle" : "", "family" : "Fasce", "given" : "Rodrigo A", "non-dropping-particle" : "", "parse-names" : false, "suffix" : "" }, { "dropping-particle" : "", "family" : "Feikin", "given" : "Daniel R", "non-dropping-particle" : "", "parse-names" : false, "suffix" : "" }, { "dropping-particle" : "", "family" : "Feng", "given" : "Luzhao", "non-dropping-particle" : "", "parse-names" : false, "suffix" : "" }, { "dropping-particle" : "", "family" : "Gentile", "given" : "Angela", "non-dropping-particle" : "", "parse-names" : false, "suffix" : "" }, { "dropping-particle" : "", "family" : "Gordon", "given" : "Aubree", "non-dropping-particle" : "", "parse-names" : false, "suffix" : "" }, { "dropping-particle" : "", "family" : "Goswami", "given" : "Doli", "non-dropping-particle" : "", "parse-names" : false, "suffix" : "" }, { "dropping-particle" : "", "family" : "Goyet", "given" : "Sophie", "non-dropping-particle" : "", "parse-names" : false, "suffix" : "" }, { "dropping-particle" : "", "family" : "Groome", "given" : "Michelle", "non-dropping-particle" : "", "parse-names" : false, "suffix" : "" }, { "dropping-particle" : "", "family" : "Halasa", "given" : "Natasha", "non-dropping-particle" : "", "parse-names" : false, "suffix" : "" }, { "dropping-particle" : "", "family" : "Hirve", "given" : "Siddhivinayak", "non-dropping-particle" : "", "parse-names" : false, "suffix" : "" }, { "dropping-particle" : "", "family" : "Homaira", "given" : "Nusrat", "non-dropping-particle" : "", "parse-names" : false, "suffix" : "" }, { "dropping-particle" : "", "family" : "Howie", "given" : "Stephen R C", "non-dropping-particle" : "", "parse-names" : false, "suffix" : "" }, { "dropping-particle" : "", "family" : "Jara", "given" : "Jorge", "non-dropping-particle" : "", "parse-names" : false, "suffix" : "" }, { "dropping-particle" : "", "family" : "Jroundi", "given" : "Imane", "non-dropping-particle" : "", "parse-names" : false, "suffix" : "" }, { "dropping-particle" : "", "family" : "Kartasasmita", "given" : "Cissy B", "non-dropping-particle" : "", "parse-names" : false, "suffix" : "" }, { "dropping-particle" : "", "family" : "Khuri-Bulos", "given" : "Najwa", "non-dropping-particle" : "", "parse-names" : false, "suffix" : "" }, { "dropping-particle" : "", "family" : "Kotloff", "given" : "Karen L", "non-dropping-particle" : "", "parse-names" : false, "suffix" : "" }, { "dropping-particle" : "", "family" : "Krishnan", "given" : "Anand", "non-dropping-particle" : "", "parse-names" : false, "suffix" : "" }, { "dropping-particle" : "", "family" : "Libster", "given" : "Romina", "non-dropping-particle" : "", "parse-names" : false, "suffix" : "" }, { "dropping-particle" : "", "family" : "Lopez", "given" : "Olga", "non-dropping-particle" : "", "parse-names" : false, "suffix" : "" }, { "dropping-particle" : "", "family" : "Lucero", "given" : "Marilla G", "non-dropping-particle" : "", "parse-names" : false, "suffix" : "" }, { "dropping-particle" : "", "family" : "Lucion", "given" : "Florencia", "non-dropping-particle" : "", "parse-names" : false, "suffix" : "" }, { "dropping-particle" : "", "family" : "Lupisan", "given" : "Socorro P", "non-dropping-particle" : "", "parse-names" : false, "suffix" : "" }, { "dropping-particle" : "", "family" : "Marcone", "given" : "Debora N", "non-dropping-particle" : "", "parse-names" : false, "suffix" : "" }, { "dropping-particle" : "", "family" : "McCracken", "given" : "John P", "non-dropping-particle" : "", "parse-names" : false, "suffix" : "" }, { "dropping-particle" : "", "family" : "Mejia", "given" : "Mario", "non-dropping-particle" : "", "parse-names" : false, "suffix" : "" }, { "dropping-particle" : "", "family" : "Moisi", "given" : "Jennifer C", "non-dropping-particle" : "", "parse-names" : false, "suffix" : "" }, { "dropping-particle" : "", "family" : "Montgomery", "given" : "Joel M", "non-dropping-particle" : "", "parse-names" : false, "suffix" : "" }, { "dropping-particle" : "", "family" : "Moore", "given" : "David P", "non-dropping-particle" : "", "parse-names" : false, "suffix" : "" }, { "dropping-particle" : "", "family" : "Moraleda", "given" : "Cinta", "non-dropping-particle" : "", "parse-names" : false, "suffix" : "" }, { "dropping-particle" : "", "family" : "Moyes", "given" : "Jocelyn", "non-dropping-particle" : "", "parse-names" : false, "suffix" : "" }, { "dropping-particle" : "", "family" : "Munywoki", "given" : "Patrick", "non-dropping-particle" : "", "parse-names" : false, "suffix" : "" }, { "dropping-particle" : "", "family" : "Mutyara", "given" : "Kuswandewi", "non-dropping-particle" : "", "parse-names" : false, "suffix" : "" }, { "dropping-particle" : "", "family" : "Nicol", "given" : "Mark P", "non-dropping-particle" : "", "parse-names" : false, "suffix" : "" }, { "dropping-particle" : "", "family" : "Nokes", "given" : "D James", "non-dropping-particle" : "", "parse-names" : false, "suffix" : "" }, { "dropping-particle" : "", "family" : "Nymadawa", "given" : "Pagbajabyn", "non-dropping-particle" : "", "parse-names" : false, "suffix" : "" }, { "dropping-particle" : "", "family" : "Costa Oliveira", "given" : "Maria Tereza", "non-dropping-particle" : "da", "parse-names" : false, "suffix" : "" }, { "dropping-particle" : "", "family" : "Oshitani", "given" : "Histoshi", "non-dropping-particle" : "", "parse-names" : false, "suffix" : "" }, { "dropping-particle" : "", "family" : "Pandey", "given" : "Nitin", "non-dropping-particle" : "", "parse-names" : false, "suffix" : "" }, { "dropping-particle" : "", "family" : "Paranhos-Baccal\u00e0", "given" : "Gl\u00e1ucia", "non-dropping-particle" : "", "parse-names" : false, "suffix" : "" }, { "dropping-particle" : "", "family" : "Phillips", "given" : "Lia N", "non-dropping-particle" : "", "parse-names" : false, "suffix" : "" }, { "dropping-particle" : "", "family" : "Picot", "given" : "Valentina Sanchez", "non-dropping-particle" : "", "parse-names" : false, "suffix" : "" }, { "dropping-particle" : "", "family" : "Rahman", "given" : "Mustafizur", "non-dropping-particle" : "", "parse-names" : false, "suffix" : "" }, { "dropping-particle" : "", "family" : "Rakoto-Andrianarivelo", "given" : "Mala", "non-dropping-particle" : "", "parse-names" : false, "suffix" : "" }, { "dropping-particle" : "", "family" : "Rasmussen", "given" : "Zeba A", "non-dropping-particle" : "", "parse-names" : false, "suffix" : "" }, { "dropping-particle" : "", "family" : "Rath", "given" : "Barbara A", "non-dropping-particle" : "", "parse-names" : false, "suffix" : "" }, { "dropping-particle" : "", "family" : "Robinson", "given" : "Annick", "non-dropping-particle" : "", "parse-names" : false, "suffix" : "" }, { "dropping-particle" : "", "family" : "Romero", "given" : "Candice", "non-dropping-particle" : "", "parse-names" : false, "suffix" : "" }, { "dropping-particle" : "", "family" : "Russomando", "given" : "Graciela", "non-dropping-particle" : "", "parse-names" : false, "suffix" : "" }, { "dropping-particle" : "", "family" : "Salimi", "given" : "Vahid", "non-dropping-particle" : "", "parse-names" : false, "suffix" : "" }, { "dropping-particle" : "", "family" : "Sawatwong", "given" : "Pongpun", "non-dropping-particle" : "", "parse-names" : false, "suffix" : "" }, { "dropping-particle" : "", "family" : "Scheltema", "given" : "Nienke", "non-dropping-particle" : "", "parse-names" : false, "suffix" : "" }, { "dropping-particle" : "", "family" : "Schweiger", "given" : "Brunhilde", "non-dropping-particle" : "", "parse-names" : false, "suffix" : "" }, { "dropping-particle" : "", "family" : "Scott", "given" : "J Anthony G", "non-dropping-particle" : "", "parse-names" : false, "suffix" : "" }, { "dropping-particle" : "", "family" : "Seidenberg", "given" : "Phil", "non-dropping-particle" : "", "parse-names" : false, "suffix" : "" }, { "dropping-particle" : "", "family" : "Shen", "given" : "Kunling", "non-dropping-particle" : "", "parse-names" : false, "suffix" : "" }, { "dropping-particle" : "", "family" : "Singleton", "given" : "Rosalyn", "non-dropping-particle" : "", "parse-names" : false, "suffix" : "" }, { "dropping-particle" : "", "family" : "Sotomayor", "given" : "Viviana", "non-dropping-particle" : "", "parse-names" : false, "suffix" : "" }, { "dropping-particle" : "", "family" : "Strand", "given" : "Tor A", "non-dropping-particle" : "", "parse-names" : false, "suffix" : "" }, { "dropping-particle" : "", "family" : "Sutanto", "given" : "Agustinus", "non-dropping-particle" : "", "parse-names" : false, "suffix" : "" }, { "dropping-particle" : "", "family" : "Sylla", "given" : "Mariam", "non-dropping-particle" : "", "parse-names" : false, "suffix" : "" }, { "dropping-particle" : "", "family" : "Tapia", "given" : "Milagritos D", "non-dropping-particle" : "", "parse-names" : false, "suffix" : "" }, { "dropping-particle" : "", "family" : "Thamthitiwat", "given" : "Somsak", "non-dropping-particle" : "", "parse-names" : false, "suffix" : "" }, { "dropping-particle" : "", "family" : "Thomas", "given" : "Elizabeth D", "non-dropping-particle" : "", "parse-names" : false, "suffix" : "" }, { "dropping-particle" : "", "family" : "Tokarz", "given" : "Rafal", "non-dropping-particle" : "", "parse-names" : false, "suffix" : "" }, { "dropping-particle" : "", "family" : "Turner", "given" : "Claudia", "non-dropping-particle" : "", "parse-names" : false, "suffix" : "" }, { "dropping-particle" : "", "family" : "Venter", "given" : "Marietjie", "non-dropping-particle" : "", "parse-names" : false, "suffix" : "" }, { "dropping-particle" : "", "family" : "Waicharoen", "given" : "Sunthareeya", "non-dropping-particle" : "", "parse-names" : false, "suffix" : "" }, { "dropping-particle" : "", "family" : "Wang", "given" : "Jianwei", "non-dropping-particle" : "", "parse-names" : false, "suffix" : "" }, { "dropping-particle" : "", "family" : "Watthanaworawit", "given" : "Wanitda", "non-dropping-particle" : "", "parse-names" : false, "suffix" : "" }, { "dropping-particle" : "", "family" : "Yoshida", "given" : "Lay-Myint", "non-dropping-particle" : "", "parse-names" : false, "suffix" : "" }, { "dropping-particle" : "", "family" : "Yu", "given" : "Hongjie", "non-dropping-particle" : "", "parse-names" : false, "suffix" : "" }, { "dropping-particle" : "", "family" : "Zar", "given" : "Heather J", "non-dropping-particle" : "", "parse-names" : false, "suffix" : "" }, { "dropping-particle" : "", "family" : "Campbell", "given" : "Harry", "non-dropping-particle" : "", "parse-names" : false, "suffix" : "" }, { "dropping-particle" : "", "family" : "Nair", "given" : "Harish", "non-dropping-particle" : "", "parse-names" : false, "suffix" : "" }, { "dropping-particle" : "", "family" : "RSV Global Epidemiology Network", "given" : "", "non-dropping-particle" : "", "parse-names" : false, "suffix" : "" } ], "container-title" : "The Lancet", "id" : "ITEM-1", "issue" : "10098", "issued" : { "date-parts" : [ [ "2017", "9", "2" ] ] }, "page" : "946-958", "title" : "Global, regional, and national disease burden estimates of acute lower respiratory infections due to respiratory syncytial virus in young children in 2015: a systematic review and modelling study", "type" : "article-journal", "volume" : "390" }, "uris" : [ "http://www.mendeley.com/documents/?uuid=fc87d297-adb5-343c-922b-5c0803beb912" ] } ], "mendeley" : { "formattedCitation" : "(1)", "plainTextFormattedCitation" : "(1)", "previouslyFormattedCitation" : "(1)" }, "properties" : { "noteIndex" : 0 }, "schema" : "https://github.com/citation-style-language/schema/raw/master/csl-citation.json" }</w:instrText>
      </w:r>
      <w:r w:rsidR="00D32482">
        <w:rPr>
          <w:rFonts w:ascii="Cambria" w:hAnsi="Cambria"/>
        </w:rPr>
        <w:fldChar w:fldCharType="separate"/>
      </w:r>
      <w:r w:rsidR="00D32482" w:rsidRPr="00D32482">
        <w:rPr>
          <w:rFonts w:ascii="Cambria" w:hAnsi="Cambria"/>
          <w:noProof/>
        </w:rPr>
        <w:t>(1)</w:t>
      </w:r>
      <w:r w:rsidR="00D32482">
        <w:rPr>
          <w:rFonts w:ascii="Cambria" w:hAnsi="Cambria"/>
        </w:rPr>
        <w:fldChar w:fldCharType="end"/>
      </w:r>
      <w:r w:rsidR="002B35C8">
        <w:rPr>
          <w:rFonts w:ascii="Cambria" w:hAnsi="Cambria"/>
        </w:rPr>
        <w:t>, an age at which vaccines are generally less immunogenic</w:t>
      </w:r>
      <w:r w:rsidR="00763F13">
        <w:rPr>
          <w:rFonts w:ascii="Cambria" w:hAnsi="Cambria"/>
        </w:rPr>
        <w:t>.</w:t>
      </w:r>
      <w:r w:rsidR="007228BD">
        <w:rPr>
          <w:rFonts w:ascii="Cambria" w:hAnsi="Cambria"/>
        </w:rPr>
        <w:t xml:space="preserve"> </w:t>
      </w:r>
      <w:r w:rsidR="00BB611A">
        <w:rPr>
          <w:rFonts w:ascii="Cambria" w:hAnsi="Cambria"/>
        </w:rPr>
        <w:t>O</w:t>
      </w:r>
      <w:r w:rsidR="00DF6A3E">
        <w:rPr>
          <w:rFonts w:ascii="Cambria" w:hAnsi="Cambria"/>
        </w:rPr>
        <w:t>lder adults</w:t>
      </w:r>
      <w:r w:rsidR="001C1AA5">
        <w:rPr>
          <w:rFonts w:ascii="Cambria" w:hAnsi="Cambria"/>
        </w:rPr>
        <w:t xml:space="preserve"> and adults with chronic cardiopulmona</w:t>
      </w:r>
      <w:r w:rsidR="006F4172">
        <w:rPr>
          <w:rFonts w:ascii="Cambria" w:hAnsi="Cambria"/>
        </w:rPr>
        <w:t>ry conditions</w:t>
      </w:r>
      <w:r w:rsidR="00DF6A3E">
        <w:rPr>
          <w:rFonts w:ascii="Cambria" w:hAnsi="Cambria"/>
        </w:rPr>
        <w:t xml:space="preserve"> </w:t>
      </w:r>
      <w:r w:rsidR="00561143">
        <w:rPr>
          <w:rFonts w:ascii="Cambria" w:hAnsi="Cambria"/>
        </w:rPr>
        <w:t>have emerged</w:t>
      </w:r>
      <w:r w:rsidR="00DB38A5">
        <w:rPr>
          <w:rFonts w:ascii="Cambria" w:hAnsi="Cambria"/>
        </w:rPr>
        <w:t xml:space="preserve"> </w:t>
      </w:r>
      <w:r w:rsidR="00561143">
        <w:rPr>
          <w:rFonts w:ascii="Cambria" w:hAnsi="Cambria"/>
        </w:rPr>
        <w:t>as</w:t>
      </w:r>
      <w:r w:rsidR="00DB38A5">
        <w:rPr>
          <w:rFonts w:ascii="Cambria" w:hAnsi="Cambria"/>
        </w:rPr>
        <w:t xml:space="preserve"> an important target for RSV prevention</w:t>
      </w:r>
      <w:r w:rsidR="00887B35">
        <w:rPr>
          <w:rFonts w:ascii="Cambria" w:hAnsi="Cambria"/>
        </w:rPr>
        <w:t xml:space="preserve"> due to </w:t>
      </w:r>
      <w:r>
        <w:rPr>
          <w:rFonts w:ascii="Cambria" w:hAnsi="Cambria"/>
        </w:rPr>
        <w:t xml:space="preserve">an </w:t>
      </w:r>
      <w:r w:rsidR="00887B35">
        <w:rPr>
          <w:rFonts w:ascii="Cambria" w:hAnsi="Cambria"/>
        </w:rPr>
        <w:t>increased understanding of RSV burden in this population</w:t>
      </w:r>
      <w:r w:rsidR="007228BD">
        <w:rPr>
          <w:rFonts w:ascii="Cambria" w:hAnsi="Cambria"/>
        </w:rPr>
        <w:t>.</w:t>
      </w:r>
      <w:r w:rsidR="00695977" w:rsidRPr="00695977">
        <w:rPr>
          <w:rFonts w:ascii="Cambria" w:hAnsi="Cambria"/>
        </w:rPr>
        <w:t xml:space="preserve"> </w:t>
      </w:r>
      <w:r w:rsidR="00695977">
        <w:rPr>
          <w:rFonts w:ascii="Cambria" w:hAnsi="Cambria"/>
        </w:rPr>
        <w:t xml:space="preserve">An overview of all RSV vaccine candidates per target population is shown in Table </w:t>
      </w:r>
      <w:r w:rsidR="00FC15CE">
        <w:rPr>
          <w:rFonts w:ascii="Cambria" w:hAnsi="Cambria"/>
        </w:rPr>
        <w:t>2</w:t>
      </w:r>
      <w:r w:rsidR="00695977">
        <w:rPr>
          <w:rFonts w:ascii="Cambria" w:hAnsi="Cambria"/>
        </w:rPr>
        <w:t>.</w:t>
      </w:r>
    </w:p>
    <w:p w14:paraId="5C286911" w14:textId="45971D5C" w:rsidR="000B0D70" w:rsidRDefault="00D66337" w:rsidP="00A84473">
      <w:pPr>
        <w:widowControl w:val="0"/>
        <w:autoSpaceDE w:val="0"/>
        <w:autoSpaceDN w:val="0"/>
        <w:adjustRightInd w:val="0"/>
        <w:ind w:firstLine="720"/>
        <w:rPr>
          <w:rFonts w:ascii="Cambria" w:hAnsi="Cambria"/>
        </w:rPr>
      </w:pPr>
      <w:r>
        <w:rPr>
          <w:rFonts w:ascii="Cambria" w:hAnsi="Cambria"/>
        </w:rPr>
        <w:t xml:space="preserve">Maternal vaccination is </w:t>
      </w:r>
      <w:r w:rsidR="007262A9">
        <w:rPr>
          <w:rFonts w:ascii="Cambria" w:hAnsi="Cambria"/>
        </w:rPr>
        <w:t>utilized to provide passive immunity to</w:t>
      </w:r>
      <w:r>
        <w:rPr>
          <w:rFonts w:ascii="Cambria" w:hAnsi="Cambria"/>
        </w:rPr>
        <w:t xml:space="preserve"> young infants </w:t>
      </w:r>
      <w:r w:rsidR="0039232D">
        <w:rPr>
          <w:rFonts w:ascii="Cambria" w:hAnsi="Cambria"/>
        </w:rPr>
        <w:t>by boosting</w:t>
      </w:r>
      <w:r w:rsidR="00843BEC">
        <w:rPr>
          <w:rFonts w:ascii="Cambria" w:hAnsi="Cambria"/>
        </w:rPr>
        <w:t xml:space="preserve"> </w:t>
      </w:r>
      <w:r w:rsidR="0039232D">
        <w:rPr>
          <w:rFonts w:ascii="Cambria" w:hAnsi="Cambria"/>
        </w:rPr>
        <w:t xml:space="preserve">maternal </w:t>
      </w:r>
      <w:r w:rsidR="00CA2C45">
        <w:rPr>
          <w:rFonts w:ascii="Cambria" w:hAnsi="Cambria"/>
        </w:rPr>
        <w:t xml:space="preserve">vaccine-specific </w:t>
      </w:r>
      <w:r w:rsidR="0039232D">
        <w:rPr>
          <w:rFonts w:ascii="Cambria" w:hAnsi="Cambria"/>
        </w:rPr>
        <w:t xml:space="preserve">antibody titers that are </w:t>
      </w:r>
      <w:r w:rsidR="0081402D">
        <w:rPr>
          <w:rFonts w:ascii="Cambria" w:hAnsi="Cambria"/>
        </w:rPr>
        <w:t xml:space="preserve">actively </w:t>
      </w:r>
      <w:r>
        <w:rPr>
          <w:rFonts w:ascii="Cambria" w:hAnsi="Cambria"/>
        </w:rPr>
        <w:t>transfer</w:t>
      </w:r>
      <w:r w:rsidR="0039232D">
        <w:rPr>
          <w:rFonts w:ascii="Cambria" w:hAnsi="Cambria"/>
        </w:rPr>
        <w:t>red</w:t>
      </w:r>
      <w:r>
        <w:rPr>
          <w:rFonts w:ascii="Cambria" w:hAnsi="Cambria"/>
        </w:rPr>
        <w:t xml:space="preserve"> </w:t>
      </w:r>
      <w:r w:rsidR="0039232D">
        <w:rPr>
          <w:rFonts w:ascii="Cambria" w:hAnsi="Cambria"/>
        </w:rPr>
        <w:t>to the infant, thereby extending the period of protection conferred by maternal antibodies</w:t>
      </w:r>
      <w:r>
        <w:rPr>
          <w:rFonts w:ascii="Cambria" w:hAnsi="Cambria"/>
        </w:rPr>
        <w:t xml:space="preserve">. </w:t>
      </w:r>
      <w:r w:rsidR="00B10336">
        <w:rPr>
          <w:rFonts w:ascii="Cambria" w:hAnsi="Cambria"/>
        </w:rPr>
        <w:t>H</w:t>
      </w:r>
      <w:r>
        <w:rPr>
          <w:rFonts w:ascii="Cambria" w:hAnsi="Cambria"/>
        </w:rPr>
        <w:t>istorically</w:t>
      </w:r>
      <w:r w:rsidR="00704536">
        <w:rPr>
          <w:rFonts w:ascii="Cambria" w:hAnsi="Cambria"/>
        </w:rPr>
        <w:t>, epidemiologic studies have demonstrated an association between higher maternal RSV antibody concentrations and protection from lower respiratory tract infection in infants</w:t>
      </w:r>
      <w:r w:rsidR="009E7550">
        <w:rPr>
          <w:rFonts w:ascii="Cambria" w:hAnsi="Cambria"/>
        </w:rPr>
        <w:fldChar w:fldCharType="begin" w:fldLock="1"/>
      </w:r>
      <w:r w:rsidR="00D83E6A">
        <w:rPr>
          <w:rFonts w:ascii="Cambria" w:hAnsi="Cambria"/>
        </w:rPr>
        <w:instrText>ADDIN CSL_CITATION { "citationItems" : [ { "id" : "ITEM-1", "itemData" : { "ISSN" : "0022-3476", "PMID" : "7229749", "abstract" : "The risk for hospitalization with respiratory syncytial virus infection during the first year of life was about five per 1,000 live births per year for infants born to low-income families in Houston from 1975 to 1979. The risk varied depending upon the intensity of the epidemic for a given season, the month of birth of the infant, and the level of passively acquired maternal antibody at the time of birth. Over 80% of the children hospitalized were less than 6 months of age; thus, most were born during the six months preceding the peak of RS virus activity. The neutralizing antibody titers in cord sera of 68 infants with culture-proven infections before 6 months of age were significantly lower than those of 575 randomly selected cord samples of infants born during the same period. The level of antibody at the time of birth was directly correlated with age at the time of infection. In addition, infants with more severe illnesses had lower levels of antibody in serum collected near onset of illness than did infants with milder illnesses. These observations demonstrate protection against RS infection in early infancy that is correlated with the level of maternal antibody, but it is not known if this protection is mediated directly by the passively acquired antibody or by some other mechanism.", "author" : [ { "dropping-particle" : "", "family" : "Glezen", "given" : "W P", "non-dropping-particle" : "", "parse-names" : false, "suffix" : "" }, { "dropping-particle" : "", "family" : "Paredes", "given" : "A", "non-dropping-particle" : "", "parse-names" : false, "suffix" : "" }, { "dropping-particle" : "", "family" : "Allison", "given" : "J E", "non-dropping-particle" : "", "parse-names" : false, "suffix" : "" }, { "dropping-particle" : "", "family" : "Taber", "given" : "L H", "non-dropping-particle" : "", "parse-names" : false, "suffix" : "" }, { "dropping-particle" : "", "family" : "Frank", "given" : "A L", "non-dropping-particle" : "", "parse-names" : false, "suffix" : "" } ], "container-title" : "The Journal of pediatrics", "id" : "ITEM-1", "issue" : "5", "issued" : { "date-parts" : [ [ "1981", "5" ] ] }, "page" : "708-15", "title" : "Risk of respiratory syncytial virus infection for infants from low-income families in relationship to age, sex, ethnic group, and maternal antibody level.", "type" : "article-journal", "volume" : "98" }, "uris" : [ "http://www.mendeley.com/documents/?uuid=9b476f2d-7f2a-3006-94f6-269154b30771" ] } ], "mendeley" : { "formattedCitation" : "(67)", "plainTextFormattedCitation" : "(67)", "previouslyFormattedCitation" : "(67)" }, "properties" : { "noteIndex" : 0 }, "schema" : "https://github.com/citation-style-language/schema/raw/master/csl-citation.json" }</w:instrText>
      </w:r>
      <w:r w:rsidR="009E7550">
        <w:rPr>
          <w:rFonts w:ascii="Cambria" w:hAnsi="Cambria"/>
        </w:rPr>
        <w:fldChar w:fldCharType="separate"/>
      </w:r>
      <w:r w:rsidR="00462954" w:rsidRPr="00462954">
        <w:rPr>
          <w:rFonts w:ascii="Cambria" w:hAnsi="Cambria"/>
          <w:noProof/>
        </w:rPr>
        <w:t>(67)</w:t>
      </w:r>
      <w:r w:rsidR="009E7550">
        <w:rPr>
          <w:rFonts w:ascii="Cambria" w:hAnsi="Cambria"/>
        </w:rPr>
        <w:fldChar w:fldCharType="end"/>
      </w:r>
      <w:r w:rsidR="00704536">
        <w:rPr>
          <w:rFonts w:ascii="Cambria" w:hAnsi="Cambria"/>
        </w:rPr>
        <w:t>.</w:t>
      </w:r>
      <w:r w:rsidR="00B10336">
        <w:rPr>
          <w:rFonts w:ascii="Cambria" w:hAnsi="Cambria"/>
        </w:rPr>
        <w:t xml:space="preserve"> </w:t>
      </w:r>
      <w:r w:rsidR="00704536">
        <w:rPr>
          <w:rFonts w:ascii="Cambria" w:hAnsi="Cambria"/>
        </w:rPr>
        <w:t>P</w:t>
      </w:r>
      <w:r w:rsidR="00B10336">
        <w:rPr>
          <w:rFonts w:ascii="Cambria" w:hAnsi="Cambria"/>
        </w:rPr>
        <w:t>assive transfer of antibodies to infants has</w:t>
      </w:r>
      <w:r>
        <w:rPr>
          <w:rFonts w:ascii="Cambria" w:hAnsi="Cambria"/>
        </w:rPr>
        <w:t xml:space="preserve"> been shown to be protective </w:t>
      </w:r>
      <w:r w:rsidR="00076D17">
        <w:rPr>
          <w:rFonts w:ascii="Cambria" w:hAnsi="Cambria"/>
        </w:rPr>
        <w:t>against</w:t>
      </w:r>
      <w:r>
        <w:rPr>
          <w:rFonts w:ascii="Cambria" w:hAnsi="Cambria"/>
        </w:rPr>
        <w:t xml:space="preserve"> </w:t>
      </w:r>
      <w:r w:rsidR="00F800AC">
        <w:rPr>
          <w:rFonts w:ascii="Cambria" w:hAnsi="Cambria"/>
        </w:rPr>
        <w:t xml:space="preserve">severe </w:t>
      </w:r>
      <w:r>
        <w:rPr>
          <w:rFonts w:ascii="Cambria" w:hAnsi="Cambria"/>
        </w:rPr>
        <w:t>RSV</w:t>
      </w:r>
      <w:r w:rsidR="00F800AC">
        <w:rPr>
          <w:rFonts w:ascii="Cambria" w:hAnsi="Cambria"/>
        </w:rPr>
        <w:t xml:space="preserve"> infection</w:t>
      </w:r>
      <w:r>
        <w:rPr>
          <w:rFonts w:ascii="Cambria" w:hAnsi="Cambria"/>
        </w:rPr>
        <w:t xml:space="preserve"> </w:t>
      </w:r>
      <w:r w:rsidR="00076D17">
        <w:rPr>
          <w:rFonts w:ascii="Cambria" w:hAnsi="Cambria"/>
        </w:rPr>
        <w:t>through</w:t>
      </w:r>
      <w:r>
        <w:rPr>
          <w:rFonts w:ascii="Cambria" w:hAnsi="Cambria"/>
        </w:rPr>
        <w:t xml:space="preserve"> the administration of </w:t>
      </w:r>
      <w:r w:rsidR="00E81CBF">
        <w:rPr>
          <w:rFonts w:ascii="Cambria" w:hAnsi="Cambria"/>
        </w:rPr>
        <w:t xml:space="preserve">high-titer </w:t>
      </w:r>
      <w:r>
        <w:rPr>
          <w:rFonts w:ascii="Cambria" w:hAnsi="Cambria"/>
        </w:rPr>
        <w:t>polyclonal and monoclonal antibodies (</w:t>
      </w:r>
      <w:r w:rsidR="00E81CBF">
        <w:rPr>
          <w:rFonts w:ascii="Cambria" w:hAnsi="Cambria"/>
        </w:rPr>
        <w:t xml:space="preserve">RSV-IVIG </w:t>
      </w:r>
      <w:r>
        <w:rPr>
          <w:rFonts w:ascii="Cambria" w:hAnsi="Cambria"/>
        </w:rPr>
        <w:t>and palivizumab</w:t>
      </w:r>
      <w:r w:rsidR="00994373">
        <w:rPr>
          <w:rFonts w:ascii="Cambria" w:hAnsi="Cambria"/>
        </w:rPr>
        <w:t xml:space="preserve">) </w:t>
      </w:r>
      <w:r w:rsidR="00FD6C34">
        <w:rPr>
          <w:rFonts w:ascii="Cambria" w:hAnsi="Cambria"/>
        </w:rPr>
        <w:fldChar w:fldCharType="begin" w:fldLock="1"/>
      </w:r>
      <w:r w:rsidR="00AC7A3A">
        <w:rPr>
          <w:rFonts w:ascii="Cambria" w:hAnsi="Cambria"/>
        </w:rPr>
        <w:instrText>ADDIN CSL_CITATION { "citationItems" : [ { "id" : "ITEM-1", "itemData" : { "ISSN" : "0031-4005", "PMID" : "7700741", "abstract" : "OBJECTIVE To evaluate the safety and efficacy of respiratory syncytial virus immune globulin (RSVIG) in the prevention of severe respiratory syncytial virus (RSV) lower respiratory tract infection (LRTI) in infants born prematurely with or without bronchopulmonary dysplasia (BPD). METHODS Data from a prospective, blinded, randomized, multicenter trial during three consecutive RSV seasons involving 249 children. This analysis comprises 162 preterm children, of whom 102 had BPD. The 87 children with congenital heart disease (CHD) were excluded from this analysis. Children were randomized to receive monthly infusions of RSVIG 750 mg/kg (high dose), RSVIG 150 mg/kg (low dose), or no RSVIG: Results from the preterm infants with and without BPD who received RSVIG 750 mg/kg are contrasted with control infants who did not receive RSVIG: RESULTS As compared with controls, high-dose RSVIG administration significantly reduced the incidences of RSV LRTI (P = .01) and moderate-to-severe LRTI (P = .006). RSV-associated hospitalization also was decreased (P = .06) as well as were total RSV-associated days in the intensive care unit (P = .05). Significantly fewer preterm infants developed severe RSV LRTI in the RSVIG group compared with controls (4/58 [7%] vs 14/58 [24%], respectively; P = .01). Adverse reactions occurred in 5% of RSVIG infusions. These were generally mild and included reversible fluid overload, transient fever, and decreases in oxygen saturation. There was one death unrelated to either RSV or RSVIG administration. CONCLUSIONS Prophylaxis with RSVIG is safe and is currently the only effective means to prevent severe RSV LRTI in high-risk preterm infants.", "author" : [ { "dropping-particle" : "", "family" : "Groothuis", "given" : "J R", "non-dropping-particle" : "", "parse-names" : false, "suffix" : "" }, { "dropping-particle" : "", "family" : "Simoes", "given" : "E A", "non-dropping-particle" : "", "parse-names" : false, "suffix" : "" }, { "dropping-particle" : "", "family" : "Hemming", "given" : "V G", "non-dropping-particle" : "", "parse-names" : false, "suffix" : "" } ], "container-title" : "Pediatrics", "id" : "ITEM-1", "issue" : "4", "issued" : { "date-parts" : [ [ "1995", "4" ] ] }, "page" : "463-7", "title" : "Respiratory syncytial virus (RSV) infection in preterm infants and the protective effects of RSV immune globulin (RSVIG). Respiratory Syncytial Virus Immune Globulin Study Group.", "type" : "article-journal", "volume" : "95" }, "uris" : [ "http://www.mendeley.com/documents/?uuid=d17a58e3-ff5b-380f-a5f8-3f795610ef67" ] }, { "id" : "ITEM-2", "itemData" : { "PMID" : "9738173", "abstract" : "OBJECTIVE To determine the safety and efficacy of prophylaxis with palivizumab in reducing the incidence of hospitalization because of respiratory syncytial virus (RSV) infection in high-risk infants. METHODS A randomized, double-blind, placebo-controlled trial was conducted at 139 centers in the United States, the United Kingdom, and Canada. During the 1996 to 1997 RSV season, 1502 children with prematurity (less than or equal to 35 weeks) or bronchopulmonary dysplasia (BPD) were randomized to receive 5 injections of either palivizumab (15 mg/kg) or an equivalent volume of placebo by intramuscular injection every 30 days. The primary endpoint was hospitalization with confirmed RSV infection. Children were followed for 150 days (30 days from the last injection). Those with hospitalization as a result of RSV infection were evaluated for total number of days in the hospital, total days with increased supplemental oxygen, total days with moderate or severe lower respiratory tract illness, and incidence and total days of intensive care and mechanical ventilation. The incidence of hospitalization for respiratory illness not caused by RSV and the incidence of otitis media were also evaluated. The placebo and palivizumab groups were balanced at entry for demographics and RSV risk factors. Ninety-nine percent of children in both groups completed the protocol and approximately 93% received all five scheduled injections. RESULTS Palivizumab prophylaxis resulted in a 55% reduction in hospitalization as a result of RSV (10.6% placebo vs 4.8% palivizumab). Children with prematurity but without BPD had a 78% reduction in RSV hospitalization (8.1% vs 1.8%); children with BPD had a 39% reduction (12.8% vs 7.9%). When gender, entry age, entry weight, BPD, and gestational age were included in a logistic regression model, the effect of prophylaxis with palivizumab remained statistically significant. The palivizumab group had proportionally fewer total RSV hospital days, fewer RSV hospital days with increased oxygen, fewer RSV hospital days with a moderate/severe lower respiratory tract illness, and a lower incidence of intensive care unit admission. Palivizumab was safe and well tolerated. No significant differences were observed in reported adverse events between the two groups. Few children discontinued injections for related adverse events (0.3%). Reactions at the site of injection were uncommon (1.8% placebo vs 2.7% palivizumab); the most frequent reaction was mild an\u2026", "author" : [ { "dropping-particle" : "", "family" : "IMpact Study Group", "given" : "", "non-dropping-particle" : "", "parse-names" : false, "suffix" : "" } ], "container-title" : "Pediatrics", "id" : "ITEM-2", "issue" : "3 Pt 1", "issued" : { "date-parts" : [ [ "1998", "9" ] ] }, "page" : "531-7", "title" : "Palivizumab, a humanized respiratory syncytial virus monoclonal antibody, reduces hospitalization from respiratory syncytial virus infection in high-risk infants. The IMpact-RSV Study Group.", "type" : "article-journal", "volume" : "102" }, "uris" : [ "http://www.mendeley.com/documents/?uuid=d8e38d7f-6209-3b02-99cc-be50f1099db1" ] } ], "mendeley" : { "formattedCitation" : "(28,29)", "plainTextFormattedCitation" : "(28,29)", "previouslyFormattedCitation" : "(28,29)" }, "properties" : { "noteIndex" : 0 }, "schema" : "https://github.com/citation-style-language/schema/raw/master/csl-citation.json" }</w:instrText>
      </w:r>
      <w:r w:rsidR="00FD6C34">
        <w:rPr>
          <w:rFonts w:ascii="Cambria" w:hAnsi="Cambria"/>
        </w:rPr>
        <w:fldChar w:fldCharType="separate"/>
      </w:r>
      <w:r w:rsidR="009F500F" w:rsidRPr="009F500F">
        <w:rPr>
          <w:rFonts w:ascii="Cambria" w:hAnsi="Cambria"/>
          <w:noProof/>
        </w:rPr>
        <w:t>(28,29)</w:t>
      </w:r>
      <w:r w:rsidR="00FD6C34">
        <w:rPr>
          <w:rFonts w:ascii="Cambria" w:hAnsi="Cambria"/>
        </w:rPr>
        <w:fldChar w:fldCharType="end"/>
      </w:r>
      <w:r>
        <w:rPr>
          <w:rFonts w:ascii="Cambria" w:hAnsi="Cambria"/>
        </w:rPr>
        <w:t>.</w:t>
      </w:r>
      <w:r w:rsidR="00697720">
        <w:rPr>
          <w:rFonts w:ascii="Cambria" w:hAnsi="Cambria"/>
        </w:rPr>
        <w:t xml:space="preserve"> </w:t>
      </w:r>
      <w:r w:rsidR="00E41B0C">
        <w:rPr>
          <w:rFonts w:ascii="Cambria" w:hAnsi="Cambria"/>
        </w:rPr>
        <w:t>The duration of protection</w:t>
      </w:r>
      <w:r w:rsidR="00C83726">
        <w:rPr>
          <w:rFonts w:ascii="Cambria" w:hAnsi="Cambria"/>
        </w:rPr>
        <w:t xml:space="preserve"> of maternal vaccination</w:t>
      </w:r>
      <w:r w:rsidR="00E41B0C">
        <w:rPr>
          <w:rFonts w:ascii="Cambria" w:hAnsi="Cambria"/>
        </w:rPr>
        <w:t xml:space="preserve"> is </w:t>
      </w:r>
      <w:r w:rsidR="00253294">
        <w:rPr>
          <w:rFonts w:ascii="Cambria" w:hAnsi="Cambria"/>
        </w:rPr>
        <w:t>defined</w:t>
      </w:r>
      <w:r w:rsidR="00E41B0C">
        <w:rPr>
          <w:rFonts w:ascii="Cambria" w:hAnsi="Cambria"/>
        </w:rPr>
        <w:t xml:space="preserve"> by the antibody half-life.</w:t>
      </w:r>
      <w:r w:rsidR="00C83726">
        <w:rPr>
          <w:rFonts w:ascii="Cambria" w:hAnsi="Cambria"/>
        </w:rPr>
        <w:t xml:space="preserve"> Administration of mAbs is an alternative form of passive vaccination that can circumvent this hurdle </w:t>
      </w:r>
      <w:r w:rsidR="00D83E6A">
        <w:rPr>
          <w:rFonts w:ascii="Cambria" w:hAnsi="Cambria"/>
        </w:rPr>
        <w:t>due to</w:t>
      </w:r>
      <w:r w:rsidR="00C83726">
        <w:rPr>
          <w:rFonts w:ascii="Cambria" w:hAnsi="Cambria"/>
        </w:rPr>
        <w:t xml:space="preserve"> extended antibody half-life through Fc alterations</w:t>
      </w:r>
      <w:r w:rsidR="00D83E6A">
        <w:rPr>
          <w:rFonts w:ascii="Cambria" w:hAnsi="Cambria"/>
        </w:rPr>
        <w:fldChar w:fldCharType="begin" w:fldLock="1"/>
      </w:r>
      <w:r w:rsidR="00A828B0">
        <w:rPr>
          <w:rFonts w:ascii="Cambria" w:hAnsi="Cambria"/>
        </w:rPr>
        <w:instrText>ADDIN CSL_CITATION { "citationItems" : [ { "id" : "ITEM-1", "itemData" : { "DOI" : "10.1126/scitranslmed.aaj1928", "ISSN" : "1946-6242", "PMID" : "28469033", "abstract" : "Prevention of respiratory syncytial virus (RSV) illness in all infants is a major public health priority. However, no vaccine is currently available to protect this vulnerable population. Palivizumab, the only approved agent for RSV prophylaxis, is limited to high-risk infants, and the cost associated with the requirement for dosing throughout the RSV season makes its use impractical for all infants. We describe the development of a monoclonal antibody as potential RSV prophylaxis for all infants with a single intramuscular dose. MEDI8897*, a highly potent human antibody, was optimized from antibody D25, which targets the prefusion conformation of the RSV fusion (F) protein. Crystallographic analysis of Fab in complex with RSV F from subtypes A and B reveals that MEDI8897* binds a highly conserved epitope. MEDI8897* neutralizes a diverse panel of RSV A and B strains with &gt;50-fold higher activity than palivizumab. At similar serum concentrations, prophylactic administration of MEDI8897* was ninefold more potent than palivizumab at reducing pulmonary viral loads by &gt;3 logs in cotton rats infected with either RSV A or B subtypes. MEDI8897 was generated by the introduction of triple amino acid substitutions (YTE) into the Fc domain of MEDI8897*, which led to more than threefold increased half-life in cynomolgus monkeys compared to non-YTE antibody. Considering the pharmacokinetics of palivizumab in infants, which necessitates five monthly doses for protection during an RSV season, the high potency and extended half-life of MEDI8897 support its development as a cost-effective option to protect all infants from RSV disease with once-per-RSV-season dosing in the clinic.", "author" : [ { "dropping-particle" : "", "family" : "Zhu", "given" : "Qing", "non-dropping-particle" : "", "parse-names" : false, "suffix" : "" }, { "dropping-particle" : "", "family" : "McLellan", "given" : "Jason S", "non-dropping-particle" : "", "parse-names" : false, "suffix" : "" }, { "dropping-particle" : "", "family" : "Kallewaard", "given" : "Nicole L", "non-dropping-particle" : "", "parse-names" : false, "suffix" : "" }, { "dropping-particle" : "", "family" : "Ulbrandt", "given" : "Nancy D", "non-dropping-particle" : "", "parse-names" : false, "suffix" : "" }, { "dropping-particle" : "", "family" : "Palaszynski", "given" : "Susan", "non-dropping-particle" : "", "parse-names" : false, "suffix" : "" }, { "dropping-particle" : "", "family" : "Zhang", "given" : "Jing", "non-dropping-particle" : "", "parse-names" : false, "suffix" : "" }, { "dropping-particle" : "", "family" : "Moldt", "given" : "Brian", "non-dropping-particle" : "", "parse-names" : false, "suffix" : "" }, { "dropping-particle" : "", "family" : "Khan", "given" : "Anis", "non-dropping-particle" : "", "parse-names" : false, "suffix" : "" }, { "dropping-particle" : "", "family" : "Svabek", "given" : "Catherine", "non-dropping-particle" : "", "parse-names" : false, "suffix" : "" }, { "dropping-particle" : "", "family" : "McAuliffe", "given" : "Josephine M", "non-dropping-particle" : "", "parse-names" : false, "suffix" : "" }, { "dropping-particle" : "", "family" : "Wrapp", "given" : "Daniel", "non-dropping-particle" : "", "parse-names" : false, "suffix" : "" }, { "dropping-particle" : "", "family" : "Patel", "given" : "Nita K", "non-dropping-particle" : "", "parse-names" : false, "suffix" : "" }, { "dropping-particle" : "", "family" : "Cook", "given" : "Kimberly E", "non-dropping-particle" : "", "parse-names" : false, "suffix" : "" }, { "dropping-particle" : "", "family" : "Richter", "given" : "Bettina W M", "non-dropping-particle" : "", "parse-names" : false, "suffix" : "" }, { "dropping-particle" : "", "family" : "Ryan", "given" : "Patricia C", "non-dropping-particle" : "", "parse-names" : false, "suffix" : "" }, { "dropping-particle" : "", "family" : "Yuan", "given" : "Andy Q", "non-dropping-particle" : "", "parse-names" : false, "suffix" : "" }, { "dropping-particle" : "", "family" : "Suzich", "given" : "JoAnn A", "non-dropping-particle" : "", "parse-names" : false, "suffix" : "" } ], "container-title" : "Science translational medicine", "id" : "ITEM-1", "issue" : "388", "issued" : { "date-parts" : [ [ "2017", "5", "3" ] ] }, "page" : "eaaj1928", "title" : "A highly potent extended half-life antibody as a potential RSV vaccine surrogate for all infants.", "type" : "article-journal", "volume" : "9" }, "uris" : [ "http://www.mendeley.com/documents/?uuid=a2c15821-8b0d-31f2-ab29-2efc68b9ea12" ] } ], "mendeley" : { "formattedCitation" : "(68)", "plainTextFormattedCitation" : "(68)", "previouslyFormattedCitation" : "(68)" }, "properties" : { "noteIndex" : 0 }, "schema" : "https://github.com/citation-style-language/schema/raw/master/csl-citation.json" }</w:instrText>
      </w:r>
      <w:r w:rsidR="00D83E6A">
        <w:rPr>
          <w:rFonts w:ascii="Cambria" w:hAnsi="Cambria"/>
        </w:rPr>
        <w:fldChar w:fldCharType="separate"/>
      </w:r>
      <w:r w:rsidR="00D83E6A" w:rsidRPr="00D83E6A">
        <w:rPr>
          <w:rFonts w:ascii="Cambria" w:hAnsi="Cambria"/>
          <w:noProof/>
        </w:rPr>
        <w:t>(68)</w:t>
      </w:r>
      <w:r w:rsidR="00D83E6A">
        <w:rPr>
          <w:rFonts w:ascii="Cambria" w:hAnsi="Cambria"/>
        </w:rPr>
        <w:fldChar w:fldCharType="end"/>
      </w:r>
      <w:r w:rsidR="00C83726">
        <w:rPr>
          <w:rFonts w:ascii="Cambria" w:hAnsi="Cambria"/>
        </w:rPr>
        <w:t xml:space="preserve">. </w:t>
      </w:r>
      <w:r w:rsidR="00E41B0C">
        <w:rPr>
          <w:rFonts w:ascii="Cambria" w:hAnsi="Cambria"/>
        </w:rPr>
        <w:t xml:space="preserve"> </w:t>
      </w:r>
      <w:r w:rsidR="00076D17">
        <w:rPr>
          <w:rFonts w:ascii="Cambria" w:hAnsi="Cambria"/>
        </w:rPr>
        <w:t xml:space="preserve">The proof-of-principle of maternal vaccination as a tool to prevent infant disease </w:t>
      </w:r>
      <w:r w:rsidR="003646D3">
        <w:rPr>
          <w:rFonts w:ascii="Cambria" w:hAnsi="Cambria"/>
        </w:rPr>
        <w:t xml:space="preserve">has been demonstrated by </w:t>
      </w:r>
      <w:r w:rsidR="00076D17">
        <w:rPr>
          <w:rFonts w:ascii="Cambria" w:hAnsi="Cambria"/>
        </w:rPr>
        <w:t xml:space="preserve">the effective </w:t>
      </w:r>
      <w:r w:rsidR="00CA2C45">
        <w:rPr>
          <w:rFonts w:ascii="Cambria" w:hAnsi="Cambria"/>
        </w:rPr>
        <w:t xml:space="preserve">near-elimination </w:t>
      </w:r>
      <w:r w:rsidR="00076D17">
        <w:rPr>
          <w:rFonts w:ascii="Cambria" w:hAnsi="Cambria"/>
        </w:rPr>
        <w:t>of maternal and neonatal tetanus worldwide through tetanus toxoid vaccination in pregnancy</w:t>
      </w:r>
      <w:r w:rsidR="00076D17">
        <w:rPr>
          <w:rFonts w:ascii="Cambria" w:hAnsi="Cambria"/>
        </w:rPr>
        <w:fldChar w:fldCharType="begin" w:fldLock="1"/>
      </w:r>
      <w:r w:rsidR="00A828B0">
        <w:rPr>
          <w:rFonts w:ascii="Cambria" w:hAnsi="Cambria"/>
        </w:rPr>
        <w:instrText>ADDIN CSL_CITATION { "citationItems" : [ { "id" : "ITEM-1", "itemData" : { "DOI" : "10.1093/cid/ciu327", "ISSN" : "1537-6591", "PMID" : "24799324", "abstract" : "Maternal immunization has the potential to protect the pregnant woman, fetus, and infant from vaccine-preventable diseases. Maternal immunoglobulin G is actively transported across the placenta, providing passive immunity to the neonate and infant prior to the infant's ability to respond to vaccines. Currently inactivated influenza, tetanus toxoid, and acellular pertussis vaccines are recommended during pregnancy. Several other vaccines have been studied in pregnancy and found to be safe and immunogenic and to provide antibody to infants. These include pneumococcus, group B Streptococcus, Haemophilus influenzae type b, and meningococcus vaccines. Other vaccines in development for potential maternal immunization include respiratory syncytial virus, herpes simplex virus, and cytomegalovirus vaccines.", "author" : [ { "dropping-particle" : "", "family" : "Chu", "given" : "Helen Y", "non-dropping-particle" : "", "parse-names" : false, "suffix" : "" }, { "dropping-particle" : "", "family" : "Englund", "given" : "Janet A", "non-dropping-particle" : "", "parse-names" : false, "suffix" : "" } ], "container-title" : "Clinical infectious diseases : an official publication of the Infectious Diseases Society of America", "id" : "ITEM-1", "issue" : "4", "issued" : { "date-parts" : [ [ "2014", "8", "15" ] ] }, "page" : "560-8", "title" : "Maternal immunization.", "type" : "article-journal", "volume" : "59" }, "uris" : [ "http://www.mendeley.com/documents/?uuid=367e73cf-5a23-417c-95f9-a2ed6270b216" ] } ], "mendeley" : { "formattedCitation" : "(69)", "plainTextFormattedCitation" : "(69)", "previouslyFormattedCitation" : "(69)" }, "properties" : { "noteIndex" : 0 }, "schema" : "https://github.com/citation-style-language/schema/raw/master/csl-citation.json" }</w:instrText>
      </w:r>
      <w:r w:rsidR="00076D17">
        <w:rPr>
          <w:rFonts w:ascii="Cambria" w:hAnsi="Cambria"/>
        </w:rPr>
        <w:fldChar w:fldCharType="separate"/>
      </w:r>
      <w:r w:rsidR="00D83E6A" w:rsidRPr="00D83E6A">
        <w:rPr>
          <w:rFonts w:ascii="Cambria" w:hAnsi="Cambria"/>
          <w:noProof/>
        </w:rPr>
        <w:t>(69)</w:t>
      </w:r>
      <w:r w:rsidR="00076D17">
        <w:rPr>
          <w:rFonts w:ascii="Cambria" w:hAnsi="Cambria"/>
        </w:rPr>
        <w:fldChar w:fldCharType="end"/>
      </w:r>
      <w:r w:rsidR="00E41B0C">
        <w:rPr>
          <w:rFonts w:ascii="Cambria" w:hAnsi="Cambria"/>
        </w:rPr>
        <w:t xml:space="preserve">. </w:t>
      </w:r>
      <w:r w:rsidR="00076D17">
        <w:rPr>
          <w:rFonts w:ascii="Cambria" w:hAnsi="Cambria"/>
        </w:rPr>
        <w:t xml:space="preserve"> </w:t>
      </w:r>
      <w:r w:rsidR="00BB611A">
        <w:rPr>
          <w:rFonts w:ascii="Cambria" w:hAnsi="Cambria"/>
        </w:rPr>
        <w:t xml:space="preserve">Maternal </w:t>
      </w:r>
      <w:r w:rsidR="007228BD">
        <w:rPr>
          <w:rFonts w:ascii="Cambria" w:hAnsi="Cambria"/>
        </w:rPr>
        <w:t>vaccination may also play a role in prevention of</w:t>
      </w:r>
      <w:r w:rsidR="005D5571">
        <w:rPr>
          <w:rFonts w:ascii="Cambria" w:hAnsi="Cambria"/>
        </w:rPr>
        <w:t xml:space="preserve"> RSV</w:t>
      </w:r>
      <w:r w:rsidR="007228BD">
        <w:rPr>
          <w:rFonts w:ascii="Cambria" w:hAnsi="Cambria"/>
        </w:rPr>
        <w:t xml:space="preserve"> infection in pregnant</w:t>
      </w:r>
      <w:r w:rsidR="00BB611A">
        <w:rPr>
          <w:rFonts w:ascii="Cambria" w:hAnsi="Cambria"/>
        </w:rPr>
        <w:t xml:space="preserve"> </w:t>
      </w:r>
      <w:r w:rsidR="007228BD">
        <w:rPr>
          <w:rFonts w:ascii="Cambria" w:hAnsi="Cambria"/>
        </w:rPr>
        <w:t>women</w:t>
      </w:r>
      <w:r w:rsidR="003561C9">
        <w:rPr>
          <w:rFonts w:ascii="Cambria" w:hAnsi="Cambria"/>
        </w:rPr>
        <w:t xml:space="preserve"> and prevention of adverse birth outcomes</w:t>
      </w:r>
      <w:r w:rsidR="00BB611A">
        <w:rPr>
          <w:rFonts w:ascii="Cambria" w:hAnsi="Cambria"/>
        </w:rPr>
        <w:t xml:space="preserve">, however </w:t>
      </w:r>
      <w:r w:rsidR="003D2780">
        <w:rPr>
          <w:rFonts w:ascii="Cambria" w:hAnsi="Cambria"/>
        </w:rPr>
        <w:t xml:space="preserve">data on </w:t>
      </w:r>
      <w:r w:rsidR="00BB611A">
        <w:rPr>
          <w:rFonts w:ascii="Cambria" w:hAnsi="Cambria"/>
        </w:rPr>
        <w:t>the burden of RSV disease in pregnant women</w:t>
      </w:r>
      <w:r w:rsidR="00AD69C6">
        <w:rPr>
          <w:rFonts w:ascii="Cambria" w:hAnsi="Cambria"/>
        </w:rPr>
        <w:t xml:space="preserve"> and the effect of RSV infection during pregnancy on the fetus</w:t>
      </w:r>
      <w:r w:rsidR="00BB611A">
        <w:rPr>
          <w:rFonts w:ascii="Cambria" w:hAnsi="Cambria"/>
        </w:rPr>
        <w:t xml:space="preserve"> is </w:t>
      </w:r>
      <w:r w:rsidR="003D2780">
        <w:rPr>
          <w:rFonts w:ascii="Cambria" w:hAnsi="Cambria"/>
        </w:rPr>
        <w:t>limited</w:t>
      </w:r>
      <w:r w:rsidR="006E6AAE">
        <w:rPr>
          <w:rFonts w:ascii="Cambria" w:hAnsi="Cambria"/>
        </w:rPr>
        <w:fldChar w:fldCharType="begin" w:fldLock="1"/>
      </w:r>
      <w:r w:rsidR="00A828B0">
        <w:rPr>
          <w:rFonts w:ascii="Cambria" w:hAnsi="Cambria"/>
        </w:rPr>
        <w:instrText>ADDIN CSL_CITATION { "citationItems" : [ { "id" : "ITEM-1", "itemData" : { "DOI" : "10.1371/journal.pone.0148421", "ISSN" : "1932-6203", "PMID" : "26849042", "abstract" : "BACKGROUND: Pregnant women and infants under 6 months are at risk of influenza-related complications. Limited information exists on their community burden of respiratory viruses.\n\nMETHODS AND FINDINGS: This prospective, observational open cohort study was conducted in Baganuur district, Ulaanbaatar, Mongolia during 2013/14 and 2014/15 influenza seasons. Influenza-like illness (ILI) and severe acute respiratory infection (sARI) were identified by follow-up calls twice a week. For those identified, influenza and respiratory syncytical virus (RSV) were tested by point-of-care test kits. We calculated overall and stratified (by trimester or age group) incidence rates (IR) and used Cox proportional hazard regression for risk factor analyses. Among 1260 unvaccinated pregnant women enrolled, overall IRs for ILI, sARI and influenza A were 11.8 (95% confidence interval (C.I):11.2-12.4), 0.1 (95%C.I:0.0-0.4), and 1.7 (95%C.I:1.5-1.9) per 1,000person-days, respectively. One sARI case was influenza A positive. IRs and adjusted hazard ratios (Adj.HR) for ILI and influenza A were lowest in the third trimester. Those with co-morbidity were 1.4 times more likely to develop ILI [Adj.HR:1.4 (95%C.I:1.1-1.9)]. Among 1304 infants enrolled, overall ILI and sARI IRs were 15.2 (95%C.I:14.5-15.8) and 20.5 (95%C.I:19.7-21.3) per 1,000person-days, respectively. From the tested ILI (77.6%) and sARI (30.6%) cases, the overall positivity rates were 6.3% (influenza A), 1.1% (influenza B) and 9.3% (RSV). Positivity rates of influenza A and RSV tend to increase with age. sARI cases were 1.4 times more likely to be male [Adj.HR:1.4 (95%C.I:1.1-1.8)]. Among all influenza A and RSV positive infants, 11.8% and 68.0% were respectively identified among sARI hospitalized cases.\n\nCONCLUSION: We observed low overall influenza A burden in both groups, though underestimation was likely due to point-of-care tests used. For infants, RSV burden was more significant than influenza A. These findings would be useful for establishing control strategies for both viruses in Mongolia.", "author" : [ { "dropping-particle" : "", "family" : "Chaw", "given" : "Liling", "non-dropping-particle" : "", "parse-names" : false, "suffix" : "" }, { "dropping-particle" : "", "family" : "Kamigaki", "given" : "Taro", "non-dropping-particle" : "", "parse-names" : false, "suffix" : "" }, { "dropping-particle" : "", "family" : "Burmaa", "given" : "Alexanderyn", "non-dropping-particle" : "", "parse-names" : false, "suffix" : "" }, { "dropping-particle" : "", "family" : "Urtnasan", "given" : "Chuluunbatiin", "non-dropping-particle" : "", "parse-names" : false, "suffix" : "" }, { "dropping-particle" : "", "family" : "Od", "given" : "Ishiin", "non-dropping-particle" : "", "parse-names" : false, "suffix" : "" }, { "dropping-particle" : "", "family" : "Nyamaa", "given" : "Gunregjaviin", "non-dropping-particle" : "", "parse-names" : false, "suffix" : "" }, { "dropping-particle" : "", "family" : "Nymadawa", "given" : "Pagbajabyn", "non-dropping-particle" : "", "parse-names" : false, "suffix" : "" }, { "dropping-particle" : "", "family" : "Oshitani", "given" : "Hitoshi", "non-dropping-particle" : "", "parse-names" : false, "suffix" : "" } ], "container-title" : "PloS one", "id" : "ITEM-1", "issue" : "2", "issued" : { "date-parts" : [ [ "2016", "1", "5" ] ] }, "page" : "e0148421", "publisher" : "Public Library of Science", "title" : "Burden of Influenza and Respiratory Syncytial Virus Infection in Pregnant Women and Infants Under 6 Months in Mongolia: A Prospective Cohort Study.", "type" : "article-journal", "volume" : "11" }, "uris" : [ "http://www.mendeley.com/documents/?uuid=d9b60858-d381-4eda-9410-42b817485ba0" ] }, { "id" : "ITEM-2", "itemData" : { "DOI" : "10.1093/cid/cix1088", "ISSN" : "1058-4838", "PMID" : "29253090", "abstract" : "Background There are limited data on the burden of respiratory syncytial virus (RSV) illness among pregnant and post-partum women, to determine their potential benefit from maternal RSV vaccination aimed primarily at protecting their probands. We evaluated the incidence of RSV-illness from mid-pregnancy until 24-weeks post-partum in HIV-uninfected and HIV-infected women and their infants. Methods Mother-infant dyads were enrolled in phase-III maternal influenza vaccine efficacy trials. These included 1060 and 1056 HIV-uninfected pregnant women in 2011 and 2012, respectively, 194 HIV-infected pregnant women in 2011, and their infants. Upper respiratory tract samples obtained at illness visits were tested for RSV by PCR. Results The incidence (per 1000 person-months) of RSV-illness (n=43 overall) among HIV-uninfected women was lower in 2011 (1.2; 95%CI: 0.6, 2.2) than in 2012 (4.0; 95%CI: 2.8, 5.6; p=0.001). The incidence of RSV-illness (n=5) in HIV-infected women was 3.4 (95%CI: 1.4, 8.1) in 2011. Maternal RSV-infection was associated with respiratory symptoms including cough (72.1%), rhinorrhoea (39.5%), sore-throat (37.2%); and headache (42%), but fever was absent in all cases. RSV-infection during pregnancy was not associated with adverse pregnancy outcomes. Post-partum, RSV-infection in mothers (n=27) was associated with concurrent infection among 51.9% of their infants; and conversely 29.8% of mothers with an investigated respiratory illness within 7 days of their infants having a RSV illness also tested positive for RSV. Conclusions RSV-infection is associated with respiratory illness during pregnancy and post-partum in women. Vaccination of pregnant women against RSV could benefit the mother, albeit primarily against non-febrile illness, and her infant.", "author" : [ { "dropping-particle" : "", "family" : "Madhi", "given" : "Shabir A", "non-dropping-particle" : "", "parse-names" : false, "suffix" : "" }, { "dropping-particle" : "", "family" : "Cutland", "given" : "Clare L", "non-dropping-particle" : "", "parse-names" : false, "suffix" : "" }, { "dropping-particle" : "", "family" : "Downs", "given" : "Sarah", "non-dropping-particle" : "", "parse-names" : false, "suffix" : "" }, { "dropping-particle" : "", "family" : "Jones", "given" : "Stephanie", "non-dropping-particle" : "", "parse-names" : false, "suffix" : "" }, { "dropping-particle" : "", "family" : "Niekerk", "given" : "Nadia", "non-dropping-particle" : "van", "parse-names" : false, "suffix" : "" }, { "dropping-particle" : "", "family" : "Simoes", "given" : "Eric A F", "non-dropping-particle" : "", "parse-names" : false, "suffix" : "" }, { "dropping-particle" : "", "family" : "Nunes", "given" : "Marta C", "non-dropping-particle" : "", "parse-names" : false, "suffix" : "" } ], "container-title" : "Clinical Infectious Diseases", "id" : "ITEM-2", "issued" : { "date-parts" : [ [ "2017", "12", "15" ] ] }, "title" : "Burden of Respiratory Syncytial Virus Infection in South African Human Immunodeficiency Virus (HIV)-Infected and HIV-Uninfected Pregnant and Postpartum Women: A Longitudinal Cohort Study", "type" : "article-journal" }, "uris" : [ "http://www.mendeley.com/documents/?uuid=f0adf841-ac7a-3b4b-9d8b-55127ab85b40" ] }, { "id" : "ITEM-3", "itemData" : { "DOI" : "10.1371/journal.pone.0152015", "ISSN" : "1932-6203", "PMID" : "27031702", "abstract" : "BACKGROUND Respiratory syncytial virus (RSV) is the most important cause of viral pneumonia in children worldwide. A maternal vaccine may protect both the mother and infant from RSV illness. The epidemiology and clinical presentation of RSV in pregnant and postpartum women is not well-described. METHODS Data were collected from a prospective, randomized trial of influenza immunization in pregnant women in rural southern Nepal. Women were enrolled in their second trimester of pregnancy and followed until six months postpartum. Active weekly home-based surveillance for febrile respiratory illness was performed. Mid-nasal swabs collected with episodes of respiratory illness were tested for RSV by real-time polymerase chain reaction. RESULTS RSV was detected in 14 (0.4%) illness episodes in 3693 women over 3554 person-years of surveillance from 2011-2014. RSV incidence was 3.9/1000 person-years overall, and 11.8/1000 person-years between September and December. Seven (50%) women sought care for RSV illness; none died. Of the 7 (50%) illness episodes during pregnancy, all had live births with 2 (29%) preterm births and a median birthweight of 3060 grams. This compares to 469 (13%) preterm births and a median birthweight of 2790 grams in women without RSV during pregnancy. Of the 7 mothers with postpartum RSV infection, RSV was detected in 4 (57%) of their infants. CONCLUSIONS RSV was an uncommon cause of febrile respiratory illness in mothers during pregnancy in Nepal. These data will inform prevention and therapeutic strategies against RSV in resource-limited settings.", "author" : [ { "dropping-particle" : "", "family" : "Chu", "given" : "Helen Y.", "non-dropping-particle" : "", "parse-names" : false, "suffix" : "" }, { "dropping-particle" : "", "family" : "Katz", "given" : "Joanne", "non-dropping-particle" : "", "parse-names" : false, "suffix" : "" }, { "dropping-particle" : "", "family" : "Tielsch", "given" : "James", "non-dropping-particle" : "", "parse-names" : false, "suffix" : "" }, { "dropping-particle" : "", "family" : "Khatry", "given" : "Subarna K.", "non-dropping-particle" : "", "parse-names" : false, "suffix" : "" }, { "dropping-particle" : "", "family" : "Shrestha", "given" : "Laxman", "non-dropping-particle" : "", "parse-names" : false, "suffix" : "" }, { "dropping-particle" : "", "family" : "LeClerq", "given" : "Steven C.", "non-dropping-particle" : "", "parse-names" : false, "suffix" : "" }, { "dropping-particle" : "", "family" : "Magaret", "given" : "Amalia", "non-dropping-particle" : "", "parse-names" : false, "suffix" : "" }, { "dropping-particle" : "", "family" : "Kuypers", "given" : "Jane", "non-dropping-particle" : "", "parse-names" : false, "suffix" : "" }, { "dropping-particle" : "", "family" : "Steinhoff", "given" : "Mark C.", "non-dropping-particle" : "", "parse-names" : false, "suffix" : "" }, { "dropping-particle" : "", "family" : "Englund", "given" : "Janet A.", "non-dropping-particle" : "", "parse-names" : false, "suffix" : "" } ], "container-title" : "PLOS ONE", "editor" : [ { "dropping-particle" : "", "family" : "Jhaveri", "given" : "Ravi", "non-dropping-particle" : "", "parse-names" : false, "suffix" : "" } ], "id" : "ITEM-3", "issue" : "3", "issued" : { "date-parts" : [ [ "2016", "3", "31" ] ] }, "page" : "e0152015", "title" : "Clinical Presentation and Birth Outcomes Associated with Respiratory Syncytial Virus Infection in Pregnancy", "type" : "article-journal", "volume" : "11" }, "uris" : [ "http://www.mendeley.com/documents/?uuid=86690381-bfaf-3df8-9115-119244bb4677" ] }, { "id" : "ITEM-4", "itemData" : { "DOI" : "10.3201/eid2111.150497", "ISSN" : "1080-6040", "PMID" : "26485575", "abstract" : "Given the illness and deaths caused by respiratory syncytial virus (RSV) infection during the first year of life, preventing infant RSV infections through maternal vaccination is intriguing. However, little is known about the extent and maternal effects of RSV infection during pregnancy. We describe 3 cases of maternal RSV infection diagnosed at a US center during winter 2014. Case-patient 1 (26 years old, week 33 of gestation) received a diagnosis of RSV infection and required mechanical ventilation. Case-patient 2 (27 years old, week 34 of gestation) received a diagnosis of infection with influenza A(H1N1) virus and RSV and required mechanical ventilation. Case-patient 3 (21 years old, week 32 of gestation) received a diagnosis of group A streptococcus pharyngitis and RSV infection and was monitored as an outpatient. Clarifying the effects of maternal RSV infection could yield valuable insights into potential maternal and fetal benefits of an effective RSV vaccination program.", "author" : [ { "dropping-particle" : "", "family" : "Wheeler", "given" : "Sarahn M.", "non-dropping-particle" : "", "parse-names" : false, "suffix" : "" }, { "dropping-particle" : "", "family" : "Dotters-Katz", "given" : "Sarah", "non-dropping-particle" : "", "parse-names" : false, "suffix" : "" }, { "dropping-particle" : "", "family" : "Heine", "given" : "R. Phillip", "non-dropping-particle" : "", "parse-names" : false, "suffix" : "" }, { "dropping-particle" : "", "family" : "Grotegut", "given" : "Chad A.", "non-dropping-particle" : "", "parse-names" : false, "suffix" : "" }, { "dropping-particle" : "", "family" : "Swamy", "given" : "Geeta K.", "non-dropping-particle" : "", "parse-names" : false, "suffix" : "" } ], "container-title" : "Emerging Infectious Diseases", "id" : "ITEM-4", "issue" : "11", "issued" : { "date-parts" : [ [ "2015", "11" ] ] }, "page" : "1951-1955", "title" : "Maternal Effects of Respiratory Syncytial Virus Infection during Pregnancy", "type" : "article-journal", "volume" : "21" }, "uris" : [ "http://www.mendeley.com/documents/?uuid=9a73ba5d-82eb-3fb9-b37a-056b8022ae57" ] } ], "mendeley" : { "formattedCitation" : "(70\u201373)", "plainTextFormattedCitation" : "(70\u201373)", "previouslyFormattedCitation" : "(70\u201373)" }, "properties" : { "noteIndex" : 0 }, "schema" : "https://github.com/citation-style-language/schema/raw/master/csl-citation.json" }</w:instrText>
      </w:r>
      <w:r w:rsidR="006E6AAE">
        <w:rPr>
          <w:rFonts w:ascii="Cambria" w:hAnsi="Cambria"/>
        </w:rPr>
        <w:fldChar w:fldCharType="separate"/>
      </w:r>
      <w:r w:rsidR="00D83E6A" w:rsidRPr="00D83E6A">
        <w:rPr>
          <w:rFonts w:ascii="Cambria" w:hAnsi="Cambria"/>
          <w:noProof/>
        </w:rPr>
        <w:t>(70–73)</w:t>
      </w:r>
      <w:r w:rsidR="006E6AAE">
        <w:rPr>
          <w:rFonts w:ascii="Cambria" w:hAnsi="Cambria"/>
        </w:rPr>
        <w:fldChar w:fldCharType="end"/>
      </w:r>
      <w:r w:rsidR="00A66738">
        <w:rPr>
          <w:rFonts w:ascii="Cambria" w:hAnsi="Cambria"/>
        </w:rPr>
        <w:t xml:space="preserve"> </w:t>
      </w:r>
    </w:p>
    <w:p w14:paraId="799A4AD3" w14:textId="70F0DBDD" w:rsidR="00E01DB4" w:rsidRDefault="000B0D70" w:rsidP="00C566BC">
      <w:pPr>
        <w:jc w:val="both"/>
        <w:rPr>
          <w:rFonts w:ascii="Cambria" w:hAnsi="Cambria"/>
        </w:rPr>
      </w:pPr>
      <w:r>
        <w:rPr>
          <w:rFonts w:ascii="Cambria" w:hAnsi="Cambria"/>
        </w:rPr>
        <w:tab/>
      </w:r>
      <w:r w:rsidR="0016058C">
        <w:rPr>
          <w:rFonts w:ascii="Cambria" w:hAnsi="Cambria"/>
        </w:rPr>
        <w:t>Premature infants</w:t>
      </w:r>
      <w:r w:rsidR="00996573">
        <w:rPr>
          <w:rFonts w:ascii="Cambria" w:hAnsi="Cambria"/>
        </w:rPr>
        <w:t>, a population at high risk for severe RSV disease,</w:t>
      </w:r>
      <w:r w:rsidR="0016058C">
        <w:rPr>
          <w:rFonts w:ascii="Cambria" w:hAnsi="Cambria"/>
        </w:rPr>
        <w:t xml:space="preserve"> may be insufficiently protected by maternal vaccination</w:t>
      </w:r>
      <w:r w:rsidR="00D13320">
        <w:rPr>
          <w:rFonts w:ascii="Cambria" w:hAnsi="Cambria"/>
        </w:rPr>
        <w:t xml:space="preserve"> given that</w:t>
      </w:r>
      <w:r w:rsidR="007F79CF">
        <w:rPr>
          <w:rFonts w:ascii="Cambria" w:hAnsi="Cambria"/>
        </w:rPr>
        <w:t xml:space="preserve"> </w:t>
      </w:r>
      <w:r w:rsidR="005575C6">
        <w:rPr>
          <w:rFonts w:ascii="Cambria" w:hAnsi="Cambria"/>
        </w:rPr>
        <w:t>the majority of</w:t>
      </w:r>
      <w:r w:rsidR="00D13320">
        <w:rPr>
          <w:rFonts w:ascii="Cambria" w:hAnsi="Cambria"/>
        </w:rPr>
        <w:t xml:space="preserve"> transport </w:t>
      </w:r>
      <w:r w:rsidR="00D13320">
        <w:rPr>
          <w:rFonts w:ascii="Cambria" w:hAnsi="Cambria"/>
        </w:rPr>
        <w:lastRenderedPageBreak/>
        <w:t xml:space="preserve">of IgG </w:t>
      </w:r>
      <w:r w:rsidR="005575C6">
        <w:rPr>
          <w:rFonts w:ascii="Cambria" w:hAnsi="Cambria"/>
        </w:rPr>
        <w:t>occurs after 32</w:t>
      </w:r>
      <w:r w:rsidR="00D13320">
        <w:rPr>
          <w:rFonts w:ascii="Cambria" w:hAnsi="Cambria"/>
        </w:rPr>
        <w:t xml:space="preserve"> weeks gestational age</w:t>
      </w:r>
      <w:r w:rsidR="005575C6">
        <w:rPr>
          <w:rFonts w:ascii="Cambria" w:hAnsi="Cambria"/>
        </w:rPr>
        <w:fldChar w:fldCharType="begin" w:fldLock="1"/>
      </w:r>
      <w:r w:rsidR="00A828B0">
        <w:rPr>
          <w:rFonts w:ascii="Cambria" w:hAnsi="Cambria"/>
        </w:rPr>
        <w:instrText>ADDIN CSL_CITATION { "citationItems" : [ { "id" : "ITEM-1", "itemData" : { "ISSN" : "1046-7408", "PMID" : "8955500", "abstract" : "PROBLEM We determined the evolution of the maternal-fetal transport of immunoglobulins during human pregnancy. METHOD Paired blood samples were collected between 17-41 weeks of gestation (WG) by puncture of a peripheral maternal vein and by cordocentesis (17-36 WG, n = 91) or directly at delivery (37-41 WG n = 16) from the umbilical vein. Additional maternal samples were collected from the same individual (n = 16) at 10, 20, 30 WG, and at term. The concentration of IgG and its four subclasses and of IgA were determined in the sera using ELISA method. RESULTS The mean level of IgG and IgA in maternal sera at 9-16 WG was 13.72 +/- 2.53 g/L and 3.95 +/- 1.23 g/L, respectively. Both, IgG and IgA throughout pregnancy decreased to a level of 60-70% (37-41 WG) of the initial concentration in early pregnancy. The ratio of IgG1:IgG2 in the maternal circulation was 2-3 and remained constant throughout pregnancy (17-41 WG). IgG3 and IgG4 levels remained constant and together were less than 10% of total IgG. In the fetal circulation a continuous rise in the level of both IgG and IgA was observed between 17 and 41 WG. Fetal level of IgG at 17-22 WG was only 5-10% of the maternal level and at term exceeded the maternal level reaching a value of 11.98 +/- 2.18 g/L. IgG1 at 17-22 WG was 0.93 +/- 0.42 g/L, which is approximately three times higher than IgG2. IgG1 showed an exponential rise and at 37-41 WG its concentration was seven times higher than IgG2. IgG3 and IgG4 also showed an exponential rise and at term reached a similar level as in the maternal circulation. Striking was the difference in results for IgG2 with a slow linear rise throughout gestation. The fetal IgG2 level at term remained significantly below the maternal concentration. The IgG subclasses when characterized according to the differences in transport capacity gave the following sequence: IgG1 &gt; IgG4 &gt; IgG3 &gt; IgG2. Fetal IgA showed a slow linear rise with fetal levels at term remaining approximately 1,000 times lower than the concentration in the maternal circulation. CONCLUSIONS Comparison of fetal and maternal levels of immunglobulines indicate that the human placenta during pregnancy develops a specific transport mechanism for IgG. There are differences for the four subclasses with preferential transfer of IgG1 while the slowest transfer is seen for IgG2.", "author" : [ { "dropping-particle" : "", "family" : "Malek", "given" : "A", "non-dropping-particle" : "", "parse-names" : false, "suffix" : "" }, { "dropping-particle" : "", "family" : "Sager", "given" : "R", "non-dropping-particle" : "", "parse-names" : false, "suffix" : "" }, { "dropping-particle" : "", "family" : "Kuhn", "given" : "P", "non-dropping-particle" : "", "parse-names" : false, "suffix" : "" }, { "dropping-particle" : "", "family" : "Nicolaides", "given" : "K H", "non-dropping-particle" : "", "parse-names" : false, "suffix" : "" }, { "dropping-particle" : "", "family" : "Schneider", "given" : "H", "non-dropping-particle" : "", "parse-names" : false, "suffix" : "" } ], "container-title" : "American journal of reproductive immunology (New York, N.Y. : 1989)", "id" : "ITEM-1", "issue" : "5", "issued" : { "date-parts" : [ [ "1996", "11" ] ] }, "page" : "248-55", "title" : "Evolution of maternofetal transport of immunoglobulins during human pregnancy.", "type" : "article-journal", "volume" : "36" }, "uris" : [ "http://www.mendeley.com/documents/?uuid=841a6145-aa0f-376b-8b51-c4d0515e0ffc" ] } ], "mendeley" : { "formattedCitation" : "(74)", "plainTextFormattedCitation" : "(74)", "previouslyFormattedCitation" : "(74)" }, "properties" : { "noteIndex" : 0 }, "schema" : "https://github.com/citation-style-language/schema/raw/master/csl-citation.json" }</w:instrText>
      </w:r>
      <w:r w:rsidR="005575C6">
        <w:rPr>
          <w:rFonts w:ascii="Cambria" w:hAnsi="Cambria"/>
        </w:rPr>
        <w:fldChar w:fldCharType="separate"/>
      </w:r>
      <w:r w:rsidR="00D83E6A" w:rsidRPr="00D83E6A">
        <w:rPr>
          <w:rFonts w:ascii="Cambria" w:hAnsi="Cambria"/>
          <w:noProof/>
        </w:rPr>
        <w:t>(74)</w:t>
      </w:r>
      <w:r w:rsidR="005575C6">
        <w:rPr>
          <w:rFonts w:ascii="Cambria" w:hAnsi="Cambria"/>
        </w:rPr>
        <w:fldChar w:fldCharType="end"/>
      </w:r>
      <w:r w:rsidR="00D13320">
        <w:rPr>
          <w:rFonts w:ascii="Cambria" w:hAnsi="Cambria"/>
        </w:rPr>
        <w:t>.</w:t>
      </w:r>
      <w:r w:rsidR="00996573">
        <w:rPr>
          <w:rFonts w:ascii="Cambria" w:hAnsi="Cambria"/>
        </w:rPr>
        <w:t xml:space="preserve"> </w:t>
      </w:r>
      <w:r w:rsidR="002C0BA5">
        <w:rPr>
          <w:rFonts w:ascii="Cambria" w:hAnsi="Cambria"/>
        </w:rPr>
        <w:t>Globally 10% of children are born preterm</w:t>
      </w:r>
      <w:r w:rsidR="002C0BA5">
        <w:rPr>
          <w:rFonts w:ascii="Cambria" w:hAnsi="Cambria"/>
        </w:rPr>
        <w:fldChar w:fldCharType="begin" w:fldLock="1"/>
      </w:r>
      <w:r w:rsidR="00A828B0">
        <w:rPr>
          <w:rFonts w:ascii="Cambria" w:hAnsi="Cambria"/>
        </w:rPr>
        <w:instrText>ADDIN CSL_CITATION { "citationItems" : [ { "id" : "ITEM-1", "itemData" : { "DOI" : "10.2471/BLT.08.062554", "ISSN" : "00429686", "PMID" : "20428351", "abstract" : "OBJECTIVE To analyse preterm birth rates worldwide to assess the incidence of this public health problem, map the regional distribution of preterm births and gain insight into existing assessment strategies. METHODS Data on preterm birth rates worldwide were extracted during a previous systematic review of published and unpublished data on maternal mortality and morbidity reported between 1997 and 2002. Those data were supplemented through a complementary search covering the period 2003-2007. Region-specific multiple regression models were used to estimate the preterm birth rates for countries with no data. FINDINGS We estimated that in 2005, 12.9 million births, or 9.6% of all births worldwide, were preterm. Approximately 11 million (85%) of these preterm births were concentrated in Africa and Asia, while about 0.5 million occurred in each of Europe and North America (excluding Mexico) and 0.9 million in Latin America and the Caribbean. The highest rates of preterm birth were in Africa and North America (11.9% and 10.6% of all births, respectively), and the lowest were in Europe (6.2%). CONCLUSION Preterm birth is an important perinatal health problem across the globe. Developing countries, especially those in Africa and southern Asia, incur the highest burden in terms of absolute numbers, although a high rate is also observed in North America. A better understanding of the causes of preterm birth and improved estimates of the incidence of preterm birth at the country level are needed to improve access to effective obstetric and neonatal care.", "author" : [ { "dropping-particle" : "", "family" : "Beck", "given" : "Stacey", "non-dropping-particle" : "", "parse-names" : false, "suffix" : "" }, { "dropping-particle" : "", "family" : "Wojdyla", "given" : "Daniel", "non-dropping-particle" : "", "parse-names" : false, "suffix" : "" }, { "dropping-particle" : "", "family" : "Say", "given" : "Lale", "non-dropping-particle" : "", "parse-names" : false, "suffix" : "" }, { "dropping-particle" : "", "family" : "Pilar Bertran", "given" : "Ana", "non-dropping-particle" : "", "parse-names" : false, "suffix" : "" }, { "dropping-particle" : "", "family" : "Meraldi", "given" : "Mario", "non-dropping-particle" : "", "parse-names" : false, "suffix" : "" }, { "dropping-particle" : "", "family" : "Harris Requejo", "given" : "Jennifer", "non-dropping-particle" : "", "parse-names" : false, "suffix" : "" }, { "dropping-particle" : "", "family" : "Rubens", "given" : "Craig", "non-dropping-particle" : "", "parse-names" : false, "suffix" : "" }, { "dropping-particle" : "", "family" : "Menon", "given" : "Ramkumar", "non-dropping-particle" : "", "parse-names" : false, "suffix" : "" }, { "dropping-particle" : "", "family" : "Look", "given" : "Paul", "non-dropping-particle" : "Van", "parse-names" : false, "suffix" : "" } ], "container-title" : "Bulletin of the World Health Organization", "id" : "ITEM-1", "issue" : "1", "issued" : { "date-parts" : [ [ "2010", "1", "1" ] ] }, "page" : "31-38", "title" : "The worldwide incidence of preterm birth: a systematic review of maternal mortality and morbidity", "type" : "article-journal", "volume" : "88" }, "uris" : [ "http://www.mendeley.com/documents/?uuid=52254d1b-9283-39ea-8043-6e8321500f3f" ] } ], "mendeley" : { "formattedCitation" : "(75)", "plainTextFormattedCitation" : "(75)", "previouslyFormattedCitation" : "(75)" }, "properties" : { "noteIndex" : 0 }, "schema" : "https://github.com/citation-style-language/schema/raw/master/csl-citation.json" }</w:instrText>
      </w:r>
      <w:r w:rsidR="002C0BA5">
        <w:rPr>
          <w:rFonts w:ascii="Cambria" w:hAnsi="Cambria"/>
        </w:rPr>
        <w:fldChar w:fldCharType="separate"/>
      </w:r>
      <w:r w:rsidR="00D83E6A" w:rsidRPr="00D83E6A">
        <w:rPr>
          <w:rFonts w:ascii="Cambria" w:hAnsi="Cambria"/>
          <w:noProof/>
        </w:rPr>
        <w:t>(75)</w:t>
      </w:r>
      <w:r w:rsidR="002C0BA5">
        <w:rPr>
          <w:rFonts w:ascii="Cambria" w:hAnsi="Cambria"/>
        </w:rPr>
        <w:fldChar w:fldCharType="end"/>
      </w:r>
      <w:r w:rsidR="006F4172">
        <w:rPr>
          <w:rFonts w:ascii="Cambria" w:hAnsi="Cambria"/>
        </w:rPr>
        <w:t>.</w:t>
      </w:r>
      <w:r w:rsidR="00A66738">
        <w:rPr>
          <w:rFonts w:ascii="Cambria" w:hAnsi="Cambria"/>
        </w:rPr>
        <w:t xml:space="preserve"> </w:t>
      </w:r>
      <w:r w:rsidR="006F4172">
        <w:rPr>
          <w:rFonts w:ascii="Cambria" w:hAnsi="Cambria"/>
        </w:rPr>
        <w:t>T</w:t>
      </w:r>
      <w:r w:rsidR="00A66738">
        <w:rPr>
          <w:rFonts w:ascii="Cambria" w:hAnsi="Cambria"/>
        </w:rPr>
        <w:t>he</w:t>
      </w:r>
      <w:r w:rsidR="002C0BA5">
        <w:rPr>
          <w:rFonts w:ascii="Cambria" w:hAnsi="Cambria"/>
        </w:rPr>
        <w:t xml:space="preserve"> burden is especially relevant in </w:t>
      </w:r>
      <w:r w:rsidR="0073207C">
        <w:rPr>
          <w:rFonts w:ascii="Cambria" w:hAnsi="Cambria"/>
        </w:rPr>
        <w:t>low and middle-income countries (</w:t>
      </w:r>
      <w:r w:rsidR="002C0BA5">
        <w:rPr>
          <w:rFonts w:ascii="Cambria" w:hAnsi="Cambria"/>
        </w:rPr>
        <w:t>LMICs</w:t>
      </w:r>
      <w:r w:rsidR="0073207C">
        <w:rPr>
          <w:rFonts w:ascii="Cambria" w:hAnsi="Cambria"/>
        </w:rPr>
        <w:t>)</w:t>
      </w:r>
      <w:r w:rsidR="002C0BA5">
        <w:rPr>
          <w:rFonts w:ascii="Cambria" w:hAnsi="Cambria"/>
        </w:rPr>
        <w:t xml:space="preserve"> as more</w:t>
      </w:r>
      <w:r w:rsidR="00325CEA">
        <w:rPr>
          <w:rFonts w:ascii="Cambria" w:hAnsi="Cambria"/>
        </w:rPr>
        <w:t xml:space="preserve"> than </w:t>
      </w:r>
      <w:r w:rsidR="008E0E63">
        <w:rPr>
          <w:rFonts w:ascii="Cambria" w:hAnsi="Cambria"/>
        </w:rPr>
        <w:t>60% of preterm birth occurs in Sub-S</w:t>
      </w:r>
      <w:r w:rsidR="00325CEA">
        <w:rPr>
          <w:rFonts w:ascii="Cambria" w:hAnsi="Cambria"/>
        </w:rPr>
        <w:t>aharan Africa and South Asia</w:t>
      </w:r>
      <w:r w:rsidR="00325CEA">
        <w:rPr>
          <w:rFonts w:ascii="Cambria" w:hAnsi="Cambria"/>
        </w:rPr>
        <w:fldChar w:fldCharType="begin" w:fldLock="1"/>
      </w:r>
      <w:r w:rsidR="00A828B0">
        <w:rPr>
          <w:rFonts w:ascii="Cambria" w:hAnsi="Cambria"/>
        </w:rPr>
        <w:instrText>ADDIN CSL_CITATION { "citationItems" : [ { "id" : "ITEM-1", "itemData" : { "DOI" : "10.1016/S0140-6736(12)60820-4", "ISSN" : "01406736", "PMID" : "22682464", "abstract" : "BACKGROUND Preterm birth is the second largest direct cause of child deaths in children younger than 5 years. Yet, data regarding preterm birth (&lt;37 completed weeks of gestation) are not routinely collected by UN agencies, and no systematic country estimates nor time trend analyses have been done. We report worldwide, regional, and national estimates of preterm birth rates for 184 countries in 2010 with time trends for selected countries, and provide a quantitative assessment of the uncertainty surrounding these estimates. METHODS We assessed various data sources according to prespecified inclusion criteria. National Registries (563 datapoints, 51 countries), Reproductive Health Surveys (13 datapoints, eight countries), and studies identified through systematic searches and unpublished data (162 datapoints, 40 countries) were included. 55 countries submitted additional data during WHO's country consultation process. For 13 countries with adequate quality and quantity of data, we estimated preterm birth rates using country-level loess regression for 2010. For 171 countries, two regional multilevel statistical models were developed to estimate preterm birth rates for 2010. We estimated time trends from 1990 to 2010 for 65 countries with reliable time trend data and more than 10,000 livebirths per year. We calculated uncertainty ranges for all countries. FINDINGS In 2010, an estimated 14\u00b79 million babies (uncertainty range 12\u00b73-18\u00b71 million) were born preterm, 11\u00b71% of all livebirths worldwide, ranging from about 5% in several European countries to 18% in some African countries. More than 60% of preterm babies were born in south Asia and sub-Saharan Africa, where 52% of the global livebirths occur. Preterm birth also affects rich countries, for example, USA has high rates and is one of the ten countries with the highest numbers of preterm births. Of the 65 countries with estimated time trends, only three (Croatia, Ecuador, and Estonia), had reduced preterm birth rates 1990-2010. INTERPRETATION The burden of preterm birth is substantial and is increasing in those regions with reliable data. Improved recording of all pregnancy outcomes and standard application of preterm definitions is important. We recommend the addition of a data-quality indicator of the per cent of all live preterm births that are under 28 weeks' gestation. Distinguishing preterm births that are spontaneous from those that are provider-initiated is important to monitor trends associated w\u2026", "author" : [ { "dropping-particle" : "", "family" : "Blencowe", "given" : "Hannah", "non-dropping-particle" : "", "parse-names" : false, "suffix" : "" }, { "dropping-particle" : "", "family" : "Cousens", "given" : "Simon", "non-dropping-particle" : "", "parse-names" : false, "suffix" : "" }, { "dropping-particle" : "", "family" : "Oestergaard", "given" : "Mikkel Z", "non-dropping-particle" : "", "parse-names" : false, "suffix" : "" }, { "dropping-particle" : "", "family" : "Chou", "given" : "Doris", "non-dropping-particle" : "", "parse-names" : false, "suffix" : "" }, { "dropping-particle" : "", "family" : "Moller", "given" : "Ann-Beth", "non-dropping-particle" : "", "parse-names" : false, "suffix" : "" }, { "dropping-particle" : "", "family" : "Narwal", "given" : "Rajesh", "non-dropping-particle" : "", "parse-names" : false, "suffix" : "" }, { "dropping-particle" : "", "family" : "Adler", "given" : "Alma", "non-dropping-particle" : "", "parse-names" : false, "suffix" : "" }, { "dropping-particle" : "", "family" : "Vera Garcia", "given" : "Claudia", "non-dropping-particle" : "", "parse-names" : false, "suffix" : "" }, { "dropping-particle" : "", "family" : "Rohde", "given" : "Sarah", "non-dropping-particle" : "", "parse-names" : false, "suffix" : "" }, { "dropping-particle" : "", "family" : "Say", "given" : "Lale", "non-dropping-particle" : "", "parse-names" : false, "suffix" : "" }, { "dropping-particle" : "", "family" : "Lawn", "given" : "Joy E", "non-dropping-particle" : "", "parse-names" : false, "suffix" : "" } ], "container-title" : "The Lancet", "id" : "ITEM-1", "issue" : "9832", "issued" : { "date-parts" : [ [ "2012", "6", "9" ] ] }, "page" : "2162-2172", "title" : "National, regional, and worldwide estimates of preterm birth rates in the year 2010 with time trends since 1990 for selected countries: a systematic analysis and implications", "type" : "article-journal", "volume" : "379" }, "uris" : [ "http://www.mendeley.com/documents/?uuid=2f22c8f5-9024-36be-93b7-92e43523a99a" ] } ], "mendeley" : { "formattedCitation" : "(76)", "plainTextFormattedCitation" : "(76)", "previouslyFormattedCitation" : "(76)" }, "properties" : { "noteIndex" : 0 }, "schema" : "https://github.com/citation-style-language/schema/raw/master/csl-citation.json" }</w:instrText>
      </w:r>
      <w:r w:rsidR="00325CEA">
        <w:rPr>
          <w:rFonts w:ascii="Cambria" w:hAnsi="Cambria"/>
        </w:rPr>
        <w:fldChar w:fldCharType="separate"/>
      </w:r>
      <w:r w:rsidR="00D83E6A" w:rsidRPr="00D83E6A">
        <w:rPr>
          <w:rFonts w:ascii="Cambria" w:hAnsi="Cambria"/>
          <w:noProof/>
        </w:rPr>
        <w:t>(76)</w:t>
      </w:r>
      <w:r w:rsidR="00325CEA">
        <w:rPr>
          <w:rFonts w:ascii="Cambria" w:hAnsi="Cambria"/>
        </w:rPr>
        <w:fldChar w:fldCharType="end"/>
      </w:r>
      <w:r w:rsidR="00CD2AB0">
        <w:rPr>
          <w:rFonts w:ascii="Cambria" w:hAnsi="Cambria"/>
        </w:rPr>
        <w:t>.</w:t>
      </w:r>
      <w:r w:rsidR="00325CEA">
        <w:rPr>
          <w:rFonts w:ascii="Cambria" w:hAnsi="Cambria"/>
        </w:rPr>
        <w:t xml:space="preserve"> </w:t>
      </w:r>
      <w:r w:rsidR="00E03E92">
        <w:rPr>
          <w:rFonts w:ascii="Cambria" w:hAnsi="Cambria"/>
        </w:rPr>
        <w:t>Thus, a</w:t>
      </w:r>
      <w:r w:rsidR="008E0E63">
        <w:rPr>
          <w:rFonts w:ascii="Cambria" w:hAnsi="Cambria"/>
        </w:rPr>
        <w:t xml:space="preserve"> </w:t>
      </w:r>
      <w:r w:rsidR="00325CEA">
        <w:rPr>
          <w:rFonts w:ascii="Cambria" w:hAnsi="Cambria"/>
        </w:rPr>
        <w:t xml:space="preserve">maternal vaccination strategy may not be </w:t>
      </w:r>
      <w:r w:rsidR="00AB33D5">
        <w:rPr>
          <w:rFonts w:ascii="Cambria" w:hAnsi="Cambria"/>
        </w:rPr>
        <w:t>sufficient to protect the high-risk</w:t>
      </w:r>
      <w:r w:rsidR="00325CEA">
        <w:rPr>
          <w:rFonts w:ascii="Cambria" w:hAnsi="Cambria"/>
        </w:rPr>
        <w:t xml:space="preserve"> </w:t>
      </w:r>
      <w:r w:rsidR="00AB33D5">
        <w:rPr>
          <w:rFonts w:ascii="Cambria" w:hAnsi="Cambria"/>
        </w:rPr>
        <w:t xml:space="preserve">preterm </w:t>
      </w:r>
      <w:r w:rsidR="00325CEA">
        <w:rPr>
          <w:rFonts w:ascii="Cambria" w:hAnsi="Cambria"/>
        </w:rPr>
        <w:t>population</w:t>
      </w:r>
      <w:r w:rsidR="00A50037">
        <w:rPr>
          <w:rFonts w:ascii="Cambria" w:hAnsi="Cambria"/>
        </w:rPr>
        <w:t xml:space="preserve"> if administered during the third trimester of pregnancy</w:t>
      </w:r>
      <w:r w:rsidR="00325CEA">
        <w:rPr>
          <w:rFonts w:ascii="Cambria" w:hAnsi="Cambria"/>
        </w:rPr>
        <w:t xml:space="preserve">. </w:t>
      </w:r>
      <w:r w:rsidR="004800AE">
        <w:rPr>
          <w:rFonts w:ascii="Cambria" w:hAnsi="Cambria"/>
        </w:rPr>
        <w:t>Tetanus diphtheria acellular pertussis (Tdap) immunization in the secon</w:t>
      </w:r>
      <w:r w:rsidR="00E6364D">
        <w:rPr>
          <w:rFonts w:ascii="Cambria" w:hAnsi="Cambria"/>
        </w:rPr>
        <w:t xml:space="preserve">d trimester is associated with </w:t>
      </w:r>
      <w:r w:rsidR="004800AE">
        <w:rPr>
          <w:rFonts w:ascii="Cambria" w:hAnsi="Cambria"/>
        </w:rPr>
        <w:t>higher antibody titers by time of birth as compared to third trimester immunization</w:t>
      </w:r>
      <w:r w:rsidR="00E17242">
        <w:rPr>
          <w:rFonts w:ascii="Cambria" w:hAnsi="Cambria"/>
        </w:rPr>
        <w:fldChar w:fldCharType="begin" w:fldLock="1"/>
      </w:r>
      <w:r w:rsidR="00A828B0">
        <w:rPr>
          <w:rFonts w:ascii="Cambria" w:hAnsi="Cambria"/>
        </w:rPr>
        <w:instrText>ADDIN CSL_CITATION { "citationItems" : [ { "id" : "ITEM-1", "itemData" : { "DOI" : "10.1093/cid/ciw027", "ISSN" : "1058-4838", "PMID" : "26797213", "abstract" : "BACKGROUND Maternal immunization against pertussis is currently recommended after the 26th gestational week (GW). Data on the optimal timing of maternal immunization are inconsistent. METHODS We conducted a prospective observational noninferiority study comparing the influence of second-trimester (GW 13-25) vs third-trimester (\u2265GW 26) tetanus-diphtheria-acellular pertussis (Tdap) immunization in pregnant women who delivered at term. Geometric mean concentrations (GMCs) of cord blood antibodies to recombinant pertussis toxin (PT) and filamentous hemagglutinin (FHA) were assessed by enzyme-linked immunosorbent assay. The primary endpoint were GMCs and expected infant seropositivity rates, defined by birth anti-PT &gt;30 enzyme-linked immunosorbent assay units (EU)/mL to confer seropositivity until 3 months of age. RESULTS We included 335 women (mean age, 31.0 \u00b1 5.1 years; mean gestational age, 39.3 \u00b1 1.3 GW) previously immunized with Tdap in the second (n = 122) or third (n = 213) trimester. Anti-PT and anti-FHA GMCs were higher following second- vs third-trimester immunization (PT: 57.1 EU/mL [95% confidence interval {CI}, 47.8-68.2] vs 31.1 EU/mL [95% CI, 25.7-37.7], P &lt; .001; FHA: 284.4 EU/mL [95% CI, 241.3-335.2] vs 140.2 EU/mL [95% CI, 115.3-170.3], P &lt; .001). The adjusted GMC ratios after second- vs third-trimester immunization differed significantly (PT: 1.9 [95% CI, 1.4-2.5]; FHA: 2.2 [95% CI, 1.7-3.0], P &lt; .001). Expected infant seropositivity rates reached 80% vs 55% following second- vs third-trimester immunization (adjusted odds ratio, 3.7 [95% CI, 2.1-6.5], P &lt; .001). CONCLUSIONS Early second-trimester maternal Tdap immunization significantly increased neonatal antibodies. Recommending immunization from the second trimester onward would widen the immunization opportunity window and could improve seroprotection.", "author" : [ { "dropping-particle" : "", "family" : "Eberhardt", "given" : "Christiane S.", "non-dropping-particle" : "", "parse-names" : false, "suffix" : "" }, { "dropping-particle" : "", "family" : "Blanchard-Rohner", "given" : "Geraldine", "non-dropping-particle" : "", "parse-names" : false, "suffix" : "" }, { "dropping-particle" : "", "family" : "Lema\u00eetre", "given" : "Barbara", "non-dropping-particle" : "", "parse-names" : false, "suffix" : "" }, { "dropping-particle" : "", "family" : "Boukrid", "given" : "Meriem", "non-dropping-particle" : "", "parse-names" : false, "suffix" : "" }, { "dropping-particle" : "", "family" : "Combescure", "given" : "Christophe", "non-dropping-particle" : "", "parse-names" : false, "suffix" : "" }, { "dropping-particle" : "", "family" : "Othenin-Girard", "given" : "V\u00e9ronique", "non-dropping-particle" : "", "parse-names" : false, "suffix" : "" }, { "dropping-particle" : "", "family" : "Chilin", "given" : "Antonina", "non-dropping-particle" : "", "parse-names" : false, "suffix" : "" }, { "dropping-particle" : "", "family" : "Petre", "given" : "Jean", "non-dropping-particle" : "", "parse-names" : false, "suffix" : "" }, { "dropping-particle" : "", "family" : "Tejada", "given" : "Bego\u00f1a Martinez", "non-dropping-particle" : "de", "parse-names" : false, "suffix" : "" }, { "dropping-particle" : "", "family" : "Siegrist", "given" : "Claire-Anne", "non-dropping-particle" : "", "parse-names" : false, "suffix" : "" } ], "container-title" : "Clinical Infectious Diseases", "id" : "ITEM-1", "issue" : "7", "issued" : { "date-parts" : [ [ "2016", "4", "1" ] ] }, "page" : "829-836", "title" : "Maternal Immunization Earlier in Pregnancy Maximizes Antibody Transfer and Expected Infant Seropositivity Against Pertussis", "type" : "article-journal", "volume" : "62" }, "uris" : [ "http://www.mendeley.com/documents/?uuid=73423390-a4fd-348d-9c45-41fe3549a22e" ] } ], "mendeley" : { "formattedCitation" : "(77)", "plainTextFormattedCitation" : "(77)", "previouslyFormattedCitation" : "(77)" }, "properties" : { "noteIndex" : 0 }, "schema" : "https://github.com/citation-style-language/schema/raw/master/csl-citation.json" }</w:instrText>
      </w:r>
      <w:r w:rsidR="00E17242">
        <w:rPr>
          <w:rFonts w:ascii="Cambria" w:hAnsi="Cambria"/>
        </w:rPr>
        <w:fldChar w:fldCharType="separate"/>
      </w:r>
      <w:r w:rsidR="00D83E6A" w:rsidRPr="00D83E6A">
        <w:rPr>
          <w:rFonts w:ascii="Cambria" w:hAnsi="Cambria"/>
          <w:noProof/>
        </w:rPr>
        <w:t>(77)</w:t>
      </w:r>
      <w:r w:rsidR="00E17242">
        <w:rPr>
          <w:rFonts w:ascii="Cambria" w:hAnsi="Cambria"/>
        </w:rPr>
        <w:fldChar w:fldCharType="end"/>
      </w:r>
      <w:r w:rsidR="004800AE">
        <w:rPr>
          <w:rFonts w:ascii="Cambria" w:hAnsi="Cambria"/>
        </w:rPr>
        <w:t xml:space="preserve">. A strategy of earlier vaccination could be considered for maternal RSV immunization to maximize protection to preterm infants. </w:t>
      </w:r>
      <w:r w:rsidR="00325CEA">
        <w:rPr>
          <w:rFonts w:ascii="Cambria" w:hAnsi="Cambria"/>
        </w:rPr>
        <w:t xml:space="preserve">Other </w:t>
      </w:r>
      <w:r w:rsidR="00346F45">
        <w:rPr>
          <w:rFonts w:ascii="Cambria" w:hAnsi="Cambria"/>
        </w:rPr>
        <w:t>populations in which impaired</w:t>
      </w:r>
      <w:r w:rsidR="00325CEA">
        <w:rPr>
          <w:rFonts w:ascii="Cambria" w:hAnsi="Cambria"/>
        </w:rPr>
        <w:t xml:space="preserve"> transplacental antibody</w:t>
      </w:r>
      <w:r w:rsidR="000B5468">
        <w:rPr>
          <w:rFonts w:ascii="Cambria" w:hAnsi="Cambria"/>
        </w:rPr>
        <w:t xml:space="preserve"> transfer</w:t>
      </w:r>
      <w:r w:rsidR="00325CEA">
        <w:rPr>
          <w:rFonts w:ascii="Cambria" w:hAnsi="Cambria"/>
        </w:rPr>
        <w:t xml:space="preserve"> </w:t>
      </w:r>
      <w:r w:rsidR="00346F45">
        <w:rPr>
          <w:rFonts w:ascii="Cambria" w:hAnsi="Cambria"/>
        </w:rPr>
        <w:t>may</w:t>
      </w:r>
      <w:r w:rsidR="00325CEA">
        <w:rPr>
          <w:rFonts w:ascii="Cambria" w:hAnsi="Cambria"/>
        </w:rPr>
        <w:t xml:space="preserve"> limit protection by maternal vaccination include</w:t>
      </w:r>
      <w:r w:rsidR="00AB33D5">
        <w:rPr>
          <w:rFonts w:ascii="Cambria" w:hAnsi="Cambria"/>
        </w:rPr>
        <w:t xml:space="preserve"> infants of</w:t>
      </w:r>
      <w:r w:rsidR="00346F45">
        <w:rPr>
          <w:rFonts w:ascii="Cambria" w:hAnsi="Cambria"/>
        </w:rPr>
        <w:t xml:space="preserve"> mothers</w:t>
      </w:r>
      <w:r w:rsidR="00AB33D5">
        <w:rPr>
          <w:rFonts w:ascii="Cambria" w:hAnsi="Cambria"/>
        </w:rPr>
        <w:t xml:space="preserve"> </w:t>
      </w:r>
      <w:r w:rsidR="00346F45">
        <w:rPr>
          <w:rFonts w:ascii="Cambria" w:hAnsi="Cambria"/>
        </w:rPr>
        <w:t>with chronic infection, hypergammaglobulinaemia, malaria</w:t>
      </w:r>
      <w:r w:rsidR="00526973">
        <w:rPr>
          <w:rFonts w:ascii="Cambria" w:hAnsi="Cambria"/>
        </w:rPr>
        <w:t xml:space="preserve">, </w:t>
      </w:r>
      <w:r w:rsidR="00346F45">
        <w:rPr>
          <w:rFonts w:ascii="Cambria" w:hAnsi="Cambria"/>
        </w:rPr>
        <w:t>and HIV infection</w:t>
      </w:r>
      <w:r w:rsidR="00D1719F">
        <w:rPr>
          <w:rFonts w:ascii="Cambria" w:hAnsi="Cambria"/>
        </w:rPr>
        <w:fldChar w:fldCharType="begin" w:fldLock="1"/>
      </w:r>
      <w:r w:rsidR="00A828B0">
        <w:rPr>
          <w:rFonts w:ascii="Cambria" w:hAnsi="Cambria"/>
        </w:rPr>
        <w:instrText>ADDIN CSL_CITATION { "citationItems" : [ { "id" : "ITEM-1", "itemData" : { "DOI" : "10.1016/S1473-3099(17)30229-3", "ISSN" : "14733099", "PMID" : "28433705", "abstract" : "Maternal immunisation has the potential to substantially reduce morbidity and mortality from infectious diseases after birth. The success of tetanus, influenza, and pertussis immunisation during pregnancy has led to consideration of additional maternal immunisation strategies to prevent group B streptococcus and respiratory syncytial virus infections, among others. However, many gaps in knowledge regarding the immunobiology of maternal immunisation prevent the optimal design and application of this successful public health intervention. Therefore, we did an innovative landscape analysis to identify research priorities. Key topics were delineated through review of the published literature, consultation with vaccine developers and regulatory agencies, and a collaborative workshop that gathered experts across several maternal immunisation initiatives-group B streptococcus, respiratory syncytial virus, pertussis, and influenza. Finally, a global online survey prioritised the identified knowledge gaps on the basis of expert opinion about their importance and relevance. Here we present the results of this worldwide landscape analysis and discuss the identified research gaps.", "author" : [ { "dropping-particle" : "", "family" : "Marchant", "given" : "Arnaud", "non-dropping-particle" : "", "parse-names" : false, "suffix" : "" }, { "dropping-particle" : "", "family" : "Sadarangani", "given" : "Manish", "non-dropping-particle" : "", "parse-names" : false, "suffix" : "" }, { "dropping-particle" : "", "family" : "Garand", "given" : "Mathieu", "non-dropping-particle" : "", "parse-names" : false, "suffix" : "" }, { "dropping-particle" : "", "family" : "Dauby", "given" : "Nicolas", "non-dropping-particle" : "", "parse-names" : false, "suffix" : "" }, { "dropping-particle" : "", "family" : "Verhasselt", "given" : "Valerie", "non-dropping-particle" : "", "parse-names" : false, "suffix" : "" }, { "dropping-particle" : "", "family" : "Pereira", "given" : "Lenore", "non-dropping-particle" : "", "parse-names" : false, "suffix" : "" }, { "dropping-particle" : "", "family" : "Bjornson", "given" : "Gordean", "non-dropping-particle" : "", "parse-names" : false, "suffix" : "" }, { "dropping-particle" : "", "family" : "Jones", "given" : "Christine E", "non-dropping-particle" : "", "parse-names" : false, "suffix" : "" }, { "dropping-particle" : "", "family" : "Halperin", "given" : "Scott A", "non-dropping-particle" : "", "parse-names" : false, "suffix" : "" }, { "dropping-particle" : "", "family" : "Edwards", "given" : "Kathryn M", "non-dropping-particle" : "", "parse-names" : false, "suffix" : "" }, { "dropping-particle" : "", "family" : "Heath", "given" : "Paul", "non-dropping-particle" : "", "parse-names" : false, "suffix" : "" }, { "dropping-particle" : "", "family" : "Openshaw", "given" : "Peter J", "non-dropping-particle" : "", "parse-names" : false, "suffix" : "" }, { "dropping-particle" : "", "family" : "Scheifele", "given" : "David W", "non-dropping-particle" : "", "parse-names" : false, "suffix" : "" }, { "dropping-particle" : "", "family" : "Kollmann", "given" : "Tobias R", "non-dropping-particle" : "", "parse-names" : false, "suffix" : "" } ], "container-title" : "The Lancet Infectious Diseases", "id" : "ITEM-1", "issue" : "7", "issued" : { "date-parts" : [ [ "2017", "7" ] ] }, "page" : "e197-e208", "title" : "Maternal immunisation: collaborating with mother nature", "type" : "article-journal", "volume" : "17" }, "uris" : [ "http://www.mendeley.com/documents/?uuid=6815982c-5643-3098-a3f5-1d84d4fdf60b" ] } ], "mendeley" : { "formattedCitation" : "(78)", "plainTextFormattedCitation" : "(78)", "previouslyFormattedCitation" : "(78)" }, "properties" : { "noteIndex" : 0 }, "schema" : "https://github.com/citation-style-language/schema/raw/master/csl-citation.json" }</w:instrText>
      </w:r>
      <w:r w:rsidR="00D1719F">
        <w:rPr>
          <w:rFonts w:ascii="Cambria" w:hAnsi="Cambria"/>
        </w:rPr>
        <w:fldChar w:fldCharType="separate"/>
      </w:r>
      <w:r w:rsidR="00D83E6A" w:rsidRPr="00D83E6A">
        <w:rPr>
          <w:rFonts w:ascii="Cambria" w:hAnsi="Cambria"/>
          <w:noProof/>
        </w:rPr>
        <w:t>(78)</w:t>
      </w:r>
      <w:r w:rsidR="00D1719F">
        <w:rPr>
          <w:rFonts w:ascii="Cambria" w:hAnsi="Cambria"/>
        </w:rPr>
        <w:fldChar w:fldCharType="end"/>
      </w:r>
      <w:r w:rsidR="00346F45">
        <w:rPr>
          <w:rFonts w:ascii="Cambria" w:hAnsi="Cambria"/>
        </w:rPr>
        <w:t>.</w:t>
      </w:r>
      <w:r w:rsidR="001D0410">
        <w:rPr>
          <w:rFonts w:ascii="Cambria" w:hAnsi="Cambria"/>
        </w:rPr>
        <w:t xml:space="preserve"> </w:t>
      </w:r>
      <w:r w:rsidR="006F4172">
        <w:rPr>
          <w:rFonts w:ascii="Cambria" w:hAnsi="Cambria"/>
        </w:rPr>
        <w:t xml:space="preserve">The ratio </w:t>
      </w:r>
      <w:r w:rsidR="00C62BC1">
        <w:rPr>
          <w:rFonts w:ascii="Cambria" w:hAnsi="Cambria"/>
        </w:rPr>
        <w:t>of t</w:t>
      </w:r>
      <w:r w:rsidR="001D0410">
        <w:rPr>
          <w:rFonts w:ascii="Cambria" w:hAnsi="Cambria"/>
        </w:rPr>
        <w:t>ra</w:t>
      </w:r>
      <w:r w:rsidR="00CD2AB0">
        <w:rPr>
          <w:rFonts w:ascii="Cambria" w:hAnsi="Cambria"/>
        </w:rPr>
        <w:t>ns</w:t>
      </w:r>
      <w:r w:rsidR="001D0410">
        <w:rPr>
          <w:rFonts w:ascii="Cambria" w:hAnsi="Cambria"/>
        </w:rPr>
        <w:t xml:space="preserve">placental antibody transfer and </w:t>
      </w:r>
      <w:r w:rsidR="00C62BC1">
        <w:rPr>
          <w:rFonts w:ascii="Cambria" w:hAnsi="Cambria"/>
        </w:rPr>
        <w:t xml:space="preserve">antibody </w:t>
      </w:r>
      <w:r w:rsidR="001D0410">
        <w:rPr>
          <w:rFonts w:ascii="Cambria" w:hAnsi="Cambria"/>
        </w:rPr>
        <w:t xml:space="preserve">decay kinetics are currently considered the main </w:t>
      </w:r>
      <w:r w:rsidR="004A1261">
        <w:rPr>
          <w:rFonts w:ascii="Cambria" w:hAnsi="Cambria"/>
        </w:rPr>
        <w:t>parameters to assess</w:t>
      </w:r>
      <w:r w:rsidR="001D0410">
        <w:rPr>
          <w:rFonts w:ascii="Cambria" w:hAnsi="Cambria"/>
        </w:rPr>
        <w:t xml:space="preserve"> protection </w:t>
      </w:r>
      <w:r w:rsidR="00AB33D5">
        <w:rPr>
          <w:rFonts w:ascii="Cambria" w:hAnsi="Cambria"/>
        </w:rPr>
        <w:t>conferred via</w:t>
      </w:r>
      <w:r w:rsidR="001D0410">
        <w:rPr>
          <w:rFonts w:ascii="Cambria" w:hAnsi="Cambria"/>
        </w:rPr>
        <w:t xml:space="preserve"> maternal vaccination. </w:t>
      </w:r>
      <w:r w:rsidR="00E311EB">
        <w:rPr>
          <w:rFonts w:ascii="Cambria" w:hAnsi="Cambria"/>
        </w:rPr>
        <w:t xml:space="preserve">However, </w:t>
      </w:r>
      <w:r w:rsidR="006A46D0">
        <w:rPr>
          <w:rFonts w:ascii="Cambria" w:hAnsi="Cambria"/>
        </w:rPr>
        <w:t>p</w:t>
      </w:r>
      <w:r w:rsidR="001D0410">
        <w:rPr>
          <w:rFonts w:ascii="Cambria" w:hAnsi="Cambria"/>
        </w:rPr>
        <w:t>rotection may also be mediated by breast milk antibodies transferred postnatally</w:t>
      </w:r>
      <w:r w:rsidR="00093D3D">
        <w:rPr>
          <w:rFonts w:ascii="Cambria" w:hAnsi="Cambria"/>
        </w:rPr>
        <w:t>.</w:t>
      </w:r>
      <w:r w:rsidR="00AB33D5">
        <w:rPr>
          <w:rFonts w:ascii="Cambria" w:hAnsi="Cambria"/>
        </w:rPr>
        <w:t xml:space="preserve"> </w:t>
      </w:r>
    </w:p>
    <w:p w14:paraId="1B4A82F2" w14:textId="1FE8502F" w:rsidR="00291A40" w:rsidRDefault="00E01DB4" w:rsidP="00C566BC">
      <w:pPr>
        <w:jc w:val="both"/>
        <w:rPr>
          <w:rFonts w:ascii="Cambria" w:hAnsi="Cambria"/>
        </w:rPr>
      </w:pPr>
      <w:r>
        <w:rPr>
          <w:rFonts w:ascii="Cambria" w:hAnsi="Cambria"/>
        </w:rPr>
        <w:tab/>
        <w:t xml:space="preserve">A combined strategy that utilizes </w:t>
      </w:r>
      <w:r w:rsidR="00C83726">
        <w:rPr>
          <w:rFonts w:ascii="Cambria" w:hAnsi="Cambria"/>
        </w:rPr>
        <w:t xml:space="preserve">passive immunization </w:t>
      </w:r>
      <w:r>
        <w:rPr>
          <w:rFonts w:ascii="Cambria" w:hAnsi="Cambria"/>
        </w:rPr>
        <w:t>to protect young infants</w:t>
      </w:r>
      <w:r w:rsidR="00C83726">
        <w:rPr>
          <w:rFonts w:ascii="Cambria" w:hAnsi="Cambria"/>
        </w:rPr>
        <w:t xml:space="preserve">, via maternal vaccination or mAbs, </w:t>
      </w:r>
      <w:r w:rsidR="00AB33D5">
        <w:rPr>
          <w:rFonts w:ascii="Cambria" w:hAnsi="Cambria"/>
        </w:rPr>
        <w:t xml:space="preserve">followed by </w:t>
      </w:r>
      <w:r>
        <w:rPr>
          <w:rFonts w:ascii="Cambria" w:hAnsi="Cambria"/>
        </w:rPr>
        <w:t>pediatric</w:t>
      </w:r>
      <w:r w:rsidR="00C83726">
        <w:rPr>
          <w:rFonts w:ascii="Cambria" w:hAnsi="Cambria"/>
        </w:rPr>
        <w:t xml:space="preserve"> active</w:t>
      </w:r>
      <w:r>
        <w:rPr>
          <w:rFonts w:ascii="Cambria" w:hAnsi="Cambria"/>
        </w:rPr>
        <w:t xml:space="preserve"> </w:t>
      </w:r>
      <w:r w:rsidR="00C83726">
        <w:rPr>
          <w:rFonts w:ascii="Cambria" w:hAnsi="Cambria"/>
        </w:rPr>
        <w:t xml:space="preserve">immunization </w:t>
      </w:r>
      <w:r>
        <w:rPr>
          <w:rFonts w:ascii="Cambria" w:hAnsi="Cambria"/>
        </w:rPr>
        <w:t xml:space="preserve">may </w:t>
      </w:r>
      <w:r w:rsidR="00090C62">
        <w:rPr>
          <w:rFonts w:ascii="Cambria" w:hAnsi="Cambria"/>
        </w:rPr>
        <w:t>be effective</w:t>
      </w:r>
      <w:r>
        <w:rPr>
          <w:rFonts w:ascii="Cambria" w:hAnsi="Cambria"/>
        </w:rPr>
        <w:t xml:space="preserve"> to prevent severe RSV </w:t>
      </w:r>
      <w:r w:rsidR="00710447">
        <w:rPr>
          <w:rFonts w:ascii="Cambria" w:hAnsi="Cambria"/>
        </w:rPr>
        <w:t xml:space="preserve">infection </w:t>
      </w:r>
      <w:r>
        <w:rPr>
          <w:rFonts w:ascii="Cambria" w:hAnsi="Cambria"/>
        </w:rPr>
        <w:t>in young children</w:t>
      </w:r>
      <w:r w:rsidR="00DD5AA7">
        <w:rPr>
          <w:rFonts w:ascii="Cambria" w:hAnsi="Cambria"/>
        </w:rPr>
        <w:fldChar w:fldCharType="begin" w:fldLock="1"/>
      </w:r>
      <w:r w:rsidR="00A828B0">
        <w:rPr>
          <w:rFonts w:ascii="Cambria" w:hAnsi="Cambria"/>
        </w:rPr>
        <w:instrText>ADDIN CSL_CITATION { "citationItems" : [ { "id" : "ITEM-1", "itemData" : { "DOI" : "10.1016/S2468-2667(17)30103-2", "ISSN" : "2468-2667", "PMID" : "28804787", "abstract" : "BACKGROUND Vaccines and prophylactic antibodies against respiratory syncytial virus (RSV) are in development and likely to be available in the next 5-10 years. The most efficient way to use these products when they become available is an important consideration for public health decision makers. METHODS We performed a multivariate regression analysis to estimate the burden of RSV in children younger than 5 years in England (UK), a representative high-income temperate country, and used these results to assess the potential effect of different RSV immunisation strategies (targeting vaccination for infants, or pregnant women, or prophylactic antibodies for neonates). We did a cost-effectiveness analysis for these strategies, implemented either separately or concurrently, and assessed the effect of restricting vaccination to certain months of the year. FINDINGS We estimated that RSV is responsible for 12 primary care consultations (95% CI 11\u00b79-12\u00b71) and 0\u00b79 admissions to hospital annually per 100 children younger than 5 years (95% CI 0\u00b789-0\u00b790), with the major burden occurring in infants younger than 6 months. The most cost-effective strategy was to selectively immunise all children born before the start of the RSV season (maximum price of \u00a3220 [95% uncertainty interval (UI) 208-232] per vaccine, for an incremental cost-effectiveness ratio of \u00a320\u2008000 per quality-adjusted life-year). The maximum price per fully protected person that should be paid for the infant, newborn, and maternal strategies without seasonal restrictions was \u00a3192 (95% UI 168-219), \u00a381 (76-86), and \u00a354 (51-57), respectively. INTERPRETATION Nearly double the number of primary care consultations, and nearly five times the number of admissions to hospital occurred with RSV compared with influenza. RSV vaccine and antibody strategies are likely to be cost-effective if they can be priced below around \u00a3200 per fully protected person. A seasonal vaccination strategy is likely to provide the most direct benefits. Herd effects might render a year-round infant vaccination strategy more appealing, although it is currently unclear whether such a programme would induce herd effects. FUNDING UK National Institute for Health Research.", "author" : [ { "dropping-particle" : "", "family" : "Cromer", "given" : "Deborah", "non-dropping-particle" : "", "parse-names" : false, "suffix" : "" }, { "dropping-particle" : "", "family" : "Hoek", "given" : "Albert Jan", "non-dropping-particle" : "van", "parse-names" : false, "suffix" : "" }, { "dropping-particle" : "", "family" : "Newall", "given" : "Anthony T", "non-dropping-particle" : "", "parse-names" : false, "suffix" : "" }, { "dropping-particle" : "", "family" : "Pollard", "given" : "Andrew J", "non-dropping-particle" : "", "parse-names" : false, "suffix" : "" }, { "dropping-particle" : "", "family" : "Jit", "given" : "Mark", "non-dropping-particle" : "", "parse-names" : false, "suffix" : "" } ], "container-title" : "The Lancet. Public health", "id" : "ITEM-1", "issue" : "8", "issued" : { "date-parts" : [ [ "2017", "8", "1" ] ] }, "page" : "e367-e374", "publisher" : "Elsevier", "title" : "Burden of paediatric respiratory syncytial virus disease and potential effect of different immunisation strategies: a modelling and cost-effectiveness analysis for England.", "type" : "article-journal", "volume" : "2" }, "uris" : [ "http://www.mendeley.com/documents/?uuid=660a3f2d-57c7-390d-8bdb-d9b0cfef3895" ] } ], "mendeley" : { "formattedCitation" : "(79)", "plainTextFormattedCitation" : "(79)", "previouslyFormattedCitation" : "(79)" }, "properties" : { "noteIndex" : 0 }, "schema" : "https://github.com/citation-style-language/schema/raw/master/csl-citation.json" }</w:instrText>
      </w:r>
      <w:r w:rsidR="00DD5AA7">
        <w:rPr>
          <w:rFonts w:ascii="Cambria" w:hAnsi="Cambria"/>
        </w:rPr>
        <w:fldChar w:fldCharType="separate"/>
      </w:r>
      <w:r w:rsidR="00D83E6A" w:rsidRPr="00D83E6A">
        <w:rPr>
          <w:rFonts w:ascii="Cambria" w:hAnsi="Cambria"/>
          <w:noProof/>
        </w:rPr>
        <w:t>(79)</w:t>
      </w:r>
      <w:r w:rsidR="00DD5AA7">
        <w:rPr>
          <w:rFonts w:ascii="Cambria" w:hAnsi="Cambria"/>
        </w:rPr>
        <w:fldChar w:fldCharType="end"/>
      </w:r>
      <w:r w:rsidR="00A66738">
        <w:rPr>
          <w:rFonts w:ascii="Cambria" w:hAnsi="Cambria"/>
        </w:rPr>
        <w:t>.</w:t>
      </w:r>
      <w:r w:rsidR="00642C35">
        <w:rPr>
          <w:rFonts w:ascii="Cambria" w:hAnsi="Cambria"/>
        </w:rPr>
        <w:t xml:space="preserve"> </w:t>
      </w:r>
      <w:r w:rsidR="00E311EB">
        <w:rPr>
          <w:rFonts w:ascii="Cambria" w:hAnsi="Cambria"/>
        </w:rPr>
        <w:t>This</w:t>
      </w:r>
      <w:r w:rsidR="00A66738">
        <w:rPr>
          <w:rFonts w:ascii="Cambria" w:hAnsi="Cambria"/>
        </w:rPr>
        <w:t xml:space="preserve"> strategy is estimated to </w:t>
      </w:r>
      <w:r w:rsidR="00642C35">
        <w:rPr>
          <w:rFonts w:ascii="Cambria" w:hAnsi="Cambria"/>
        </w:rPr>
        <w:t>avert at least twice as many admission</w:t>
      </w:r>
      <w:r w:rsidR="00A66738">
        <w:rPr>
          <w:rFonts w:ascii="Cambria" w:hAnsi="Cambria"/>
        </w:rPr>
        <w:t>s</w:t>
      </w:r>
      <w:r w:rsidR="00642C35">
        <w:rPr>
          <w:rFonts w:ascii="Cambria" w:hAnsi="Cambria"/>
        </w:rPr>
        <w:t xml:space="preserve"> per 100 births and four times as many in</w:t>
      </w:r>
      <w:r w:rsidR="00710447">
        <w:rPr>
          <w:rFonts w:ascii="Cambria" w:hAnsi="Cambria"/>
        </w:rPr>
        <w:t>-</w:t>
      </w:r>
      <w:r w:rsidR="00642C35">
        <w:rPr>
          <w:rFonts w:ascii="Cambria" w:hAnsi="Cambria"/>
        </w:rPr>
        <w:t>hospital</w:t>
      </w:r>
      <w:r w:rsidR="00710447">
        <w:rPr>
          <w:rFonts w:ascii="Cambria" w:hAnsi="Cambria"/>
        </w:rPr>
        <w:t xml:space="preserve"> deaths</w:t>
      </w:r>
      <w:r w:rsidR="00642C35">
        <w:rPr>
          <w:rFonts w:ascii="Cambria" w:hAnsi="Cambria"/>
        </w:rPr>
        <w:t xml:space="preserve"> per 1000 births</w:t>
      </w:r>
      <w:r w:rsidR="004823B0">
        <w:rPr>
          <w:rFonts w:ascii="Cambria" w:hAnsi="Cambria"/>
        </w:rPr>
        <w:t xml:space="preserve"> than </w:t>
      </w:r>
      <w:r w:rsidR="00D64086">
        <w:rPr>
          <w:rFonts w:ascii="Cambria" w:hAnsi="Cambria"/>
        </w:rPr>
        <w:t>maternal vaccination alone</w:t>
      </w:r>
      <w:r w:rsidR="00642C35">
        <w:rPr>
          <w:rFonts w:ascii="Cambria" w:hAnsi="Cambria"/>
        </w:rPr>
        <w:fldChar w:fldCharType="begin" w:fldLock="1"/>
      </w:r>
      <w:r w:rsidR="00A828B0">
        <w:rPr>
          <w:rFonts w:ascii="Cambria" w:hAnsi="Cambria"/>
        </w:rPr>
        <w:instrText>ADDIN CSL_CITATION { "citationItems" : [ { "id" : "ITEM-1", "itemData" : { "DOI" : "10.1016/S2468-2667(17)30103-2", "ISSN" : "2468-2667", "PMID" : "28804787", "abstract" : "BACKGROUND Vaccines and prophylactic antibodies against respiratory syncytial virus (RSV) are in development and likely to be available in the next 5-10 years. The most efficient way to use these products when they become available is an important consideration for public health decision makers. METHODS We performed a multivariate regression analysis to estimate the burden of RSV in children younger than 5 years in England (UK), a representative high-income temperate country, and used these results to assess the potential effect of different RSV immunisation strategies (targeting vaccination for infants, or pregnant women, or prophylactic antibodies for neonates). We did a cost-effectiveness analysis for these strategies, implemented either separately or concurrently, and assessed the effect of restricting vaccination to certain months of the year. FINDINGS We estimated that RSV is responsible for 12 primary care consultations (95% CI 11\u00b79-12\u00b71) and 0\u00b79 admissions to hospital annually per 100 children younger than 5 years (95% CI 0\u00b789-0\u00b790), with the major burden occurring in infants younger than 6 months. The most cost-effective strategy was to selectively immunise all children born before the start of the RSV season (maximum price of \u00a3220 [95% uncertainty interval (UI) 208-232] per vaccine, for an incremental cost-effectiveness ratio of \u00a320\u2008000 per quality-adjusted life-year). The maximum price per fully protected person that should be paid for the infant, newborn, and maternal strategies without seasonal restrictions was \u00a3192 (95% UI 168-219), \u00a381 (76-86), and \u00a354 (51-57), respectively. INTERPRETATION Nearly double the number of primary care consultations, and nearly five times the number of admissions to hospital occurred with RSV compared with influenza. RSV vaccine and antibody strategies are likely to be cost-effective if they can be priced below around \u00a3200 per fully protected person. A seasonal vaccination strategy is likely to provide the most direct benefits. Herd effects might render a year-round infant vaccination strategy more appealing, although it is currently unclear whether such a programme would induce herd effects. FUNDING UK National Institute for Health Research.", "author" : [ { "dropping-particle" : "", "family" : "Cromer", "given" : "Deborah", "non-dropping-particle" : "", "parse-names" : false, "suffix" : "" }, { "dropping-particle" : "", "family" : "Hoek", "given" : "Albert Jan", "non-dropping-particle" : "van", "parse-names" : false, "suffix" : "" }, { "dropping-particle" : "", "family" : "Newall", "given" : "Anthony T", "non-dropping-particle" : "", "parse-names" : false, "suffix" : "" }, { "dropping-particle" : "", "family" : "Pollard", "given" : "Andrew J", "non-dropping-particle" : "", "parse-names" : false, "suffix" : "" }, { "dropping-particle" : "", "family" : "Jit", "given" : "Mark", "non-dropping-particle" : "", "parse-names" : false, "suffix" : "" } ], "container-title" : "The Lancet. Public health", "id" : "ITEM-1", "issue" : "8", "issued" : { "date-parts" : [ [ "2017", "8", "1" ] ] }, "page" : "e367-e374", "publisher" : "Elsevier", "title" : "Burden of paediatric respiratory syncytial virus disease and potential effect of different immunisation strategies: a modelling and cost-effectiveness analysis for England.", "type" : "article-journal", "volume" : "2" }, "uris" : [ "http://www.mendeley.com/documents/?uuid=660a3f2d-57c7-390d-8bdb-d9b0cfef3895" ] } ], "mendeley" : { "formattedCitation" : "(79)", "plainTextFormattedCitation" : "(79)", "previouslyFormattedCitation" : "(79)" }, "properties" : { "noteIndex" : 0 }, "schema" : "https://github.com/citation-style-language/schema/raw/master/csl-citation.json" }</w:instrText>
      </w:r>
      <w:r w:rsidR="00642C35">
        <w:rPr>
          <w:rFonts w:ascii="Cambria" w:hAnsi="Cambria"/>
        </w:rPr>
        <w:fldChar w:fldCharType="separate"/>
      </w:r>
      <w:r w:rsidR="00D83E6A" w:rsidRPr="00D83E6A">
        <w:rPr>
          <w:rFonts w:ascii="Cambria" w:hAnsi="Cambria"/>
          <w:noProof/>
        </w:rPr>
        <w:t>(79)</w:t>
      </w:r>
      <w:r w:rsidR="00642C35">
        <w:rPr>
          <w:rFonts w:ascii="Cambria" w:hAnsi="Cambria"/>
        </w:rPr>
        <w:fldChar w:fldCharType="end"/>
      </w:r>
      <w:r>
        <w:rPr>
          <w:rFonts w:ascii="Cambria" w:hAnsi="Cambria"/>
        </w:rPr>
        <w:t xml:space="preserve">. </w:t>
      </w:r>
      <w:r w:rsidR="00E311EB">
        <w:rPr>
          <w:rFonts w:ascii="Cambria" w:hAnsi="Cambria"/>
        </w:rPr>
        <w:t>A combined</w:t>
      </w:r>
      <w:r w:rsidR="00D32482">
        <w:rPr>
          <w:rFonts w:ascii="Cambria" w:hAnsi="Cambria"/>
        </w:rPr>
        <w:t xml:space="preserve"> strategy </w:t>
      </w:r>
      <w:r w:rsidR="006A46D0">
        <w:rPr>
          <w:rFonts w:ascii="Cambria" w:hAnsi="Cambria"/>
        </w:rPr>
        <w:t xml:space="preserve">will be particularly relevant to prevent morbidity and mortality in </w:t>
      </w:r>
      <w:r w:rsidR="00D32482">
        <w:rPr>
          <w:rFonts w:ascii="Cambria" w:hAnsi="Cambria"/>
        </w:rPr>
        <w:t>children</w:t>
      </w:r>
      <w:r w:rsidR="00744571">
        <w:rPr>
          <w:rFonts w:ascii="Cambria" w:hAnsi="Cambria"/>
        </w:rPr>
        <w:t xml:space="preserve"> with comorbidit</w:t>
      </w:r>
      <w:r w:rsidR="000B5468">
        <w:rPr>
          <w:rFonts w:ascii="Cambria" w:hAnsi="Cambria"/>
        </w:rPr>
        <w:t>ies</w:t>
      </w:r>
      <w:r w:rsidR="00744571">
        <w:rPr>
          <w:rFonts w:ascii="Cambria" w:hAnsi="Cambria"/>
        </w:rPr>
        <w:t xml:space="preserve"> who </w:t>
      </w:r>
      <w:r w:rsidR="006A46D0">
        <w:rPr>
          <w:rFonts w:ascii="Cambria" w:hAnsi="Cambria"/>
        </w:rPr>
        <w:t xml:space="preserve">are at risk of severe RSV disease </w:t>
      </w:r>
      <w:r w:rsidR="005840F2">
        <w:rPr>
          <w:rFonts w:ascii="Cambria" w:hAnsi="Cambria"/>
        </w:rPr>
        <w:t>at older ages</w:t>
      </w:r>
      <w:r w:rsidR="006A46D0">
        <w:rPr>
          <w:rFonts w:ascii="Cambria" w:hAnsi="Cambria"/>
        </w:rPr>
        <w:t xml:space="preserve"> </w:t>
      </w:r>
      <w:r w:rsidR="00744571">
        <w:rPr>
          <w:rFonts w:ascii="Cambria" w:hAnsi="Cambria"/>
        </w:rPr>
        <w:fldChar w:fldCharType="begin" w:fldLock="1"/>
      </w:r>
      <w:r w:rsidR="00A828B0">
        <w:rPr>
          <w:rFonts w:ascii="Cambria" w:hAnsi="Cambria"/>
        </w:rPr>
        <w:instrText>ADDIN CSL_CITATION { "citationItems" : [ { "id" : "ITEM-1", "itemData" : { "DOI" : "10.1016/S2214-109X(17)30344-3", "ISSN" : "2214-109X", "PMID" : "28911764", "abstract" : "BACKGROUND Respiratory syncytial virus (RSV) infection is an important cause of pneumonia mortality in young children. However, clinical data for fatal RSV infection are scarce. We aimed to identify clinical and socioeconomic characteristics of children aged younger than 5 years with RSV-related mortality using individual patient data. METHODS In this retrospective case series, we developed an online questionnaire to obtain individual patient data for clinical and socioeconomic characteristics of children aged younger than 5 years who died with community-acquired RSV infection between Jan 1, 1995, and Oct 31, 2015, through leading research groups for child pneumonia identified through a comprehensive literature search and existing research networks. For the literature search, we searched PubMed for articles published up to Feb 3, 2015, using the key terms \"RSV\", \"respiratory syncytial virus\", or \"respiratory syncytial viral\" combined with \"mortality\", \"fatality\", \"death\", \"died\", \"deaths\", or \"CFR\" for articles published in English. We invited researchers and clinicians identified to participate between Nov 1, 2014, and Oct 31, 2015. We calculated descriptive statistics for all variables. FINDINGS We studied 358 children with RSV-related in-hospital death from 23 countries across the world, with data contributed from 31 research groups. 117 (33%) children were from low-income or lower middle-income countries, 77 (22%) were from upper middle-income countries, and 164 (46%) were from high-income countries. 190 (53%) were male. Data for comorbidities were missing for some children in low-income and middle-income countries. Available data showed that comorbidities were present in at least 33 (28%) children from low-income or lower middle-income countries, 36 (47%) from upper middle-income countries, and 114 (70%) from high-income countries. Median age for RSV-related deaths was 5\u00b70 months (IQR 2\u00b73-11\u00b70) in low-income or lower middle-income countries, 4\u00b70 years (2\u00b70-10\u00b70) in upper middle-income countries, and 7\u00b70 years (3\u00b76-16\u00b78) in high-income countries. INTERPRETATION This study is the first large case series of children who died with community-acquired RSV infection. A substantial proportion of children with RSV-related death had comorbidities. Our results show that perinatal immunisation strategies for children aged younger than 6 months could have a substantial impact on RSV-related child mortality in low-income and middle-income countries. FUNDING Bill\u2026", "author" : [ { "dropping-particle" : "", "family" : "Scheltema", "given" : "Nienke M", "non-dropping-particle" : "", "parse-names" : false, "suffix" : "" }, { "dropping-particle" : "", "family" : "Gentile", "given" : "Angela", "non-dropping-particle" : "", "parse-names" : false, "suffix" : "" }, { "dropping-particle" : "", "family" : "Lucion", "given" : "Florencia", "non-dropping-particle" : "", "parse-names" : false, "suffix" : "" }, { "dropping-particle" : "", "family" : "Nokes", "given" : "D James", "non-dropping-particle" : "", "parse-names" : false, "suffix" : "" }, { "dropping-particle" : "", "family" : "Munywoki", "given" : "Patrick K", "non-dropping-particle" : "", "parse-names" : false, "suffix" : "" }, { "dropping-particle" : "", "family" : "Madhi", "given" : "Shabir A", "non-dropping-particle" : "", "parse-names" : false, "suffix" : "" }, { "dropping-particle" : "", "family" : "Groome", "given" : "Michelle J", "non-dropping-particle" : "", "parse-names" : false, "suffix" : "" }, { "dropping-particle" : "", "family" : "Cohen", "given" : "Cheryl", "non-dropping-particle" : "", "parse-names" : false, "suffix" : "" }, { "dropping-particle" : "", "family" : "Moyes", "given" : "Jocelyn", "non-dropping-particle" : "", "parse-names" : false, "suffix" : "" }, { "dropping-particle" : "", "family" : "Thorburn", "given" : "Kentigern", "non-dropping-particle" : "", "parse-names" : false, "suffix" : "" }, { "dropping-particle" : "", "family" : "Thamthitiwat", "given" : "Somsak", "non-dropping-particle" : "", "parse-names" : false, "suffix" : "" }, { "dropping-particle" : "", "family" : "Oshitani", "given" : "Hitoshi", "non-dropping-particle" : "", "parse-names" : false, "suffix" : "" }, { "dropping-particle" : "", "family" : "Lupisan", "given" : "Socorro P", "non-dropping-particle" : "", "parse-names" : false, "suffix" : "" }, { "dropping-particle" : "", "family" : "Gordon", "given" : "Aubree", "non-dropping-particle" : "", "parse-names" : false, "suffix" : "" }, { "dropping-particle" : "", "family" : "S\u00e1nchez", "given" : "Jos\u00e9 F", "non-dropping-particle" : "", "parse-names" : false, "suffix" : "" }, { "dropping-particle" : "", "family" : "O'Brien", "given" : "Katherine L", "non-dropping-particle" : "", "parse-names" : false, "suffix" : "" }, { "dropping-particle" : "", "family" : "PERCH Study Group", "given" : "Bradford D", "non-dropping-particle" : "", "parse-names" : false, "suffix" : "" }, { "dropping-particle" : "", "family" : "Gessner", "given" : "Bradford D", "non-dropping-particle" : "", "parse-names" : false, "suffix" : "" }, { "dropping-particle" : "", "family" : "Sutanto", "given" : "Agustinus", "non-dropping-particle" : "", "parse-names" : false, "suffix" : "" }, { "dropping-particle" : "", "family" : "Mejias", "given" : "Asuncion", "non-dropping-particle" : "", "parse-names" : false, "suffix" : "" }, { "dropping-particle" : "", "family" : "Ramilo", "given" : "Octavio", "non-dropping-particle" : "", "parse-names" : false, "suffix" : "" }, { "dropping-particle" : "", "family" : "Khuri-Bulos", "given" : "Najwa", "non-dropping-particle" : "", "parse-names" : false, "suffix" : "" }, { "dropping-particle" : "", "family" : "Halasa", "given" : "Natasha", "non-dropping-particle" : "", "parse-names" : false, "suffix" : "" }, { "dropping-particle" : "", "family" : "de-Paris", "given" : "Fernanda", "non-dropping-particle" : "", "parse-names" : false, "suffix" : "" }, { "dropping-particle" : "", "family" : "Pires", "given" : "M\u00e1rcia Rosane", "non-dropping-particle" : "", "parse-names" : false, "suffix" : "" }, { "dropping-particle" : "", "family" : "Spaeder", "given" : "Michael C", "non-dropping-particle" : "", "parse-names" : false, "suffix" : "" }, { "dropping-particle" : "", "family" : "Paes", "given" : "Bosco A", "non-dropping-particle" : "", "parse-names" : false, "suffix" : "" }, { "dropping-particle" : "", "family" : "Sim\u00f5es", "given" : "Eric A F", "non-dropping-particle" : "", "parse-names" : false, "suffix" : "" }, { "dropping-particle" : "", "family" : "Leung", "given" : "Ting F", "non-dropping-particle" : "", "parse-names" : false, "suffix" : "" }, { "dropping-particle" : "", "family" : "Costa Oliveira", "given" : "Maria Tereza", "non-dropping-particle" : "da", "parse-names" : false, "suffix" : "" }, { "dropping-particle" : "", "family" : "Freitas L\u00e1zaro Emediato", "given" : "Carla Cec\u00edlia", "non-dropping-particle" : "de", "parse-names" : false, "suffix" : "" }, { "dropping-particle" : "", "family" : "Bassat", "given" : "Quique", "non-dropping-particle" : "", "parse-names" : false, "suffix" : "" }, { "dropping-particle" : "", "family" : "Butt", "given" : "Warwick", "non-dropping-particle" : "", "parse-names" : false, "suffix" : "" }, { "dropping-particle" : "", "family" : "Chi", "given" : "Hsin", "non-dropping-particle" : "", "parse-names" : false, "suffix" : "" }, { "dropping-particle" : "", "family" : "Aamir", "given" : "Uzma Bashir", "non-dropping-particle" : "", "parse-names" : false, "suffix" : "" }, { "dropping-particle" : "", "family" : "Ali", "given" : "Asad", "non-dropping-particle" : "", "parse-names" : false, "suffix" : "" }, { "dropping-particle" : "", "family" : "Lucero", "given" : "Marilla G", "non-dropping-particle" : "", "parse-names" : false, "suffix" : "" }, { "dropping-particle" : "", "family" : "Fasce", "given" : "Rodrigo A", "non-dropping-particle" : "", "parse-names" : false, "suffix" : "" }, { "dropping-particle" : "", "family" : "Lopez", "given" : "Olga", "non-dropping-particle" : "", "parse-names" : false, "suffix" : "" }, { "dropping-particle" : "", "family" : "Rath", "given" : "Barbara A", "non-dropping-particle" : "", "parse-names" : false, "suffix" : "" }, { "dropping-particle" : "", "family" : "Polack", "given" : "Fernando P", "non-dropping-particle" : "", "parse-names" : false, "suffix" : "" }, { "dropping-particle" : "", "family" : "Papenburg", "given" : "Jesse", "non-dropping-particle" : "", "parse-names" : false, "suffix" : "" }, { "dropping-particle" : "", "family" : "Rogli\u0107", "given" : "Sr\u0111an", "non-dropping-particle" : "", "parse-names" : false, "suffix" : "" }, { "dropping-particle" : "", "family" : "Ito", "given" : "Hisato", "non-dropping-particle" : "", "parse-names" : false, "suffix" : "" }, { "dropping-particle" : "", "family" : "Goka", "given" : "Edward A", "non-dropping-particle" : "", "parse-names" : false, "suffix" : "" }, { "dropping-particle" : "", "family" : "Grobbee", "given" : "Diederick E", "non-dropping-particle" : "", "parse-names" : false, "suffix" : "" }, { "dropping-particle" : "", "family" : "Nair", "given" : "Harish", "non-dropping-particle" : "", "parse-names" : false, "suffix" : "" }, { "dropping-particle" : "", "family" : "Bont", "given" : "Louis J", "non-dropping-particle" : "", "parse-names" : false, "suffix" : "" } ], "container-title" : "The Lancet. Global health", "id" : "ITEM-1", "issue" : "10", "issued" : { "date-parts" : [ [ "2017", "10", "1" ] ] }, "page" : "e984-e991", "publisher" : "Elsevier", "title" : "Global respiratory syncytial virus-associated mortality in young children (RSV GOLD): a retrospective case series.", "type" : "article-journal", "volume" : "5" }, "uris" : [ "http://www.mendeley.com/documents/?uuid=9a5d8b6f-93e6-395a-8276-9194f8fc7748" ] }, { "id" : "ITEM-2", "itemData" : { "DOI" : "10.1016/S0140-6736(99)02368-5", "ISSN" : "0140-6736", "PMID" : "10501371", "abstract" : "Postconceptional age was studied in 33 mechanically ventilated preterm infants with respiratory syncytial virus (RSV) bronchiolitis. Preterm infants without chronic lung disease had an increased risk of severe RSV infection until a postconceptional age of 44 weeks.", "author" : [ { "dropping-particle" : "", "family" : "Bont", "given" : "L", "non-dropping-particle" : "", "parse-names" : false, "suffix" : "" }, { "dropping-particle" : "", "family" : "Vught", "given" : "A J", "non-dropping-particle" : "van", "parse-names" : false, "suffix" : "" }, { "dropping-particle" : "", "family" : "Kimpen", "given" : "J L", "non-dropping-particle" : "", "parse-names" : false, "suffix" : "" } ], "container-title" : "Lancet", "id" : "ITEM-2", "issue" : "9183", "issued" : { "date-parts" : [ [ "1999", "9", "18" ] ] }, "page" : "1003-4", "title" : "Prophylaxis against respiratory syncytial virus in premature infants.", "type" : "article-journal", "volume" : "354" }, "uris" : [ "http://www.mendeley.com/documents/?uuid=d06f0c6e-5e48-3a1d-a0bc-3a3b33364134" ] } ], "mendeley" : { "formattedCitation" : "(80,81)", "plainTextFormattedCitation" : "(80,81)", "previouslyFormattedCitation" : "(80,81)" }, "properties" : { "noteIndex" : 0 }, "schema" : "https://github.com/citation-style-language/schema/raw/master/csl-citation.json" }</w:instrText>
      </w:r>
      <w:r w:rsidR="00744571">
        <w:rPr>
          <w:rFonts w:ascii="Cambria" w:hAnsi="Cambria"/>
        </w:rPr>
        <w:fldChar w:fldCharType="separate"/>
      </w:r>
      <w:r w:rsidR="00D83E6A" w:rsidRPr="00D83E6A">
        <w:rPr>
          <w:rFonts w:ascii="Cambria" w:hAnsi="Cambria"/>
          <w:noProof/>
        </w:rPr>
        <w:t>(80,81)</w:t>
      </w:r>
      <w:r w:rsidR="00744571">
        <w:rPr>
          <w:rFonts w:ascii="Cambria" w:hAnsi="Cambria"/>
        </w:rPr>
        <w:fldChar w:fldCharType="end"/>
      </w:r>
      <w:r w:rsidR="00744571">
        <w:rPr>
          <w:rFonts w:ascii="Cambria" w:hAnsi="Cambria"/>
        </w:rPr>
        <w:t>.</w:t>
      </w:r>
      <w:r w:rsidR="00D32482">
        <w:rPr>
          <w:rFonts w:ascii="Cambria" w:hAnsi="Cambria"/>
        </w:rPr>
        <w:t xml:space="preserve"> </w:t>
      </w:r>
      <w:r>
        <w:rPr>
          <w:rFonts w:ascii="Cambria" w:hAnsi="Cambria"/>
        </w:rPr>
        <w:t xml:space="preserve">A similar </w:t>
      </w:r>
      <w:r w:rsidR="00A66738">
        <w:rPr>
          <w:rFonts w:ascii="Cambria" w:hAnsi="Cambria"/>
        </w:rPr>
        <w:t>maternal and pediatric combined</w:t>
      </w:r>
      <w:r w:rsidR="00B962E6">
        <w:rPr>
          <w:rFonts w:ascii="Cambria" w:hAnsi="Cambria"/>
        </w:rPr>
        <w:t xml:space="preserve"> passive and active</w:t>
      </w:r>
      <w:r w:rsidR="00A66738">
        <w:rPr>
          <w:rFonts w:ascii="Cambria" w:hAnsi="Cambria"/>
        </w:rPr>
        <w:t xml:space="preserve"> immunization strategy</w:t>
      </w:r>
      <w:r>
        <w:rPr>
          <w:rFonts w:ascii="Cambria" w:hAnsi="Cambria"/>
        </w:rPr>
        <w:t xml:space="preserve"> is </w:t>
      </w:r>
      <w:r w:rsidR="00FF6E99">
        <w:rPr>
          <w:rFonts w:ascii="Cambria" w:hAnsi="Cambria"/>
        </w:rPr>
        <w:t>currently employed</w:t>
      </w:r>
      <w:r>
        <w:rPr>
          <w:rFonts w:ascii="Cambria" w:hAnsi="Cambria"/>
        </w:rPr>
        <w:t xml:space="preserve"> for pertussis </w:t>
      </w:r>
      <w:r w:rsidR="00710447">
        <w:rPr>
          <w:rFonts w:ascii="Cambria" w:hAnsi="Cambria"/>
        </w:rPr>
        <w:t xml:space="preserve">and influenza </w:t>
      </w:r>
      <w:r>
        <w:rPr>
          <w:rFonts w:ascii="Cambria" w:hAnsi="Cambria"/>
        </w:rPr>
        <w:t>vaccination</w:t>
      </w:r>
      <w:r w:rsidR="00FF6E99">
        <w:rPr>
          <w:rFonts w:ascii="Cambria" w:hAnsi="Cambria"/>
        </w:rPr>
        <w:fldChar w:fldCharType="begin" w:fldLock="1"/>
      </w:r>
      <w:r w:rsidR="00A828B0">
        <w:rPr>
          <w:rFonts w:ascii="Cambria" w:hAnsi="Cambria"/>
        </w:rPr>
        <w:instrText>ADDIN CSL_CITATION { "citationItems" : [ { "id" : "ITEM-1", "itemData" : { "DOI" : "10.1016/S1473-3099(17)30229-3", "ISSN" : "14733099", "PMID" : "28433705", "abstract" : "Maternal immunisation has the potential to substantially reduce morbidity and mortality from infectious diseases after birth. The success of tetanus, influenza, and pertussis immunisation during pregnancy has led to consideration of additional maternal immunisation strategies to prevent group B streptococcus and respiratory syncytial virus infections, among others. However, many gaps in knowledge regarding the immunobiology of maternal immunisation prevent the optimal design and application of this successful public health intervention. Therefore, we did an innovative landscape analysis to identify research priorities. Key topics were delineated through review of the published literature, consultation with vaccine developers and regulatory agencies, and a collaborative workshop that gathered experts across several maternal immunisation initiatives-group B streptococcus, respiratory syncytial virus, pertussis, and influenza. Finally, a global online survey prioritised the identified knowledge gaps on the basis of expert opinion about their importance and relevance. Here we present the results of this worldwide landscape analysis and discuss the identified research gaps.", "author" : [ { "dropping-particle" : "", "family" : "Marchant", "given" : "Arnaud", "non-dropping-particle" : "", "parse-names" : false, "suffix" : "" }, { "dropping-particle" : "", "family" : "Sadarangani", "given" : "Manish", "non-dropping-particle" : "", "parse-names" : false, "suffix" : "" }, { "dropping-particle" : "", "family" : "Garand", "given" : "Mathieu", "non-dropping-particle" : "", "parse-names" : false, "suffix" : "" }, { "dropping-particle" : "", "family" : "Dauby", "given" : "Nicolas", "non-dropping-particle" : "", "parse-names" : false, "suffix" : "" }, { "dropping-particle" : "", "family" : "Verhasselt", "given" : "Valerie", "non-dropping-particle" : "", "parse-names" : false, "suffix" : "" }, { "dropping-particle" : "", "family" : "Pereira", "given" : "Lenore", "non-dropping-particle" : "", "parse-names" : false, "suffix" : "" }, { "dropping-particle" : "", "family" : "Bjornson", "given" : "Gordean", "non-dropping-particle" : "", "parse-names" : false, "suffix" : "" }, { "dropping-particle" : "", "family" : "Jones", "given" : "Christine E", "non-dropping-particle" : "", "parse-names" : false, "suffix" : "" }, { "dropping-particle" : "", "family" : "Halperin", "given" : "Scott A", "non-dropping-particle" : "", "parse-names" : false, "suffix" : "" }, { "dropping-particle" : "", "family" : "Edwards", "given" : "Kathryn M", "non-dropping-particle" : "", "parse-names" : false, "suffix" : "" }, { "dropping-particle" : "", "family" : "Heath", "given" : "Paul", "non-dropping-particle" : "", "parse-names" : false, "suffix" : "" }, { "dropping-particle" : "", "family" : "Openshaw", "given" : "Peter J", "non-dropping-particle" : "", "parse-names" : false, "suffix" : "" }, { "dropping-particle" : "", "family" : "Scheifele", "given" : "David W", "non-dropping-particle" : "", "parse-names" : false, "suffix" : "" }, { "dropping-particle" : "", "family" : "Kollmann", "given" : "Tobias R", "non-dropping-particle" : "", "parse-names" : false, "suffix" : "" } ], "container-title" : "The Lancet Infectious Diseases", "id" : "ITEM-1", "issue" : "7", "issued" : { "date-parts" : [ [ "2017", "7" ] ] }, "page" : "e197-e208", "title" : "Maternal immunisation: collaborating with mother nature", "type" : "article-journal", "volume" : "17" }, "uris" : [ "http://www.mendeley.com/documents/?uuid=6815982c-5643-3098-a3f5-1d84d4fdf60b" ] } ], "mendeley" : { "formattedCitation" : "(78)", "plainTextFormattedCitation" : "(78)", "previouslyFormattedCitation" : "(78)" }, "properties" : { "noteIndex" : 0 }, "schema" : "https://github.com/citation-style-language/schema/raw/master/csl-citation.json" }</w:instrText>
      </w:r>
      <w:r w:rsidR="00FF6E99">
        <w:rPr>
          <w:rFonts w:ascii="Cambria" w:hAnsi="Cambria"/>
        </w:rPr>
        <w:fldChar w:fldCharType="separate"/>
      </w:r>
      <w:r w:rsidR="00D83E6A" w:rsidRPr="00D83E6A">
        <w:rPr>
          <w:rFonts w:ascii="Cambria" w:hAnsi="Cambria"/>
          <w:noProof/>
        </w:rPr>
        <w:t>(78)</w:t>
      </w:r>
      <w:r w:rsidR="00FF6E99">
        <w:rPr>
          <w:rFonts w:ascii="Cambria" w:hAnsi="Cambria"/>
        </w:rPr>
        <w:fldChar w:fldCharType="end"/>
      </w:r>
      <w:r>
        <w:rPr>
          <w:rFonts w:ascii="Cambria" w:hAnsi="Cambria"/>
        </w:rPr>
        <w:t xml:space="preserve">. </w:t>
      </w:r>
    </w:p>
    <w:p w14:paraId="75858398" w14:textId="2C4CA0D8" w:rsidR="00695977" w:rsidRDefault="00C202D1" w:rsidP="00C566BC">
      <w:pPr>
        <w:jc w:val="both"/>
        <w:rPr>
          <w:rFonts w:ascii="Cambria" w:hAnsi="Cambria"/>
        </w:rPr>
      </w:pPr>
      <w:r>
        <w:rPr>
          <w:rFonts w:ascii="Cambria" w:hAnsi="Cambria"/>
        </w:rPr>
        <w:tab/>
      </w:r>
      <w:r w:rsidR="00080D73">
        <w:rPr>
          <w:rFonts w:ascii="Cambria" w:hAnsi="Cambria"/>
        </w:rPr>
        <w:t>Although</w:t>
      </w:r>
      <w:r w:rsidR="0037659F">
        <w:rPr>
          <w:rFonts w:ascii="Cambria" w:hAnsi="Cambria"/>
        </w:rPr>
        <w:t xml:space="preserve"> RSV</w:t>
      </w:r>
      <w:r w:rsidR="00080D73">
        <w:rPr>
          <w:rFonts w:ascii="Cambria" w:hAnsi="Cambria"/>
        </w:rPr>
        <w:t xml:space="preserve"> is frequently considered a pediatric pathogen, </w:t>
      </w:r>
      <w:r w:rsidR="00200832">
        <w:rPr>
          <w:rFonts w:ascii="Cambria" w:hAnsi="Cambria"/>
        </w:rPr>
        <w:t xml:space="preserve">it is important to consider </w:t>
      </w:r>
      <w:r w:rsidR="00080D73">
        <w:rPr>
          <w:rFonts w:ascii="Cambria" w:hAnsi="Cambria"/>
        </w:rPr>
        <w:t>t</w:t>
      </w:r>
      <w:r>
        <w:rPr>
          <w:rFonts w:ascii="Cambria" w:hAnsi="Cambria"/>
        </w:rPr>
        <w:t xml:space="preserve">he </w:t>
      </w:r>
      <w:r w:rsidR="007D3BEB">
        <w:rPr>
          <w:rFonts w:ascii="Cambria" w:hAnsi="Cambria"/>
        </w:rPr>
        <w:t xml:space="preserve">older adult </w:t>
      </w:r>
      <w:r>
        <w:rPr>
          <w:rFonts w:ascii="Cambria" w:hAnsi="Cambria"/>
        </w:rPr>
        <w:t xml:space="preserve">population </w:t>
      </w:r>
      <w:r w:rsidR="00200832">
        <w:rPr>
          <w:rFonts w:ascii="Cambria" w:hAnsi="Cambria"/>
        </w:rPr>
        <w:t>with regard to</w:t>
      </w:r>
      <w:r>
        <w:rPr>
          <w:rFonts w:ascii="Cambria" w:hAnsi="Cambria"/>
        </w:rPr>
        <w:t xml:space="preserve"> prevention of severe RSV disease</w:t>
      </w:r>
      <w:r w:rsidR="00710447">
        <w:rPr>
          <w:rFonts w:ascii="Cambria" w:hAnsi="Cambria"/>
        </w:rPr>
        <w:t>.</w:t>
      </w:r>
      <w:r w:rsidR="00523323">
        <w:rPr>
          <w:rFonts w:ascii="Cambria" w:hAnsi="Cambria"/>
        </w:rPr>
        <w:t xml:space="preserve"> </w:t>
      </w:r>
      <w:r w:rsidR="00710447">
        <w:rPr>
          <w:rFonts w:ascii="Cambria" w:hAnsi="Cambria"/>
        </w:rPr>
        <w:t>RSV has been identified as an important disease in older and high-risk adults, with a disease burden similar to that of influenza</w:t>
      </w:r>
      <w:r w:rsidR="00710447">
        <w:rPr>
          <w:rFonts w:ascii="Cambria" w:hAnsi="Cambria"/>
        </w:rPr>
        <w:fldChar w:fldCharType="begin" w:fldLock="1"/>
      </w:r>
      <w:r w:rsidR="00710447">
        <w:rPr>
          <w:rFonts w:ascii="Cambria" w:hAnsi="Cambria"/>
        </w:rPr>
        <w:instrText>ADDIN CSL_CITATION { "citationItems" : [ { "id" : "ITEM-1", "itemData" : { "DOI" : "10.1056/NEJMoa043951", "ISSN" : "0028-4793", "abstract" : "Background Respiratory syncytial virus (RSV) is an increasingly recognized cause of illness in adults. Data on the epidemiology and clinical effects in community-dwelling elderly persons and high-risk adults can help in assessing the need for vaccine development. Methods During four consecutive winters, we evaluated all respiratory illnesses in prospective cohorts of healthy elderly patients (\u226565 years of age) and high-risk adults (those with chronic heart or lung disease) and in patients hospitalized with acute cardiopulmonary conditions. RSV infection and influenza A were diagnosed on the basis of culture, reverse-transcriptase polymerase chain reaction, and serologic studies. Results A total of 608 healthy elderly patients and 540 high-risk adults were enrolled in prospective surveillance, and 1388 hospitalized patients were enrolled. A total of 2514 illnesses were evaluated. RSV infection was identified in 102 patients in the prospective cohorts and 142 hospitalized patients, and influenza A was diagn...", "author" : [ { "dropping-particle" : "", "family" : "Falsey", "given" : "Ann R.", "non-dropping-particle" : "", "parse-names" : false, "suffix" : "" }, { "dropping-particle" : "", "family" : "Hennessey", "given" : "Patricia A.", "non-dropping-particle" : "", "parse-names" : false, "suffix" : "" }, { "dropping-particle" : "", "family" : "Formica", "given" : "Maria A.", "non-dropping-particle" : "", "parse-names" : false, "suffix" : "" }, { "dropping-particle" : "", "family" : "Cox", "given" : "Christopher", "non-dropping-particle" : "", "parse-names" : false, "suffix" : "" }, { "dropping-particle" : "", "family" : "Walsh", "given" : "Edward E.", "non-dropping-particle" : "", "parse-names" : false, "suffix" : "" } ], "container-title" : "New England Journal of Medicine", "id" : "ITEM-1", "issue" : "17", "issued" : { "date-parts" : [ [ "2005", "4", "28" ] ] }, "page" : "1749-1759", "publisher" : " Massachusetts Medical Society ", "title" : "Respiratory Syncytial Virus Infection in Elderly and High-Risk Adults", "type" : "article-journal", "volume" : "352" }, "uris" : [ "http://www.mendeley.com/documents/?uuid=c05ac3ce-f0db-396b-94f1-a3cd78f7d81b" ] } ], "mendeley" : { "formattedCitation" : "(2)", "plainTextFormattedCitation" : "(2)", "previouslyFormattedCitation" : "(2)" }, "properties" : { "noteIndex" : 0 }, "schema" : "https://github.com/citation-style-language/schema/raw/master/csl-citation.json" }</w:instrText>
      </w:r>
      <w:r w:rsidR="00710447">
        <w:rPr>
          <w:rFonts w:ascii="Cambria" w:hAnsi="Cambria"/>
        </w:rPr>
        <w:fldChar w:fldCharType="separate"/>
      </w:r>
      <w:r w:rsidR="00710447" w:rsidRPr="001066E3">
        <w:rPr>
          <w:rFonts w:ascii="Cambria" w:hAnsi="Cambria"/>
          <w:noProof/>
        </w:rPr>
        <w:t>(2)</w:t>
      </w:r>
      <w:r w:rsidR="00710447">
        <w:rPr>
          <w:rFonts w:ascii="Cambria" w:hAnsi="Cambria"/>
        </w:rPr>
        <w:fldChar w:fldCharType="end"/>
      </w:r>
      <w:r w:rsidR="00710447">
        <w:rPr>
          <w:rFonts w:ascii="Cambria" w:hAnsi="Cambria"/>
        </w:rPr>
        <w:t>. I</w:t>
      </w:r>
      <w:r w:rsidR="00523323">
        <w:rPr>
          <w:rFonts w:ascii="Cambria" w:hAnsi="Cambria"/>
        </w:rPr>
        <w:t>t is estimated that RSV accounts for 10,000</w:t>
      </w:r>
      <w:r w:rsidR="00150BDB">
        <w:rPr>
          <w:rFonts w:ascii="Cambria" w:hAnsi="Cambria"/>
        </w:rPr>
        <w:t xml:space="preserve"> – 14,000</w:t>
      </w:r>
      <w:r w:rsidR="00523323">
        <w:rPr>
          <w:rFonts w:ascii="Cambria" w:hAnsi="Cambria"/>
        </w:rPr>
        <w:t xml:space="preserve"> deaths</w:t>
      </w:r>
      <w:r w:rsidR="00C91144">
        <w:rPr>
          <w:rFonts w:ascii="Cambria" w:hAnsi="Cambria"/>
        </w:rPr>
        <w:t xml:space="preserve"> annually</w:t>
      </w:r>
      <w:r w:rsidR="00523323">
        <w:rPr>
          <w:rFonts w:ascii="Cambria" w:hAnsi="Cambria"/>
        </w:rPr>
        <w:t xml:space="preserve"> in adults over the age of 65 years in the United States</w:t>
      </w:r>
      <w:r w:rsidR="00080D73">
        <w:rPr>
          <w:rFonts w:ascii="Cambria" w:hAnsi="Cambria"/>
        </w:rPr>
        <w:fldChar w:fldCharType="begin" w:fldLock="1"/>
      </w:r>
      <w:r w:rsidR="00510F77">
        <w:rPr>
          <w:rFonts w:ascii="Cambria" w:hAnsi="Cambria"/>
        </w:rPr>
        <w:instrText>ADDIN CSL_CITATION { "citationItems" : [ { "id" : "ITEM-1", "itemData" : { "DOI" : "10.1056/NEJMoa043951", "ISSN" : "0028-4793", "abstract" : "Background Respiratory syncytial virus (RSV) is an increasingly recognized cause of illness in adults. Data on the epidemiology and clinical effects in community-dwelling elderly persons and high-risk adults can help in assessing the need for vaccine development. Methods During four consecutive winters, we evaluated all respiratory illnesses in prospective cohorts of healthy elderly patients (\u226565 years of age) and high-risk adults (those with chronic heart or lung disease) and in patients hospitalized with acute cardiopulmonary conditions. RSV infection and influenza A were diagnosed on the basis of culture, reverse-transcriptase polymerase chain reaction, and serologic studies. Results A total of 608 healthy elderly patients and 540 high-risk adults were enrolled in prospective surveillance, and 1388 hospitalized patients were enrolled. A total of 2514 illnesses were evaluated. RSV infection was identified in 102 patients in the prospective cohorts and 142 hospitalized patients, and influenza A was diagn...", "author" : [ { "dropping-particle" : "", "family" : "Falsey", "given" : "Ann R.", "non-dropping-particle" : "", "parse-names" : false, "suffix" : "" }, { "dropping-particle" : "", "family" : "Hennessey", "given" : "Patricia A.", "non-dropping-particle" : "", "parse-names" : false, "suffix" : "" }, { "dropping-particle" : "", "family" : "Formica", "given" : "Maria A.", "non-dropping-particle" : "", "parse-names" : false, "suffix" : "" }, { "dropping-particle" : "", "family" : "Cox", "given" : "Christopher", "non-dropping-particle" : "", "parse-names" : false, "suffix" : "" }, { "dropping-particle" : "", "family" : "Walsh", "given" : "Edward E.", "non-dropping-particle" : "", "parse-names" : false, "suffix" : "" } ], "container-title" : "New England Journal of Medicine", "id" : "ITEM-1", "issue" : "17", "issued" : { "date-parts" : [ [ "2005", "4", "28" ] ] }, "page" : "1749-1759", "publisher" : " Massachusetts Medical Society ", "title" : "Respiratory Syncytial Virus Infection in Elderly and High-Risk Adults", "type" : "article-journal", "volume" : "352" }, "uris" : [ "http://www.mendeley.com/documents/?uuid=c05ac3ce-f0db-396b-94f1-a3cd78f7d81b" ] }, { "id" : "ITEM-2", "itemData" : { "ISSN" : "0098-7484", "PMID" : "12517228", "abstract" : "CONTEXT Influenza and respiratory syncytial virus (RSV) cause substantial morbidity and mortality. Statistical methods used to estimate deaths in the United States attributable to influenza have not accounted for RSV circulation. OBJECTIVE To develop a statistical model using national mortality and viral surveillance data to estimate annual influenza- and RSV-associated deaths in the United States, by age group, virus, and influenza type and subtype. DESIGN, SETTING, AND POPULATION Age-specific Poisson regression models using national viral surveillance data for the 1976-1977 through 1998-1999 seasons were used to estimate influenza-associated deaths. Influenza- and RSV-associated deaths were simultaneously estimated for the 1990-1991 through 1998-1999 seasons. MAIN OUTCOME MEASURES Attributable deaths for 3 categories: underlying pneumonia and influenza, underlying respiratory and circulatory, and all causes. RESULTS Annual estimates of influenza-associated deaths increased significantly between the 1976-1977 and 1998-1999 seasons for all 3 death categories (P&lt;.001 for each category). For the 1990-1991 through 1998-1999 seasons, the greatest mean numbers of deaths were associated with influenza A(H3N2) viruses, followed by RSV, influenza B, and influenza A(H1N1). Influenza viruses and RSV, respectively, were associated with annual means (SD) of 8097 (3084) and 2707 (196) underlying pneumonia and influenza deaths, 36 155 (11 055) and 11 321 (668) underlying respiratory and circulatory deaths, and 51 203 (15 081) and 17 358 (1086) all-cause deaths. For underlying respiratory and circulatory deaths, 90% of influenza- and 78% of RSV-associated deaths occurred among persons aged 65 years or older. Influenza was associated with more deaths than RSV in all age groups except for children younger than 1 year. On average, influenza was associated with 3 times as many deaths as RSV. CONCLUSIONS Mortality associated with both influenza and RSV circulation disproportionately affects elderly persons. Influenza deaths have increased substantially in the last 2 decades, in part because of aging of the population, underscoring the need for better prevention measures, including more effective vaccines and vaccination programs for elderly persons.", "author" : [ { "dropping-particle" : "", "family" : "Thompson", "given" : "William W", "non-dropping-particle" : "", "parse-names" : false, "suffix" : "" }, { "dropping-particle" : "", "family" : "Shay", "given" : "David K", "non-dropping-particle" : "", "parse-names" : false, "suffix" : "" }, { "dropping-particle" : "", "family" : "Weintraub", "given" : "Eric", "non-dropping-particle" : "", "parse-names" : false, "suffix" : "" }, { "dropping-particle" : "", "family" : "Brammer", "given" : "Lynnette", "non-dropping-particle" : "", "parse-names" : false, "suffix" : "" }, { "dropping-particle" : "", "family" : "Cox", "given" : "Nancy", "non-dropping-particle" : "", "parse-names" : false, "suffix" : "" }, { "dropping-particle" : "", "family" : "Anderson", "given" : "Larry J", "non-dropping-particle" : "", "parse-names" : false, "suffix" : "" }, { "dropping-particle" : "", "family" : "Fukuda", "given" : "Keiji", "non-dropping-particle" : "", "parse-names" : false, "suffix" : "" } ], "container-title" : "JAMA", "id" : "ITEM-2", "issue" : "2", "issued" : { "date-parts" : [ [ "2003", "1", "8" ] ] }, "page" : "179-86", "title" : "Mortality associated with influenza and respiratory syncytial virus in the United States.", "type" : "article-journal", "volume" : "289" }, "uris" : [ "http://www.mendeley.com/documents/?uuid=08ab133c-70c3-373c-bc71-7409c0ae3d91" ] } ], "mendeley" : { "formattedCitation" : "(2,3)", "plainTextFormattedCitation" : "(2,3)", "previouslyFormattedCitation" : "(2,3)" }, "properties" : { "noteIndex" : 0 }, "schema" : "https://github.com/citation-style-language/schema/raw/master/csl-citation.json" }</w:instrText>
      </w:r>
      <w:r w:rsidR="00080D73">
        <w:rPr>
          <w:rFonts w:ascii="Cambria" w:hAnsi="Cambria"/>
        </w:rPr>
        <w:fldChar w:fldCharType="separate"/>
      </w:r>
      <w:r w:rsidR="00510F77" w:rsidRPr="00510F77">
        <w:rPr>
          <w:rFonts w:ascii="Cambria" w:hAnsi="Cambria"/>
          <w:noProof/>
        </w:rPr>
        <w:t>(2,3)</w:t>
      </w:r>
      <w:r w:rsidR="00080D73">
        <w:rPr>
          <w:rFonts w:ascii="Cambria" w:hAnsi="Cambria"/>
        </w:rPr>
        <w:fldChar w:fldCharType="end"/>
      </w:r>
      <w:r>
        <w:rPr>
          <w:rFonts w:ascii="Cambria" w:hAnsi="Cambria"/>
        </w:rPr>
        <w:t xml:space="preserve">. </w:t>
      </w:r>
      <w:r w:rsidR="00C53466">
        <w:rPr>
          <w:rFonts w:ascii="Cambria" w:hAnsi="Cambria"/>
        </w:rPr>
        <w:t>In addition, o</w:t>
      </w:r>
      <w:r w:rsidR="007D3BEB">
        <w:rPr>
          <w:rFonts w:ascii="Cambria" w:hAnsi="Cambria"/>
        </w:rPr>
        <w:t xml:space="preserve">lder </w:t>
      </w:r>
      <w:r w:rsidR="00CA129D">
        <w:rPr>
          <w:rFonts w:ascii="Cambria" w:hAnsi="Cambria"/>
        </w:rPr>
        <w:t>a</w:t>
      </w:r>
      <w:r>
        <w:rPr>
          <w:rFonts w:ascii="Cambria" w:hAnsi="Cambria"/>
        </w:rPr>
        <w:t>dults with comorbidities such as u</w:t>
      </w:r>
      <w:r w:rsidR="00CA129D">
        <w:rPr>
          <w:rFonts w:ascii="Cambria" w:hAnsi="Cambria"/>
        </w:rPr>
        <w:t>nderlying heart or lung disease are at elevated risk of severe RSV disease</w:t>
      </w:r>
      <w:r w:rsidR="00DF6A3E">
        <w:rPr>
          <w:rFonts w:ascii="Cambria" w:hAnsi="Cambria"/>
        </w:rPr>
        <w:t xml:space="preserve">; </w:t>
      </w:r>
      <w:r w:rsidR="002F5946">
        <w:rPr>
          <w:rFonts w:ascii="Cambria" w:hAnsi="Cambria"/>
        </w:rPr>
        <w:t xml:space="preserve">4-10% of high-risk adults will develop acute </w:t>
      </w:r>
      <w:r w:rsidR="00DF6A3E">
        <w:rPr>
          <w:rFonts w:ascii="Cambria" w:hAnsi="Cambria"/>
        </w:rPr>
        <w:t xml:space="preserve">RSV infection </w:t>
      </w:r>
      <w:r w:rsidR="00FD7F0F">
        <w:rPr>
          <w:rFonts w:ascii="Cambria" w:hAnsi="Cambria"/>
        </w:rPr>
        <w:t>annually</w:t>
      </w:r>
      <w:r w:rsidR="00CB71E3">
        <w:rPr>
          <w:rFonts w:ascii="Cambria" w:hAnsi="Cambria"/>
        </w:rPr>
        <w:fldChar w:fldCharType="begin" w:fldLock="1"/>
      </w:r>
      <w:r w:rsidR="00AD3B6A">
        <w:rPr>
          <w:rFonts w:ascii="Cambria" w:hAnsi="Cambria"/>
        </w:rPr>
        <w:instrText>ADDIN CSL_CITATION { "citationItems" : [ { "id" : "ITEM-1", "itemData" : { "DOI" : "10.1056/NEJMoa043951", "ISSN" : "0028-4793", "abstract" : "Background Respiratory syncytial virus (RSV) is an increasingly recognized cause of illness in adults. Data on the epidemiology and clinical effects in community-dwelling elderly persons and high-risk adults can help in assessing the need for vaccine development. Methods During four consecutive winters, we evaluated all respiratory illnesses in prospective cohorts of healthy elderly patients (\u226565 years of age) and high-risk adults (those with chronic heart or lung disease) and in patients hospitalized with acute cardiopulmonary conditions. RSV infection and influenza A were diagnosed on the basis of culture, reverse-transcriptase polymerase chain reaction, and serologic studies. Results A total of 608 healthy elderly patients and 540 high-risk adults were enrolled in prospective surveillance, and 1388 hospitalized patients were enrolled. A total of 2514 illnesses were evaluated. RSV infection was identified in 102 patients in the prospective cohorts and 142 hospitalized patients, and influenza A was diagn...", "author" : [ { "dropping-particle" : "", "family" : "Falsey", "given" : "Ann R.", "non-dropping-particle" : "", "parse-names" : false, "suffix" : "" }, { "dropping-particle" : "", "family" : "Hennessey", "given" : "Patricia A.", "non-dropping-particle" : "", "parse-names" : false, "suffix" : "" }, { "dropping-particle" : "", "family" : "Formica", "given" : "Maria A.", "non-dropping-particle" : "", "parse-names" : false, "suffix" : "" }, { "dropping-particle" : "", "family" : "Cox", "given" : "Christopher", "non-dropping-particle" : "", "parse-names" : false, "suffix" : "" }, { "dropping-particle" : "", "family" : "Walsh", "given" : "Edward E.", "non-dropping-particle" : "", "parse-names" : false, "suffix" : "" } ], "container-title" : "New England Journal of Medicine", "id" : "ITEM-1", "issue" : "17", "issued" : { "date-parts" : [ [ "2005", "4", "28" ] ] }, "page" : "1749-1759", "publisher" : " Massachusetts Medical Society ", "title" : "Respiratory Syncytial Virus Infection in Elderly and High-Risk Adults", "type" : "article-journal", "volume" : "352" }, "uris" : [ "http://www.mendeley.com/documents/?uuid=c05ac3ce-f0db-396b-94f1-a3cd78f7d81b" ] } ], "mendeley" : { "formattedCitation" : "(2)", "plainTextFormattedCitation" : "(2)", "previouslyFormattedCitation" : "(2)" }, "properties" : { "noteIndex" : 0 }, "schema" : "https://github.com/citation-style-language/schema/raw/master/csl-citation.json" }</w:instrText>
      </w:r>
      <w:r w:rsidR="00CB71E3">
        <w:rPr>
          <w:rFonts w:ascii="Cambria" w:hAnsi="Cambria"/>
        </w:rPr>
        <w:fldChar w:fldCharType="separate"/>
      </w:r>
      <w:r w:rsidR="001066E3" w:rsidRPr="001066E3">
        <w:rPr>
          <w:rFonts w:ascii="Cambria" w:hAnsi="Cambria"/>
          <w:noProof/>
        </w:rPr>
        <w:t>(2)</w:t>
      </w:r>
      <w:r w:rsidR="00CB71E3">
        <w:rPr>
          <w:rFonts w:ascii="Cambria" w:hAnsi="Cambria"/>
        </w:rPr>
        <w:fldChar w:fldCharType="end"/>
      </w:r>
      <w:r w:rsidR="00CA129D">
        <w:rPr>
          <w:rFonts w:ascii="Cambria" w:hAnsi="Cambria"/>
        </w:rPr>
        <w:t>.</w:t>
      </w:r>
    </w:p>
    <w:p w14:paraId="6A8466FB" w14:textId="77777777" w:rsidR="008656C0" w:rsidRDefault="008656C0" w:rsidP="00C566BC">
      <w:pPr>
        <w:jc w:val="both"/>
        <w:rPr>
          <w:rFonts w:ascii="Cambria" w:hAnsi="Cambria"/>
        </w:rPr>
      </w:pPr>
    </w:p>
    <w:p w14:paraId="50C3B15E" w14:textId="0B8D6009" w:rsidR="00442F27" w:rsidRPr="00975B33" w:rsidRDefault="00E31403" w:rsidP="00C566BC">
      <w:pPr>
        <w:jc w:val="both"/>
        <w:rPr>
          <w:rFonts w:ascii="Cambria" w:hAnsi="Cambria"/>
          <w:u w:val="single"/>
        </w:rPr>
      </w:pPr>
      <w:r w:rsidRPr="00975B33">
        <w:rPr>
          <w:rFonts w:ascii="Cambria" w:hAnsi="Cambria"/>
          <w:u w:val="single"/>
        </w:rPr>
        <w:t>Immunologi</w:t>
      </w:r>
      <w:r w:rsidR="00442F27" w:rsidRPr="00975B33">
        <w:rPr>
          <w:rFonts w:ascii="Cambria" w:hAnsi="Cambria"/>
          <w:u w:val="single"/>
        </w:rPr>
        <w:t>c endpoints</w:t>
      </w:r>
    </w:p>
    <w:p w14:paraId="6142EAFD" w14:textId="4CCAAA6B" w:rsidR="00985385" w:rsidRDefault="006C4808" w:rsidP="00C566BC">
      <w:pPr>
        <w:jc w:val="both"/>
        <w:rPr>
          <w:rFonts w:ascii="Cambria" w:hAnsi="Cambria"/>
        </w:rPr>
      </w:pPr>
      <w:r>
        <w:rPr>
          <w:rFonts w:ascii="Cambria" w:hAnsi="Cambria"/>
        </w:rPr>
        <w:t xml:space="preserve">Antibodies </w:t>
      </w:r>
      <w:r w:rsidR="001A1BCE">
        <w:rPr>
          <w:rFonts w:ascii="Cambria" w:hAnsi="Cambria"/>
        </w:rPr>
        <w:t>are thought to be the key player</w:t>
      </w:r>
      <w:r>
        <w:rPr>
          <w:rFonts w:ascii="Cambria" w:hAnsi="Cambria"/>
        </w:rPr>
        <w:t xml:space="preserve"> in </w:t>
      </w:r>
      <w:r w:rsidR="00773681">
        <w:rPr>
          <w:rFonts w:ascii="Cambria" w:hAnsi="Cambria"/>
        </w:rPr>
        <w:t>limiting</w:t>
      </w:r>
      <w:r>
        <w:rPr>
          <w:rFonts w:ascii="Cambria" w:hAnsi="Cambria"/>
        </w:rPr>
        <w:t xml:space="preserve"> </w:t>
      </w:r>
      <w:r w:rsidR="0028527C">
        <w:rPr>
          <w:rFonts w:ascii="Cambria" w:hAnsi="Cambria"/>
        </w:rPr>
        <w:t xml:space="preserve">RSV </w:t>
      </w:r>
      <w:r w:rsidR="00C53466">
        <w:rPr>
          <w:rFonts w:ascii="Cambria" w:hAnsi="Cambria"/>
        </w:rPr>
        <w:t>ALRI</w:t>
      </w:r>
      <w:r w:rsidR="00773681">
        <w:rPr>
          <w:rFonts w:ascii="Cambria" w:hAnsi="Cambria"/>
        </w:rPr>
        <w:t xml:space="preserve"> as evidenced by </w:t>
      </w:r>
      <w:r w:rsidR="001A1BCE">
        <w:rPr>
          <w:rFonts w:ascii="Cambria" w:hAnsi="Cambria"/>
        </w:rPr>
        <w:t xml:space="preserve">proven protection </w:t>
      </w:r>
      <w:r w:rsidR="00377119">
        <w:rPr>
          <w:rFonts w:ascii="Cambria" w:hAnsi="Cambria"/>
        </w:rPr>
        <w:t>in</w:t>
      </w:r>
      <w:r w:rsidR="001A1BCE">
        <w:rPr>
          <w:rFonts w:ascii="Cambria" w:hAnsi="Cambria"/>
        </w:rPr>
        <w:t xml:space="preserve"> immunoprophylaxis trials</w:t>
      </w:r>
      <w:r w:rsidR="005840F2">
        <w:rPr>
          <w:rFonts w:ascii="Cambria" w:hAnsi="Cambria"/>
        </w:rPr>
        <w:t xml:space="preserve"> in children</w:t>
      </w:r>
      <w:r w:rsidR="001A1BCE">
        <w:rPr>
          <w:rFonts w:ascii="Cambria" w:hAnsi="Cambria"/>
        </w:rPr>
        <w:t xml:space="preserve"> </w:t>
      </w:r>
      <w:r w:rsidR="003B5222">
        <w:rPr>
          <w:rFonts w:ascii="Cambria" w:hAnsi="Cambria"/>
        </w:rPr>
        <w:fldChar w:fldCharType="begin" w:fldLock="1"/>
      </w:r>
      <w:r w:rsidR="00AC7A3A">
        <w:rPr>
          <w:rFonts w:ascii="Cambria" w:hAnsi="Cambria"/>
        </w:rPr>
        <w:instrText>ADDIN CSL_CITATION { "citationItems" : [ { "id" : "ITEM-1", "itemData" : { "DOI" : "10.1016/S1473-3099(15)00247-9", "ISSN" : "14733099", "PMID" : "26511956", "abstract" : "BACKGROUND Respiratory syncytial virus (RSV) is a leading cause of acute lower respiratory tract infections in children. We aimed to assess the safety and efficacy of an anti-RSV monoclonal antibody (motavizumab) in healthy term (\u226536 weeks' gestational age) infants for the prevention of medically attended RSV acute lower respiratory tract infections. METHODS This phase 3, double-blind, placebo-controlled, randomised trial enrolled healthy Native American infants aged 6 months or younger who were born at 36 weeks' gestational age in southwestern USA, on the Navajo Nation, the White Mountain Apache reservation, and the San Carlos Apache Indian reservation. Participants were randomly assigned (2:1) to receive either five monthly intramuscular doses of motavizumab (15 mg/kg) or placebo. They were followed up for 150 days after the first dose, and the primary endpoints were respiratory admission to hospital with a positive result for RSV by RT-PCR and death caused by RSV. Participants were followed up for medically attended wheezing until they reached age 3 years. Analysis was by intention to treat (ITT). This trial is registered with ClinicalTrials.gov, number NCT00121108. FINDINGS During the autumn seasons (October to December) between 2004 and 2007, 2127 infants of the 2596 infants enrolled were randomly assigned to receive either motavizumab (1417) or placebo (710). After ITT analysis, motavizumab resulted in an 87% relative reduction (relative risk [RR] 0\u00b713, 95% CI 0\u00b708-0\u00b721) in the proportion of infants admitted to hospital with RSV (21 [2%] of 1417 participants who received motavizumab; 80 [11%] of 710 participants who received placebo, p&lt;0\u00b70001). Serious adverse events were less common in particpants taking motavizumab (212 [15%]) than particpants on placebo (148 [21%]). Six deaths occurred in study participants (motavizumab, n=4 [0\u00b73%]; placebo, n=2 [0\u00b73%]); none were deemed to be related to the study product. Hypersensitivity events were more common in patients given motavizumab (208 [14\u00b77%]) than in placebo recipients (87 [12\u00b73%]; p=0\u00b714). There was no effect on rates of medically attended wheezing in children aged 1-3 years (190 [14\u00b79%] of participants randomly assigned to receive motavizumab vs 90 [14\u00b70%] participants randomly assigned to receive placebo). INTERPRETATION To our knowledge, this is the only trial of an anti-RSV antibody to prevent serious RSV disease in healthy term infants. Motavizumab significantly reduced the RSV-associated in\u2026", "author" : [ { "dropping-particle" : "", "family" : "O'Brien", "given" : "Katherine L", "non-dropping-particle" : "", "parse-names" : false, "suffix" : "" }, { "dropping-particle" : "", "family" : "Chandran", "given" : "Aruna", "non-dropping-particle" : "", "parse-names" : false, "suffix" : "" }, { "dropping-particle" : "", "family" : "Weatherholtz", "given" : "Robert", "non-dropping-particle" : "", "parse-names" : false, "suffix" : "" }, { "dropping-particle" : "", "family" : "Jafri", "given" : "Hasan S", "non-dropping-particle" : "", "parse-names" : false, "suffix" : "" }, { "dropping-particle" : "", "family" : "Griffin", "given" : "M Pamela", "non-dropping-particle" : "", "parse-names" : false, "suffix" : "" }, { "dropping-particle" : "", "family" : "Bellamy", "given" : "Terramika", "non-dropping-particle" : "", "parse-names" : false, "suffix" : "" }, { "dropping-particle" : "V", "family" : "Millar", "given" : "Eugene", "non-dropping-particle" : "", "parse-names" : false, "suffix" : "" }, { "dropping-particle" : "", "family" : "Jensen", "given" : "Kathryn M", "non-dropping-particle" : "", "parse-names" : false, "suffix" : "" }, { "dropping-particle" : "", "family" : "Harris", "given" : "Brian S", "non-dropping-particle" : "", "parse-names" : false, "suffix" : "" }, { "dropping-particle" : "", "family" : "Reid", "given" : "Raymond", "non-dropping-particle" : "", "parse-names" : false, "suffix" : "" }, { "dropping-particle" : "", "family" : "Moulton", "given" : "Lawrence H", "non-dropping-particle" : "", "parse-names" : false, "suffix" : "" }, { "dropping-particle" : "", "family" : "Losonsky", "given" : "Genevieve A", "non-dropping-particle" : "", "parse-names" : false, "suffix" : "" }, { "dropping-particle" : "", "family" : "Karron", "given" : "Ruth A", "non-dropping-particle" : "", "parse-names" : false, "suffix" : "" }, { "dropping-particle" : "", "family" : "Santosham", "given" : "Mathuram", "non-dropping-particle" : "", "parse-names" : false, "suffix" : "" }, { "dropping-particle" : "", "family" : "Respiratory Syncytial Virus (RSV) Prevention study group", "given" : "", "non-dropping-particle" : "", "parse-names" : false, "suffix" : "" } ], "container-title" : "The Lancet Infectious Diseases", "id" : "ITEM-1", "issue" : "12", "issued" : { "date-parts" : [ [ "2015", "12" ] ] }, "page" : "1398-1408", "title" : "Efficacy of motavizumab for the prevention of respiratory syncytial virus disease in healthy Native American infants: a phase 3 randomised double-blind placebo-controlled trial", "type" : "article-journal", "volume" : "15" }, "uris" : [ "http://www.mendeley.com/documents/?uuid=fb1adabd-c42a-3c80-920f-47df5d73221e" ] }, { "id" : "ITEM-2", "itemData" : { "ISSN" : "0031-4005", "PMID" : "7700741", "abstract" : "OBJECTIVE To evaluate the safety and efficacy of respiratory syncytial virus immune globulin (RSVIG) in the prevention of severe respiratory syncytial virus (RSV) lower respiratory tract infection (LRTI) in infants born prematurely with or without bronchopulmonary dysplasia (BPD). METHODS Data from a prospective, blinded, randomized, multicenter trial during three consecutive RSV seasons involving 249 children. This analysis comprises 162 preterm children, of whom 102 had BPD. The 87 children with congenital heart disease (CHD) were excluded from this analysis. Children were randomized to receive monthly infusions of RSVIG 750 mg/kg (high dose), RSVIG 150 mg/kg (low dose), or no RSVIG: Results from the preterm infants with and without BPD who received RSVIG 750 mg/kg are contrasted with control infants who did not receive RSVIG: RESULTS As compared with controls, high-dose RSVIG administration significantly reduced the incidences of RSV LRTI (P = .01) and moderate-to-severe LRTI (P = .006). RSV-associated hospitalization also was decreased (P = .06) as well as were total RSV-associated days in the intensive care unit (P = .05). Significantly fewer preterm infants developed severe RSV LRTI in the RSVIG group compared with controls (4/58 [7%] vs 14/58 [24%], respectively; P = .01). Adverse reactions occurred in 5% of RSVIG infusions. These were generally mild and included reversible fluid overload, transient fever, and decreases in oxygen saturation. There was one death unrelated to either RSV or RSVIG administration. CONCLUSIONS Prophylaxis with RSVIG is safe and is currently the only effective means to prevent severe RSV LRTI in high-risk preterm infants.", "author" : [ { "dropping-particle" : "", "family" : "Groothuis", "given" : "J R", "non-dropping-particle" : "", "parse-names" : false, "suffix" : "" }, { "dropping-particle" : "", "family" : "Simoes", "given" : "E A", "non-dropping-particle" : "", "parse-names" : false, "suffix" : "" }, { "dropping-particle" : "", "family" : "Hemming", "given" : "V G", "non-dropping-particle" : "", "parse-names" : false, "suffix" : "" } ], "container-title" : "Pediatrics", "id" : "ITEM-2", "issue" : "4", "issued" : { "date-parts" : [ [ "1995", "4" ] ] }, "page" : "463-7", "title" : "Respiratory syncytial virus (RSV) infection in preterm infants and the protective effects of RSV immune globulin (RSVIG). Respiratory Syncytial Virus Immune Globulin Study Group.", "type" : "article-journal", "volume" : "95" }, "uris" : [ "http://www.mendeley.com/documents/?uuid=d17a58e3-ff5b-380f-a5f8-3f795610ef67" ] }, { "id" : "ITEM-3", "itemData" : { "PMID" : "9738173", "abstract" : "OBJECTIVE To determine the safety and efficacy of prophylaxis with palivizumab in reducing the incidence of hospitalization because of respiratory syncytial virus (RSV) infection in high-risk infants. METHODS A randomized, double-blind, placebo-controlled trial was conducted at 139 centers in the United States, the United Kingdom, and Canada. During the 1996 to 1997 RSV season, 1502 children with prematurity (less than or equal to 35 weeks) or bronchopulmonary dysplasia (BPD) were randomized to receive 5 injections of either palivizumab (15 mg/kg) or an equivalent volume of placebo by intramuscular injection every 30 days. The primary endpoint was hospitalization with confirmed RSV infection. Children were followed for 150 days (30 days from the last injection). Those with hospitalization as a result of RSV infection were evaluated for total number of days in the hospital, total days with increased supplemental oxygen, total days with moderate or severe lower respiratory tract illness, and incidence and total days of intensive care and mechanical ventilation. The incidence of hospitalization for respiratory illness not caused by RSV and the incidence of otitis media were also evaluated. The placebo and palivizumab groups were balanced at entry for demographics and RSV risk factors. Ninety-nine percent of children in both groups completed the protocol and approximately 93% received all five scheduled injections. RESULTS Palivizumab prophylaxis resulted in a 55% reduction in hospitalization as a result of RSV (10.6% placebo vs 4.8% palivizumab). Children with prematurity but without BPD had a 78% reduction in RSV hospitalization (8.1% vs 1.8%); children with BPD had a 39% reduction (12.8% vs 7.9%). When gender, entry age, entry weight, BPD, and gestational age were included in a logistic regression model, the effect of prophylaxis with palivizumab remained statistically significant. The palivizumab group had proportionally fewer total RSV hospital days, fewer RSV hospital days with increased oxygen, fewer RSV hospital days with a moderate/severe lower respiratory tract illness, and a lower incidence of intensive care unit admission. Palivizumab was safe and well tolerated. No significant differences were observed in reported adverse events between the two groups. Few children discontinued injections for related adverse events (0.3%). Reactions at the site of injection were uncommon (1.8% placebo vs 2.7% palivizumab); the most frequent reaction was mild an\u2026", "author" : [ { "dropping-particle" : "", "family" : "IMpact Study Group", "given" : "", "non-dropping-particle" : "", "parse-names" : false, "suffix" : "" } ], "container-title" : "Pediatrics", "id" : "ITEM-3", "issue" : "3 Pt 1", "issued" : { "date-parts" : [ [ "1998", "9" ] ] }, "page" : "531-7", "title" : "Palivizumab, a humanized respiratory syncytial virus monoclonal antibody, reduces hospitalization from respiratory syncytial virus infection in high-risk infants. The IMpact-RSV Study Group.", "type" : "article-journal", "volume" : "102" }, "uris" : [ "http://www.mendeley.com/documents/?uuid=d8e38d7f-6209-3b02-99cc-be50f1099db1" ] } ], "mendeley" : { "formattedCitation" : "(28,29,35)", "plainTextFormattedCitation" : "(28,29,35)", "previouslyFormattedCitation" : "(28,29,35)" }, "properties" : { "noteIndex" : 0 }, "schema" : "https://github.com/citation-style-language/schema/raw/master/csl-citation.json" }</w:instrText>
      </w:r>
      <w:r w:rsidR="003B5222">
        <w:rPr>
          <w:rFonts w:ascii="Cambria" w:hAnsi="Cambria"/>
        </w:rPr>
        <w:fldChar w:fldCharType="separate"/>
      </w:r>
      <w:r w:rsidR="009F500F" w:rsidRPr="009F500F">
        <w:rPr>
          <w:rFonts w:ascii="Cambria" w:hAnsi="Cambria"/>
          <w:noProof/>
        </w:rPr>
        <w:t>(28,29,35)</w:t>
      </w:r>
      <w:r w:rsidR="003B5222">
        <w:rPr>
          <w:rFonts w:ascii="Cambria" w:hAnsi="Cambria"/>
        </w:rPr>
        <w:fldChar w:fldCharType="end"/>
      </w:r>
      <w:r>
        <w:rPr>
          <w:rFonts w:ascii="Cambria" w:hAnsi="Cambria"/>
        </w:rPr>
        <w:t xml:space="preserve">. </w:t>
      </w:r>
      <w:r w:rsidR="00EA41C0">
        <w:rPr>
          <w:rFonts w:ascii="Cambria" w:hAnsi="Cambria"/>
        </w:rPr>
        <w:t xml:space="preserve">Recent evidence from experimental human infection shows a protective role for nasal </w:t>
      </w:r>
      <w:r w:rsidR="00377119">
        <w:rPr>
          <w:rFonts w:ascii="Cambria" w:hAnsi="Cambria"/>
        </w:rPr>
        <w:t xml:space="preserve">RSV-specific </w:t>
      </w:r>
      <w:r w:rsidR="00EA41C0">
        <w:rPr>
          <w:rFonts w:ascii="Cambria" w:hAnsi="Cambria"/>
        </w:rPr>
        <w:t>IgA against RSV infection</w:t>
      </w:r>
      <w:r w:rsidR="00EA41C0">
        <w:rPr>
          <w:rFonts w:ascii="Cambria" w:hAnsi="Cambria"/>
        </w:rPr>
        <w:fldChar w:fldCharType="begin" w:fldLock="1"/>
      </w:r>
      <w:r w:rsidR="001041E2">
        <w:rPr>
          <w:rFonts w:ascii="Cambria" w:hAnsi="Cambria"/>
        </w:rPr>
        <w:instrText>ADDIN CSL_CITATION { "citationItems" : [ { "id" : "ITEM-1", "itemData" : { "DOI" : "10.1164/rccm.201412-2256OC", "ISSN" : "1073-449X", "PMID" : "25730467", "abstract" : "RATIONALE Despite relative antigenic stability, respiratory syncytial virus (RSV) reinfects throughout life. After more than 40 years of research, no effective human vaccine exists and correlates of protection remain poorly defined. Most current vaccine candidates seek to induce high levels of RSV-specific serum neutralizing antibodies, which are associated with reduced RSV-related hospitalization rates in observational studies but may not actually prevent infection. OBJECTIVES To characterize correlates of protection from infection and the generation of RSV-specific humoral memory to promote effective vaccine development. METHODS We inoculated 61 healthy adults with live RSV and studied protection from infection by serum and mucosal antibody. We analyzed RSV-specific peripheral blood plasmablast and memory B-cell frequencies and antibody longevity. MEASUREMENTS AND MAIN RESULTS Despite moderately high levels of preexisting serum antibody, 34 (56%) became infected, of whom 23 (68%) developed symptomatic colds. Prior RSV-specific nasal IgA correlated significantly more strongly with protection from polymerase chain reaction-confirmed infection than serum neutralizing antibody. Increases in virus-specific antibody titers were variable and transient in infected subjects but correlated with plasmablasts that peaked around Day 10. During convalescence, only IgG (and no IgA) RSV-specific memory B cells were detectable in peripheral blood. This contrasted with natural influenza infection, in which virus-specific IgA memory B cells were readily recovered. CONCLUSIONS This observed specific defect in IgA memory may partly explain the ability of RSV to cause recurrent symptomatic infections. If so, vaccines able to induce durable RSV-specific IgA responses may be more protective than those generating systemic antibody alone.", "author" : [ { "dropping-particle" : "", "family" : "Habibi", "given" : "Maximillian S.", "non-dropping-particle" : "", "parse-names" : false, "suffix" : "" }, { "dropping-particle" : "", "family" : "Jozwik", "given" : "Agnieszka", "non-dropping-particle" : "", "parse-names" : false, "suffix" : "" }, { "dropping-particle" : "", "family" : "Makris", "given" : "Spyridon", "non-dropping-particle" : "", "parse-names" : false, "suffix" : "" }, { "dropping-particle" : "", "family" : "Dunning", "given" : "Jake", "non-dropping-particle" : "", "parse-names" : false, "suffix" : "" }, { "dropping-particle" : "", "family" : "Paras", "given" : "Allan", "non-dropping-particle" : "", "parse-names" : false, "suffix" : "" }, { "dropping-particle" : "", "family" : "DeVincenzo", "given" : "John P.", "non-dropping-particle" : "", "parse-names" : false, "suffix" : "" }, { "dropping-particle" : "", "family" : "Haan", "given" : "Cornelis A. M.", "non-dropping-particle" : "de", "parse-names" : false, "suffix" : "" }, { "dropping-particle" : "", "family" : "Wrammert", "given" : "Jens", "non-dropping-particle" : "", "parse-names" : false, "suffix" : "" }, { "dropping-particle" : "", "family" : "Openshaw", "given" : "Peter J. M.", "non-dropping-particle" : "", "parse-names" : false, "suffix" : "" }, { "dropping-particle" : "", "family" : "Chiu", "given" : "Christopher", "non-dropping-particle" : "", "parse-names" : false, "suffix" : "" }, { "dropping-particle" : "", "family" : "Mechanisms of Severe Acute Influenza Consortium Investigators", "given" : "", "non-dropping-particle" : "", "parse-names" : false, "suffix" : "" } ], "container-title" : "American Journal of Respiratory and Critical Care Medicine", "id" : "ITEM-1", "issue" : "9", "issued" : { "date-parts" : [ [ "2015", "5", "1" ] ] }, "page" : "1040-1049", "title" : "Impaired Antibody-mediated Protection and Defective IgA B-Cell Memory in Experimental Infection of Adults with Respiratory Syncytial Virus", "type" : "article-journal", "volume" : "191" }, "uris" : [ "http://www.mendeley.com/documents/?uuid=674f248e-ef79-337f-b8cc-7dd63d5e5463" ] } ], "mendeley" : { "formattedCitation" : "(6)", "plainTextFormattedCitation" : "(6)", "previouslyFormattedCitation" : "(6)" }, "properties" : { "noteIndex" : 0 }, "schema" : "https://github.com/citation-style-language/schema/raw/master/csl-citation.json" }</w:instrText>
      </w:r>
      <w:r w:rsidR="00EA41C0">
        <w:rPr>
          <w:rFonts w:ascii="Cambria" w:hAnsi="Cambria"/>
        </w:rPr>
        <w:fldChar w:fldCharType="separate"/>
      </w:r>
      <w:r w:rsidR="001041E2" w:rsidRPr="001041E2">
        <w:rPr>
          <w:rFonts w:ascii="Cambria" w:hAnsi="Cambria"/>
          <w:noProof/>
        </w:rPr>
        <w:t>(6)</w:t>
      </w:r>
      <w:r w:rsidR="00EA41C0">
        <w:rPr>
          <w:rFonts w:ascii="Cambria" w:hAnsi="Cambria"/>
        </w:rPr>
        <w:fldChar w:fldCharType="end"/>
      </w:r>
      <w:r w:rsidR="00FF35FF">
        <w:rPr>
          <w:rFonts w:ascii="Cambria" w:hAnsi="Cambria"/>
        </w:rPr>
        <w:t>, underscoring the importance of mucosal immunity</w:t>
      </w:r>
      <w:r w:rsidR="00EA41C0">
        <w:rPr>
          <w:rFonts w:ascii="Cambria" w:hAnsi="Cambria"/>
        </w:rPr>
        <w:t xml:space="preserve">. </w:t>
      </w:r>
      <w:r w:rsidR="00377119">
        <w:rPr>
          <w:rFonts w:ascii="Cambria" w:hAnsi="Cambria"/>
        </w:rPr>
        <w:t xml:space="preserve">A </w:t>
      </w:r>
      <w:r w:rsidR="00021106">
        <w:rPr>
          <w:rFonts w:ascii="Cambria" w:hAnsi="Cambria"/>
        </w:rPr>
        <w:t xml:space="preserve">limited ability </w:t>
      </w:r>
      <w:r w:rsidR="00377119">
        <w:rPr>
          <w:rFonts w:ascii="Cambria" w:hAnsi="Cambria"/>
        </w:rPr>
        <w:t xml:space="preserve">to generate memory IgA responses after RSV infection </w:t>
      </w:r>
      <w:r w:rsidR="007262A9">
        <w:rPr>
          <w:rFonts w:ascii="Cambria" w:hAnsi="Cambria"/>
        </w:rPr>
        <w:t>may be</w:t>
      </w:r>
      <w:r w:rsidR="00377119">
        <w:rPr>
          <w:rFonts w:ascii="Cambria" w:hAnsi="Cambria"/>
        </w:rPr>
        <w:t xml:space="preserve"> in part responsible for incomplete immunity and subsequent RSV re-infection. </w:t>
      </w:r>
      <w:r w:rsidR="00DC718F">
        <w:rPr>
          <w:rFonts w:ascii="Cambria" w:hAnsi="Cambria"/>
        </w:rPr>
        <w:t xml:space="preserve">Antibodies </w:t>
      </w:r>
      <w:r w:rsidR="00C930B6">
        <w:rPr>
          <w:rFonts w:ascii="Cambria" w:hAnsi="Cambria"/>
        </w:rPr>
        <w:t xml:space="preserve">directed </w:t>
      </w:r>
      <w:r w:rsidR="00DC718F">
        <w:rPr>
          <w:rFonts w:ascii="Cambria" w:hAnsi="Cambria"/>
        </w:rPr>
        <w:t>against different antigenic sites of the F</w:t>
      </w:r>
      <w:r w:rsidR="00DF577E">
        <w:rPr>
          <w:rFonts w:ascii="Cambria" w:hAnsi="Cambria"/>
        </w:rPr>
        <w:t xml:space="preserve"> </w:t>
      </w:r>
      <w:r w:rsidR="00DC718F">
        <w:rPr>
          <w:rFonts w:ascii="Cambria" w:hAnsi="Cambria"/>
        </w:rPr>
        <w:t xml:space="preserve">protein display different </w:t>
      </w:r>
      <w:r w:rsidR="005840F2">
        <w:rPr>
          <w:rFonts w:ascii="Cambria" w:hAnsi="Cambria"/>
        </w:rPr>
        <w:t>neutralization</w:t>
      </w:r>
      <w:r w:rsidR="00DC718F">
        <w:rPr>
          <w:rFonts w:ascii="Cambria" w:hAnsi="Cambria"/>
        </w:rPr>
        <w:t xml:space="preserve"> </w:t>
      </w:r>
      <w:r w:rsidR="00021730">
        <w:rPr>
          <w:rFonts w:ascii="Cambria" w:hAnsi="Cambria"/>
        </w:rPr>
        <w:t>capacit</w:t>
      </w:r>
      <w:r w:rsidR="00D54A66">
        <w:rPr>
          <w:rFonts w:ascii="Cambria" w:hAnsi="Cambria"/>
        </w:rPr>
        <w:t>ies</w:t>
      </w:r>
      <w:r w:rsidR="00397429">
        <w:rPr>
          <w:rFonts w:ascii="Cambria" w:hAnsi="Cambria"/>
        </w:rPr>
        <w:t xml:space="preserve"> </w:t>
      </w:r>
      <w:r w:rsidR="00556ECE">
        <w:rPr>
          <w:rFonts w:ascii="Cambria" w:hAnsi="Cambria"/>
        </w:rPr>
        <w:t xml:space="preserve">with the </w:t>
      </w:r>
      <w:r w:rsidR="000E388B">
        <w:rPr>
          <w:rFonts w:ascii="Cambria" w:hAnsi="Cambria"/>
        </w:rPr>
        <w:t>most</w:t>
      </w:r>
      <w:r w:rsidR="000E388B" w:rsidRPr="004B444D">
        <w:rPr>
          <w:rFonts w:ascii="Cambria" w:hAnsi="Cambria"/>
        </w:rPr>
        <w:t xml:space="preserve"> </w:t>
      </w:r>
      <w:r w:rsidR="004B444D" w:rsidRPr="004B444D">
        <w:rPr>
          <w:rFonts w:ascii="Cambria" w:hAnsi="Cambria"/>
        </w:rPr>
        <w:t>neutralization</w:t>
      </w:r>
      <w:r w:rsidR="000E388B">
        <w:rPr>
          <w:rFonts w:ascii="Cambria" w:hAnsi="Cambria"/>
        </w:rPr>
        <w:t>-</w:t>
      </w:r>
      <w:r w:rsidR="004B444D" w:rsidRPr="004B444D">
        <w:rPr>
          <w:rFonts w:ascii="Cambria" w:hAnsi="Cambria"/>
        </w:rPr>
        <w:t xml:space="preserve">sensitive </w:t>
      </w:r>
      <w:r w:rsidR="00556ECE" w:rsidRPr="004B444D">
        <w:rPr>
          <w:rFonts w:ascii="Cambria" w:hAnsi="Cambria"/>
        </w:rPr>
        <w:t>epitopes exclusive to the pre</w:t>
      </w:r>
      <w:r w:rsidR="00C35468">
        <w:rPr>
          <w:rFonts w:ascii="Cambria" w:hAnsi="Cambria"/>
        </w:rPr>
        <w:t>-</w:t>
      </w:r>
      <w:r w:rsidR="00556ECE" w:rsidRPr="004B444D">
        <w:rPr>
          <w:rFonts w:ascii="Cambria" w:hAnsi="Cambria"/>
        </w:rPr>
        <w:t>F conformatio</w:t>
      </w:r>
      <w:r w:rsidR="00556ECE">
        <w:rPr>
          <w:rFonts w:ascii="Cambria" w:hAnsi="Cambria"/>
        </w:rPr>
        <w:t>n</w:t>
      </w:r>
      <w:r w:rsidR="00DC718F">
        <w:rPr>
          <w:rFonts w:ascii="Cambria" w:hAnsi="Cambria"/>
        </w:rPr>
        <w:t>.</w:t>
      </w:r>
      <w:r w:rsidR="00D54A66">
        <w:rPr>
          <w:rFonts w:ascii="Cambria" w:hAnsi="Cambria"/>
        </w:rPr>
        <w:t xml:space="preserve"> </w:t>
      </w:r>
      <w:r w:rsidR="00DC718F">
        <w:rPr>
          <w:rFonts w:ascii="Cambria" w:hAnsi="Cambria"/>
        </w:rPr>
        <w:t xml:space="preserve">Antibodies </w:t>
      </w:r>
      <w:r w:rsidR="00F94209">
        <w:rPr>
          <w:rFonts w:ascii="Cambria" w:hAnsi="Cambria"/>
        </w:rPr>
        <w:t>with</w:t>
      </w:r>
      <w:r w:rsidR="00DC718F">
        <w:rPr>
          <w:rFonts w:ascii="Cambria" w:hAnsi="Cambria"/>
        </w:rPr>
        <w:t xml:space="preserve"> specificity for antigenic sites </w:t>
      </w:r>
      <w:r w:rsidR="00B45B88" w:rsidRPr="00B57FF0">
        <w:t>Ø</w:t>
      </w:r>
      <w:r w:rsidR="00DC718F">
        <w:rPr>
          <w:rFonts w:ascii="Cambria" w:hAnsi="Cambria"/>
        </w:rPr>
        <w:t xml:space="preserve"> and V show high neutralizing activity and are exclusive to the pre</w:t>
      </w:r>
      <w:r w:rsidR="00C35468">
        <w:rPr>
          <w:rFonts w:ascii="Cambria" w:hAnsi="Cambria"/>
        </w:rPr>
        <w:t>-</w:t>
      </w:r>
      <w:r w:rsidR="00DC718F">
        <w:rPr>
          <w:rFonts w:ascii="Cambria" w:hAnsi="Cambria"/>
        </w:rPr>
        <w:t>F conformation</w:t>
      </w:r>
      <w:r w:rsidR="00B45B88">
        <w:rPr>
          <w:rFonts w:ascii="Cambria" w:hAnsi="Cambria"/>
        </w:rPr>
        <w:fldChar w:fldCharType="begin" w:fldLock="1"/>
      </w:r>
      <w:r w:rsidR="00A828B0">
        <w:rPr>
          <w:rFonts w:ascii="Cambria" w:hAnsi="Cambria"/>
        </w:rPr>
        <w:instrText>ADDIN CSL_CITATION { "citationItems" : [ { "id" : "ITEM-1", "itemData" : { "DOI" : "10.1126/sciimmunol.aaj1879", "PMID" : "28111638", "abstract" : "Respiratory syncytial virus (RSV) causes substantial morbidity and mortality in young children and the elderly. There are currently no licensed RSV vaccines, and passive prophylaxis with the monoclonal antibody palivizumab is restricted to high-risk infants in part due to its modest efficacy. Although it is widely agreed that an effective RSV vaccine will require the induction of a potent neutralizing antibody response against the RSV fusion (F) glycoprotein, little is known about the specificities and functional activities of RSV F-specific antibodies induced by natural infection. Here, we have comprehensively profiled the human antibody response to RSV F by isolating and characterizing 364 RSV F-specific monoclonal antibodies from the memory B cells of three healthy adult donors. In all donors, the antibody response to RSV F is comprised of a broad diversity of clones that target several antigenic sites. Nearly half of the most potent antibodies target a previously undefined site of vulnerability near the apex of the prefusion conformation of RSV F (preF), providing strong support for the development of RSV vaccine candidates that preserve the membrane-distal hemisphere of the preF protein. Additionally, the antibodies targeting this new site display convergent sequence features, thus providing a future means to rapidly detect the presence of these antibodies in human vaccine samples. Many of the antibodies that bind preF-specific surfaces are over 100 times more potent than palivizumab, and several cross-neutralize human metapneumovirus (HMPV). Taken together, the results have implications for the design and evaluation of RSV vaccine candidates and offer new options for passive prophylaxis.", "author" : [ { "dropping-particle" : "", "family" : "Gilman", "given" : "M. S. A.", "non-dropping-particle" : "", "parse-names" : false, "suffix" : "" }, { "dropping-particle" : "", "family" : "Castellanos", "given" : "C. A.", "non-dropping-particle" : "", "parse-names" : false, "suffix" : "" }, { "dropping-particle" : "", "family" : "Chen", "given" : "M.", "non-dropping-particle" : "", "parse-names" : false, "suffix" : "" }, { "dropping-particle" : "", "family" : "Ngwuta", "given" : "J. O.", "non-dropping-particle" : "", "parse-names" : false, "suffix" : "" }, { "dropping-particle" : "", "family" : "Goodwin", "given" : "E.", "non-dropping-particle" : "", "parse-names" : false, "suffix" : "" }, { "dropping-particle" : "", "family" : "Moin", "given" : "S. M.", "non-dropping-particle" : "", "parse-names" : false, "suffix" : "" }, { "dropping-particle" : "", "family" : "Mas", "given" : "V.", "non-dropping-particle" : "", "parse-names" : false, "suffix" : "" }, { "dropping-particle" : "", "family" : "Melero", "given" : "J. A.", "non-dropping-particle" : "", "parse-names" : false, "suffix" : "" }, { "dropping-particle" : "", "family" : "Wright", "given" : "P. F.", "non-dropping-particle" : "", "parse-names" : false, "suffix" : "" }, { "dropping-particle" : "", "family" : "Graham", "given" : "B. S.", "non-dropping-particle" : "", "parse-names" : false, "suffix" : "" }, { "dropping-particle" : "", "family" : "McLellan", "given" : "J. S.", "non-dropping-particle" : "", "parse-names" : false, "suffix" : "" }, { "dropping-particle" : "", "family" : "Walker", "given" : "L. M.", "non-dropping-particle" : "", "parse-names" : false, "suffix" : "" } ], "container-title" : "Sci Immunol", "id" : "ITEM-1", "issue" : "6", "issued" : { "date-parts" : [ [ "2016", "12", "9" ] ] }, "page" : "eaaj1879", "title" : "Rapid profiling of RSV antibody repertoires from the memory B cells of naturally infected adult donors", "type" : "article-journal", "volume" : "1" }, "uris" : [ "http://www.mendeley.com/documents/?uuid=c9c0e13b-c9aa-3731-99c7-92939178c7c1" ] }, { "id" : "ITEM-2", "itemData" : { "DOI" : "10.1371/journal.ppat.1005035", "ISSN" : "1553-7374", "author" : [ { "dropping-particle" : "", "family" : "Gilman", "given" : "Morgan S. A.", "non-dropping-particle" : "", "parse-names" : false, "suffix" : "" }, { "dropping-particle" : "", "family" : "Moin", "given" : "Syed M.", "non-dropping-particle" : "", "parse-names" : false, "suffix" : "" }, { "dropping-particle" : "", "family" : "Mas", "given" : "Vicente", "non-dropping-particle" : "", "parse-names" : false, "suffix" : "" }, { "dropping-particle" : "", "family" : "Chen", "given" : "Man", "non-dropping-particle" : "", "parse-names" : false, "suffix" : "" }, { "dropping-particle" : "", "family" : "Patel", "given" : "Nita K.", "non-dropping-particle" : "", "parse-names" : false, "suffix" : "" }, { "dropping-particle" : "", "family" : "Kramer", "given" : "Kari", "non-dropping-particle" : "", "parse-names" : false, "suffix" : "" }, { "dropping-particle" : "", "family" : "Zhu", "given" : "Qing", "non-dropping-particle" : "", "parse-names" : false, "suffix" : "" }, { "dropping-particle" : "", "family" : "Kabeche", "given" : "Stephanie C.", "non-dropping-particle" : "", "parse-names" : false, "suffix" : "" }, { "dropping-particle" : "", "family" : "Kumar", "given" : "Azad", "non-dropping-particle" : "", "parse-names" : false, "suffix" : "" }, { "dropping-particle" : "", "family" : "Palomo", "given" : "Concepci\u00f3n", "non-dropping-particle" : "", "parse-names" : false, "suffix" : "" }, { "dropping-particle" : "", "family" : "Beaumont", "given" : "Tim", "non-dropping-particle" : "", "parse-names" : false, "suffix" : "" }, { "dropping-particle" : "", "family" : "Baxa", "given" : "Ulrich", "non-dropping-particle" : "", "parse-names" : false, "suffix" : "" }, { "dropping-particle" : "", "family" : "Ulbrandt", "given" : "Nancy D.", "non-dropping-particle" : "", "parse-names" : false, "suffix" : "" }, { "dropping-particle" : "", "family" : "Melero", "given" : "Jos\u00e9 A.", "non-dropping-particle" : "", "parse-names" : false, "suffix" : "" }, { "dropping-particle" : "", "family" : "Graham", "given" : "Barney S.", "non-dropping-particle" : "", "parse-names" : false, "suffix" : "" }, { "dropping-particle" : "", "family" : "McLellan", "given" : "Jason S.", "non-dropping-particle" : "", "parse-names" : false, "suffix" : "" } ], "container-title" : "PLOS Pathogens", "editor" : [ { "dropping-particle" : "", "family" : "Tomaras", "given" : "Georgia D.", "non-dropping-particle" : "", "parse-names" : false, "suffix" : "" } ], "id" : "ITEM-2", "issue" : "7", "issued" : { "date-parts" : [ [ "2015", "7", "10" ] ] }, "page" : "e1005035", "title" : "Characterization of a Prefusion-Specific Antibody That Recognizes a Quaternary, Cleavage-Dependent Epitope on the RSV Fusion Glycoprotein", "type" : "article-journal", "volume" : "11" }, "uris" : [ "http://www.mendeley.com/documents/?uuid=a3fc0441-a479-369d-83f3-202911abc003" ] } ], "mendeley" : { "formattedCitation" : "(42,82)", "plainTextFormattedCitation" : "(42,82)", "previouslyFormattedCitation" : "(42,82)" }, "properties" : { "noteIndex" : 0 }, "schema" : "https://github.com/citation-style-language/schema/raw/master/csl-citation.json" }</w:instrText>
      </w:r>
      <w:r w:rsidR="00B45B88">
        <w:rPr>
          <w:rFonts w:ascii="Cambria" w:hAnsi="Cambria"/>
        </w:rPr>
        <w:fldChar w:fldCharType="separate"/>
      </w:r>
      <w:r w:rsidR="00D83E6A" w:rsidRPr="00D83E6A">
        <w:rPr>
          <w:rFonts w:ascii="Cambria" w:hAnsi="Cambria"/>
          <w:noProof/>
        </w:rPr>
        <w:t>(42,82)</w:t>
      </w:r>
      <w:r w:rsidR="00B45B88">
        <w:rPr>
          <w:rFonts w:ascii="Cambria" w:hAnsi="Cambria"/>
        </w:rPr>
        <w:fldChar w:fldCharType="end"/>
      </w:r>
      <w:r w:rsidR="00F94209">
        <w:rPr>
          <w:rFonts w:ascii="Cambria" w:hAnsi="Cambria"/>
        </w:rPr>
        <w:t xml:space="preserve">. </w:t>
      </w:r>
      <w:r w:rsidR="00F10855">
        <w:rPr>
          <w:rFonts w:ascii="Cambria" w:hAnsi="Cambria"/>
        </w:rPr>
        <w:t>A</w:t>
      </w:r>
      <w:r w:rsidR="00F10855" w:rsidRPr="00B57FF0">
        <w:rPr>
          <w:rFonts w:ascii="Cambria" w:hAnsi="Cambria"/>
        </w:rPr>
        <w:t xml:space="preserve">ntigenic site </w:t>
      </w:r>
      <w:r w:rsidR="00F10855" w:rsidRPr="00B57FF0">
        <w:t>Ø</w:t>
      </w:r>
      <w:r w:rsidR="00F10855">
        <w:rPr>
          <w:rFonts w:ascii="Cambria" w:hAnsi="Cambria"/>
        </w:rPr>
        <w:t xml:space="preserve"> is located at the apex of the pre-F conformation</w:t>
      </w:r>
      <w:r w:rsidR="00F10855">
        <w:t>,</w:t>
      </w:r>
      <w:r w:rsidR="00F10855" w:rsidRPr="00B57FF0">
        <w:t xml:space="preserve"> </w:t>
      </w:r>
      <w:r w:rsidR="00B962E6">
        <w:rPr>
          <w:rFonts w:ascii="Cambria" w:hAnsi="Cambria"/>
        </w:rPr>
        <w:t xml:space="preserve">the most variable </w:t>
      </w:r>
      <w:r w:rsidR="00B962E6">
        <w:rPr>
          <w:rFonts w:ascii="Cambria" w:hAnsi="Cambria"/>
        </w:rPr>
        <w:lastRenderedPageBreak/>
        <w:t>region</w:t>
      </w:r>
      <w:r w:rsidR="00F10855">
        <w:rPr>
          <w:rFonts w:ascii="Cambria" w:hAnsi="Cambria"/>
        </w:rPr>
        <w:t xml:space="preserve"> of the highly conserved F protein</w:t>
      </w:r>
      <w:r w:rsidR="00F10855">
        <w:rPr>
          <w:rFonts w:ascii="Cambria" w:hAnsi="Cambria"/>
        </w:rPr>
        <w:fldChar w:fldCharType="begin" w:fldLock="1"/>
      </w:r>
      <w:r w:rsidR="00AC7A3A">
        <w:rPr>
          <w:rFonts w:ascii="Cambria" w:hAnsi="Cambria"/>
        </w:rPr>
        <w:instrText>ADDIN CSL_CITATION { "citationItems" : [ { "id" : "ITEM-1", "itemData" : { "DOI" : "10.1126/science.1234914", "ISSN" : "1095-9203", "PMID" : "23618766", "abstract" : "The prefusion state of respiratory syncytial virus (RSV) fusion (F) glycoprotein is the target of most RSV-neutralizing activity in human sera, but its metastability has hindered characterization. To overcome this obstacle, we identified prefusion-specific antibodies that were substantially more potent than the prophylactic antibody palivizumab. The cocrystal structure for one of these antibodies, D25, in complex with the F glycoprotein revealed D25 to lock F in its prefusion state by binding to a quaternary epitope at the trimer apex. Electron microscopy showed that two other antibodies, AM22 and 5C4, also bound to the newly identified site of vulnerability, which we named antigenic site \u00d8. These studies should enable design of improved vaccine antigens and define new targets for passive prevention of RSV-induced disease.", "author" : [ { "dropping-particle" : "", "family" : "McLellan", "given" : "Jason S", "non-dropping-particle" : "", "parse-names" : false, "suffix" : "" }, { "dropping-particle" : "", "family" : "Chen", "given" : "Man", "non-dropping-particle" : "", "parse-names" : false, "suffix" : "" }, { "dropping-particle" : "", "family" : "Leung", "given" : "Sherman", "non-dropping-particle" : "", "parse-names" : false, "suffix" : "" }, { "dropping-particle" : "", "family" : "Graepel", "given" : "Kevin W", "non-dropping-particle" : "", "parse-names" : false, "suffix" : "" }, { "dropping-particle" : "", "family" : "Du", "given" : "Xiulian", "non-dropping-particle" : "", "parse-names" : false, "suffix" : "" }, { "dropping-particle" : "", "family" : "Yang", "given" : "Yongping", "non-dropping-particle" : "", "parse-names" : false, "suffix" : "" }, { "dropping-particle" : "", "family" : "Zhou", "given" : "Tongqing", "non-dropping-particle" : "", "parse-names" : false, "suffix" : "" }, { "dropping-particle" : "", "family" : "Baxa", "given" : "Ulrich", "non-dropping-particle" : "", "parse-names" : false, "suffix" : "" }, { "dropping-particle" : "", "family" : "Yasuda", "given" : "Etsuko", "non-dropping-particle" : "", "parse-names" : false, "suffix" : "" }, { "dropping-particle" : "", "family" : "Beaumont", "given" : "Tim", "non-dropping-particle" : "", "parse-names" : false, "suffix" : "" }, { "dropping-particle" : "", "family" : "Kumar", "given" : "Azad", "non-dropping-particle" : "", "parse-names" : false, "suffix" : "" }, { "dropping-particle" : "", "family" : "Modjarrad", "given" : "Kayvon", "non-dropping-particle" : "", "parse-names" : false, "suffix" : "" }, { "dropping-particle" : "", "family" : "Zheng", "given" : "Zizheng", "non-dropping-particle" : "", "parse-names" : false, "suffix" : "" }, { "dropping-particle" : "", "family" : "Zhao", "given" : "Min", "non-dropping-particle" : "", "parse-names" : false, "suffix" : "" }, { "dropping-particle" : "", "family" : "Xia", "given" : "Ningshao", "non-dropping-particle" : "", "parse-names" : false, "suffix" : "" }, { "dropping-particle" : "", "family" : "Kwong", "given" : "Peter D", "non-dropping-particle" : "", "parse-names" : false, "suffix" : "" }, { "dropping-particle" : "", "family" : "Graham", "given" : "Barney S", "non-dropping-particle" : "", "parse-names" : false, "suffix" : "" } ], "container-title" : "Science (New York, N.Y.)", "id" : "ITEM-1", "issue" : "6136", "issued" : { "date-parts" : [ [ "2013", "5", "31" ] ] }, "page" : "1113-7", "title" : "Structure of RSV fusion glycoprotein trimer bound to a prefusion-specific neutralizing antibody.", "type" : "article-journal", "volume" : "340" }, "uris" : [ "http://www.mendeley.com/documents/?uuid=5c818baa-795d-47bb-8b02-4a761ffeba3a" ] } ], "mendeley" : { "formattedCitation" : "(19)", "plainTextFormattedCitation" : "(19)", "previouslyFormattedCitation" : "(19)" }, "properties" : { "noteIndex" : 0 }, "schema" : "https://github.com/citation-style-language/schema/raw/master/csl-citation.json" }</w:instrText>
      </w:r>
      <w:r w:rsidR="00F10855">
        <w:rPr>
          <w:rFonts w:ascii="Cambria" w:hAnsi="Cambria"/>
        </w:rPr>
        <w:fldChar w:fldCharType="separate"/>
      </w:r>
      <w:r w:rsidR="009F500F" w:rsidRPr="009F500F">
        <w:rPr>
          <w:rFonts w:ascii="Cambria" w:hAnsi="Cambria"/>
          <w:noProof/>
        </w:rPr>
        <w:t>(19)</w:t>
      </w:r>
      <w:r w:rsidR="00F10855">
        <w:rPr>
          <w:rFonts w:ascii="Cambria" w:hAnsi="Cambria"/>
        </w:rPr>
        <w:fldChar w:fldCharType="end"/>
      </w:r>
      <w:r w:rsidR="00F10855">
        <w:rPr>
          <w:rFonts w:ascii="Cambria" w:hAnsi="Cambria"/>
        </w:rPr>
        <w:t xml:space="preserve">. </w:t>
      </w:r>
      <w:r w:rsidR="00F94209">
        <w:rPr>
          <w:rFonts w:ascii="Cambria" w:hAnsi="Cambria"/>
        </w:rPr>
        <w:t>Antibodies against antigenic site III prefer</w:t>
      </w:r>
      <w:r w:rsidR="000D47BE">
        <w:rPr>
          <w:rFonts w:ascii="Cambria" w:hAnsi="Cambria"/>
        </w:rPr>
        <w:t xml:space="preserve"> the </w:t>
      </w:r>
      <w:r w:rsidR="00C35468">
        <w:rPr>
          <w:rFonts w:ascii="Cambria" w:hAnsi="Cambria"/>
        </w:rPr>
        <w:t xml:space="preserve">pre-F </w:t>
      </w:r>
      <w:r w:rsidR="000D47BE">
        <w:rPr>
          <w:rFonts w:ascii="Cambria" w:hAnsi="Cambria"/>
        </w:rPr>
        <w:t>conformation and exhibit high neutralizi</w:t>
      </w:r>
      <w:r w:rsidR="000E388B">
        <w:rPr>
          <w:rFonts w:ascii="Cambria" w:hAnsi="Cambria"/>
        </w:rPr>
        <w:t>ng</w:t>
      </w:r>
      <w:r w:rsidR="000D47BE">
        <w:rPr>
          <w:rFonts w:ascii="Cambria" w:hAnsi="Cambria"/>
        </w:rPr>
        <w:t xml:space="preserve"> activity</w:t>
      </w:r>
      <w:r w:rsidR="00145C74">
        <w:rPr>
          <w:rFonts w:ascii="Cambria" w:hAnsi="Cambria"/>
        </w:rPr>
        <w:fldChar w:fldCharType="begin" w:fldLock="1"/>
      </w:r>
      <w:r w:rsidR="00A828B0">
        <w:rPr>
          <w:rFonts w:ascii="Cambria" w:hAnsi="Cambria"/>
        </w:rPr>
        <w:instrText>ADDIN CSL_CITATION { "citationItems" : [ { "id" : "ITEM-1", "itemData" : { "DOI" : "10.1038/nature12442", "ISSN" : "0028-0836", "abstract" : "Human respiratory syncytial virus (HRSV) is a major cause of morbidity and mortality in young children and the elderly, with no effective therapy or vaccine. Corti et al. describe a human monoclonal antibody, named MPE8, with prophylactic and therapeutic potential. The antibody potently cross-neutralizes HRSV and human metapneumovirus, as well as two animal viruses. It is specific for the pre-fusion F protein, suggesting that a vaccine based on a stabilized pre-fusion F protein might be able to selectively elicit neutralizing antibodies.", "author" : [ { "dropping-particle" : "", "family" : "Corti", "given" : "Davide", "non-dropping-particle" : "", "parse-names" : false, "suffix" : "" }, { "dropping-particle" : "", "family" : "Bianchi", "given" : "Siro", "non-dropping-particle" : "", "parse-names" : false, "suffix" : "" }, { "dropping-particle" : "", "family" : "Vanzetta", "given" : "Fabrizia", "non-dropping-particle" : "", "parse-names" : false, "suffix" : "" }, { "dropping-particle" : "", "family" : "Minola", "given" : "Andrea", "non-dropping-particle" : "", "parse-names" : false, "suffix" : "" }, { "dropping-particle" : "", "family" : "Perez", "given" : "Laurent", "non-dropping-particle" : "", "parse-names" : false, "suffix" : "" }, { "dropping-particle" : "", "family" : "Agatic", "given" : "Gloria", "non-dropping-particle" : "", "parse-names" : false, "suffix" : "" }, { "dropping-particle" : "", "family" : "Guarino", "given" : "Barbara", "non-dropping-particle" : "", "parse-names" : false, "suffix" : "" }, { "dropping-particle" : "", "family" : "Silacci", "given" : "Chiara", "non-dropping-particle" : "", "parse-names" : false, "suffix" : "" }, { "dropping-particle" : "", "family" : "Marcandalli", "given" : "Jessica", "non-dropping-particle" : "", "parse-names" : false, "suffix" : "" }, { "dropping-particle" : "", "family" : "Marsland", "given" : "Benjamin J.", "non-dropping-particle" : "", "parse-names" : false, "suffix" : "" }, { "dropping-particle" : "", "family" : "Piralla", "given" : "Antonio", "non-dropping-particle" : "", "parse-names" : false, "suffix" : "" }, { "dropping-particle" : "", "family" : "Percivalle", "given" : "Elena", "non-dropping-particle" : "", "parse-names" : false, "suffix" : "" }, { "dropping-particle" : "", "family" : "Sallusto", "given" : "Federica", "non-dropping-particle" : "", "parse-names" : false, "suffix" : "" }, { "dropping-particle" : "", "family" : "Baldanti", "given" : "Fausto", "non-dropping-particle" : "", "parse-names" : false, "suffix" : "" }, { "dropping-particle" : "", "family" : "Lanzavecchia", "given" : "Antonio", "non-dropping-particle" : "", "parse-names" : false, "suffix" : "" } ], "container-title" : "Nature", "id" : "ITEM-1", "issue" : "7467", "issued" : { "date-parts" : [ [ "2013", "9", "18" ] ] }, "page" : "439-443", "title" : "Cross-neutralization of four paramyxoviruses by a human monoclonal antibody", "type" : "article-journal", "volume" : "501" }, "uris" : [ "http://www.mendeley.com/documents/?uuid=7d56d63d-25c2-34dc-8bf9-7eb029818b99" ] } ], "mendeley" : { "formattedCitation" : "(83)", "plainTextFormattedCitation" : "(83)", "previouslyFormattedCitation" : "(83)" }, "properties" : { "noteIndex" : 0 }, "schema" : "https://github.com/citation-style-language/schema/raw/master/csl-citation.json" }</w:instrText>
      </w:r>
      <w:r w:rsidR="00145C74">
        <w:rPr>
          <w:rFonts w:ascii="Cambria" w:hAnsi="Cambria"/>
        </w:rPr>
        <w:fldChar w:fldCharType="separate"/>
      </w:r>
      <w:r w:rsidR="00D83E6A" w:rsidRPr="00D83E6A">
        <w:rPr>
          <w:rFonts w:ascii="Cambria" w:hAnsi="Cambria"/>
          <w:noProof/>
        </w:rPr>
        <w:t>(83)</w:t>
      </w:r>
      <w:r w:rsidR="00145C74">
        <w:rPr>
          <w:rFonts w:ascii="Cambria" w:hAnsi="Cambria"/>
        </w:rPr>
        <w:fldChar w:fldCharType="end"/>
      </w:r>
      <w:r w:rsidR="000D47BE">
        <w:rPr>
          <w:rFonts w:ascii="Cambria" w:hAnsi="Cambria"/>
        </w:rPr>
        <w:t xml:space="preserve">. Antibodies directed against site II and IV, </w:t>
      </w:r>
      <w:r w:rsidR="00F94209">
        <w:rPr>
          <w:rFonts w:ascii="Cambria" w:hAnsi="Cambria"/>
        </w:rPr>
        <w:t>present on</w:t>
      </w:r>
      <w:r w:rsidR="00AA75D8">
        <w:rPr>
          <w:rFonts w:ascii="Cambria" w:hAnsi="Cambria"/>
        </w:rPr>
        <w:t xml:space="preserve"> both</w:t>
      </w:r>
      <w:r w:rsidR="000D47BE">
        <w:rPr>
          <w:rFonts w:ascii="Cambria" w:hAnsi="Cambria"/>
        </w:rPr>
        <w:t xml:space="preserve"> pre</w:t>
      </w:r>
      <w:r w:rsidR="00C35468">
        <w:rPr>
          <w:rFonts w:ascii="Cambria" w:hAnsi="Cambria"/>
        </w:rPr>
        <w:t>-</w:t>
      </w:r>
      <w:r w:rsidR="000D47BE">
        <w:rPr>
          <w:rFonts w:ascii="Cambria" w:hAnsi="Cambria"/>
        </w:rPr>
        <w:t>F and post</w:t>
      </w:r>
      <w:r w:rsidR="00C35468">
        <w:rPr>
          <w:rFonts w:ascii="Cambria" w:hAnsi="Cambria"/>
        </w:rPr>
        <w:t>-</w:t>
      </w:r>
      <w:r w:rsidR="00AA75D8">
        <w:rPr>
          <w:rFonts w:ascii="Cambria" w:hAnsi="Cambria"/>
        </w:rPr>
        <w:t>F</w:t>
      </w:r>
      <w:r w:rsidR="000D47BE">
        <w:rPr>
          <w:rFonts w:ascii="Cambria" w:hAnsi="Cambria"/>
        </w:rPr>
        <w:t>, exhibit medium to high neutralization</w:t>
      </w:r>
      <w:r w:rsidR="00AA75D8">
        <w:rPr>
          <w:rFonts w:ascii="Cambria" w:hAnsi="Cambria"/>
        </w:rPr>
        <w:t xml:space="preserve"> potency</w:t>
      </w:r>
      <w:r w:rsidR="00145C74">
        <w:rPr>
          <w:rFonts w:ascii="Cambria" w:hAnsi="Cambria"/>
        </w:rPr>
        <w:fldChar w:fldCharType="begin" w:fldLock="1"/>
      </w:r>
      <w:r w:rsidR="00A828B0">
        <w:rPr>
          <w:rFonts w:ascii="Cambria" w:hAnsi="Cambria"/>
        </w:rPr>
        <w:instrText>ADDIN CSL_CITATION { "citationItems" : [ { "id" : "ITEM-1", "itemData" : { "DOI" : "10.1371/journal.ppat.1005035", "ISSN" : "1553-7374", "author" : [ { "dropping-particle" : "", "family" : "Gilman", "given" : "Morgan S. A.", "non-dropping-particle" : "", "parse-names" : false, "suffix" : "" }, { "dropping-particle" : "", "family" : "Moin", "given" : "Syed M.", "non-dropping-particle" : "", "parse-names" : false, "suffix" : "" }, { "dropping-particle" : "", "family" : "Mas", "given" : "Vicente", "non-dropping-particle" : "", "parse-names" : false, "suffix" : "" }, { "dropping-particle" : "", "family" : "Chen", "given" : "Man", "non-dropping-particle" : "", "parse-names" : false, "suffix" : "" }, { "dropping-particle" : "", "family" : "Patel", "given" : "Nita K.", "non-dropping-particle" : "", "parse-names" : false, "suffix" : "" }, { "dropping-particle" : "", "family" : "Kramer", "given" : "Kari", "non-dropping-particle" : "", "parse-names" : false, "suffix" : "" }, { "dropping-particle" : "", "family" : "Zhu", "given" : "Qing", "non-dropping-particle" : "", "parse-names" : false, "suffix" : "" }, { "dropping-particle" : "", "family" : "Kabeche", "given" : "Stephanie C.", "non-dropping-particle" : "", "parse-names" : false, "suffix" : "" }, { "dropping-particle" : "", "family" : "Kumar", "given" : "Azad", "non-dropping-particle" : "", "parse-names" : false, "suffix" : "" }, { "dropping-particle" : "", "family" : "Palomo", "given" : "Concepci\u00f3n", "non-dropping-particle" : "", "parse-names" : false, "suffix" : "" }, { "dropping-particle" : "", "family" : "Beaumont", "given" : "Tim", "non-dropping-particle" : "", "parse-names" : false, "suffix" : "" }, { "dropping-particle" : "", "family" : "Baxa", "given" : "Ulrich", "non-dropping-particle" : "", "parse-names" : false, "suffix" : "" }, { "dropping-particle" : "", "family" : "Ulbrandt", "given" : "Nancy D.", "non-dropping-particle" : "", "parse-names" : false, "suffix" : "" }, { "dropping-particle" : "", "family" : "Melero", "given" : "Jos\u00e9 A.", "non-dropping-particle" : "", "parse-names" : false, "suffix" : "" }, { "dropping-particle" : "", "family" : "Graham", "given" : "Barney S.", "non-dropping-particle" : "", "parse-names" : false, "suffix" : "" }, { "dropping-particle" : "", "family" : "McLellan", "given" : "Jason S.", "non-dropping-particle" : "", "parse-names" : false, "suffix" : "" } ], "container-title" : "PLOS Pathogens", "editor" : [ { "dropping-particle" : "", "family" : "Tomaras", "given" : "Georgia D.", "non-dropping-particle" : "", "parse-names" : false, "suffix" : "" } ], "id" : "ITEM-1", "issue" : "7", "issued" : { "date-parts" : [ [ "2015", "7", "10" ] ] }, "page" : "e1005035", "title" : "Characterization of a Prefusion-Specific Antibody That Recognizes a Quaternary, Cleavage-Dependent Epitope on the RSV Fusion Glycoprotein", "type" : "article-journal", "volume" : "11" }, "uris" : [ "http://www.mendeley.com/documents/?uuid=a3fc0441-a479-369d-83f3-202911abc003" ] }, { "id" : "ITEM-2", "itemData" : { "DOI" : "10.1371/journal.ppat.1005859", "ISSN" : "1553-7374", "author" : [ { "dropping-particle" : "", "family" : "M\u00e1s", "given" : "Vicente", "non-dropping-particle" : "", "parse-names" : false, "suffix" : "" }, { "dropping-particle" : "", "family" : "Rodriguez", "given" : "Laura", "non-dropping-particle" : "", "parse-names" : false, "suffix" : "" }, { "dropping-particle" : "", "family" : "Olmedillas", "given" : "Eduardo", "non-dropping-particle" : "", "parse-names" : false, "suffix" : "" }, { "dropping-particle" : "", "family" : "Cano", "given" : "Olga", "non-dropping-particle" : "", "parse-names" : false, "suffix" : "" }, { "dropping-particle" : "", "family" : "Palomo", "given" : "Concepci\u00f3n", "non-dropping-particle" : "", "parse-names" : false, "suffix" : "" }, { "dropping-particle" : "", "family" : "Terr\u00f3n", "given" : "Mar\u00eda C.", "non-dropping-particle" : "", "parse-names" : false, "suffix" : "" }, { "dropping-particle" : "", "family" : "Luque", "given" : "Daniel", "non-dropping-particle" : "", "parse-names" : false, "suffix" : "" }, { "dropping-particle" : "", "family" : "Melero", "given" : "Jos\u00e9 A.", "non-dropping-particle" : "", "parse-names" : false, "suffix" : "" }, { "dropping-particle" : "", "family" : "McLellan", "given" : "Jason S.", "non-dropping-particle" : "", "parse-names" : false, "suffix" : "" } ], "container-title" : "PLOS Pathogens", "id" : "ITEM-2", "issue" : "9", "issued" : { "date-parts" : [ [ "2016", "9", "9" ] ] }, "page" : "e1005859", "title" : "Engineering, Structure and Immunogenicity of the Human Metapneumovirus F Protein in the Postfusion Conformation", "type" : "article-journal", "volume" : "12" }, "uris" : [ "http://www.mendeley.com/documents/?uuid=ff8f66eb-c549-3335-89e6-bcbafd67c282" ] } ], "mendeley" : { "formattedCitation" : "(82,84)", "plainTextFormattedCitation" : "(82,84)", "previouslyFormattedCitation" : "(82,84)" }, "properties" : { "noteIndex" : 0 }, "schema" : "https://github.com/citation-style-language/schema/raw/master/csl-citation.json" }</w:instrText>
      </w:r>
      <w:r w:rsidR="00145C74">
        <w:rPr>
          <w:rFonts w:ascii="Cambria" w:hAnsi="Cambria"/>
        </w:rPr>
        <w:fldChar w:fldCharType="separate"/>
      </w:r>
      <w:r w:rsidR="00D83E6A" w:rsidRPr="00D83E6A">
        <w:rPr>
          <w:rFonts w:ascii="Cambria" w:hAnsi="Cambria"/>
          <w:noProof/>
        </w:rPr>
        <w:t>(82,84)</w:t>
      </w:r>
      <w:r w:rsidR="00145C74">
        <w:rPr>
          <w:rFonts w:ascii="Cambria" w:hAnsi="Cambria"/>
        </w:rPr>
        <w:fldChar w:fldCharType="end"/>
      </w:r>
      <w:r w:rsidR="000D47BE">
        <w:rPr>
          <w:rFonts w:ascii="Cambria" w:hAnsi="Cambria"/>
        </w:rPr>
        <w:t xml:space="preserve">. Finally, antibodies against antigenic </w:t>
      </w:r>
      <w:r w:rsidR="000E388B">
        <w:rPr>
          <w:rFonts w:ascii="Cambria" w:hAnsi="Cambria"/>
        </w:rPr>
        <w:t>s</w:t>
      </w:r>
      <w:r w:rsidR="000D47BE">
        <w:rPr>
          <w:rFonts w:ascii="Cambria" w:hAnsi="Cambria"/>
        </w:rPr>
        <w:t>ite I</w:t>
      </w:r>
      <w:r w:rsidR="00F94209">
        <w:rPr>
          <w:rFonts w:ascii="Cambria" w:hAnsi="Cambria"/>
        </w:rPr>
        <w:t>,</w:t>
      </w:r>
      <w:r w:rsidR="000D47BE">
        <w:rPr>
          <w:rFonts w:ascii="Cambria" w:hAnsi="Cambria"/>
        </w:rPr>
        <w:t xml:space="preserve"> </w:t>
      </w:r>
      <w:r w:rsidR="00F94209">
        <w:rPr>
          <w:rFonts w:ascii="Cambria" w:hAnsi="Cambria"/>
        </w:rPr>
        <w:t>present</w:t>
      </w:r>
      <w:r w:rsidR="000D47BE">
        <w:rPr>
          <w:rFonts w:ascii="Cambria" w:hAnsi="Cambria"/>
        </w:rPr>
        <w:t xml:space="preserve"> primarily on post</w:t>
      </w:r>
      <w:r w:rsidR="00525B10">
        <w:rPr>
          <w:rFonts w:ascii="Cambria" w:hAnsi="Cambria"/>
        </w:rPr>
        <w:t>-</w:t>
      </w:r>
      <w:r w:rsidR="000D47BE">
        <w:rPr>
          <w:rFonts w:ascii="Cambria" w:hAnsi="Cambria"/>
        </w:rPr>
        <w:t>F</w:t>
      </w:r>
      <w:r w:rsidR="00F94209">
        <w:rPr>
          <w:rFonts w:ascii="Cambria" w:hAnsi="Cambria"/>
        </w:rPr>
        <w:t>, show</w:t>
      </w:r>
      <w:r w:rsidR="000D47BE">
        <w:rPr>
          <w:rFonts w:ascii="Cambria" w:hAnsi="Cambria"/>
        </w:rPr>
        <w:t xml:space="preserve"> weak or no neutralization.</w:t>
      </w:r>
      <w:r w:rsidR="00931C20" w:rsidRPr="00931C20">
        <w:rPr>
          <w:rFonts w:ascii="Cambria" w:hAnsi="Cambria"/>
        </w:rPr>
        <w:t xml:space="preserve"> </w:t>
      </w:r>
      <w:r w:rsidR="00931C20">
        <w:rPr>
          <w:rFonts w:ascii="Cambria" w:hAnsi="Cambria"/>
        </w:rPr>
        <w:t xml:space="preserve">Escape mutants of these antigenic sites have been identified, but global RSV genetic data </w:t>
      </w:r>
      <w:r w:rsidR="005575C6">
        <w:rPr>
          <w:rFonts w:ascii="Cambria" w:hAnsi="Cambria"/>
        </w:rPr>
        <w:t>are</w:t>
      </w:r>
      <w:r w:rsidR="00931C20">
        <w:rPr>
          <w:rFonts w:ascii="Cambria" w:hAnsi="Cambria"/>
        </w:rPr>
        <w:t xml:space="preserve"> needed to </w:t>
      </w:r>
      <w:r w:rsidR="00AA75D8">
        <w:rPr>
          <w:rFonts w:ascii="Cambria" w:hAnsi="Cambria"/>
        </w:rPr>
        <w:t xml:space="preserve">assess </w:t>
      </w:r>
      <w:r w:rsidR="00931C20">
        <w:rPr>
          <w:rFonts w:ascii="Cambria" w:hAnsi="Cambria"/>
        </w:rPr>
        <w:t xml:space="preserve">the molecular heterogeneity of RSV and the subsequent susceptibility or resistance to </w:t>
      </w:r>
      <w:r w:rsidR="00D54A66">
        <w:rPr>
          <w:rFonts w:ascii="Cambria" w:hAnsi="Cambria"/>
        </w:rPr>
        <w:t>mAbs</w:t>
      </w:r>
      <w:r w:rsidR="00931C20">
        <w:rPr>
          <w:rFonts w:ascii="Cambria" w:hAnsi="Cambria"/>
        </w:rPr>
        <w:t xml:space="preserve"> targeting RSV</w:t>
      </w:r>
      <w:r w:rsidR="00AA75D8">
        <w:rPr>
          <w:rFonts w:ascii="Cambria" w:hAnsi="Cambria"/>
        </w:rPr>
        <w:t xml:space="preserve"> among circulating viruses</w:t>
      </w:r>
      <w:r w:rsidR="00931C20">
        <w:rPr>
          <w:rFonts w:ascii="Cambria" w:hAnsi="Cambria"/>
        </w:rPr>
        <w:t>.</w:t>
      </w:r>
      <w:r w:rsidR="00985385" w:rsidRPr="00985385">
        <w:rPr>
          <w:rFonts w:ascii="Cambria" w:hAnsi="Cambria"/>
        </w:rPr>
        <w:t xml:space="preserve"> </w:t>
      </w:r>
    </w:p>
    <w:p w14:paraId="1192CFAC" w14:textId="0DA510D9" w:rsidR="004835E3" w:rsidRDefault="00F94209" w:rsidP="00C566BC">
      <w:pPr>
        <w:jc w:val="both"/>
        <w:rPr>
          <w:rFonts w:ascii="Cambria" w:hAnsi="Cambria"/>
        </w:rPr>
      </w:pPr>
      <w:r>
        <w:rPr>
          <w:rFonts w:ascii="Cambria" w:hAnsi="Cambria"/>
        </w:rPr>
        <w:tab/>
      </w:r>
      <w:r w:rsidR="00694A51">
        <w:rPr>
          <w:rFonts w:ascii="Cambria" w:hAnsi="Cambria"/>
        </w:rPr>
        <w:t xml:space="preserve">The mechanisms of protection may differ according to the type of vaccine, and </w:t>
      </w:r>
      <w:r w:rsidR="007262A9">
        <w:rPr>
          <w:rFonts w:ascii="Cambria" w:hAnsi="Cambria"/>
        </w:rPr>
        <w:t>therefore,</w:t>
      </w:r>
      <w:r w:rsidR="00694A51">
        <w:rPr>
          <w:rFonts w:ascii="Cambria" w:hAnsi="Cambria"/>
        </w:rPr>
        <w:t xml:space="preserve"> m</w:t>
      </w:r>
      <w:r w:rsidR="0028527C">
        <w:rPr>
          <w:rFonts w:ascii="Cambria" w:hAnsi="Cambria"/>
        </w:rPr>
        <w:t xml:space="preserve">any different immunologic assays </w:t>
      </w:r>
      <w:r w:rsidR="003566FB">
        <w:rPr>
          <w:rFonts w:ascii="Cambria" w:hAnsi="Cambria"/>
        </w:rPr>
        <w:t xml:space="preserve">are </w:t>
      </w:r>
      <w:r w:rsidR="0028527C">
        <w:rPr>
          <w:rFonts w:ascii="Cambria" w:hAnsi="Cambria"/>
        </w:rPr>
        <w:t xml:space="preserve">employed in clinical trials. </w:t>
      </w:r>
      <w:r w:rsidR="00985385">
        <w:rPr>
          <w:rFonts w:ascii="Cambria" w:hAnsi="Cambria"/>
        </w:rPr>
        <w:t xml:space="preserve">Neutralizing activity of serum is a </w:t>
      </w:r>
      <w:r w:rsidR="003424E1">
        <w:rPr>
          <w:rFonts w:ascii="Cambria" w:hAnsi="Cambria"/>
        </w:rPr>
        <w:t xml:space="preserve">frequent </w:t>
      </w:r>
      <w:r w:rsidR="00985385">
        <w:rPr>
          <w:rFonts w:ascii="Cambria" w:hAnsi="Cambria"/>
        </w:rPr>
        <w:t>immuno</w:t>
      </w:r>
      <w:r w:rsidR="0028527C">
        <w:rPr>
          <w:rFonts w:ascii="Cambria" w:hAnsi="Cambria"/>
        </w:rPr>
        <w:t>lo</w:t>
      </w:r>
      <w:r w:rsidR="00985385">
        <w:rPr>
          <w:rFonts w:ascii="Cambria" w:hAnsi="Cambria"/>
        </w:rPr>
        <w:t xml:space="preserve">gic endpoint of vaccine trials. </w:t>
      </w:r>
      <w:r w:rsidR="00F10855">
        <w:rPr>
          <w:rFonts w:ascii="Cambria" w:hAnsi="Cambria"/>
        </w:rPr>
        <w:t xml:space="preserve">A measure of functional antibody response can be elucidated by the ratio of </w:t>
      </w:r>
      <w:r w:rsidR="006B34E9">
        <w:rPr>
          <w:rFonts w:ascii="Cambria" w:hAnsi="Cambria"/>
        </w:rPr>
        <w:t xml:space="preserve">fold-increase in </w:t>
      </w:r>
      <w:r w:rsidR="00F10855">
        <w:rPr>
          <w:rFonts w:ascii="Cambria" w:hAnsi="Cambria"/>
        </w:rPr>
        <w:t xml:space="preserve">RSV-binding antibodies to </w:t>
      </w:r>
      <w:r w:rsidR="006B34E9">
        <w:rPr>
          <w:rFonts w:ascii="Cambria" w:hAnsi="Cambria"/>
        </w:rPr>
        <w:t xml:space="preserve">fold-increase in </w:t>
      </w:r>
      <w:r w:rsidR="00F10855">
        <w:rPr>
          <w:rFonts w:ascii="Cambria" w:hAnsi="Cambria"/>
        </w:rPr>
        <w:t>RSV-neutralizing antibodies (ELISA-to-neutralization</w:t>
      </w:r>
      <w:r w:rsidR="006B34E9">
        <w:rPr>
          <w:rFonts w:ascii="Cambria" w:hAnsi="Cambria"/>
        </w:rPr>
        <w:t xml:space="preserve"> response</w:t>
      </w:r>
      <w:r w:rsidR="00F10855">
        <w:rPr>
          <w:rFonts w:ascii="Cambria" w:hAnsi="Cambria"/>
        </w:rPr>
        <w:t xml:space="preserve"> ratio). A ratio of </w:t>
      </w:r>
      <w:r w:rsidR="006857FB">
        <w:rPr>
          <w:rFonts w:ascii="Cambria" w:hAnsi="Cambria"/>
        </w:rPr>
        <w:t>&lt;1</w:t>
      </w:r>
      <w:r w:rsidR="00F10855">
        <w:rPr>
          <w:rFonts w:ascii="Cambria" w:hAnsi="Cambria"/>
        </w:rPr>
        <w:t xml:space="preserve"> may be an important correlate of protection</w:t>
      </w:r>
      <w:r w:rsidR="00F10855">
        <w:rPr>
          <w:rFonts w:ascii="Cambria" w:hAnsi="Cambria"/>
        </w:rPr>
        <w:fldChar w:fldCharType="begin" w:fldLock="1"/>
      </w:r>
      <w:r w:rsidR="00A828B0">
        <w:rPr>
          <w:rFonts w:ascii="Cambria" w:hAnsi="Cambria"/>
        </w:rPr>
        <w:instrText>ADDIN CSL_CITATION { "citationItems" : [ { "id" : "ITEM-1", "itemData" : { "ISSN" : "0095-1137", "PMID" : "3755730", "abstract" : "The serum antibody response of infants and children immunized with Formalin-inactivated respiratory syncytial virus (RSV) vaccine 20 years ago was determined by using an enzyme-linked immunosorbent assay specific for the RSV fusion (F) and large (G) glycoproteins and a neutralization assay. Twenty-one young infants (2 to 6 months of age) developed a high titer of antibodies to the F glycoprotein but had a poor response to the G glycoprotein. Fifteen older individuals (7 to 40 months of age) developed titers of F and G antibodies comparable to those in children who were infected with RSV. However, both immunized infants and children developed a lower level of neutralizing antibodies than did individuals of comparable age with natural RSV infections. Thus, the treatment of RSV with Formalin appears to have altered the epitopes of the F or G glycoproteins or both that stimulate neutralizing antibodies, with the result that the immune response consisted largely of \"nonfunctional\" (i.e., nonneutralizing) antibodies. Subsequent natural infection of the vaccinees with wild-type RSV resulted in enhanced pulmonary disease. Despite this potentiation of illness, the infected vaccinees developed relatively poor G, F, and neutralizing antibody responses. Any or all of three factors may have contributed to the enhancement of disease in the RSV-infected vaccinees. First, nonfunctional antibodies induced by the inactivated RSV vaccine may have participated in a pulmonary Arthus reaction during RSV infection. Second, the poor antibody response of infants to the G glycoprotein present in the Formalin-inactivated vaccine may have been inadequate to provide effective resistance to subsequent wild-type virus infection. Third, the relatively reduced neutralizing antibody response of the infant vaccinees to wild-type RSV infection may have contributed to their enhanced disease by delaying the clearance of virus from their lungs.", "author" : [ { "dropping-particle" : "", "family" : "Murphy", "given" : "B R", "non-dropping-particle" : "", "parse-names" : false, "suffix" : "" }, { "dropping-particle" : "", "family" : "Prince", "given" : "G A", "non-dropping-particle" : "", "parse-names" : false, "suffix" : "" }, { "dropping-particle" : "", "family" : "Walsh", "given" : "E E", "non-dropping-particle" : "", "parse-names" : false, "suffix" : "" }, { "dropping-particle" : "", "family" : "Kim", "given" : "H W", "non-dropping-particle" : "", "parse-names" : false, "suffix" : "" }, { "dropping-particle" : "", "family" : "Parrott", "given" : "R H", "non-dropping-particle" : "", "parse-names" : false, "suffix" : "" }, { "dropping-particle" : "", "family" : "Hemming", "given" : "V G", "non-dropping-particle" : "", "parse-names" : false, "suffix" : "" }, { "dropping-particle" : "", "family" : "Rodriguez", "given" : "W J", "non-dropping-particle" : "", "parse-names" : false, "suffix" : "" }, { "dropping-particle" : "", "family" : "Chanock", "given" : "R M", "non-dropping-particle" : "", "parse-names" : false, "suffix" : "" } ], "container-title" : "Journal of clinical microbiology", "id" : "ITEM-1", "issue" : "2", "issued" : { "date-parts" : [ [ "1986", "8" ] ] }, "page" : "197-202", "publisher" : "American Society for Microbiology (ASM)", "title" : "Dissociation between serum neutralizing and glycoprotein antibody responses of infants and children who received inactivated respiratory syncytial virus vaccine.", "type" : "article-journal", "volume" : "24" }, "uris" : [ "http://www.mendeley.com/documents/?uuid=a0890d55-35a5-3f7e-804b-6f01708a3cf3" ] } ], "mendeley" : { "formattedCitation" : "(85)", "plainTextFormattedCitation" : "(85)", "previouslyFormattedCitation" : "(85)" }, "properties" : { "noteIndex" : 0 }, "schema" : "https://github.com/citation-style-language/schema/raw/master/csl-citation.json" }</w:instrText>
      </w:r>
      <w:r w:rsidR="00F10855">
        <w:rPr>
          <w:rFonts w:ascii="Cambria" w:hAnsi="Cambria"/>
        </w:rPr>
        <w:fldChar w:fldCharType="separate"/>
      </w:r>
      <w:r w:rsidR="00D83E6A" w:rsidRPr="00D83E6A">
        <w:rPr>
          <w:rFonts w:ascii="Cambria" w:hAnsi="Cambria"/>
          <w:noProof/>
        </w:rPr>
        <w:t>(85)</w:t>
      </w:r>
      <w:r w:rsidR="00F10855">
        <w:rPr>
          <w:rFonts w:ascii="Cambria" w:hAnsi="Cambria"/>
        </w:rPr>
        <w:fldChar w:fldCharType="end"/>
      </w:r>
      <w:r w:rsidR="00F10855">
        <w:rPr>
          <w:rFonts w:ascii="Cambria" w:hAnsi="Cambria"/>
        </w:rPr>
        <w:t>. Furthermore, rather than a definitive protective threshold for antibodies, fold-rise in antibody titer may be a relevant correlate of protection for live-attenuated vaccines</w:t>
      </w:r>
      <w:r w:rsidR="006857FB">
        <w:rPr>
          <w:rFonts w:ascii="Cambria" w:hAnsi="Cambria"/>
        </w:rPr>
        <w:t>, since that may be the best indicator of B cell priming</w:t>
      </w:r>
      <w:r w:rsidR="00F10855">
        <w:rPr>
          <w:rFonts w:ascii="Cambria" w:hAnsi="Cambria"/>
        </w:rPr>
        <w:t xml:space="preserve">. </w:t>
      </w:r>
      <w:r w:rsidR="0006599F">
        <w:rPr>
          <w:rFonts w:ascii="Cambria" w:hAnsi="Cambria"/>
        </w:rPr>
        <w:t>R</w:t>
      </w:r>
      <w:r w:rsidR="00985385">
        <w:rPr>
          <w:rFonts w:ascii="Cambria" w:hAnsi="Cambria"/>
        </w:rPr>
        <w:t>ecent effort</w:t>
      </w:r>
      <w:r w:rsidR="0006599F">
        <w:rPr>
          <w:rFonts w:ascii="Cambria" w:hAnsi="Cambria"/>
        </w:rPr>
        <w:t>s</w:t>
      </w:r>
      <w:r w:rsidR="00985385">
        <w:rPr>
          <w:rFonts w:ascii="Cambria" w:hAnsi="Cambria"/>
        </w:rPr>
        <w:t xml:space="preserve"> by PATH, the WHO, </w:t>
      </w:r>
      <w:r w:rsidR="0006599F">
        <w:rPr>
          <w:rFonts w:ascii="Cambria" w:hAnsi="Cambria"/>
        </w:rPr>
        <w:t xml:space="preserve">and </w:t>
      </w:r>
      <w:r w:rsidR="00985385">
        <w:rPr>
          <w:rFonts w:ascii="Cambria" w:hAnsi="Cambria"/>
        </w:rPr>
        <w:t>the National Institute for Biological Standards and Control</w:t>
      </w:r>
      <w:r w:rsidR="004F36F3">
        <w:rPr>
          <w:rFonts w:ascii="Cambria" w:hAnsi="Cambria"/>
        </w:rPr>
        <w:t xml:space="preserve"> (NIBSC)</w:t>
      </w:r>
      <w:r w:rsidR="00985385">
        <w:rPr>
          <w:rFonts w:ascii="Cambria" w:hAnsi="Cambria"/>
        </w:rPr>
        <w:t xml:space="preserve"> examined the variability of RSV neutralization assays across laboratories and recommend</w:t>
      </w:r>
      <w:r w:rsidR="0006599F">
        <w:rPr>
          <w:rFonts w:ascii="Cambria" w:hAnsi="Cambria"/>
        </w:rPr>
        <w:t>ed</w:t>
      </w:r>
      <w:r w:rsidR="00985385">
        <w:rPr>
          <w:rFonts w:ascii="Cambria" w:hAnsi="Cambria"/>
        </w:rPr>
        <w:t xml:space="preserve"> steps for improved standardization globally</w:t>
      </w:r>
      <w:r w:rsidR="0074521C">
        <w:rPr>
          <w:rFonts w:ascii="Cambria" w:hAnsi="Cambria"/>
        </w:rPr>
        <w:fldChar w:fldCharType="begin" w:fldLock="1"/>
      </w:r>
      <w:r w:rsidR="00A828B0">
        <w:rPr>
          <w:rFonts w:ascii="Cambria" w:hAnsi="Cambria"/>
        </w:rPr>
        <w:instrText>ADDIN CSL_CITATION { "citationItems" : [ { "id" : "ITEM-1", "itemData" : { "DOI" : "10.1016/j.vaccine.2017.04.053", "ISSN" : "0264410X", "PMID" : "28476625", "abstract" : "A current barrier to the standardized evaluation of respiratory syncytial virus (RSV) vaccine candidates is the wide variety of virus neutralization assay formats currently in use for assessing immunogenicity. Assay formats vary widely in labor intensiveness, duration, and sample throughput. Furthermore, the cell lines and virus strains used are not consistent among formats. The purpose of this multi-laboratory study was to assess the variability across a diverse array of assay formats that quantitate RSV neutralizing antibodies. Using a common specimen panel, the degree of overall agreement among existing assays was evaluated to inform on the need for harmonization of assay results. A total of 12 laboratories participated in the blinded survey study by testing a panel comprised of 57 samples chosen to span the reportable titer range of the assays. An independent statistical analysis was conducted to measure overall agreement of assay results. This analysis showed that precision was consistently high, whereas agreement varied widely among assays. To examine whether agreement could be improved, we conducted a harmonization exercise using a variety of sample types as pseudo standards. The results showed that the level of agreement could be improved, and provided information on the suitability of samples for developing an international standard.", "author" : [ { "dropping-particle" : "", "family" : "Hosken", "given" : "Nancy", "non-dropping-particle" : "", "parse-names" : false, "suffix" : "" }, { "dropping-particle" : "", "family" : "Plikaytis", "given" : "Brian", "non-dropping-particle" : "", "parse-names" : false, "suffix" : "" }, { "dropping-particle" : "", "family" : "Trujillo", "given" : "Carrie", "non-dropping-particle" : "", "parse-names" : false, "suffix" : "" }, { "dropping-particle" : "", "family" : "Mahmood", "given" : "Kutub", "non-dropping-particle" : "", "parse-names" : false, "suffix" : "" }, { "dropping-particle" : "", "family" : "Higgins", "given" : "Deborah", "non-dropping-particle" : "", "parse-names" : false, "suffix" : "" }, { "dropping-particle" : "", "family" : "Participating Laboratories Working Group", "given" : "", "non-dropping-particle" : "", "parse-names" : false, "suffix" : "" } ], "container-title" : "Vaccine", "id" : "ITEM-1", "issue" : "23", "issued" : { "date-parts" : [ [ "2017", "5", "25" ] ] }, "page" : "3082-3088", "title" : "A multi-laboratory study of diverse RSV neutralization assays indicates feasibility for harmonization with an international standard", "type" : "article-journal", "volume" : "35" }, "uris" : [ "http://www.mendeley.com/documents/?uuid=b4616364-7f1d-3405-b543-66b15678b40e" ] } ], "mendeley" : { "formattedCitation" : "(86)", "plainTextFormattedCitation" : "(86)", "previouslyFormattedCitation" : "(86)" }, "properties" : { "noteIndex" : 0 }, "schema" : "https://github.com/citation-style-language/schema/raw/master/csl-citation.json" }</w:instrText>
      </w:r>
      <w:r w:rsidR="0074521C">
        <w:rPr>
          <w:rFonts w:ascii="Cambria" w:hAnsi="Cambria"/>
        </w:rPr>
        <w:fldChar w:fldCharType="separate"/>
      </w:r>
      <w:r w:rsidR="00D83E6A" w:rsidRPr="00D83E6A">
        <w:rPr>
          <w:rFonts w:ascii="Cambria" w:hAnsi="Cambria"/>
          <w:noProof/>
        </w:rPr>
        <w:t>(86)</w:t>
      </w:r>
      <w:r w:rsidR="0074521C">
        <w:rPr>
          <w:rFonts w:ascii="Cambria" w:hAnsi="Cambria"/>
        </w:rPr>
        <w:fldChar w:fldCharType="end"/>
      </w:r>
      <w:r w:rsidR="0006599F">
        <w:rPr>
          <w:rFonts w:ascii="Cambria" w:hAnsi="Cambria"/>
        </w:rPr>
        <w:t xml:space="preserve">, resulting in the development of a new </w:t>
      </w:r>
      <w:r w:rsidR="009B6291">
        <w:rPr>
          <w:rFonts w:ascii="Cambria" w:hAnsi="Cambria"/>
        </w:rPr>
        <w:t>WHO International Standard for Antiserum to RSV with 1000 International Units of</w:t>
      </w:r>
      <w:r w:rsidR="006B34E9">
        <w:rPr>
          <w:rFonts w:ascii="Cambria" w:hAnsi="Cambria"/>
        </w:rPr>
        <w:t xml:space="preserve"> RSV subtype A neutralizing</w:t>
      </w:r>
      <w:r w:rsidR="009B6291">
        <w:rPr>
          <w:rFonts w:ascii="Cambria" w:hAnsi="Cambria"/>
        </w:rPr>
        <w:t xml:space="preserve"> activity</w:t>
      </w:r>
      <w:r w:rsidR="006B34E9">
        <w:rPr>
          <w:rFonts w:ascii="Cambria" w:hAnsi="Cambria"/>
        </w:rPr>
        <w:t xml:space="preserve"> per vial</w:t>
      </w:r>
      <w:r w:rsidR="0006599F">
        <w:rPr>
          <w:rFonts w:ascii="Cambria" w:hAnsi="Cambria"/>
        </w:rPr>
        <w:t xml:space="preserve"> now available through</w:t>
      </w:r>
      <w:r w:rsidR="008126F5">
        <w:rPr>
          <w:rFonts w:ascii="Cambria" w:hAnsi="Cambria"/>
        </w:rPr>
        <w:t xml:space="preserve"> the </w:t>
      </w:r>
      <w:r w:rsidR="0006599F">
        <w:rPr>
          <w:rFonts w:ascii="Cambria" w:hAnsi="Cambria"/>
        </w:rPr>
        <w:t>NIBSC</w:t>
      </w:r>
      <w:r w:rsidR="00730B7B">
        <w:rPr>
          <w:rFonts w:ascii="Cambria" w:hAnsi="Cambria"/>
        </w:rPr>
        <w:fldChar w:fldCharType="begin" w:fldLock="1"/>
      </w:r>
      <w:r w:rsidR="00A828B0">
        <w:rPr>
          <w:rFonts w:ascii="Cambria" w:hAnsi="Cambria"/>
        </w:rPr>
        <w:instrText>ADDIN CSL_CITATION { "citationItems" : [ { "id" : "ITEM-1", "itemData" : { "URL" : "http://www.nibsc.org/products/brm_product_catalogue/detail_page.aspx?catid=16/284", "accessed" : { "date-parts" : [ [ "2018", "1", "14" ] ] }, "author" : [ { "dropping-particle" : "", "family" : "NIBSC", "given" : "", "non-dropping-particle" : "", "parse-names" : false, "suffix" : "" } ], "id" : "ITEM-1", "issued" : { "date-parts" : [ [ "0" ] ] }, "title" : "Antiserum to Respiratory Syncytial Virus WHO 1st International Standard", "type" : "webpage" }, "uris" : [ "http://www.mendeley.com/documents/?uuid=e87888de-e05e-3d0c-945e-a7fef912b1d6" ] } ], "mendeley" : { "formattedCitation" : "(87)", "plainTextFormattedCitation" : "(87)", "previouslyFormattedCitation" : "(87)" }, "properties" : { "noteIndex" : 0 }, "schema" : "https://github.com/citation-style-language/schema/raw/master/csl-citation.json" }</w:instrText>
      </w:r>
      <w:r w:rsidR="00730B7B">
        <w:rPr>
          <w:rFonts w:ascii="Cambria" w:hAnsi="Cambria"/>
        </w:rPr>
        <w:fldChar w:fldCharType="separate"/>
      </w:r>
      <w:r w:rsidR="00D83E6A" w:rsidRPr="00D83E6A">
        <w:rPr>
          <w:rFonts w:ascii="Cambria" w:hAnsi="Cambria"/>
          <w:noProof/>
        </w:rPr>
        <w:t>(87)</w:t>
      </w:r>
      <w:r w:rsidR="00730B7B">
        <w:rPr>
          <w:rFonts w:ascii="Cambria" w:hAnsi="Cambria"/>
        </w:rPr>
        <w:fldChar w:fldCharType="end"/>
      </w:r>
      <w:r w:rsidR="00985385">
        <w:rPr>
          <w:rFonts w:ascii="Cambria" w:hAnsi="Cambria"/>
        </w:rPr>
        <w:t xml:space="preserve">. </w:t>
      </w:r>
      <w:r w:rsidR="00797BA1">
        <w:rPr>
          <w:rFonts w:ascii="Cambria" w:hAnsi="Cambria"/>
        </w:rPr>
        <w:t>For other frequently</w:t>
      </w:r>
      <w:r w:rsidR="000E72B6">
        <w:rPr>
          <w:rFonts w:ascii="Cambria" w:hAnsi="Cambria"/>
        </w:rPr>
        <w:t xml:space="preserve"> used</w:t>
      </w:r>
      <w:r w:rsidR="00797BA1">
        <w:rPr>
          <w:rFonts w:ascii="Cambria" w:hAnsi="Cambria"/>
        </w:rPr>
        <w:t xml:space="preserve"> immunologic assays such as palivizumab-competing antibodies (PCA), ELISA and T</w:t>
      </w:r>
      <w:r w:rsidR="008457B8">
        <w:rPr>
          <w:rFonts w:ascii="Cambria" w:hAnsi="Cambria"/>
        </w:rPr>
        <w:t xml:space="preserve"> </w:t>
      </w:r>
      <w:r w:rsidR="00797BA1">
        <w:rPr>
          <w:rFonts w:ascii="Cambria" w:hAnsi="Cambria"/>
        </w:rPr>
        <w:t>cell assays such standardization has</w:t>
      </w:r>
      <w:r w:rsidR="007262A9">
        <w:rPr>
          <w:rFonts w:ascii="Cambria" w:hAnsi="Cambria"/>
        </w:rPr>
        <w:t xml:space="preserve"> not yet</w:t>
      </w:r>
      <w:r w:rsidR="00797BA1">
        <w:rPr>
          <w:rFonts w:ascii="Cambria" w:hAnsi="Cambria"/>
        </w:rPr>
        <w:t xml:space="preserve"> taken place.</w:t>
      </w:r>
    </w:p>
    <w:p w14:paraId="2D9ACC11" w14:textId="76DCABD7" w:rsidR="00F95088" w:rsidRDefault="00E229FD" w:rsidP="00C566BC">
      <w:pPr>
        <w:jc w:val="both"/>
        <w:rPr>
          <w:rFonts w:ascii="Cambria" w:hAnsi="Cambria"/>
        </w:rPr>
      </w:pPr>
      <w:r>
        <w:rPr>
          <w:rFonts w:ascii="Cambria" w:hAnsi="Cambria"/>
        </w:rPr>
        <w:tab/>
      </w:r>
      <w:r w:rsidR="00F95088">
        <w:rPr>
          <w:rFonts w:ascii="Cambria" w:hAnsi="Cambria"/>
        </w:rPr>
        <w:t>Once infection of the lower airways is established, CD8 T</w:t>
      </w:r>
      <w:r w:rsidR="008457B8">
        <w:rPr>
          <w:rFonts w:ascii="Cambria" w:hAnsi="Cambria"/>
        </w:rPr>
        <w:t xml:space="preserve"> </w:t>
      </w:r>
      <w:r w:rsidR="00F95088">
        <w:rPr>
          <w:rFonts w:ascii="Cambria" w:hAnsi="Cambria"/>
        </w:rPr>
        <w:t>cells play an important role in viral clearance</w:t>
      </w:r>
      <w:r w:rsidR="00522591">
        <w:rPr>
          <w:rFonts w:ascii="Cambria" w:hAnsi="Cambria"/>
        </w:rPr>
        <w:fldChar w:fldCharType="begin" w:fldLock="1"/>
      </w:r>
      <w:r w:rsidR="00A828B0">
        <w:rPr>
          <w:rFonts w:ascii="Cambria" w:hAnsi="Cambria"/>
        </w:rPr>
        <w:instrText>ADDIN CSL_CITATION { "citationItems" : [ { "id" : "ITEM-1", "itemData" : { "DOI" : "10.1016/j.coviro.2017.03.012", "PMID" : "28525878", "author" : [ { "dropping-particle" : "", "family" : "Graham", "given" : "B", "non-dropping-particle" : "", "parse-names" : false, "suffix" : "" } ], "container-title" : "Current opinion in virology", "id" : "ITEM-1", "issued" : { "date-parts" : [ [ "2017" ] ] }, "page" : "107-112", "title" : "Vaccine development for respiratory syncytial virus", "type" : "article-journal", "volume" : "23" }, "uris" : [ "http://www.mendeley.com/documents/?uuid=dd6ff07e-23bc-3c3b-b476-466f0cdaa975" ] } ], "mendeley" : { "formattedCitation" : "(88)", "plainTextFormattedCitation" : "(88)", "previouslyFormattedCitation" : "(88)" }, "properties" : { "noteIndex" : 0 }, "schema" : "https://github.com/citation-style-language/schema/raw/master/csl-citation.json" }</w:instrText>
      </w:r>
      <w:r w:rsidR="00522591">
        <w:rPr>
          <w:rFonts w:ascii="Cambria" w:hAnsi="Cambria"/>
        </w:rPr>
        <w:fldChar w:fldCharType="separate"/>
      </w:r>
      <w:r w:rsidR="00D83E6A" w:rsidRPr="00D83E6A">
        <w:rPr>
          <w:rFonts w:ascii="Cambria" w:hAnsi="Cambria"/>
          <w:noProof/>
        </w:rPr>
        <w:t>(88)</w:t>
      </w:r>
      <w:r w:rsidR="00522591">
        <w:rPr>
          <w:rFonts w:ascii="Cambria" w:hAnsi="Cambria"/>
        </w:rPr>
        <w:fldChar w:fldCharType="end"/>
      </w:r>
      <w:r w:rsidR="00F95088">
        <w:rPr>
          <w:rFonts w:ascii="Cambria" w:hAnsi="Cambria"/>
        </w:rPr>
        <w:t>.</w:t>
      </w:r>
      <w:r>
        <w:rPr>
          <w:rFonts w:ascii="Cambria" w:hAnsi="Cambria"/>
        </w:rPr>
        <w:t xml:space="preserve"> Th2-biased responses have been associated with </w:t>
      </w:r>
      <w:r w:rsidR="006B34E9">
        <w:rPr>
          <w:rFonts w:ascii="Cambria" w:hAnsi="Cambria"/>
        </w:rPr>
        <w:t xml:space="preserve">animal models of </w:t>
      </w:r>
      <w:r>
        <w:rPr>
          <w:rFonts w:ascii="Cambria" w:hAnsi="Cambria"/>
        </w:rPr>
        <w:t xml:space="preserve">RSV ERD and measurement of Th1 and Th2 responses are </w:t>
      </w:r>
      <w:r w:rsidR="006B34E9">
        <w:rPr>
          <w:rFonts w:ascii="Cambria" w:hAnsi="Cambria"/>
        </w:rPr>
        <w:t xml:space="preserve">considered </w:t>
      </w:r>
      <w:r>
        <w:rPr>
          <w:rFonts w:ascii="Cambria" w:hAnsi="Cambria"/>
        </w:rPr>
        <w:t>imp</w:t>
      </w:r>
      <w:r w:rsidR="006B34E9">
        <w:rPr>
          <w:rFonts w:ascii="Cambria" w:hAnsi="Cambria"/>
        </w:rPr>
        <w:t xml:space="preserve">ortant to predict safety of </w:t>
      </w:r>
      <w:r>
        <w:rPr>
          <w:rFonts w:ascii="Cambria" w:hAnsi="Cambria"/>
        </w:rPr>
        <w:t>vaccine candidate</w:t>
      </w:r>
      <w:r w:rsidR="00F53878">
        <w:rPr>
          <w:rFonts w:ascii="Cambria" w:hAnsi="Cambria"/>
        </w:rPr>
        <w:t>s other than live-attenuated vaccines</w:t>
      </w:r>
      <w:r>
        <w:rPr>
          <w:rFonts w:ascii="Cambria" w:hAnsi="Cambria"/>
        </w:rPr>
        <w:t xml:space="preserve"> in clinical trials</w:t>
      </w:r>
      <w:r w:rsidR="00F57E82">
        <w:rPr>
          <w:rFonts w:ascii="Cambria" w:hAnsi="Cambria"/>
        </w:rPr>
        <w:t xml:space="preserve"> in young children</w:t>
      </w:r>
      <w:r>
        <w:rPr>
          <w:rFonts w:ascii="Cambria" w:hAnsi="Cambria"/>
        </w:rPr>
        <w:t xml:space="preserve">. </w:t>
      </w:r>
    </w:p>
    <w:p w14:paraId="6179AC44" w14:textId="78478C30" w:rsidR="005F4A07" w:rsidRDefault="005F4A07" w:rsidP="00C566BC">
      <w:pPr>
        <w:jc w:val="both"/>
        <w:rPr>
          <w:rFonts w:ascii="Cambria" w:hAnsi="Cambria"/>
        </w:rPr>
      </w:pPr>
      <w:r>
        <w:rPr>
          <w:rFonts w:ascii="Cambria" w:hAnsi="Cambria"/>
        </w:rPr>
        <w:tab/>
      </w:r>
      <w:r w:rsidR="001041E2">
        <w:rPr>
          <w:rFonts w:ascii="Cambria" w:hAnsi="Cambria"/>
        </w:rPr>
        <w:t xml:space="preserve">Animal </w:t>
      </w:r>
      <w:r w:rsidR="00E50358">
        <w:rPr>
          <w:rFonts w:ascii="Cambria" w:hAnsi="Cambria"/>
        </w:rPr>
        <w:t xml:space="preserve">models are important for preclinical development of vaccine candidates and assessing the possibility of enhanced disease. </w:t>
      </w:r>
      <w:r w:rsidR="001041E2">
        <w:rPr>
          <w:rFonts w:ascii="Cambria" w:hAnsi="Cambria"/>
        </w:rPr>
        <w:t>Alveolitis in the</w:t>
      </w:r>
      <w:r w:rsidR="003B0536">
        <w:rPr>
          <w:rFonts w:ascii="Cambria" w:hAnsi="Cambria"/>
        </w:rPr>
        <w:t xml:space="preserve"> cotton rat </w:t>
      </w:r>
      <w:r w:rsidR="001041E2">
        <w:rPr>
          <w:rFonts w:ascii="Cambria" w:hAnsi="Cambria"/>
        </w:rPr>
        <w:t>and primin</w:t>
      </w:r>
      <w:r w:rsidR="00DC58E9">
        <w:rPr>
          <w:rFonts w:ascii="Cambria" w:hAnsi="Cambria"/>
        </w:rPr>
        <w:t>g of a Th2 response in mice are</w:t>
      </w:r>
      <w:r w:rsidR="003B0536">
        <w:rPr>
          <w:rFonts w:ascii="Cambria" w:hAnsi="Cambria"/>
        </w:rPr>
        <w:t xml:space="preserve"> </w:t>
      </w:r>
      <w:r w:rsidR="001041E2">
        <w:rPr>
          <w:rFonts w:ascii="Cambria" w:hAnsi="Cambria"/>
        </w:rPr>
        <w:t>considered a markers to assess ERD; there is no consensus on the ability to reproduce ERD in calves</w:t>
      </w:r>
      <w:r w:rsidR="001041E2">
        <w:rPr>
          <w:rFonts w:ascii="Cambria" w:hAnsi="Cambria"/>
        </w:rPr>
        <w:fldChar w:fldCharType="begin" w:fldLock="1"/>
      </w:r>
      <w:r w:rsidR="00A828B0">
        <w:rPr>
          <w:rFonts w:ascii="Cambria" w:hAnsi="Cambria"/>
        </w:rPr>
        <w:instrText>ADDIN CSL_CITATION { "citationItems" : [ { "id" : "ITEM-1", "itemData" : { "DOI" : "10.1016/j.vaccine.2016.11.054", "ISSN" : "1873-2518", "PMID" : "27908639", "abstract" : "Human respiratory syncytial virus (hRSV) is a major cause of respiratory disease and hospitalisation of infants, worldwide, and is also responsible for significant morbidity in adults and excess deaths in the elderly. There is no licensed hRSV vaccine or effective therapeutic agent. However, there are a growing number of hRSV vaccine candidates that have been developed targeting different populations at risk of hRSV infection. Animal models of hRSV play an important role in the preclinical testing of hRSV vaccine candidates and although many have shown efficacy in preclinical studies, few have progressed to clinical trials or they have had only limited success. This is, at least in part, due to the lack of animal models that fully recapitulate the pathogenesis of hRSV infection in humans. This review summarises the strengths and limitations of animal models of hRSV, which include those in which hRSV is used to infect non-human mammalian hosts, and those in which non-human pneumoviruses, such as bovine (b)RSV and pneumonia virus of mice (PVM) are studied in their natural host. Apart from chimpanzees, other non-human primates (NHP) are only semi-permissive for hRSV replication and experimental infection with large doses of virus result in little or no clinical signs of disease, and generally only mild pulmonary pathology. Other animal models such as cotton rats, mice, ferrets, guinea pigs, hamsters, chinchillas, and neonatal lambs are also only semi-permissive for hRSV. Nevertheless, mice and cotton rats have been of value in the development of monoclonal antibody prophylaxis for infants at high risk of severe hRSV infection and have provided insights into mechanisms of immunity to and pathogenesis of hRSV. However, the extent to which they predict hRSV vaccine efficacy and safety is unclear and several hRSV vaccine candidates that are completely protective in rodent models are poorly effective in chimpanzees and other NHP, such as African Green monkeys. Furthermore, interpretation of findings from many rodent and NHP models of vaccine-enhanced hRSV disease has been confounded by sensitisation to non-viral antigens present in the vaccine and challenge virus. Studies of non-human pneumoviruses in their native hosts are more likely to reflect the pathogenesis of natural hRSV infection, and experimental infection of calves with bRSV and of mice with PVM result in clinical disease and extensive pulmonary pathology. These animal models have not only been of va\u2026", "author" : [ { "dropping-particle" : "", "family" : "Taylor", "given" : "Geraldine", "non-dropping-particle" : "", "parse-names" : false, "suffix" : "" } ], "container-title" : "Vaccine", "id" : "ITEM-1", "issue" : "3", "issued" : { "date-parts" : [ [ "2017" ] ] }, "page" : "469-480", "publisher" : "Elsevier", "title" : "Animal models of respiratory syncytial virus infection.", "type" : "article-journal", "volume" : "35" }, "uris" : [ "http://www.mendeley.com/documents/?uuid=afb7ae84-27fa-36fb-aed0-76ccdc7a2c58" ] } ], "mendeley" : { "formattedCitation" : "(89)", "plainTextFormattedCitation" : "(89)", "previouslyFormattedCitation" : "(89)" }, "properties" : { "noteIndex" : 0 }, "schema" : "https://github.com/citation-style-language/schema/raw/master/csl-citation.json" }</w:instrText>
      </w:r>
      <w:r w:rsidR="001041E2">
        <w:rPr>
          <w:rFonts w:ascii="Cambria" w:hAnsi="Cambria"/>
        </w:rPr>
        <w:fldChar w:fldCharType="separate"/>
      </w:r>
      <w:r w:rsidR="00D83E6A" w:rsidRPr="00D83E6A">
        <w:rPr>
          <w:rFonts w:ascii="Cambria" w:hAnsi="Cambria"/>
          <w:noProof/>
        </w:rPr>
        <w:t>(89)</w:t>
      </w:r>
      <w:r w:rsidR="001041E2">
        <w:rPr>
          <w:rFonts w:ascii="Cambria" w:hAnsi="Cambria"/>
        </w:rPr>
        <w:fldChar w:fldCharType="end"/>
      </w:r>
      <w:r w:rsidR="001041E2">
        <w:rPr>
          <w:rFonts w:ascii="Cambria" w:hAnsi="Cambria"/>
        </w:rPr>
        <w:t>.</w:t>
      </w:r>
      <w:r w:rsidR="003B0536">
        <w:rPr>
          <w:rFonts w:ascii="Cambria" w:hAnsi="Cambria"/>
        </w:rPr>
        <w:t xml:space="preserve"> </w:t>
      </w:r>
      <w:r w:rsidR="00977287">
        <w:rPr>
          <w:rFonts w:ascii="Cambria" w:hAnsi="Cambria"/>
        </w:rPr>
        <w:t>So far no vaccine candidates have been tested with experimental human infection model, but the model provides a unique opportunity to test vaccine candidates in the natural host</w:t>
      </w:r>
      <w:r w:rsidR="006D0CB7">
        <w:rPr>
          <w:rFonts w:ascii="Cambria" w:hAnsi="Cambria"/>
        </w:rPr>
        <w:t xml:space="preserve"> despite practical and ethical challenges</w:t>
      </w:r>
      <w:r w:rsidR="00817A9F">
        <w:rPr>
          <w:rFonts w:ascii="Cambria" w:hAnsi="Cambria"/>
        </w:rPr>
        <w:fldChar w:fldCharType="begin" w:fldLock="1"/>
      </w:r>
      <w:r w:rsidR="00A828B0">
        <w:rPr>
          <w:rFonts w:ascii="Cambria" w:hAnsi="Cambria"/>
        </w:rPr>
        <w:instrText>ADDIN CSL_CITATION { "citationItems" : [ { "id" : "ITEM-1", "itemData" : { "DOI" : "10.1016/j.vaccine.2016.08.086", "ISSN" : "0264410X", "PMID" : "27889256", "abstract" : "Despite the recent explosion in RSV vaccine development, there remain substantial hurdles to overcome before licensing of effective vaccines will allow widespread use, particularly in high-risk populations. Incomplete understanding of mechanisms and correlates of protection against RSV mean that, for the time being, successful RSV vaccines must directly demonstrate efficacy, which necessitates large and costly clinical trials in naturally infected patients. To mitigate the risks inherent in progressing to these late-stage trials, experimental human RSV infection studies have recently been re-established, representing the interface between pre-clinical models and observational studies of patients. Not only can they be used for early proof-of-concept clinical trials to test vaccine efficacy, but human challenge studies also offer the potential to better understand protective immunity against RSV infection to improve vaccine design and delivery. In the past, controlled human infection studies with RSV have been instrumental in elucidating the influence of factors such as route of infection and type of inoculum on the course of disease. Recently, efficacy trials of novel RSV antiviral drugs have also been successfully undertaken. Now, with advances in technology, detailed investigations of human mucosal immunity in the RSV-infected airway are possible. These have indicated defects in RSV-induced humoral and CD8+ T cell immunity that may contribute to the recurrent symptomatic infection that occurs throughout life and should be circumvented by optimal vaccines. Here, we discuss the insights derived from RSV human challenge models; the major impediments to their more widespread uptake; and their potential benefit in accelerating vaccine development, including future directions to further enhance the relevance of these models to at-risk patient populations.", "author" : [ { "dropping-particle" : "", "family" : "Habibi", "given" : "Maximillian S.", "non-dropping-particle" : "", "parse-names" : false, "suffix" : "" }, { "dropping-particle" : "", "family" : "Chiu", "given" : "Christopher", "non-dropping-particle" : "", "parse-names" : false, "suffix" : "" } ], "container-title" : "Vaccine", "id" : "ITEM-1", "issue" : "3", "issued" : { "date-parts" : [ [ "2017", "1", "11" ] ] }, "page" : "489-495", "title" : "Controlled human infection with RSV: The opportunities of experimental challenge", "type" : "article-journal", "volume" : "35" }, "uris" : [ "http://www.mendeley.com/documents/?uuid=7cc2ca21-e5b9-3022-ac95-a607430f68d2" ] } ], "mendeley" : { "formattedCitation" : "(90)", "plainTextFormattedCitation" : "(90)", "previouslyFormattedCitation" : "(90)" }, "properties" : { "noteIndex" : 0 }, "schema" : "https://github.com/citation-style-language/schema/raw/master/csl-citation.json" }</w:instrText>
      </w:r>
      <w:r w:rsidR="00817A9F">
        <w:rPr>
          <w:rFonts w:ascii="Cambria" w:hAnsi="Cambria"/>
        </w:rPr>
        <w:fldChar w:fldCharType="separate"/>
      </w:r>
      <w:r w:rsidR="00D83E6A" w:rsidRPr="00D83E6A">
        <w:rPr>
          <w:rFonts w:ascii="Cambria" w:hAnsi="Cambria"/>
          <w:noProof/>
        </w:rPr>
        <w:t>(90)</w:t>
      </w:r>
      <w:r w:rsidR="00817A9F">
        <w:rPr>
          <w:rFonts w:ascii="Cambria" w:hAnsi="Cambria"/>
        </w:rPr>
        <w:fldChar w:fldCharType="end"/>
      </w:r>
      <w:r w:rsidR="00977287">
        <w:rPr>
          <w:rFonts w:ascii="Cambria" w:hAnsi="Cambria"/>
        </w:rPr>
        <w:t>.</w:t>
      </w:r>
    </w:p>
    <w:p w14:paraId="2C029C59" w14:textId="2E58D8F7" w:rsidR="00235315" w:rsidRDefault="009B29C4" w:rsidP="00C566BC">
      <w:pPr>
        <w:jc w:val="both"/>
        <w:rPr>
          <w:rFonts w:ascii="Cambria" w:hAnsi="Cambria"/>
        </w:rPr>
      </w:pPr>
      <w:r>
        <w:rPr>
          <w:rFonts w:ascii="Cambria" w:hAnsi="Cambria"/>
        </w:rPr>
        <w:tab/>
      </w:r>
      <w:r w:rsidR="00795096">
        <w:rPr>
          <w:rFonts w:ascii="Cambria" w:hAnsi="Cambria"/>
        </w:rPr>
        <w:t xml:space="preserve">Although we discuss several potential immunological correlates of protection for vaccine trials, we </w:t>
      </w:r>
      <w:r w:rsidR="00DC58E9">
        <w:rPr>
          <w:rFonts w:ascii="Cambria" w:hAnsi="Cambria"/>
        </w:rPr>
        <w:t>considered</w:t>
      </w:r>
      <w:r w:rsidR="00795096">
        <w:rPr>
          <w:rFonts w:ascii="Cambria" w:hAnsi="Cambria"/>
        </w:rPr>
        <w:t xml:space="preserve"> cell-mediated immunity </w:t>
      </w:r>
      <w:r w:rsidR="00DC58E9">
        <w:rPr>
          <w:rFonts w:ascii="Cambria" w:hAnsi="Cambria"/>
        </w:rPr>
        <w:t>beyond the scope of the manuscript</w:t>
      </w:r>
      <w:r w:rsidR="00795096">
        <w:rPr>
          <w:rFonts w:ascii="Cambria" w:hAnsi="Cambria"/>
        </w:rPr>
        <w:t>. However, w</w:t>
      </w:r>
      <w:r w:rsidR="00FF5C5E">
        <w:rPr>
          <w:rFonts w:ascii="Cambria" w:hAnsi="Cambria"/>
        </w:rPr>
        <w:t xml:space="preserve">e highlight the </w:t>
      </w:r>
      <w:r w:rsidR="004A4BC4">
        <w:rPr>
          <w:rFonts w:ascii="Cambria" w:hAnsi="Cambria"/>
        </w:rPr>
        <w:t xml:space="preserve">different aspects of the </w:t>
      </w:r>
      <w:r w:rsidR="00FF5C5E">
        <w:rPr>
          <w:rFonts w:ascii="Cambria" w:hAnsi="Cambria"/>
        </w:rPr>
        <w:t>expect</w:t>
      </w:r>
      <w:r w:rsidR="00296B57">
        <w:rPr>
          <w:rFonts w:ascii="Cambria" w:hAnsi="Cambria"/>
        </w:rPr>
        <w:t>ed</w:t>
      </w:r>
      <w:r w:rsidR="00FF5C5E">
        <w:rPr>
          <w:rFonts w:ascii="Cambria" w:hAnsi="Cambria"/>
        </w:rPr>
        <w:t xml:space="preserve"> immune response for all 1</w:t>
      </w:r>
      <w:r w:rsidR="004F36F3">
        <w:rPr>
          <w:rFonts w:ascii="Cambria" w:hAnsi="Cambria"/>
        </w:rPr>
        <w:t>9</w:t>
      </w:r>
      <w:r w:rsidR="00FF5C5E">
        <w:rPr>
          <w:rFonts w:ascii="Cambria" w:hAnsi="Cambria"/>
        </w:rPr>
        <w:t xml:space="preserve"> vaccine candidates</w:t>
      </w:r>
      <w:r w:rsidR="007F7E67">
        <w:rPr>
          <w:rFonts w:ascii="Cambria" w:hAnsi="Cambria"/>
        </w:rPr>
        <w:t xml:space="preserve"> and mAbs in clinical development</w:t>
      </w:r>
      <w:r w:rsidR="004A4BC4">
        <w:rPr>
          <w:rFonts w:ascii="Cambria" w:hAnsi="Cambria"/>
        </w:rPr>
        <w:t xml:space="preserve"> in Table 3. </w:t>
      </w:r>
      <w:r w:rsidR="00793DEE">
        <w:rPr>
          <w:rFonts w:ascii="Cambria" w:hAnsi="Cambria"/>
        </w:rPr>
        <w:t xml:space="preserve">A definitive threshold for protection against RSV </w:t>
      </w:r>
      <w:r w:rsidR="00361B7C">
        <w:rPr>
          <w:rFonts w:ascii="Cambria" w:hAnsi="Cambria"/>
        </w:rPr>
        <w:t xml:space="preserve">disease </w:t>
      </w:r>
      <w:r w:rsidR="00793DEE">
        <w:rPr>
          <w:rFonts w:ascii="Cambria" w:hAnsi="Cambria"/>
        </w:rPr>
        <w:t xml:space="preserve">remains elusive. </w:t>
      </w:r>
      <w:r w:rsidR="001E34BF">
        <w:rPr>
          <w:rFonts w:ascii="Cambria" w:hAnsi="Cambria"/>
        </w:rPr>
        <w:t>Ultimately, the outcome of large-scale v</w:t>
      </w:r>
      <w:r w:rsidR="00436F8C">
        <w:rPr>
          <w:rFonts w:ascii="Cambria" w:hAnsi="Cambria"/>
        </w:rPr>
        <w:t>accine trials</w:t>
      </w:r>
      <w:r w:rsidR="001E34BF">
        <w:rPr>
          <w:rFonts w:ascii="Cambria" w:hAnsi="Cambria"/>
        </w:rPr>
        <w:t xml:space="preserve"> </w:t>
      </w:r>
      <w:r w:rsidR="00436F8C">
        <w:rPr>
          <w:rFonts w:ascii="Cambria" w:hAnsi="Cambria"/>
        </w:rPr>
        <w:t xml:space="preserve">will </w:t>
      </w:r>
      <w:r w:rsidR="001F7C8B">
        <w:rPr>
          <w:rFonts w:ascii="Cambria" w:hAnsi="Cambria"/>
        </w:rPr>
        <w:t xml:space="preserve">inform </w:t>
      </w:r>
      <w:r w:rsidR="001E34BF">
        <w:rPr>
          <w:rFonts w:ascii="Cambria" w:hAnsi="Cambria"/>
        </w:rPr>
        <w:t xml:space="preserve">which immunologic measures correspond to protection from clinical </w:t>
      </w:r>
      <w:r w:rsidR="006300A6">
        <w:rPr>
          <w:rFonts w:ascii="Cambria" w:hAnsi="Cambria"/>
        </w:rPr>
        <w:t xml:space="preserve">RSV </w:t>
      </w:r>
      <w:r w:rsidR="001E34BF">
        <w:rPr>
          <w:rFonts w:ascii="Cambria" w:hAnsi="Cambria"/>
        </w:rPr>
        <w:t>disease.</w:t>
      </w:r>
    </w:p>
    <w:p w14:paraId="6A4C9171" w14:textId="77777777" w:rsidR="00AB26CB" w:rsidRDefault="00AB26CB" w:rsidP="00C566BC">
      <w:pPr>
        <w:jc w:val="both"/>
        <w:rPr>
          <w:rFonts w:ascii="Cambria" w:hAnsi="Cambria"/>
        </w:rPr>
      </w:pPr>
    </w:p>
    <w:p w14:paraId="148E4B18" w14:textId="61740BFE" w:rsidR="00291A40" w:rsidRPr="00975B33" w:rsidRDefault="00235315" w:rsidP="00C566BC">
      <w:pPr>
        <w:jc w:val="both"/>
        <w:rPr>
          <w:rFonts w:ascii="Cambria" w:hAnsi="Cambria"/>
          <w:u w:val="single"/>
        </w:rPr>
      </w:pPr>
      <w:r w:rsidRPr="00975B33">
        <w:rPr>
          <w:rFonts w:ascii="Cambria" w:hAnsi="Cambria"/>
          <w:u w:val="single"/>
        </w:rPr>
        <w:t>Vaccine strategies</w:t>
      </w:r>
    </w:p>
    <w:p w14:paraId="19F96870" w14:textId="067B5163" w:rsidR="00C85A2A" w:rsidRDefault="00C85A2A" w:rsidP="00C566BC">
      <w:pPr>
        <w:jc w:val="both"/>
        <w:rPr>
          <w:rFonts w:ascii="Cambria" w:hAnsi="Cambria"/>
        </w:rPr>
      </w:pPr>
      <w:r>
        <w:rPr>
          <w:rFonts w:ascii="Cambria" w:hAnsi="Cambria"/>
        </w:rPr>
        <w:lastRenderedPageBreak/>
        <w:t>We have divided vacc</w:t>
      </w:r>
      <w:r w:rsidR="0016420F">
        <w:rPr>
          <w:rFonts w:ascii="Cambria" w:hAnsi="Cambria"/>
        </w:rPr>
        <w:t>ines in clinical development in</w:t>
      </w:r>
      <w:r>
        <w:rPr>
          <w:rFonts w:ascii="Cambria" w:hAnsi="Cambria"/>
        </w:rPr>
        <w:t xml:space="preserve">to four categories in accordance with the PATH </w:t>
      </w:r>
      <w:r w:rsidR="00B36F5D">
        <w:rPr>
          <w:rFonts w:ascii="Cambria" w:hAnsi="Cambria"/>
        </w:rPr>
        <w:t xml:space="preserve">RSV </w:t>
      </w:r>
      <w:r>
        <w:rPr>
          <w:rFonts w:ascii="Cambria" w:hAnsi="Cambria"/>
        </w:rPr>
        <w:t>vaccine</w:t>
      </w:r>
      <w:r w:rsidR="00B36F5D">
        <w:rPr>
          <w:rFonts w:ascii="Cambria" w:hAnsi="Cambria"/>
        </w:rPr>
        <w:t xml:space="preserve"> and mAb</w:t>
      </w:r>
      <w:r>
        <w:rPr>
          <w:rFonts w:ascii="Cambria" w:hAnsi="Cambria"/>
        </w:rPr>
        <w:t xml:space="preserve"> snapshot: particle-based, vector-based, subunit and live-attenuated</w:t>
      </w:r>
      <w:r w:rsidR="006300A6">
        <w:rPr>
          <w:rFonts w:ascii="Cambria" w:hAnsi="Cambria"/>
        </w:rPr>
        <w:t>/chimeric</w:t>
      </w:r>
      <w:r>
        <w:rPr>
          <w:rFonts w:ascii="Cambria" w:hAnsi="Cambria"/>
        </w:rPr>
        <w:t xml:space="preserve"> vaccines</w:t>
      </w:r>
      <w:r w:rsidR="00296B57">
        <w:rPr>
          <w:rFonts w:ascii="Cambria" w:hAnsi="Cambria"/>
        </w:rPr>
        <w:fldChar w:fldCharType="begin" w:fldLock="1"/>
      </w:r>
      <w:r w:rsidR="00AC7A3A">
        <w:rPr>
          <w:rFonts w:ascii="Cambria" w:hAnsi="Cambria"/>
        </w:rPr>
        <w:instrText>ADDIN CSL_CITATION { "citationItems" : [ { "id" : "ITEM-1", "itemData" : { "URL" : "http://vaccineresources.org/details.php?i=1562", "accessed" : { "date-parts" : [ [ "2017", "12", "22" ] ] }, "author" : [ { "dropping-particle" : "", "family" : "PATH", "given" : "", "non-dropping-particle" : "", "parse-names" : false, "suffix" : "" } ], "id" : "ITEM-1", "issued" : { "date-parts" : [ [ "2017" ] ] }, "title" : "RSV Vaccine and mAb Snapshot - PATH Vaccine Resource Library", "type" : "webpage" }, "uris" : [ "http://www.mendeley.com/documents/?uuid=7effd1b2-04f7-3c44-b30b-b1f08c47e3e9" ] } ], "mendeley" : { "formattedCitation" : "(21)", "plainTextFormattedCitation" : "(21)", "previouslyFormattedCitation" : "(21)" }, "properties" : { "noteIndex" : 0 }, "schema" : "https://github.com/citation-style-language/schema/raw/master/csl-citation.json" }</w:instrText>
      </w:r>
      <w:r w:rsidR="00296B57">
        <w:rPr>
          <w:rFonts w:ascii="Cambria" w:hAnsi="Cambria"/>
        </w:rPr>
        <w:fldChar w:fldCharType="separate"/>
      </w:r>
      <w:r w:rsidR="009F500F" w:rsidRPr="009F500F">
        <w:rPr>
          <w:rFonts w:ascii="Cambria" w:hAnsi="Cambria"/>
          <w:noProof/>
        </w:rPr>
        <w:t>(21)</w:t>
      </w:r>
      <w:r w:rsidR="00296B57">
        <w:rPr>
          <w:rFonts w:ascii="Cambria" w:hAnsi="Cambria"/>
        </w:rPr>
        <w:fldChar w:fldCharType="end"/>
      </w:r>
      <w:r>
        <w:rPr>
          <w:rFonts w:ascii="Cambria" w:hAnsi="Cambria"/>
        </w:rPr>
        <w:t xml:space="preserve">. We have also included </w:t>
      </w:r>
      <w:r w:rsidR="002F6E17">
        <w:rPr>
          <w:rFonts w:ascii="Cambria" w:hAnsi="Cambria"/>
        </w:rPr>
        <w:t>mAbs</w:t>
      </w:r>
      <w:r>
        <w:rPr>
          <w:rFonts w:ascii="Cambria" w:hAnsi="Cambria"/>
        </w:rPr>
        <w:t xml:space="preserve"> in clinical development for the prevention of RSV</w:t>
      </w:r>
      <w:r w:rsidR="001F7C8B">
        <w:rPr>
          <w:rFonts w:ascii="Cambria" w:hAnsi="Cambria"/>
        </w:rPr>
        <w:t xml:space="preserve"> ALRI</w:t>
      </w:r>
      <w:r>
        <w:rPr>
          <w:rFonts w:ascii="Cambria" w:hAnsi="Cambria"/>
        </w:rPr>
        <w:t>.</w:t>
      </w:r>
      <w:r w:rsidR="001375BE">
        <w:rPr>
          <w:rFonts w:ascii="Cambria" w:hAnsi="Cambria"/>
        </w:rPr>
        <w:t xml:space="preserve"> </w:t>
      </w:r>
      <w:r w:rsidR="00520823">
        <w:rPr>
          <w:rFonts w:ascii="Cambria" w:hAnsi="Cambria"/>
        </w:rPr>
        <w:t xml:space="preserve">In the snapshot there are 43 vaccines and 4 mAbs in development of which 19 are in clinical stage development. </w:t>
      </w:r>
      <w:r w:rsidR="001375BE">
        <w:rPr>
          <w:rFonts w:ascii="Cambria" w:hAnsi="Cambria"/>
        </w:rPr>
        <w:t xml:space="preserve">An important </w:t>
      </w:r>
      <w:r w:rsidR="00BE02FA">
        <w:rPr>
          <w:rFonts w:ascii="Cambria" w:hAnsi="Cambria"/>
        </w:rPr>
        <w:t xml:space="preserve">consideration </w:t>
      </w:r>
      <w:r w:rsidR="001375BE">
        <w:rPr>
          <w:rFonts w:ascii="Cambria" w:hAnsi="Cambria"/>
        </w:rPr>
        <w:t>for all vaccines is not only to prevent severe RSV disease</w:t>
      </w:r>
      <w:r w:rsidR="00BE02FA">
        <w:rPr>
          <w:rFonts w:ascii="Cambria" w:hAnsi="Cambria"/>
        </w:rPr>
        <w:t>,</w:t>
      </w:r>
      <w:r w:rsidR="001375BE">
        <w:rPr>
          <w:rFonts w:ascii="Cambria" w:hAnsi="Cambria"/>
        </w:rPr>
        <w:t xml:space="preserve"> but</w:t>
      </w:r>
      <w:r w:rsidR="00B00D56">
        <w:rPr>
          <w:rFonts w:ascii="Cambria" w:hAnsi="Cambria"/>
        </w:rPr>
        <w:t xml:space="preserve"> also</w:t>
      </w:r>
      <w:r w:rsidR="001375BE">
        <w:rPr>
          <w:rFonts w:ascii="Cambria" w:hAnsi="Cambria"/>
        </w:rPr>
        <w:t xml:space="preserve"> to avoid</w:t>
      </w:r>
      <w:r w:rsidR="00BE02FA">
        <w:rPr>
          <w:rFonts w:ascii="Cambria" w:hAnsi="Cambria"/>
        </w:rPr>
        <w:t xml:space="preserve"> </w:t>
      </w:r>
      <w:r w:rsidR="0023579C">
        <w:rPr>
          <w:rFonts w:ascii="Cambria" w:hAnsi="Cambria"/>
        </w:rPr>
        <w:t>the</w:t>
      </w:r>
      <w:r w:rsidR="00BE02FA">
        <w:rPr>
          <w:rFonts w:ascii="Cambria" w:hAnsi="Cambria"/>
        </w:rPr>
        <w:t xml:space="preserve"> risk of priming for</w:t>
      </w:r>
      <w:r w:rsidR="001375BE">
        <w:rPr>
          <w:rFonts w:ascii="Cambria" w:hAnsi="Cambria"/>
        </w:rPr>
        <w:t xml:space="preserve"> RSV ERD</w:t>
      </w:r>
      <w:r w:rsidR="002F6E17">
        <w:rPr>
          <w:rFonts w:ascii="Cambria" w:hAnsi="Cambria"/>
        </w:rPr>
        <w:t>.</w:t>
      </w:r>
      <w:r w:rsidR="00A02ECB">
        <w:rPr>
          <w:rFonts w:ascii="Cambria" w:hAnsi="Cambria"/>
        </w:rPr>
        <w:t xml:space="preserve"> </w:t>
      </w:r>
      <w:r w:rsidR="006B34E9">
        <w:rPr>
          <w:rFonts w:ascii="Cambria" w:hAnsi="Cambria"/>
        </w:rPr>
        <w:t>Based on our</w:t>
      </w:r>
      <w:r w:rsidR="00BE02FA">
        <w:rPr>
          <w:rFonts w:ascii="Cambria" w:hAnsi="Cambria"/>
        </w:rPr>
        <w:t xml:space="preserve"> current understanding of the underlying mechanisms leading to RSV ERD, this would </w:t>
      </w:r>
      <w:r w:rsidR="006B34E9">
        <w:rPr>
          <w:rFonts w:ascii="Cambria" w:hAnsi="Cambria"/>
        </w:rPr>
        <w:t>suggest caution be taken in</w:t>
      </w:r>
      <w:r w:rsidR="00BE02FA">
        <w:rPr>
          <w:rFonts w:ascii="Cambria" w:hAnsi="Cambria"/>
        </w:rPr>
        <w:t xml:space="preserve"> the use of </w:t>
      </w:r>
      <w:r w:rsidR="001375BE">
        <w:rPr>
          <w:rFonts w:ascii="Cambria" w:hAnsi="Cambria"/>
        </w:rPr>
        <w:t>protein-based vaccines</w:t>
      </w:r>
      <w:r w:rsidR="00BE02FA">
        <w:rPr>
          <w:rFonts w:ascii="Cambria" w:hAnsi="Cambria"/>
        </w:rPr>
        <w:t xml:space="preserve"> in RSV naïve </w:t>
      </w:r>
      <w:r w:rsidR="0023579C">
        <w:rPr>
          <w:rFonts w:ascii="Cambria" w:hAnsi="Cambria"/>
        </w:rPr>
        <w:t>infants</w:t>
      </w:r>
      <w:r w:rsidR="00BE02FA">
        <w:rPr>
          <w:rFonts w:ascii="Cambria" w:hAnsi="Cambria"/>
        </w:rPr>
        <w:t xml:space="preserve"> and</w:t>
      </w:r>
      <w:r w:rsidR="006B34E9">
        <w:rPr>
          <w:rFonts w:ascii="Cambria" w:hAnsi="Cambria"/>
        </w:rPr>
        <w:t xml:space="preserve"> children.</w:t>
      </w:r>
      <w:r w:rsidR="0023579C">
        <w:rPr>
          <w:rFonts w:ascii="Cambria" w:hAnsi="Cambria"/>
        </w:rPr>
        <w:t xml:space="preserve"> </w:t>
      </w:r>
      <w:r w:rsidR="006B34E9">
        <w:rPr>
          <w:rFonts w:ascii="Cambria" w:hAnsi="Cambria"/>
        </w:rPr>
        <w:t xml:space="preserve">Replication </w:t>
      </w:r>
      <w:r w:rsidR="00BE02FA">
        <w:rPr>
          <w:rFonts w:ascii="Cambria" w:hAnsi="Cambria"/>
        </w:rPr>
        <w:t>deficient vectors, engineere</w:t>
      </w:r>
      <w:r w:rsidR="001F7C8B">
        <w:rPr>
          <w:rFonts w:ascii="Cambria" w:hAnsi="Cambria"/>
        </w:rPr>
        <w:t>d to</w:t>
      </w:r>
      <w:r w:rsidR="006B34E9">
        <w:rPr>
          <w:rFonts w:ascii="Cambria" w:hAnsi="Cambria"/>
        </w:rPr>
        <w:t xml:space="preserve"> induce CD8 T cell responses expressing</w:t>
      </w:r>
      <w:r w:rsidR="00BE02FA">
        <w:rPr>
          <w:rFonts w:ascii="Cambria" w:hAnsi="Cambria"/>
        </w:rPr>
        <w:t xml:space="preserve"> RSV antigens intracellular</w:t>
      </w:r>
      <w:r w:rsidR="006B34E9">
        <w:rPr>
          <w:rFonts w:ascii="Cambria" w:hAnsi="Cambria"/>
        </w:rPr>
        <w:t>l</w:t>
      </w:r>
      <w:r w:rsidR="00BE02FA">
        <w:rPr>
          <w:rFonts w:ascii="Cambria" w:hAnsi="Cambria"/>
        </w:rPr>
        <w:t xml:space="preserve">y, </w:t>
      </w:r>
      <w:r w:rsidR="006B34E9">
        <w:rPr>
          <w:rFonts w:ascii="Cambria" w:hAnsi="Cambria"/>
        </w:rPr>
        <w:t xml:space="preserve">are considered more similar to live-attenuated virus vaccines which have been shown </w:t>
      </w:r>
      <w:r w:rsidR="00F06856">
        <w:rPr>
          <w:rFonts w:ascii="Cambria" w:hAnsi="Cambria"/>
        </w:rPr>
        <w:t>not to cause ERD</w:t>
      </w:r>
      <w:r w:rsidR="00BE02FA">
        <w:rPr>
          <w:rFonts w:ascii="Cambria" w:hAnsi="Cambria"/>
        </w:rPr>
        <w:t xml:space="preserve"> in this population</w:t>
      </w:r>
      <w:r w:rsidR="00FA4598">
        <w:rPr>
          <w:rFonts w:ascii="Cambria" w:hAnsi="Cambria"/>
        </w:rPr>
        <w:t>.</w:t>
      </w:r>
      <w:r w:rsidR="001375BE">
        <w:rPr>
          <w:rFonts w:ascii="Cambria" w:hAnsi="Cambria"/>
        </w:rPr>
        <w:t xml:space="preserve"> </w:t>
      </w:r>
      <w:r w:rsidR="00FC15CE">
        <w:rPr>
          <w:rFonts w:ascii="Cambria" w:hAnsi="Cambria"/>
        </w:rPr>
        <w:t>In Table 1</w:t>
      </w:r>
      <w:r w:rsidR="001F7C8B">
        <w:rPr>
          <w:rFonts w:ascii="Cambria" w:hAnsi="Cambria"/>
        </w:rPr>
        <w:t xml:space="preserve"> we</w:t>
      </w:r>
      <w:r w:rsidR="00695977">
        <w:rPr>
          <w:rFonts w:ascii="Cambria" w:hAnsi="Cambria"/>
        </w:rPr>
        <w:t xml:space="preserve"> provide a comprehensive overview</w:t>
      </w:r>
      <w:r w:rsidR="00270E82">
        <w:rPr>
          <w:rFonts w:ascii="Cambria" w:hAnsi="Cambria"/>
        </w:rPr>
        <w:t xml:space="preserve"> and more detailed comparison</w:t>
      </w:r>
      <w:r w:rsidR="00695977">
        <w:rPr>
          <w:rFonts w:ascii="Cambria" w:hAnsi="Cambria"/>
        </w:rPr>
        <w:t xml:space="preserve"> of all characteristics of </w:t>
      </w:r>
      <w:r w:rsidR="001F7C8B">
        <w:rPr>
          <w:rFonts w:ascii="Cambria" w:hAnsi="Cambria"/>
        </w:rPr>
        <w:t>the 19 vaccine candidates a</w:t>
      </w:r>
      <w:r w:rsidR="002F6E17">
        <w:rPr>
          <w:rFonts w:ascii="Cambria" w:hAnsi="Cambria"/>
        </w:rPr>
        <w:t>nd mAbs in clinical development</w:t>
      </w:r>
      <w:r w:rsidR="00695977">
        <w:rPr>
          <w:rFonts w:ascii="Cambria" w:hAnsi="Cambria"/>
        </w:rPr>
        <w:t>.</w:t>
      </w:r>
    </w:p>
    <w:p w14:paraId="0D6BB2F2" w14:textId="77777777" w:rsidR="00975B33" w:rsidRDefault="00975B33" w:rsidP="00C566BC">
      <w:pPr>
        <w:jc w:val="both"/>
        <w:rPr>
          <w:rFonts w:ascii="Cambria" w:hAnsi="Cambria"/>
        </w:rPr>
      </w:pPr>
    </w:p>
    <w:p w14:paraId="6BA748B0" w14:textId="77777777" w:rsidR="00FD5246" w:rsidRPr="00975B33" w:rsidRDefault="00FD5246" w:rsidP="00C566BC">
      <w:pPr>
        <w:jc w:val="both"/>
        <w:rPr>
          <w:rFonts w:ascii="Cambria" w:hAnsi="Cambria"/>
          <w:u w:val="single"/>
        </w:rPr>
      </w:pPr>
      <w:r w:rsidRPr="00975B33">
        <w:rPr>
          <w:rFonts w:ascii="Cambria" w:hAnsi="Cambria"/>
          <w:u w:val="single"/>
        </w:rPr>
        <w:t>Particle-based vaccines</w:t>
      </w:r>
    </w:p>
    <w:p w14:paraId="7740C793" w14:textId="17620F45" w:rsidR="00FD5246" w:rsidRDefault="00FD5246" w:rsidP="00C566BC">
      <w:pPr>
        <w:jc w:val="both"/>
        <w:rPr>
          <w:rFonts w:ascii="Cambria" w:hAnsi="Cambria"/>
        </w:rPr>
      </w:pPr>
      <w:r>
        <w:rPr>
          <w:rFonts w:ascii="Cambria" w:hAnsi="Cambria"/>
        </w:rPr>
        <w:t xml:space="preserve">The </w:t>
      </w:r>
      <w:r w:rsidR="00E90ADC">
        <w:rPr>
          <w:rFonts w:ascii="Cambria" w:hAnsi="Cambria"/>
        </w:rPr>
        <w:t>RSV F nanoparticle-based vaccine</w:t>
      </w:r>
      <w:r w:rsidR="00054802">
        <w:rPr>
          <w:rFonts w:ascii="Cambria" w:hAnsi="Cambria"/>
        </w:rPr>
        <w:t xml:space="preserve"> platform</w:t>
      </w:r>
      <w:r w:rsidR="00E90ADC">
        <w:rPr>
          <w:rFonts w:ascii="Cambria" w:hAnsi="Cambria"/>
        </w:rPr>
        <w:t xml:space="preserve"> </w:t>
      </w:r>
      <w:r>
        <w:rPr>
          <w:rFonts w:ascii="Cambria" w:hAnsi="Cambria"/>
        </w:rPr>
        <w:t>is</w:t>
      </w:r>
      <w:r w:rsidR="00054802">
        <w:rPr>
          <w:rFonts w:ascii="Cambria" w:hAnsi="Cambria"/>
        </w:rPr>
        <w:t xml:space="preserve"> </w:t>
      </w:r>
      <w:r w:rsidR="00300A1A">
        <w:rPr>
          <w:rFonts w:ascii="Cambria" w:hAnsi="Cambria"/>
        </w:rPr>
        <w:t>currently being evaluated</w:t>
      </w:r>
      <w:r w:rsidR="00054802">
        <w:rPr>
          <w:rFonts w:ascii="Cambria" w:hAnsi="Cambria"/>
        </w:rPr>
        <w:t xml:space="preserve"> for</w:t>
      </w:r>
      <w:r>
        <w:rPr>
          <w:rFonts w:ascii="Cambria" w:hAnsi="Cambria"/>
        </w:rPr>
        <w:t xml:space="preserve"> </w:t>
      </w:r>
      <w:r w:rsidR="00A237D1">
        <w:rPr>
          <w:rFonts w:ascii="Cambria" w:hAnsi="Cambria"/>
        </w:rPr>
        <w:t>protection of</w:t>
      </w:r>
      <w:r>
        <w:rPr>
          <w:rFonts w:ascii="Cambria" w:hAnsi="Cambria"/>
        </w:rPr>
        <w:t xml:space="preserve"> </w:t>
      </w:r>
      <w:r w:rsidR="006300A6">
        <w:rPr>
          <w:rFonts w:ascii="Cambria" w:hAnsi="Cambria"/>
        </w:rPr>
        <w:t>three</w:t>
      </w:r>
      <w:r w:rsidR="000E388B">
        <w:rPr>
          <w:rFonts w:ascii="Cambria" w:hAnsi="Cambria"/>
        </w:rPr>
        <w:t xml:space="preserve"> </w:t>
      </w:r>
      <w:r>
        <w:rPr>
          <w:rFonts w:ascii="Cambria" w:hAnsi="Cambria"/>
        </w:rPr>
        <w:t xml:space="preserve">target populations: </w:t>
      </w:r>
      <w:r w:rsidR="006300A6">
        <w:rPr>
          <w:rFonts w:ascii="Cambria" w:hAnsi="Cambria"/>
        </w:rPr>
        <w:t>(1)</w:t>
      </w:r>
      <w:r w:rsidR="00FE0567">
        <w:rPr>
          <w:rFonts w:ascii="Cambria" w:hAnsi="Cambria"/>
        </w:rPr>
        <w:t xml:space="preserve"> </w:t>
      </w:r>
      <w:r>
        <w:rPr>
          <w:rFonts w:ascii="Cambria" w:hAnsi="Cambria"/>
        </w:rPr>
        <w:t xml:space="preserve">infants through maternal vaccination, </w:t>
      </w:r>
      <w:r w:rsidR="006300A6">
        <w:rPr>
          <w:rFonts w:ascii="Cambria" w:hAnsi="Cambria"/>
        </w:rPr>
        <w:t>(2)</w:t>
      </w:r>
      <w:r w:rsidR="00FE0567">
        <w:rPr>
          <w:rFonts w:ascii="Cambria" w:hAnsi="Cambria"/>
        </w:rPr>
        <w:t xml:space="preserve"> </w:t>
      </w:r>
      <w:r>
        <w:rPr>
          <w:rFonts w:ascii="Cambria" w:hAnsi="Cambria"/>
        </w:rPr>
        <w:t xml:space="preserve">children between </w:t>
      </w:r>
      <w:r w:rsidR="00F53878">
        <w:rPr>
          <w:rFonts w:ascii="Cambria" w:hAnsi="Cambria"/>
        </w:rPr>
        <w:t>6</w:t>
      </w:r>
      <w:r>
        <w:rPr>
          <w:rFonts w:ascii="Cambria" w:hAnsi="Cambria"/>
        </w:rPr>
        <w:t xml:space="preserve"> months and 5 years, and </w:t>
      </w:r>
      <w:r w:rsidR="006300A6">
        <w:rPr>
          <w:rFonts w:ascii="Cambria" w:hAnsi="Cambria"/>
        </w:rPr>
        <w:t>(3) older adults</w:t>
      </w:r>
      <w:r>
        <w:rPr>
          <w:rFonts w:ascii="Cambria" w:hAnsi="Cambria"/>
        </w:rPr>
        <w:t>.</w:t>
      </w:r>
      <w:r w:rsidR="00E90ADC">
        <w:rPr>
          <w:rFonts w:ascii="Cambria" w:hAnsi="Cambria"/>
        </w:rPr>
        <w:t xml:space="preserve"> </w:t>
      </w:r>
      <w:r w:rsidR="00E20C53" w:rsidRPr="00B57FF0">
        <w:rPr>
          <w:rFonts w:ascii="Cambria" w:hAnsi="Cambria"/>
        </w:rPr>
        <w:t>Th</w:t>
      </w:r>
      <w:r w:rsidR="00E20C53">
        <w:rPr>
          <w:rFonts w:ascii="Cambria" w:hAnsi="Cambria"/>
        </w:rPr>
        <w:t>ese vaccine candidates</w:t>
      </w:r>
      <w:r w:rsidR="00E20C53" w:rsidRPr="00B57FF0">
        <w:rPr>
          <w:rFonts w:ascii="Cambria" w:hAnsi="Cambria"/>
        </w:rPr>
        <w:t xml:space="preserve"> </w:t>
      </w:r>
      <w:r w:rsidR="00CA7066">
        <w:t>utilize</w:t>
      </w:r>
      <w:r w:rsidR="00C57F68">
        <w:t xml:space="preserve"> aggregates of </w:t>
      </w:r>
      <w:r w:rsidR="00E20C53">
        <w:t xml:space="preserve">a modified stabilized F </w:t>
      </w:r>
      <w:r w:rsidR="00CA7066">
        <w:t xml:space="preserve">protein </w:t>
      </w:r>
      <w:r w:rsidR="00E20C53">
        <w:t>which exhibits the post</w:t>
      </w:r>
      <w:r w:rsidR="00525B10">
        <w:t>-</w:t>
      </w:r>
      <w:r w:rsidR="00E20C53">
        <w:t>F morphology</w:t>
      </w:r>
      <w:r w:rsidR="00024B7F">
        <w:fldChar w:fldCharType="begin" w:fldLock="1"/>
      </w:r>
      <w:r w:rsidR="00A828B0">
        <w:instrText>ADDIN CSL_CITATION { "citationItems" : [ { "id" : "ITEM-1", "itemData" : { "abstract" : "The present invention is generally related to modified or mutated respiratory syncytial virus fusion (F) proteins and methods for making and using them, including immunogenic compositions such as vaccines for the treatment and/or prevention of RSV infection. In one aspect, the invention provides recombinant RSV F proteins comprising modified or mutated amino acid sequences as compared to wild-type RSV F proteins. In general, these modifications or mutations increase the expression, reduce the cellular toxicity, and/or enhance the immunogenic properties of the RSV F proteins as compared to wild-type RSV F proteins. In certain exemplary embodiments, the RSV F proteins are human RSV F proteins.", "author" : [ { "dropping-particle" : "", "family" : "Smith", "given" : "G", "non-dropping-particle" : "", "parse-names" : false, "suffix" : "" }, { "dropping-particle" : "", "family" : "Wu", "given" : "Y", "non-dropping-particle" : "", "parse-names" : false, "suffix" : "" }, { "dropping-particle" : "", "family" : "Massare", "given" : "M", "non-dropping-particle" : "", "parse-names" : false, "suffix" : "" }, { "dropping-particle" : "", "family" : "Liu", "given" : "Y", "non-dropping-particle" : "", "parse-names" : false, "suffix" : "" } ], "id" : "ITEM-1", "issued" : { "date-parts" : [ [ "2012" ] ] }, "number" : "WO 2013049342 A1", "publisher-place" : "USA", "title" : "Recombinant nanoparticle rsv f vaccine for respiratory syncytial virus", "type" : "patent" }, "uris" : [ "http://www.mendeley.com/documents/?uuid=cf8dff67-6260-3ba5-b238-32e8c5d3aadf" ] } ], "mendeley" : { "formattedCitation" : "(91)", "plainTextFormattedCitation" : "(91)", "previouslyFormattedCitation" : "(91)" }, "properties" : { "noteIndex" : 0 }, "schema" : "https://github.com/citation-style-language/schema/raw/master/csl-citation.json" }</w:instrText>
      </w:r>
      <w:r w:rsidR="00024B7F">
        <w:fldChar w:fldCharType="separate"/>
      </w:r>
      <w:r w:rsidR="00D83E6A" w:rsidRPr="00D83E6A">
        <w:rPr>
          <w:noProof/>
        </w:rPr>
        <w:t>(91)</w:t>
      </w:r>
      <w:r w:rsidR="00024B7F">
        <w:fldChar w:fldCharType="end"/>
      </w:r>
      <w:r w:rsidR="00E20C53">
        <w:t xml:space="preserve">. </w:t>
      </w:r>
      <w:r w:rsidR="00E90ADC">
        <w:rPr>
          <w:rFonts w:ascii="Cambria" w:hAnsi="Cambria"/>
        </w:rPr>
        <w:t>The</w:t>
      </w:r>
      <w:r>
        <w:rPr>
          <w:rFonts w:ascii="Cambria" w:hAnsi="Cambria"/>
        </w:rPr>
        <w:t xml:space="preserve"> maternal RSV F nanoparticle vaccine candidate</w:t>
      </w:r>
      <w:r w:rsidR="00E90ADC">
        <w:rPr>
          <w:rFonts w:ascii="Cambria" w:hAnsi="Cambria"/>
        </w:rPr>
        <w:t xml:space="preserve"> is farthest along in clinical development and</w:t>
      </w:r>
      <w:r w:rsidR="00A237D1">
        <w:rPr>
          <w:rFonts w:ascii="Cambria" w:hAnsi="Cambria"/>
        </w:rPr>
        <w:t xml:space="preserve"> the PREPARE trial</w:t>
      </w:r>
      <w:r>
        <w:rPr>
          <w:rFonts w:ascii="Cambria" w:hAnsi="Cambria"/>
        </w:rPr>
        <w:t xml:space="preserve"> has entered the third year</w:t>
      </w:r>
      <w:r w:rsidR="00A237D1">
        <w:rPr>
          <w:rFonts w:ascii="Cambria" w:hAnsi="Cambria"/>
        </w:rPr>
        <w:t xml:space="preserve"> </w:t>
      </w:r>
      <w:r>
        <w:rPr>
          <w:rFonts w:ascii="Cambria" w:hAnsi="Cambria"/>
        </w:rPr>
        <w:t xml:space="preserve">of </w:t>
      </w:r>
      <w:r w:rsidR="0023579C">
        <w:rPr>
          <w:rFonts w:ascii="Cambria" w:hAnsi="Cambria"/>
        </w:rPr>
        <w:t xml:space="preserve">a </w:t>
      </w:r>
      <w:r w:rsidR="002F73A6">
        <w:rPr>
          <w:rFonts w:ascii="Cambria" w:hAnsi="Cambria"/>
        </w:rPr>
        <w:t>p</w:t>
      </w:r>
      <w:r>
        <w:rPr>
          <w:rFonts w:ascii="Cambria" w:hAnsi="Cambria"/>
        </w:rPr>
        <w:t xml:space="preserve">hase III </w:t>
      </w:r>
      <w:r w:rsidR="0023579C">
        <w:rPr>
          <w:rFonts w:ascii="Cambria" w:hAnsi="Cambria"/>
        </w:rPr>
        <w:t xml:space="preserve">trial </w:t>
      </w:r>
      <w:r w:rsidR="00A237D1">
        <w:rPr>
          <w:rFonts w:ascii="Cambria" w:hAnsi="Cambria"/>
        </w:rPr>
        <w:t xml:space="preserve">to </w:t>
      </w:r>
      <w:r>
        <w:rPr>
          <w:rFonts w:ascii="Cambria" w:hAnsi="Cambria"/>
        </w:rPr>
        <w:t>enroll</w:t>
      </w:r>
      <w:r w:rsidR="00054802">
        <w:rPr>
          <w:rFonts w:ascii="Cambria" w:hAnsi="Cambria"/>
        </w:rPr>
        <w:t xml:space="preserve"> </w:t>
      </w:r>
      <w:r w:rsidR="00A237D1">
        <w:rPr>
          <w:rFonts w:ascii="Cambria" w:hAnsi="Cambria"/>
        </w:rPr>
        <w:t xml:space="preserve">up to </w:t>
      </w:r>
      <w:r w:rsidR="00054802">
        <w:rPr>
          <w:rFonts w:ascii="Cambria" w:hAnsi="Cambria"/>
        </w:rPr>
        <w:t>8</w:t>
      </w:r>
      <w:r w:rsidR="006300A6">
        <w:rPr>
          <w:rFonts w:ascii="Cambria" w:hAnsi="Cambria"/>
        </w:rPr>
        <w:t>,</w:t>
      </w:r>
      <w:r w:rsidR="00054802">
        <w:rPr>
          <w:rFonts w:ascii="Cambria" w:hAnsi="Cambria"/>
        </w:rPr>
        <w:t>618 pregnant women</w:t>
      </w:r>
      <w:r>
        <w:rPr>
          <w:rFonts w:ascii="Cambria" w:hAnsi="Cambria"/>
        </w:rPr>
        <w:t xml:space="preserve"> at 80 sites in 11 countries</w:t>
      </w:r>
      <w:r>
        <w:rPr>
          <w:rFonts w:ascii="Cambria" w:hAnsi="Cambria"/>
        </w:rPr>
        <w:fldChar w:fldCharType="begin" w:fldLock="1"/>
      </w:r>
      <w:r w:rsidR="0019712C">
        <w:rPr>
          <w:rFonts w:ascii="Cambria" w:hAnsi="Cambria"/>
        </w:rPr>
        <w:instrText>ADDIN CSL_CITATION { "citationItems" : [ { "id" : "ITEM-1", "itemData" : { "URL" : "http://novavax.com/download/files/presentation/Novavax_RSV_Analyst_Day_7-24-17_PDF2.pdf", "accessed" : { "date-parts" : [ [ "2018", "1", "16" ] ] }, "author" : [ { "dropping-particle" : "", "family" : "Novavax", "given" : "", "non-dropping-particle" : "", "parse-names" : false, "suffix" : "" } ], "container-title" : "Investor Slide Deck", "id" : "ITEM-1", "issued" : { "date-parts" : [ [ "2017" ] ] }, "title" : "Positive Topline Data from Phase 2 Older Adult Trial and Path Forward for RSV F Vaccine Programs", "type" : "webpage" }, "uris" : [ "http://www.mendeley.com/documents/?uuid=4c89f69b-88b1-3bfa-8b2d-cc3aa8321b02" ] } ], "mendeley" : { "formattedCitation" : "(45)", "plainTextFormattedCitation" : "(45)", "previouslyFormattedCitation" : "(45)" }, "properties" : { "noteIndex" : 0 }, "schema" : "https://github.com/citation-style-language/schema/raw/master/csl-citation.json" }</w:instrText>
      </w:r>
      <w:r>
        <w:rPr>
          <w:rFonts w:ascii="Cambria" w:hAnsi="Cambria"/>
        </w:rPr>
        <w:fldChar w:fldCharType="separate"/>
      </w:r>
      <w:r w:rsidR="00611ADD" w:rsidRPr="00611ADD">
        <w:rPr>
          <w:rFonts w:ascii="Cambria" w:hAnsi="Cambria"/>
          <w:noProof/>
        </w:rPr>
        <w:t>(45)</w:t>
      </w:r>
      <w:r>
        <w:rPr>
          <w:rFonts w:ascii="Cambria" w:hAnsi="Cambria"/>
        </w:rPr>
        <w:fldChar w:fldCharType="end"/>
      </w:r>
      <w:r>
        <w:rPr>
          <w:rFonts w:ascii="Cambria" w:hAnsi="Cambria"/>
        </w:rPr>
        <w:t>.</w:t>
      </w:r>
      <w:r w:rsidR="003F5349">
        <w:rPr>
          <w:rFonts w:ascii="Cambria" w:hAnsi="Cambria"/>
        </w:rPr>
        <w:t xml:space="preserve"> </w:t>
      </w:r>
      <w:r w:rsidR="00686649">
        <w:rPr>
          <w:rFonts w:ascii="Cambria" w:hAnsi="Cambria"/>
        </w:rPr>
        <w:t>In January 2018 an informational analysis of the phase III trial was announced in which the vaccine candidate successfully targeted an efficacy threshold against the primary endpoint in infants at day 90 of &gt;40%</w:t>
      </w:r>
      <w:r w:rsidR="00C1224C">
        <w:rPr>
          <w:rFonts w:ascii="Cambria" w:hAnsi="Cambria"/>
        </w:rPr>
        <w:fldChar w:fldCharType="begin" w:fldLock="1"/>
      </w:r>
      <w:r w:rsidR="00A828B0">
        <w:rPr>
          <w:rFonts w:ascii="Cambria" w:hAnsi="Cambria"/>
        </w:rPr>
        <w:instrText>ADDIN CSL_CITATION { "citationItems" : [ { "id" : "ITEM-1", "itemData" : { "author" : [ { "dropping-particle" : "", "family" : "Novavax", "given" : "Inc.", "non-dropping-particle" : "", "parse-names" : false, "suffix" : "" } ], "container-title" : "Investor Presentation of Novavax, Inc. at J.P. Morgan Healthcare Conference", "id" : "ITEM-1", "issued" : { "date-parts" : [ [ "2018" ] ] }, "title" : "Investor Presentation of Novavax Inc.", "type" : "paper-conference" }, "uris" : [ "http://www.mendeley.com/documents/?uuid=640cdde4-e488-3201-9510-c29986154113" ] } ], "mendeley" : { "formattedCitation" : "(92)", "plainTextFormattedCitation" : "(92)", "previouslyFormattedCitation" : "(92)" }, "properties" : { "noteIndex" : 0 }, "schema" : "https://github.com/citation-style-language/schema/raw/master/csl-citation.json" }</w:instrText>
      </w:r>
      <w:r w:rsidR="00C1224C">
        <w:rPr>
          <w:rFonts w:ascii="Cambria" w:hAnsi="Cambria"/>
        </w:rPr>
        <w:fldChar w:fldCharType="separate"/>
      </w:r>
      <w:r w:rsidR="00D83E6A" w:rsidRPr="00D83E6A">
        <w:rPr>
          <w:rFonts w:ascii="Cambria" w:hAnsi="Cambria"/>
          <w:noProof/>
        </w:rPr>
        <w:t>(92)</w:t>
      </w:r>
      <w:r w:rsidR="00C1224C">
        <w:rPr>
          <w:rFonts w:ascii="Cambria" w:hAnsi="Cambria"/>
        </w:rPr>
        <w:fldChar w:fldCharType="end"/>
      </w:r>
      <w:r w:rsidR="00686649">
        <w:rPr>
          <w:rFonts w:ascii="Cambria" w:hAnsi="Cambria"/>
        </w:rPr>
        <w:t xml:space="preserve">. </w:t>
      </w:r>
      <w:r w:rsidR="003F5349">
        <w:rPr>
          <w:rFonts w:ascii="Cambria" w:hAnsi="Cambria"/>
        </w:rPr>
        <w:t>Second in clinical development is the</w:t>
      </w:r>
      <w:r w:rsidR="002A2598">
        <w:rPr>
          <w:rFonts w:ascii="Cambria" w:hAnsi="Cambria"/>
        </w:rPr>
        <w:t xml:space="preserve"> </w:t>
      </w:r>
      <w:r w:rsidR="007B67E0">
        <w:rPr>
          <w:rFonts w:ascii="Cambria" w:hAnsi="Cambria"/>
        </w:rPr>
        <w:t>RSV F nanoparticle vaccine</w:t>
      </w:r>
      <w:r w:rsidR="002A2598">
        <w:rPr>
          <w:rFonts w:ascii="Cambria" w:hAnsi="Cambria"/>
        </w:rPr>
        <w:t xml:space="preserve"> for</w:t>
      </w:r>
      <w:r w:rsidR="003F5349">
        <w:rPr>
          <w:rFonts w:ascii="Cambria" w:hAnsi="Cambria"/>
        </w:rPr>
        <w:t xml:space="preserve"> </w:t>
      </w:r>
      <w:r w:rsidR="007D3BEB">
        <w:rPr>
          <w:rFonts w:ascii="Cambria" w:hAnsi="Cambria"/>
        </w:rPr>
        <w:t>older adult</w:t>
      </w:r>
      <w:r w:rsidR="002A2598">
        <w:rPr>
          <w:rFonts w:ascii="Cambria" w:hAnsi="Cambria"/>
        </w:rPr>
        <w:t>s</w:t>
      </w:r>
      <w:r w:rsidR="003F5349">
        <w:rPr>
          <w:rFonts w:ascii="Cambria" w:hAnsi="Cambria"/>
        </w:rPr>
        <w:t xml:space="preserve">. Despite </w:t>
      </w:r>
      <w:r>
        <w:rPr>
          <w:rFonts w:ascii="Cambria" w:hAnsi="Cambria"/>
        </w:rPr>
        <w:t xml:space="preserve">lack of efficacy in a </w:t>
      </w:r>
      <w:r w:rsidR="002F73A6">
        <w:rPr>
          <w:rFonts w:ascii="Cambria" w:hAnsi="Cambria"/>
        </w:rPr>
        <w:t>p</w:t>
      </w:r>
      <w:r>
        <w:rPr>
          <w:rFonts w:ascii="Cambria" w:hAnsi="Cambria"/>
        </w:rPr>
        <w:t>hase III trial (RESOLVE)</w:t>
      </w:r>
      <w:r w:rsidR="00054802">
        <w:rPr>
          <w:rFonts w:ascii="Cambria" w:hAnsi="Cambria"/>
        </w:rPr>
        <w:t xml:space="preserve"> with a non-adjuvanted vaccine</w:t>
      </w:r>
      <w:r w:rsidR="00C21D32">
        <w:rPr>
          <w:rFonts w:ascii="Cambria" w:hAnsi="Cambria"/>
        </w:rPr>
        <w:t xml:space="preserve"> candidate</w:t>
      </w:r>
      <w:r>
        <w:rPr>
          <w:rFonts w:ascii="Cambria" w:hAnsi="Cambria"/>
        </w:rPr>
        <w:t xml:space="preserve">, </w:t>
      </w:r>
      <w:r w:rsidR="00054802">
        <w:rPr>
          <w:rFonts w:ascii="Cambria" w:hAnsi="Cambria"/>
        </w:rPr>
        <w:t>development was continued</w:t>
      </w:r>
      <w:r>
        <w:rPr>
          <w:rFonts w:ascii="Cambria" w:hAnsi="Cambria"/>
        </w:rPr>
        <w:t xml:space="preserve"> in a phase II roll-over study initiated in January 2017 in Australia in 300 adults. </w:t>
      </w:r>
      <w:r w:rsidR="0005782F">
        <w:rPr>
          <w:rFonts w:ascii="Cambria" w:hAnsi="Cambria"/>
        </w:rPr>
        <w:t>The aim of this rollover trial is to determine whether 2 dose regimens with an adjuvant</w:t>
      </w:r>
      <w:r w:rsidR="00054802">
        <w:rPr>
          <w:rFonts w:ascii="Cambria" w:hAnsi="Cambria"/>
        </w:rPr>
        <w:t xml:space="preserve"> (Matrix-M</w:t>
      </w:r>
      <w:r w:rsidR="004A4CC5">
        <w:rPr>
          <w:rFonts w:ascii="Cambria" w:hAnsi="Cambria"/>
        </w:rPr>
        <w:t>, a saponin-based adjuvant</w:t>
      </w:r>
      <w:r w:rsidR="007F7E67">
        <w:rPr>
          <w:rFonts w:ascii="Cambria" w:hAnsi="Cambria"/>
        </w:rPr>
        <w:t>,</w:t>
      </w:r>
      <w:r w:rsidR="00054802">
        <w:rPr>
          <w:rFonts w:ascii="Cambria" w:hAnsi="Cambria"/>
        </w:rPr>
        <w:t xml:space="preserve"> or aluminum-phosphate)</w:t>
      </w:r>
      <w:r w:rsidR="0005782F">
        <w:rPr>
          <w:rFonts w:ascii="Cambria" w:hAnsi="Cambria"/>
        </w:rPr>
        <w:t xml:space="preserve"> may increase the </w:t>
      </w:r>
      <w:r w:rsidR="008932E9">
        <w:rPr>
          <w:rFonts w:ascii="Cambria" w:hAnsi="Cambria"/>
        </w:rPr>
        <w:t>magnitu</w:t>
      </w:r>
      <w:r w:rsidR="0028527C">
        <w:rPr>
          <w:rFonts w:ascii="Cambria" w:hAnsi="Cambria"/>
        </w:rPr>
        <w:t xml:space="preserve">de </w:t>
      </w:r>
      <w:r w:rsidR="0005782F">
        <w:rPr>
          <w:rFonts w:ascii="Cambria" w:hAnsi="Cambria"/>
        </w:rPr>
        <w:t xml:space="preserve">and quality of the immune response in </w:t>
      </w:r>
      <w:r w:rsidR="004D1795">
        <w:rPr>
          <w:rFonts w:ascii="Cambria" w:hAnsi="Cambria"/>
        </w:rPr>
        <w:t>this population</w:t>
      </w:r>
      <w:r w:rsidR="0005782F">
        <w:rPr>
          <w:rFonts w:ascii="Cambria" w:hAnsi="Cambria"/>
        </w:rPr>
        <w:t>.</w:t>
      </w:r>
      <w:r>
        <w:rPr>
          <w:rFonts w:ascii="Cambria" w:hAnsi="Cambria"/>
        </w:rPr>
        <w:t xml:space="preserve"> </w:t>
      </w:r>
      <w:r w:rsidR="0094600D">
        <w:rPr>
          <w:rFonts w:ascii="Cambria" w:hAnsi="Cambria"/>
        </w:rPr>
        <w:t>The</w:t>
      </w:r>
      <w:r w:rsidR="005C11B7">
        <w:rPr>
          <w:rFonts w:ascii="Cambria" w:hAnsi="Cambria"/>
        </w:rPr>
        <w:t xml:space="preserve"> results</w:t>
      </w:r>
      <w:r w:rsidR="008932E9">
        <w:rPr>
          <w:rFonts w:ascii="Cambria" w:hAnsi="Cambria"/>
        </w:rPr>
        <w:t xml:space="preserve"> from the RESOLVE trial</w:t>
      </w:r>
      <w:r w:rsidR="005C11B7">
        <w:rPr>
          <w:rFonts w:ascii="Cambria" w:hAnsi="Cambria"/>
        </w:rPr>
        <w:t xml:space="preserve"> in</w:t>
      </w:r>
      <w:r w:rsidR="0094600D">
        <w:rPr>
          <w:rFonts w:ascii="Cambria" w:hAnsi="Cambria"/>
        </w:rPr>
        <w:t xml:space="preserve"> </w:t>
      </w:r>
      <w:r w:rsidR="006300A6">
        <w:rPr>
          <w:rFonts w:ascii="Cambria" w:hAnsi="Cambria"/>
        </w:rPr>
        <w:t>older adult</w:t>
      </w:r>
      <w:r w:rsidR="005C11B7">
        <w:rPr>
          <w:rFonts w:ascii="Cambria" w:hAnsi="Cambria"/>
        </w:rPr>
        <w:t>s</w:t>
      </w:r>
      <w:r w:rsidR="00917786">
        <w:rPr>
          <w:rFonts w:ascii="Cambria" w:hAnsi="Cambria"/>
        </w:rPr>
        <w:t xml:space="preserve"> </w:t>
      </w:r>
      <w:r w:rsidR="00FD7F0F">
        <w:rPr>
          <w:rFonts w:ascii="Cambria" w:hAnsi="Cambria"/>
        </w:rPr>
        <w:t>suggested</w:t>
      </w:r>
      <w:r w:rsidR="0094600D">
        <w:rPr>
          <w:rFonts w:ascii="Cambria" w:hAnsi="Cambria"/>
        </w:rPr>
        <w:t xml:space="preserve"> vaccine efficacy in adults </w:t>
      </w:r>
      <w:r w:rsidR="006300A6">
        <w:rPr>
          <w:rFonts w:ascii="Cambria" w:hAnsi="Cambria"/>
        </w:rPr>
        <w:t xml:space="preserve">with COPD, leading to </w:t>
      </w:r>
      <w:r w:rsidR="0094600D">
        <w:rPr>
          <w:rFonts w:ascii="Cambria" w:hAnsi="Cambria"/>
        </w:rPr>
        <w:t>considerations to initiate a</w:t>
      </w:r>
      <w:r w:rsidR="00D5071A">
        <w:rPr>
          <w:rFonts w:ascii="Cambria" w:hAnsi="Cambria"/>
        </w:rPr>
        <w:t xml:space="preserve"> future</w:t>
      </w:r>
      <w:r w:rsidR="0094600D">
        <w:rPr>
          <w:rFonts w:ascii="Cambria" w:hAnsi="Cambria"/>
        </w:rPr>
        <w:t xml:space="preserve"> trial in </w:t>
      </w:r>
      <w:r w:rsidR="00B642F9">
        <w:rPr>
          <w:rFonts w:ascii="Cambria" w:hAnsi="Cambria"/>
        </w:rPr>
        <w:t>this</w:t>
      </w:r>
      <w:r w:rsidR="00FE0567">
        <w:rPr>
          <w:rFonts w:ascii="Cambria" w:hAnsi="Cambria"/>
        </w:rPr>
        <w:t xml:space="preserve"> </w:t>
      </w:r>
      <w:r w:rsidR="0094600D">
        <w:rPr>
          <w:rFonts w:ascii="Cambria" w:hAnsi="Cambria"/>
        </w:rPr>
        <w:t xml:space="preserve">older adult population at high risk for </w:t>
      </w:r>
      <w:r w:rsidR="008932E9">
        <w:rPr>
          <w:rFonts w:ascii="Cambria" w:hAnsi="Cambria"/>
        </w:rPr>
        <w:t xml:space="preserve">severe </w:t>
      </w:r>
      <w:r w:rsidR="0094600D">
        <w:rPr>
          <w:rFonts w:ascii="Cambria" w:hAnsi="Cambria"/>
        </w:rPr>
        <w:t xml:space="preserve">RSV </w:t>
      </w:r>
      <w:r w:rsidR="008932E9">
        <w:rPr>
          <w:rFonts w:ascii="Cambria" w:hAnsi="Cambria"/>
        </w:rPr>
        <w:t>infection</w:t>
      </w:r>
      <w:r w:rsidR="0094600D">
        <w:rPr>
          <w:rFonts w:ascii="Cambria" w:hAnsi="Cambria"/>
        </w:rPr>
        <w:fldChar w:fldCharType="begin" w:fldLock="1"/>
      </w:r>
      <w:r w:rsidR="0019712C">
        <w:rPr>
          <w:rFonts w:ascii="Cambria" w:hAnsi="Cambria"/>
        </w:rPr>
        <w:instrText>ADDIN CSL_CITATION { "citationItems" : [ { "id" : "ITEM-1", "itemData" : { "URL" : "http://novavax.com/download/files/presentation/Novavax_RSV_Analyst_Day_7-24-17_PDF2.pdf", "accessed" : { "date-parts" : [ [ "2018", "1", "16" ] ] }, "author" : [ { "dropping-particle" : "", "family" : "Novavax", "given" : "", "non-dropping-particle" : "", "parse-names" : false, "suffix" : "" } ], "container-title" : "Investor Slide Deck", "id" : "ITEM-1", "issued" : { "date-parts" : [ [ "2017" ] ] }, "title" : "Positive Topline Data from Phase 2 Older Adult Trial and Path Forward for RSV F Vaccine Programs", "type" : "webpage" }, "uris" : [ "http://www.mendeley.com/documents/?uuid=4c89f69b-88b1-3bfa-8b2d-cc3aa8321b02" ] } ], "mendeley" : { "formattedCitation" : "(45)", "plainTextFormattedCitation" : "(45)", "previouslyFormattedCitation" : "(45)" }, "properties" : { "noteIndex" : 0 }, "schema" : "https://github.com/citation-style-language/schema/raw/master/csl-citation.json" }</w:instrText>
      </w:r>
      <w:r w:rsidR="0094600D">
        <w:rPr>
          <w:rFonts w:ascii="Cambria" w:hAnsi="Cambria"/>
        </w:rPr>
        <w:fldChar w:fldCharType="separate"/>
      </w:r>
      <w:r w:rsidR="00611ADD" w:rsidRPr="00611ADD">
        <w:rPr>
          <w:rFonts w:ascii="Cambria" w:hAnsi="Cambria"/>
          <w:noProof/>
        </w:rPr>
        <w:t>(45)</w:t>
      </w:r>
      <w:r w:rsidR="0094600D">
        <w:rPr>
          <w:rFonts w:ascii="Cambria" w:hAnsi="Cambria"/>
        </w:rPr>
        <w:fldChar w:fldCharType="end"/>
      </w:r>
      <w:r w:rsidR="0094600D">
        <w:rPr>
          <w:rFonts w:ascii="Cambria" w:hAnsi="Cambria"/>
        </w:rPr>
        <w:t>.</w:t>
      </w:r>
      <w:r w:rsidR="00A237D1">
        <w:rPr>
          <w:rFonts w:ascii="Cambria" w:hAnsi="Cambria"/>
        </w:rPr>
        <w:t xml:space="preserve"> Finally, the phase I trial was completed in young children 24-72 months of age in 2016, but no data </w:t>
      </w:r>
      <w:r w:rsidR="005575C6">
        <w:rPr>
          <w:rFonts w:ascii="Cambria" w:hAnsi="Cambria"/>
        </w:rPr>
        <w:t>have</w:t>
      </w:r>
      <w:r w:rsidR="00A237D1">
        <w:rPr>
          <w:rFonts w:ascii="Cambria" w:hAnsi="Cambria"/>
        </w:rPr>
        <w:t xml:space="preserve"> been published </w:t>
      </w:r>
      <w:r w:rsidR="00D74678">
        <w:rPr>
          <w:rFonts w:ascii="Cambria" w:hAnsi="Cambria"/>
        </w:rPr>
        <w:t>yet</w:t>
      </w:r>
      <w:r w:rsidR="00A237D1">
        <w:rPr>
          <w:rFonts w:ascii="Cambria" w:hAnsi="Cambria"/>
        </w:rPr>
        <w:fldChar w:fldCharType="begin" w:fldLock="1"/>
      </w:r>
      <w:r w:rsidR="00A828B0">
        <w:rPr>
          <w:rFonts w:ascii="Cambria" w:hAnsi="Cambria"/>
        </w:rPr>
        <w:instrText>ADDIN CSL_CITATION { "citationItems" : [ { "id" : "ITEM-1", "itemData" : { "URL" : "https://clinicaltrials.gov/ct2/show/NCT02296463", "accessed" : { "date-parts" : [ [ "2018", "1", "14" ] ] }, "id" : "ITEM-1", "issued" : { "date-parts" : [ [ "0" ] ] }, "title" : "A Phase I Randomized, Observer-Blinded, Dose-Ranging Study in Healthy Subjects 24 to", "type" : "webpage" }, "uris" : [ "http://www.mendeley.com/documents/?uuid=bfe54a75-77db-3f4a-b80b-3147c6e9d2e9" ] } ], "mendeley" : { "formattedCitation" : "(93)", "plainTextFormattedCitation" : "(93)", "previouslyFormattedCitation" : "(93)" }, "properties" : { "noteIndex" : 0 }, "schema" : "https://github.com/citation-style-language/schema/raw/master/csl-citation.json" }</w:instrText>
      </w:r>
      <w:r w:rsidR="00A237D1">
        <w:rPr>
          <w:rFonts w:ascii="Cambria" w:hAnsi="Cambria"/>
        </w:rPr>
        <w:fldChar w:fldCharType="separate"/>
      </w:r>
      <w:r w:rsidR="00D83E6A" w:rsidRPr="00D83E6A">
        <w:rPr>
          <w:rFonts w:ascii="Cambria" w:hAnsi="Cambria"/>
          <w:noProof/>
        </w:rPr>
        <w:t>(93)</w:t>
      </w:r>
      <w:r w:rsidR="00A237D1">
        <w:rPr>
          <w:rFonts w:ascii="Cambria" w:hAnsi="Cambria"/>
        </w:rPr>
        <w:fldChar w:fldCharType="end"/>
      </w:r>
      <w:r w:rsidR="00A237D1">
        <w:rPr>
          <w:rFonts w:ascii="Cambria" w:hAnsi="Cambria"/>
        </w:rPr>
        <w:t>.</w:t>
      </w:r>
    </w:p>
    <w:p w14:paraId="2AF807FE" w14:textId="2BF98649" w:rsidR="004C2565" w:rsidRDefault="00BC4B38" w:rsidP="004A4CC5">
      <w:pPr>
        <w:ind w:firstLine="720"/>
        <w:jc w:val="both"/>
        <w:rPr>
          <w:rFonts w:ascii="Cambria" w:hAnsi="Cambria"/>
        </w:rPr>
      </w:pPr>
      <w:r>
        <w:rPr>
          <w:rFonts w:ascii="Cambria" w:hAnsi="Cambria"/>
        </w:rPr>
        <w:t>SynGEM</w:t>
      </w:r>
      <w:r w:rsidR="00C801A7">
        <w:rPr>
          <w:rFonts w:ascii="Cambria" w:hAnsi="Cambria"/>
        </w:rPr>
        <w:t xml:space="preserve"> </w:t>
      </w:r>
      <w:r w:rsidRPr="00110DA5">
        <w:rPr>
          <w:rFonts w:ascii="Cambria" w:hAnsi="Cambria"/>
        </w:rPr>
        <w:t>is a particle-based needle-free vaccine</w:t>
      </w:r>
      <w:r w:rsidR="007F7E67">
        <w:rPr>
          <w:rFonts w:ascii="Cambria" w:hAnsi="Cambria"/>
        </w:rPr>
        <w:t xml:space="preserve"> candidate</w:t>
      </w:r>
      <w:r w:rsidRPr="00110DA5">
        <w:rPr>
          <w:rFonts w:ascii="Cambria" w:hAnsi="Cambria"/>
        </w:rPr>
        <w:t xml:space="preserve"> containing </w:t>
      </w:r>
      <w:r w:rsidR="003E34DC">
        <w:rPr>
          <w:rFonts w:ascii="Cambria" w:hAnsi="Cambria"/>
        </w:rPr>
        <w:t>the</w:t>
      </w:r>
      <w:r>
        <w:rPr>
          <w:rFonts w:ascii="Cambria" w:hAnsi="Cambria"/>
        </w:rPr>
        <w:t xml:space="preserve"> </w:t>
      </w:r>
      <w:r w:rsidRPr="00110DA5">
        <w:rPr>
          <w:rFonts w:ascii="Cambria" w:hAnsi="Cambria"/>
        </w:rPr>
        <w:t>RSV F protein</w:t>
      </w:r>
      <w:r w:rsidR="003E34DC">
        <w:rPr>
          <w:rFonts w:ascii="Cambria" w:hAnsi="Cambria"/>
        </w:rPr>
        <w:t xml:space="preserve"> </w:t>
      </w:r>
      <w:r w:rsidRPr="00110DA5">
        <w:rPr>
          <w:rFonts w:ascii="Cambria" w:hAnsi="Cambria"/>
        </w:rPr>
        <w:t xml:space="preserve">attached to </w:t>
      </w:r>
      <w:r>
        <w:rPr>
          <w:rFonts w:ascii="Cambria" w:hAnsi="Cambria"/>
        </w:rPr>
        <w:t xml:space="preserve">empty </w:t>
      </w:r>
      <w:r w:rsidRPr="00110DA5">
        <w:rPr>
          <w:rFonts w:ascii="Cambria" w:hAnsi="Cambria"/>
        </w:rPr>
        <w:t>bacteria</w:t>
      </w:r>
      <w:r>
        <w:rPr>
          <w:rFonts w:ascii="Cambria" w:hAnsi="Cambria"/>
        </w:rPr>
        <w:t>l</w:t>
      </w:r>
      <w:r w:rsidRPr="00110DA5">
        <w:rPr>
          <w:rFonts w:ascii="Cambria" w:hAnsi="Cambria"/>
        </w:rPr>
        <w:t xml:space="preserve"> particles made from </w:t>
      </w:r>
      <w:r w:rsidRPr="00AA3157">
        <w:rPr>
          <w:rFonts w:ascii="Cambria" w:hAnsi="Cambria"/>
          <w:i/>
        </w:rPr>
        <w:t>Lactococcus lactis</w:t>
      </w:r>
      <w:r w:rsidRPr="00110DA5">
        <w:rPr>
          <w:rFonts w:ascii="Cambria" w:hAnsi="Cambria"/>
        </w:rPr>
        <w:t xml:space="preserve">. </w:t>
      </w:r>
      <w:r w:rsidR="00521C2F">
        <w:rPr>
          <w:rFonts w:ascii="Cambria" w:hAnsi="Cambria"/>
        </w:rPr>
        <w:t xml:space="preserve">In this vaccine </w:t>
      </w:r>
      <w:r w:rsidR="00A24BE9">
        <w:rPr>
          <w:rFonts w:ascii="Cambria" w:hAnsi="Cambria"/>
        </w:rPr>
        <w:t xml:space="preserve">platform </w:t>
      </w:r>
      <w:r w:rsidR="00521C2F">
        <w:rPr>
          <w:rFonts w:ascii="Cambria" w:hAnsi="Cambria"/>
        </w:rPr>
        <w:t xml:space="preserve">an </w:t>
      </w:r>
      <w:r w:rsidR="00A24BE9">
        <w:rPr>
          <w:rFonts w:ascii="Cambria" w:hAnsi="Cambria"/>
        </w:rPr>
        <w:t>antigen is presented by a bacterial particle</w:t>
      </w:r>
      <w:r w:rsidR="00521C2F">
        <w:rPr>
          <w:rFonts w:ascii="Cambria" w:hAnsi="Cambria"/>
        </w:rPr>
        <w:t>.</w:t>
      </w:r>
      <w:r w:rsidR="00A24BE9">
        <w:rPr>
          <w:rFonts w:ascii="Cambria" w:hAnsi="Cambria"/>
        </w:rPr>
        <w:t xml:space="preserve"> </w:t>
      </w:r>
      <w:r w:rsidR="00521C2F">
        <w:rPr>
          <w:rFonts w:ascii="Cambria" w:hAnsi="Cambria"/>
        </w:rPr>
        <w:t xml:space="preserve">The influenza vaccine candidate in clinical trials which uses the same vaccine platform, </w:t>
      </w:r>
      <w:r w:rsidR="00A24BE9">
        <w:rPr>
          <w:rFonts w:ascii="Cambria" w:hAnsi="Cambria"/>
        </w:rPr>
        <w:t>has shown both local and systemic antibody responses</w:t>
      </w:r>
      <w:r w:rsidR="00A24BE9">
        <w:rPr>
          <w:rFonts w:ascii="Cambria" w:hAnsi="Cambria"/>
        </w:rPr>
        <w:fldChar w:fldCharType="begin" w:fldLock="1"/>
      </w:r>
      <w:r w:rsidR="00A828B0">
        <w:rPr>
          <w:rFonts w:ascii="Cambria" w:hAnsi="Cambria"/>
        </w:rPr>
        <w:instrText>ADDIN CSL_CITATION { "citationItems" : [ { "id" : "ITEM-1", "itemData" : { "DOI" : "10.3389/fimmu.2013.00282", "ISSN" : "1664-3224", "PMID" : "24062748", "abstract" : "The successful development of a mucosal vaccine depends critically on the use of a safe and effective immunostimulant and/or carrier system. This review describes the effectiveness and mode of action of an immunostimulating particle, derived from bacteria, used in mucosal subunit vaccines. The non-living particles, designated bacterium-like particles are based on the food-grade bacterium Lactococcus lactis. The focus of the overview is on the development of intranasal BLP-based vaccines to prevent diseases caused by influenza and respiratory syncytial virus, and includes a selection of Phase I clinical data for the intranasal FluGEM vaccine.", "author" : [ { "dropping-particle" : "", "family" : "Braeckel-Budimir", "given" : "Natalija", "non-dropping-particle" : "Van", "parse-names" : false, "suffix" : "" }, { "dropping-particle" : "", "family" : "Haijema", "given" : "Bert Jan", "non-dropping-particle" : "", "parse-names" : false, "suffix" : "" }, { "dropping-particle" : "", "family" : "Leenhouts", "given" : "Kees", "non-dropping-particle" : "", "parse-names" : false, "suffix" : "" } ], "container-title" : "Frontiers in immunology", "id" : "ITEM-1", "issued" : { "date-parts" : [ [ "2013" ] ] }, "page" : "282", "title" : "Bacterium-like particles for efficient immune stimulation of existing vaccines and new subunit vaccines in mucosal applications.", "type" : "article-journal", "volume" : "4" }, "uris" : [ "http://www.mendeley.com/documents/?uuid=24862077-e6cf-359f-8df7-4f338bc9f09f" ] } ], "mendeley" : { "formattedCitation" : "(94)", "plainTextFormattedCitation" : "(94)", "previouslyFormattedCitation" : "(94)" }, "properties" : { "noteIndex" : 0 }, "schema" : "https://github.com/citation-style-language/schema/raw/master/csl-citation.json" }</w:instrText>
      </w:r>
      <w:r w:rsidR="00A24BE9">
        <w:rPr>
          <w:rFonts w:ascii="Cambria" w:hAnsi="Cambria"/>
        </w:rPr>
        <w:fldChar w:fldCharType="separate"/>
      </w:r>
      <w:r w:rsidR="00D83E6A" w:rsidRPr="00D83E6A">
        <w:rPr>
          <w:rFonts w:ascii="Cambria" w:hAnsi="Cambria"/>
          <w:noProof/>
        </w:rPr>
        <w:t>(94)</w:t>
      </w:r>
      <w:r w:rsidR="00A24BE9">
        <w:rPr>
          <w:rFonts w:ascii="Cambria" w:hAnsi="Cambria"/>
        </w:rPr>
        <w:fldChar w:fldCharType="end"/>
      </w:r>
      <w:r w:rsidR="00521C2F">
        <w:rPr>
          <w:rFonts w:ascii="Cambria" w:hAnsi="Cambria"/>
        </w:rPr>
        <w:t>.</w:t>
      </w:r>
      <w:r w:rsidR="00792775">
        <w:rPr>
          <w:rFonts w:ascii="Cambria" w:hAnsi="Cambria"/>
        </w:rPr>
        <w:t xml:space="preserve"> but needs further optimization for RSV vaccination</w:t>
      </w:r>
      <w:r w:rsidR="00A24BE9">
        <w:rPr>
          <w:rFonts w:ascii="Cambria" w:hAnsi="Cambria"/>
        </w:rPr>
        <w:t>.</w:t>
      </w:r>
      <w:r w:rsidR="00D0346E" w:rsidRPr="00D0346E">
        <w:rPr>
          <w:rFonts w:ascii="Cambria" w:hAnsi="Cambria"/>
        </w:rPr>
        <w:t xml:space="preserve"> </w:t>
      </w:r>
      <w:r>
        <w:rPr>
          <w:rFonts w:ascii="Cambria" w:hAnsi="Cambria"/>
        </w:rPr>
        <w:t>The</w:t>
      </w:r>
      <w:r w:rsidR="00D0346E">
        <w:rPr>
          <w:rFonts w:ascii="Cambria" w:hAnsi="Cambria"/>
        </w:rPr>
        <w:t xml:space="preserve"> preliminary results of immunogenicity testing have been reported. The immunogenicity of this vaccine was</w:t>
      </w:r>
      <w:r w:rsidR="00D0346E" w:rsidRPr="00110DA5">
        <w:rPr>
          <w:rFonts w:ascii="Cambria" w:hAnsi="Cambria"/>
        </w:rPr>
        <w:t xml:space="preserve"> evaluated </w:t>
      </w:r>
      <w:r w:rsidR="00D0346E">
        <w:rPr>
          <w:rFonts w:ascii="Cambria" w:hAnsi="Cambria"/>
        </w:rPr>
        <w:t xml:space="preserve">after </w:t>
      </w:r>
      <w:r w:rsidR="00D0346E" w:rsidRPr="00110DA5">
        <w:rPr>
          <w:rFonts w:ascii="Cambria" w:hAnsi="Cambria"/>
        </w:rPr>
        <w:t>deliver</w:t>
      </w:r>
      <w:r w:rsidR="00D0346E">
        <w:rPr>
          <w:rFonts w:ascii="Cambria" w:hAnsi="Cambria"/>
        </w:rPr>
        <w:t xml:space="preserve">y </w:t>
      </w:r>
      <w:r w:rsidR="00D0346E" w:rsidRPr="00110DA5">
        <w:rPr>
          <w:rFonts w:ascii="Cambria" w:hAnsi="Cambria"/>
        </w:rPr>
        <w:t>as a nasal spray to healthy adult volunteers. Two intranasal doses of SynGEM were administered 28 days apart at low or high dose</w:t>
      </w:r>
      <w:r w:rsidR="001B78EE">
        <w:rPr>
          <w:rFonts w:ascii="Cambria" w:hAnsi="Cambria"/>
        </w:rPr>
        <w:t xml:space="preserve"> in</w:t>
      </w:r>
      <w:r w:rsidR="00D0346E">
        <w:rPr>
          <w:rFonts w:ascii="Cambria" w:hAnsi="Cambria"/>
        </w:rPr>
        <w:t xml:space="preserve"> </w:t>
      </w:r>
      <w:r w:rsidR="00D0346E" w:rsidRPr="00110DA5">
        <w:rPr>
          <w:rFonts w:ascii="Cambria" w:hAnsi="Cambria"/>
        </w:rPr>
        <w:t xml:space="preserve">24 subjects per group (6 </w:t>
      </w:r>
      <w:r w:rsidR="001B78EE">
        <w:rPr>
          <w:rFonts w:ascii="Cambria" w:hAnsi="Cambria"/>
        </w:rPr>
        <w:t xml:space="preserve">subjects in </w:t>
      </w:r>
      <w:r w:rsidR="00D0346E" w:rsidRPr="00110DA5">
        <w:rPr>
          <w:rFonts w:ascii="Cambria" w:hAnsi="Cambria"/>
        </w:rPr>
        <w:t>each group receiv</w:t>
      </w:r>
      <w:r>
        <w:rPr>
          <w:rFonts w:ascii="Cambria" w:hAnsi="Cambria"/>
        </w:rPr>
        <w:t xml:space="preserve">ing </w:t>
      </w:r>
      <w:r>
        <w:rPr>
          <w:rFonts w:ascii="Cambria" w:hAnsi="Cambria"/>
        </w:rPr>
        <w:lastRenderedPageBreak/>
        <w:t xml:space="preserve">placebo, double blinded). </w:t>
      </w:r>
      <w:r w:rsidR="00D0346E">
        <w:rPr>
          <w:rFonts w:ascii="Cambria" w:hAnsi="Cambria"/>
        </w:rPr>
        <w:t>Assays of</w:t>
      </w:r>
      <w:r w:rsidR="00D0346E" w:rsidRPr="00110DA5">
        <w:rPr>
          <w:rFonts w:ascii="Cambria" w:hAnsi="Cambria"/>
        </w:rPr>
        <w:t xml:space="preserve"> serum virus neutralization, RSV F-specific antibod</w:t>
      </w:r>
      <w:r w:rsidR="001B78EE">
        <w:rPr>
          <w:rFonts w:ascii="Cambria" w:hAnsi="Cambria"/>
        </w:rPr>
        <w:t>ies</w:t>
      </w:r>
      <w:r w:rsidR="00D0346E" w:rsidRPr="00110DA5">
        <w:rPr>
          <w:rFonts w:ascii="Cambria" w:hAnsi="Cambria"/>
        </w:rPr>
        <w:t>, palivizumab-</w:t>
      </w:r>
      <w:r w:rsidR="006B34E9">
        <w:rPr>
          <w:rFonts w:ascii="Cambria" w:hAnsi="Cambria"/>
        </w:rPr>
        <w:t>competing</w:t>
      </w:r>
      <w:r w:rsidR="00D0346E" w:rsidRPr="00110DA5">
        <w:rPr>
          <w:rFonts w:ascii="Cambria" w:hAnsi="Cambria"/>
        </w:rPr>
        <w:t xml:space="preserve"> antibod</w:t>
      </w:r>
      <w:r w:rsidR="001B78EE">
        <w:rPr>
          <w:rFonts w:ascii="Cambria" w:hAnsi="Cambria"/>
        </w:rPr>
        <w:t>ies</w:t>
      </w:r>
      <w:r w:rsidR="00D0346E" w:rsidRPr="00110DA5">
        <w:rPr>
          <w:rFonts w:ascii="Cambria" w:hAnsi="Cambria"/>
        </w:rPr>
        <w:t xml:space="preserve"> and F-specific IgA</w:t>
      </w:r>
      <w:r w:rsidR="00D0346E">
        <w:rPr>
          <w:rFonts w:ascii="Cambria" w:hAnsi="Cambria"/>
        </w:rPr>
        <w:t xml:space="preserve"> indicated some </w:t>
      </w:r>
      <w:r w:rsidR="00D0346E" w:rsidRPr="00110DA5">
        <w:rPr>
          <w:rFonts w:ascii="Cambria" w:hAnsi="Cambria"/>
        </w:rPr>
        <w:t>immunogenicity</w:t>
      </w:r>
      <w:r w:rsidR="00D0346E">
        <w:rPr>
          <w:rFonts w:ascii="Cambria" w:hAnsi="Cambria"/>
        </w:rPr>
        <w:t xml:space="preserve">, but the results did not reach the threshold </w:t>
      </w:r>
      <w:r w:rsidR="00D0346E" w:rsidRPr="00110DA5">
        <w:rPr>
          <w:rFonts w:ascii="Cambria" w:hAnsi="Cambria"/>
        </w:rPr>
        <w:t>set</w:t>
      </w:r>
      <w:r w:rsidR="00D0346E">
        <w:rPr>
          <w:rFonts w:ascii="Cambria" w:hAnsi="Cambria"/>
        </w:rPr>
        <w:t xml:space="preserve"> for continuation to viral challenge and the studies were suspended in 2017</w:t>
      </w:r>
      <w:r w:rsidR="00D76102">
        <w:rPr>
          <w:rFonts w:ascii="Cambria" w:hAnsi="Cambria"/>
        </w:rPr>
        <w:t xml:space="preserve"> (Openshaw and Chiu, personal communication)</w:t>
      </w:r>
      <w:r w:rsidR="00D0346E">
        <w:rPr>
          <w:rFonts w:ascii="Cambria" w:hAnsi="Cambria"/>
        </w:rPr>
        <w:t>.</w:t>
      </w:r>
    </w:p>
    <w:p w14:paraId="31E38EA4" w14:textId="77777777" w:rsidR="00291A40" w:rsidRDefault="00291A40" w:rsidP="00C566BC">
      <w:pPr>
        <w:jc w:val="both"/>
        <w:rPr>
          <w:rFonts w:ascii="Cambria" w:hAnsi="Cambria"/>
        </w:rPr>
      </w:pPr>
    </w:p>
    <w:p w14:paraId="5683C2FE" w14:textId="301E099A" w:rsidR="00442F27" w:rsidRPr="00975B33" w:rsidRDefault="00442F27" w:rsidP="00C566BC">
      <w:pPr>
        <w:jc w:val="both"/>
        <w:rPr>
          <w:rFonts w:ascii="Cambria" w:hAnsi="Cambria"/>
          <w:u w:val="single"/>
        </w:rPr>
      </w:pPr>
      <w:r w:rsidRPr="00975B33">
        <w:rPr>
          <w:rFonts w:ascii="Cambria" w:hAnsi="Cambria"/>
          <w:u w:val="single"/>
        </w:rPr>
        <w:t>Vector-based vaccines</w:t>
      </w:r>
    </w:p>
    <w:p w14:paraId="46287469" w14:textId="4A99B7DB" w:rsidR="00A27FE9" w:rsidRDefault="00323DD9" w:rsidP="00C566BC">
      <w:pPr>
        <w:jc w:val="both"/>
        <w:rPr>
          <w:rFonts w:ascii="Cambria" w:hAnsi="Cambria"/>
        </w:rPr>
      </w:pPr>
      <w:r>
        <w:rPr>
          <w:rFonts w:ascii="Cambria" w:hAnsi="Cambria"/>
        </w:rPr>
        <w:t xml:space="preserve">There are </w:t>
      </w:r>
      <w:r w:rsidR="00101968">
        <w:rPr>
          <w:rFonts w:ascii="Cambria" w:hAnsi="Cambria"/>
        </w:rPr>
        <w:t xml:space="preserve">five </w:t>
      </w:r>
      <w:r w:rsidR="00A27FE9">
        <w:rPr>
          <w:rFonts w:ascii="Cambria" w:hAnsi="Cambria"/>
        </w:rPr>
        <w:t>vector-based</w:t>
      </w:r>
      <w:r>
        <w:rPr>
          <w:rFonts w:ascii="Cambria" w:hAnsi="Cambria"/>
        </w:rPr>
        <w:t xml:space="preserve"> vaccines in clinical development</w:t>
      </w:r>
      <w:r w:rsidR="00FE0567">
        <w:rPr>
          <w:rFonts w:ascii="Cambria" w:hAnsi="Cambria"/>
        </w:rPr>
        <w:t>.</w:t>
      </w:r>
      <w:r w:rsidR="007C447E">
        <w:rPr>
          <w:rFonts w:ascii="Cambria" w:hAnsi="Cambria"/>
        </w:rPr>
        <w:t xml:space="preserve"> </w:t>
      </w:r>
      <w:r w:rsidR="00242A9B">
        <w:rPr>
          <w:rFonts w:ascii="Cambria" w:hAnsi="Cambria"/>
        </w:rPr>
        <w:t xml:space="preserve">The first </w:t>
      </w:r>
      <w:r w:rsidR="00D70071">
        <w:rPr>
          <w:rFonts w:ascii="Cambria" w:hAnsi="Cambria"/>
        </w:rPr>
        <w:t>uses a modified vaccinia virus Ankara</w:t>
      </w:r>
      <w:r w:rsidR="009F25C3">
        <w:rPr>
          <w:rFonts w:ascii="Cambria" w:hAnsi="Cambria"/>
        </w:rPr>
        <w:t xml:space="preserve"> (MVA)</w:t>
      </w:r>
      <w:r w:rsidR="002517B3">
        <w:rPr>
          <w:rFonts w:ascii="Cambria" w:hAnsi="Cambria"/>
        </w:rPr>
        <w:t xml:space="preserve">, a </w:t>
      </w:r>
      <w:r w:rsidR="009F25C3">
        <w:rPr>
          <w:rFonts w:ascii="Cambria" w:hAnsi="Cambria"/>
        </w:rPr>
        <w:t xml:space="preserve">replication-defective </w:t>
      </w:r>
      <w:r w:rsidR="006300A6">
        <w:rPr>
          <w:rFonts w:ascii="Cambria" w:hAnsi="Cambria"/>
        </w:rPr>
        <w:t>smallpox viral vector</w:t>
      </w:r>
      <w:r w:rsidR="00242A9B">
        <w:rPr>
          <w:rFonts w:ascii="Cambria" w:hAnsi="Cambria"/>
        </w:rPr>
        <w:t>,</w:t>
      </w:r>
      <w:r w:rsidR="00242A9B" w:rsidRPr="00242A9B">
        <w:rPr>
          <w:rFonts w:ascii="Cambria" w:hAnsi="Cambria"/>
        </w:rPr>
        <w:t xml:space="preserve"> </w:t>
      </w:r>
      <w:r w:rsidR="00242A9B">
        <w:rPr>
          <w:rFonts w:ascii="Cambria" w:hAnsi="Cambria"/>
        </w:rPr>
        <w:t>and the remaining four vaccine candidates employ an adenovirus vector to display viral antigens</w:t>
      </w:r>
      <w:r w:rsidR="00FE0567">
        <w:rPr>
          <w:rFonts w:ascii="Cambria" w:hAnsi="Cambria"/>
        </w:rPr>
        <w:t>.</w:t>
      </w:r>
      <w:r w:rsidR="00C43865">
        <w:rPr>
          <w:rFonts w:ascii="Cambria" w:hAnsi="Cambria"/>
        </w:rPr>
        <w:t xml:space="preserve"> </w:t>
      </w:r>
      <w:r w:rsidR="00FE0567">
        <w:rPr>
          <w:rFonts w:ascii="Cambria" w:hAnsi="Cambria"/>
        </w:rPr>
        <w:t xml:space="preserve">The MVA vector </w:t>
      </w:r>
      <w:r w:rsidR="00D70071">
        <w:rPr>
          <w:rFonts w:ascii="Cambria" w:hAnsi="Cambria"/>
        </w:rPr>
        <w:t xml:space="preserve">has been safely used </w:t>
      </w:r>
      <w:r w:rsidR="00C43865">
        <w:rPr>
          <w:rFonts w:ascii="Cambria" w:hAnsi="Cambria"/>
        </w:rPr>
        <w:t>in</w:t>
      </w:r>
      <w:r w:rsidR="00D70071">
        <w:rPr>
          <w:rFonts w:ascii="Cambria" w:hAnsi="Cambria"/>
        </w:rPr>
        <w:t xml:space="preserve"> vaccines for other infectious diseases</w:t>
      </w:r>
      <w:r w:rsidR="005270F1">
        <w:rPr>
          <w:rFonts w:ascii="Cambria" w:hAnsi="Cambria"/>
        </w:rPr>
        <w:fldChar w:fldCharType="begin" w:fldLock="1"/>
      </w:r>
      <w:r w:rsidR="00A828B0">
        <w:rPr>
          <w:rFonts w:ascii="Cambria" w:hAnsi="Cambria"/>
        </w:rPr>
        <w:instrText>ADDIN CSL_CITATION { "citationItems" : [ { "id" : "ITEM-1", "itemData" : { "DOI" : "10.1016/j.vaccine.2013.03.020", "ISSN" : "0264410X", "PMID" : "23523410", "abstract" : "The smallpox vaccine Vaccinia was successfully used to eradicate smallpox, but although very effective, it was a very reactogenic vaccine and responsible for the deaths of one or two people per million vaccinated. Modified Vaccinia virus Ankara (MVA) is a replication-deficient and attenuated derivative, also used in the smallpox eradication campaign and now being developed as a recombinant viral vector to produce vaccines against infectious diseases and cancer. Many clinical trials of these new vaccines have been conducted, and the findings of these trials are reviewed here. The safety of MVA is now well documented, immunogenicity is influenced by the dose and vaccination regimen, and information on the efficacy of MVA-vectored vaccines is now beginning to accumulate.", "author" : [ { "dropping-particle" : "", "family" : "Gilbert", "given" : "Sarah C.", "non-dropping-particle" : "", "parse-names" : false, "suffix" : "" } ], "container-title" : "Vaccine", "id" : "ITEM-1", "issue" : "39", "issued" : { "date-parts" : [ [ "2013", "9", "6" ] ] }, "page" : "4241-4246", "title" : "Clinical development of Modified Vaccinia virus Ankara vaccines", "type" : "article-journal", "volume" : "31" }, "uris" : [ "http://www.mendeley.com/documents/?uuid=5a50705e-06b5-3dc6-ba23-95dd54f78d12" ] } ], "mendeley" : { "formattedCitation" : "(95)", "plainTextFormattedCitation" : "(95)", "previouslyFormattedCitation" : "(95)" }, "properties" : { "noteIndex" : 0 }, "schema" : "https://github.com/citation-style-language/schema/raw/master/csl-citation.json" }</w:instrText>
      </w:r>
      <w:r w:rsidR="005270F1">
        <w:rPr>
          <w:rFonts w:ascii="Cambria" w:hAnsi="Cambria"/>
        </w:rPr>
        <w:fldChar w:fldCharType="separate"/>
      </w:r>
      <w:r w:rsidR="00D83E6A" w:rsidRPr="00D83E6A">
        <w:rPr>
          <w:rFonts w:ascii="Cambria" w:hAnsi="Cambria"/>
          <w:noProof/>
        </w:rPr>
        <w:t>(95)</w:t>
      </w:r>
      <w:r w:rsidR="005270F1">
        <w:rPr>
          <w:rFonts w:ascii="Cambria" w:hAnsi="Cambria"/>
        </w:rPr>
        <w:fldChar w:fldCharType="end"/>
      </w:r>
      <w:r w:rsidR="00C801A7">
        <w:rPr>
          <w:rFonts w:ascii="Cambria" w:hAnsi="Cambria"/>
        </w:rPr>
        <w:t>. Th</w:t>
      </w:r>
      <w:r w:rsidR="00D575F9">
        <w:rPr>
          <w:rFonts w:ascii="Cambria" w:hAnsi="Cambria"/>
        </w:rPr>
        <w:t>is</w:t>
      </w:r>
      <w:r w:rsidR="00C801A7">
        <w:rPr>
          <w:rFonts w:ascii="Cambria" w:hAnsi="Cambria"/>
        </w:rPr>
        <w:t xml:space="preserve"> vaccine candidate, MVA-BN-RSV,</w:t>
      </w:r>
      <w:r w:rsidR="00D70071">
        <w:rPr>
          <w:rFonts w:ascii="Cambria" w:hAnsi="Cambria"/>
        </w:rPr>
        <w:t xml:space="preserve"> induces both a humoral and cell-mediated response by displaying </w:t>
      </w:r>
      <w:r w:rsidR="000E42F3">
        <w:rPr>
          <w:rFonts w:ascii="Cambria" w:hAnsi="Cambria"/>
        </w:rPr>
        <w:t>four</w:t>
      </w:r>
      <w:r w:rsidR="00D70071">
        <w:rPr>
          <w:rFonts w:ascii="Cambria" w:hAnsi="Cambria"/>
        </w:rPr>
        <w:t xml:space="preserve"> </w:t>
      </w:r>
      <w:r w:rsidR="00567E3C">
        <w:rPr>
          <w:rFonts w:ascii="Cambria" w:hAnsi="Cambria"/>
        </w:rPr>
        <w:t xml:space="preserve">vaccine </w:t>
      </w:r>
      <w:r w:rsidR="00D70071">
        <w:rPr>
          <w:rFonts w:ascii="Cambria" w:hAnsi="Cambria"/>
        </w:rPr>
        <w:t xml:space="preserve">antigens: F, G, N and M2-1. Phase </w:t>
      </w:r>
      <w:r w:rsidR="00425581">
        <w:rPr>
          <w:rFonts w:ascii="Cambria" w:hAnsi="Cambria"/>
        </w:rPr>
        <w:t>II</w:t>
      </w:r>
      <w:r w:rsidR="00D70071">
        <w:rPr>
          <w:rFonts w:ascii="Cambria" w:hAnsi="Cambria"/>
        </w:rPr>
        <w:t xml:space="preserve"> results </w:t>
      </w:r>
      <w:r w:rsidR="005C11B7">
        <w:rPr>
          <w:rFonts w:ascii="Cambria" w:hAnsi="Cambria"/>
        </w:rPr>
        <w:t xml:space="preserve">in healthy older adults </w:t>
      </w:r>
      <w:r w:rsidR="00D70071">
        <w:rPr>
          <w:rFonts w:ascii="Cambria" w:hAnsi="Cambria"/>
        </w:rPr>
        <w:t xml:space="preserve">from this candidate </w:t>
      </w:r>
      <w:r w:rsidR="00425581">
        <w:rPr>
          <w:rFonts w:ascii="Cambria" w:hAnsi="Cambria"/>
        </w:rPr>
        <w:t>will soon be announced</w:t>
      </w:r>
      <w:r w:rsidR="00D70071">
        <w:rPr>
          <w:rFonts w:ascii="Cambria" w:hAnsi="Cambria"/>
        </w:rPr>
        <w:t>.</w:t>
      </w:r>
      <w:r w:rsidR="002D3C8F">
        <w:rPr>
          <w:rFonts w:ascii="Cambria" w:hAnsi="Cambria"/>
        </w:rPr>
        <w:t xml:space="preserve"> </w:t>
      </w:r>
    </w:p>
    <w:p w14:paraId="03F25831" w14:textId="72B53E89" w:rsidR="00DA0406" w:rsidRDefault="00AB1D3D" w:rsidP="00C566BC">
      <w:pPr>
        <w:jc w:val="both"/>
        <w:rPr>
          <w:rFonts w:ascii="Cambria" w:hAnsi="Cambria"/>
        </w:rPr>
      </w:pPr>
      <w:r>
        <w:rPr>
          <w:rFonts w:ascii="Cambria" w:hAnsi="Cambria"/>
        </w:rPr>
        <w:tab/>
      </w:r>
      <w:r w:rsidR="00FE0567">
        <w:rPr>
          <w:rFonts w:ascii="Cambria" w:hAnsi="Cambria"/>
        </w:rPr>
        <w:t>The second vector-base</w:t>
      </w:r>
      <w:r w:rsidR="00840880">
        <w:rPr>
          <w:rFonts w:ascii="Cambria" w:hAnsi="Cambria"/>
        </w:rPr>
        <w:t>d</w:t>
      </w:r>
      <w:r w:rsidR="00FE0567">
        <w:rPr>
          <w:rFonts w:ascii="Cambria" w:hAnsi="Cambria"/>
        </w:rPr>
        <w:t xml:space="preserve"> vaccine candidate</w:t>
      </w:r>
      <w:r w:rsidR="00C801A7">
        <w:rPr>
          <w:rFonts w:ascii="Cambria" w:hAnsi="Cambria"/>
        </w:rPr>
        <w:t>, VXA-RSV-f,</w:t>
      </w:r>
      <w:r w:rsidR="00FE0567">
        <w:rPr>
          <w:rFonts w:ascii="Cambria" w:hAnsi="Cambria"/>
        </w:rPr>
        <w:t xml:space="preserve"> uses</w:t>
      </w:r>
      <w:r w:rsidR="00425581">
        <w:rPr>
          <w:rFonts w:ascii="Cambria" w:hAnsi="Cambria"/>
        </w:rPr>
        <w:t xml:space="preserve"> a</w:t>
      </w:r>
      <w:r w:rsidR="00DA0406">
        <w:rPr>
          <w:rFonts w:ascii="Cambria" w:hAnsi="Cambria"/>
        </w:rPr>
        <w:t xml:space="preserve">n innovative platform </w:t>
      </w:r>
      <w:r w:rsidR="00411F49">
        <w:rPr>
          <w:rFonts w:ascii="Cambria" w:hAnsi="Cambria"/>
        </w:rPr>
        <w:t xml:space="preserve">with </w:t>
      </w:r>
      <w:r w:rsidR="00817802">
        <w:rPr>
          <w:rFonts w:ascii="Cambria" w:hAnsi="Cambria"/>
        </w:rPr>
        <w:t xml:space="preserve">an </w:t>
      </w:r>
      <w:r w:rsidR="00DA0406">
        <w:rPr>
          <w:rFonts w:ascii="Cambria" w:hAnsi="Cambria"/>
        </w:rPr>
        <w:t xml:space="preserve">adenovirus 5 based </w:t>
      </w:r>
      <w:r w:rsidR="00CC4248">
        <w:rPr>
          <w:rFonts w:ascii="Cambria" w:hAnsi="Cambria"/>
        </w:rPr>
        <w:t xml:space="preserve">oral </w:t>
      </w:r>
      <w:r w:rsidR="00FD7F0F">
        <w:rPr>
          <w:rFonts w:ascii="Cambria" w:hAnsi="Cambria"/>
        </w:rPr>
        <w:t>table</w:t>
      </w:r>
      <w:r w:rsidR="00A81FD2">
        <w:rPr>
          <w:rFonts w:ascii="Cambria" w:hAnsi="Cambria"/>
        </w:rPr>
        <w:t>t</w:t>
      </w:r>
      <w:r w:rsidR="00FD7F0F">
        <w:rPr>
          <w:rFonts w:ascii="Cambria" w:hAnsi="Cambria"/>
        </w:rPr>
        <w:t xml:space="preserve"> </w:t>
      </w:r>
      <w:r w:rsidR="00CC4248">
        <w:rPr>
          <w:rFonts w:ascii="Cambria" w:hAnsi="Cambria"/>
        </w:rPr>
        <w:t xml:space="preserve">delivery </w:t>
      </w:r>
      <w:r w:rsidR="00DA0406">
        <w:rPr>
          <w:rFonts w:ascii="Cambria" w:hAnsi="Cambria"/>
        </w:rPr>
        <w:t xml:space="preserve">platform </w:t>
      </w:r>
      <w:r w:rsidR="00FD7F0F">
        <w:rPr>
          <w:rFonts w:ascii="Cambria" w:hAnsi="Cambria"/>
        </w:rPr>
        <w:t>that is</w:t>
      </w:r>
      <w:r w:rsidR="00A27FE9">
        <w:rPr>
          <w:rFonts w:ascii="Cambria" w:hAnsi="Cambria"/>
        </w:rPr>
        <w:t xml:space="preserve"> </w:t>
      </w:r>
      <w:r w:rsidR="00DA0406">
        <w:rPr>
          <w:rFonts w:ascii="Cambria" w:hAnsi="Cambria"/>
        </w:rPr>
        <w:t>stable at room temperature.</w:t>
      </w:r>
      <w:r w:rsidR="0017667B">
        <w:rPr>
          <w:rFonts w:ascii="Cambria" w:hAnsi="Cambria"/>
        </w:rPr>
        <w:t xml:space="preserve"> </w:t>
      </w:r>
      <w:r w:rsidR="00CF70DF">
        <w:rPr>
          <w:rFonts w:ascii="Cambria" w:hAnsi="Cambria"/>
        </w:rPr>
        <w:t>Using the same oral adenovirus vaccine delivery platform, a phase I trial for influenza has been conducted, which showed a neutralizing antibody responses against influenza in the vaccine group and no interference of pre-existing vector immunity</w:t>
      </w:r>
      <w:r w:rsidR="00B707E2">
        <w:rPr>
          <w:rFonts w:ascii="Cambria" w:hAnsi="Cambria"/>
        </w:rPr>
        <w:fldChar w:fldCharType="begin" w:fldLock="1"/>
      </w:r>
      <w:r w:rsidR="00B707E2">
        <w:rPr>
          <w:rFonts w:ascii="Cambria" w:hAnsi="Cambria"/>
        </w:rPr>
        <w:instrText>ADDIN CSL_CITATION { "citationItems" : [ { "id" : "ITEM-1", "itemData" : { "DOI" : "10.1016/S1473-3099(15)00266-2", "ISSN" : "14733099", "PMID" : "26333337", "abstract" : "BACKGROUND Most influenza vaccines are manufactured in eggs, and the inactivated virus is purified for injection. For a seasonal influenza product, manufacturing, distribution, and perhaps even vaccine coverage, would be greatly improved with an oral tablet alternative made in cell culture. We aimed to assess the safety and immunogenicity of an oral tablet vaccine against influenza A H1N1 in healthy adults. METHODS At a single site, we did a randomised, double-blind, placebo-controlled trial of a monovalent influenza A H1N1 vaccine to establish the safety and immunogenicity of a recombinant, non-replicating, adenovirus vector expressing haemagglutinin and double-stranded RNA adjuvant delivered orally by tablets. Participants had to have an initial haemagglutination inhibition titre of at most 1/20, be aged between 18 and 49 years, and be in good health. We randomly assigned (1:1) participants to receive either a single oral dose of vaccine or placebo. Randomisation was done by computer-generated assignment, and study drug was distributed with concealed identity to the masked staff by an unmasked pharmacist. Investigative site staff, people directly involved with immunological assays or the assessment of clinical safety, and participants were masked to treatment assignments. Solicited symptoms of reactogenicity were assessed, and all safety assessments were reported through the active phase of the study (day 28). Immunogenicity was assessed by haemagglutination inhibition titres, the percentage of participants that seroconverted, microneutralisation titres, and the number of antibody secreting cells. Descriptive statistics were used for continuous variables and t-tests or Fisher's exact tests were used to compare treatment groups. The study is registered at ClinicalTrials.gov, number NCT01688297. FINDINGS 24 participants were enrolled in the study at WCCT Global between Dec 2, 2013, and April 15, 2014. Adverse events were mild in nature, and occurred with similar frequency in vaccine (four events) and placebo recipients (four events). After immunisation, 11 (92%) of 12 vaccine-treated participants had a four-fold increase in haemagglutination inhibition titres (group geometric mean fold rise of 7\u00b77) and microneutralisation titres (group geometric mean fold rise of 29). No participants in the placebo group had a four-fold increase in haemagglutination inhibition titres (group geometric mean fold rise of 1\u00b71) or microneutralisation titres (group geometric \u2026", "author" : [ { "dropping-particle" : "", "family" : "Liebowitz", "given" : "David", "non-dropping-particle" : "", "parse-names" : false, "suffix" : "" }, { "dropping-particle" : "", "family" : "Lindbloom", "given" : "Jonathan D", "non-dropping-particle" : "", "parse-names" : false, "suffix" : "" }, { "dropping-particle" : "", "family" : "Brandl", "given" : "Jennifer R", "non-dropping-particle" : "", "parse-names" : false, "suffix" : "" }, { "dropping-particle" : "", "family" : "Garg", "given" : "Shaily J", "non-dropping-particle" : "", "parse-names" : false, "suffix" : "" }, { "dropping-particle" : "", "family" : "Tucker", "given" : "Sean N", "non-dropping-particle" : "", "parse-names" : false, "suffix" : "" } ], "container-title" : "The Lancet Infectious Diseases", "id" : "ITEM-1", "issue" : "9", "issued" : { "date-parts" : [ [ "2015", "9" ] ] }, "page" : "1041-1048", "title" : "High titre neutralising antibodies to influenza after oral tablet immunisation: a phase 1, randomised, placebo-controlled trial", "type" : "article-journal", "volume" : "15" }, "uris" : [ "http://www.mendeley.com/documents/?uuid=d222f28c-c7b9-3a64-872f-608b4cc511de" ] } ], "mendeley" : { "formattedCitation" : "(96)", "plainTextFormattedCitation" : "(96)" }, "properties" : { "noteIndex" : 0 }, "schema" : "https://github.com/citation-style-language/schema/raw/master/csl-citation.json" }</w:instrText>
      </w:r>
      <w:r w:rsidR="00B707E2">
        <w:rPr>
          <w:rFonts w:ascii="Cambria" w:hAnsi="Cambria"/>
        </w:rPr>
        <w:fldChar w:fldCharType="separate"/>
      </w:r>
      <w:r w:rsidR="00B707E2" w:rsidRPr="00B707E2">
        <w:rPr>
          <w:rFonts w:ascii="Cambria" w:hAnsi="Cambria"/>
          <w:noProof/>
        </w:rPr>
        <w:t>(96)</w:t>
      </w:r>
      <w:r w:rsidR="00B707E2">
        <w:rPr>
          <w:rFonts w:ascii="Cambria" w:hAnsi="Cambria"/>
        </w:rPr>
        <w:fldChar w:fldCharType="end"/>
      </w:r>
      <w:r w:rsidR="00CF70DF">
        <w:rPr>
          <w:rFonts w:ascii="Cambria" w:hAnsi="Cambria"/>
        </w:rPr>
        <w:t>. P</w:t>
      </w:r>
      <w:r w:rsidR="0017667B">
        <w:rPr>
          <w:rFonts w:ascii="Cambria" w:hAnsi="Cambria"/>
        </w:rPr>
        <w:t>reclinical studies</w:t>
      </w:r>
      <w:r w:rsidR="00CF70DF">
        <w:rPr>
          <w:rFonts w:ascii="Cambria" w:hAnsi="Cambria"/>
        </w:rPr>
        <w:t xml:space="preserve"> for the RSV vaccine candidate in the cotton rat model</w:t>
      </w:r>
      <w:r w:rsidR="0017667B">
        <w:rPr>
          <w:rFonts w:ascii="Cambria" w:hAnsi="Cambria"/>
        </w:rPr>
        <w:t xml:space="preserve"> </w:t>
      </w:r>
      <w:r w:rsidR="00425581">
        <w:rPr>
          <w:rFonts w:ascii="Cambria" w:hAnsi="Cambria"/>
        </w:rPr>
        <w:t>show</w:t>
      </w:r>
      <w:r w:rsidR="00CF70DF">
        <w:rPr>
          <w:rFonts w:ascii="Cambria" w:hAnsi="Cambria"/>
        </w:rPr>
        <w:t>ed</w:t>
      </w:r>
      <w:r w:rsidR="00425581">
        <w:rPr>
          <w:rFonts w:ascii="Cambria" w:hAnsi="Cambria"/>
        </w:rPr>
        <w:t xml:space="preserve"> </w:t>
      </w:r>
      <w:r w:rsidR="00CF70DF">
        <w:rPr>
          <w:rFonts w:ascii="Cambria" w:hAnsi="Cambria"/>
        </w:rPr>
        <w:t>an increase in anti-F antibodies and protection against RSV challenge</w:t>
      </w:r>
      <w:r w:rsidR="00B707E2">
        <w:rPr>
          <w:rFonts w:ascii="Cambria" w:hAnsi="Cambria"/>
        </w:rPr>
        <w:fldChar w:fldCharType="begin" w:fldLock="1"/>
      </w:r>
      <w:r w:rsidR="00B707E2">
        <w:rPr>
          <w:rFonts w:ascii="Cambria" w:hAnsi="Cambria"/>
        </w:rPr>
        <w:instrText>ADDIN CSL_CITATION { "citationItems" : [ { "id" : "ITEM-1", "itemData" : { "URL" : "https://www.businesswire.com/news/home/20151119005368/en/Vaxart-Presents-Positive-Preclinical-Data-Oral-RSV", "accessed" : { "date-parts" : [ [ "2018", "1", "19" ] ] }, "author" : [ { "dropping-particle" : "", "family" : "Business Wire", "given" : "", "non-dropping-particle" : "", "parse-names" : false, "suffix" : "" } ], "id" : "ITEM-1", "issued" : { "date-parts" : [ [ "2015" ] ] }, "title" : "Vaxart Presents Positive Preclinical Data for Oral RSV Vaccine at RSV Vaccines for the World Conference", "type" : "webpage" }, "uris" : [ "http://www.mendeley.com/documents/?uuid=2160bb65-0ad1-3c81-ab83-15773806efd2" ] } ], "mendeley" : { "formattedCitation" : "(97)", "plainTextFormattedCitation" : "(97)", "previouslyFormattedCitation" : "(96)" }, "properties" : { "noteIndex" : 0 }, "schema" : "https://github.com/citation-style-language/schema/raw/master/csl-citation.json" }</w:instrText>
      </w:r>
      <w:r w:rsidR="00B707E2">
        <w:rPr>
          <w:rFonts w:ascii="Cambria" w:hAnsi="Cambria"/>
        </w:rPr>
        <w:fldChar w:fldCharType="separate"/>
      </w:r>
      <w:r w:rsidR="00B707E2" w:rsidRPr="00B707E2">
        <w:rPr>
          <w:rFonts w:ascii="Cambria" w:hAnsi="Cambria"/>
          <w:noProof/>
        </w:rPr>
        <w:t>(97)</w:t>
      </w:r>
      <w:r w:rsidR="00B707E2">
        <w:rPr>
          <w:rFonts w:ascii="Cambria" w:hAnsi="Cambria"/>
        </w:rPr>
        <w:fldChar w:fldCharType="end"/>
      </w:r>
      <w:r w:rsidR="005D72E6">
        <w:rPr>
          <w:rFonts w:ascii="Cambria" w:hAnsi="Cambria"/>
        </w:rPr>
        <w:t xml:space="preserve">. </w:t>
      </w:r>
      <w:r w:rsidR="006B4670">
        <w:rPr>
          <w:rFonts w:ascii="Cambria" w:hAnsi="Cambria"/>
        </w:rPr>
        <w:t>I</w:t>
      </w:r>
      <w:r>
        <w:rPr>
          <w:rFonts w:ascii="Cambria" w:hAnsi="Cambria"/>
        </w:rPr>
        <w:t xml:space="preserve">n the </w:t>
      </w:r>
      <w:r w:rsidR="007D3BEB">
        <w:rPr>
          <w:rFonts w:ascii="Cambria" w:hAnsi="Cambria"/>
        </w:rPr>
        <w:t xml:space="preserve">older adult </w:t>
      </w:r>
      <w:r>
        <w:rPr>
          <w:rFonts w:ascii="Cambria" w:hAnsi="Cambria"/>
        </w:rPr>
        <w:t xml:space="preserve">population </w:t>
      </w:r>
      <w:r w:rsidR="00922276">
        <w:rPr>
          <w:rFonts w:ascii="Cambria" w:hAnsi="Cambria"/>
        </w:rPr>
        <w:t>immunosenescence</w:t>
      </w:r>
      <w:r w:rsidR="006B4670">
        <w:rPr>
          <w:rFonts w:ascii="Cambria" w:hAnsi="Cambria"/>
        </w:rPr>
        <w:t xml:space="preserve"> is</w:t>
      </w:r>
      <w:r w:rsidR="00922276">
        <w:rPr>
          <w:rFonts w:ascii="Cambria" w:hAnsi="Cambria"/>
        </w:rPr>
        <w:t xml:space="preserve"> characterized</w:t>
      </w:r>
      <w:r>
        <w:rPr>
          <w:rFonts w:ascii="Cambria" w:hAnsi="Cambria"/>
        </w:rPr>
        <w:t xml:space="preserve"> by impaired </w:t>
      </w:r>
      <w:r w:rsidR="007D1271">
        <w:rPr>
          <w:rFonts w:ascii="Cambria" w:hAnsi="Cambria"/>
        </w:rPr>
        <w:t>T cell response</w:t>
      </w:r>
      <w:r w:rsidR="006B4670">
        <w:rPr>
          <w:rFonts w:ascii="Cambria" w:hAnsi="Cambria"/>
        </w:rPr>
        <w:t xml:space="preserve"> to RSV</w:t>
      </w:r>
      <w:r w:rsidR="00A828B0">
        <w:rPr>
          <w:rFonts w:ascii="Cambria" w:hAnsi="Cambria"/>
        </w:rPr>
        <w:fldChar w:fldCharType="begin" w:fldLock="1"/>
      </w:r>
      <w:r w:rsidR="00B707E2">
        <w:rPr>
          <w:rFonts w:ascii="Cambria" w:hAnsi="Cambria"/>
        </w:rPr>
        <w:instrText>ADDIN CSL_CITATION { "citationItems" : [ { "id" : "ITEM-1", "itemData" : { "DOI" : "10.1086/429695", "ISSN" : "0022-1899", "PMID" : "15838799", "abstract" : "BACKGROUND We investigated respiratory syncytial virus (RSV)-specific CD8(+) memory T cell responses in healthy control participants (n=31) and in patients with chronic obstructive pulmonary disease (COPD) (n=9), with respect to frequency, memory phenotype, and proliferative requirements. METHODS The properties of RSV-specific CD8(+) T cells were analyzed by use of RSV tetramers. The proliferative requirements of RSV-specific CD8(+) T cells were analyzed by culture of peripheral-blood mononuclear cells with RSV peptide in combination with distinct cytokines. RESULTS RSV-specific CD8(+) memory T cells showed a high level of expression of CD27 and interleukin-7R alpha and a low level of expression of CCR7. In the healthy participants, the frequency of RSV tetramer(+) CD8(+) T cells was significantly lower than the frequency of influenza virus A (FLU) tetramer(+) CD8(+) T cells (P=.0001). In contrast to FLU tetramer(+) CD8(+) T cells, we could detect RSV tetramer(+) CD8(+) T cells in the subgroup of elderly healthy participants (age, &gt; or =55 years) and in the patients with COPD only after in vitro expansion. Expanded RSV-specific T cells produced interferon- gamma and granzyme B. CONCLUSION We provide evidence that a pool of functional RSV-specific CD8(+) memory T cells persists in the peripheral blood of healthy individuals and patients with COPD. Low numbers of RSV-specific memory T cells in the elderly and in patients with COPD may explain the increased susceptibility to RSV infection in these populations.", "author" : [ { "dropping-particle" : "", "family" : "Bree", "given" : "Godelieve\u00a0J.", "non-dropping-particle" : "de", "parse-names" : false, "suffix" : "" }, { "dropping-particle" : "", "family" : "Heidema", "given" : "Jojanneke", "non-dropping-particle" : "", "parse-names" : false, "suffix" : "" }, { "dropping-particle" : "", "family" : "Leeuwen", "given" : "Ester\u00a0M.\u00a0M.", "non-dropping-particle" : "van", "parse-names" : false, "suffix" : "" }, { "dropping-particle" : "", "family" : "Bleek", "given" : "Grada\u00a0M.", "non-dropping-particle" : "van", "parse-names" : false, "suffix" : "" }, { "dropping-particle" : "", "family" : "Jonkers", "given" : "Ren\u00e9\u00a0E.", "non-dropping-particle" : "", "parse-names" : false, "suffix" : "" }, { "dropping-particle" : "", "family" : "Jansen", "given" : "Henk\u00a0M.", "non-dropping-particle" : "", "parse-names" : false, "suffix" : "" }, { "dropping-particle" : "", "family" : "Lier", "given" : "Ren\u00e9\u00a0A.\u00a0W.", "non-dropping-particle" : "van", "parse-names" : false, "suffix" : "" }, { "dropping-particle" : "", "family" : "Out", "given" : "Theo\u00a0A.", "non-dropping-particle" : "", "parse-names" : false, "suffix" : "" } ], "container-title" : "The Journal of Infectious Diseases", "id" : "ITEM-1", "issue" : "10", "issued" : { "date-parts" : [ [ "2005", "5", "15" ] ] }, "page" : "1710-1718", "title" : "Respiratory Syncytial Virus\u2013Specific CD8 &lt;sup&gt;+&lt;/sup&gt; Memory T Cell Responses in Elderly Persons", "type" : "article-journal", "volume" : "191" }, "uris" : [ "http://www.mendeley.com/documents/?uuid=02cb4168-496f-3047-9845-c61dab82c593" ] }, { "id" : "ITEM-2", "itemData" : { "DOI" : "10.1186/1742-4933-7-14", "ISSN" : "1742-4933", "PMID" : "20961416", "abstract" : "Respiratory syncytial virus (RSV) is the major pathogen causing respiratory disease in young infants and it is an important cause of serious illness in the elderly since the infection provides limited immune protection against reinfection. In order to explain this phenomenon, we investigated whether healthy adults of different age (20-40; 41-60 and &gt; 60 years), have differences in central and effector memory, RSV-specific CD8+ T cell memory immune response and regulatory T cell expression status. In the peripheral blood of these donors, we were unable to detect any age related difference in term of central (CD45RA-CCR7+) and effector (CD45RA-CCR7-) memory T cell frequency. On the contrary, we found a significant increase in immunosuppressive regulatory (CD4+25+FoxP3+) T cells (Treg) in the elderly. An immunocytofluorimetric RSV pentamer analysis performed on these donors' peripheral blood mononuclear cells (PBMCs), in vitro sensitized against RSV antigen, revealed a marked decline in long-lasting RSV specific CD8+ memory T cell precursors expressing interleukin 7 receptor \u03b1 (IL-7R\u03b1), in the elderly. This effect was paralleled by a progressive switch from a Th1 (IFN-\u03b3 and TNF-\u03b1) to a Th2 (IL-10) functional phenotype. On the contrary, an increase in Treg was observed with aging. The finding of Treg over-expression status, a prominent Th2 response and an inefficient RSV-specific effector memory CD8+ T cell expansion in older donors could explain the poor protection against RSV reinfection and the increased risk to develop an RSV-related severe illness in this population. Our finding also lays the basis for new therapeutic perspectives that could limit or prevent severe RSV infection in elderly.", "author" : [ { "dropping-particle" : "", "family" : "Cusi", "given" : "Maria Grazia", "non-dropping-particle" : "", "parse-names" : false, "suffix" : "" }, { "dropping-particle" : "", "family" : "Martorelli", "given" : "Barbara", "non-dropping-particle" : "", "parse-names" : false, "suffix" : "" }, { "dropping-particle" : "", "family" : "Genova", "given" : "Giuseppa", "non-dropping-particle" : "Di", "parse-names" : false, "suffix" : "" }, { "dropping-particle" : "", "family" : "Terrosi", "given" : "Chiara", "non-dropping-particle" : "", "parse-names" : false, "suffix" : "" }, { "dropping-particle" : "", "family" : "Campoccia", "given" : "Giuseppe", "non-dropping-particle" : "", "parse-names" : false, "suffix" : "" }, { "dropping-particle" : "", "family" : "Correale", "given" : "Pierpaolo", "non-dropping-particle" : "", "parse-names" : false, "suffix" : "" } ], "container-title" : "Immunity &amp; ageing : I &amp; A", "id" : "ITEM-2", "issued" : { "date-parts" : [ [ "2010", "10", "20" ] ] }, "page" : "14", "publisher" : "BioMed Central", "title" : "Age related changes in T cell mediated immune response and effector memory to Respiratory Syncytial Virus (RSV) in healthy subjects.", "type" : "article-journal", "volume" : "7" }, "uris" : [ "http://www.mendeley.com/documents/?uuid=beac2e33-d8f8-3a98-b90a-b0527334110a" ] } ], "mendeley" : { "formattedCitation" : "(98,99)", "plainTextFormattedCitation" : "(98,99)", "previouslyFormattedCitation" : "(97,98)" }, "properties" : { "noteIndex" : 0 }, "schema" : "https://github.com/citation-style-language/schema/raw/master/csl-citation.json" }</w:instrText>
      </w:r>
      <w:r w:rsidR="00A828B0">
        <w:rPr>
          <w:rFonts w:ascii="Cambria" w:hAnsi="Cambria"/>
        </w:rPr>
        <w:fldChar w:fldCharType="separate"/>
      </w:r>
      <w:r w:rsidR="00B707E2" w:rsidRPr="00B707E2">
        <w:rPr>
          <w:rFonts w:ascii="Cambria" w:hAnsi="Cambria"/>
          <w:noProof/>
        </w:rPr>
        <w:t>(98,99)</w:t>
      </w:r>
      <w:r w:rsidR="00A828B0">
        <w:rPr>
          <w:rFonts w:ascii="Cambria" w:hAnsi="Cambria"/>
        </w:rPr>
        <w:fldChar w:fldCharType="end"/>
      </w:r>
      <w:r w:rsidR="00425581">
        <w:rPr>
          <w:rFonts w:ascii="Cambria" w:hAnsi="Cambria"/>
        </w:rPr>
        <w:t xml:space="preserve">, </w:t>
      </w:r>
      <w:r w:rsidR="007D1271">
        <w:rPr>
          <w:rFonts w:ascii="Cambria" w:hAnsi="Cambria"/>
        </w:rPr>
        <w:t>this vaccine candidate</w:t>
      </w:r>
      <w:r w:rsidR="00E66692">
        <w:rPr>
          <w:rFonts w:ascii="Cambria" w:hAnsi="Cambria"/>
        </w:rPr>
        <w:t>,</w:t>
      </w:r>
      <w:r w:rsidR="00217FCA">
        <w:rPr>
          <w:rFonts w:ascii="Cambria" w:hAnsi="Cambria"/>
        </w:rPr>
        <w:t xml:space="preserve"> which induces a humoral response</w:t>
      </w:r>
      <w:r w:rsidR="00E66692">
        <w:rPr>
          <w:rFonts w:ascii="Cambria" w:hAnsi="Cambria"/>
        </w:rPr>
        <w:t>,</w:t>
      </w:r>
      <w:r w:rsidR="007D1271">
        <w:rPr>
          <w:rFonts w:ascii="Cambria" w:hAnsi="Cambria"/>
        </w:rPr>
        <w:t xml:space="preserve"> may be a promising intervention for the </w:t>
      </w:r>
      <w:r w:rsidR="007D3BEB">
        <w:rPr>
          <w:rFonts w:ascii="Cambria" w:hAnsi="Cambria"/>
        </w:rPr>
        <w:t xml:space="preserve">older adult </w:t>
      </w:r>
      <w:r w:rsidR="007D1271">
        <w:rPr>
          <w:rFonts w:ascii="Cambria" w:hAnsi="Cambria"/>
        </w:rPr>
        <w:t>population.</w:t>
      </w:r>
    </w:p>
    <w:p w14:paraId="0C5C9A5F" w14:textId="5A178E1C" w:rsidR="000A22F2" w:rsidRDefault="005D72E6" w:rsidP="00C566BC">
      <w:pPr>
        <w:jc w:val="both"/>
        <w:rPr>
          <w:rFonts w:ascii="Cambria" w:hAnsi="Cambria"/>
        </w:rPr>
      </w:pPr>
      <w:r>
        <w:rPr>
          <w:rFonts w:ascii="Cambria" w:hAnsi="Cambria"/>
        </w:rPr>
        <w:tab/>
      </w:r>
      <w:r w:rsidR="00425581">
        <w:rPr>
          <w:rFonts w:ascii="Cambria" w:hAnsi="Cambria"/>
        </w:rPr>
        <w:t>Third</w:t>
      </w:r>
      <w:r w:rsidR="00017838">
        <w:rPr>
          <w:rFonts w:ascii="Cambria" w:hAnsi="Cambria"/>
        </w:rPr>
        <w:t xml:space="preserve"> and fourth</w:t>
      </w:r>
      <w:r w:rsidR="00425581">
        <w:rPr>
          <w:rFonts w:ascii="Cambria" w:hAnsi="Cambria"/>
        </w:rPr>
        <w:t xml:space="preserve">, </w:t>
      </w:r>
      <w:r w:rsidR="00D15091">
        <w:rPr>
          <w:rFonts w:ascii="Cambria" w:hAnsi="Cambria"/>
        </w:rPr>
        <w:t>Ad26.RSV.preF</w:t>
      </w:r>
      <w:r w:rsidR="00017838">
        <w:rPr>
          <w:rFonts w:ascii="Cambria" w:hAnsi="Cambria"/>
        </w:rPr>
        <w:t xml:space="preserve">, is a </w:t>
      </w:r>
      <w:r w:rsidR="00540F12">
        <w:rPr>
          <w:rFonts w:ascii="Cambria" w:hAnsi="Cambria"/>
        </w:rPr>
        <w:t xml:space="preserve">vaccine </w:t>
      </w:r>
      <w:r w:rsidR="00017838">
        <w:rPr>
          <w:rFonts w:ascii="Cambria" w:hAnsi="Cambria"/>
        </w:rPr>
        <w:t>candidate</w:t>
      </w:r>
      <w:r w:rsidR="00540F12">
        <w:rPr>
          <w:rFonts w:ascii="Cambria" w:hAnsi="Cambria"/>
        </w:rPr>
        <w:t xml:space="preserve"> being developed</w:t>
      </w:r>
      <w:r w:rsidR="00017838">
        <w:rPr>
          <w:rFonts w:ascii="Cambria" w:hAnsi="Cambria"/>
        </w:rPr>
        <w:t xml:space="preserve"> for two populations:</w:t>
      </w:r>
      <w:r w:rsidR="00A90822">
        <w:rPr>
          <w:rFonts w:ascii="Cambria" w:hAnsi="Cambria"/>
        </w:rPr>
        <w:t xml:space="preserve"> </w:t>
      </w:r>
      <w:r w:rsidR="00017838">
        <w:rPr>
          <w:rFonts w:ascii="Cambria" w:hAnsi="Cambria"/>
        </w:rPr>
        <w:t>the older adult</w:t>
      </w:r>
      <w:r w:rsidR="00A90822">
        <w:rPr>
          <w:rFonts w:ascii="Cambria" w:hAnsi="Cambria"/>
        </w:rPr>
        <w:t xml:space="preserve"> and the pediatric population</w:t>
      </w:r>
      <w:r w:rsidR="00540F12">
        <w:rPr>
          <w:rFonts w:ascii="Cambria" w:hAnsi="Cambria"/>
        </w:rPr>
        <w:t xml:space="preserve">. </w:t>
      </w:r>
      <w:r w:rsidR="00DC3D5E">
        <w:rPr>
          <w:rFonts w:ascii="Cambria" w:hAnsi="Cambria"/>
        </w:rPr>
        <w:t>In this</w:t>
      </w:r>
      <w:r w:rsidR="00540F12">
        <w:rPr>
          <w:rFonts w:ascii="Cambria" w:hAnsi="Cambria"/>
        </w:rPr>
        <w:t xml:space="preserve"> candidate</w:t>
      </w:r>
      <w:r w:rsidR="000A22F2">
        <w:rPr>
          <w:rFonts w:ascii="Cambria" w:hAnsi="Cambria"/>
        </w:rPr>
        <w:t xml:space="preserve"> </w:t>
      </w:r>
      <w:r w:rsidR="00BA24C9">
        <w:rPr>
          <w:rFonts w:ascii="Cambria" w:hAnsi="Cambria"/>
        </w:rPr>
        <w:t>pre</w:t>
      </w:r>
      <w:r w:rsidR="00C35468">
        <w:rPr>
          <w:rFonts w:ascii="Cambria" w:hAnsi="Cambria"/>
        </w:rPr>
        <w:t>-</w:t>
      </w:r>
      <w:r w:rsidR="00BA24C9">
        <w:rPr>
          <w:rFonts w:ascii="Cambria" w:hAnsi="Cambria"/>
        </w:rPr>
        <w:t xml:space="preserve">F antigen </w:t>
      </w:r>
      <w:r w:rsidR="00DC3D5E">
        <w:rPr>
          <w:rFonts w:ascii="Cambria" w:hAnsi="Cambria"/>
        </w:rPr>
        <w:t xml:space="preserve">is </w:t>
      </w:r>
      <w:r w:rsidR="00BA24C9">
        <w:rPr>
          <w:rFonts w:ascii="Cambria" w:hAnsi="Cambria"/>
        </w:rPr>
        <w:t>expressed in</w:t>
      </w:r>
      <w:r w:rsidR="000A22F2">
        <w:rPr>
          <w:rFonts w:ascii="Cambria" w:hAnsi="Cambria"/>
        </w:rPr>
        <w:t xml:space="preserve"> </w:t>
      </w:r>
      <w:r w:rsidR="00984981">
        <w:rPr>
          <w:rFonts w:ascii="Cambria" w:hAnsi="Cambria"/>
        </w:rPr>
        <w:t>the</w:t>
      </w:r>
      <w:r w:rsidR="000A22F2">
        <w:rPr>
          <w:rFonts w:ascii="Cambria" w:hAnsi="Cambria"/>
        </w:rPr>
        <w:t xml:space="preserve"> human adenovirus strain</w:t>
      </w:r>
      <w:r w:rsidR="00BA24C9">
        <w:rPr>
          <w:rFonts w:ascii="Cambria" w:hAnsi="Cambria"/>
        </w:rPr>
        <w:t xml:space="preserve"> 26, </w:t>
      </w:r>
      <w:r w:rsidR="0069311B">
        <w:rPr>
          <w:rFonts w:ascii="Cambria" w:hAnsi="Cambria"/>
        </w:rPr>
        <w:t>a vector with</w:t>
      </w:r>
      <w:r w:rsidR="00970D9A">
        <w:rPr>
          <w:rFonts w:ascii="Cambria" w:hAnsi="Cambria"/>
        </w:rPr>
        <w:t xml:space="preserve"> a favorable</w:t>
      </w:r>
      <w:r w:rsidR="00BA24C9">
        <w:rPr>
          <w:rFonts w:ascii="Cambria" w:hAnsi="Cambria"/>
        </w:rPr>
        <w:t xml:space="preserve"> safety profile </w:t>
      </w:r>
      <w:r w:rsidR="00970D9A">
        <w:rPr>
          <w:rFonts w:ascii="Cambria" w:hAnsi="Cambria"/>
        </w:rPr>
        <w:t>when used for other</w:t>
      </w:r>
      <w:r w:rsidR="00BA24C9">
        <w:rPr>
          <w:rFonts w:ascii="Cambria" w:hAnsi="Cambria"/>
        </w:rPr>
        <w:t xml:space="preserve"> infectious diseases</w:t>
      </w:r>
      <w:r w:rsidR="001F3CB1">
        <w:rPr>
          <w:rFonts w:ascii="Cambria" w:hAnsi="Cambria"/>
        </w:rPr>
        <w:fldChar w:fldCharType="begin" w:fldLock="1"/>
      </w:r>
      <w:r w:rsidR="00B707E2">
        <w:rPr>
          <w:rFonts w:ascii="Cambria" w:hAnsi="Cambria"/>
        </w:rPr>
        <w:instrText>ADDIN CSL_CITATION { "citationItems" : [ { "id" : "ITEM-1", "itemData" : { "DOI" : "10.4161/hv.26038", "ISSN" : "2164-5515", "PMID" : "23955431", "abstract" : "Malaria results in over 650,000 deaths each year; thus, there is an urgent need for an effective vaccine. Pre-clinical studies and recently reported human trials suggest that pre-erythrocytic stage vaccines can provide protection against infection. A Phase 1, randomized, placebo-controlled, dose-escalation study was conducted with a vaccine composed of a replication-deficient adenovirus-35 backbone with P. falciparum circumsporozoite (CS) surface antigen (Ad35.CS.01). Healthy adult subjects received three doses of 10 (8), 10 (9), 10 (10), or 10 (11) vp/mL Ad35.CS.01 vaccine or saline placebo intramuscularly at 0, 1, and 6-mo intervals. Adverse events were assessed and anti-CS antibody responses were determined by ELISA. Seventy-two individuals were enrolled, with age, gender, and ethnicity similar across each study arm. While the vaccine was generally well tolerated, adverse events were more frequent in the highest dose groups (10 (10) and 10 (11) vp/mL). More robust humoral responses were also noted at the highest doses, with 73% developing a positive ELISA response after the three dose series of 10 (11) vp/mL. The Ad35.CS.01 vaccine was most immunogenic at the highest dosages (10 (10) and 10 (11) vp/mL). Reactogenicity findings were more common after the 10 (11) vp/mL dose, although most were mild or moderate in nature and resolved without therapy.", "author" : [ { "dropping-particle" : "", "family" : "Creech", "given" : "C Buddy", "non-dropping-particle" : "", "parse-names" : false, "suffix" : "" }, { "dropping-particle" : "", "family" : "Dekker", "given" : "Cornelia L", "non-dropping-particle" : "", "parse-names" : false, "suffix" : "" }, { "dropping-particle" : "", "family" : "Ho", "given" : "Dora", "non-dropping-particle" : "", "parse-names" : false, "suffix" : "" }, { "dropping-particle" : "", "family" : "Phillips", "given" : "Shanda", "non-dropping-particle" : "", "parse-names" : false, "suffix" : "" }, { "dropping-particle" : "", "family" : "Mackey", "given" : "Sally", "non-dropping-particle" : "", "parse-names" : false, "suffix" : "" }, { "dropping-particle" : "", "family" : "Murray-Krezan", "given" : "Cristina", "non-dropping-particle" : "", "parse-names" : false, "suffix" : "" }, { "dropping-particle" : "", "family" : "Grazia Pau", "given" : "Maria", "non-dropping-particle" : "", "parse-names" : false, "suffix" : "" }, { "dropping-particle" : "", "family" : "Hendriks", "given" : "Jenny", "non-dropping-particle" : "", "parse-names" : false, "suffix" : "" }, { "dropping-particle" : "", "family" : "Brown", "given" : "Valerie", "non-dropping-particle" : "", "parse-names" : false, "suffix" : "" }, { "dropping-particle" : "", "family" : "Dally", "given" : "Leonard G", "non-dropping-particle" : "", "parse-names" : false, "suffix" : "" }, { "dropping-particle" : "", "family" : "Versteege", "given" : "Isabella", "non-dropping-particle" : "", "parse-names" : false, "suffix" : "" }, { "dropping-particle" : "", "family" : "Edwards", "given" : "Kathryn M", "non-dropping-particle" : "", "parse-names" : false, "suffix" : "" } ], "container-title" : "Human vaccines &amp; immunotherapeutics", "id" : "ITEM-1", "issue" : "12", "issued" : { "date-parts" : [ [ "2013", "12", "1" ] ] }, "page" : "2548-2557", "title" : "Randomized, placebo-controlled trial to assess the safety and immunogenicity of an adenovirus type 35-based circumsporozoite malaria vaccine in healthy adults", "type" : "article-journal", "volume" : "9" }, "uris" : [ "http://www.mendeley.com/documents/?uuid=41b8bd18-7515-3181-833d-84250d24d0ce" ] }, { "id" : "ITEM-2", "itemData" : { "DOI" : "10.1093/infdis/jis671", "ISSN" : "1537-6613", "PMID" : "23125443", "abstract" : "BACKGROUND Adenovirus serotype 26 (Ad26) has been developed as a novel candidate vaccine vector for human immunodeficiency virus type 1 (HIV-1) and other pathogens. The primary safety and immunogenicity data from the Integrated Preclinical/Clinical AIDS Vaccine Development Program (IPCAVD) 001 trial, the first-in-human evaluation of a prototype Ad26 vector-based vaccine expressing clade A HIV-1 Env (Ad26.ENVA.01), are reported concurrently with this article. Here, we characterize in greater detail the humoral and cellular immune responses elicited by Ad26.ENVA.01 in humans. METHODS Samples from the IPCAVD 001 trial were used for humoral and cellular immunogenicity assays. RESULTS We observed a dose-dependent expansion of the magnitude, breadth, and epitopic diversity of Env-specific binding antibody responses elicited by this vaccine. Antibody-dependent cell-mediated phagocytosis, virus inhibition, and degranulation functional activity were also observed. Env-specific cellular immune responses induced by the vaccine included multiple CD8(+) and CD4(+) T-lymphocyte memory subpopulations and cytokine secretion phenotypes, although cellular immune breadth was limited. Baseline vector-specific T-lymphocyte responses were common but did not impair Env-specific immune responses in this study. CONCLUSION Ad26.ENVA.01 elicited a broad diversity of humoral and cellular immune responses in humans. These data support the further clinical development of Ad26 as a candidate vaccine vector. CLINICAL TRIALS REGISTRATION NCT00618605.", "author" : [ { "dropping-particle" : "", "family" : "Barouch", "given" : "Dan H.", "non-dropping-particle" : "", "parse-names" : false, "suffix" : "" }, { "dropping-particle" : "", "family" : "Liu", "given" : "Jinyan", "non-dropping-particle" : "", "parse-names" : false, "suffix" : "" }, { "dropping-particle" : "", "family" : "Peter", "given" : "Lauren", "non-dropping-particle" : "", "parse-names" : false, "suffix" : "" }, { "dropping-particle" : "", "family" : "Abbink", "given" : "Peter", "non-dropping-particle" : "", "parse-names" : false, "suffix" : "" }, { "dropping-particle" : "", "family" : "Iampietro", "given" : "M. Justin", "non-dropping-particle" : "", "parse-names" : false, "suffix" : "" }, { "dropping-particle" : "", "family" : "Cheung", "given" : "Ann", "non-dropping-particle" : "", "parse-names" : false, "suffix" : "" }, { "dropping-particle" : "", "family" : "Alter", "given" : "Galit", "non-dropping-particle" : "", "parse-names" : false, "suffix" : "" }, { "dropping-particle" : "", "family" : "Chung", "given" : "Amy", "non-dropping-particle" : "", "parse-names" : false, "suffix" : "" }, { "dropping-particle" : "", "family" : "Dugast", "given" : "Anne-Sophie", "non-dropping-particle" : "", "parse-names" : false, "suffix" : "" }, { "dropping-particle" : "", "family" : "Frahm", "given" : "Nicole", "non-dropping-particle" : "", "parse-names" : false, "suffix" : "" }, { "dropping-particle" : "", "family" : "McElrath", "given" : "M. Juliana", "non-dropping-particle" : "", "parse-names" : false, "suffix" : "" }, { "dropping-particle" : "", "family" : "Wenschuh", "given" : "Holger", "non-dropping-particle" : "", "parse-names" : false, "suffix" : "" }, { "dropping-particle" : "", "family" : "Reimer", "given" : "Ulf", "non-dropping-particle" : "", "parse-names" : false, "suffix" : "" }, { "dropping-particle" : "", "family" : "Seaman", "given" : "Michael S.", "non-dropping-particle" : "", "parse-names" : false, "suffix" : "" }, { "dropping-particle" : "", "family" : "Pau", "given" : "Maria G.", "non-dropping-particle" : "", "parse-names" : false, "suffix" : "" }, { "dropping-particle" : "", "family" : "Weijtens", "given" : "Mo", "non-dropping-particle" : "", "parse-names" : false, "suffix" : "" }, { "dropping-particle" : "", "family" : "Goudsmit", "given" : "Jaap", "non-dropping-particle" : "", "parse-names" : false, "suffix" : "" }, { "dropping-particle" : "", "family" : "Walsh", "given" : "Stephen R.", "non-dropping-particle" : "", "parse-names" : false, "suffix" : "" }, { "dropping-particle" : "", "family" : "Dolin", "given" : "Raphael", "non-dropping-particle" : "", "parse-names" : false, "suffix" : "" }, { "dropping-particle" : "", "family" : "Baden", "given" : "Lindsey R.", "non-dropping-particle" : "", "parse-names" : false, "suffix" : "" } ], "container-title" : "The Journal of Infectious Diseases", "id" : "ITEM-2", "issue" : "2", "issued" : { "date-parts" : [ [ "2013", "1", "15" ] ] }, "page" : "248-256", "title" : "Characterization of Humoral and Cellular Immune Responses Elicited by a Recombinant Adenovirus Serotype 26 HIV-1 Env Vaccine in Healthy Adults (IPCAVD 001)", "type" : "article-journal", "volume" : "207" }, "uris" : [ "http://www.mendeley.com/documents/?uuid=5cddff5c-bdfd-34dc-8311-938e87127af0" ] } ], "mendeley" : { "formattedCitation" : "(100,101)", "plainTextFormattedCitation" : "(100,101)", "previouslyFormattedCitation" : "(99,100)" }, "properties" : { "noteIndex" : 0 }, "schema" : "https://github.com/citation-style-language/schema/raw/master/csl-citation.json" }</w:instrText>
      </w:r>
      <w:r w:rsidR="001F3CB1">
        <w:rPr>
          <w:rFonts w:ascii="Cambria" w:hAnsi="Cambria"/>
        </w:rPr>
        <w:fldChar w:fldCharType="separate"/>
      </w:r>
      <w:r w:rsidR="00B707E2" w:rsidRPr="00B707E2">
        <w:rPr>
          <w:rFonts w:ascii="Cambria" w:hAnsi="Cambria"/>
          <w:noProof/>
        </w:rPr>
        <w:t>(100,101)</w:t>
      </w:r>
      <w:r w:rsidR="001F3CB1">
        <w:rPr>
          <w:rFonts w:ascii="Cambria" w:hAnsi="Cambria"/>
        </w:rPr>
        <w:fldChar w:fldCharType="end"/>
      </w:r>
      <w:r w:rsidR="000A22F2">
        <w:rPr>
          <w:rFonts w:ascii="Cambria" w:hAnsi="Cambria"/>
        </w:rPr>
        <w:t xml:space="preserve">. </w:t>
      </w:r>
      <w:r w:rsidR="006617AC">
        <w:rPr>
          <w:rFonts w:ascii="Cambria" w:hAnsi="Cambria"/>
        </w:rPr>
        <w:t xml:space="preserve">Previously, </w:t>
      </w:r>
      <w:r w:rsidR="000A22F2">
        <w:rPr>
          <w:rFonts w:ascii="Cambria" w:hAnsi="Cambria"/>
        </w:rPr>
        <w:t>t</w:t>
      </w:r>
      <w:r w:rsidR="006617AC">
        <w:rPr>
          <w:rFonts w:ascii="Cambria" w:hAnsi="Cambria"/>
        </w:rPr>
        <w:t>he</w:t>
      </w:r>
      <w:r w:rsidR="000A22F2">
        <w:rPr>
          <w:rFonts w:ascii="Cambria" w:hAnsi="Cambria"/>
        </w:rPr>
        <w:t xml:space="preserve"> </w:t>
      </w:r>
      <w:r w:rsidR="00817802">
        <w:rPr>
          <w:rFonts w:ascii="Cambria" w:hAnsi="Cambria"/>
        </w:rPr>
        <w:t xml:space="preserve">vaccine candidate </w:t>
      </w:r>
      <w:r w:rsidR="007F7E67">
        <w:rPr>
          <w:rFonts w:ascii="Cambria" w:hAnsi="Cambria"/>
        </w:rPr>
        <w:t>vector expressed</w:t>
      </w:r>
      <w:r w:rsidR="000A1A94">
        <w:rPr>
          <w:rFonts w:ascii="Cambria" w:hAnsi="Cambria"/>
        </w:rPr>
        <w:t xml:space="preserve"> </w:t>
      </w:r>
      <w:r w:rsidR="000A22F2">
        <w:rPr>
          <w:rFonts w:ascii="Cambria" w:hAnsi="Cambria"/>
        </w:rPr>
        <w:t>post</w:t>
      </w:r>
      <w:r w:rsidR="00525B10">
        <w:rPr>
          <w:rFonts w:ascii="Cambria" w:hAnsi="Cambria"/>
        </w:rPr>
        <w:t>-</w:t>
      </w:r>
      <w:r w:rsidR="000A22F2">
        <w:rPr>
          <w:rFonts w:ascii="Cambria" w:hAnsi="Cambria"/>
        </w:rPr>
        <w:t xml:space="preserve">F </w:t>
      </w:r>
      <w:r w:rsidR="000A1A94">
        <w:rPr>
          <w:rFonts w:ascii="Cambria" w:hAnsi="Cambria"/>
        </w:rPr>
        <w:t xml:space="preserve">as </w:t>
      </w:r>
      <w:r w:rsidR="000A22F2">
        <w:rPr>
          <w:rFonts w:ascii="Cambria" w:hAnsi="Cambria"/>
        </w:rPr>
        <w:t xml:space="preserve">antigen (FA2) but </w:t>
      </w:r>
      <w:r w:rsidR="00A27FE9">
        <w:rPr>
          <w:rFonts w:ascii="Cambria" w:hAnsi="Cambria"/>
        </w:rPr>
        <w:t xml:space="preserve">has </w:t>
      </w:r>
      <w:r w:rsidR="000A22F2">
        <w:rPr>
          <w:rFonts w:ascii="Cambria" w:hAnsi="Cambria"/>
        </w:rPr>
        <w:t>now</w:t>
      </w:r>
      <w:r w:rsidR="00A27FE9">
        <w:rPr>
          <w:rFonts w:ascii="Cambria" w:hAnsi="Cambria"/>
        </w:rPr>
        <w:t xml:space="preserve"> changed to</w:t>
      </w:r>
      <w:r w:rsidR="000A22F2">
        <w:rPr>
          <w:rFonts w:ascii="Cambria" w:hAnsi="Cambria"/>
        </w:rPr>
        <w:t xml:space="preserve"> </w:t>
      </w:r>
      <w:r w:rsidR="001B78EE">
        <w:rPr>
          <w:rFonts w:ascii="Cambria" w:hAnsi="Cambria"/>
        </w:rPr>
        <w:t xml:space="preserve">the </w:t>
      </w:r>
      <w:r w:rsidR="000A22F2">
        <w:rPr>
          <w:rFonts w:ascii="Cambria" w:hAnsi="Cambria"/>
        </w:rPr>
        <w:t>stabilized pre</w:t>
      </w:r>
      <w:r w:rsidR="00C35468">
        <w:rPr>
          <w:rFonts w:ascii="Cambria" w:hAnsi="Cambria"/>
        </w:rPr>
        <w:t>-</w:t>
      </w:r>
      <w:r w:rsidR="000A22F2">
        <w:rPr>
          <w:rFonts w:ascii="Cambria" w:hAnsi="Cambria"/>
        </w:rPr>
        <w:t>F</w:t>
      </w:r>
      <w:r w:rsidR="00631881">
        <w:rPr>
          <w:rFonts w:ascii="Cambria" w:hAnsi="Cambria"/>
        </w:rPr>
        <w:t xml:space="preserve"> conformation</w:t>
      </w:r>
      <w:r w:rsidR="007F7E67">
        <w:rPr>
          <w:rFonts w:ascii="Cambria" w:hAnsi="Cambria"/>
        </w:rPr>
        <w:t xml:space="preserve"> as vaccine antigen</w:t>
      </w:r>
      <w:r w:rsidR="00D66F33">
        <w:rPr>
          <w:rFonts w:ascii="Cambria" w:hAnsi="Cambria"/>
        </w:rPr>
        <w:t>. The stabilized pre</w:t>
      </w:r>
      <w:r w:rsidR="00C35468">
        <w:rPr>
          <w:rFonts w:ascii="Cambria" w:hAnsi="Cambria"/>
        </w:rPr>
        <w:t>-</w:t>
      </w:r>
      <w:r w:rsidR="00D66F33">
        <w:rPr>
          <w:rFonts w:ascii="Cambria" w:hAnsi="Cambria"/>
        </w:rPr>
        <w:t>F</w:t>
      </w:r>
      <w:r w:rsidR="00631881">
        <w:rPr>
          <w:rFonts w:ascii="Cambria" w:hAnsi="Cambria"/>
        </w:rPr>
        <w:t xml:space="preserve"> protein</w:t>
      </w:r>
      <w:r w:rsidR="00733E58">
        <w:rPr>
          <w:rFonts w:ascii="Cambria" w:hAnsi="Cambria"/>
        </w:rPr>
        <w:t xml:space="preserve"> has</w:t>
      </w:r>
      <w:r w:rsidR="000A22F2">
        <w:rPr>
          <w:rFonts w:ascii="Cambria" w:hAnsi="Cambria"/>
        </w:rPr>
        <w:t xml:space="preserve"> 5 amino acid </w:t>
      </w:r>
      <w:r w:rsidR="00984981">
        <w:rPr>
          <w:rFonts w:ascii="Cambria" w:hAnsi="Cambria"/>
        </w:rPr>
        <w:t xml:space="preserve">changes </w:t>
      </w:r>
      <w:r w:rsidR="000A22F2">
        <w:rPr>
          <w:rFonts w:ascii="Cambria" w:hAnsi="Cambria"/>
        </w:rPr>
        <w:t xml:space="preserve">from </w:t>
      </w:r>
      <w:r w:rsidR="000E388B">
        <w:rPr>
          <w:rFonts w:ascii="Cambria" w:hAnsi="Cambria"/>
        </w:rPr>
        <w:t>wild-type, and</w:t>
      </w:r>
      <w:r w:rsidR="00D66F33">
        <w:rPr>
          <w:rFonts w:ascii="Cambria" w:hAnsi="Cambria"/>
        </w:rPr>
        <w:t xml:space="preserve"> is stable at 4C </w:t>
      </w:r>
      <w:r w:rsidR="000E388B">
        <w:rPr>
          <w:rFonts w:ascii="Cambria" w:hAnsi="Cambria"/>
        </w:rPr>
        <w:t>and</w:t>
      </w:r>
      <w:r w:rsidR="00D66F33">
        <w:rPr>
          <w:rFonts w:ascii="Cambria" w:hAnsi="Cambria"/>
        </w:rPr>
        <w:t xml:space="preserve"> heat-stable</w:t>
      </w:r>
      <w:r w:rsidR="00D66F33">
        <w:rPr>
          <w:rFonts w:ascii="Cambria" w:hAnsi="Cambria"/>
        </w:rPr>
        <w:fldChar w:fldCharType="begin" w:fldLock="1"/>
      </w:r>
      <w:r w:rsidR="00D83E6A">
        <w:rPr>
          <w:rFonts w:ascii="Cambria" w:hAnsi="Cambria"/>
        </w:rPr>
        <w:instrText>ADDIN CSL_CITATION { "citationItems" : [ { "id" : "ITEM-1", "itemData" : { "DOI" : "10.1038/ncomms9143", "ISSN" : "2041-1723", "abstract" : "Respiratory syncytial virus (RSV) is a highly contagious childhood pathogen of the respiratory tract for which no vaccine is currently available. Here the authors present a strategy to stabilize the RSV F protein in a prefusion conformation that can elicit a strong protective immune response in animal models.", "author" : [ { "dropping-particle" : "", "family" : "Krarup", "given" : "Anders", "non-dropping-particle" : "", "parse-names" : false, "suffix" : "" }, { "dropping-particle" : "", "family" : "Truan", "given" : "Daphn\u00e9", "non-dropping-particle" : "", "parse-names" : false, "suffix" : "" }, { "dropping-particle" : "", "family" : "Furmanova-Hollenstein", "given" : "Polina", "non-dropping-particle" : "", "parse-names" : false, "suffix" : "" }, { "dropping-particle" : "", "family" : "Bogaert", "given" : "Lies", "non-dropping-particle" : "", "parse-names" : false, "suffix" : "" }, { "dropping-particle" : "", "family" : "Bouchier", "given" : "Pascale", "non-dropping-particle" : "", "parse-names" : false, "suffix" : "" }, { "dropping-particle" : "", "family" : "Bisschop", "given" : "Ilona J. M.", "non-dropping-particle" : "", "parse-names" : false, "suffix" : "" }, { "dropping-particle" : "", "family" : "Widjojoatmodjo", "given" : "Myra N.", "non-dropping-particle" : "", "parse-names" : false, "suffix" : "" }, { "dropping-particle" : "", "family" : "Zahn", "given" : "Roland", "non-dropping-particle" : "", "parse-names" : false, "suffix" : "" }, { "dropping-particle" : "", "family" : "Schuitemaker", "given" : "Hanneke", "non-dropping-particle" : "", "parse-names" : false, "suffix" : "" }, { "dropping-particle" : "", "family" : "McLellan", "given" : "Jason S.", "non-dropping-particle" : "", "parse-names" : false, "suffix" : "" }, { "dropping-particle" : "", "family" : "Langedijk", "given" : "Johannes P. M.", "non-dropping-particle" : "", "parse-names" : false, "suffix" : "" } ], "container-title" : "Nature Communications", "id" : "ITEM-1", "issued" : { "date-parts" : [ [ "2015", "9", "3" ] ] }, "page" : "8143", "publisher" : "Nature Publishing Group", "title" : "A highly stable prefusion RSV F vaccine derived from structural analysis of the fusion mechanism", "type" : "article-journal", "volume" : "6" }, "uris" : [ "http://www.mendeley.com/documents/?uuid=78d804d3-b0f2-34a2-85fe-15aea2def1b9" ] } ], "mendeley" : { "formattedCitation" : "(53)", "plainTextFormattedCitation" : "(53)", "previouslyFormattedCitation" : "(53)" }, "properties" : { "noteIndex" : 0 }, "schema" : "https://github.com/citation-style-language/schema/raw/master/csl-citation.json" }</w:instrText>
      </w:r>
      <w:r w:rsidR="00D66F33">
        <w:rPr>
          <w:rFonts w:ascii="Cambria" w:hAnsi="Cambria"/>
        </w:rPr>
        <w:fldChar w:fldCharType="separate"/>
      </w:r>
      <w:r w:rsidR="00462954" w:rsidRPr="00462954">
        <w:rPr>
          <w:rFonts w:ascii="Cambria" w:hAnsi="Cambria"/>
          <w:noProof/>
        </w:rPr>
        <w:t>(53)</w:t>
      </w:r>
      <w:r w:rsidR="00D66F33">
        <w:rPr>
          <w:rFonts w:ascii="Cambria" w:hAnsi="Cambria"/>
        </w:rPr>
        <w:fldChar w:fldCharType="end"/>
      </w:r>
      <w:r w:rsidR="000A22F2">
        <w:rPr>
          <w:rFonts w:ascii="Cambria" w:hAnsi="Cambria"/>
        </w:rPr>
        <w:t xml:space="preserve">. </w:t>
      </w:r>
      <w:r w:rsidR="000745BB">
        <w:rPr>
          <w:rFonts w:ascii="Cambria" w:hAnsi="Cambria"/>
        </w:rPr>
        <w:t xml:space="preserve">With the expectation </w:t>
      </w:r>
      <w:r w:rsidR="005B70A1">
        <w:rPr>
          <w:rFonts w:ascii="Cambria" w:hAnsi="Cambria"/>
        </w:rPr>
        <w:t xml:space="preserve">that this vaccine candidate will </w:t>
      </w:r>
      <w:r w:rsidR="000745BB">
        <w:rPr>
          <w:rFonts w:ascii="Cambria" w:hAnsi="Cambria"/>
        </w:rPr>
        <w:t>induce highly neutralizing antibodies against pre</w:t>
      </w:r>
      <w:r w:rsidR="00C35468">
        <w:rPr>
          <w:rFonts w:ascii="Cambria" w:hAnsi="Cambria"/>
        </w:rPr>
        <w:t>-</w:t>
      </w:r>
      <w:r w:rsidR="000745BB">
        <w:rPr>
          <w:rFonts w:ascii="Cambria" w:hAnsi="Cambria"/>
        </w:rPr>
        <w:t xml:space="preserve">F, </w:t>
      </w:r>
      <w:r w:rsidR="00AE0CB2">
        <w:rPr>
          <w:rFonts w:ascii="Cambria" w:hAnsi="Cambria"/>
        </w:rPr>
        <w:t>p</w:t>
      </w:r>
      <w:r w:rsidR="005B70A1">
        <w:rPr>
          <w:rFonts w:ascii="Cambria" w:hAnsi="Cambria"/>
        </w:rPr>
        <w:t>hase II</w:t>
      </w:r>
      <w:r w:rsidR="000745BB">
        <w:rPr>
          <w:rFonts w:ascii="Cambria" w:hAnsi="Cambria"/>
        </w:rPr>
        <w:t xml:space="preserve"> </w:t>
      </w:r>
      <w:r w:rsidR="001B78EE">
        <w:rPr>
          <w:rFonts w:ascii="Cambria" w:hAnsi="Cambria"/>
        </w:rPr>
        <w:t xml:space="preserve">trials </w:t>
      </w:r>
      <w:r w:rsidR="005B70A1">
        <w:rPr>
          <w:rFonts w:ascii="Cambria" w:hAnsi="Cambria"/>
        </w:rPr>
        <w:t xml:space="preserve">will be initiated </w:t>
      </w:r>
      <w:r w:rsidR="000745BB">
        <w:rPr>
          <w:rFonts w:ascii="Cambria" w:hAnsi="Cambria"/>
        </w:rPr>
        <w:t xml:space="preserve">in </w:t>
      </w:r>
      <w:r w:rsidR="00A90822">
        <w:rPr>
          <w:rFonts w:ascii="Cambria" w:hAnsi="Cambria"/>
        </w:rPr>
        <w:t xml:space="preserve">RSV-seropositive </w:t>
      </w:r>
      <w:r w:rsidR="00203911">
        <w:rPr>
          <w:rFonts w:ascii="Cambria" w:hAnsi="Cambria"/>
        </w:rPr>
        <w:t>children</w:t>
      </w:r>
      <w:r w:rsidR="000745BB">
        <w:rPr>
          <w:rFonts w:ascii="Cambria" w:hAnsi="Cambria"/>
        </w:rPr>
        <w:t>.</w:t>
      </w:r>
      <w:r w:rsidR="00383895">
        <w:rPr>
          <w:rFonts w:ascii="Cambria" w:hAnsi="Cambria"/>
        </w:rPr>
        <w:t xml:space="preserve"> In December 2017 a </w:t>
      </w:r>
      <w:r w:rsidR="00AE0CB2">
        <w:rPr>
          <w:rFonts w:ascii="Cambria" w:hAnsi="Cambria"/>
        </w:rPr>
        <w:t>phase</w:t>
      </w:r>
      <w:r w:rsidR="00383895">
        <w:rPr>
          <w:rFonts w:ascii="Cambria" w:hAnsi="Cambria"/>
        </w:rPr>
        <w:t xml:space="preserve"> II trial has been initiated comparing influenza vaccination with RSV and influenza co-administration in healthy older adults</w:t>
      </w:r>
      <w:r w:rsidR="00383895">
        <w:rPr>
          <w:rFonts w:ascii="Cambria" w:hAnsi="Cambria"/>
        </w:rPr>
        <w:fldChar w:fldCharType="begin" w:fldLock="1"/>
      </w:r>
      <w:r w:rsidR="00B707E2">
        <w:rPr>
          <w:rFonts w:ascii="Cambria" w:hAnsi="Cambria"/>
        </w:rPr>
        <w:instrText>ADDIN CSL_CITATION { "citationItems" : [ { "id" : "ITEM-1", "itemData" : { "URL" : "https://clinicaltrials.gov/ct2/show/NCT03339713", "accessed" : { "date-parts" : [ [ "2018", "1", "14" ] ] }, "id" : "ITEM-1", "issued" : { "date-parts" : [ [ "0" ] ] }, "title" : "A Study to Evaluate the Safety and Immunogenicity of Seasonal Influenza Vaccine and an Adenovirus Serotype 26- Based Vaccine Encoding for the Respiratory Syncytial Virus Pre-fusion F Protein (Ad26.RSV.preF), With and Without Co-administration, in Adults Aged 60 Years and Older in Stable Health - Full Text View - ClinicalTrials.gov", "type" : "webpage" }, "uris" : [ "http://www.mendeley.com/documents/?uuid=656097b8-9a88-3dd8-9a19-4a2f602e8cd1" ] } ], "mendeley" : { "formattedCitation" : "(102)", "plainTextFormattedCitation" : "(102)", "previouslyFormattedCitation" : "(101)" }, "properties" : { "noteIndex" : 0 }, "schema" : "https://github.com/citation-style-language/schema/raw/master/csl-citation.json" }</w:instrText>
      </w:r>
      <w:r w:rsidR="00383895">
        <w:rPr>
          <w:rFonts w:ascii="Cambria" w:hAnsi="Cambria"/>
        </w:rPr>
        <w:fldChar w:fldCharType="separate"/>
      </w:r>
      <w:r w:rsidR="00B707E2" w:rsidRPr="00B707E2">
        <w:rPr>
          <w:rFonts w:ascii="Cambria" w:hAnsi="Cambria"/>
          <w:noProof/>
        </w:rPr>
        <w:t>(102)</w:t>
      </w:r>
      <w:r w:rsidR="00383895">
        <w:rPr>
          <w:rFonts w:ascii="Cambria" w:hAnsi="Cambria"/>
        </w:rPr>
        <w:fldChar w:fldCharType="end"/>
      </w:r>
      <w:r w:rsidR="00383895">
        <w:rPr>
          <w:rFonts w:ascii="Cambria" w:hAnsi="Cambria"/>
        </w:rPr>
        <w:t>.</w:t>
      </w:r>
    </w:p>
    <w:p w14:paraId="02E81FE1" w14:textId="0C944529" w:rsidR="001F7523" w:rsidRDefault="001F3CB1" w:rsidP="00C566BC">
      <w:pPr>
        <w:jc w:val="both"/>
        <w:rPr>
          <w:rFonts w:ascii="Cambria" w:hAnsi="Cambria"/>
        </w:rPr>
      </w:pPr>
      <w:r>
        <w:rPr>
          <w:rFonts w:ascii="Cambria" w:hAnsi="Cambria"/>
        </w:rPr>
        <w:tab/>
      </w:r>
      <w:r w:rsidR="00D15091">
        <w:rPr>
          <w:rFonts w:ascii="Cambria" w:hAnsi="Cambria"/>
        </w:rPr>
        <w:t>Fifth</w:t>
      </w:r>
      <w:r>
        <w:rPr>
          <w:rFonts w:ascii="Cambria" w:hAnsi="Cambria"/>
        </w:rPr>
        <w:t>,</w:t>
      </w:r>
      <w:r w:rsidR="00C801A7" w:rsidRPr="00C801A7">
        <w:rPr>
          <w:rFonts w:ascii="Cambria" w:hAnsi="Cambria"/>
        </w:rPr>
        <w:t xml:space="preserve"> </w:t>
      </w:r>
      <w:r w:rsidR="00C801A7">
        <w:rPr>
          <w:rFonts w:ascii="Cambria" w:hAnsi="Cambria"/>
        </w:rPr>
        <w:t>ChAd155-RSV,</w:t>
      </w:r>
      <w:r>
        <w:rPr>
          <w:rFonts w:ascii="Cambria" w:hAnsi="Cambria"/>
        </w:rPr>
        <w:t xml:space="preserve"> a </w:t>
      </w:r>
      <w:r w:rsidR="005032C5">
        <w:rPr>
          <w:rFonts w:ascii="Cambria" w:hAnsi="Cambria"/>
        </w:rPr>
        <w:t xml:space="preserve">replication-incompetent </w:t>
      </w:r>
      <w:r>
        <w:rPr>
          <w:rFonts w:ascii="Cambria" w:hAnsi="Cambria"/>
        </w:rPr>
        <w:t xml:space="preserve">chimpanzee adenovirus 155 has been used as a vector for the F, N and M2.1 </w:t>
      </w:r>
      <w:r w:rsidR="002B2C6D">
        <w:rPr>
          <w:rFonts w:ascii="Cambria" w:hAnsi="Cambria"/>
        </w:rPr>
        <w:t>proteins</w:t>
      </w:r>
      <w:r>
        <w:rPr>
          <w:rFonts w:ascii="Cambria" w:hAnsi="Cambria"/>
        </w:rPr>
        <w:t>.</w:t>
      </w:r>
      <w:r w:rsidRPr="001F3CB1">
        <w:rPr>
          <w:rFonts w:ascii="Cambria" w:hAnsi="Cambria"/>
        </w:rPr>
        <w:t xml:space="preserve"> </w:t>
      </w:r>
      <w:r>
        <w:rPr>
          <w:rFonts w:ascii="Cambria" w:hAnsi="Cambria"/>
        </w:rPr>
        <w:t xml:space="preserve">The anticipated use </w:t>
      </w:r>
      <w:r w:rsidR="00970D9A">
        <w:rPr>
          <w:rFonts w:ascii="Cambria" w:hAnsi="Cambria"/>
        </w:rPr>
        <w:t>for th</w:t>
      </w:r>
      <w:r w:rsidR="00A90822">
        <w:rPr>
          <w:rFonts w:ascii="Cambria" w:hAnsi="Cambria"/>
        </w:rPr>
        <w:t>is</w:t>
      </w:r>
      <w:r w:rsidR="00970D9A">
        <w:rPr>
          <w:rFonts w:ascii="Cambria" w:hAnsi="Cambria"/>
        </w:rPr>
        <w:t xml:space="preserve"> pediatric vaccine</w:t>
      </w:r>
      <w:r>
        <w:rPr>
          <w:rFonts w:ascii="Cambria" w:hAnsi="Cambria"/>
        </w:rPr>
        <w:t xml:space="preserve"> is to </w:t>
      </w:r>
      <w:r w:rsidR="001F7523">
        <w:rPr>
          <w:rFonts w:ascii="Cambria" w:hAnsi="Cambria"/>
        </w:rPr>
        <w:t xml:space="preserve">start </w:t>
      </w:r>
      <w:r>
        <w:rPr>
          <w:rFonts w:ascii="Cambria" w:hAnsi="Cambria"/>
        </w:rPr>
        <w:t xml:space="preserve">immunization at </w:t>
      </w:r>
      <w:r w:rsidR="00200832">
        <w:rPr>
          <w:rFonts w:ascii="Cambria" w:hAnsi="Cambria"/>
        </w:rPr>
        <w:t>two</w:t>
      </w:r>
      <w:r>
        <w:rPr>
          <w:rFonts w:ascii="Cambria" w:hAnsi="Cambria"/>
        </w:rPr>
        <w:t xml:space="preserve"> months of age, </w:t>
      </w:r>
      <w:r w:rsidR="002F6E17">
        <w:rPr>
          <w:rFonts w:ascii="Cambria" w:hAnsi="Cambria"/>
        </w:rPr>
        <w:t xml:space="preserve">and </w:t>
      </w:r>
      <w:r w:rsidR="00465FF2">
        <w:rPr>
          <w:rFonts w:ascii="Cambria" w:hAnsi="Cambria"/>
        </w:rPr>
        <w:t xml:space="preserve">to </w:t>
      </w:r>
      <w:r>
        <w:rPr>
          <w:rFonts w:ascii="Cambria" w:hAnsi="Cambria"/>
        </w:rPr>
        <w:t xml:space="preserve">use </w:t>
      </w:r>
      <w:r w:rsidR="00200832">
        <w:rPr>
          <w:rFonts w:ascii="Cambria" w:hAnsi="Cambria"/>
        </w:rPr>
        <w:t xml:space="preserve">two </w:t>
      </w:r>
      <w:r>
        <w:rPr>
          <w:rFonts w:ascii="Cambria" w:hAnsi="Cambria"/>
        </w:rPr>
        <w:t>doses</w:t>
      </w:r>
      <w:r w:rsidR="001B78EE">
        <w:rPr>
          <w:rFonts w:ascii="Cambria" w:hAnsi="Cambria"/>
        </w:rPr>
        <w:t xml:space="preserve"> </w:t>
      </w:r>
      <w:r>
        <w:rPr>
          <w:rFonts w:ascii="Cambria" w:hAnsi="Cambria"/>
        </w:rPr>
        <w:t>alongside the normal pediatric vaccination schedul</w:t>
      </w:r>
      <w:r w:rsidR="002F6E17">
        <w:rPr>
          <w:rFonts w:ascii="Cambria" w:hAnsi="Cambria"/>
        </w:rPr>
        <w:t>e</w:t>
      </w:r>
      <w:r w:rsidR="001B78EE">
        <w:rPr>
          <w:rFonts w:ascii="Cambria" w:hAnsi="Cambria"/>
        </w:rPr>
        <w:t>,</w:t>
      </w:r>
      <w:r w:rsidR="001B78EE" w:rsidRPr="001B78EE">
        <w:rPr>
          <w:rFonts w:ascii="Cambria" w:hAnsi="Cambria"/>
        </w:rPr>
        <w:t xml:space="preserve"> </w:t>
      </w:r>
      <w:r w:rsidR="001B78EE">
        <w:rPr>
          <w:rFonts w:ascii="Cambria" w:hAnsi="Cambria"/>
        </w:rPr>
        <w:t>instead of seasonally</w:t>
      </w:r>
      <w:r w:rsidR="00593550">
        <w:rPr>
          <w:rFonts w:ascii="Cambria" w:hAnsi="Cambria"/>
        </w:rPr>
        <w:fldChar w:fldCharType="begin" w:fldLock="1"/>
      </w:r>
      <w:r w:rsidR="00B707E2">
        <w:rPr>
          <w:rFonts w:ascii="Cambria" w:hAnsi="Cambria"/>
        </w:rPr>
        <w:instrText>ADDIN CSL_CITATION { "citationItems" : [ { "id" : "ITEM-1", "itemData" : { "author" : [ { "dropping-particle" : "", "family" : "Dieussaert", "given" : "Ilse", "non-dropping-particle" : "", "parse-names" : false, "suffix" : "" } ], "container-title" : "Presentation at Food and Drug Administration (FDA) 150th Meeting of the Vaccines and Related Biological Products Advisory Committee Meeting (VRBPAC)", "id" : "ITEM-1", "issued" : { "date-parts" : [ [ "2017" ] ] }, "publisher-place" : "Silver Spring", "title" : "GSK\u2019s Pediatric RSV Vaccine Program", "type" : "paper-conference" }, "uris" : [ "http://www.mendeley.com/documents/?uuid=695b6881-f4db-35e8-b2d9-11327eeabec0" ] } ], "mendeley" : { "formattedCitation" : "(103)", "plainTextFormattedCitation" : "(103)", "previouslyFormattedCitation" : "(102)" }, "properties" : { "noteIndex" : 0 }, "schema" : "https://github.com/citation-style-language/schema/raw/master/csl-citation.json" }</w:instrText>
      </w:r>
      <w:r w:rsidR="00593550">
        <w:rPr>
          <w:rFonts w:ascii="Cambria" w:hAnsi="Cambria"/>
        </w:rPr>
        <w:fldChar w:fldCharType="separate"/>
      </w:r>
      <w:r w:rsidR="00B707E2" w:rsidRPr="00B707E2">
        <w:rPr>
          <w:rFonts w:ascii="Cambria" w:hAnsi="Cambria"/>
          <w:noProof/>
        </w:rPr>
        <w:t>(103)</w:t>
      </w:r>
      <w:r w:rsidR="00593550">
        <w:rPr>
          <w:rFonts w:ascii="Cambria" w:hAnsi="Cambria"/>
        </w:rPr>
        <w:fldChar w:fldCharType="end"/>
      </w:r>
      <w:r>
        <w:rPr>
          <w:rFonts w:ascii="Cambria" w:hAnsi="Cambria"/>
        </w:rPr>
        <w:t xml:space="preserve">. </w:t>
      </w:r>
      <w:r w:rsidR="00A90822">
        <w:rPr>
          <w:rFonts w:ascii="Cambria" w:hAnsi="Cambria"/>
        </w:rPr>
        <w:t>Th</w:t>
      </w:r>
      <w:r w:rsidR="00203911">
        <w:rPr>
          <w:rFonts w:ascii="Cambria" w:hAnsi="Cambria"/>
        </w:rPr>
        <w:t>is</w:t>
      </w:r>
      <w:r w:rsidR="00A90822">
        <w:rPr>
          <w:rFonts w:ascii="Cambria" w:hAnsi="Cambria"/>
        </w:rPr>
        <w:t xml:space="preserve"> vaccine</w:t>
      </w:r>
      <w:r w:rsidR="002F6E17">
        <w:rPr>
          <w:rFonts w:ascii="Cambria" w:hAnsi="Cambria"/>
        </w:rPr>
        <w:t xml:space="preserve"> candidate</w:t>
      </w:r>
      <w:r w:rsidR="00A90822">
        <w:rPr>
          <w:rFonts w:ascii="Cambria" w:hAnsi="Cambria"/>
        </w:rPr>
        <w:t xml:space="preserve"> is currently being evaluated in 12-23 month old RSV seropositive children. </w:t>
      </w:r>
      <w:r>
        <w:rPr>
          <w:rFonts w:ascii="Cambria" w:hAnsi="Cambria"/>
        </w:rPr>
        <w:t>In the future, the</w:t>
      </w:r>
      <w:r w:rsidR="002F6E17">
        <w:rPr>
          <w:rFonts w:ascii="Cambria" w:hAnsi="Cambria"/>
        </w:rPr>
        <w:t xml:space="preserve">re </w:t>
      </w:r>
      <w:r w:rsidR="002F68B5">
        <w:rPr>
          <w:rFonts w:ascii="Cambria" w:hAnsi="Cambria"/>
        </w:rPr>
        <w:t xml:space="preserve">are </w:t>
      </w:r>
      <w:r>
        <w:rPr>
          <w:rFonts w:ascii="Cambria" w:hAnsi="Cambria"/>
        </w:rPr>
        <w:t>plans</w:t>
      </w:r>
      <w:r w:rsidR="002F68B5">
        <w:rPr>
          <w:rFonts w:ascii="Cambria" w:hAnsi="Cambria"/>
        </w:rPr>
        <w:t xml:space="preserve"> to</w:t>
      </w:r>
      <w:r>
        <w:rPr>
          <w:rFonts w:ascii="Cambria" w:hAnsi="Cambria"/>
        </w:rPr>
        <w:t xml:space="preserve"> </w:t>
      </w:r>
      <w:r w:rsidR="00A00A35">
        <w:rPr>
          <w:rFonts w:ascii="Cambria" w:hAnsi="Cambria"/>
        </w:rPr>
        <w:t xml:space="preserve">conduct </w:t>
      </w:r>
      <w:r>
        <w:rPr>
          <w:rFonts w:ascii="Cambria" w:hAnsi="Cambria"/>
        </w:rPr>
        <w:t>clinical trials</w:t>
      </w:r>
      <w:r w:rsidR="00414E26">
        <w:rPr>
          <w:rFonts w:ascii="Cambria" w:hAnsi="Cambria"/>
        </w:rPr>
        <w:t xml:space="preserve"> </w:t>
      </w:r>
      <w:r>
        <w:rPr>
          <w:rFonts w:ascii="Cambria" w:hAnsi="Cambria"/>
        </w:rPr>
        <w:t xml:space="preserve">in seronegative children </w:t>
      </w:r>
      <w:r w:rsidR="00414E26">
        <w:rPr>
          <w:rFonts w:ascii="Cambria" w:hAnsi="Cambria"/>
        </w:rPr>
        <w:t xml:space="preserve">sequentially </w:t>
      </w:r>
      <w:r>
        <w:rPr>
          <w:rFonts w:ascii="Cambria" w:hAnsi="Cambria"/>
        </w:rPr>
        <w:t>from older to younger ages (12-24 months followed by 6-12 months</w:t>
      </w:r>
      <w:r w:rsidR="00817802">
        <w:rPr>
          <w:rFonts w:ascii="Cambria" w:hAnsi="Cambria"/>
        </w:rPr>
        <w:t xml:space="preserve"> and subsequently</w:t>
      </w:r>
      <w:r>
        <w:rPr>
          <w:rFonts w:ascii="Cambria" w:hAnsi="Cambria"/>
        </w:rPr>
        <w:t xml:space="preserve"> 2-6 months of age) to ensure safety in RSV-naïve populations.</w:t>
      </w:r>
      <w:r w:rsidR="006B34E9">
        <w:rPr>
          <w:rFonts w:ascii="Cambria" w:hAnsi="Cambria"/>
        </w:rPr>
        <w:t xml:space="preserve"> Results of phase II trials are </w:t>
      </w:r>
      <w:r w:rsidR="005032C5">
        <w:rPr>
          <w:rFonts w:ascii="Cambria" w:hAnsi="Cambria"/>
        </w:rPr>
        <w:t>expected to be announced in 2020.</w:t>
      </w:r>
      <w:r w:rsidR="00CF4528">
        <w:rPr>
          <w:rFonts w:ascii="Cambria" w:hAnsi="Cambria"/>
        </w:rPr>
        <w:t xml:space="preserve"> </w:t>
      </w:r>
    </w:p>
    <w:p w14:paraId="1C5E7DC6" w14:textId="36119C65" w:rsidR="001F3CB1" w:rsidRDefault="00CF4528" w:rsidP="009B6291">
      <w:pPr>
        <w:ind w:firstLine="720"/>
        <w:jc w:val="both"/>
        <w:rPr>
          <w:rFonts w:ascii="Cambria" w:hAnsi="Cambria"/>
        </w:rPr>
      </w:pPr>
      <w:r>
        <w:rPr>
          <w:rFonts w:ascii="Cambria" w:hAnsi="Cambria"/>
        </w:rPr>
        <w:t xml:space="preserve">In summary, vector-based vaccines are used to display various RSV viral </w:t>
      </w:r>
      <w:r w:rsidR="002B2C6D">
        <w:rPr>
          <w:rFonts w:ascii="Cambria" w:hAnsi="Cambria"/>
        </w:rPr>
        <w:t xml:space="preserve">proteins </w:t>
      </w:r>
      <w:r w:rsidR="00EC6ABB">
        <w:rPr>
          <w:rFonts w:ascii="Cambria" w:hAnsi="Cambria"/>
        </w:rPr>
        <w:t>and</w:t>
      </w:r>
      <w:r>
        <w:rPr>
          <w:rFonts w:ascii="Cambria" w:hAnsi="Cambria"/>
        </w:rPr>
        <w:t xml:space="preserve"> </w:t>
      </w:r>
      <w:r w:rsidR="00A60043">
        <w:rPr>
          <w:rFonts w:ascii="Cambria" w:hAnsi="Cambria"/>
        </w:rPr>
        <w:t xml:space="preserve">three </w:t>
      </w:r>
      <w:r w:rsidR="002517B3">
        <w:rPr>
          <w:rFonts w:ascii="Cambria" w:hAnsi="Cambria"/>
        </w:rPr>
        <w:t xml:space="preserve">of </w:t>
      </w:r>
      <w:r w:rsidR="00EC6ABB">
        <w:rPr>
          <w:rFonts w:ascii="Cambria" w:hAnsi="Cambria"/>
        </w:rPr>
        <w:t xml:space="preserve">these vaccine candidates </w:t>
      </w:r>
      <w:r w:rsidR="002517B3">
        <w:rPr>
          <w:rFonts w:ascii="Cambria" w:hAnsi="Cambria"/>
        </w:rPr>
        <w:t>are in phase II trials.</w:t>
      </w:r>
    </w:p>
    <w:p w14:paraId="6577BC0D" w14:textId="77777777" w:rsidR="00975B33" w:rsidRDefault="00975B33" w:rsidP="00C566BC">
      <w:pPr>
        <w:jc w:val="both"/>
        <w:rPr>
          <w:rFonts w:ascii="Cambria" w:hAnsi="Cambria"/>
        </w:rPr>
      </w:pPr>
    </w:p>
    <w:p w14:paraId="390C1E01" w14:textId="77777777" w:rsidR="00FD5246" w:rsidRPr="00975B33" w:rsidRDefault="00FD5246" w:rsidP="00C566BC">
      <w:pPr>
        <w:jc w:val="both"/>
        <w:rPr>
          <w:rFonts w:ascii="Cambria" w:hAnsi="Cambria"/>
          <w:u w:val="single"/>
        </w:rPr>
      </w:pPr>
      <w:r w:rsidRPr="00975B33">
        <w:rPr>
          <w:rFonts w:ascii="Cambria" w:hAnsi="Cambria"/>
          <w:u w:val="single"/>
        </w:rPr>
        <w:t>Subunit vaccines</w:t>
      </w:r>
    </w:p>
    <w:p w14:paraId="13B6B86F" w14:textId="040833F9" w:rsidR="00970D9A" w:rsidRDefault="001D13DA" w:rsidP="00C566BC">
      <w:pPr>
        <w:jc w:val="both"/>
        <w:rPr>
          <w:rFonts w:ascii="Cambria" w:hAnsi="Cambria"/>
        </w:rPr>
      </w:pPr>
      <w:r>
        <w:rPr>
          <w:rFonts w:ascii="Cambria" w:hAnsi="Cambria"/>
        </w:rPr>
        <w:t xml:space="preserve">Due to concerns of ERD </w:t>
      </w:r>
      <w:r w:rsidR="00B35711">
        <w:rPr>
          <w:rFonts w:ascii="Cambria" w:hAnsi="Cambria"/>
        </w:rPr>
        <w:t xml:space="preserve">associated with </w:t>
      </w:r>
      <w:r w:rsidR="00A60043">
        <w:rPr>
          <w:rFonts w:ascii="Cambria" w:hAnsi="Cambria"/>
        </w:rPr>
        <w:t xml:space="preserve">protein-based </w:t>
      </w:r>
      <w:r>
        <w:rPr>
          <w:rFonts w:ascii="Cambria" w:hAnsi="Cambria"/>
        </w:rPr>
        <w:t xml:space="preserve">vaccines, </w:t>
      </w:r>
      <w:r w:rsidR="00AA1B5B">
        <w:rPr>
          <w:rFonts w:ascii="Cambria" w:hAnsi="Cambria"/>
        </w:rPr>
        <w:t>subunit vaccines are</w:t>
      </w:r>
      <w:r>
        <w:rPr>
          <w:rFonts w:ascii="Cambria" w:hAnsi="Cambria"/>
        </w:rPr>
        <w:t xml:space="preserve"> only in development for pregnant women and older adult populations</w:t>
      </w:r>
      <w:r w:rsidRPr="009C5A75">
        <w:rPr>
          <w:rFonts w:ascii="Cambria" w:hAnsi="Cambria"/>
        </w:rPr>
        <w:t xml:space="preserve">. </w:t>
      </w:r>
      <w:r w:rsidR="00593D69" w:rsidRPr="002438C9">
        <w:rPr>
          <w:rFonts w:ascii="Cambria" w:hAnsi="Cambria"/>
        </w:rPr>
        <w:t>One</w:t>
      </w:r>
      <w:r w:rsidRPr="002438C9">
        <w:rPr>
          <w:rFonts w:ascii="Cambria" w:hAnsi="Cambria"/>
        </w:rPr>
        <w:t xml:space="preserve"> subunit vaccine </w:t>
      </w:r>
      <w:r w:rsidR="00593D69" w:rsidRPr="002438C9">
        <w:rPr>
          <w:rFonts w:ascii="Cambria" w:hAnsi="Cambria"/>
        </w:rPr>
        <w:t>in development is the</w:t>
      </w:r>
      <w:r w:rsidR="0029563E" w:rsidRPr="002438C9">
        <w:rPr>
          <w:rFonts w:ascii="Cambria" w:hAnsi="Cambria"/>
        </w:rPr>
        <w:t xml:space="preserve"> </w:t>
      </w:r>
      <w:r w:rsidR="00C801A7" w:rsidRPr="002438C9">
        <w:rPr>
          <w:rFonts w:ascii="Cambria" w:hAnsi="Cambria"/>
        </w:rPr>
        <w:t xml:space="preserve">GSK </w:t>
      </w:r>
      <w:r w:rsidR="00381BBE" w:rsidRPr="002438C9">
        <w:rPr>
          <w:rFonts w:ascii="Cambria" w:hAnsi="Cambria"/>
        </w:rPr>
        <w:t>RSV</w:t>
      </w:r>
      <w:r w:rsidR="00C801A7" w:rsidRPr="002438C9">
        <w:rPr>
          <w:rFonts w:ascii="Cambria" w:hAnsi="Cambria"/>
        </w:rPr>
        <w:t xml:space="preserve"> </w:t>
      </w:r>
      <w:r w:rsidR="00381BBE" w:rsidRPr="002438C9">
        <w:rPr>
          <w:rFonts w:ascii="Cambria" w:hAnsi="Cambria"/>
        </w:rPr>
        <w:t>F</w:t>
      </w:r>
      <w:r w:rsidR="00593D69" w:rsidRPr="002438C9">
        <w:rPr>
          <w:rFonts w:ascii="Cambria" w:hAnsi="Cambria"/>
        </w:rPr>
        <w:t xml:space="preserve"> vaccine candidate, which</w:t>
      </w:r>
      <w:r w:rsidR="00381BBE" w:rsidRPr="002438C9">
        <w:rPr>
          <w:rFonts w:ascii="Cambria" w:hAnsi="Cambria"/>
        </w:rPr>
        <w:t xml:space="preserve"> uses a </w:t>
      </w:r>
      <w:r w:rsidR="00AD201D" w:rsidRPr="002438C9">
        <w:rPr>
          <w:rFonts w:ascii="Cambria" w:hAnsi="Cambria"/>
        </w:rPr>
        <w:t xml:space="preserve">version of </w:t>
      </w:r>
      <w:r w:rsidR="00706CE2" w:rsidRPr="002438C9">
        <w:rPr>
          <w:rFonts w:ascii="Cambria" w:hAnsi="Cambria"/>
        </w:rPr>
        <w:t>soluble secreted F protein</w:t>
      </w:r>
      <w:r w:rsidR="00593D69" w:rsidRPr="002438C9">
        <w:rPr>
          <w:rFonts w:ascii="Cambria" w:hAnsi="Cambria"/>
        </w:rPr>
        <w:t xml:space="preserve"> empirically</w:t>
      </w:r>
      <w:r w:rsidR="00AD201D" w:rsidRPr="002438C9">
        <w:rPr>
          <w:rFonts w:ascii="Cambria" w:hAnsi="Cambria"/>
        </w:rPr>
        <w:t xml:space="preserve"> engineered to maintain the Pre</w:t>
      </w:r>
      <w:r w:rsidR="00C35468" w:rsidRPr="002438C9">
        <w:rPr>
          <w:rFonts w:ascii="Cambria" w:hAnsi="Cambria"/>
        </w:rPr>
        <w:t>-</w:t>
      </w:r>
      <w:r w:rsidR="00AD201D" w:rsidRPr="002438C9">
        <w:rPr>
          <w:rFonts w:ascii="Cambria" w:hAnsi="Cambria"/>
        </w:rPr>
        <w:t>F conformation</w:t>
      </w:r>
      <w:r w:rsidR="00706CE2" w:rsidRPr="002438C9">
        <w:rPr>
          <w:rFonts w:ascii="Cambria" w:hAnsi="Cambria"/>
        </w:rPr>
        <w:t>.</w:t>
      </w:r>
      <w:r w:rsidR="00593D69" w:rsidRPr="002438C9">
        <w:rPr>
          <w:rFonts w:ascii="Cambria" w:hAnsi="Cambria"/>
        </w:rPr>
        <w:t xml:space="preserve"> </w:t>
      </w:r>
      <w:r w:rsidR="00706CE2">
        <w:rPr>
          <w:rFonts w:ascii="Cambria" w:hAnsi="Cambria"/>
        </w:rPr>
        <w:t>Phase I results demonstrated safety and immunogenicity as evidenced by RSV neutralizing antibody response in healthy men</w:t>
      </w:r>
      <w:r w:rsidR="00706CE2">
        <w:rPr>
          <w:rFonts w:ascii="Cambria" w:hAnsi="Cambria"/>
        </w:rPr>
        <w:fldChar w:fldCharType="begin" w:fldLock="1"/>
      </w:r>
      <w:r w:rsidR="00B707E2">
        <w:rPr>
          <w:rFonts w:ascii="Cambria" w:hAnsi="Cambria"/>
        </w:rPr>
        <w:instrText>ADDIN CSL_CITATION { "citationItems" : [ { "id" : "ITEM-1", "itemData" : { "DOI" : "10.1093/infdis/jiw453", "ISSN" : "1537-6613", "PMID" : "27694633", "abstract" : "BACKGROUND Respiratory syncytial virus (RSV) is a leading cause of childhood bronchiolitis and pneumonia, particularly in early infancy. Immunization of pregnant women could boost preexisting immune responses, providing passive protection to newborns through placental transfer of anti-RSV antibody. METHODS In this first-in-humans clinical trial of a purified recombinant RSV protein F vaccine engineered to preferentially maintain prefusion conformation (RSV-PreF), 128 healthy men 18-44 years old were randomized to one dose of a RSV-PreF vaccine containing 10, 30, or 60 \u00b5g of RSV-PreF antigen, with or without alum adjuvant, or control, and followed for one year for safety and immunogenicity outcomes. RESULTS Injection site pain was the most common adverse event, reported by up to 81.3% of participants. The highest RSV neutralizing antibody responses were in the 30 \u00b5g RSV-PreF/alum, 60 \u00b5g RSV-PreF/alum, and 60 \u00b5g RSV-PreF/nonadjuvant groups. Responses were evident on day 7, and 30 days after vaccination these participants had RSV-A neutralizing antibody titers of \u22651:512, and &gt;70% had titers of 1:1024, with titers increasing by 3.2-4.9 fold. Responses remained high on day 60 but waned on days 180 and 360. CONCLUSIONS The RSV-PreF vaccine elicited rapid RSV neutralizing antibody responses in healthy young men, with an acceptable adverse event profile.", "author" : [ { "dropping-particle" : "", "family" : "Langley", "given" : "Joanne M", "non-dropping-particle" : "", "parse-names" : false, "suffix" : "" }, { "dropping-particle" : "", "family" : "Aggarwal", "given" : "Naresh", "non-dropping-particle" : "", "parse-names" : false, "suffix" : "" }, { "dropping-particle" : "", "family" : "Toma", "given" : "Azhar", "non-dropping-particle" : "", "parse-names" : false, "suffix" : "" }, { "dropping-particle" : "", "family" : "Halperin", "given" : "Scott A", "non-dropping-particle" : "", "parse-names" : false, "suffix" : "" }, { "dropping-particle" : "", "family" : "McNeil", "given" : "Shelly A", "non-dropping-particle" : "", "parse-names" : false, "suffix" : "" }, { "dropping-particle" : "", "family" : "Fissette", "given" : "Laurence", "non-dropping-particle" : "", "parse-names" : false, "suffix" : "" }, { "dropping-particle" : "", "family" : "Dew\u00e9", "given" : "Walthere", "non-dropping-particle" : "", "parse-names" : false, "suffix" : "" }, { "dropping-particle" : "", "family" : "Leyssen", "given" : "Maarten", "non-dropping-particle" : "", "parse-names" : false, "suffix" : "" }, { "dropping-particle" : "", "family" : "Toussaint", "given" : "Jean-Fran\u00e7ois", "non-dropping-particle" : "", "parse-names" : false, "suffix" : "" }, { "dropping-particle" : "", "family" : "Dieussaert", "given" : "Ilse", "non-dropping-particle" : "", "parse-names" : false, "suffix" : "" } ], "container-title" : "The Journal of infectious diseases", "id" : "ITEM-1", "issue" : "1", "issued" : { "date-parts" : [ [ "2017", "1", "1" ] ] }, "page" : "24-33", "title" : "A Randomized, Controlled, Observer-Blinded Phase 1 Study of the Safety and Immunogenicity of a Respiratory Syncytial Virus Vaccine With or Without Alum Adjuvant.", "type" : "article-journal", "volume" : "215" }, "uris" : [ "http://www.mendeley.com/documents/?uuid=0fe9bf92-205b-32b7-862b-366c4fabf926" ] } ], "mendeley" : { "formattedCitation" : "(104)", "plainTextFormattedCitation" : "(104)", "previouslyFormattedCitation" : "(103)" }, "properties" : { "noteIndex" : 0 }, "schema" : "https://github.com/citation-style-language/schema/raw/master/csl-citation.json" }</w:instrText>
      </w:r>
      <w:r w:rsidR="00706CE2">
        <w:rPr>
          <w:rFonts w:ascii="Cambria" w:hAnsi="Cambria"/>
        </w:rPr>
        <w:fldChar w:fldCharType="separate"/>
      </w:r>
      <w:r w:rsidR="00B707E2" w:rsidRPr="00B707E2">
        <w:rPr>
          <w:rFonts w:ascii="Cambria" w:hAnsi="Cambria"/>
          <w:noProof/>
        </w:rPr>
        <w:t>(104)</w:t>
      </w:r>
      <w:r w:rsidR="00706CE2">
        <w:rPr>
          <w:rFonts w:ascii="Cambria" w:hAnsi="Cambria"/>
        </w:rPr>
        <w:fldChar w:fldCharType="end"/>
      </w:r>
      <w:r w:rsidR="00381BBE">
        <w:rPr>
          <w:rFonts w:ascii="Cambria" w:hAnsi="Cambria"/>
        </w:rPr>
        <w:t>.</w:t>
      </w:r>
      <w:r w:rsidR="00DB53C1">
        <w:rPr>
          <w:rFonts w:ascii="Cambria" w:hAnsi="Cambria"/>
        </w:rPr>
        <w:t xml:space="preserve"> </w:t>
      </w:r>
      <w:r w:rsidR="0059399E">
        <w:rPr>
          <w:rFonts w:ascii="Cambria" w:hAnsi="Cambria"/>
        </w:rPr>
        <w:t>However, a</w:t>
      </w:r>
      <w:r w:rsidR="00DB53C1">
        <w:rPr>
          <w:rFonts w:ascii="Cambria" w:hAnsi="Cambria"/>
        </w:rPr>
        <w:t xml:space="preserve"> </w:t>
      </w:r>
      <w:r w:rsidR="0059399E">
        <w:rPr>
          <w:rFonts w:ascii="Cambria" w:hAnsi="Cambria"/>
        </w:rPr>
        <w:t>p</w:t>
      </w:r>
      <w:r w:rsidR="00DB53C1">
        <w:rPr>
          <w:rFonts w:ascii="Cambria" w:hAnsi="Cambria"/>
        </w:rPr>
        <w:t xml:space="preserve">hase II trial </w:t>
      </w:r>
      <w:r w:rsidR="001C0DF8">
        <w:rPr>
          <w:rFonts w:ascii="Cambria" w:hAnsi="Cambria"/>
        </w:rPr>
        <w:t>scheduled for 2017</w:t>
      </w:r>
      <w:r w:rsidR="00DB53C1">
        <w:rPr>
          <w:rFonts w:ascii="Cambria" w:hAnsi="Cambria"/>
        </w:rPr>
        <w:t xml:space="preserve"> was halted due to instability of the pre</w:t>
      </w:r>
      <w:r w:rsidR="00C35468">
        <w:rPr>
          <w:rFonts w:ascii="Cambria" w:hAnsi="Cambria"/>
        </w:rPr>
        <w:t>-</w:t>
      </w:r>
      <w:r w:rsidR="00DB53C1">
        <w:rPr>
          <w:rFonts w:ascii="Cambria" w:hAnsi="Cambria"/>
        </w:rPr>
        <w:t>F antigen during manufacturing.</w:t>
      </w:r>
    </w:p>
    <w:p w14:paraId="20E7CE74" w14:textId="08227528" w:rsidR="00FD5246" w:rsidRDefault="00970D9A" w:rsidP="00C566BC">
      <w:pPr>
        <w:jc w:val="both"/>
        <w:rPr>
          <w:rFonts w:ascii="Cambria" w:hAnsi="Cambria"/>
        </w:rPr>
      </w:pPr>
      <w:r>
        <w:rPr>
          <w:rFonts w:ascii="Cambria" w:hAnsi="Cambria"/>
        </w:rPr>
        <w:tab/>
      </w:r>
      <w:r w:rsidR="00FD5246">
        <w:rPr>
          <w:rFonts w:ascii="Cambria" w:hAnsi="Cambria"/>
        </w:rPr>
        <w:t>Structure-guided stabilization of the pre</w:t>
      </w:r>
      <w:r w:rsidR="00C35468">
        <w:rPr>
          <w:rFonts w:ascii="Cambria" w:hAnsi="Cambria"/>
        </w:rPr>
        <w:t>-</w:t>
      </w:r>
      <w:r w:rsidR="00FD5246">
        <w:rPr>
          <w:rFonts w:ascii="Cambria" w:hAnsi="Cambria"/>
        </w:rPr>
        <w:t>F conformation has yielded a subunit vaccine candidate, DS-Cav1.</w:t>
      </w:r>
      <w:r w:rsidR="001B360C">
        <w:rPr>
          <w:rFonts w:ascii="Cambria" w:hAnsi="Cambria"/>
        </w:rPr>
        <w:t xml:space="preserve"> The stabilization includes a foldon trimer, the introduction of cysteine residues</w:t>
      </w:r>
      <w:r w:rsidR="001A35FD">
        <w:rPr>
          <w:rFonts w:ascii="Cambria" w:hAnsi="Cambria"/>
        </w:rPr>
        <w:t>,</w:t>
      </w:r>
      <w:r w:rsidR="001B360C">
        <w:rPr>
          <w:rFonts w:ascii="Cambria" w:hAnsi="Cambria"/>
        </w:rPr>
        <w:t xml:space="preserve"> and </w:t>
      </w:r>
      <w:r w:rsidR="00B30C61">
        <w:rPr>
          <w:rFonts w:ascii="Cambria" w:hAnsi="Cambria"/>
        </w:rPr>
        <w:t>cavity-filling hydrophobic residues</w:t>
      </w:r>
      <w:r w:rsidR="00B30C61">
        <w:rPr>
          <w:rFonts w:ascii="Cambria" w:hAnsi="Cambria"/>
        </w:rPr>
        <w:fldChar w:fldCharType="begin" w:fldLock="1"/>
      </w:r>
      <w:r w:rsidR="00D83E6A">
        <w:rPr>
          <w:rFonts w:ascii="Cambria" w:hAnsi="Cambria"/>
        </w:rPr>
        <w:instrText>ADDIN CSL_CITATION { "citationItems" : [ { "id" : "ITEM-1", "itemData" : { "DOI" : "10.1126/science.1243283", "ISSN" : "1095-9203", "PMID" : "24179220", "abstract" : "Respiratory syncytial virus (RSV) is the leading cause of hospitalization for children under 5 years of age. We sought to engineer a viral antigen that provides greater protection than currently available vaccines and focused on antigenic site \u00d8, a metastable site specific to the prefusion state of the RSV fusion (F) glycoprotein, as this site is targeted by extremely potent RSV-neutralizing antibodies. Structure-based design yielded stabilized versions of RSV F that maintained antigenic site \u00d8 when exposed to extremes of pH, osmolality, and temperature. Six RSV F crystal structures provided atomic-level data on how introduced cysteine residues and filled hydrophobic cavities improved stability. Immunization with site \u00d8-stabilized variants of RSV F in mice and macaques elicited levels of RSV-specific neutralizing activity many times the protective threshold.", "author" : [ { "dropping-particle" : "", "family" : "McLellan", "given" : "Jason S", "non-dropping-particle" : "", "parse-names" : false, "suffix" : "" }, { "dropping-particle" : "", "family" : "Chen", "given" : "Man", "non-dropping-particle" : "", "parse-names" : false, "suffix" : "" }, { "dropping-particle" : "", "family" : "Joyce", "given" : "M Gordon", "non-dropping-particle" : "", "parse-names" : false, "suffix" : "" }, { "dropping-particle" : "", "family" : "Sastry", "given" : "Mallika", "non-dropping-particle" : "", "parse-names" : false, "suffix" : "" }, { "dropping-particle" : "", "family" : "Stewart-Jones", "given" : "Guillaume B E", "non-dropping-particle" : "", "parse-names" : false, "suffix" : "" }, { "dropping-particle" : "", "family" : "Yang", "given" : "Yongping", "non-dropping-particle" : "", "parse-names" : false, "suffix" : "" }, { "dropping-particle" : "", "family" : "Zhang", "given" : "Baoshan", "non-dropping-particle" : "", "parse-names" : false, "suffix" : "" }, { "dropping-particle" : "", "family" : "Chen", "given" : "Lei", "non-dropping-particle" : "", "parse-names" : false, "suffix" : "" }, { "dropping-particle" : "", "family" : "Srivatsan", "given" : "Sanjay", "non-dropping-particle" : "", "parse-names" : false, "suffix" : "" }, { "dropping-particle" : "", "family" : "Zheng", "given" : "Anqi", "non-dropping-particle" : "", "parse-names" : false, "suffix" : "" }, { "dropping-particle" : "", "family" : "Zhou", "given" : "Tongqing", "non-dropping-particle" : "", "parse-names" : false, "suffix" : "" }, { "dropping-particle" : "", "family" : "Graepel", "given" : "Kevin W", "non-dropping-particle" : "", "parse-names" : false, "suffix" : "" }, { "dropping-particle" : "", "family" : "Kumar", "given" : "Azad", "non-dropping-particle" : "", "parse-names" : false, "suffix" : "" }, { "dropping-particle" : "", "family" : "Moin", "given" : "Syed", "non-dropping-particle" : "", "parse-names" : false, "suffix" : "" }, { "dropping-particle" : "", "family" : "Boyington", "given" : "Jeffrey C", "non-dropping-particle" : "", "parse-names" : false, "suffix" : "" }, { "dropping-particle" : "", "family" : "Chuang", "given" : "Gwo-Yu", "non-dropping-particle" : "", "parse-names" : false, "suffix" : "" }, { "dropping-particle" : "", "family" : "Soto", "given" : "Cinque", "non-dropping-particle" : "", "parse-names" : false, "suffix" : "" }, { "dropping-particle" : "", "family" : "Baxa", "given" : "Ulrich", "non-dropping-particle" : "", "parse-names" : false, "suffix" : "" }, { "dropping-particle" : "", "family" : "Bakker", "given" : "Arjen Q", "non-dropping-particle" : "", "parse-names" : false, "suffix" : "" }, { "dropping-particle" : "", "family" : "Spits", "given" : "Hergen", "non-dropping-particle" : "", "parse-names" : false, "suffix" : "" }, { "dropping-particle" : "", "family" : "Beaumont", "given" : "Tim", "non-dropping-particle" : "", "parse-names" : false, "suffix" : "" }, { "dropping-particle" : "", "family" : "Zheng", "given" : "Zizheng", "non-dropping-particle" : "", "parse-names" : false, "suffix" : "" }, { "dropping-particle" : "", "family" : "Xia", "given" : "Ningshao", "non-dropping-particle" : "", "parse-names" : false, "suffix" : "" }, { "dropping-particle" : "", "family" : "Ko", "given" : "Sung-Youl", "non-dropping-particle" : "", "parse-names" : false, "suffix" : "" }, { "dropping-particle" : "", "family" : "Todd", "given" : "John-Paul", "non-dropping-particle" : "", "parse-names" : false, "suffix" : "" }, { "dropping-particle" : "", "family" : "Rao", "given" : "Srinivas", "non-dropping-particle" : "", "parse-names" : false, "suffix" : "" }, { "dropping-particle" : "", "family" : "Graham", "given" : "Barney S", "non-dropping-particle" : "", "parse-names" : false, "suffix" : "" }, { "dropping-particle" : "", "family" : "Kwong", "given" : "Peter D", "non-dropping-particle" : "", "parse-names" : false, "suffix" : "" } ], "container-title" : "Science", "id" : "ITEM-1", "issue" : "6158", "issued" : { "date-parts" : [ [ "2013", "11", "1" ] ] }, "page" : "592-8", "title" : "Structure-based design of a fusion glycoprotein vaccine for respiratory syncytial virus.", "type" : "article-journal", "volume" : "342" }, "uris" : [ "http://www.mendeley.com/documents/?uuid=a49c379d-caab-30d7-9531-49c9a6cb3668" ] } ], "mendeley" : { "formattedCitation" : "(55)", "plainTextFormattedCitation" : "(55)", "previouslyFormattedCitation" : "(55)" }, "properties" : { "noteIndex" : 0 }, "schema" : "https://github.com/citation-style-language/schema/raw/master/csl-citation.json" }</w:instrText>
      </w:r>
      <w:r w:rsidR="00B30C61">
        <w:rPr>
          <w:rFonts w:ascii="Cambria" w:hAnsi="Cambria"/>
        </w:rPr>
        <w:fldChar w:fldCharType="separate"/>
      </w:r>
      <w:r w:rsidR="00462954" w:rsidRPr="00462954">
        <w:rPr>
          <w:rFonts w:ascii="Cambria" w:hAnsi="Cambria"/>
          <w:noProof/>
        </w:rPr>
        <w:t>(55)</w:t>
      </w:r>
      <w:r w:rsidR="00B30C61">
        <w:rPr>
          <w:rFonts w:ascii="Cambria" w:hAnsi="Cambria"/>
        </w:rPr>
        <w:fldChar w:fldCharType="end"/>
      </w:r>
      <w:r w:rsidR="001B360C">
        <w:rPr>
          <w:rFonts w:ascii="Cambria" w:hAnsi="Cambria"/>
        </w:rPr>
        <w:t>.</w:t>
      </w:r>
      <w:r w:rsidR="00FD5246">
        <w:rPr>
          <w:rFonts w:ascii="Cambria" w:hAnsi="Cambria"/>
        </w:rPr>
        <w:t xml:space="preserve"> </w:t>
      </w:r>
      <w:r w:rsidR="00630E84">
        <w:rPr>
          <w:rFonts w:ascii="Cambria" w:hAnsi="Cambria"/>
        </w:rPr>
        <w:t>The vaccine is able to p</w:t>
      </w:r>
      <w:r w:rsidR="00FD5246">
        <w:rPr>
          <w:rFonts w:ascii="Cambria" w:hAnsi="Cambria"/>
        </w:rPr>
        <w:t xml:space="preserve">reserve neutralization-sensitive epitopes on </w:t>
      </w:r>
      <w:r w:rsidR="00630E84">
        <w:rPr>
          <w:rFonts w:ascii="Cambria" w:hAnsi="Cambria"/>
        </w:rPr>
        <w:t xml:space="preserve">a </w:t>
      </w:r>
      <w:r w:rsidR="00FD5246">
        <w:rPr>
          <w:rFonts w:ascii="Cambria" w:hAnsi="Cambria"/>
        </w:rPr>
        <w:t>functional</w:t>
      </w:r>
      <w:r>
        <w:rPr>
          <w:rFonts w:ascii="Cambria" w:hAnsi="Cambria"/>
        </w:rPr>
        <w:t xml:space="preserve"> pre</w:t>
      </w:r>
      <w:r w:rsidR="00C35468">
        <w:rPr>
          <w:rFonts w:ascii="Cambria" w:hAnsi="Cambria"/>
        </w:rPr>
        <w:t>-</w:t>
      </w:r>
      <w:r>
        <w:rPr>
          <w:rFonts w:ascii="Cambria" w:hAnsi="Cambria"/>
        </w:rPr>
        <w:t xml:space="preserve">F </w:t>
      </w:r>
      <w:r w:rsidR="00FD5246">
        <w:rPr>
          <w:rFonts w:ascii="Cambria" w:hAnsi="Cambria"/>
        </w:rPr>
        <w:t xml:space="preserve">form of </w:t>
      </w:r>
      <w:r w:rsidR="00630E84">
        <w:rPr>
          <w:rFonts w:ascii="Cambria" w:hAnsi="Cambria"/>
        </w:rPr>
        <w:t xml:space="preserve">the viral surface </w:t>
      </w:r>
      <w:r w:rsidR="00FD5246">
        <w:rPr>
          <w:rFonts w:ascii="Cambria" w:hAnsi="Cambria"/>
        </w:rPr>
        <w:t xml:space="preserve">protein. </w:t>
      </w:r>
      <w:r w:rsidR="00AA1B5B">
        <w:rPr>
          <w:rFonts w:ascii="Cambria" w:hAnsi="Cambria"/>
        </w:rPr>
        <w:t>In preclinical studies the subunit vaccine induced high levels of RSV-neutralizing antibodies in mice and non-human primates</w:t>
      </w:r>
      <w:r w:rsidR="00AA1B5B">
        <w:rPr>
          <w:rFonts w:ascii="Cambria" w:hAnsi="Cambria"/>
        </w:rPr>
        <w:fldChar w:fldCharType="begin" w:fldLock="1"/>
      </w:r>
      <w:r w:rsidR="00D83E6A">
        <w:rPr>
          <w:rFonts w:ascii="Cambria" w:hAnsi="Cambria"/>
        </w:rPr>
        <w:instrText>ADDIN CSL_CITATION { "citationItems" : [ { "id" : "ITEM-1", "itemData" : { "DOI" : "10.1126/science.1243283", "ISSN" : "1095-9203", "PMID" : "24179220", "abstract" : "Respiratory syncytial virus (RSV) is the leading cause of hospitalization for children under 5 years of age. We sought to engineer a viral antigen that provides greater protection than currently available vaccines and focused on antigenic site \u00d8, a metastable site specific to the prefusion state of the RSV fusion (F) glycoprotein, as this site is targeted by extremely potent RSV-neutralizing antibodies. Structure-based design yielded stabilized versions of RSV F that maintained antigenic site \u00d8 when exposed to extremes of pH, osmolality, and temperature. Six RSV F crystal structures provided atomic-level data on how introduced cysteine residues and filled hydrophobic cavities improved stability. Immunization with site \u00d8-stabilized variants of RSV F in mice and macaques elicited levels of RSV-specific neutralizing activity many times the protective threshold.", "author" : [ { "dropping-particle" : "", "family" : "McLellan", "given" : "Jason S", "non-dropping-particle" : "", "parse-names" : false, "suffix" : "" }, { "dropping-particle" : "", "family" : "Chen", "given" : "Man", "non-dropping-particle" : "", "parse-names" : false, "suffix" : "" }, { "dropping-particle" : "", "family" : "Joyce", "given" : "M Gordon", "non-dropping-particle" : "", "parse-names" : false, "suffix" : "" }, { "dropping-particle" : "", "family" : "Sastry", "given" : "Mallika", "non-dropping-particle" : "", "parse-names" : false, "suffix" : "" }, { "dropping-particle" : "", "family" : "Stewart-Jones", "given" : "Guillaume B E", "non-dropping-particle" : "", "parse-names" : false, "suffix" : "" }, { "dropping-particle" : "", "family" : "Yang", "given" : "Yongping", "non-dropping-particle" : "", "parse-names" : false, "suffix" : "" }, { "dropping-particle" : "", "family" : "Zhang", "given" : "Baoshan", "non-dropping-particle" : "", "parse-names" : false, "suffix" : "" }, { "dropping-particle" : "", "family" : "Chen", "given" : "Lei", "non-dropping-particle" : "", "parse-names" : false, "suffix" : "" }, { "dropping-particle" : "", "family" : "Srivatsan", "given" : "Sanjay", "non-dropping-particle" : "", "parse-names" : false, "suffix" : "" }, { "dropping-particle" : "", "family" : "Zheng", "given" : "Anqi", "non-dropping-particle" : "", "parse-names" : false, "suffix" : "" }, { "dropping-particle" : "", "family" : "Zhou", "given" : "Tongqing", "non-dropping-particle" : "", "parse-names" : false, "suffix" : "" }, { "dropping-particle" : "", "family" : "Graepel", "given" : "Kevin W", "non-dropping-particle" : "", "parse-names" : false, "suffix" : "" }, { "dropping-particle" : "", "family" : "Kumar", "given" : "Azad", "non-dropping-particle" : "", "parse-names" : false, "suffix" : "" }, { "dropping-particle" : "", "family" : "Moin", "given" : "Syed", "non-dropping-particle" : "", "parse-names" : false, "suffix" : "" }, { "dropping-particle" : "", "family" : "Boyington", "given" : "Jeffrey C", "non-dropping-particle" : "", "parse-names" : false, "suffix" : "" }, { "dropping-particle" : "", "family" : "Chuang", "given" : "Gwo-Yu", "non-dropping-particle" : "", "parse-names" : false, "suffix" : "" }, { "dropping-particle" : "", "family" : "Soto", "given" : "Cinque", "non-dropping-particle" : "", "parse-names" : false, "suffix" : "" }, { "dropping-particle" : "", "family" : "Baxa", "given" : "Ulrich", "non-dropping-particle" : "", "parse-names" : false, "suffix" : "" }, { "dropping-particle" : "", "family" : "Bakker", "given" : "Arjen Q", "non-dropping-particle" : "", "parse-names" : false, "suffix" : "" }, { "dropping-particle" : "", "family" : "Spits", "given" : "Hergen", "non-dropping-particle" : "", "parse-names" : false, "suffix" : "" }, { "dropping-particle" : "", "family" : "Beaumont", "given" : "Tim", "non-dropping-particle" : "", "parse-names" : false, "suffix" : "" }, { "dropping-particle" : "", "family" : "Zheng", "given" : "Zizheng", "non-dropping-particle" : "", "parse-names" : false, "suffix" : "" }, { "dropping-particle" : "", "family" : "Xia", "given" : "Ningshao", "non-dropping-particle" : "", "parse-names" : false, "suffix" : "" }, { "dropping-particle" : "", "family" : "Ko", "given" : "Sung-Youl", "non-dropping-particle" : "", "parse-names" : false, "suffix" : "" }, { "dropping-particle" : "", "family" : "Todd", "given" : "John-Paul", "non-dropping-particle" : "", "parse-names" : false, "suffix" : "" }, { "dropping-particle" : "", "family" : "Rao", "given" : "Srinivas", "non-dropping-particle" : "", "parse-names" : false, "suffix" : "" }, { "dropping-particle" : "", "family" : "Graham", "given" : "Barney S", "non-dropping-particle" : "", "parse-names" : false, "suffix" : "" }, { "dropping-particle" : "", "family" : "Kwong", "given" : "Peter D", "non-dropping-particle" : "", "parse-names" : false, "suffix" : "" } ], "container-title" : "Science", "id" : "ITEM-1", "issue" : "6158", "issued" : { "date-parts" : [ [ "2013", "11", "1" ] ] }, "page" : "592-8", "title" : "Structure-based design of a fusion glycoprotein vaccine for respiratory syncytial virus.", "type" : "article-journal", "volume" : "342" }, "uris" : [ "http://www.mendeley.com/documents/?uuid=a49c379d-caab-30d7-9531-49c9a6cb3668" ] } ], "mendeley" : { "formattedCitation" : "(55)", "plainTextFormattedCitation" : "(55)", "previouslyFormattedCitation" : "(55)" }, "properties" : { "noteIndex" : 0 }, "schema" : "https://github.com/citation-style-language/schema/raw/master/csl-citation.json" }</w:instrText>
      </w:r>
      <w:r w:rsidR="00AA1B5B">
        <w:rPr>
          <w:rFonts w:ascii="Cambria" w:hAnsi="Cambria"/>
        </w:rPr>
        <w:fldChar w:fldCharType="separate"/>
      </w:r>
      <w:r w:rsidR="00462954" w:rsidRPr="00462954">
        <w:rPr>
          <w:rFonts w:ascii="Cambria" w:hAnsi="Cambria"/>
          <w:noProof/>
        </w:rPr>
        <w:t>(55)</w:t>
      </w:r>
      <w:r w:rsidR="00AA1B5B">
        <w:rPr>
          <w:rFonts w:ascii="Cambria" w:hAnsi="Cambria"/>
        </w:rPr>
        <w:fldChar w:fldCharType="end"/>
      </w:r>
      <w:r w:rsidR="00AA1B5B">
        <w:rPr>
          <w:rFonts w:ascii="Cambria" w:hAnsi="Cambria"/>
        </w:rPr>
        <w:t xml:space="preserve">. </w:t>
      </w:r>
      <w:r w:rsidR="00FD5246">
        <w:rPr>
          <w:rFonts w:ascii="Cambria" w:hAnsi="Cambria"/>
        </w:rPr>
        <w:t xml:space="preserve">Preliminary results from the phase I trial, VRC 317, </w:t>
      </w:r>
      <w:r w:rsidR="006B34E9">
        <w:rPr>
          <w:rFonts w:ascii="Cambria" w:hAnsi="Cambria"/>
        </w:rPr>
        <w:t xml:space="preserve">are promising and </w:t>
      </w:r>
      <w:r>
        <w:rPr>
          <w:rFonts w:ascii="Cambria" w:hAnsi="Cambria"/>
        </w:rPr>
        <w:t>will soon be published</w:t>
      </w:r>
      <w:r w:rsidR="00EF7624">
        <w:rPr>
          <w:rFonts w:ascii="Cambria" w:hAnsi="Cambria"/>
        </w:rPr>
        <w:t xml:space="preserve"> (Graham, personal communication)</w:t>
      </w:r>
      <w:r w:rsidR="003A748C">
        <w:rPr>
          <w:rFonts w:ascii="Cambria" w:hAnsi="Cambria"/>
        </w:rPr>
        <w:t xml:space="preserve">. </w:t>
      </w:r>
    </w:p>
    <w:p w14:paraId="01E408E4" w14:textId="37715B36" w:rsidR="00291A40" w:rsidRDefault="00FD5246" w:rsidP="00C566BC">
      <w:pPr>
        <w:jc w:val="both"/>
        <w:rPr>
          <w:rFonts w:ascii="Cambria" w:hAnsi="Cambria"/>
        </w:rPr>
      </w:pPr>
      <w:r>
        <w:rPr>
          <w:rFonts w:ascii="Cambria" w:hAnsi="Cambria"/>
        </w:rPr>
        <w:tab/>
      </w:r>
      <w:r w:rsidR="00C801A7">
        <w:rPr>
          <w:rFonts w:ascii="Cambria" w:hAnsi="Cambria"/>
        </w:rPr>
        <w:t>DPX-RSV</w:t>
      </w:r>
      <w:r>
        <w:rPr>
          <w:rFonts w:ascii="Cambria" w:hAnsi="Cambria"/>
        </w:rPr>
        <w:t xml:space="preserve"> is a vaccine candidate with a unique choice of vaccine antigen, the extracellular domain of the SH protein of RSV</w:t>
      </w:r>
      <w:r>
        <w:rPr>
          <w:rFonts w:ascii="Cambria" w:hAnsi="Cambria"/>
        </w:rPr>
        <w:fldChar w:fldCharType="begin" w:fldLock="1"/>
      </w:r>
      <w:r w:rsidR="00D83E6A">
        <w:rPr>
          <w:rFonts w:ascii="Cambria" w:hAnsi="Cambria"/>
        </w:rPr>
        <w:instrText>ADDIN CSL_CITATION { "citationItems" : [ { "id" : "ITEM-1", "itemData" : { "DOI" : "10.2217/imt.15.11", "ISSN" : "1750-743X", "PMID" : "25804473", "author" : [ { "dropping-particle" : "", "family" : "Schepens", "given" : "Bert", "non-dropping-particle" : "", "parse-names" : false, "suffix" : "" }, { "dropping-particle" : "", "family" : "Schotsaert", "given" : "Michael", "non-dropping-particle" : "", "parse-names" : false, "suffix" : "" }, { "dropping-particle" : "", "family" : "Saelens", "given" : "Xavier", "non-dropping-particle" : "", "parse-names" : false, "suffix" : "" } ], "container-title" : "Immunotherapy", "id" : "ITEM-1", "issue" : "3", "issued" : { "date-parts" : [ [ "2015", "3" ] ] }, "page" : "203-206", "title" : "Small hydrophobic protein of respiratory syncytial virus as a novel vaccine antigen", "type" : "article-journal", "volume" : "7" }, "uris" : [ "http://www.mendeley.com/documents/?uuid=d33bc658-585c-3e57-862b-b8777cd3e7ce" ] } ], "mendeley" : { "formattedCitation" : "(63)", "plainTextFormattedCitation" : "(63)", "previouslyFormattedCitation" : "(63)" }, "properties" : { "noteIndex" : 0 }, "schema" : "https://github.com/citation-style-language/schema/raw/master/csl-citation.json" }</w:instrText>
      </w:r>
      <w:r>
        <w:rPr>
          <w:rFonts w:ascii="Cambria" w:hAnsi="Cambria"/>
        </w:rPr>
        <w:fldChar w:fldCharType="separate"/>
      </w:r>
      <w:r w:rsidR="00462954" w:rsidRPr="00462954">
        <w:rPr>
          <w:rFonts w:ascii="Cambria" w:hAnsi="Cambria"/>
          <w:noProof/>
        </w:rPr>
        <w:t>(63)</w:t>
      </w:r>
      <w:r>
        <w:rPr>
          <w:rFonts w:ascii="Cambria" w:hAnsi="Cambria"/>
        </w:rPr>
        <w:fldChar w:fldCharType="end"/>
      </w:r>
      <w:r>
        <w:rPr>
          <w:rFonts w:ascii="Cambria" w:hAnsi="Cambria"/>
        </w:rPr>
        <w:t>. The Depo</w:t>
      </w:r>
      <w:r w:rsidR="00C34B31">
        <w:rPr>
          <w:rFonts w:ascii="Cambria" w:hAnsi="Cambria"/>
        </w:rPr>
        <w:t>V</w:t>
      </w:r>
      <w:r>
        <w:rPr>
          <w:rFonts w:ascii="Cambria" w:hAnsi="Cambria"/>
        </w:rPr>
        <w:t>ax technology allows for a prolonged exposure of antigen and adjuvant</w:t>
      </w:r>
      <w:r w:rsidR="00DF3876">
        <w:rPr>
          <w:rFonts w:ascii="Cambria" w:hAnsi="Cambria"/>
        </w:rPr>
        <w:t>,</w:t>
      </w:r>
      <w:r w:rsidR="0080048F">
        <w:rPr>
          <w:rFonts w:ascii="Cambria" w:hAnsi="Cambria"/>
        </w:rPr>
        <w:t xml:space="preserve"> and aims to induce ADCC</w:t>
      </w:r>
      <w:r w:rsidR="00630E84" w:rsidRPr="00630E84">
        <w:rPr>
          <w:rFonts w:ascii="Cambria" w:hAnsi="Cambria"/>
        </w:rPr>
        <w:t xml:space="preserve"> </w:t>
      </w:r>
      <w:r w:rsidR="00630E84">
        <w:rPr>
          <w:rFonts w:ascii="Cambria" w:hAnsi="Cambria"/>
        </w:rPr>
        <w:t>using a</w:t>
      </w:r>
      <w:r w:rsidR="00C34B31">
        <w:rPr>
          <w:rFonts w:ascii="Cambria" w:hAnsi="Cambria"/>
        </w:rPr>
        <w:t xml:space="preserve"> liposome and</w:t>
      </w:r>
      <w:r w:rsidR="00630E84">
        <w:rPr>
          <w:rFonts w:ascii="Cambria" w:hAnsi="Cambria"/>
        </w:rPr>
        <w:t xml:space="preserve"> oil-based depot</w:t>
      </w:r>
      <w:r w:rsidR="00FC1774">
        <w:rPr>
          <w:rFonts w:ascii="Cambria" w:hAnsi="Cambria"/>
        </w:rPr>
        <w:fldChar w:fldCharType="begin" w:fldLock="1"/>
      </w:r>
      <w:r w:rsidR="00B707E2">
        <w:rPr>
          <w:rFonts w:ascii="Cambria" w:hAnsi="Cambria"/>
        </w:rPr>
        <w:instrText>ADDIN CSL_CITATION { "citationItems" : [ { "id" : "ITEM-1", "itemData" : { "DOI" : "10.1097/CJI.0b013e3181c1f1e9", "ISSN" : "1524-9557", "PMID" : "20445345", "abstract" : "In light of lack of efficacy associated with current cancer vaccines, we aimed to develop a novel vaccine platform called DepoVax as a therapeutic vaccine for breast/ovarian cancer. This study was designed to examine the efficacy of this novel platform over conventional emulsion vaccine using human class I MHC transgenic mice. We have developed a water-free depot vaccine formulation (DPX-0907) with high immune activating potential. Naturally processed peptides bound to HLA-A2 molecules isolated from independent breast and ovarian tumor cell lines, but not normal cells, were isolated and used as antigens in DPX-0907 along with a proprietary adjuvant and a T helper peptide epitope. Efficacy of vaccine was tested in immunized HLA-A*0201/H2Dd transgenic mice by measuring the frequency of IFN-gamma secreting cells in the draining lymph nodes, and regulatory T-cell frequencies in the spleen. Compared with a water-in-oil emulsion vaccine, DPX-0907 enhanced IFN-gamma+CD8+ T cells in vaccine site-draining lymph nodes, as seen by immunofluorescence staining and increased the frequency of IFN-gamma+ lymph node cells as seen by enzyme-linked immunosorbent spot assay. Notably, while conventional vaccine formulations elicited elevated levels of splenic Foxp3+CD4+ and IL10-secreting T cells, this was not the case for DPX-0907-based vaccines, with treated animals exhibiting normal levels of regulatory T cells. These data support the unique capabilities of a vaccine formulation containing novel tumor peptides and DPX-0907 to elicit type-1 dominated, specific immunity that may represent a potent clinical therapeutic modality for patients with breast or ovarian carcinoma.", "author" : [ { "dropping-particle" : "", "family" : "Karkada", "given" : "Mohan", "non-dropping-particle" : "", "parse-names" : false, "suffix" : "" }, { "dropping-particle" : "", "family" : "Weir", "given" : "Genevieve M.", "non-dropping-particle" : "", "parse-names" : false, "suffix" : "" }, { "dropping-particle" : "", "family" : "Quinton", "given" : "Tara", "non-dropping-particle" : "", "parse-names" : false, "suffix" : "" }, { "dropping-particle" : "", "family" : "Sammatur", "given" : "Leeladhar", "non-dropping-particle" : "", "parse-names" : false, "suffix" : "" }, { "dropping-particle" : "", "family" : "MacDonald", "given" : "Lisa D.", "non-dropping-particle" : "", "parse-names" : false, "suffix" : "" }, { "dropping-particle" : "", "family" : "Grant", "given" : "Alecia", "non-dropping-particle" : "", "parse-names" : false, "suffix" : "" }, { "dropping-particle" : "", "family" : "Liwski", "given" : "Robert", "non-dropping-particle" : "", "parse-names" : false, "suffix" : "" }, { "dropping-particle" : "", "family" : "Juskevicius", "given" : "Ridas", "non-dropping-particle" : "", "parse-names" : false, "suffix" : "" }, { "dropping-particle" : "", "family" : "Sinnathamby", "given" : "Gomathinayagam", "non-dropping-particle" : "", "parse-names" : false, "suffix" : "" }, { "dropping-particle" : "", "family" : "Philip", "given" : "Ramila", "non-dropping-particle" : "", "parse-names" : false, "suffix" : "" }, { "dropping-particle" : "", "family" : "Mansour", "given" : "Marc", "non-dropping-particle" : "", "parse-names" : false, "suffix" : "" } ], "container-title" : "Journal of Immunotherapy", "id" : "ITEM-1", "issue" : "3", "issued" : { "date-parts" : [ [ "2010", "4" ] ] }, "page" : "250-261", "title" : "A Novel Breast/Ovarian Cancer Peptide Vaccine Platform That Promotes Specific Type-1 but not Treg/Tr1-type Responses", "type" : "article-journal", "volume" : "33" }, "uris" : [ "http://www.mendeley.com/documents/?uuid=eb5e2f60-84ad-3e71-84ab-7fe6c75e743e" ] } ], "mendeley" : { "formattedCitation" : "(105)", "plainTextFormattedCitation" : "(105)", "previouslyFormattedCitation" : "(104)" }, "properties" : { "noteIndex" : 0 }, "schema" : "https://github.com/citation-style-language/schema/raw/master/csl-citation.json" }</w:instrText>
      </w:r>
      <w:r w:rsidR="00FC1774">
        <w:rPr>
          <w:rFonts w:ascii="Cambria" w:hAnsi="Cambria"/>
        </w:rPr>
        <w:fldChar w:fldCharType="separate"/>
      </w:r>
      <w:r w:rsidR="00B707E2" w:rsidRPr="00B707E2">
        <w:rPr>
          <w:rFonts w:ascii="Cambria" w:hAnsi="Cambria"/>
          <w:noProof/>
        </w:rPr>
        <w:t>(105)</w:t>
      </w:r>
      <w:r w:rsidR="00FC1774">
        <w:rPr>
          <w:rFonts w:ascii="Cambria" w:hAnsi="Cambria"/>
        </w:rPr>
        <w:fldChar w:fldCharType="end"/>
      </w:r>
      <w:r>
        <w:rPr>
          <w:rFonts w:ascii="Cambria" w:hAnsi="Cambria"/>
        </w:rPr>
        <w:t>.</w:t>
      </w:r>
      <w:r w:rsidR="00630E84">
        <w:rPr>
          <w:rFonts w:ascii="Cambria" w:hAnsi="Cambria"/>
        </w:rPr>
        <w:t xml:space="preserve"> </w:t>
      </w:r>
      <w:r w:rsidR="00E736E9">
        <w:rPr>
          <w:rFonts w:ascii="Cambria" w:hAnsi="Cambria"/>
        </w:rPr>
        <w:t>The antigen and adjuvant are encapsulated in a liposome, lyophilized and suspended in oil</w:t>
      </w:r>
      <w:r w:rsidR="00D65AE4">
        <w:rPr>
          <w:rFonts w:ascii="Cambria" w:hAnsi="Cambria"/>
        </w:rPr>
        <w:t xml:space="preserve"> and the process is expected to produce vaccines with long shelf-life stability</w:t>
      </w:r>
      <w:r w:rsidR="007B11AB">
        <w:rPr>
          <w:rFonts w:ascii="Cambria" w:hAnsi="Cambria"/>
        </w:rPr>
        <w:fldChar w:fldCharType="begin" w:fldLock="1"/>
      </w:r>
      <w:r w:rsidR="00B707E2">
        <w:rPr>
          <w:rFonts w:ascii="Cambria" w:hAnsi="Cambria"/>
        </w:rPr>
        <w:instrText>ADDIN CSL_CITATION { "citationItems" : [ { "id" : "ITEM-1", "itemData" : { "author" : [ { "dropping-particle" : "", "family" : "Stanford", "given" : "Marianne", "non-dropping-particle" : "", "parse-names" : false, "suffix" : "" } ], "container-title" : "Presentation at Vaccine Innovation Conference", "id" : "ITEM-1", "issued" : { "date-parts" : [ [ "2017" ] ] }, "publisher-place" : "Montreal", "title" : "DepoVax TM : A novel delivery formulation for cancer immunotherapy and infectious disease vaccines", "type" : "paper-conference" }, "uris" : [ "http://www.mendeley.com/documents/?uuid=95867f89-3247-3f9b-a277-1bc4d1e36ad7" ] } ], "mendeley" : { "formattedCitation" : "(106)", "plainTextFormattedCitation" : "(106)", "previouslyFormattedCitation" : "(105)" }, "properties" : { "noteIndex" : 0 }, "schema" : "https://github.com/citation-style-language/schema/raw/master/csl-citation.json" }</w:instrText>
      </w:r>
      <w:r w:rsidR="007B11AB">
        <w:rPr>
          <w:rFonts w:ascii="Cambria" w:hAnsi="Cambria"/>
        </w:rPr>
        <w:fldChar w:fldCharType="separate"/>
      </w:r>
      <w:r w:rsidR="00B707E2" w:rsidRPr="00B707E2">
        <w:rPr>
          <w:rFonts w:ascii="Cambria" w:hAnsi="Cambria"/>
          <w:noProof/>
        </w:rPr>
        <w:t>(106)</w:t>
      </w:r>
      <w:r w:rsidR="007B11AB">
        <w:rPr>
          <w:rFonts w:ascii="Cambria" w:hAnsi="Cambria"/>
        </w:rPr>
        <w:fldChar w:fldCharType="end"/>
      </w:r>
      <w:r w:rsidR="00E736E9">
        <w:rPr>
          <w:rFonts w:ascii="Cambria" w:hAnsi="Cambria"/>
        </w:rPr>
        <w:t xml:space="preserve">. </w:t>
      </w:r>
      <w:r w:rsidR="00FC1774">
        <w:rPr>
          <w:rFonts w:ascii="Cambria" w:hAnsi="Cambria"/>
        </w:rPr>
        <w:t>P</w:t>
      </w:r>
      <w:r>
        <w:rPr>
          <w:rFonts w:ascii="Cambria" w:hAnsi="Cambria"/>
        </w:rPr>
        <w:t xml:space="preserve">hase I results </w:t>
      </w:r>
      <w:r w:rsidR="00970D9A">
        <w:rPr>
          <w:rFonts w:ascii="Cambria" w:hAnsi="Cambria"/>
        </w:rPr>
        <w:t xml:space="preserve">on </w:t>
      </w:r>
      <w:r>
        <w:rPr>
          <w:rFonts w:ascii="Cambria" w:hAnsi="Cambria"/>
        </w:rPr>
        <w:t xml:space="preserve">safety and immunogenicity in the </w:t>
      </w:r>
      <w:r w:rsidR="007D3BEB">
        <w:rPr>
          <w:rFonts w:ascii="Cambria" w:hAnsi="Cambria"/>
        </w:rPr>
        <w:t>older adult population</w:t>
      </w:r>
      <w:r w:rsidR="00970D9A">
        <w:rPr>
          <w:rFonts w:ascii="Cambria" w:hAnsi="Cambria"/>
        </w:rPr>
        <w:t xml:space="preserve"> </w:t>
      </w:r>
      <w:r w:rsidR="00787B6A">
        <w:rPr>
          <w:rFonts w:ascii="Cambria" w:hAnsi="Cambria"/>
        </w:rPr>
        <w:t xml:space="preserve">have been </w:t>
      </w:r>
      <w:r w:rsidR="00362A07">
        <w:rPr>
          <w:rFonts w:ascii="Cambria" w:hAnsi="Cambria"/>
        </w:rPr>
        <w:t>released</w:t>
      </w:r>
      <w:r w:rsidR="00787B6A">
        <w:rPr>
          <w:rFonts w:ascii="Cambria" w:hAnsi="Cambria"/>
        </w:rPr>
        <w:t xml:space="preserve"> and are expected to be </w:t>
      </w:r>
      <w:r w:rsidR="00DB53C1">
        <w:rPr>
          <w:rFonts w:ascii="Cambria" w:hAnsi="Cambria"/>
        </w:rPr>
        <w:t>published</w:t>
      </w:r>
      <w:r w:rsidR="00FC1774">
        <w:rPr>
          <w:rFonts w:ascii="Cambria" w:hAnsi="Cambria"/>
        </w:rPr>
        <w:t xml:space="preserve"> from </w:t>
      </w:r>
      <w:r w:rsidR="00787B6A">
        <w:rPr>
          <w:rFonts w:ascii="Cambria" w:hAnsi="Cambria"/>
        </w:rPr>
        <w:t>this</w:t>
      </w:r>
      <w:r w:rsidR="00FC1774">
        <w:rPr>
          <w:rFonts w:ascii="Cambria" w:hAnsi="Cambria"/>
        </w:rPr>
        <w:t xml:space="preserve"> investigator-initiated study</w:t>
      </w:r>
      <w:r>
        <w:rPr>
          <w:rFonts w:ascii="Cambria" w:hAnsi="Cambria"/>
        </w:rPr>
        <w:t>.</w:t>
      </w:r>
    </w:p>
    <w:p w14:paraId="2946F838" w14:textId="77777777" w:rsidR="00630E84" w:rsidRDefault="00630E84" w:rsidP="00C566BC">
      <w:pPr>
        <w:jc w:val="both"/>
        <w:rPr>
          <w:rFonts w:ascii="Cambria" w:hAnsi="Cambria"/>
        </w:rPr>
      </w:pPr>
    </w:p>
    <w:p w14:paraId="2894D211" w14:textId="1C23FE64" w:rsidR="00FD5246" w:rsidRPr="00975B33" w:rsidRDefault="00FD5246" w:rsidP="00C566BC">
      <w:pPr>
        <w:jc w:val="both"/>
        <w:rPr>
          <w:rFonts w:ascii="Cambria" w:hAnsi="Cambria"/>
          <w:u w:val="single"/>
        </w:rPr>
      </w:pPr>
      <w:r w:rsidRPr="00975B33">
        <w:rPr>
          <w:rFonts w:ascii="Cambria" w:hAnsi="Cambria"/>
          <w:u w:val="single"/>
        </w:rPr>
        <w:t>Live</w:t>
      </w:r>
      <w:r w:rsidR="00F640F8">
        <w:rPr>
          <w:rFonts w:ascii="Cambria" w:hAnsi="Cambria"/>
          <w:u w:val="single"/>
        </w:rPr>
        <w:t>-</w:t>
      </w:r>
      <w:r w:rsidRPr="00975B33">
        <w:rPr>
          <w:rFonts w:ascii="Cambria" w:hAnsi="Cambria"/>
          <w:u w:val="single"/>
        </w:rPr>
        <w:t>attenuated</w:t>
      </w:r>
      <w:r w:rsidR="0094600D">
        <w:rPr>
          <w:rFonts w:ascii="Cambria" w:hAnsi="Cambria"/>
          <w:u w:val="single"/>
        </w:rPr>
        <w:t xml:space="preserve"> and chimeric</w:t>
      </w:r>
      <w:r w:rsidRPr="00975B33">
        <w:rPr>
          <w:rFonts w:ascii="Cambria" w:hAnsi="Cambria"/>
          <w:u w:val="single"/>
        </w:rPr>
        <w:t xml:space="preserve"> vaccines</w:t>
      </w:r>
    </w:p>
    <w:p w14:paraId="1F2E6359" w14:textId="464B236D" w:rsidR="00FD5246" w:rsidRDefault="00FD5246" w:rsidP="00C566BC">
      <w:pPr>
        <w:jc w:val="both"/>
        <w:rPr>
          <w:rFonts w:ascii="Cambria" w:hAnsi="Cambria"/>
        </w:rPr>
      </w:pPr>
      <w:r>
        <w:rPr>
          <w:rFonts w:ascii="Cambria" w:hAnsi="Cambria"/>
        </w:rPr>
        <w:t>In the context of historical concerns for enhanced RSV disease, live-attenuated vaccines</w:t>
      </w:r>
      <w:r w:rsidR="000B561C">
        <w:rPr>
          <w:rFonts w:ascii="Cambria" w:hAnsi="Cambria"/>
        </w:rPr>
        <w:t xml:space="preserve"> </w:t>
      </w:r>
      <w:r w:rsidR="00DC02CB">
        <w:rPr>
          <w:rFonts w:ascii="Cambria" w:hAnsi="Cambria"/>
        </w:rPr>
        <w:t xml:space="preserve">can be considered safe for RSV naïve infants, based on </w:t>
      </w:r>
      <w:r w:rsidR="003C0C58">
        <w:rPr>
          <w:rFonts w:ascii="Cambria" w:hAnsi="Cambria"/>
        </w:rPr>
        <w:t xml:space="preserve">consistent </w:t>
      </w:r>
      <w:r w:rsidR="00DC02CB">
        <w:rPr>
          <w:rFonts w:ascii="Cambria" w:hAnsi="Cambria"/>
        </w:rPr>
        <w:t>clinical study results showing that these candidates</w:t>
      </w:r>
      <w:r w:rsidR="00630E84">
        <w:rPr>
          <w:rFonts w:ascii="Cambria" w:hAnsi="Cambria"/>
        </w:rPr>
        <w:t xml:space="preserve"> </w:t>
      </w:r>
      <w:r w:rsidR="00DC02CB">
        <w:rPr>
          <w:rFonts w:ascii="Cambria" w:hAnsi="Cambria"/>
        </w:rPr>
        <w:t>do not prime for</w:t>
      </w:r>
      <w:r>
        <w:rPr>
          <w:rFonts w:ascii="Cambria" w:hAnsi="Cambria"/>
        </w:rPr>
        <w:t xml:space="preserve"> </w:t>
      </w:r>
      <w:r w:rsidR="008D5EA5">
        <w:rPr>
          <w:rFonts w:ascii="Cambria" w:hAnsi="Cambria"/>
        </w:rPr>
        <w:t>ERD</w:t>
      </w:r>
      <w:r>
        <w:rPr>
          <w:rFonts w:ascii="Cambria" w:hAnsi="Cambria"/>
        </w:rPr>
        <w:t xml:space="preserve"> following subsequent exposure to wild-type RSV after vaccination</w:t>
      </w:r>
      <w:r>
        <w:rPr>
          <w:rFonts w:ascii="Cambria" w:hAnsi="Cambria"/>
        </w:rPr>
        <w:fldChar w:fldCharType="begin" w:fldLock="1"/>
      </w:r>
      <w:r w:rsidR="00B707E2">
        <w:rPr>
          <w:rFonts w:ascii="Cambria" w:hAnsi="Cambria"/>
        </w:rPr>
        <w:instrText>ADDIN CSL_CITATION { "citationItems" : [ { "id" : "ITEM-1", "itemData" : { "DOI" : "10.1016/J.VACCINE.2007.08.014", "ISSN" : "0264-410X", "abstract" : "Early in the development of respiratory syncytial virus (RSV) vaccines severe disease occurred in children after receipt of formalin-inactivated RSV vaccine. Continuing efforts to develop an appropriately attenuated and immunogenic live RSV vaccine have given opportunities to assure that live vaccines are safe through surveillance of children after vaccination. In the present study, the rate of RSV-associated upper respiratory tract illness in 388 children was lower in RSV vaccinated children than in controls (14% versus 20% in a 6\u201324 month old group and 16% versus 25% in infants). Additionally, there was no evidence that vaccination predisposed to more severe lower respiratory tract illness. Thus infection with a series of live attenuated RSV vaccines did not result in enhanced disease upon infection with wild type RSV. The impact of RSV during this surveillance will inform the design of future efficacy studies with RSV vaccines.", "author" : [ { "dropping-particle" : "", "family" : "Wright", "given" : "Peter F.", "non-dropping-particle" : "", "parse-names" : false, "suffix" : "" }, { "dropping-particle" : "", "family" : "Karron", "given" : "Ruth A.", "non-dropping-particle" : "", "parse-names" : false, "suffix" : "" }, { "dropping-particle" : "", "family" : "Belshe", "given" : "Robert B.", "non-dropping-particle" : "", "parse-names" : false, "suffix" : "" }, { "dropping-particle" : "", "family" : "Shi", "given" : "Jian R.", "non-dropping-particle" : "", "parse-names" : false, "suffix" : "" }, { "dropping-particle" : "", "family" : "Randolph", "given" : "Valerie B.", "non-dropping-particle" : "", "parse-names" : false, "suffix" : "" }, { "dropping-particle" : "", "family" : "Collins", "given" : "Peter L.", "non-dropping-particle" : "", "parse-names" : false, "suffix" : "" }, { "dropping-particle" : "", "family" : "O'Shea", "given" : "Alice F.", "non-dropping-particle" : "", "parse-names" : false, "suffix" : "" }, { "dropping-particle" : "", "family" : "Gruber", "given" : "William C.", "non-dropping-particle" : "", "parse-names" : false, "suffix" : "" }, { "dropping-particle" : "", "family" : "Murphy", "given" : "Brian R.", "non-dropping-particle" : "", "parse-names" : false, "suffix" : "" } ], "container-title" : "Vaccine", "id" : "ITEM-1", "issue" : "42", "issued" : { "date-parts" : [ [ "2007", "10", "16" ] ] }, "page" : "7372-7378", "title" : "The absence of enhanced disease with wild type respiratory syncytial virus infection occurring after receipt of live, attenuated, respiratory syncytial virus vaccines", "type" : "article-journal", "volume" : "25" }, "uris" : [ "http://www.mendeley.com/documents/?uuid=6b8c7730-0380-3bf2-8ac2-14c09bb90300" ] } ], "mendeley" : { "formattedCitation" : "(107)", "plainTextFormattedCitation" : "(107)", "previouslyFormattedCitation" : "(106)" }, "properties" : { "noteIndex" : 0 }, "schema" : "https://github.com/citation-style-language/schema/raw/master/csl-citation.json" }</w:instrText>
      </w:r>
      <w:r>
        <w:rPr>
          <w:rFonts w:ascii="Cambria" w:hAnsi="Cambria"/>
        </w:rPr>
        <w:fldChar w:fldCharType="separate"/>
      </w:r>
      <w:r w:rsidR="00B707E2" w:rsidRPr="00B707E2">
        <w:rPr>
          <w:rFonts w:ascii="Cambria" w:hAnsi="Cambria"/>
          <w:noProof/>
        </w:rPr>
        <w:t>(107)</w:t>
      </w:r>
      <w:r>
        <w:rPr>
          <w:rFonts w:ascii="Cambria" w:hAnsi="Cambria"/>
        </w:rPr>
        <w:fldChar w:fldCharType="end"/>
      </w:r>
      <w:r>
        <w:rPr>
          <w:rFonts w:ascii="Cambria" w:hAnsi="Cambria"/>
        </w:rPr>
        <w:t xml:space="preserve">. </w:t>
      </w:r>
      <w:r w:rsidR="00C974CB">
        <w:rPr>
          <w:rFonts w:ascii="Cambria" w:hAnsi="Cambria"/>
        </w:rPr>
        <w:t>Another benefit of live-attenuated vaccines</w:t>
      </w:r>
      <w:r w:rsidR="00604CFA">
        <w:rPr>
          <w:rFonts w:ascii="Cambria" w:hAnsi="Cambria"/>
        </w:rPr>
        <w:t xml:space="preserve"> against RSV</w:t>
      </w:r>
      <w:r w:rsidR="00C974CB">
        <w:rPr>
          <w:rFonts w:ascii="Cambria" w:hAnsi="Cambria"/>
        </w:rPr>
        <w:t xml:space="preserve"> in </w:t>
      </w:r>
      <w:r w:rsidR="00604CFA">
        <w:rPr>
          <w:rFonts w:ascii="Cambria" w:hAnsi="Cambria"/>
        </w:rPr>
        <w:t xml:space="preserve">young infants </w:t>
      </w:r>
      <w:r w:rsidR="00C974CB">
        <w:rPr>
          <w:rFonts w:ascii="Cambria" w:hAnsi="Cambria"/>
        </w:rPr>
        <w:t xml:space="preserve">is their ability to </w:t>
      </w:r>
      <w:r w:rsidR="00604CFA">
        <w:rPr>
          <w:rFonts w:ascii="Cambria" w:hAnsi="Cambria"/>
        </w:rPr>
        <w:t>replicate in the respiratory tract</w:t>
      </w:r>
      <w:r w:rsidR="00C974CB">
        <w:rPr>
          <w:rFonts w:ascii="Cambria" w:hAnsi="Cambria"/>
        </w:rPr>
        <w:t xml:space="preserve"> despite the presence of maternally-acquired antibodies</w:t>
      </w:r>
      <w:r w:rsidR="005931FD">
        <w:rPr>
          <w:rFonts w:ascii="Cambria" w:hAnsi="Cambria"/>
        </w:rPr>
        <w:t xml:space="preserve">, and to elicit a more broad </w:t>
      </w:r>
      <w:r w:rsidR="00604CFA">
        <w:rPr>
          <w:rFonts w:ascii="Cambria" w:hAnsi="Cambria"/>
        </w:rPr>
        <w:t xml:space="preserve">humoral </w:t>
      </w:r>
      <w:r w:rsidR="005931FD">
        <w:rPr>
          <w:rFonts w:ascii="Cambria" w:hAnsi="Cambria"/>
        </w:rPr>
        <w:t>and cellular response</w:t>
      </w:r>
      <w:r w:rsidR="00BC6D6E">
        <w:rPr>
          <w:rFonts w:ascii="Cambria" w:hAnsi="Cambria"/>
        </w:rPr>
        <w:fldChar w:fldCharType="begin" w:fldLock="1"/>
      </w:r>
      <w:r w:rsidR="00B707E2">
        <w:rPr>
          <w:rFonts w:ascii="Cambria" w:hAnsi="Cambria"/>
        </w:rPr>
        <w:instrText>ADDIN CSL_CITATION { "citationItems" : [ { "id" : "ITEM-1", "itemData" : { "DOI" : "10.1007/978-3-642-38919-1_13", "PMID" : "24362694", "abstract" : "Live-attenuated respiratory syncytial virus (RSV) vaccines offer several advantages for immunization of infants and young children: (1) they do not cause vaccine-associated enhanced RSV disease; (2) they broadly stimulate innate, humoral, and cellular immunity, both systemically and locally in the respiratory tract; (3) they are delivered intranasally; and (4) they replicate in the upper respiratory tract of young infants despite the presence of passively acquired maternally derived RSV neutralizing antibody. This chapter describes early efforts to develop vaccines through the classic methods of serial cold-passage and chemical mutagenesis, and recent efforts using reverse genetics to derive attenuated derivatives of wild-type (WT) RSV and to develop parainfluenza vaccine vectors that express RSV surface glycoproteins.", "author" : [ { "dropping-particle" : "", "family" : "Karron", "given" : "Ruth A.", "non-dropping-particle" : "", "parse-names" : false, "suffix" : "" }, { "dropping-particle" : "", "family" : "Buchholz", "given" : "Ursula J.", "non-dropping-particle" : "", "parse-names" : false, "suffix" : "" }, { "dropping-particle" : "", "family" : "Collins", "given" : "Peter L.", "non-dropping-particle" : "", "parse-names" : false, "suffix" : "" } ], "container-title" : "Curr Top Microbiol Immunol", "id" : "ITEM-1", "issued" : { "date-parts" : [ [ "2013" ] ] }, "page" : "259-284", "title" : "Live-Attenuated Respiratory Syncytial Virus Vaccines", "type" : "article-journal", "volume" : "372" }, "uris" : [ "http://www.mendeley.com/documents/?uuid=e5aa425f-3e93-3ce7-93b1-b1a870506cc4" ] } ], "mendeley" : { "formattedCitation" : "(108)", "plainTextFormattedCitation" : "(108)", "previouslyFormattedCitation" : "(107)" }, "properties" : { "noteIndex" : 0 }, "schema" : "https://github.com/citation-style-language/schema/raw/master/csl-citation.json" }</w:instrText>
      </w:r>
      <w:r w:rsidR="00BC6D6E">
        <w:rPr>
          <w:rFonts w:ascii="Cambria" w:hAnsi="Cambria"/>
        </w:rPr>
        <w:fldChar w:fldCharType="separate"/>
      </w:r>
      <w:r w:rsidR="00B707E2" w:rsidRPr="00B707E2">
        <w:rPr>
          <w:rFonts w:ascii="Cambria" w:hAnsi="Cambria"/>
          <w:noProof/>
        </w:rPr>
        <w:t>(108)</w:t>
      </w:r>
      <w:r w:rsidR="00BC6D6E">
        <w:rPr>
          <w:rFonts w:ascii="Cambria" w:hAnsi="Cambria"/>
        </w:rPr>
        <w:fldChar w:fldCharType="end"/>
      </w:r>
      <w:r w:rsidR="00C974CB">
        <w:rPr>
          <w:rFonts w:ascii="Cambria" w:hAnsi="Cambria"/>
        </w:rPr>
        <w:t xml:space="preserve">. </w:t>
      </w:r>
      <w:r>
        <w:rPr>
          <w:rFonts w:ascii="Cambria" w:hAnsi="Cambria"/>
        </w:rPr>
        <w:t xml:space="preserve">Live-attenuated vaccines are </w:t>
      </w:r>
      <w:r w:rsidR="00B53CE1">
        <w:rPr>
          <w:rFonts w:ascii="Cambria" w:hAnsi="Cambria"/>
        </w:rPr>
        <w:t xml:space="preserve">likely </w:t>
      </w:r>
      <w:r>
        <w:rPr>
          <w:rFonts w:ascii="Cambria" w:hAnsi="Cambria"/>
        </w:rPr>
        <w:t xml:space="preserve">limited to the </w:t>
      </w:r>
      <w:r w:rsidR="00D575F9">
        <w:rPr>
          <w:rFonts w:ascii="Cambria" w:hAnsi="Cambria"/>
        </w:rPr>
        <w:t>pediatric</w:t>
      </w:r>
      <w:r>
        <w:rPr>
          <w:rFonts w:ascii="Cambria" w:hAnsi="Cambria"/>
        </w:rPr>
        <w:t xml:space="preserve"> population</w:t>
      </w:r>
      <w:r w:rsidR="00D575F9">
        <w:rPr>
          <w:rFonts w:ascii="Cambria" w:hAnsi="Cambria"/>
        </w:rPr>
        <w:t xml:space="preserve"> under two years of age,</w:t>
      </w:r>
      <w:r>
        <w:rPr>
          <w:rFonts w:ascii="Cambria" w:hAnsi="Cambria"/>
        </w:rPr>
        <w:t xml:space="preserve"> as pre-existing immunity in </w:t>
      </w:r>
      <w:r w:rsidR="00B53CE1">
        <w:rPr>
          <w:rFonts w:ascii="Cambria" w:hAnsi="Cambria"/>
        </w:rPr>
        <w:t xml:space="preserve">older </w:t>
      </w:r>
      <w:r>
        <w:rPr>
          <w:rFonts w:ascii="Cambria" w:hAnsi="Cambria"/>
        </w:rPr>
        <w:t xml:space="preserve">populations </w:t>
      </w:r>
      <w:r w:rsidR="003C0C58">
        <w:rPr>
          <w:rFonts w:ascii="Cambria" w:hAnsi="Cambria"/>
        </w:rPr>
        <w:t>might not permit</w:t>
      </w:r>
      <w:r>
        <w:rPr>
          <w:rFonts w:ascii="Cambria" w:hAnsi="Cambria"/>
        </w:rPr>
        <w:t xml:space="preserve"> sufficient replication to generate protective immune response</w:t>
      </w:r>
      <w:r w:rsidR="003C0C58">
        <w:rPr>
          <w:rFonts w:ascii="Cambria" w:hAnsi="Cambria"/>
        </w:rPr>
        <w:t>s</w:t>
      </w:r>
      <w:r>
        <w:rPr>
          <w:rFonts w:ascii="Cambria" w:hAnsi="Cambria"/>
        </w:rPr>
        <w:t>.</w:t>
      </w:r>
      <w:r w:rsidR="00331B6A">
        <w:rPr>
          <w:rFonts w:ascii="Cambria" w:hAnsi="Cambria"/>
        </w:rPr>
        <w:t xml:space="preserve"> Safety </w:t>
      </w:r>
      <w:r w:rsidR="002B2C6D">
        <w:rPr>
          <w:rFonts w:ascii="Cambria" w:hAnsi="Cambria"/>
        </w:rPr>
        <w:t>could be a</w:t>
      </w:r>
      <w:r w:rsidR="00331B6A">
        <w:rPr>
          <w:rFonts w:ascii="Cambria" w:hAnsi="Cambria"/>
        </w:rPr>
        <w:t xml:space="preserve"> concern </w:t>
      </w:r>
      <w:r w:rsidR="002B2C6D">
        <w:rPr>
          <w:rFonts w:ascii="Cambria" w:hAnsi="Cambria"/>
        </w:rPr>
        <w:t>for</w:t>
      </w:r>
      <w:r w:rsidR="00D3720D">
        <w:rPr>
          <w:rFonts w:ascii="Cambria" w:hAnsi="Cambria"/>
        </w:rPr>
        <w:t xml:space="preserve"> intranasal</w:t>
      </w:r>
      <w:r w:rsidR="00331B6A">
        <w:rPr>
          <w:rFonts w:ascii="Cambria" w:hAnsi="Cambria"/>
        </w:rPr>
        <w:t xml:space="preserve"> live-attenuated vaccines, in particular </w:t>
      </w:r>
      <w:r w:rsidR="00B53CE1">
        <w:rPr>
          <w:rFonts w:ascii="Cambria" w:hAnsi="Cambria"/>
        </w:rPr>
        <w:t xml:space="preserve">if </w:t>
      </w:r>
      <w:r w:rsidR="00331B6A">
        <w:rPr>
          <w:rFonts w:ascii="Cambria" w:hAnsi="Cambria"/>
        </w:rPr>
        <w:t>attenuation is insufficient.</w:t>
      </w:r>
      <w:r w:rsidR="002B2C6D">
        <w:rPr>
          <w:rFonts w:ascii="Cambria" w:hAnsi="Cambria"/>
        </w:rPr>
        <w:t xml:space="preserve"> </w:t>
      </w:r>
      <w:r w:rsidR="002B2C6D" w:rsidRPr="002B2C6D">
        <w:rPr>
          <w:rFonts w:ascii="Cambria" w:hAnsi="Cambria"/>
        </w:rPr>
        <w:t>However, evaluation of current vaccines has not shown evidence of increased rates of vaccine-associated LRI or fever, though there may be increased rates of rhinorrhea, similar to what has been observed with the live-attenuated influenza vaccine.</w:t>
      </w:r>
    </w:p>
    <w:p w14:paraId="7073E08B" w14:textId="4B9AEC48" w:rsidR="0028734A" w:rsidRDefault="008F22F6" w:rsidP="00C566BC">
      <w:pPr>
        <w:jc w:val="both"/>
        <w:rPr>
          <w:rFonts w:ascii="Cambria" w:hAnsi="Cambria"/>
        </w:rPr>
      </w:pPr>
      <w:r>
        <w:rPr>
          <w:rFonts w:ascii="Cambria" w:hAnsi="Cambria"/>
        </w:rPr>
        <w:tab/>
        <w:t>Five live-attenuated vaccine ca</w:t>
      </w:r>
      <w:r w:rsidR="00A7655F">
        <w:rPr>
          <w:rFonts w:ascii="Cambria" w:hAnsi="Cambria"/>
        </w:rPr>
        <w:t>ndidates</w:t>
      </w:r>
      <w:r w:rsidR="00B53CE1">
        <w:rPr>
          <w:rFonts w:ascii="Cambria" w:hAnsi="Cambria"/>
        </w:rPr>
        <w:t xml:space="preserve"> in phase I clinical trials</w:t>
      </w:r>
      <w:r w:rsidR="00A7655F">
        <w:rPr>
          <w:rFonts w:ascii="Cambria" w:hAnsi="Cambria"/>
        </w:rPr>
        <w:t xml:space="preserve"> are being developed </w:t>
      </w:r>
      <w:r w:rsidR="00DC02CB">
        <w:rPr>
          <w:rFonts w:ascii="Cambria" w:hAnsi="Cambria"/>
        </w:rPr>
        <w:t>in partnership with the</w:t>
      </w:r>
      <w:r w:rsidR="00A7655F">
        <w:rPr>
          <w:rFonts w:ascii="Cambria" w:hAnsi="Cambria"/>
        </w:rPr>
        <w:t xml:space="preserve"> </w:t>
      </w:r>
      <w:r w:rsidR="00B53CE1">
        <w:rPr>
          <w:rFonts w:ascii="Cambria" w:hAnsi="Cambria"/>
        </w:rPr>
        <w:t>National Institutes of Health (</w:t>
      </w:r>
      <w:r w:rsidR="00A7655F">
        <w:rPr>
          <w:rFonts w:ascii="Cambria" w:hAnsi="Cambria"/>
        </w:rPr>
        <w:t>NIH</w:t>
      </w:r>
      <w:r w:rsidR="00B53CE1">
        <w:rPr>
          <w:rFonts w:ascii="Cambria" w:hAnsi="Cambria"/>
        </w:rPr>
        <w:t>)</w:t>
      </w:r>
      <w:r>
        <w:rPr>
          <w:rFonts w:ascii="Cambria" w:hAnsi="Cambria"/>
        </w:rPr>
        <w:t xml:space="preserve">.  </w:t>
      </w:r>
      <w:r w:rsidR="00665075">
        <w:rPr>
          <w:rFonts w:ascii="Cambria" w:hAnsi="Cambria"/>
        </w:rPr>
        <w:t>L</w:t>
      </w:r>
      <w:r>
        <w:rPr>
          <w:rFonts w:ascii="Cambria" w:hAnsi="Cambria"/>
        </w:rPr>
        <w:t xml:space="preserve">ive-attenuated vaccines face </w:t>
      </w:r>
      <w:r w:rsidR="00665075">
        <w:rPr>
          <w:rFonts w:ascii="Cambria" w:hAnsi="Cambria"/>
        </w:rPr>
        <w:t xml:space="preserve">the challenge of </w:t>
      </w:r>
      <w:r>
        <w:rPr>
          <w:rFonts w:ascii="Cambria" w:hAnsi="Cambria"/>
        </w:rPr>
        <w:t xml:space="preserve">achieving </w:t>
      </w:r>
      <w:r w:rsidR="00505AF9">
        <w:rPr>
          <w:rFonts w:ascii="Cambria" w:hAnsi="Cambria"/>
        </w:rPr>
        <w:t>sufficient</w:t>
      </w:r>
      <w:r>
        <w:rPr>
          <w:rFonts w:ascii="Cambria" w:hAnsi="Cambria"/>
        </w:rPr>
        <w:t xml:space="preserve"> attenuation </w:t>
      </w:r>
      <w:r w:rsidR="00505AF9">
        <w:rPr>
          <w:rFonts w:ascii="Cambria" w:hAnsi="Cambria"/>
        </w:rPr>
        <w:t>to be safe</w:t>
      </w:r>
      <w:r>
        <w:rPr>
          <w:rFonts w:ascii="Cambria" w:hAnsi="Cambria"/>
        </w:rPr>
        <w:t xml:space="preserve"> while </w:t>
      </w:r>
      <w:r w:rsidR="00505AF9">
        <w:rPr>
          <w:rFonts w:ascii="Cambria" w:hAnsi="Cambria"/>
        </w:rPr>
        <w:t>remaining immunogenic enough to</w:t>
      </w:r>
      <w:r>
        <w:rPr>
          <w:rFonts w:ascii="Cambria" w:hAnsi="Cambria"/>
        </w:rPr>
        <w:t xml:space="preserve"> induce a protective immune response</w:t>
      </w:r>
      <w:r w:rsidR="002B2C6D">
        <w:rPr>
          <w:rFonts w:ascii="Cambria" w:hAnsi="Cambria"/>
        </w:rPr>
        <w:t>, but</w:t>
      </w:r>
      <w:r>
        <w:rPr>
          <w:rFonts w:ascii="Cambria" w:hAnsi="Cambria"/>
        </w:rPr>
        <w:t xml:space="preserve"> </w:t>
      </w:r>
      <w:r w:rsidR="002B2C6D">
        <w:rPr>
          <w:rFonts w:ascii="Cambria" w:hAnsi="Cambria"/>
        </w:rPr>
        <w:lastRenderedPageBreak/>
        <w:t>i</w:t>
      </w:r>
      <w:r>
        <w:rPr>
          <w:rFonts w:ascii="Cambria" w:hAnsi="Cambria"/>
        </w:rPr>
        <w:t>mproved understand</w:t>
      </w:r>
      <w:r w:rsidR="00A7655F">
        <w:rPr>
          <w:rFonts w:ascii="Cambria" w:hAnsi="Cambria"/>
        </w:rPr>
        <w:t>ing</w:t>
      </w:r>
      <w:r>
        <w:rPr>
          <w:rFonts w:ascii="Cambria" w:hAnsi="Cambria"/>
        </w:rPr>
        <w:t xml:space="preserve"> of the </w:t>
      </w:r>
      <w:r w:rsidR="00A7655F">
        <w:rPr>
          <w:rFonts w:ascii="Cambria" w:hAnsi="Cambria"/>
        </w:rPr>
        <w:t xml:space="preserve">RSV </w:t>
      </w:r>
      <w:r>
        <w:rPr>
          <w:rFonts w:ascii="Cambria" w:hAnsi="Cambria"/>
        </w:rPr>
        <w:t>viral genome</w:t>
      </w:r>
      <w:r w:rsidR="00542014">
        <w:rPr>
          <w:rFonts w:ascii="Cambria" w:hAnsi="Cambria"/>
        </w:rPr>
        <w:t xml:space="preserve"> </w:t>
      </w:r>
      <w:r>
        <w:rPr>
          <w:rFonts w:ascii="Cambria" w:hAnsi="Cambria"/>
        </w:rPr>
        <w:t>h</w:t>
      </w:r>
      <w:r w:rsidR="00CD6486">
        <w:rPr>
          <w:rFonts w:ascii="Cambria" w:hAnsi="Cambria"/>
        </w:rPr>
        <w:t xml:space="preserve">as informed the development of </w:t>
      </w:r>
      <w:r>
        <w:rPr>
          <w:rFonts w:ascii="Cambria" w:hAnsi="Cambria"/>
        </w:rPr>
        <w:t>new vaccine candidates</w:t>
      </w:r>
      <w:r w:rsidR="002B2C6D">
        <w:rPr>
          <w:rFonts w:ascii="Cambria" w:hAnsi="Cambria"/>
        </w:rPr>
        <w:t xml:space="preserve"> that may overcome this challenge</w:t>
      </w:r>
      <w:r>
        <w:rPr>
          <w:rFonts w:ascii="Cambria" w:hAnsi="Cambria"/>
        </w:rPr>
        <w:t>.</w:t>
      </w:r>
      <w:r w:rsidR="00F31FD8">
        <w:rPr>
          <w:rFonts w:ascii="Cambria" w:hAnsi="Cambria"/>
        </w:rPr>
        <w:t xml:space="preserve"> </w:t>
      </w:r>
      <w:r w:rsidR="00665075">
        <w:rPr>
          <w:rFonts w:ascii="Cambria" w:hAnsi="Cambria"/>
        </w:rPr>
        <w:t xml:space="preserve">Two main </w:t>
      </w:r>
      <w:r w:rsidR="007F6883">
        <w:rPr>
          <w:rFonts w:ascii="Cambria" w:hAnsi="Cambria"/>
        </w:rPr>
        <w:t>modifications</w:t>
      </w:r>
      <w:r w:rsidR="00665075">
        <w:rPr>
          <w:rFonts w:ascii="Cambria" w:hAnsi="Cambria"/>
        </w:rPr>
        <w:t xml:space="preserve"> to the RSV genome have been engineered through reverse genetics</w:t>
      </w:r>
      <w:r w:rsidR="00F31FD8">
        <w:rPr>
          <w:rFonts w:ascii="Cambria" w:hAnsi="Cambria"/>
        </w:rPr>
        <w:t xml:space="preserve">: the </w:t>
      </w:r>
      <w:r w:rsidR="00C974CB">
        <w:rPr>
          <w:rFonts w:ascii="Cambria" w:hAnsi="Cambria"/>
        </w:rPr>
        <w:t>Δ</w:t>
      </w:r>
      <w:r w:rsidR="00F31FD8">
        <w:rPr>
          <w:rFonts w:ascii="Cambria" w:hAnsi="Cambria"/>
        </w:rPr>
        <w:t>M2-2 deletion w</w:t>
      </w:r>
      <w:r w:rsidR="00024D17">
        <w:rPr>
          <w:rFonts w:ascii="Cambria" w:hAnsi="Cambria"/>
        </w:rPr>
        <w:t xml:space="preserve">hich attenuates </w:t>
      </w:r>
      <w:r w:rsidR="00665075">
        <w:rPr>
          <w:rFonts w:ascii="Cambria" w:hAnsi="Cambria"/>
        </w:rPr>
        <w:t xml:space="preserve">viral </w:t>
      </w:r>
      <w:r w:rsidR="00024D17">
        <w:rPr>
          <w:rFonts w:ascii="Cambria" w:hAnsi="Cambria"/>
        </w:rPr>
        <w:t>replication and upregulates antigen expression</w:t>
      </w:r>
      <w:r w:rsidR="00CD6486">
        <w:rPr>
          <w:rFonts w:ascii="Cambria" w:hAnsi="Cambria"/>
        </w:rPr>
        <w:fldChar w:fldCharType="begin" w:fldLock="1"/>
      </w:r>
      <w:r w:rsidR="00AC7A3A">
        <w:rPr>
          <w:rFonts w:ascii="Cambria" w:hAnsi="Cambria"/>
        </w:rPr>
        <w:instrText>ADDIN CSL_CITATION { "citationItems" : [ { "id" : "ITEM-1", "itemData" : { "DOI" : "10.1126/scitranslmed.aac8463", "ISSN" : "1946-6242", "PMID" : "26537255", "abstract" : "Respiratory syncytial virus (RSV) is the leading viral cause of severe pediatric respiratory illness, and a safe and effective vaccine for use in infancy and early childhood is needed. We previously showed that deletion of the coding sequence for the viral M2-2 protein (\u0394M2-2) down-regulated viral RNA replication and up-regulated gene transcription and antigen synthesis, raising the possibility of development of an attenuated vaccine with enhanced immunogenicity. RSV MEDI \u0394M2-2 was therefore evaluated as a live intranasal vaccine in adults, RSV-seropositive children, and RSV-seronegative children. When results in RSV-seronegative children were compared to those achieved with the previous leading live attenuated RSV candidate vaccine, vaccine virus shedding was significantly more restricted, yet the postvaccination RSV-neutralizing serum antibody achieved [geometric mean titer (GMT) = 1:97] was significantly greater. Surveillance during the subsequent RSV season showed that several seronegative RSV MEDI \u0394M2-2 recipients had substantial antibody rises without reported illness, suggesting that the vaccine was protective yet primed for anamnestic responses to RSV. Rational design appears to have yielded a candidate RSV vaccine that is intrinsically superior at eliciting protective antibody in RSV-na\u00efve children and highlights an approach for the development of live attenuated RSV vaccines.", "author" : [ { "dropping-particle" : "", "family" : "Karron", "given" : "Ruth A", "non-dropping-particle" : "", "parse-names" : false, "suffix" : "" }, { "dropping-particle" : "", "family" : "Luongo", "given" : "Cindy", "non-dropping-particle" : "", "parse-names" : false, "suffix" : "" }, { "dropping-particle" : "", "family" : "Thumar", "given" : "Bhagvanji", "non-dropping-particle" : "", "parse-names" : false, "suffix" : "" }, { "dropping-particle" : "", "family" : "Loehr", "given" : "Karen M", "non-dropping-particle" : "", "parse-names" : false, "suffix" : "" }, { "dropping-particle" : "", "family" : "Englund", "given" : "Janet A", "non-dropping-particle" : "", "parse-names" : false, "suffix" : "" }, { "dropping-particle" : "", "family" : "Collins", "given" : "Peter L", "non-dropping-particle" : "", "parse-names" : false, "suffix" : "" }, { "dropping-particle" : "", "family" : "Buchholz", "given" : "Ursula J", "non-dropping-particle" : "", "parse-names" : false, "suffix" : "" } ], "container-title" : "Science translational medicine", "id" : "ITEM-1", "issue" : "312", "issued" : { "date-parts" : [ [ "2015", "11", "4" ] ] }, "page" : "312ra175", "title" : "A gene deletion that up-regulates viral gene expression yields an attenuated RSV vaccine with improved antibody responses in children.", "type" : "article-journal", "volume" : "7" }, "uris" : [ "http://www.mendeley.com/documents/?uuid=7c98401e-161d-3222-a1c7-eb94fa133980" ] } ], "mendeley" : { "formattedCitation" : "(37)", "plainTextFormattedCitation" : "(37)", "previouslyFormattedCitation" : "(37)" }, "properties" : { "noteIndex" : 0 }, "schema" : "https://github.com/citation-style-language/schema/raw/master/csl-citation.json" }</w:instrText>
      </w:r>
      <w:r w:rsidR="00CD6486">
        <w:rPr>
          <w:rFonts w:ascii="Cambria" w:hAnsi="Cambria"/>
        </w:rPr>
        <w:fldChar w:fldCharType="separate"/>
      </w:r>
      <w:r w:rsidR="009F500F" w:rsidRPr="009F500F">
        <w:rPr>
          <w:rFonts w:ascii="Cambria" w:hAnsi="Cambria"/>
          <w:noProof/>
        </w:rPr>
        <w:t>(37)</w:t>
      </w:r>
      <w:r w:rsidR="00CD6486">
        <w:rPr>
          <w:rFonts w:ascii="Cambria" w:hAnsi="Cambria"/>
        </w:rPr>
        <w:fldChar w:fldCharType="end"/>
      </w:r>
      <w:r w:rsidR="00024D17">
        <w:rPr>
          <w:rFonts w:ascii="Cambria" w:hAnsi="Cambria"/>
        </w:rPr>
        <w:t xml:space="preserve"> </w:t>
      </w:r>
      <w:r w:rsidR="00F31FD8">
        <w:rPr>
          <w:rFonts w:ascii="Cambria" w:hAnsi="Cambria"/>
        </w:rPr>
        <w:t xml:space="preserve">as well as the </w:t>
      </w:r>
      <w:r w:rsidR="00C974CB">
        <w:rPr>
          <w:rFonts w:ascii="Cambria" w:hAnsi="Cambria"/>
        </w:rPr>
        <w:t>Δ</w:t>
      </w:r>
      <w:r w:rsidR="00F31FD8">
        <w:rPr>
          <w:rFonts w:ascii="Cambria" w:hAnsi="Cambria"/>
        </w:rPr>
        <w:t xml:space="preserve">NS2 deletion which </w:t>
      </w:r>
      <w:r w:rsidR="00024D17">
        <w:rPr>
          <w:rFonts w:ascii="Cambria" w:hAnsi="Cambria"/>
        </w:rPr>
        <w:t>reduces viral suppression of host interferon thereby boosting the innate immune response</w:t>
      </w:r>
      <w:r w:rsidR="00F31FD8">
        <w:rPr>
          <w:rFonts w:ascii="Cambria" w:hAnsi="Cambria"/>
        </w:rPr>
        <w:t>.</w:t>
      </w:r>
      <w:r w:rsidR="00170997">
        <w:rPr>
          <w:rFonts w:ascii="Cambria" w:hAnsi="Cambria"/>
        </w:rPr>
        <w:t xml:space="preserve"> </w:t>
      </w:r>
      <w:r w:rsidR="00542014" w:rsidRPr="007A2AA5">
        <w:rPr>
          <w:rFonts w:ascii="Cambria" w:hAnsi="Cambria"/>
        </w:rPr>
        <w:t xml:space="preserve">RSV MEDI </w:t>
      </w:r>
      <w:r w:rsidR="00542014">
        <w:rPr>
          <w:rFonts w:ascii="Cambria" w:hAnsi="Cambria"/>
        </w:rPr>
        <w:t>ΔM2</w:t>
      </w:r>
      <w:r w:rsidR="00542014" w:rsidRPr="007A2AA5">
        <w:rPr>
          <w:rFonts w:ascii="Cambria" w:hAnsi="Cambria"/>
        </w:rPr>
        <w:t xml:space="preserve">-2 </w:t>
      </w:r>
      <w:r w:rsidR="00542014">
        <w:rPr>
          <w:rFonts w:ascii="Cambria" w:hAnsi="Cambria"/>
        </w:rPr>
        <w:t xml:space="preserve">strongly reduced viral replication while inducing a </w:t>
      </w:r>
      <w:r w:rsidR="001565F7">
        <w:rPr>
          <w:rFonts w:ascii="Cambria" w:hAnsi="Cambria"/>
        </w:rPr>
        <w:t>strong primary serum neutralizing antibody as well</w:t>
      </w:r>
      <w:r w:rsidR="001551EB">
        <w:rPr>
          <w:rFonts w:ascii="Cambria" w:hAnsi="Cambria"/>
        </w:rPr>
        <w:t xml:space="preserve"> as</w:t>
      </w:r>
      <w:r w:rsidR="00542014">
        <w:rPr>
          <w:rFonts w:ascii="Cambria" w:hAnsi="Cambria"/>
        </w:rPr>
        <w:t xml:space="preserve"> </w:t>
      </w:r>
      <w:r w:rsidR="001565F7">
        <w:rPr>
          <w:rFonts w:ascii="Cambria" w:hAnsi="Cambria"/>
        </w:rPr>
        <w:t>potent anamnestic response</w:t>
      </w:r>
      <w:r w:rsidR="00542014">
        <w:rPr>
          <w:rFonts w:ascii="Cambria" w:hAnsi="Cambria"/>
        </w:rPr>
        <w:t xml:space="preserve"> in </w:t>
      </w:r>
      <w:r w:rsidR="00542014" w:rsidRPr="007A2AA5">
        <w:rPr>
          <w:rFonts w:ascii="Cambria" w:hAnsi="Cambria"/>
        </w:rPr>
        <w:t xml:space="preserve">RSV-seronegative infants and </w:t>
      </w:r>
      <w:r w:rsidR="00542014">
        <w:rPr>
          <w:rFonts w:ascii="Cambria" w:hAnsi="Cambria"/>
        </w:rPr>
        <w:t>c</w:t>
      </w:r>
      <w:r w:rsidR="00542014" w:rsidRPr="007A2AA5">
        <w:rPr>
          <w:rFonts w:ascii="Cambria" w:hAnsi="Cambria"/>
        </w:rPr>
        <w:t>hildren</w:t>
      </w:r>
      <w:r w:rsidR="00542014">
        <w:rPr>
          <w:rFonts w:ascii="Cambria" w:hAnsi="Cambria"/>
        </w:rPr>
        <w:fldChar w:fldCharType="begin" w:fldLock="1"/>
      </w:r>
      <w:r w:rsidR="00AC7A3A">
        <w:rPr>
          <w:rFonts w:ascii="Cambria" w:hAnsi="Cambria"/>
        </w:rPr>
        <w:instrText>ADDIN CSL_CITATION { "citationItems" : [ { "id" : "ITEM-1", "itemData" : { "DOI" : "10.1126/scitranslmed.aac8463", "ISSN" : "1946-6242", "PMID" : "26537255", "abstract" : "Respiratory syncytial virus (RSV) is the leading viral cause of severe pediatric respiratory illness, and a safe and effective vaccine for use in infancy and early childhood is needed. We previously showed that deletion of the coding sequence for the viral M2-2 protein (\u0394M2-2) down-regulated viral RNA replication and up-regulated gene transcription and antigen synthesis, raising the possibility of development of an attenuated vaccine with enhanced immunogenicity. RSV MEDI \u0394M2-2 was therefore evaluated as a live intranasal vaccine in adults, RSV-seropositive children, and RSV-seronegative children. When results in RSV-seronegative children were compared to those achieved with the previous leading live attenuated RSV candidate vaccine, vaccine virus shedding was significantly more restricted, yet the postvaccination RSV-neutralizing serum antibody achieved [geometric mean titer (GMT) = 1:97] was significantly greater. Surveillance during the subsequent RSV season showed that several seronegative RSV MEDI \u0394M2-2 recipients had substantial antibody rises without reported illness, suggesting that the vaccine was protective yet primed for anamnestic responses to RSV. Rational design appears to have yielded a candidate RSV vaccine that is intrinsically superior at eliciting protective antibody in RSV-na\u00efve children and highlights an approach for the development of live attenuated RSV vaccines.", "author" : [ { "dropping-particle" : "", "family" : "Karron", "given" : "Ruth A", "non-dropping-particle" : "", "parse-names" : false, "suffix" : "" }, { "dropping-particle" : "", "family" : "Luongo", "given" : "Cindy", "non-dropping-particle" : "", "parse-names" : false, "suffix" : "" }, { "dropping-particle" : "", "family" : "Thumar", "given" : "Bhagvanji", "non-dropping-particle" : "", "parse-names" : false, "suffix" : "" }, { "dropping-particle" : "", "family" : "Loehr", "given" : "Karen M", "non-dropping-particle" : "", "parse-names" : false, "suffix" : "" }, { "dropping-particle" : "", "family" : "Englund", "given" : "Janet A", "non-dropping-particle" : "", "parse-names" : false, "suffix" : "" }, { "dropping-particle" : "", "family" : "Collins", "given" : "Peter L", "non-dropping-particle" : "", "parse-names" : false, "suffix" : "" }, { "dropping-particle" : "", "family" : "Buchholz", "given" : "Ursula J", "non-dropping-particle" : "", "parse-names" : false, "suffix" : "" } ], "container-title" : "Science translational medicine", "id" : "ITEM-1", "issue" : "312", "issued" : { "date-parts" : [ [ "2015", "11", "4" ] ] }, "page" : "312ra175", "title" : "A gene deletion that up-regulates viral gene expression yields an attenuated RSV vaccine with improved antibody responses in children.", "type" : "article-journal", "volume" : "7" }, "uris" : [ "http://www.mendeley.com/documents/?uuid=7c98401e-161d-3222-a1c7-eb94fa133980" ] } ], "mendeley" : { "formattedCitation" : "(37)", "plainTextFormattedCitation" : "(37)", "previouslyFormattedCitation" : "(37)" }, "properties" : { "noteIndex" : 0 }, "schema" : "https://github.com/citation-style-language/schema/raw/master/csl-citation.json" }</w:instrText>
      </w:r>
      <w:r w:rsidR="00542014">
        <w:rPr>
          <w:rFonts w:ascii="Cambria" w:hAnsi="Cambria"/>
        </w:rPr>
        <w:fldChar w:fldCharType="separate"/>
      </w:r>
      <w:r w:rsidR="009F500F" w:rsidRPr="009F500F">
        <w:rPr>
          <w:rFonts w:ascii="Cambria" w:hAnsi="Cambria"/>
          <w:noProof/>
        </w:rPr>
        <w:t>(37)</w:t>
      </w:r>
      <w:r w:rsidR="00542014">
        <w:rPr>
          <w:rFonts w:ascii="Cambria" w:hAnsi="Cambria"/>
        </w:rPr>
        <w:fldChar w:fldCharType="end"/>
      </w:r>
      <w:r w:rsidR="00542014" w:rsidRPr="007A2AA5">
        <w:rPr>
          <w:rFonts w:ascii="Cambria" w:hAnsi="Cambria"/>
        </w:rPr>
        <w:t>.</w:t>
      </w:r>
      <w:r w:rsidR="00542014">
        <w:rPr>
          <w:rFonts w:ascii="Cambria" w:hAnsi="Cambria"/>
        </w:rPr>
        <w:t xml:space="preserve"> Further results from</w:t>
      </w:r>
      <w:r w:rsidR="003A5190">
        <w:rPr>
          <w:rFonts w:ascii="Cambria" w:hAnsi="Cambria"/>
        </w:rPr>
        <w:t xml:space="preserve"> phase I</w:t>
      </w:r>
      <w:r w:rsidR="00542014">
        <w:rPr>
          <w:rFonts w:ascii="Cambria" w:hAnsi="Cambria"/>
        </w:rPr>
        <w:t xml:space="preserve"> clinical trials with</w:t>
      </w:r>
      <w:r w:rsidR="007B054C">
        <w:rPr>
          <w:rFonts w:ascii="Cambria" w:hAnsi="Cambria"/>
        </w:rPr>
        <w:t xml:space="preserve"> the other</w:t>
      </w:r>
      <w:r w:rsidR="00542014">
        <w:rPr>
          <w:rFonts w:ascii="Cambria" w:hAnsi="Cambria"/>
        </w:rPr>
        <w:t xml:space="preserve"> live-attenuated vaccine</w:t>
      </w:r>
      <w:r w:rsidR="007B054C">
        <w:rPr>
          <w:rFonts w:ascii="Cambria" w:hAnsi="Cambria"/>
        </w:rPr>
        <w:t xml:space="preserve"> candidates</w:t>
      </w:r>
      <w:r w:rsidR="00542014">
        <w:rPr>
          <w:rFonts w:ascii="Cambria" w:hAnsi="Cambria"/>
        </w:rPr>
        <w:t xml:space="preserve"> are expected.</w:t>
      </w:r>
    </w:p>
    <w:p w14:paraId="3C845DDF" w14:textId="615A6224" w:rsidR="00A7655F" w:rsidRDefault="009B48D6" w:rsidP="009B6291">
      <w:pPr>
        <w:ind w:firstLine="720"/>
        <w:jc w:val="both"/>
        <w:rPr>
          <w:rFonts w:ascii="Cambria" w:hAnsi="Cambria"/>
        </w:rPr>
      </w:pPr>
      <w:r>
        <w:rPr>
          <w:rFonts w:ascii="Cambria" w:hAnsi="Cambria"/>
        </w:rPr>
        <w:t>The only chimeric vaccine</w:t>
      </w:r>
      <w:r w:rsidR="0004655A">
        <w:rPr>
          <w:rFonts w:ascii="Cambria" w:hAnsi="Cambria"/>
        </w:rPr>
        <w:t xml:space="preserve"> candidate, rBCG-N-hRSV,</w:t>
      </w:r>
      <w:r>
        <w:rPr>
          <w:rFonts w:ascii="Cambria" w:hAnsi="Cambria"/>
        </w:rPr>
        <w:t xml:space="preserve"> currently in clinical development is delivered via a BCG strain. BCG has a safe profile in newborns and infants, induces a Th1 response</w:t>
      </w:r>
      <w:r w:rsidR="006E59B9">
        <w:rPr>
          <w:rFonts w:ascii="Cambria" w:hAnsi="Cambria"/>
        </w:rPr>
        <w:fldChar w:fldCharType="begin" w:fldLock="1"/>
      </w:r>
      <w:r w:rsidR="00B707E2">
        <w:rPr>
          <w:rFonts w:ascii="Cambria" w:hAnsi="Cambria"/>
        </w:rPr>
        <w:instrText>ADDIN CSL_CITATION { "citationItems" : [ { "id" : "ITEM-1", "itemData" : { "DOI" : "10.1073/pnas.0806244105", "ISSN" : "0027-8424", "PMID" : "19075247", "abstract" : "Respiratory syncytial virus (RSV) is one of the leading causes of childhood hospitalization and a major health burden worldwide. Unfortunately, because of an inefficient immunological memory, RSV infection provides limited immune protection against reinfection. Furthermore, RSV can induce an inadequate Th2-type immune response that causes severe respiratory tract inflammation and obstruction. It is thought that effective RSV clearance requires the induction of balanced Th1-type immunity, involving the activation of IFN-gamma-secreting cytotoxic T cells. A recognized inducer of Th1 immunity is Mycobacterium bovis bacillus Calmette-Gu\u00e9rin (BCG), which has been used in newborns for decades in several countries as a tuberculosis vaccine. Here, we show that immunization with recombinant BCG strains expressing RSV antigens promotes protective Th1-type immunity against RSV in mice. Activation of RSV-specific T cells producing IFN-gamma and IL-2 was efficiently obtained after immunization with recombinant BCG. This type of T cell immunity was protective against RSV challenge and caused a significant reduction of inflammatory cell infiltration in the airways. Furthermore, mice immunized with recombinant BCG showed no weight loss and reduced lung viral loads. These data strongly support recombinant BCG as an efficient vaccine against RSV because of its capacity to promote protective Th1 immunity.", "author" : [ { "dropping-particle" : "", "family" : "Bueno", "given" : "S. M.", "non-dropping-particle" : "", "parse-names" : false, "suffix" : "" }, { "dropping-particle" : "", "family" : "Gonzalez", "given" : "P. A.", "non-dropping-particle" : "", "parse-names" : false, "suffix" : "" }, { "dropping-particle" : "", "family" : "Cautivo", "given" : "K. M.", "non-dropping-particle" : "", "parse-names" : false, "suffix" : "" }, { "dropping-particle" : "", "family" : "Mora", "given" : "J. E.", "non-dropping-particle" : "", "parse-names" : false, "suffix" : "" }, { "dropping-particle" : "", "family" : "Leiva", "given" : "E. D.", "non-dropping-particle" : "", "parse-names" : false, "suffix" : "" }, { "dropping-particle" : "", "family" : "Tobar", "given" : "H. E.", "non-dropping-particle" : "", "parse-names" : false, "suffix" : "" }, { "dropping-particle" : "", "family" : "Fennelly", "given" : "G. J.", "non-dropping-particle" : "", "parse-names" : false, "suffix" : "" }, { "dropping-particle" : "", "family" : "Eugenin", "given" : "E. A.", "non-dropping-particle" : "", "parse-names" : false, "suffix" : "" }, { "dropping-particle" : "", "family" : "Jacobs", "given" : "W. R.", "non-dropping-particle" : "", "parse-names" : false, "suffix" : "" }, { "dropping-particle" : "", "family" : "Riedel", "given" : "C. A.", "non-dropping-particle" : "", "parse-names" : false, "suffix" : "" }, { "dropping-particle" : "", "family" : "Kalergis", "given" : "A. M.", "non-dropping-particle" : "", "parse-names" : false, "suffix" : "" } ], "container-title" : "Proceedings of the National Academy of Sciences", "id" : "ITEM-1", "issue" : "52", "issued" : { "date-parts" : [ [ "2008", "12", "30" ] ] }, "page" : "20822-20827", "title" : "Protective T cell immunity against respiratory syncytial virus is efficiently induced by recombinant BCG", "type" : "article-journal", "volume" : "105" }, "uris" : [ "http://www.mendeley.com/documents/?uuid=227c1202-1475-358e-acf0-f7b1264c4187" ] }, { "id" : "ITEM-2", "itemData" : { "DOI" : "10.4049/jimmunol.0903452", "ISSN" : "1550-6606", "PMID" : "21084664", "abstract" : "Infection by the respiratory syncytial virus (RSV) can cause extensive inflammation and lung damage in susceptible hosts due to a Th2-biased immune response. Such a deleterious inflammatory response can be enhanced by immunization with formalin- or UV-inactivated RSV, as well as with vaccinia virus expressing the RSV-G protein. Recently, we have shown that vaccination with rBCG-expressing RSV Ags can prevent the disease in the mouse. To further understand the immunological mechanisms responsible for protection against RSV, we have characterized the T cell populations contributing to virus clearance in mice immunized with this BCG-based vaccine. We found that both CD4(+) and CD8(+) T cells were recruited significantly earlier to the lungs of infected mice that were previously vaccinated. Furthermore, we observed that simultaneous adoptive transfer of CD8(+) and CD4(+) RSV-specific T cells from vaccinated mice was required to confer protection against virus infection in naive recipients. In addition, CD4(+) T cells induced by vaccination released IFN-\u03b3 after RSV challenge, indicating that protection is mediated by a Th1 immune response. These data suggest that vaccination with rBCG-expressing RSV Ags can induce a specific effector/memory Th1 immune response consisting on CD4(+) and CD8(+) T cells, both necessary for a fully protective response against RSV. These results support the notion that an effective induction of Th1 T cell immunity against RSV during childhood could counteract the unbalanced Th2-like immune response triggered by the natural RSV infection.", "author" : [ { "dropping-particle" : "", "family" : "Cautivo", "given" : "Kelly M", "non-dropping-particle" : "", "parse-names" : false, "suffix" : "" }, { "dropping-particle" : "", "family" : "Bueno", "given" : "Susan M", "non-dropping-particle" : "", "parse-names" : false, "suffix" : "" }, { "dropping-particle" : "", "family" : "Cortes", "given" : "Claudia M", "non-dropping-particle" : "", "parse-names" : false, "suffix" : "" }, { "dropping-particle" : "", "family" : "Wozniak", "given" : "Aniela", "non-dropping-particle" : "", "parse-names" : false, "suffix" : "" }, { "dropping-particle" : "", "family" : "Riedel", "given" : "Claudia A", "non-dropping-particle" : "", "parse-names" : false, "suffix" : "" }, { "dropping-particle" : "", "family" : "Kalergis", "given" : "Alexis M", "non-dropping-particle" : "", "parse-names" : false, "suffix" : "" } ], "container-title" : "Journal of immunology (Baltimore, Md. : 1950)", "id" : "ITEM-2", "issue" : "12", "issued" : { "date-parts" : [ [ "2010", "12", "15" ] ] }, "page" : "7633-45", "title" : "Efficient lung recruitment of respiratory syncytial virus-specific Th1 cells induced by recombinant bacillus Calmette-Gu\u00e9rin promotes virus clearance and protects from infection.", "type" : "article-journal", "volume" : "185" }, "uris" : [ "http://www.mendeley.com/documents/?uuid=b13e0614-cac4-3fc8-9369-2d5aad7134fd" ] } ], "mendeley" : { "formattedCitation" : "(109,110)", "plainTextFormattedCitation" : "(109,110)", "previouslyFormattedCitation" : "(108,109)" }, "properties" : { "noteIndex" : 0 }, "schema" : "https://github.com/citation-style-language/schema/raw/master/csl-citation.json" }</w:instrText>
      </w:r>
      <w:r w:rsidR="006E59B9">
        <w:rPr>
          <w:rFonts w:ascii="Cambria" w:hAnsi="Cambria"/>
        </w:rPr>
        <w:fldChar w:fldCharType="separate"/>
      </w:r>
      <w:r w:rsidR="00B707E2" w:rsidRPr="00B707E2">
        <w:rPr>
          <w:rFonts w:ascii="Cambria" w:hAnsi="Cambria"/>
          <w:noProof/>
        </w:rPr>
        <w:t>(109,110)</w:t>
      </w:r>
      <w:r w:rsidR="006E59B9">
        <w:rPr>
          <w:rFonts w:ascii="Cambria" w:hAnsi="Cambria"/>
        </w:rPr>
        <w:fldChar w:fldCharType="end"/>
      </w:r>
      <w:r w:rsidR="00BC024B">
        <w:rPr>
          <w:rFonts w:ascii="Cambria" w:hAnsi="Cambria"/>
        </w:rPr>
        <w:t>,</w:t>
      </w:r>
      <w:r>
        <w:rPr>
          <w:rFonts w:ascii="Cambria" w:hAnsi="Cambria"/>
        </w:rPr>
        <w:t xml:space="preserve"> and allows for combined vaccination against two major respiratory pathogens: </w:t>
      </w:r>
      <w:r w:rsidR="00465FF2">
        <w:rPr>
          <w:rFonts w:ascii="Cambria" w:hAnsi="Cambria"/>
          <w:i/>
        </w:rPr>
        <w:t>M</w:t>
      </w:r>
      <w:r w:rsidRPr="00A7655F">
        <w:rPr>
          <w:rFonts w:ascii="Cambria" w:hAnsi="Cambria"/>
          <w:i/>
        </w:rPr>
        <w:t>ycobacterium tuberculosis</w:t>
      </w:r>
      <w:r>
        <w:rPr>
          <w:rFonts w:ascii="Cambria" w:hAnsi="Cambria"/>
        </w:rPr>
        <w:t xml:space="preserve"> and RSV. Not only is the Th1 cellular response important in protecting against lung pathology, inflammation and viral replication</w:t>
      </w:r>
      <w:r w:rsidR="006E59B9">
        <w:rPr>
          <w:rFonts w:ascii="Cambria" w:hAnsi="Cambria"/>
        </w:rPr>
        <w:fldChar w:fldCharType="begin" w:fldLock="1"/>
      </w:r>
      <w:r w:rsidR="00B707E2">
        <w:rPr>
          <w:rFonts w:ascii="Cambria" w:hAnsi="Cambria"/>
        </w:rPr>
        <w:instrText>ADDIN CSL_CITATION { "citationItems" : [ { "id" : "ITEM-1", "itemData" : { "DOI" : "10.1016/j.vaccine.2016.12.048", "ISSN" : "0264410X", "PMID" : "28065474", "abstract" : "Human respiratory syncytial virus (hRSV) is a major health burden worldwide, causing the majority of hospitalizations in children under two years old due to bronchiolitis and pneumonia. HRSV causes year-to-year outbreaks of disease, which also affects the elderly and immunocompromised adults. Furthermore, both hRSV morbidity and epidemics are explained by a consistently high rate of re-infections that take place throughout the patient life. Although significant efforts have been invested worldwide, currently there are no licensed vaccines to prevent hRSV infection. Here, we describe that a recombinant Bacillus Calmette-Guerin (BCG) vaccine expressing the nucleoprotein (N) of hRSV formulated under current good manufacture practices (cGMP rBCG-N-hRSV) confers protective immunity to the virus in mice. Our results show that a single dose of the GMP rBCG-N-hRSV vaccine retains its capacity to protect mice against a challenge with a disease-causing infection of 1\u00d7107 plaque-forming units (PFUs) of the hRSV A2 clinical strain 13018-8. Compared to unimmunized infected controls, vaccinated mice displayed reduced weight loss and less infiltration of neutrophils within the airways, as well as reduced viral loads in bronchoalveolar lavages, parameters that are characteristic of hRSV infection in mice. Also, ex vivo re-stimulation of splenic T cells at 28days post-immunization activated a repertoire of T cells secreting IFN-\u03b3 and IL-17, which further suggest that the rBCG-N-hRSV vaccine induced a mixed, CD8+ and CD4+ T cell response capable of both restraining viral spread and preventing damage of the lungs. All these features support the notion that rBCG-N-hRSV is a promising candidate vaccine to be used in humans to prevent the disease caused by hRSV in the susceptible population.", "author" : [ { "dropping-particle" : "", "family" : "C\u00e9spedes", "given" : "Pablo F.", "non-dropping-particle" : "", "parse-names" : false, "suffix" : "" }, { "dropping-particle" : "", "family" : "Rey-Jurado", "given" : "Emma", "non-dropping-particle" : "", "parse-names" : false, "suffix" : "" }, { "dropping-particle" : "", "family" : "Espinoza", "given" : "Janyra A.", "non-dropping-particle" : "", "parse-names" : false, "suffix" : "" }, { "dropping-particle" : "", "family" : "Rivera", "given" : "Claudia A.", "non-dropping-particle" : "", "parse-names" : false, "suffix" : "" }, { "dropping-particle" : "", "family" : "Canedo-Marroqu\u00edn", "given" : "Gisela", "non-dropping-particle" : "", "parse-names" : false, "suffix" : "" }, { "dropping-particle" : "", "family" : "Bueno", "given" : "Susan M.", "non-dropping-particle" : "", "parse-names" : false, "suffix" : "" }, { "dropping-particle" : "", "family" : "Kalergis", "given" : "Alexis M.", "non-dropping-particle" : "", "parse-names" : false, "suffix" : "" } ], "container-title" : "Vaccine", "id" : "ITEM-1", "issue" : "5", "issued" : { "date-parts" : [ [ "2017", "2", "1" ] ] }, "page" : "757-766", "title" : "A single, low dose of a cGMP recombinant BCG vaccine elicits protective T cell immunity against the human respiratory syncytial virus infection and prevents lung pathology in mice", "type" : "article-journal", "volume" : "35" }, "uris" : [ "http://www.mendeley.com/documents/?uuid=d38b81ef-2772-3242-b44b-98fd5d72f56f" ] } ], "mendeley" : { "formattedCitation" : "(111)", "plainTextFormattedCitation" : "(111)", "previouslyFormattedCitation" : "(110)" }, "properties" : { "noteIndex" : 0 }, "schema" : "https://github.com/citation-style-language/schema/raw/master/csl-citation.json" }</w:instrText>
      </w:r>
      <w:r w:rsidR="006E59B9">
        <w:rPr>
          <w:rFonts w:ascii="Cambria" w:hAnsi="Cambria"/>
        </w:rPr>
        <w:fldChar w:fldCharType="separate"/>
      </w:r>
      <w:r w:rsidR="00B707E2" w:rsidRPr="00B707E2">
        <w:rPr>
          <w:rFonts w:ascii="Cambria" w:hAnsi="Cambria"/>
          <w:noProof/>
        </w:rPr>
        <w:t>(111)</w:t>
      </w:r>
      <w:r w:rsidR="006E59B9">
        <w:rPr>
          <w:rFonts w:ascii="Cambria" w:hAnsi="Cambria"/>
        </w:rPr>
        <w:fldChar w:fldCharType="end"/>
      </w:r>
      <w:r>
        <w:rPr>
          <w:rFonts w:ascii="Cambria" w:hAnsi="Cambria"/>
        </w:rPr>
        <w:t xml:space="preserve"> but the</w:t>
      </w:r>
      <w:r w:rsidR="00C52EB7">
        <w:rPr>
          <w:rFonts w:ascii="Cambria" w:hAnsi="Cambria"/>
        </w:rPr>
        <w:t xml:space="preserve"> candidate also </w:t>
      </w:r>
      <w:r w:rsidR="00BC024B">
        <w:rPr>
          <w:rFonts w:ascii="Cambria" w:hAnsi="Cambria"/>
        </w:rPr>
        <w:t>induces</w:t>
      </w:r>
      <w:r w:rsidR="00C52EB7">
        <w:rPr>
          <w:rFonts w:ascii="Cambria" w:hAnsi="Cambria"/>
        </w:rPr>
        <w:t xml:space="preserve"> a humoral response</w:t>
      </w:r>
      <w:r>
        <w:rPr>
          <w:rFonts w:ascii="Cambria" w:hAnsi="Cambria"/>
        </w:rPr>
        <w:t xml:space="preserve">. </w:t>
      </w:r>
      <w:r w:rsidR="00465FF2">
        <w:rPr>
          <w:rFonts w:ascii="Cambria" w:hAnsi="Cambria"/>
        </w:rPr>
        <w:t>T</w:t>
      </w:r>
      <w:r>
        <w:rPr>
          <w:rFonts w:ascii="Cambria" w:hAnsi="Cambria"/>
        </w:rPr>
        <w:t>he antigen presented by this vaccine candidate is the RSV N protein</w:t>
      </w:r>
      <w:r>
        <w:rPr>
          <w:rFonts w:ascii="Cambria" w:hAnsi="Cambria"/>
        </w:rPr>
        <w:fldChar w:fldCharType="begin" w:fldLock="1"/>
      </w:r>
      <w:r w:rsidR="00B707E2">
        <w:rPr>
          <w:rFonts w:ascii="Cambria" w:hAnsi="Cambria"/>
        </w:rPr>
        <w:instrText>ADDIN CSL_CITATION { "citationItems" : [ { "id" : "ITEM-1", "itemData" : { "DOI" : "10.1080/21645515.2017.1334026", "ISSN" : "2164-5515", "author" : [ { "dropping-particle" : "", "family" : "Rey-Jurado", "given" : "Emma", "non-dropping-particle" : "", "parse-names" : false, "suffix" : "" }, { "dropping-particle" : "", "family" : "Soto", "given" : "Jorge", "non-dropping-particle" : "", "parse-names" : false, "suffix" : "" }, { "dropping-particle" : "", "family" : "G\u00e1lvez", "given" : "Nicol\u00e1s", "non-dropping-particle" : "", "parse-names" : false, "suffix" : "" }, { "dropping-particle" : "", "family" : "Kalergis", "given" : "Alexis M.", "non-dropping-particle" : "", "parse-names" : false, "suffix" : "" } ], "container-title" : "Human Vaccines &amp; Immunotherapeutics", "id" : "ITEM-1", "issue" : "9", "issued" : { "date-parts" : [ [ "2017", "9", "2" ] ] }, "page" : "2092-2097", "title" : "A safe and efficient BCG vectored vaccine to prevent the disease caused by the human Respiratory Syncytial Virus", "type" : "article-journal", "volume" : "13" }, "uris" : [ "http://www.mendeley.com/documents/?uuid=3b58abb6-0fac-342c-93e3-120d8217f922" ] } ], "mendeley" : { "formattedCitation" : "(112)", "plainTextFormattedCitation" : "(112)", "previouslyFormattedCitation" : "(111)" }, "properties" : { "noteIndex" : 0 }, "schema" : "https://github.com/citation-style-language/schema/raw/master/csl-citation.json" }</w:instrText>
      </w:r>
      <w:r>
        <w:rPr>
          <w:rFonts w:ascii="Cambria" w:hAnsi="Cambria"/>
        </w:rPr>
        <w:fldChar w:fldCharType="separate"/>
      </w:r>
      <w:r w:rsidR="00B707E2" w:rsidRPr="00B707E2">
        <w:rPr>
          <w:rFonts w:ascii="Cambria" w:hAnsi="Cambria"/>
          <w:noProof/>
        </w:rPr>
        <w:t>(112)</w:t>
      </w:r>
      <w:r>
        <w:rPr>
          <w:rFonts w:ascii="Cambria" w:hAnsi="Cambria"/>
        </w:rPr>
        <w:fldChar w:fldCharType="end"/>
      </w:r>
      <w:r>
        <w:rPr>
          <w:rFonts w:ascii="Cambria" w:hAnsi="Cambria"/>
        </w:rPr>
        <w:t xml:space="preserve">. Importantly, this candidate is the only </w:t>
      </w:r>
      <w:r w:rsidR="003A5190">
        <w:rPr>
          <w:rFonts w:ascii="Cambria" w:hAnsi="Cambria"/>
        </w:rPr>
        <w:t xml:space="preserve">vaccine </w:t>
      </w:r>
      <w:r>
        <w:rPr>
          <w:rFonts w:ascii="Cambria" w:hAnsi="Cambria"/>
        </w:rPr>
        <w:t>candidate intended for administration to newborn infants</w:t>
      </w:r>
      <w:r w:rsidR="00787B6A">
        <w:rPr>
          <w:rFonts w:ascii="Cambria" w:hAnsi="Cambria"/>
        </w:rPr>
        <w:fldChar w:fldCharType="begin" w:fldLock="1"/>
      </w:r>
      <w:r w:rsidR="00B707E2">
        <w:rPr>
          <w:rFonts w:ascii="Cambria" w:hAnsi="Cambria"/>
        </w:rPr>
        <w:instrText>ADDIN CSL_CITATION { "citationItems" : [ { "id" : "ITEM-1", "itemData" : { "DOI" : "10.1080/21645515.2017.1334026", "ISSN" : "2164-5515", "author" : [ { "dropping-particle" : "", "family" : "Rey-Jurado", "given" : "Emma", "non-dropping-particle" : "", "parse-names" : false, "suffix" : "" }, { "dropping-particle" : "", "family" : "Soto", "given" : "Jorge", "non-dropping-particle" : "", "parse-names" : false, "suffix" : "" }, { "dropping-particle" : "", "family" : "G\u00e1lvez", "given" : "Nicol\u00e1s", "non-dropping-particle" : "", "parse-names" : false, "suffix" : "" }, { "dropping-particle" : "", "family" : "Kalergis", "given" : "Alexis M.", "non-dropping-particle" : "", "parse-names" : false, "suffix" : "" } ], "container-title" : "Human Vaccines &amp; Immunotherapeutics", "id" : "ITEM-1", "issue" : "9", "issued" : { "date-parts" : [ [ "2017", "9", "2" ] ] }, "page" : "2092-2097", "title" : "A safe and efficient BCG vectored vaccine to prevent the disease caused by the human Respiratory Syncytial Virus", "type" : "article-journal", "volume" : "13" }, "uris" : [ "http://www.mendeley.com/documents/?uuid=3b58abb6-0fac-342c-93e3-120d8217f922" ] } ], "mendeley" : { "formattedCitation" : "(112)", "plainTextFormattedCitation" : "(112)", "previouslyFormattedCitation" : "(111)" }, "properties" : { "noteIndex" : 0 }, "schema" : "https://github.com/citation-style-language/schema/raw/master/csl-citation.json" }</w:instrText>
      </w:r>
      <w:r w:rsidR="00787B6A">
        <w:rPr>
          <w:rFonts w:ascii="Cambria" w:hAnsi="Cambria"/>
        </w:rPr>
        <w:fldChar w:fldCharType="separate"/>
      </w:r>
      <w:r w:rsidR="00B707E2" w:rsidRPr="00B707E2">
        <w:rPr>
          <w:rFonts w:ascii="Cambria" w:hAnsi="Cambria"/>
          <w:noProof/>
        </w:rPr>
        <w:t>(112)</w:t>
      </w:r>
      <w:r w:rsidR="00787B6A">
        <w:rPr>
          <w:rFonts w:ascii="Cambria" w:hAnsi="Cambria"/>
        </w:rPr>
        <w:fldChar w:fldCharType="end"/>
      </w:r>
      <w:r>
        <w:rPr>
          <w:rFonts w:ascii="Cambria" w:hAnsi="Cambria"/>
        </w:rPr>
        <w:t>.</w:t>
      </w:r>
    </w:p>
    <w:p w14:paraId="6F7BB76A" w14:textId="77777777" w:rsidR="009B48D6" w:rsidRPr="00A7655F" w:rsidRDefault="009B48D6" w:rsidP="009B6291">
      <w:pPr>
        <w:ind w:firstLine="720"/>
        <w:jc w:val="both"/>
        <w:rPr>
          <w:rFonts w:ascii="Cambria" w:hAnsi="Cambria"/>
        </w:rPr>
      </w:pPr>
    </w:p>
    <w:p w14:paraId="6C805ACB" w14:textId="5115065A" w:rsidR="00CD49FD" w:rsidRDefault="00012C79" w:rsidP="00C566BC">
      <w:pPr>
        <w:jc w:val="both"/>
        <w:rPr>
          <w:rFonts w:ascii="Cambria" w:hAnsi="Cambria"/>
          <w:u w:val="single"/>
        </w:rPr>
      </w:pPr>
      <w:r w:rsidRPr="00220038">
        <w:rPr>
          <w:rFonts w:ascii="Cambria" w:hAnsi="Cambria"/>
          <w:u w:val="single"/>
        </w:rPr>
        <w:t>Mon</w:t>
      </w:r>
      <w:r w:rsidR="00220038">
        <w:rPr>
          <w:rFonts w:ascii="Cambria" w:hAnsi="Cambria"/>
          <w:u w:val="single"/>
        </w:rPr>
        <w:t>oclonal antibodies</w:t>
      </w:r>
    </w:p>
    <w:p w14:paraId="6E074F3C" w14:textId="11675E46" w:rsidR="00220038" w:rsidRDefault="00B93516" w:rsidP="00C566BC">
      <w:pPr>
        <w:jc w:val="both"/>
        <w:rPr>
          <w:rFonts w:ascii="Cambria" w:hAnsi="Cambria"/>
        </w:rPr>
      </w:pPr>
      <w:r>
        <w:rPr>
          <w:rFonts w:ascii="Cambria" w:hAnsi="Cambria"/>
        </w:rPr>
        <w:t xml:space="preserve">A promising highly potent monoclonal antibody has emerged as a passive administration strategy to prevent </w:t>
      </w:r>
      <w:r w:rsidR="00A81B3F">
        <w:rPr>
          <w:rFonts w:ascii="Cambria" w:hAnsi="Cambria"/>
        </w:rPr>
        <w:t xml:space="preserve">severe </w:t>
      </w:r>
      <w:r>
        <w:rPr>
          <w:rFonts w:ascii="Cambria" w:hAnsi="Cambria"/>
        </w:rPr>
        <w:t>RSV</w:t>
      </w:r>
      <w:r w:rsidR="00A81B3F">
        <w:rPr>
          <w:rFonts w:ascii="Cambria" w:hAnsi="Cambria"/>
        </w:rPr>
        <w:t xml:space="preserve"> infection</w:t>
      </w:r>
      <w:r>
        <w:rPr>
          <w:rFonts w:ascii="Cambria" w:hAnsi="Cambria"/>
        </w:rPr>
        <w:t xml:space="preserve">. </w:t>
      </w:r>
      <w:r w:rsidR="004D00B1">
        <w:rPr>
          <w:rFonts w:ascii="Cambria" w:hAnsi="Cambria"/>
        </w:rPr>
        <w:t>MEDI8897</w:t>
      </w:r>
      <w:r w:rsidR="00807D74">
        <w:rPr>
          <w:rFonts w:ascii="Cambria" w:hAnsi="Cambria"/>
        </w:rPr>
        <w:t>, also known as nirsevimab,</w:t>
      </w:r>
      <w:r w:rsidR="004D00B1">
        <w:rPr>
          <w:rFonts w:ascii="Cambria" w:hAnsi="Cambria"/>
        </w:rPr>
        <w:t xml:space="preserve"> was optimized from the </w:t>
      </w:r>
      <w:r w:rsidR="00A81B3F">
        <w:rPr>
          <w:rFonts w:ascii="Cambria" w:hAnsi="Cambria"/>
        </w:rPr>
        <w:t xml:space="preserve">human </w:t>
      </w:r>
      <w:r w:rsidR="004D00B1">
        <w:rPr>
          <w:rFonts w:ascii="Cambria" w:hAnsi="Cambria"/>
        </w:rPr>
        <w:t xml:space="preserve">antibody D25 </w:t>
      </w:r>
      <w:r w:rsidR="00DC3E7C">
        <w:rPr>
          <w:rFonts w:ascii="Cambria" w:hAnsi="Cambria"/>
        </w:rPr>
        <w:t xml:space="preserve">that </w:t>
      </w:r>
      <w:r w:rsidR="004D00B1">
        <w:rPr>
          <w:rFonts w:ascii="Cambria" w:hAnsi="Cambria"/>
        </w:rPr>
        <w:t xml:space="preserve">targets antigenic </w:t>
      </w:r>
      <w:r w:rsidR="00685687">
        <w:rPr>
          <w:rFonts w:ascii="Cambria" w:hAnsi="Cambria"/>
        </w:rPr>
        <w:t>s</w:t>
      </w:r>
      <w:r w:rsidR="004D00B1">
        <w:rPr>
          <w:rFonts w:ascii="Cambria" w:hAnsi="Cambria"/>
        </w:rPr>
        <w:t>ite</w:t>
      </w:r>
      <w:r w:rsidR="00685687">
        <w:rPr>
          <w:rFonts w:ascii="Cambria" w:hAnsi="Cambria"/>
        </w:rPr>
        <w:t xml:space="preserve"> </w:t>
      </w:r>
      <w:r w:rsidR="00006107" w:rsidRPr="00B57FF0">
        <w:t>Ø</w:t>
      </w:r>
      <w:r w:rsidR="000B0D70">
        <w:rPr>
          <w:rFonts w:ascii="Cambria" w:hAnsi="Cambria"/>
        </w:rPr>
        <w:t xml:space="preserve"> </w:t>
      </w:r>
      <w:r w:rsidR="00BC024B">
        <w:rPr>
          <w:rFonts w:ascii="Cambria" w:hAnsi="Cambria"/>
        </w:rPr>
        <w:t>on the p</w:t>
      </w:r>
      <w:r w:rsidR="00DC3E7C">
        <w:rPr>
          <w:rFonts w:ascii="Cambria" w:hAnsi="Cambria"/>
        </w:rPr>
        <w:t>re</w:t>
      </w:r>
      <w:r w:rsidR="00C35468">
        <w:rPr>
          <w:rFonts w:ascii="Cambria" w:hAnsi="Cambria"/>
        </w:rPr>
        <w:t>-</w:t>
      </w:r>
      <w:r w:rsidR="00DC3E7C">
        <w:rPr>
          <w:rFonts w:ascii="Cambria" w:hAnsi="Cambria"/>
        </w:rPr>
        <w:t>F conformation</w:t>
      </w:r>
      <w:r w:rsidR="004D00B1">
        <w:rPr>
          <w:rFonts w:ascii="Cambria" w:hAnsi="Cambria"/>
        </w:rPr>
        <w:t xml:space="preserve">, </w:t>
      </w:r>
      <w:r w:rsidR="00685687">
        <w:rPr>
          <w:rFonts w:ascii="Cambria" w:hAnsi="Cambria"/>
        </w:rPr>
        <w:t>which is more neutralization sensitive than the palivizumab epitope, antigenic sit</w:t>
      </w:r>
      <w:r w:rsidR="00A81B3F">
        <w:rPr>
          <w:rFonts w:ascii="Cambria" w:hAnsi="Cambria"/>
        </w:rPr>
        <w:t>e</w:t>
      </w:r>
      <w:r w:rsidR="00685687">
        <w:rPr>
          <w:rFonts w:ascii="Cambria" w:hAnsi="Cambria"/>
        </w:rPr>
        <w:t xml:space="preserve"> II</w:t>
      </w:r>
      <w:r w:rsidR="004D00B1">
        <w:rPr>
          <w:rFonts w:ascii="Cambria" w:hAnsi="Cambria"/>
        </w:rPr>
        <w:t xml:space="preserve">. </w:t>
      </w:r>
      <w:r w:rsidR="0059399E">
        <w:rPr>
          <w:rFonts w:ascii="Cambria" w:hAnsi="Cambria"/>
        </w:rPr>
        <w:t xml:space="preserve">Using the YTE technology </w:t>
      </w:r>
      <w:r w:rsidR="0043797F">
        <w:rPr>
          <w:rFonts w:ascii="Cambria" w:hAnsi="Cambria"/>
        </w:rPr>
        <w:t>which extends</w:t>
      </w:r>
      <w:r w:rsidR="0059399E">
        <w:rPr>
          <w:rFonts w:ascii="Cambria" w:hAnsi="Cambria"/>
        </w:rPr>
        <w:t xml:space="preserve"> antibody half-life</w:t>
      </w:r>
      <w:r w:rsidR="0043797F">
        <w:rPr>
          <w:rFonts w:ascii="Cambria" w:hAnsi="Cambria"/>
        </w:rPr>
        <w:t xml:space="preserve"> as well as modulates ADCC</w:t>
      </w:r>
      <w:r w:rsidR="0043797F">
        <w:rPr>
          <w:rFonts w:ascii="Cambria" w:hAnsi="Cambria"/>
        </w:rPr>
        <w:fldChar w:fldCharType="begin" w:fldLock="1"/>
      </w:r>
      <w:r w:rsidR="00B707E2">
        <w:rPr>
          <w:rFonts w:ascii="Cambria" w:hAnsi="Cambria"/>
        </w:rPr>
        <w:instrText>ADDIN CSL_CITATION { "citationItems" : [ { "id" : "ITEM-1", "itemData" : { "DOI" : "10.1074/jbc.M604292200", "ISSN" : "0021-9258", "PMID" : "16793771", "abstract" : "We describe here the functional implications of an increase in IgG binding to the neonatal Fc receptor. We have defined in a systematic fashion the relationship between enhanced FcRn binding of a humanized anti-respiratory syncytial virus (RSV) monoclonal antibody (MEDI-524) and the corresponding biological consequences in cynomolgus monkeys. The triple mutation M252Y/S254T/T256E (YTE) was introduced into the Fc portion of MEDI-524. Whereas these substitutions did not affect the ability of MEDI-524 to bind to its cognate antigen and inhibit RSV replication, they resulted in a 10-fold increase in its binding to both cynomolgus monkey and human FcRn at pH 6.0. MEDI-524-YTE was efficiently released from FcRn at pH 7.4 in both cases. We show that MEDI-524-YTE consistently exhibited a nearly 4-fold increase in serum half-life in cynomolgus monkeys when compared with MEDI-524. This constituted the largest half-life improvement described to date for an IgG in a primate. For the first time, we demonstrate that these sustained serum levels resulted in an up to 4-fold increase in lung bioavailability. Importantly, we also establish that our non-human primate model is relevant to human. Finally, we report that the YTE triple substitution provided a means to modulate the antibody-dependent cell-mediated cytotoxicity (ADCC) activity of a humanized IgG1 directed against the human integrin alpha(v)beta3. Therefore, the YTE substitutions allow the simultaneous modulation of serum half-life, tissue distribution and activity of a given human IgG1.", "author" : [ { "dropping-particle" : "", "family" : "Dall'Acqua", "given" : "William F.", "non-dropping-particle" : "", "parse-names" : false, "suffix" : "" }, { "dropping-particle" : "", "family" : "Kiener", "given" : "Peter A.", "non-dropping-particle" : "", "parse-names" : false, "suffix" : "" }, { "dropping-particle" : "", "family" : "Wu", "given" : "Herren", "non-dropping-particle" : "", "parse-names" : false, "suffix" : "" } ], "container-title" : "Journal of Biological Chemistry", "id" : "ITEM-1", "issue" : "33", "issued" : { "date-parts" : [ [ "2006", "8", "18" ] ] }, "page" : "23514-23524", "title" : "Properties of Human IgG1s Engineered for Enhanced Binding to the Neonatal Fc Receptor (FcRn)", "type" : "article-journal", "volume" : "281" }, "uris" : [ "http://www.mendeley.com/documents/?uuid=dde39d55-5b0f-3d98-b6ba-f574d0911d72" ] } ], "mendeley" : { "formattedCitation" : "(113)", "plainTextFormattedCitation" : "(113)", "previouslyFormattedCitation" : "(112)" }, "properties" : { "noteIndex" : 0 }, "schema" : "https://github.com/citation-style-language/schema/raw/master/csl-citation.json" }</w:instrText>
      </w:r>
      <w:r w:rsidR="0043797F">
        <w:rPr>
          <w:rFonts w:ascii="Cambria" w:hAnsi="Cambria"/>
        </w:rPr>
        <w:fldChar w:fldCharType="separate"/>
      </w:r>
      <w:r w:rsidR="00B707E2" w:rsidRPr="00B707E2">
        <w:rPr>
          <w:rFonts w:ascii="Cambria" w:hAnsi="Cambria"/>
          <w:noProof/>
        </w:rPr>
        <w:t>(113)</w:t>
      </w:r>
      <w:r w:rsidR="0043797F">
        <w:rPr>
          <w:rFonts w:ascii="Cambria" w:hAnsi="Cambria"/>
        </w:rPr>
        <w:fldChar w:fldCharType="end"/>
      </w:r>
      <w:r w:rsidR="0059399E">
        <w:rPr>
          <w:rFonts w:ascii="Cambria" w:hAnsi="Cambria"/>
        </w:rPr>
        <w:t>, t</w:t>
      </w:r>
      <w:r w:rsidR="001635C6">
        <w:rPr>
          <w:rFonts w:ascii="Cambria" w:hAnsi="Cambria"/>
        </w:rPr>
        <w:t xml:space="preserve">he </w:t>
      </w:r>
      <w:r w:rsidR="00403CF2">
        <w:rPr>
          <w:rFonts w:ascii="Cambria" w:hAnsi="Cambria"/>
        </w:rPr>
        <w:t>three</w:t>
      </w:r>
      <w:r w:rsidR="004D00B1">
        <w:rPr>
          <w:rFonts w:ascii="Cambria" w:hAnsi="Cambria"/>
        </w:rPr>
        <w:t xml:space="preserve">-fold increase in half-life </w:t>
      </w:r>
      <w:r w:rsidR="001635C6">
        <w:rPr>
          <w:rFonts w:ascii="Cambria" w:hAnsi="Cambria"/>
        </w:rPr>
        <w:t>of MEDI8897</w:t>
      </w:r>
      <w:r w:rsidR="00D3720D">
        <w:rPr>
          <w:rFonts w:ascii="Cambria" w:hAnsi="Cambria"/>
        </w:rPr>
        <w:fldChar w:fldCharType="begin" w:fldLock="1"/>
      </w:r>
      <w:r w:rsidR="00B707E2">
        <w:rPr>
          <w:rFonts w:ascii="Cambria" w:hAnsi="Cambria"/>
        </w:rPr>
        <w:instrText>ADDIN CSL_CITATION { "citationItems" : [ { "id" : "ITEM-1", "itemData" : { "DOI" : "10.1128/AAC.01285-13", "ISSN" : "1098-6596", "PMID" : "24080653", "abstract" : "The study objective was to evaluate the pharmacokinetics (PK), antidrug antibody (ADA), and safety of motavizumab-YTE (motavizumab with amino acid substitutions M252Y/S254T/T256E [YTE]), an Fc-modified anti-respiratory syncytial virus (RSV) monoclonal antibody. Healthy adults (n = 31) were randomized to receive a single intravenous (i.v.) dose of motavizumab-YTE or motavizumab (0.3, 3, 15, or 30 mg/kg) and followed for 240 days. Clearance of motavizumab-YTE was significantly lower (71% to 86%) and the half-life (t1/2) was 2- to 4-fold longer than with motavizumab. However, similar peak concentrations and volume-of-distribution values, indicative of similar distribution properties, were seen at all dose levels. The sustained serum concentrations of motavizumab-YTE were fully functional, as shown by RSV neutralizing activity that persisted for 240 days with motavizumab-YTE versus 90 days postdose for motavizumab. Safety and incidence of ADA were comparable between groups. In this first study of an Fc-modified monoclonal antibody in humans, motavizumab-YTE was well tolerated and exhibited an extended half-life of up to 100 days. (This study has been registered at ClinicalTrials.gov under registration no. NCT00578682.).", "author" : [ { "dropping-particle" : "", "family" : "Robbie", "given" : "Gabriel J", "non-dropping-particle" : "", "parse-names" : false, "suffix" : "" }, { "dropping-particle" : "", "family" : "Criste", "given" : "Ryan", "non-dropping-particle" : "", "parse-names" : false, "suffix" : "" }, { "dropping-particle" : "", "family" : "Dall'acqua", "given" : "William F", "non-dropping-particle" : "", "parse-names" : false, "suffix" : "" }, { "dropping-particle" : "", "family" : "Jensen", "given" : "Kathryn", "non-dropping-particle" : "", "parse-names" : false, "suffix" : "" }, { "dropping-particle" : "", "family" : "Patel", "given" : "Nita K", "non-dropping-particle" : "", "parse-names" : false, "suffix" : "" }, { "dropping-particle" : "", "family" : "Losonsky", "given" : "Genevieve A", "non-dropping-particle" : "", "parse-names" : false, "suffix" : "" }, { "dropping-particle" : "", "family" : "Griffin", "given" : "M Pamela", "non-dropping-particle" : "", "parse-names" : false, "suffix" : "" } ], "container-title" : "Antimicrobial agents and chemotherapy", "id" : "ITEM-1", "issue" : "12", "issued" : { "date-parts" : [ [ "2013", "12" ] ] }, "page" : "6147-53", "title" : "A novel investigational Fc-modified humanized monoclonal antibody, motavizumab-YTE, has an extended half-life in healthy adults.", "type" : "article-journal", "volume" : "57" }, "uris" : [ "http://www.mendeley.com/documents/?uuid=e479e1e4-e557-4aa1-beb3-ec5c1706f7fc" ] } ], "mendeley" : { "formattedCitation" : "(114)", "plainTextFormattedCitation" : "(114)", "previouslyFormattedCitation" : "(113)" }, "properties" : { "noteIndex" : 0 }, "schema" : "https://github.com/citation-style-language/schema/raw/master/csl-citation.json" }</w:instrText>
      </w:r>
      <w:r w:rsidR="00D3720D">
        <w:rPr>
          <w:rFonts w:ascii="Cambria" w:hAnsi="Cambria"/>
        </w:rPr>
        <w:fldChar w:fldCharType="separate"/>
      </w:r>
      <w:r w:rsidR="00B707E2" w:rsidRPr="00B707E2">
        <w:rPr>
          <w:rFonts w:ascii="Cambria" w:hAnsi="Cambria"/>
          <w:noProof/>
        </w:rPr>
        <w:t>(114)</w:t>
      </w:r>
      <w:r w:rsidR="00D3720D">
        <w:rPr>
          <w:rFonts w:ascii="Cambria" w:hAnsi="Cambria"/>
        </w:rPr>
        <w:fldChar w:fldCharType="end"/>
      </w:r>
      <w:r w:rsidR="00C12FC5">
        <w:rPr>
          <w:rFonts w:ascii="Cambria" w:hAnsi="Cambria"/>
        </w:rPr>
        <w:t xml:space="preserve"> compared to palivizumab</w:t>
      </w:r>
      <w:r w:rsidR="001635C6">
        <w:rPr>
          <w:rFonts w:ascii="Cambria" w:hAnsi="Cambria"/>
        </w:rPr>
        <w:t xml:space="preserve"> </w:t>
      </w:r>
      <w:r w:rsidR="00DC3E7C">
        <w:rPr>
          <w:rFonts w:ascii="Cambria" w:hAnsi="Cambria"/>
        </w:rPr>
        <w:t>offers</w:t>
      </w:r>
      <w:r w:rsidR="001635C6">
        <w:rPr>
          <w:rFonts w:ascii="Cambria" w:hAnsi="Cambria"/>
        </w:rPr>
        <w:t xml:space="preserve"> the possibility of passive protection for </w:t>
      </w:r>
      <w:r w:rsidR="00807D74">
        <w:rPr>
          <w:rFonts w:ascii="Cambria" w:hAnsi="Cambria"/>
        </w:rPr>
        <w:t xml:space="preserve">all </w:t>
      </w:r>
      <w:r w:rsidR="001635C6">
        <w:rPr>
          <w:rFonts w:ascii="Cambria" w:hAnsi="Cambria"/>
        </w:rPr>
        <w:t>infants for an entire season</w:t>
      </w:r>
      <w:r w:rsidR="004D00B1">
        <w:rPr>
          <w:rFonts w:ascii="Cambria" w:hAnsi="Cambria"/>
        </w:rPr>
        <w:t xml:space="preserve"> through</w:t>
      </w:r>
      <w:r w:rsidR="001635C6">
        <w:rPr>
          <w:rFonts w:ascii="Cambria" w:hAnsi="Cambria"/>
        </w:rPr>
        <w:t xml:space="preserve"> a single intramuscular injection. </w:t>
      </w:r>
      <w:r w:rsidR="00403CF2">
        <w:rPr>
          <w:rFonts w:ascii="Cambria" w:hAnsi="Cambria"/>
        </w:rPr>
        <w:t>The intended use is</w:t>
      </w:r>
      <w:r w:rsidR="00807D74">
        <w:rPr>
          <w:rFonts w:ascii="Cambria" w:hAnsi="Cambria"/>
        </w:rPr>
        <w:t xml:space="preserve"> for both term and preterm infants ente</w:t>
      </w:r>
      <w:r w:rsidR="00403CF2">
        <w:rPr>
          <w:rFonts w:ascii="Cambria" w:hAnsi="Cambria"/>
        </w:rPr>
        <w:t>ring the</w:t>
      </w:r>
      <w:r w:rsidR="00DF3876">
        <w:rPr>
          <w:rFonts w:ascii="Cambria" w:hAnsi="Cambria"/>
        </w:rPr>
        <w:t>ir</w:t>
      </w:r>
      <w:r w:rsidR="00807D74">
        <w:rPr>
          <w:rFonts w:ascii="Cambria" w:hAnsi="Cambria"/>
        </w:rPr>
        <w:t xml:space="preserve"> first RSV season. </w:t>
      </w:r>
      <w:r w:rsidR="00401FDD">
        <w:rPr>
          <w:rFonts w:ascii="Cambria" w:hAnsi="Cambria"/>
        </w:rPr>
        <w:t>Passive vaccination with an extended half-life antibody offers a</w:t>
      </w:r>
      <w:r w:rsidR="004F0330">
        <w:rPr>
          <w:rFonts w:ascii="Cambria" w:hAnsi="Cambria"/>
        </w:rPr>
        <w:t>n</w:t>
      </w:r>
      <w:r w:rsidR="00401FDD">
        <w:rPr>
          <w:rFonts w:ascii="Cambria" w:hAnsi="Cambria"/>
        </w:rPr>
        <w:t xml:space="preserve"> approach to protecting infants that</w:t>
      </w:r>
      <w:r w:rsidR="004F0330">
        <w:rPr>
          <w:rFonts w:ascii="Cambria" w:hAnsi="Cambria"/>
        </w:rPr>
        <w:t xml:space="preserve"> is safe and</w:t>
      </w:r>
      <w:r w:rsidR="00401FDD">
        <w:rPr>
          <w:rFonts w:ascii="Cambria" w:hAnsi="Cambria"/>
        </w:rPr>
        <w:t xml:space="preserve"> may</w:t>
      </w:r>
      <w:r w:rsidR="00A81B3F">
        <w:rPr>
          <w:rFonts w:ascii="Cambria" w:hAnsi="Cambria"/>
        </w:rPr>
        <w:t xml:space="preserve"> </w:t>
      </w:r>
      <w:r w:rsidR="00771D2F">
        <w:rPr>
          <w:rFonts w:ascii="Cambria" w:hAnsi="Cambria"/>
        </w:rPr>
        <w:t>be</w:t>
      </w:r>
      <w:r w:rsidR="00401FDD">
        <w:rPr>
          <w:rFonts w:ascii="Cambria" w:hAnsi="Cambria"/>
        </w:rPr>
        <w:t xml:space="preserve"> </w:t>
      </w:r>
      <w:r w:rsidR="00953115">
        <w:rPr>
          <w:rFonts w:ascii="Cambria" w:hAnsi="Cambria"/>
        </w:rPr>
        <w:t>reasonably priced</w:t>
      </w:r>
      <w:r w:rsidR="00401FDD">
        <w:rPr>
          <w:rFonts w:ascii="Cambria" w:hAnsi="Cambria"/>
        </w:rPr>
        <w:t xml:space="preserve">. </w:t>
      </w:r>
      <w:r w:rsidR="00771D2F">
        <w:rPr>
          <w:rFonts w:ascii="Cambria" w:hAnsi="Cambria"/>
        </w:rPr>
        <w:t>Representatives of the pharmaceutical company</w:t>
      </w:r>
      <w:r w:rsidR="00A256CF">
        <w:rPr>
          <w:rFonts w:ascii="Cambria" w:hAnsi="Cambria"/>
        </w:rPr>
        <w:t xml:space="preserve"> have </w:t>
      </w:r>
      <w:r w:rsidR="00205572">
        <w:rPr>
          <w:rFonts w:ascii="Cambria" w:hAnsi="Cambria"/>
        </w:rPr>
        <w:t xml:space="preserve">indicated </w:t>
      </w:r>
      <w:r w:rsidR="00A256CF">
        <w:rPr>
          <w:rFonts w:ascii="Cambria" w:hAnsi="Cambria"/>
        </w:rPr>
        <w:t>that the</w:t>
      </w:r>
      <w:r w:rsidR="004F0330">
        <w:rPr>
          <w:rFonts w:ascii="Cambria" w:hAnsi="Cambria"/>
        </w:rPr>
        <w:t>y</w:t>
      </w:r>
      <w:r w:rsidR="00A256CF">
        <w:rPr>
          <w:rFonts w:ascii="Cambria" w:hAnsi="Cambria"/>
        </w:rPr>
        <w:t xml:space="preserve"> expect </w:t>
      </w:r>
      <w:r w:rsidR="00205572">
        <w:rPr>
          <w:rFonts w:ascii="Cambria" w:hAnsi="Cambria"/>
        </w:rPr>
        <w:t xml:space="preserve">vaccine-like </w:t>
      </w:r>
      <w:r w:rsidR="00A256CF">
        <w:rPr>
          <w:rFonts w:ascii="Cambria" w:hAnsi="Cambria"/>
        </w:rPr>
        <w:t>pric</w:t>
      </w:r>
      <w:r w:rsidR="00205572">
        <w:rPr>
          <w:rFonts w:ascii="Cambria" w:hAnsi="Cambria"/>
        </w:rPr>
        <w:t>ing</w:t>
      </w:r>
      <w:r w:rsidR="00A256CF">
        <w:rPr>
          <w:rFonts w:ascii="Cambria" w:hAnsi="Cambria"/>
        </w:rPr>
        <w:t xml:space="preserve"> of MEDI8897</w:t>
      </w:r>
      <w:r w:rsidR="000019D9">
        <w:rPr>
          <w:rFonts w:ascii="Cambria" w:hAnsi="Cambria"/>
        </w:rPr>
        <w:t>.</w:t>
      </w:r>
      <w:r w:rsidR="005A3680">
        <w:rPr>
          <w:rFonts w:ascii="Cambria" w:hAnsi="Cambria"/>
        </w:rPr>
        <w:t xml:space="preserve"> Given the increased potency</w:t>
      </w:r>
      <w:r w:rsidR="00DC3E7C">
        <w:rPr>
          <w:rFonts w:ascii="Cambria" w:hAnsi="Cambria"/>
        </w:rPr>
        <w:t>,</w:t>
      </w:r>
      <w:r w:rsidR="00403CF2">
        <w:rPr>
          <w:rFonts w:ascii="Cambria" w:hAnsi="Cambria"/>
        </w:rPr>
        <w:t xml:space="preserve"> </w:t>
      </w:r>
      <w:r w:rsidR="00A81B3F">
        <w:rPr>
          <w:rFonts w:ascii="Cambria" w:hAnsi="Cambria"/>
        </w:rPr>
        <w:t xml:space="preserve">the </w:t>
      </w:r>
      <w:r w:rsidR="00403CF2">
        <w:rPr>
          <w:rFonts w:ascii="Cambria" w:hAnsi="Cambria"/>
        </w:rPr>
        <w:t>extended half-life</w:t>
      </w:r>
      <w:r w:rsidR="00A81B3F">
        <w:rPr>
          <w:rFonts w:ascii="Cambria" w:hAnsi="Cambria"/>
        </w:rPr>
        <w:t>,</w:t>
      </w:r>
      <w:r w:rsidR="005A3680">
        <w:rPr>
          <w:rFonts w:ascii="Cambria" w:hAnsi="Cambria"/>
        </w:rPr>
        <w:t xml:space="preserve"> </w:t>
      </w:r>
      <w:r w:rsidR="00A81B3F">
        <w:rPr>
          <w:rFonts w:ascii="Cambria" w:hAnsi="Cambria"/>
        </w:rPr>
        <w:t xml:space="preserve">and </w:t>
      </w:r>
      <w:r w:rsidR="005A3680">
        <w:rPr>
          <w:rFonts w:ascii="Cambria" w:hAnsi="Cambria"/>
        </w:rPr>
        <w:t>the required dose</w:t>
      </w:r>
      <w:r w:rsidR="00DC3E7C">
        <w:rPr>
          <w:rFonts w:ascii="Cambria" w:hAnsi="Cambria"/>
        </w:rPr>
        <w:t>, it is expected that</w:t>
      </w:r>
      <w:r w:rsidR="005A3680">
        <w:rPr>
          <w:rFonts w:ascii="Cambria" w:hAnsi="Cambria"/>
        </w:rPr>
        <w:t xml:space="preserve"> </w:t>
      </w:r>
      <w:r w:rsidR="00DC3E7C">
        <w:rPr>
          <w:rFonts w:ascii="Cambria" w:hAnsi="Cambria"/>
        </w:rPr>
        <w:t>the</w:t>
      </w:r>
      <w:r w:rsidR="005A3680">
        <w:rPr>
          <w:rFonts w:ascii="Cambria" w:hAnsi="Cambria"/>
        </w:rPr>
        <w:t xml:space="preserve"> cost</w:t>
      </w:r>
      <w:r w:rsidR="00C90229">
        <w:rPr>
          <w:rFonts w:ascii="Cambria" w:hAnsi="Cambria"/>
        </w:rPr>
        <w:t xml:space="preserve"> to protect an infant during the RSV season</w:t>
      </w:r>
      <w:r w:rsidR="005A3680">
        <w:rPr>
          <w:rFonts w:ascii="Cambria" w:hAnsi="Cambria"/>
        </w:rPr>
        <w:t xml:space="preserve"> can be kept relatively low</w:t>
      </w:r>
      <w:r w:rsidR="0052166D">
        <w:rPr>
          <w:rFonts w:ascii="Cambria" w:hAnsi="Cambria"/>
        </w:rPr>
        <w:fldChar w:fldCharType="begin" w:fldLock="1"/>
      </w:r>
      <w:r w:rsidR="00A828B0">
        <w:rPr>
          <w:rFonts w:ascii="Cambria" w:hAnsi="Cambria"/>
        </w:rPr>
        <w:instrText>ADDIN CSL_CITATION { "citationItems" : [ { "id" : "ITEM-1", "itemData" : { "DOI" : "10.1126/scitranslmed.aaj1928", "ISSN" : "1946-6242", "PMID" : "28469033", "abstract" : "Prevention of respiratory syncytial virus (RSV) illness in all infants is a major public health priority. However, no vaccine is currently available to protect this vulnerable population. Palivizumab, the only approved agent for RSV prophylaxis, is limited to high-risk infants, and the cost associated with the requirement for dosing throughout the RSV season makes its use impractical for all infants. We describe the development of a monoclonal antibody as potential RSV prophylaxis for all infants with a single intramuscular dose. MEDI8897*, a highly potent human antibody, was optimized from antibody D25, which targets the prefusion conformation of the RSV fusion (F) protein. Crystallographic analysis of Fab in complex with RSV F from subtypes A and B reveals that MEDI8897* binds a highly conserved epitope. MEDI8897* neutralizes a diverse panel of RSV A and B strains with &gt;50-fold higher activity than palivizumab. At similar serum concentrations, prophylactic administration of MEDI8897* was ninefold more potent than palivizumab at reducing pulmonary viral loads by &gt;3 logs in cotton rats infected with either RSV A or B subtypes. MEDI8897 was generated by the introduction of triple amino acid substitutions (YTE) into the Fc domain of MEDI8897*, which led to more than threefold increased half-life in cynomolgus monkeys compared to non-YTE antibody. Considering the pharmacokinetics of palivizumab in infants, which necessitates five monthly doses for protection during an RSV season, the high potency and extended half-life of MEDI8897 support its development as a cost-effective option to protect all infants from RSV disease with once-per-RSV-season dosing in the clinic.", "author" : [ { "dropping-particle" : "", "family" : "Zhu", "given" : "Qing", "non-dropping-particle" : "", "parse-names" : false, "suffix" : "" }, { "dropping-particle" : "", "family" : "McLellan", "given" : "Jason S", "non-dropping-particle" : "", "parse-names" : false, "suffix" : "" }, { "dropping-particle" : "", "family" : "Kallewaard", "given" : "Nicole L", "non-dropping-particle" : "", "parse-names" : false, "suffix" : "" }, { "dropping-particle" : "", "family" : "Ulbrandt", "given" : "Nancy D", "non-dropping-particle" : "", "parse-names" : false, "suffix" : "" }, { "dropping-particle" : "", "family" : "Palaszynski", "given" : "Susan", "non-dropping-particle" : "", "parse-names" : false, "suffix" : "" }, { "dropping-particle" : "", "family" : "Zhang", "given" : "Jing", "non-dropping-particle" : "", "parse-names" : false, "suffix" : "" }, { "dropping-particle" : "", "family" : "Moldt", "given" : "Brian", "non-dropping-particle" : "", "parse-names" : false, "suffix" : "" }, { "dropping-particle" : "", "family" : "Khan", "given" : "Anis", "non-dropping-particle" : "", "parse-names" : false, "suffix" : "" }, { "dropping-particle" : "", "family" : "Svabek", "given" : "Catherine", "non-dropping-particle" : "", "parse-names" : false, "suffix" : "" }, { "dropping-particle" : "", "family" : "McAuliffe", "given" : "Josephine M", "non-dropping-particle" : "", "parse-names" : false, "suffix" : "" }, { "dropping-particle" : "", "family" : "Wrapp", "given" : "Daniel", "non-dropping-particle" : "", "parse-names" : false, "suffix" : "" }, { "dropping-particle" : "", "family" : "Patel", "given" : "Nita K", "non-dropping-particle" : "", "parse-names" : false, "suffix" : "" }, { "dropping-particle" : "", "family" : "Cook", "given" : "Kimberly E", "non-dropping-particle" : "", "parse-names" : false, "suffix" : "" }, { "dropping-particle" : "", "family" : "Richter", "given" : "Bettina W M", "non-dropping-particle" : "", "parse-names" : false, "suffix" : "" }, { "dropping-particle" : "", "family" : "Ryan", "given" : "Patricia C", "non-dropping-particle" : "", "parse-names" : false, "suffix" : "" }, { "dropping-particle" : "", "family" : "Yuan", "given" : "Andy Q", "non-dropping-particle" : "", "parse-names" : false, "suffix" : "" }, { "dropping-particle" : "", "family" : "Suzich", "given" : "JoAnn A", "non-dropping-particle" : "", "parse-names" : false, "suffix" : "" } ], "container-title" : "Science translational medicine", "id" : "ITEM-1", "issue" : "388", "issued" : { "date-parts" : [ [ "2017", "5", "3" ] ] }, "page" : "eaaj1928", "title" : "A highly potent extended half-life antibody as a potential RSV vaccine surrogate for all infants.", "type" : "article-journal", "volume" : "9" }, "uris" : [ "http://www.mendeley.com/documents/?uuid=a2c15821-8b0d-31f2-ab29-2efc68b9ea12" ] } ], "mendeley" : { "formattedCitation" : "(68)", "plainTextFormattedCitation" : "(68)", "previouslyFormattedCitation" : "(68)" }, "properties" : { "noteIndex" : 0 }, "schema" : "https://github.com/citation-style-language/schema/raw/master/csl-citation.json" }</w:instrText>
      </w:r>
      <w:r w:rsidR="0052166D">
        <w:rPr>
          <w:rFonts w:ascii="Cambria" w:hAnsi="Cambria"/>
        </w:rPr>
        <w:fldChar w:fldCharType="separate"/>
      </w:r>
      <w:r w:rsidR="00D83E6A" w:rsidRPr="00D83E6A">
        <w:rPr>
          <w:rFonts w:ascii="Cambria" w:hAnsi="Cambria"/>
          <w:noProof/>
        </w:rPr>
        <w:t>(68)</w:t>
      </w:r>
      <w:r w:rsidR="0052166D">
        <w:rPr>
          <w:rFonts w:ascii="Cambria" w:hAnsi="Cambria"/>
        </w:rPr>
        <w:fldChar w:fldCharType="end"/>
      </w:r>
      <w:r w:rsidR="005A3680">
        <w:rPr>
          <w:rFonts w:ascii="Cambria" w:hAnsi="Cambria"/>
        </w:rPr>
        <w:t>.</w:t>
      </w:r>
    </w:p>
    <w:p w14:paraId="0F0D8A05" w14:textId="77777777" w:rsidR="00533387" w:rsidRDefault="00533387" w:rsidP="00C566BC">
      <w:pPr>
        <w:jc w:val="both"/>
        <w:rPr>
          <w:rFonts w:ascii="Cambria" w:hAnsi="Cambria"/>
        </w:rPr>
      </w:pPr>
    </w:p>
    <w:p w14:paraId="13280E5E" w14:textId="02BBDFEE" w:rsidR="00CD49FD" w:rsidRPr="001375BE" w:rsidRDefault="00CD49FD" w:rsidP="00C566BC">
      <w:pPr>
        <w:jc w:val="both"/>
        <w:rPr>
          <w:rFonts w:ascii="Cambria" w:hAnsi="Cambria"/>
          <w:u w:val="single"/>
        </w:rPr>
      </w:pPr>
      <w:r w:rsidRPr="001375BE">
        <w:rPr>
          <w:rFonts w:ascii="Cambria" w:hAnsi="Cambria"/>
          <w:u w:val="single"/>
        </w:rPr>
        <w:t>Other approaches not in clinical development</w:t>
      </w:r>
    </w:p>
    <w:p w14:paraId="42AB1D30" w14:textId="46B1CE1D" w:rsidR="002151F5" w:rsidRDefault="001375BE" w:rsidP="00C566BC">
      <w:pPr>
        <w:jc w:val="both"/>
        <w:rPr>
          <w:rFonts w:ascii="Cambria" w:hAnsi="Cambria"/>
        </w:rPr>
      </w:pPr>
      <w:r>
        <w:rPr>
          <w:rFonts w:ascii="Cambria" w:hAnsi="Cambria"/>
        </w:rPr>
        <w:t>Other emerging approaches not yet in clinical development include nucleic acid-based vaccines</w:t>
      </w:r>
      <w:r w:rsidR="00787B6A">
        <w:rPr>
          <w:rFonts w:ascii="Cambria" w:hAnsi="Cambria"/>
        </w:rPr>
        <w:fldChar w:fldCharType="begin" w:fldLock="1"/>
      </w:r>
      <w:r w:rsidR="00B707E2">
        <w:rPr>
          <w:rFonts w:ascii="Cambria" w:hAnsi="Cambria"/>
        </w:rPr>
        <w:instrText>ADDIN CSL_CITATION { "citationItems" : [ { "id" : "ITEM-1", "itemData" : { "DOI" : "10.1080/21645515.2017.1363134", "ISSN" : "2164-5515", "PMID" : "28881156", "abstract" : "Respiratory syncytial virus (RSV) is a massive medical burden on a global scale. Infants, children and the elderly represent the vulnerable populations. Currently there is no approved vaccine to protect against the disease. Vaccine development has been hindered by several factors including vaccine enhanced disease (VED) associated with formalin-inactivated RSV vaccines, inability of target populations to raise protective immune responses after vaccination or natural viral infection, and a lack of consensus concerning the most appropriate virus-associated target antigen. However, with recent advances in the molecular understanding of the virus, and design of highly characterized vaccines with enhanced immunogenicity there is new belief a RSV vaccine is possible. One promising approach is nucleic acid-based vaccinology. Both DNA and mRNA RSV vaccines are showing promising results in clinically relevant animal models, supporting their transition into humans. Here we will discuss this strategy to target RSV, and the ongoing studies to advance the nucleic acid vaccine platform as a viable option to protect vulnerable populations from this important disease.", "author" : [ { "dropping-particle" : "", "family" : "Smith", "given" : "Trevor R. F.", "non-dropping-particle" : "", "parse-names" : false, "suffix" : "" }, { "dropping-particle" : "", "family" : "Schultheis", "given" : "Katherine", "non-dropping-particle" : "", "parse-names" : false, "suffix" : "" }, { "dropping-particle" : "", "family" : "Broderick", "given" : "Kate E.", "non-dropping-particle" : "", "parse-names" : false, "suffix" : "" } ], "container-title" : "Human Vaccines &amp; Immunotherapeutics", "id" : "ITEM-1", "issue" : "11", "issued" : { "date-parts" : [ [ "2017", "11", "2" ] ] }, "page" : "2626-2629", "title" : "Nucleic acid-based vaccines targeting respiratory syncytial virus: Delivering the goods", "type" : "article-journal", "volume" : "13" }, "uris" : [ "http://www.mendeley.com/documents/?uuid=36d54c62-b45a-390d-895b-79c7e13eedcb" ] } ], "mendeley" : { "formattedCitation" : "(115)", "plainTextFormattedCitation" : "(115)", "previouslyFormattedCitation" : "(114)" }, "properties" : { "noteIndex" : 0 }, "schema" : "https://github.com/citation-style-language/schema/raw/master/csl-citation.json" }</w:instrText>
      </w:r>
      <w:r w:rsidR="00787B6A">
        <w:rPr>
          <w:rFonts w:ascii="Cambria" w:hAnsi="Cambria"/>
        </w:rPr>
        <w:fldChar w:fldCharType="separate"/>
      </w:r>
      <w:r w:rsidR="00B707E2" w:rsidRPr="00B707E2">
        <w:rPr>
          <w:rFonts w:ascii="Cambria" w:hAnsi="Cambria"/>
          <w:noProof/>
        </w:rPr>
        <w:t>(115)</w:t>
      </w:r>
      <w:r w:rsidR="00787B6A">
        <w:rPr>
          <w:rFonts w:ascii="Cambria" w:hAnsi="Cambria"/>
        </w:rPr>
        <w:fldChar w:fldCharType="end"/>
      </w:r>
      <w:r>
        <w:rPr>
          <w:rFonts w:ascii="Cambria" w:hAnsi="Cambria"/>
        </w:rPr>
        <w:t>. Importantly these vaccines induce a T</w:t>
      </w:r>
      <w:r w:rsidR="00F17CAE">
        <w:rPr>
          <w:rFonts w:ascii="Cambria" w:hAnsi="Cambria"/>
        </w:rPr>
        <w:t xml:space="preserve"> </w:t>
      </w:r>
      <w:r>
        <w:rPr>
          <w:rFonts w:ascii="Cambria" w:hAnsi="Cambria"/>
        </w:rPr>
        <w:t xml:space="preserve">cell response </w:t>
      </w:r>
      <w:r w:rsidR="00B33E96">
        <w:rPr>
          <w:rFonts w:ascii="Cambria" w:hAnsi="Cambria"/>
        </w:rPr>
        <w:t>mimicking the response to</w:t>
      </w:r>
      <w:r>
        <w:rPr>
          <w:rFonts w:ascii="Cambria" w:hAnsi="Cambria"/>
        </w:rPr>
        <w:t xml:space="preserve"> live virus infection.</w:t>
      </w:r>
      <w:r w:rsidR="00D17976">
        <w:rPr>
          <w:rFonts w:ascii="Cambria" w:hAnsi="Cambria"/>
        </w:rPr>
        <w:t xml:space="preserve"> </w:t>
      </w:r>
      <w:r w:rsidR="008E078C">
        <w:rPr>
          <w:rFonts w:ascii="Cambria" w:hAnsi="Cambria"/>
        </w:rPr>
        <w:t xml:space="preserve">Both DNA and messenger RNA (mRNA) vaccines against RSV have shown promising results in preclinical </w:t>
      </w:r>
      <w:r w:rsidR="00B33E96">
        <w:rPr>
          <w:rFonts w:ascii="Cambria" w:hAnsi="Cambria"/>
        </w:rPr>
        <w:t>studies</w:t>
      </w:r>
      <w:r w:rsidR="00021730">
        <w:rPr>
          <w:rFonts w:ascii="Cambria" w:hAnsi="Cambria"/>
        </w:rPr>
        <w:fldChar w:fldCharType="begin" w:fldLock="1"/>
      </w:r>
      <w:r w:rsidR="00B707E2">
        <w:rPr>
          <w:rFonts w:ascii="Cambria" w:hAnsi="Cambria"/>
        </w:rPr>
        <w:instrText>ADDIN CSL_CITATION { "citationItems" : [ { "id" : "ITEM-1", "itemData" : { "DOI" : "10.1080/21645515.2017.1363134", "ISSN" : "2164-5515", "PMID" : "28881156", "abstract" : "Respiratory syncytial virus (RSV) is a massive medical burden on a global scale. Infants, children and the elderly represent the vulnerable populations. Currently there is no approved vaccine to protect against the disease. Vaccine development has been hindered by several factors including vaccine enhanced disease (VED) associated with formalin-inactivated RSV vaccines, inability of target populations to raise protective immune responses after vaccination or natural viral infection, and a lack of consensus concerning the most appropriate virus-associated target antigen. However, with recent advances in the molecular understanding of the virus, and design of highly characterized vaccines with enhanced immunogenicity there is new belief a RSV vaccine is possible. One promising approach is nucleic acid-based vaccinology. Both DNA and mRNA RSV vaccines are showing promising results in clinically relevant animal models, supporting their transition into humans. Here we will discuss this strategy to target RSV, and the ongoing studies to advance the nucleic acid vaccine platform as a viable option to protect vulnerable populations from this important disease.", "author" : [ { "dropping-particle" : "", "family" : "Smith", "given" : "Trevor R. F.", "non-dropping-particle" : "", "parse-names" : false, "suffix" : "" }, { "dropping-particle" : "", "family" : "Schultheis", "given" : "Katherine", "non-dropping-particle" : "", "parse-names" : false, "suffix" : "" }, { "dropping-particle" : "", "family" : "Broderick", "given" : "Kate E.", "non-dropping-particle" : "", "parse-names" : false, "suffix" : "" } ], "container-title" : "Human Vaccines &amp; Immunotherapeutics", "id" : "ITEM-1", "issue" : "11", "issued" : { "date-parts" : [ [ "2017", "11", "2" ] ] }, "page" : "2626-2629", "title" : "Nucleic acid-based vaccines targeting respiratory syncytial virus: Delivering the goods", "type" : "article-journal", "volume" : "13" }, "uris" : [ "http://www.mendeley.com/documents/?uuid=36d54c62-b45a-390d-895b-79c7e13eedcb" ] } ], "mendeley" : { "formattedCitation" : "(115)", "plainTextFormattedCitation" : "(115)", "previouslyFormattedCitation" : "(114)" }, "properties" : { "noteIndex" : 0 }, "schema" : "https://github.com/citation-style-language/schema/raw/master/csl-citation.json" }</w:instrText>
      </w:r>
      <w:r w:rsidR="00021730">
        <w:rPr>
          <w:rFonts w:ascii="Cambria" w:hAnsi="Cambria"/>
        </w:rPr>
        <w:fldChar w:fldCharType="separate"/>
      </w:r>
      <w:r w:rsidR="00B707E2" w:rsidRPr="00B707E2">
        <w:rPr>
          <w:rFonts w:ascii="Cambria" w:hAnsi="Cambria"/>
          <w:noProof/>
        </w:rPr>
        <w:t>(115)</w:t>
      </w:r>
      <w:r w:rsidR="00021730">
        <w:rPr>
          <w:rFonts w:ascii="Cambria" w:hAnsi="Cambria"/>
        </w:rPr>
        <w:fldChar w:fldCharType="end"/>
      </w:r>
      <w:r w:rsidR="008E078C">
        <w:rPr>
          <w:rFonts w:ascii="Cambria" w:hAnsi="Cambria"/>
        </w:rPr>
        <w:t>. Notably, through</w:t>
      </w:r>
      <w:r w:rsidR="00D17976">
        <w:rPr>
          <w:rFonts w:ascii="Cambria" w:hAnsi="Cambria"/>
        </w:rPr>
        <w:t xml:space="preserve"> a</w:t>
      </w:r>
      <w:r w:rsidR="00217FCA">
        <w:rPr>
          <w:rFonts w:ascii="Cambria" w:hAnsi="Cambria"/>
        </w:rPr>
        <w:t xml:space="preserve"> </w:t>
      </w:r>
      <w:r w:rsidR="00D17976">
        <w:rPr>
          <w:rFonts w:ascii="Cambria" w:hAnsi="Cambria"/>
        </w:rPr>
        <w:t>collaboration with</w:t>
      </w:r>
      <w:r w:rsidR="007C32DB">
        <w:rPr>
          <w:rFonts w:ascii="Cambria" w:hAnsi="Cambria"/>
        </w:rPr>
        <w:t xml:space="preserve"> the</w:t>
      </w:r>
      <w:r w:rsidR="00D17976">
        <w:rPr>
          <w:rFonts w:ascii="Cambria" w:hAnsi="Cambria"/>
        </w:rPr>
        <w:t xml:space="preserve"> Bill </w:t>
      </w:r>
      <w:r w:rsidR="007C32DB">
        <w:rPr>
          <w:rFonts w:ascii="Cambria" w:hAnsi="Cambria"/>
        </w:rPr>
        <w:t xml:space="preserve">&amp; </w:t>
      </w:r>
      <w:r w:rsidR="00D17976">
        <w:rPr>
          <w:rFonts w:ascii="Cambria" w:hAnsi="Cambria"/>
        </w:rPr>
        <w:t>Melinda Gates Foundation, a</w:t>
      </w:r>
      <w:r w:rsidR="008E078C">
        <w:rPr>
          <w:rFonts w:ascii="Cambria" w:hAnsi="Cambria"/>
        </w:rPr>
        <w:t xml:space="preserve">n </w:t>
      </w:r>
      <w:r w:rsidR="00D17976">
        <w:rPr>
          <w:rFonts w:ascii="Cambria" w:hAnsi="Cambria"/>
        </w:rPr>
        <w:t>mRNA technology vaccine platform for HIV and rotavirus has also expanded to include RSV.</w:t>
      </w:r>
      <w:r w:rsidR="00E804CF">
        <w:rPr>
          <w:rFonts w:ascii="Cambria" w:hAnsi="Cambria"/>
        </w:rPr>
        <w:t xml:space="preserve"> </w:t>
      </w:r>
      <w:r w:rsidR="00A47C4B">
        <w:rPr>
          <w:rFonts w:ascii="Cambria" w:hAnsi="Cambria"/>
        </w:rPr>
        <w:t xml:space="preserve">Furthermore, </w:t>
      </w:r>
      <w:r w:rsidR="007C32DB">
        <w:rPr>
          <w:rFonts w:ascii="Cambria" w:hAnsi="Cambria"/>
        </w:rPr>
        <w:t xml:space="preserve">with the first of the palivizumab </w:t>
      </w:r>
      <w:r w:rsidR="00D17976">
        <w:rPr>
          <w:rFonts w:ascii="Cambria" w:hAnsi="Cambria"/>
        </w:rPr>
        <w:t>patent</w:t>
      </w:r>
      <w:r w:rsidR="007C32DB">
        <w:rPr>
          <w:rFonts w:ascii="Cambria" w:hAnsi="Cambria"/>
        </w:rPr>
        <w:t>s</w:t>
      </w:r>
      <w:r w:rsidR="00D17976">
        <w:rPr>
          <w:rFonts w:ascii="Cambria" w:hAnsi="Cambria"/>
        </w:rPr>
        <w:t xml:space="preserve"> expir</w:t>
      </w:r>
      <w:r w:rsidR="007C32DB">
        <w:rPr>
          <w:rFonts w:ascii="Cambria" w:hAnsi="Cambria"/>
        </w:rPr>
        <w:t>ing</w:t>
      </w:r>
      <w:r w:rsidR="00D17976">
        <w:rPr>
          <w:rFonts w:ascii="Cambria" w:hAnsi="Cambria"/>
        </w:rPr>
        <w:t xml:space="preserve"> in October 2015</w:t>
      </w:r>
      <w:r w:rsidR="007C32DB">
        <w:rPr>
          <w:rFonts w:ascii="Cambria" w:hAnsi="Cambria"/>
        </w:rPr>
        <w:t xml:space="preserve"> and the last in 2022</w:t>
      </w:r>
      <w:r w:rsidR="00D17976">
        <w:rPr>
          <w:rFonts w:ascii="Cambria" w:hAnsi="Cambria"/>
        </w:rPr>
        <w:t>, there has been active development to produce a biosimilar</w:t>
      </w:r>
      <w:r w:rsidR="007C32DB">
        <w:rPr>
          <w:rFonts w:ascii="Cambria" w:hAnsi="Cambria"/>
        </w:rPr>
        <w:t xml:space="preserve"> in order </w:t>
      </w:r>
      <w:r w:rsidR="007C32DB">
        <w:rPr>
          <w:rFonts w:ascii="Cambria" w:hAnsi="Cambria"/>
        </w:rPr>
        <w:lastRenderedPageBreak/>
        <w:t>to provide a low</w:t>
      </w:r>
      <w:r w:rsidR="00917786">
        <w:rPr>
          <w:rFonts w:ascii="Cambria" w:hAnsi="Cambria"/>
        </w:rPr>
        <w:t>-</w:t>
      </w:r>
      <w:r w:rsidR="007C32DB">
        <w:rPr>
          <w:rFonts w:ascii="Cambria" w:hAnsi="Cambria"/>
        </w:rPr>
        <w:t>cost RSV preventive intervention</w:t>
      </w:r>
      <w:r w:rsidR="00840E01">
        <w:rPr>
          <w:rFonts w:ascii="Cambria" w:hAnsi="Cambria"/>
        </w:rPr>
        <w:t xml:space="preserve">. </w:t>
      </w:r>
      <w:r w:rsidR="008D715B">
        <w:rPr>
          <w:rFonts w:ascii="Cambria" w:hAnsi="Cambria"/>
        </w:rPr>
        <w:t xml:space="preserve">Finally, another vaccine approach in preclinical development is a whole-inactivated vaccine to be delivered intranasally via a nanoemulsion technology </w:t>
      </w:r>
      <w:r w:rsidR="008761C1">
        <w:rPr>
          <w:rFonts w:ascii="Cambria" w:hAnsi="Cambria"/>
        </w:rPr>
        <w:t>for which</w:t>
      </w:r>
      <w:r w:rsidR="008D715B">
        <w:rPr>
          <w:rFonts w:ascii="Cambria" w:hAnsi="Cambria"/>
        </w:rPr>
        <w:t xml:space="preserve"> development has been supported by the Bill &amp; Melinda Gates Foundation</w:t>
      </w:r>
      <w:r w:rsidR="00A73E0E">
        <w:rPr>
          <w:rFonts w:ascii="Cambria" w:hAnsi="Cambria"/>
        </w:rPr>
        <w:fldChar w:fldCharType="begin" w:fldLock="1"/>
      </w:r>
      <w:r w:rsidR="00B707E2">
        <w:rPr>
          <w:rFonts w:ascii="Cambria" w:hAnsi="Cambria"/>
        </w:rPr>
        <w:instrText>ADDIN CSL_CITATION { "citationItems" : [ { "id" : "ITEM-1", "itemData" : { "DOI" : "10.1371/journal.pone.0021823", "ISSN" : "1932-6203", "PMID" : "21789184", "abstract" : "BACKGROUND Respiratory syncytial virus (RSV) is a leading cause of bronchiolitis and pneumonia in young children worldwide, and no vaccine is currently available. Inactivated RSV vaccines tested in the 1960's led to vaccine-enhanced disease upon viral challenge, which has undermined RSV vaccine development. RSV infection is increasingly being recognized as an important pathogen in the elderly, as well as other individuals with compromised pulmonary immunity. A safe and effective inactivated RSV vaccine would be of tremendous therapeutic benefit to many of these populations. PRINCIPAL FINDINGS In these preclinical studies, a mouse model was utilized to assess the efficacy of a novel, nanoemulsion-adjuvanted, inactivated mucosal RSV vaccine. Our results demonstrate that NE-RSV immunization induced durable, RSV-specific humoral responses, both systemically and in the lungs. Vaccinated mice exhibited increased protection against subsequent live viral challenge, which was associated with an enhanced Th1/Th17 response. In these studies, NE-RSV vaccinated mice displayed no evidence of Th2 mediated immunopotentiation, as has been previously described for other inactivated RSV vaccines. CONCLUSIONS These studies indicate that nanoemulsion-based inactivated RSV vaccination can augment viral-specific immunity, decrease mucus production and increase viral clearance, without evidence of Th2 immune mediated pathology.", "author" : [ { "dropping-particle" : "", "family" : "Lindell", "given" : "Dennis M.", "non-dropping-particle" : "", "parse-names" : false, "suffix" : "" }, { "dropping-particle" : "", "family" : "Morris", "given" : "Susan B.", "non-dropping-particle" : "", "parse-names" : false, "suffix" : "" }, { "dropping-particle" : "", "family" : "White", "given" : "Maria P.", "non-dropping-particle" : "", "parse-names" : false, "suffix" : "" }, { "dropping-particle" : "", "family" : "Kallal", "given" : "Lara E.", "non-dropping-particle" : "", "parse-names" : false, "suffix" : "" }, { "dropping-particle" : "", "family" : "Lundy", "given" : "Phillip K.", "non-dropping-particle" : "", "parse-names" : false, "suffix" : "" }, { "dropping-particle" : "", "family" : "Hamouda", "given" : "Tarek", "non-dropping-particle" : "", "parse-names" : false, "suffix" : "" }, { "dropping-particle" : "", "family" : "Baker", "given" : "James R.", "non-dropping-particle" : "", "parse-names" : false, "suffix" : "" }, { "dropping-particle" : "", "family" : "Lukacs", "given" : "Nicholas W.", "non-dropping-particle" : "", "parse-names" : false, "suffix" : "" } ], "container-title" : "PLoS ONE", "editor" : [ { "dropping-particle" : "", "family" : "Semple", "given" : "Malcolm Gracie", "non-dropping-particle" : "", "parse-names" : false, "suffix" : "" } ], "id" : "ITEM-1", "issue" : "7", "issued" : { "date-parts" : [ [ "2011", "7", "15" ] ] }, "page" : "e21823", "title" : "A Novel Inactivated Intranasal Respiratory Syncytial Virus Vaccine Promotes Viral Clearance without Th2 Associated Vaccine-Enhanced Disease", "type" : "article-journal", "volume" : "6" }, "uris" : [ "http://www.mendeley.com/documents/?uuid=0514394c-b94f-3a66-982b-7d8dbdc21f64" ] } ], "mendeley" : { "formattedCitation" : "(116)", "plainTextFormattedCitation" : "(116)", "previouslyFormattedCitation" : "(115)" }, "properties" : { "noteIndex" : 0 }, "schema" : "https://github.com/citation-style-language/schema/raw/master/csl-citation.json" }</w:instrText>
      </w:r>
      <w:r w:rsidR="00A73E0E">
        <w:rPr>
          <w:rFonts w:ascii="Cambria" w:hAnsi="Cambria"/>
        </w:rPr>
        <w:fldChar w:fldCharType="separate"/>
      </w:r>
      <w:r w:rsidR="00B707E2" w:rsidRPr="00B707E2">
        <w:rPr>
          <w:rFonts w:ascii="Cambria" w:hAnsi="Cambria"/>
          <w:noProof/>
        </w:rPr>
        <w:t>(116)</w:t>
      </w:r>
      <w:r w:rsidR="00A73E0E">
        <w:rPr>
          <w:rFonts w:ascii="Cambria" w:hAnsi="Cambria"/>
        </w:rPr>
        <w:fldChar w:fldCharType="end"/>
      </w:r>
      <w:r w:rsidR="008D715B">
        <w:rPr>
          <w:rFonts w:ascii="Cambria" w:hAnsi="Cambria"/>
        </w:rPr>
        <w:t>.</w:t>
      </w:r>
    </w:p>
    <w:p w14:paraId="55DA7798" w14:textId="77777777" w:rsidR="00CE0437" w:rsidRDefault="00CE0437" w:rsidP="00C566BC">
      <w:pPr>
        <w:jc w:val="both"/>
        <w:rPr>
          <w:rFonts w:ascii="Cambria" w:hAnsi="Cambria"/>
        </w:rPr>
      </w:pPr>
    </w:p>
    <w:p w14:paraId="028EA7B0" w14:textId="5232FE61" w:rsidR="001375BE" w:rsidRPr="00975B33" w:rsidRDefault="00A47C4B" w:rsidP="00C566BC">
      <w:pPr>
        <w:jc w:val="both"/>
        <w:rPr>
          <w:rFonts w:ascii="Cambria" w:hAnsi="Cambria"/>
          <w:u w:val="single"/>
        </w:rPr>
      </w:pPr>
      <w:r>
        <w:rPr>
          <w:rFonts w:ascii="Cambria" w:hAnsi="Cambria"/>
          <w:u w:val="single"/>
        </w:rPr>
        <w:t>Considerations by regulatory agencies and the World Health Organization</w:t>
      </w:r>
    </w:p>
    <w:p w14:paraId="6A659B11" w14:textId="572577AB" w:rsidR="00CD49FD" w:rsidRDefault="00110147" w:rsidP="00C566BC">
      <w:pPr>
        <w:jc w:val="both"/>
        <w:rPr>
          <w:rFonts w:ascii="Cambria" w:hAnsi="Cambria"/>
        </w:rPr>
      </w:pPr>
      <w:r>
        <w:rPr>
          <w:rFonts w:ascii="Cambria" w:hAnsi="Cambria"/>
        </w:rPr>
        <w:t xml:space="preserve">The FDA has articulated that differences between </w:t>
      </w:r>
      <w:r w:rsidR="00142FBD">
        <w:rPr>
          <w:rFonts w:ascii="Cambria" w:hAnsi="Cambria"/>
        </w:rPr>
        <w:t>high income countries (</w:t>
      </w:r>
      <w:r>
        <w:rPr>
          <w:rFonts w:ascii="Cambria" w:hAnsi="Cambria"/>
        </w:rPr>
        <w:t>HIC</w:t>
      </w:r>
      <w:r w:rsidR="00142FBD">
        <w:rPr>
          <w:rFonts w:ascii="Cambria" w:hAnsi="Cambria"/>
        </w:rPr>
        <w:t>s)</w:t>
      </w:r>
      <w:r>
        <w:rPr>
          <w:rFonts w:ascii="Cambria" w:hAnsi="Cambria"/>
        </w:rPr>
        <w:t xml:space="preserve"> and LMIC</w:t>
      </w:r>
      <w:r w:rsidR="00142FBD">
        <w:rPr>
          <w:rFonts w:ascii="Cambria" w:hAnsi="Cambria"/>
        </w:rPr>
        <w:t>s</w:t>
      </w:r>
      <w:r>
        <w:rPr>
          <w:rFonts w:ascii="Cambria" w:hAnsi="Cambria"/>
        </w:rPr>
        <w:t xml:space="preserve"> are not particularly relevant to regulatory decisions</w:t>
      </w:r>
      <w:r w:rsidR="00142FBD">
        <w:rPr>
          <w:rFonts w:ascii="Cambria" w:hAnsi="Cambria"/>
        </w:rPr>
        <w:t>,</w:t>
      </w:r>
      <w:r>
        <w:rPr>
          <w:rFonts w:ascii="Cambria" w:hAnsi="Cambria"/>
        </w:rPr>
        <w:t xml:space="preserve"> though a bridging study in the US must be performed if all clinical trials have been performed outside of the US</w:t>
      </w:r>
      <w:r>
        <w:rPr>
          <w:rFonts w:ascii="Cambria" w:hAnsi="Cambria"/>
        </w:rPr>
        <w:fldChar w:fldCharType="begin" w:fldLock="1"/>
      </w:r>
      <w:r w:rsidR="00B707E2">
        <w:rPr>
          <w:rFonts w:ascii="Cambria" w:hAnsi="Cambria"/>
        </w:rPr>
        <w:instrText>ADDIN CSL_CITATION { "citationItems" : [ { "id" : "ITEM-1", "itemData" : { "author" : [ { "dropping-particle" : "", "family" : "Roberts, J; Graham, B; Karron, R; Munoz, F; Falsey, A; Anderson, L; Marshall, V; Kim, S; Beeler", "given" : "J", "non-dropping-particle" : "", "parse-names" : false, "suffix" : "" } ], "container-title" : "Vaccine", "id" : "ITEM-1", "issued" : { "date-parts" : [ [ "2016" ] ] }, "page" : "4843\u20134849", "title" : "The challenges and opportunities in RSV vaccine development: Meeting report from FDA/NIH workshop", "type" : "article-journal", "volume" : "34" }, "uris" : [ "http://www.mendeley.com/documents/?uuid=047387d7-515e-346d-b28a-0f743f25d4f6" ] } ], "mendeley" : { "formattedCitation" : "(117)", "plainTextFormattedCitation" : "(117)", "previouslyFormattedCitation" : "(116)" }, "properties" : { "noteIndex" : 0 }, "schema" : "https://github.com/citation-style-language/schema/raw/master/csl-citation.json" }</w:instrText>
      </w:r>
      <w:r>
        <w:rPr>
          <w:rFonts w:ascii="Cambria" w:hAnsi="Cambria"/>
        </w:rPr>
        <w:fldChar w:fldCharType="separate"/>
      </w:r>
      <w:r w:rsidR="00B707E2" w:rsidRPr="00B707E2">
        <w:rPr>
          <w:rFonts w:ascii="Cambria" w:hAnsi="Cambria"/>
          <w:noProof/>
        </w:rPr>
        <w:t>(117)</w:t>
      </w:r>
      <w:r>
        <w:rPr>
          <w:rFonts w:ascii="Cambria" w:hAnsi="Cambria"/>
        </w:rPr>
        <w:fldChar w:fldCharType="end"/>
      </w:r>
      <w:r>
        <w:rPr>
          <w:rFonts w:ascii="Cambria" w:hAnsi="Cambria"/>
        </w:rPr>
        <w:t>.</w:t>
      </w:r>
      <w:r w:rsidR="00C20F68">
        <w:rPr>
          <w:rFonts w:ascii="Cambria" w:hAnsi="Cambria"/>
        </w:rPr>
        <w:t xml:space="preserve"> </w:t>
      </w:r>
      <w:r w:rsidR="004C7CDF">
        <w:rPr>
          <w:rFonts w:ascii="Cambria" w:hAnsi="Cambria"/>
        </w:rPr>
        <w:t>T</w:t>
      </w:r>
      <w:r w:rsidR="00F878AB">
        <w:rPr>
          <w:rFonts w:ascii="Cambria" w:hAnsi="Cambria"/>
        </w:rPr>
        <w:t xml:space="preserve">he </w:t>
      </w:r>
      <w:r w:rsidR="00142FBD">
        <w:rPr>
          <w:rFonts w:ascii="Cambria" w:hAnsi="Cambria"/>
        </w:rPr>
        <w:t>EMA</w:t>
      </w:r>
      <w:r w:rsidR="00F878AB">
        <w:rPr>
          <w:rFonts w:ascii="Cambria" w:hAnsi="Cambria"/>
        </w:rPr>
        <w:t xml:space="preserve"> </w:t>
      </w:r>
      <w:r w:rsidR="006A2822">
        <w:rPr>
          <w:rFonts w:ascii="Cambria" w:hAnsi="Cambria"/>
        </w:rPr>
        <w:t>does not require that trials intended to support a regulatory decision are conducted in the EU</w:t>
      </w:r>
      <w:r w:rsidR="00F878AB">
        <w:rPr>
          <w:rFonts w:ascii="Cambria" w:hAnsi="Cambria"/>
        </w:rPr>
        <w:t>.</w:t>
      </w:r>
      <w:r w:rsidR="006A2CAC">
        <w:rPr>
          <w:rFonts w:ascii="Cambria" w:hAnsi="Cambria"/>
        </w:rPr>
        <w:t xml:space="preserve"> Other considerations in population selection for vaccine trials mentioned by </w:t>
      </w:r>
      <w:r w:rsidR="00142FBD">
        <w:rPr>
          <w:rFonts w:ascii="Cambria" w:hAnsi="Cambria"/>
        </w:rPr>
        <w:t>EMA</w:t>
      </w:r>
      <w:r w:rsidR="006A2CAC">
        <w:rPr>
          <w:rFonts w:ascii="Cambria" w:hAnsi="Cambria"/>
        </w:rPr>
        <w:t xml:space="preserve"> include</w:t>
      </w:r>
      <w:r w:rsidR="00C240EB">
        <w:rPr>
          <w:rFonts w:ascii="Cambria" w:hAnsi="Cambria"/>
        </w:rPr>
        <w:t>:</w:t>
      </w:r>
      <w:r w:rsidR="006A2CAC">
        <w:rPr>
          <w:rFonts w:ascii="Cambria" w:hAnsi="Cambria"/>
        </w:rPr>
        <w:t xml:space="preserve"> first testing</w:t>
      </w:r>
      <w:r w:rsidR="00BD0919">
        <w:rPr>
          <w:rFonts w:ascii="Cambria" w:hAnsi="Cambria"/>
        </w:rPr>
        <w:t xml:space="preserve"> a </w:t>
      </w:r>
      <w:r w:rsidR="00A81B3F">
        <w:rPr>
          <w:rFonts w:ascii="Cambria" w:hAnsi="Cambria"/>
        </w:rPr>
        <w:t xml:space="preserve">vaccine </w:t>
      </w:r>
      <w:r w:rsidR="00BD0919">
        <w:rPr>
          <w:rFonts w:ascii="Cambria" w:hAnsi="Cambria"/>
        </w:rPr>
        <w:t>candidate</w:t>
      </w:r>
      <w:r w:rsidR="006A2CAC">
        <w:rPr>
          <w:rFonts w:ascii="Cambria" w:hAnsi="Cambria"/>
        </w:rPr>
        <w:t xml:space="preserve"> in a seropositive before testing in a seronegative population, testing a maternal vaccine in non-pregnant women of child-bearing age before</w:t>
      </w:r>
      <w:r w:rsidR="00A81B3F">
        <w:rPr>
          <w:rFonts w:ascii="Cambria" w:hAnsi="Cambria"/>
        </w:rPr>
        <w:t xml:space="preserve"> testing in</w:t>
      </w:r>
      <w:r w:rsidR="006A2CAC">
        <w:rPr>
          <w:rFonts w:ascii="Cambria" w:hAnsi="Cambria"/>
        </w:rPr>
        <w:t xml:space="preserve"> pregnant women, </w:t>
      </w:r>
      <w:r w:rsidR="00A81B3F">
        <w:rPr>
          <w:rFonts w:ascii="Cambria" w:hAnsi="Cambria"/>
        </w:rPr>
        <w:t xml:space="preserve">and </w:t>
      </w:r>
      <w:r w:rsidR="00BD0919">
        <w:rPr>
          <w:rFonts w:ascii="Cambria" w:hAnsi="Cambria"/>
        </w:rPr>
        <w:t>including</w:t>
      </w:r>
      <w:r w:rsidR="006A2CAC">
        <w:rPr>
          <w:rFonts w:ascii="Cambria" w:hAnsi="Cambria"/>
        </w:rPr>
        <w:t xml:space="preserve"> </w:t>
      </w:r>
      <w:r w:rsidR="007D3BEB">
        <w:rPr>
          <w:rFonts w:ascii="Cambria" w:hAnsi="Cambria"/>
        </w:rPr>
        <w:t xml:space="preserve">older adults </w:t>
      </w:r>
      <w:r w:rsidR="006A2CAC">
        <w:rPr>
          <w:rFonts w:ascii="Cambria" w:hAnsi="Cambria"/>
        </w:rPr>
        <w:t>with comorbidities in vaccine trials</w:t>
      </w:r>
      <w:r w:rsidR="00A81B3F">
        <w:rPr>
          <w:rFonts w:ascii="Cambria" w:hAnsi="Cambria"/>
        </w:rPr>
        <w:t>.</w:t>
      </w:r>
      <w:r w:rsidR="006A2CAC">
        <w:rPr>
          <w:rFonts w:ascii="Cambria" w:hAnsi="Cambria"/>
        </w:rPr>
        <w:t xml:space="preserve"> </w:t>
      </w:r>
      <w:r w:rsidR="00A81B3F">
        <w:rPr>
          <w:rFonts w:ascii="Cambria" w:hAnsi="Cambria"/>
        </w:rPr>
        <w:t>N</w:t>
      </w:r>
      <w:r w:rsidR="006A2CAC">
        <w:rPr>
          <w:rFonts w:ascii="Cambria" w:hAnsi="Cambria"/>
        </w:rPr>
        <w:t>o particular considerations</w:t>
      </w:r>
      <w:r w:rsidR="004C65AC">
        <w:rPr>
          <w:rFonts w:ascii="Cambria" w:hAnsi="Cambria"/>
        </w:rPr>
        <w:t xml:space="preserve"> were mentioned</w:t>
      </w:r>
      <w:r w:rsidR="006A2CAC">
        <w:rPr>
          <w:rFonts w:ascii="Cambria" w:hAnsi="Cambria"/>
        </w:rPr>
        <w:t xml:space="preserve"> for population selection</w:t>
      </w:r>
      <w:r w:rsidR="00AE0CB2">
        <w:rPr>
          <w:rFonts w:ascii="Cambria" w:hAnsi="Cambria"/>
        </w:rPr>
        <w:t xml:space="preserve"> in studies</w:t>
      </w:r>
      <w:r w:rsidR="006A2CAC">
        <w:rPr>
          <w:rFonts w:ascii="Cambria" w:hAnsi="Cambria"/>
        </w:rPr>
        <w:t xml:space="preserve"> for </w:t>
      </w:r>
      <w:r w:rsidR="00BC024B">
        <w:rPr>
          <w:rFonts w:ascii="Cambria" w:hAnsi="Cambria"/>
        </w:rPr>
        <w:t>mAbs</w:t>
      </w:r>
      <w:r w:rsidR="00493CB3">
        <w:rPr>
          <w:rFonts w:ascii="Cambria" w:hAnsi="Cambria"/>
        </w:rPr>
        <w:t>.</w:t>
      </w:r>
      <w:r w:rsidR="009F1A59">
        <w:rPr>
          <w:rFonts w:ascii="Cambria" w:hAnsi="Cambria"/>
        </w:rPr>
        <w:t xml:space="preserve"> In October 2017 the EMA released draft guidelines for the clinical evaluation of </w:t>
      </w:r>
      <w:r w:rsidR="00DF3876">
        <w:rPr>
          <w:rFonts w:ascii="Cambria" w:hAnsi="Cambria"/>
        </w:rPr>
        <w:t xml:space="preserve">RSV </w:t>
      </w:r>
      <w:r w:rsidR="009F1A59">
        <w:rPr>
          <w:rFonts w:ascii="Cambria" w:hAnsi="Cambria"/>
        </w:rPr>
        <w:t>prophylactic interventions</w:t>
      </w:r>
      <w:r w:rsidR="00DF3876">
        <w:rPr>
          <w:rFonts w:ascii="Cambria" w:hAnsi="Cambria"/>
        </w:rPr>
        <w:t xml:space="preserve"> </w:t>
      </w:r>
      <w:r w:rsidR="009F1A59">
        <w:rPr>
          <w:rFonts w:ascii="Cambria" w:hAnsi="Cambria"/>
        </w:rPr>
        <w:t>which include</w:t>
      </w:r>
      <w:r w:rsidR="00A81B3F">
        <w:rPr>
          <w:rFonts w:ascii="Cambria" w:hAnsi="Cambria"/>
        </w:rPr>
        <w:t>d</w:t>
      </w:r>
      <w:r w:rsidR="009F1A59">
        <w:rPr>
          <w:rFonts w:ascii="Cambria" w:hAnsi="Cambria"/>
        </w:rPr>
        <w:t xml:space="preserve"> guidance regarding trial design, assessment of efficacy, and safety</w:t>
      </w:r>
      <w:r w:rsidR="009F1A59">
        <w:rPr>
          <w:rFonts w:ascii="Cambria" w:hAnsi="Cambria"/>
        </w:rPr>
        <w:fldChar w:fldCharType="begin" w:fldLock="1"/>
      </w:r>
      <w:r w:rsidR="00B707E2">
        <w:rPr>
          <w:rFonts w:ascii="Cambria" w:hAnsi="Cambria"/>
        </w:rPr>
        <w:instrText>ADDIN CSL_CITATION { "citationItems" : [ { "id" : "ITEM-1", "itemData" : { "abstract" : "Telephone +44 (0)20 36606000 Facsimile +44 (0)20 3660 5555 Send a question via our website www.ema.europa.eu/contact", "author" : [ { "dropping-particle" : "", "family" : "European Medicines Agency", "given" : "", "non-dropping-particle" : "", "parse-names" : false, "suffix" : "" } ], "id" : "ITEM-1", "issued" : { "date-parts" : [ [ "2017" ] ] }, "number-of-pages" : "1\u201321", "publisher-place" : "London", "title" : "Guideline on the clinical evaluation of medicinal products. EMA/CHMP/257022/2017", "type" : "report" }, "uris" : [ "http://www.mendeley.com/documents/?uuid=ce791cdc-bf52-3ff9-83e1-dc6f758d7cf6" ] } ], "mendeley" : { "formattedCitation" : "(118)", "plainTextFormattedCitation" : "(118)", "previouslyFormattedCitation" : "(117)" }, "properties" : { "noteIndex" : 0 }, "schema" : "https://github.com/citation-style-language/schema/raw/master/csl-citation.json" }</w:instrText>
      </w:r>
      <w:r w:rsidR="009F1A59">
        <w:rPr>
          <w:rFonts w:ascii="Cambria" w:hAnsi="Cambria"/>
        </w:rPr>
        <w:fldChar w:fldCharType="separate"/>
      </w:r>
      <w:r w:rsidR="00B707E2" w:rsidRPr="00B707E2">
        <w:rPr>
          <w:rFonts w:ascii="Cambria" w:hAnsi="Cambria"/>
          <w:noProof/>
        </w:rPr>
        <w:t>(118)</w:t>
      </w:r>
      <w:r w:rsidR="009F1A59">
        <w:rPr>
          <w:rFonts w:ascii="Cambria" w:hAnsi="Cambria"/>
        </w:rPr>
        <w:fldChar w:fldCharType="end"/>
      </w:r>
      <w:r w:rsidR="009F1A59">
        <w:rPr>
          <w:rFonts w:ascii="Cambria" w:hAnsi="Cambria"/>
        </w:rPr>
        <w:t>.</w:t>
      </w:r>
      <w:r w:rsidR="00FB0A26">
        <w:rPr>
          <w:rFonts w:ascii="Cambria" w:hAnsi="Cambria"/>
        </w:rPr>
        <w:t xml:space="preserve"> The draft guidelines will be revised after a period of public consultation based on comments and new publications.</w:t>
      </w:r>
    </w:p>
    <w:p w14:paraId="0F9934DD" w14:textId="34BDB6FA" w:rsidR="00D130C6" w:rsidRDefault="00F878AB" w:rsidP="00C566BC">
      <w:pPr>
        <w:jc w:val="both"/>
        <w:rPr>
          <w:rFonts w:ascii="Cambria" w:hAnsi="Cambria"/>
        </w:rPr>
      </w:pPr>
      <w:r>
        <w:rPr>
          <w:rFonts w:ascii="Cambria" w:hAnsi="Cambria"/>
        </w:rPr>
        <w:tab/>
      </w:r>
      <w:r w:rsidR="001E0ED5">
        <w:rPr>
          <w:rFonts w:ascii="Cambria" w:hAnsi="Cambria"/>
        </w:rPr>
        <w:t>The WHO has recognized the importance of RSV as a global health problem and has identified the development of RSV vaccines as</w:t>
      </w:r>
      <w:r w:rsidR="004C65AC">
        <w:rPr>
          <w:rFonts w:ascii="Cambria" w:hAnsi="Cambria"/>
        </w:rPr>
        <w:t xml:space="preserve"> a</w:t>
      </w:r>
      <w:r w:rsidR="001E0ED5">
        <w:rPr>
          <w:rFonts w:ascii="Cambria" w:hAnsi="Cambria"/>
        </w:rPr>
        <w:t xml:space="preserve"> priority for the WHO Initiative for Vaccine Research</w:t>
      </w:r>
      <w:r w:rsidR="00D130C6">
        <w:rPr>
          <w:rFonts w:ascii="Cambria" w:hAnsi="Cambria"/>
        </w:rPr>
        <w:t xml:space="preserve"> and for Biological Standardization</w:t>
      </w:r>
      <w:r w:rsidR="001E0ED5">
        <w:rPr>
          <w:rFonts w:ascii="Cambria" w:hAnsi="Cambria"/>
        </w:rPr>
        <w:t xml:space="preserve">. </w:t>
      </w:r>
      <w:r w:rsidR="00462310">
        <w:rPr>
          <w:rFonts w:ascii="Cambria" w:hAnsi="Cambria"/>
        </w:rPr>
        <w:t>WHO recently developed RSV vaccines preferred product characteristics and research and development technical roadmap documents</w:t>
      </w:r>
      <w:r w:rsidR="00376DC1">
        <w:rPr>
          <w:rFonts w:ascii="Cambria" w:hAnsi="Cambria"/>
        </w:rPr>
        <w:fldChar w:fldCharType="begin" w:fldLock="1"/>
      </w:r>
      <w:r w:rsidR="00B707E2">
        <w:rPr>
          <w:rFonts w:ascii="Cambria" w:hAnsi="Cambria"/>
        </w:rPr>
        <w:instrText>ADDIN CSL_CITATION { "citationItems" : [ { "id" : "ITEM-1", "itemData" : { "id" : "ITEM-1", "issued" : { "date-parts" : [ [ "2017" ] ] }, "number-of-pages" : "Licence: CC BY-NC-SA 3.0 IGO", "publisher-place" : "Geneva", "title" : "RSV vaccine research and development technology roadmap: Priority activities for development, testing, licensure and global use of RSV vaccines, with a specific focus on the medical need for young children in low-and middle- income countries", "type" : "report" }, "uris" : [ "http://www.mendeley.com/documents/?uuid=43d6ca7c-03ef-3f9f-b430-7461a3d767e5" ] }, { "id" : "ITEM-2", "itemData" : { "id" : "ITEM-2", "issued" : { "date-parts" : [ [ "2017" ] ] }, "publisher" : "Licence: CC BY-NC-SA 3.0 IGO", "publisher-place" : "Geneva", "title" : "WHO Preferred Product Characteristics for Respiratory Syncytial Virus (RSV) Vaccines", "type" : "book" }, "uris" : [ "http://www.mendeley.com/documents/?uuid=1c409b0c-48b5-34ac-af14-8bb52768d615" ] } ], "mendeley" : { "formattedCitation" : "(119,120)", "plainTextFormattedCitation" : "(119,120)", "previouslyFormattedCitation" : "(118,119)" }, "properties" : { "noteIndex" : 0 }, "schema" : "https://github.com/citation-style-language/schema/raw/master/csl-citation.json" }</w:instrText>
      </w:r>
      <w:r w:rsidR="00376DC1">
        <w:rPr>
          <w:rFonts w:ascii="Cambria" w:hAnsi="Cambria"/>
        </w:rPr>
        <w:fldChar w:fldCharType="separate"/>
      </w:r>
      <w:r w:rsidR="00B707E2" w:rsidRPr="00B707E2">
        <w:rPr>
          <w:rFonts w:ascii="Cambria" w:hAnsi="Cambria"/>
          <w:noProof/>
        </w:rPr>
        <w:t>(119,120)</w:t>
      </w:r>
      <w:r w:rsidR="00376DC1">
        <w:rPr>
          <w:rFonts w:ascii="Cambria" w:hAnsi="Cambria"/>
        </w:rPr>
        <w:fldChar w:fldCharType="end"/>
      </w:r>
      <w:r w:rsidR="00890A68">
        <w:rPr>
          <w:rFonts w:ascii="Cambria" w:hAnsi="Cambria"/>
        </w:rPr>
        <w:t>.</w:t>
      </w:r>
      <w:r w:rsidR="00036E58">
        <w:rPr>
          <w:rFonts w:ascii="Cambria" w:hAnsi="Cambria"/>
        </w:rPr>
        <w:t xml:space="preserve"> </w:t>
      </w:r>
      <w:r w:rsidR="00376DC1">
        <w:rPr>
          <w:rFonts w:ascii="Cambria" w:hAnsi="Cambria"/>
        </w:rPr>
        <w:t xml:space="preserve">Further guidance for development will contribute to adequate policy-making. </w:t>
      </w:r>
      <w:r w:rsidR="00D130C6" w:rsidRPr="0054648F">
        <w:rPr>
          <w:rFonts w:ascii="Cambria" w:hAnsi="Cambria"/>
        </w:rPr>
        <w:t xml:space="preserve">WHO </w:t>
      </w:r>
      <w:r w:rsidR="00D130C6">
        <w:rPr>
          <w:rFonts w:ascii="Cambria" w:hAnsi="Cambria"/>
        </w:rPr>
        <w:t xml:space="preserve">standardization </w:t>
      </w:r>
      <w:r w:rsidR="00D130C6" w:rsidRPr="0054648F">
        <w:rPr>
          <w:rFonts w:ascii="Cambria" w:hAnsi="Cambria"/>
        </w:rPr>
        <w:t xml:space="preserve">activities led to the development and establishment of the first international standard for </w:t>
      </w:r>
      <w:r w:rsidR="004F0330">
        <w:rPr>
          <w:rFonts w:ascii="Cambria" w:hAnsi="Cambria"/>
        </w:rPr>
        <w:t>a</w:t>
      </w:r>
      <w:r w:rsidR="00D130C6" w:rsidRPr="0054648F">
        <w:rPr>
          <w:rFonts w:ascii="Cambria" w:hAnsi="Cambria"/>
        </w:rPr>
        <w:t>n</w:t>
      </w:r>
      <w:r w:rsidR="00BC024B">
        <w:rPr>
          <w:rFonts w:ascii="Cambria" w:hAnsi="Cambria"/>
        </w:rPr>
        <w:t>tiserum to RSV. Development of g</w:t>
      </w:r>
      <w:r w:rsidR="00D130C6" w:rsidRPr="0054648F">
        <w:rPr>
          <w:rFonts w:ascii="Cambria" w:hAnsi="Cambria"/>
        </w:rPr>
        <w:t xml:space="preserve">uidelines for evaluation of quality, safety and efficacy of RSV vaccines has been initiated and will be part of consultation with regulators, manufacturers and academia in 2018 with the aim of finalizing it in 2019. Further discussion on guiding principles for </w:t>
      </w:r>
      <w:r w:rsidR="004F0330">
        <w:rPr>
          <w:rFonts w:ascii="Cambria" w:hAnsi="Cambria"/>
        </w:rPr>
        <w:t>mAbs</w:t>
      </w:r>
      <w:r w:rsidR="00D130C6" w:rsidRPr="0054648F">
        <w:rPr>
          <w:rFonts w:ascii="Cambria" w:hAnsi="Cambria"/>
        </w:rPr>
        <w:t xml:space="preserve"> is needed before proceeding with the development of the WHO Guidelines.</w:t>
      </w:r>
      <w:r w:rsidR="00D130C6">
        <w:rPr>
          <w:rFonts w:ascii="Cambria" w:hAnsi="Cambria"/>
        </w:rPr>
        <w:t xml:space="preserve"> These and other WHO standards serve as a basis for setting national regulatory requirements as well as WHO prequalification. </w:t>
      </w:r>
    </w:p>
    <w:p w14:paraId="05353873" w14:textId="0ACA01B1" w:rsidR="00F878AB" w:rsidRDefault="00D130C6" w:rsidP="00BC024B">
      <w:pPr>
        <w:ind w:firstLine="720"/>
        <w:jc w:val="both"/>
        <w:rPr>
          <w:rFonts w:ascii="Cambria" w:hAnsi="Cambria"/>
        </w:rPr>
      </w:pPr>
      <w:r>
        <w:rPr>
          <w:rFonts w:ascii="Cambria" w:hAnsi="Cambria"/>
        </w:rPr>
        <w:t>Finally</w:t>
      </w:r>
      <w:r w:rsidR="00BE39A7">
        <w:rPr>
          <w:rFonts w:ascii="Cambria" w:hAnsi="Cambria"/>
        </w:rPr>
        <w:t>, the WHO is now performing a surveillance pilot in 14 countries to test the feasibility of using the Global Influenza Surveillance and Response System platform for RSV surveillance and</w:t>
      </w:r>
      <w:r w:rsidR="004F0330">
        <w:rPr>
          <w:rFonts w:ascii="Cambria" w:hAnsi="Cambria"/>
        </w:rPr>
        <w:t xml:space="preserve"> it is expected that</w:t>
      </w:r>
      <w:r w:rsidR="00BE39A7">
        <w:rPr>
          <w:rFonts w:ascii="Cambria" w:hAnsi="Cambria"/>
        </w:rPr>
        <w:t xml:space="preserve"> this pilot will contribute to our understanding of the RSV disease burden and seasonality in different geographical regions</w:t>
      </w:r>
      <w:r w:rsidR="00BE39A7">
        <w:rPr>
          <w:rFonts w:ascii="Cambria" w:hAnsi="Cambria"/>
        </w:rPr>
        <w:fldChar w:fldCharType="begin" w:fldLock="1"/>
      </w:r>
      <w:r w:rsidR="00B707E2">
        <w:rPr>
          <w:rFonts w:ascii="Cambria" w:hAnsi="Cambria"/>
        </w:rPr>
        <w:instrText>ADDIN CSL_CITATION { "citationItems" : [ { "id" : "ITEM-1", "itemData" : { "container-title" : "WHO", "id" : "ITEM-1", "issued" : { "date-parts" : [ [ "2017" ] ] }, "publisher" : "World Health Organization", "title" : "WHO | WHO Global RSV surveillance pilot - objectives", "type" : "article-journal" }, "uris" : [ "http://www.mendeley.com/documents/?uuid=1549f1be-b4b2-30b3-8d27-0dff63c6c79d" ] } ], "mendeley" : { "formattedCitation" : "(121)", "plainTextFormattedCitation" : "(121)", "previouslyFormattedCitation" : "(120)" }, "properties" : { "noteIndex" : 0 }, "schema" : "https://github.com/citation-style-language/schema/raw/master/csl-citation.json" }</w:instrText>
      </w:r>
      <w:r w:rsidR="00BE39A7">
        <w:rPr>
          <w:rFonts w:ascii="Cambria" w:hAnsi="Cambria"/>
        </w:rPr>
        <w:fldChar w:fldCharType="separate"/>
      </w:r>
      <w:r w:rsidR="00B707E2" w:rsidRPr="00B707E2">
        <w:rPr>
          <w:rFonts w:ascii="Cambria" w:hAnsi="Cambria"/>
          <w:noProof/>
        </w:rPr>
        <w:t>(121)</w:t>
      </w:r>
      <w:r w:rsidR="00BE39A7">
        <w:rPr>
          <w:rFonts w:ascii="Cambria" w:hAnsi="Cambria"/>
        </w:rPr>
        <w:fldChar w:fldCharType="end"/>
      </w:r>
      <w:r w:rsidR="00BE39A7">
        <w:rPr>
          <w:rFonts w:ascii="Cambria" w:hAnsi="Cambria"/>
        </w:rPr>
        <w:t>.</w:t>
      </w:r>
    </w:p>
    <w:p w14:paraId="1E0A242E" w14:textId="77777777" w:rsidR="00331B6A" w:rsidRDefault="00331B6A" w:rsidP="00C566BC">
      <w:pPr>
        <w:jc w:val="both"/>
        <w:rPr>
          <w:rFonts w:ascii="Cambria" w:hAnsi="Cambria"/>
        </w:rPr>
      </w:pPr>
    </w:p>
    <w:p w14:paraId="0FCBBCC4" w14:textId="06B7CE40" w:rsidR="006A4445" w:rsidRDefault="005E67BB" w:rsidP="00C566BC">
      <w:pPr>
        <w:jc w:val="both"/>
        <w:rPr>
          <w:rFonts w:ascii="Cambria" w:hAnsi="Cambria"/>
        </w:rPr>
      </w:pPr>
      <w:r w:rsidRPr="00975B33">
        <w:rPr>
          <w:rFonts w:ascii="Cambria" w:hAnsi="Cambria"/>
          <w:u w:val="single"/>
        </w:rPr>
        <w:t>Discussion</w:t>
      </w:r>
      <w:r w:rsidR="006A4445">
        <w:rPr>
          <w:rFonts w:ascii="Cambria" w:hAnsi="Cambria"/>
        </w:rPr>
        <w:tab/>
        <w:t xml:space="preserve"> </w:t>
      </w:r>
    </w:p>
    <w:p w14:paraId="5CF7A174" w14:textId="30514E60" w:rsidR="009F6D97" w:rsidRDefault="006A4445" w:rsidP="00C566BC">
      <w:pPr>
        <w:jc w:val="both"/>
        <w:rPr>
          <w:rFonts w:ascii="Cambria" w:hAnsi="Cambria"/>
        </w:rPr>
      </w:pPr>
      <w:r>
        <w:rPr>
          <w:rFonts w:ascii="Cambria" w:hAnsi="Cambria"/>
        </w:rPr>
        <w:t>Challenges in RSV vaccine design include conce</w:t>
      </w:r>
      <w:r w:rsidR="00BC024B">
        <w:rPr>
          <w:rFonts w:ascii="Cambria" w:hAnsi="Cambria"/>
        </w:rPr>
        <w:t>rns of ERD post-vaccination,</w:t>
      </w:r>
      <w:r>
        <w:rPr>
          <w:rFonts w:ascii="Cambria" w:hAnsi="Cambria"/>
        </w:rPr>
        <w:t xml:space="preserve"> lack of definitive</w:t>
      </w:r>
      <w:r w:rsidR="00F04387">
        <w:rPr>
          <w:rFonts w:ascii="Cambria" w:hAnsi="Cambria"/>
        </w:rPr>
        <w:t xml:space="preserve"> immunologic</w:t>
      </w:r>
      <w:r>
        <w:rPr>
          <w:rFonts w:ascii="Cambria" w:hAnsi="Cambria"/>
        </w:rPr>
        <w:t xml:space="preserve"> correlates of protection, lack of consensus regarding clinical endpoints, and limited natural immunity </w:t>
      </w:r>
      <w:r w:rsidR="001D07B0">
        <w:rPr>
          <w:rFonts w:ascii="Cambria" w:hAnsi="Cambria"/>
        </w:rPr>
        <w:t>following</w:t>
      </w:r>
      <w:r>
        <w:rPr>
          <w:rFonts w:ascii="Cambria" w:hAnsi="Cambria"/>
        </w:rPr>
        <w:t xml:space="preserve"> RSV infection. </w:t>
      </w:r>
      <w:r w:rsidR="00DF3876">
        <w:rPr>
          <w:rFonts w:ascii="Cambria" w:hAnsi="Cambria"/>
        </w:rPr>
        <w:t>Despite</w:t>
      </w:r>
      <w:r>
        <w:rPr>
          <w:rFonts w:ascii="Cambria" w:hAnsi="Cambria"/>
        </w:rPr>
        <w:t xml:space="preserve"> these challenges, recent developments such as </w:t>
      </w:r>
      <w:r w:rsidR="00282C95">
        <w:rPr>
          <w:rFonts w:ascii="Cambria" w:hAnsi="Cambria"/>
        </w:rPr>
        <w:t>an</w:t>
      </w:r>
      <w:r w:rsidR="004F0330">
        <w:rPr>
          <w:rFonts w:ascii="Cambria" w:hAnsi="Cambria"/>
        </w:rPr>
        <w:t xml:space="preserve"> </w:t>
      </w:r>
      <w:r>
        <w:rPr>
          <w:rFonts w:ascii="Cambria" w:hAnsi="Cambria"/>
        </w:rPr>
        <w:t>understanding of the structural biology of the RSV fusion protein as well as lessons learned from late-phase vaccine trial failures</w:t>
      </w:r>
      <w:r w:rsidR="004C65AC">
        <w:rPr>
          <w:rFonts w:ascii="Cambria" w:hAnsi="Cambria"/>
        </w:rPr>
        <w:t xml:space="preserve"> have</w:t>
      </w:r>
      <w:r>
        <w:rPr>
          <w:rFonts w:ascii="Cambria" w:hAnsi="Cambria"/>
        </w:rPr>
        <w:t xml:space="preserve"> infor</w:t>
      </w:r>
      <w:r w:rsidR="00771D2F">
        <w:rPr>
          <w:rFonts w:ascii="Cambria" w:hAnsi="Cambria"/>
        </w:rPr>
        <w:t>m</w:t>
      </w:r>
      <w:r w:rsidR="004C65AC">
        <w:rPr>
          <w:rFonts w:ascii="Cambria" w:hAnsi="Cambria"/>
        </w:rPr>
        <w:t>ed</w:t>
      </w:r>
      <w:r w:rsidR="00771D2F">
        <w:rPr>
          <w:rFonts w:ascii="Cambria" w:hAnsi="Cambria"/>
        </w:rPr>
        <w:t xml:space="preserve"> the field as it moves forward</w:t>
      </w:r>
      <w:r w:rsidR="006E2E5A">
        <w:rPr>
          <w:rFonts w:ascii="Cambria" w:hAnsi="Cambria"/>
        </w:rPr>
        <w:t>.</w:t>
      </w:r>
      <w:r w:rsidR="009F6D97">
        <w:rPr>
          <w:rFonts w:ascii="Cambria" w:hAnsi="Cambria"/>
        </w:rPr>
        <w:t xml:space="preserve"> </w:t>
      </w:r>
    </w:p>
    <w:p w14:paraId="7F7E5E95" w14:textId="45986E48" w:rsidR="00A81B3F" w:rsidRDefault="00C9299C" w:rsidP="00A81B3F">
      <w:pPr>
        <w:ind w:firstLine="720"/>
        <w:jc w:val="both"/>
        <w:rPr>
          <w:rFonts w:ascii="Cambria" w:hAnsi="Cambria"/>
        </w:rPr>
      </w:pPr>
      <w:r>
        <w:rPr>
          <w:rFonts w:ascii="Cambria" w:hAnsi="Cambria"/>
        </w:rPr>
        <w:lastRenderedPageBreak/>
        <w:t xml:space="preserve">We attempted to collect data regarding </w:t>
      </w:r>
      <w:r w:rsidR="0029563E">
        <w:rPr>
          <w:rFonts w:ascii="Cambria" w:hAnsi="Cambria"/>
        </w:rPr>
        <w:t>expected plan</w:t>
      </w:r>
      <w:r w:rsidR="007B054C">
        <w:rPr>
          <w:rFonts w:ascii="Cambria" w:hAnsi="Cambria"/>
        </w:rPr>
        <w:t>s</w:t>
      </w:r>
      <w:r w:rsidR="0029563E">
        <w:rPr>
          <w:rFonts w:ascii="Cambria" w:hAnsi="Cambria"/>
        </w:rPr>
        <w:t xml:space="preserve"> for access to a preventive intervention in </w:t>
      </w:r>
      <w:r w:rsidR="00771D2F">
        <w:rPr>
          <w:rFonts w:ascii="Cambria" w:hAnsi="Cambria"/>
        </w:rPr>
        <w:t>LMIC</w:t>
      </w:r>
      <w:r w:rsidR="0029563E">
        <w:rPr>
          <w:rFonts w:ascii="Cambria" w:hAnsi="Cambria"/>
        </w:rPr>
        <w:t>s</w:t>
      </w:r>
      <w:r w:rsidR="00C817C9">
        <w:rPr>
          <w:rFonts w:ascii="Cambria" w:hAnsi="Cambria"/>
        </w:rPr>
        <w:t xml:space="preserve"> and expected pric</w:t>
      </w:r>
      <w:r w:rsidR="00D37332">
        <w:rPr>
          <w:rFonts w:ascii="Cambria" w:hAnsi="Cambria"/>
        </w:rPr>
        <w:t>ing</w:t>
      </w:r>
      <w:r>
        <w:rPr>
          <w:rFonts w:ascii="Cambria" w:hAnsi="Cambria"/>
        </w:rPr>
        <w:t xml:space="preserve"> for all vaccine candidates</w:t>
      </w:r>
      <w:r w:rsidR="00376DC1">
        <w:rPr>
          <w:rFonts w:ascii="Cambria" w:hAnsi="Cambria"/>
        </w:rPr>
        <w:t>,</w:t>
      </w:r>
      <w:r w:rsidR="00376DC1" w:rsidRPr="00376DC1">
        <w:rPr>
          <w:rFonts w:ascii="Cambria" w:hAnsi="Cambria"/>
        </w:rPr>
        <w:t xml:space="preserve"> </w:t>
      </w:r>
      <w:r w:rsidR="00376DC1">
        <w:rPr>
          <w:rFonts w:ascii="Cambria" w:hAnsi="Cambria"/>
        </w:rPr>
        <w:t xml:space="preserve">however this information </w:t>
      </w:r>
      <w:r w:rsidR="00105FA9">
        <w:rPr>
          <w:rFonts w:ascii="Cambria" w:hAnsi="Cambria"/>
        </w:rPr>
        <w:t>i</w:t>
      </w:r>
      <w:r w:rsidR="00376DC1">
        <w:rPr>
          <w:rFonts w:ascii="Cambria" w:hAnsi="Cambria"/>
        </w:rPr>
        <w:t>s not publicly available</w:t>
      </w:r>
      <w:r>
        <w:rPr>
          <w:rFonts w:ascii="Cambria" w:hAnsi="Cambria"/>
        </w:rPr>
        <w:t>.</w:t>
      </w:r>
      <w:r w:rsidR="001D2C46">
        <w:rPr>
          <w:rFonts w:ascii="Cambria" w:hAnsi="Cambria"/>
        </w:rPr>
        <w:t xml:space="preserve"> </w:t>
      </w:r>
      <w:r w:rsidR="00C817C9">
        <w:rPr>
          <w:rFonts w:ascii="Cambria" w:hAnsi="Cambria"/>
        </w:rPr>
        <w:t>The only information o</w:t>
      </w:r>
      <w:r w:rsidR="00BC024B">
        <w:rPr>
          <w:rFonts w:ascii="Cambria" w:hAnsi="Cambria"/>
        </w:rPr>
        <w:t>btained regarding expected pricing</w:t>
      </w:r>
      <w:r w:rsidR="00C817C9">
        <w:rPr>
          <w:rFonts w:ascii="Cambria" w:hAnsi="Cambria"/>
        </w:rPr>
        <w:t xml:space="preserve"> was for MEDI8897</w:t>
      </w:r>
      <w:r w:rsidR="00DF3876">
        <w:rPr>
          <w:rFonts w:ascii="Cambria" w:hAnsi="Cambria"/>
        </w:rPr>
        <w:t>,</w:t>
      </w:r>
      <w:r w:rsidR="00C817C9">
        <w:rPr>
          <w:rFonts w:ascii="Cambria" w:hAnsi="Cambria"/>
        </w:rPr>
        <w:t xml:space="preserve"> though </w:t>
      </w:r>
      <w:r w:rsidR="00BD0919">
        <w:rPr>
          <w:rFonts w:ascii="Cambria" w:hAnsi="Cambria"/>
        </w:rPr>
        <w:t xml:space="preserve">a </w:t>
      </w:r>
      <w:r w:rsidR="00C817C9">
        <w:rPr>
          <w:rFonts w:ascii="Cambria" w:hAnsi="Cambria"/>
        </w:rPr>
        <w:t xml:space="preserve">more specific estimate than vaccine-like pricing was not available. </w:t>
      </w:r>
      <w:r w:rsidR="007577E7">
        <w:rPr>
          <w:rFonts w:ascii="Cambria" w:hAnsi="Cambria"/>
        </w:rPr>
        <w:t xml:space="preserve">Given that the most severe RSV </w:t>
      </w:r>
      <w:r w:rsidR="004F06ED">
        <w:rPr>
          <w:rFonts w:ascii="Cambria" w:hAnsi="Cambria"/>
        </w:rPr>
        <w:t xml:space="preserve">infection </w:t>
      </w:r>
      <w:r w:rsidR="007577E7">
        <w:rPr>
          <w:rFonts w:ascii="Cambria" w:hAnsi="Cambria"/>
        </w:rPr>
        <w:t xml:space="preserve">occurs in </w:t>
      </w:r>
      <w:r w:rsidR="00BD0919">
        <w:rPr>
          <w:rFonts w:ascii="Cambria" w:hAnsi="Cambria"/>
        </w:rPr>
        <w:t>LMICs</w:t>
      </w:r>
      <w:r w:rsidR="002B3643">
        <w:rPr>
          <w:rFonts w:ascii="Cambria" w:hAnsi="Cambria"/>
        </w:rPr>
        <w:fldChar w:fldCharType="begin" w:fldLock="1"/>
      </w:r>
      <w:r w:rsidR="00AC7A3A">
        <w:rPr>
          <w:rFonts w:ascii="Cambria" w:hAnsi="Cambria"/>
        </w:rPr>
        <w:instrText>ADDIN CSL_CITATION { "citationItems" : [ { "id" : "ITEM-1", "itemData" : { "DOI" : "10.1016/S0140-6736(10)60206-1", "ISSN" : "1474-547X", "PMID" : "20399493", "abstract" : "BACKGROUND: The global burden of disease attributable to respiratory syncytial virus (RSV) remains unknown. We aimed to estimate the global incidence of and mortality from episodes of acute lower respiratory infection (ALRI) due to RSV in children younger than 5 years in 2005.\n\nMETHODS: We estimated the incidence of RSV-associated ALRI in children younger than 5 years, stratified by age, using data from a systematic review of studies published between January, 1995, and June, 2009, and ten unpublished population-based studies. We estimated possible boundaries for RSV-associated ALRI mortality by combining case fatality ratios with incidence estimates from hospital-based reports from published and unpublished studies and identifying studies with population-based data for RSV seasonality and monthly ALRI mortality.\n\nFINDINGS: In 2005, an estimated 33.8 (95% CI 19.3-46.2) million new episodes of RSV-associated ALRI occurred worldwide in children younger than 5 years (22% of ALRI episodes), with at least 3.4 (2.8-4.3) million episodes representing severe RSV-associated ALRI necessitating hospital admission. We estimated that 66 000-199 000 children younger than 5 years died from RSV-associated ALRI in 2005, with 99% of these deaths occurring in developing countries. Incidence and mortality can vary substantially from year to year in any one setting.\n\nINTERPRETATION: Globally, RSV is the most common cause of childhood ALRI and a major cause of admission to hospital as a result of severe ALRI. Mortality data suggest that RSV is an important cause of death in childhood from ALRI, after pneumococcal pneumonia and Haemophilus influenzae type b. The development of novel prevention and treatment strategies should be accelerated as a priority.\n\nFUNDING: WHO; Bill &amp; Melinda Gates Foundation.", "author" : [ { "dropping-particle" : "", "family" : "Nair", "given" : "Harish", "non-dropping-particle" : "", "parse-names" : false, "suffix" : "" }, { "dropping-particle" : "", "family" : "Nokes", "given" : "D James", "non-dropping-particle" : "", "parse-names" : false, "suffix" : "" }, { "dropping-particle" : "", "family" : "Gessner", "given" : "Bradford D", "non-dropping-particle" : "", "parse-names" : false, "suffix" : "" }, { "dropping-particle" : "", "family" : "Dherani", "given" : "Mukesh", "non-dropping-particle" : "", "parse-names" : false, "suffix" : "" }, { "dropping-particle" : "", "family" : "Madhi", "given" : "Shabir a", "non-dropping-particle" : "", "parse-names" : false, "suffix" : "" }, { "dropping-particle" : "", "family" : "Singleton", "given" : "Rosalyn J", "non-dropping-particle" : "", "parse-names" : false, "suffix" : "" }, { "dropping-particle" : "", "family" : "O'Brien", "given" : "Katherine L", "non-dropping-particle" : "", "parse-names" : false, "suffix" : "" }, { "dropping-particle" : "", "family" : "Roca", "given" : "Anna", "non-dropping-particle" : "", "parse-names" : false, "suffix" : "" }, { "dropping-particle" : "", "family" : "Wright", "given" : "Peter F", "non-dropping-particle" : "", "parse-names" : false, "suffix" : "" }, { "dropping-particle" : "", "family" : "Bruce", "given" : "Nigel", "non-dropping-particle" : "", "parse-names" : false, "suffix" : "" }, { "dropping-particle" : "", "family" : "Chandran", "given" : "Aruna", "non-dropping-particle" : "", "parse-names" : false, "suffix" : "" }, { "dropping-particle" : "", "family" : "Theodoratou", "given" : "Evropi", "non-dropping-particle" : "", "parse-names" : false, "suffix" : "" }, { "dropping-particle" : "", "family" : "Sutanto", "given" : "Agustinus", "non-dropping-particle" : "", "parse-names" : false, "suffix" : "" }, { "dropping-particle" : "", "family" : "Sedyaningsih", "given" : "Endang R", "non-dropping-particle" : "", "parse-names" : false, "suffix" : "" }, { "dropping-particle" : "", "family" : "Ngama", "given" : "Mwanajuma", "non-dropping-particle" : "", "parse-names" : false, "suffix" : "" }, { "dropping-particle" : "", "family" : "Munywoki", "given" : "Patrick K", "non-dropping-particle" : "", "parse-names" : false, "suffix" : "" }, { "dropping-particle" : "", "family" : "Kartasasmita", "given" : "Cissy", "non-dropping-particle" : "", "parse-names" : false, "suffix" : "" }, { "dropping-particle" : "", "family" : "Sim\u00f5es", "given" : "Eric a F", "non-dropping-particle" : "", "parse-names" : false, "suffix" : "" }, { "dropping-particle" : "", "family" : "Rudan", "given" : "Igor", "non-dropping-particle" : "", "parse-names" : false, "suffix" : "" }, { "dropping-particle" : "", "family" : "Weber", "given" : "Martin W", "non-dropping-particle" : "", "parse-names" : false, "suffix" : "" }, { "dropping-particle" : "", "family" : "Campbell", "given" : "Harry", "non-dropping-particle" : "", "parse-names" : false, "suffix" : "" } ], "container-title" : "Lancet", "id" : "ITEM-1", "issue" : "9725", "issued" : { "date-parts" : [ [ "2010", "5", "1" ] ] }, "page" : "1545-55", "publisher" : "Elsevier Ltd", "title" : "Global burden of acute lower respiratory infections due to respiratory syncytial virus in young children: a systematic review and meta-analysis.", "type" : "article-journal", "volume" : "375" }, "uris" : [ "http://www.mendeley.com/documents/?uuid=01614334-2173-4113-8091-fcc4b007ab26" ] } ], "mendeley" : { "formattedCitation" : "(17)", "plainTextFormattedCitation" : "(17)", "previouslyFormattedCitation" : "(17)" }, "properties" : { "noteIndex" : 0 }, "schema" : "https://github.com/citation-style-language/schema/raw/master/csl-citation.json" }</w:instrText>
      </w:r>
      <w:r w:rsidR="002B3643">
        <w:rPr>
          <w:rFonts w:ascii="Cambria" w:hAnsi="Cambria"/>
        </w:rPr>
        <w:fldChar w:fldCharType="separate"/>
      </w:r>
      <w:r w:rsidR="009F500F" w:rsidRPr="009F500F">
        <w:rPr>
          <w:rFonts w:ascii="Cambria" w:hAnsi="Cambria"/>
          <w:noProof/>
        </w:rPr>
        <w:t>(17)</w:t>
      </w:r>
      <w:r w:rsidR="002B3643">
        <w:rPr>
          <w:rFonts w:ascii="Cambria" w:hAnsi="Cambria"/>
        </w:rPr>
        <w:fldChar w:fldCharType="end"/>
      </w:r>
      <w:r w:rsidR="007577E7">
        <w:rPr>
          <w:rFonts w:ascii="Cambria" w:hAnsi="Cambria"/>
        </w:rPr>
        <w:t xml:space="preserve">, information regarding </w:t>
      </w:r>
      <w:r w:rsidR="003C082F">
        <w:rPr>
          <w:rFonts w:ascii="Cambria" w:hAnsi="Cambria"/>
        </w:rPr>
        <w:t>LMIC</w:t>
      </w:r>
      <w:r w:rsidR="007577E7">
        <w:rPr>
          <w:rFonts w:ascii="Cambria" w:hAnsi="Cambria"/>
        </w:rPr>
        <w:t xml:space="preserve"> target countries and </w:t>
      </w:r>
      <w:r w:rsidR="00D37332">
        <w:rPr>
          <w:rFonts w:ascii="Cambria" w:hAnsi="Cambria"/>
        </w:rPr>
        <w:t xml:space="preserve">potential pricing for vaccine candidates </w:t>
      </w:r>
      <w:r w:rsidR="007577E7">
        <w:rPr>
          <w:rFonts w:ascii="Cambria" w:hAnsi="Cambria"/>
        </w:rPr>
        <w:t xml:space="preserve">will be essential to </w:t>
      </w:r>
      <w:r w:rsidR="00AD6CDE">
        <w:rPr>
          <w:rFonts w:ascii="Cambria" w:hAnsi="Cambria"/>
        </w:rPr>
        <w:t xml:space="preserve">facilitate </w:t>
      </w:r>
      <w:r w:rsidR="00AC7766">
        <w:rPr>
          <w:rFonts w:ascii="Cambria" w:hAnsi="Cambria"/>
        </w:rPr>
        <w:t xml:space="preserve">access to vaccines worldwide, especially in areas where the mortality burden is highest. </w:t>
      </w:r>
      <w:r w:rsidR="00376DC1">
        <w:rPr>
          <w:rFonts w:ascii="Cambria" w:hAnsi="Cambria"/>
        </w:rPr>
        <w:t>In LMICs the most important target for vaccine candidates is young children</w:t>
      </w:r>
      <w:r w:rsidR="00376DC1">
        <w:rPr>
          <w:rFonts w:ascii="Cambria" w:hAnsi="Cambria"/>
        </w:rPr>
        <w:fldChar w:fldCharType="begin" w:fldLock="1"/>
      </w:r>
      <w:r w:rsidR="00B707E2">
        <w:rPr>
          <w:rFonts w:ascii="Cambria" w:hAnsi="Cambria"/>
        </w:rPr>
        <w:instrText>ADDIN CSL_CITATION { "citationItems" : [ { "id" : "ITEM-1", "itemData" : { "DOI" : "10.1016/j.vaccine.2016.03.109", "ISSN" : "0264410X", "PMID" : "27105562", "abstract" : "Respiratory syncytial virus (RSV) is an important cause of viral lower respiratory tract illness in infants and children globally, but no vaccine is currently available to protect these vulnerable populations. Live-attenuated vaccine approaches have been in development for decades, but achieving the appropriate balance between immunogenicity and safety has proven difficult. Immunoprophylaxis with the neutralizing monoclonal antibody palivizumab is limited to high-risk infants, but cost requirements for multiple dosing make its use impractical in low- and middle-income countries. A growing number of RSV vaccine candidates using a variety of technologies and targeting diverse populations has emerged in recent years. There are now 60 RSV vaccine candidates in development that target pediatric and elderly populations. While most are at a preclinical stage, 16 candidates are in clinical development. This review summarizes current RSV vaccine research and development, including an overview of the vaccine platforms being used, the development stage of individual vaccine candidates, and gaps to be addressed to facilitate use of these vaccines to meet global health needs.", "author" : [ { "dropping-particle" : "", "family" : "Higgins", "given" : "Deborah", "non-dropping-particle" : "", "parse-names" : false, "suffix" : "" }, { "dropping-particle" : "", "family" : "Trujillo", "given" : "Carrie", "non-dropping-particle" : "", "parse-names" : false, "suffix" : "" }, { "dropping-particle" : "", "family" : "Keech", "given" : "Cheryl", "non-dropping-particle" : "", "parse-names" : false, "suffix" : "" } ], "container-title" : "Vaccine", "id" : "ITEM-1", "issue" : "26", "issued" : { "date-parts" : [ [ "2016", "6", "3" ] ] }, "page" : "2870-2875", "title" : "Advances in RSV vaccine research and development \u2013 A global agenda", "type" : "article-journal", "volume" : "34" }, "uris" : [ "http://www.mendeley.com/documents/?uuid=bb1bcb25-1fab-3ba7-a708-8c46026c85a4" ] } ], "mendeley" : { "formattedCitation" : "(122)", "plainTextFormattedCitation" : "(122)", "previouslyFormattedCitation" : "(121)" }, "properties" : { "noteIndex" : 0 }, "schema" : "https://github.com/citation-style-language/schema/raw/master/csl-citation.json" }</w:instrText>
      </w:r>
      <w:r w:rsidR="00376DC1">
        <w:rPr>
          <w:rFonts w:ascii="Cambria" w:hAnsi="Cambria"/>
        </w:rPr>
        <w:fldChar w:fldCharType="separate"/>
      </w:r>
      <w:r w:rsidR="00B707E2" w:rsidRPr="00B707E2">
        <w:rPr>
          <w:rFonts w:ascii="Cambria" w:hAnsi="Cambria"/>
          <w:noProof/>
        </w:rPr>
        <w:t>(122)</w:t>
      </w:r>
      <w:r w:rsidR="00376DC1">
        <w:rPr>
          <w:rFonts w:ascii="Cambria" w:hAnsi="Cambria"/>
        </w:rPr>
        <w:fldChar w:fldCharType="end"/>
      </w:r>
      <w:r w:rsidR="00376DC1">
        <w:rPr>
          <w:rFonts w:ascii="Cambria" w:hAnsi="Cambria"/>
        </w:rPr>
        <w:t>.</w:t>
      </w:r>
      <w:r w:rsidR="001A35FD">
        <w:rPr>
          <w:rFonts w:ascii="Cambria" w:hAnsi="Cambria"/>
        </w:rPr>
        <w:t xml:space="preserve"> </w:t>
      </w:r>
      <w:r w:rsidR="00AC7766">
        <w:rPr>
          <w:rFonts w:ascii="Cambria" w:hAnsi="Cambria"/>
        </w:rPr>
        <w:t>A mechanism should be introduced to ensure that information</w:t>
      </w:r>
      <w:r w:rsidR="00BC024B">
        <w:rPr>
          <w:rFonts w:ascii="Cambria" w:hAnsi="Cambria"/>
        </w:rPr>
        <w:t xml:space="preserve"> regarding expected pricing</w:t>
      </w:r>
      <w:r w:rsidR="0029563E">
        <w:rPr>
          <w:rFonts w:ascii="Cambria" w:hAnsi="Cambria"/>
        </w:rPr>
        <w:t xml:space="preserve"> and access to intervention</w:t>
      </w:r>
      <w:r w:rsidR="00BC024B">
        <w:rPr>
          <w:rFonts w:ascii="Cambria" w:hAnsi="Cambria"/>
        </w:rPr>
        <w:t>s</w:t>
      </w:r>
      <w:r w:rsidR="00AC7766">
        <w:rPr>
          <w:rFonts w:ascii="Cambria" w:hAnsi="Cambria"/>
        </w:rPr>
        <w:t xml:space="preserve"> is</w:t>
      </w:r>
      <w:r w:rsidR="00BD0919">
        <w:rPr>
          <w:rFonts w:ascii="Cambria" w:hAnsi="Cambria"/>
        </w:rPr>
        <w:t xml:space="preserve"> transparent and</w:t>
      </w:r>
      <w:r w:rsidR="00AC7766">
        <w:rPr>
          <w:rFonts w:ascii="Cambria" w:hAnsi="Cambria"/>
        </w:rPr>
        <w:t xml:space="preserve"> </w:t>
      </w:r>
      <w:r w:rsidR="00BD0919">
        <w:rPr>
          <w:rFonts w:ascii="Cambria" w:hAnsi="Cambria"/>
        </w:rPr>
        <w:t xml:space="preserve">available </w:t>
      </w:r>
      <w:r w:rsidR="004B73D0">
        <w:rPr>
          <w:rFonts w:ascii="Cambria" w:hAnsi="Cambria"/>
        </w:rPr>
        <w:t>in the public domain</w:t>
      </w:r>
      <w:r w:rsidR="00AC7766">
        <w:rPr>
          <w:rFonts w:ascii="Cambria" w:hAnsi="Cambria"/>
        </w:rPr>
        <w:t>.</w:t>
      </w:r>
      <w:r w:rsidR="009F6D97">
        <w:rPr>
          <w:rFonts w:ascii="Cambria" w:hAnsi="Cambria"/>
        </w:rPr>
        <w:t xml:space="preserve"> RSV vaccines</w:t>
      </w:r>
      <w:r w:rsidR="001F192A">
        <w:rPr>
          <w:rFonts w:ascii="Cambria" w:hAnsi="Cambria"/>
        </w:rPr>
        <w:t xml:space="preserve"> and mAbs</w:t>
      </w:r>
      <w:r w:rsidR="009F6D97">
        <w:rPr>
          <w:rFonts w:ascii="Cambria" w:hAnsi="Cambria"/>
        </w:rPr>
        <w:t xml:space="preserve"> </w:t>
      </w:r>
      <w:r w:rsidR="001F192A">
        <w:rPr>
          <w:rFonts w:ascii="Cambria" w:hAnsi="Cambria"/>
        </w:rPr>
        <w:t>will be considered</w:t>
      </w:r>
      <w:r w:rsidR="009F6D97">
        <w:rPr>
          <w:rFonts w:ascii="Cambria" w:hAnsi="Cambria"/>
        </w:rPr>
        <w:t xml:space="preserve"> </w:t>
      </w:r>
      <w:r w:rsidR="002B2C6D">
        <w:rPr>
          <w:rFonts w:ascii="Cambria" w:hAnsi="Cambria"/>
        </w:rPr>
        <w:t>in the development of the Vaccine Investment Strategy (VIS) by GAVI in</w:t>
      </w:r>
      <w:r w:rsidR="009F6D97">
        <w:rPr>
          <w:rFonts w:ascii="Cambria" w:hAnsi="Cambria"/>
        </w:rPr>
        <w:t xml:space="preserve"> 2018</w:t>
      </w:r>
      <w:r w:rsidR="001F192A">
        <w:rPr>
          <w:rFonts w:ascii="Cambria" w:hAnsi="Cambria"/>
        </w:rPr>
        <w:fldChar w:fldCharType="begin" w:fldLock="1"/>
      </w:r>
      <w:r w:rsidR="00B707E2">
        <w:rPr>
          <w:rFonts w:ascii="Cambria" w:hAnsi="Cambria"/>
        </w:rPr>
        <w:instrText>ADDIN CSL_CITATION { "citationItems" : [ { "id" : "ITEM-1", "itemData" : { "URL" : "www.gavi.org", "accessed" : { "date-parts" : [ [ "2018", "1", "16" ] ] }, "author" : [ { "dropping-particle" : "", "family" : "Berkley", "given" : "Seth", "non-dropping-particle" : "", "parse-names" : false, "suffix" : "" } ], "id" : "ITEM-1", "issued" : { "date-parts" : [ [ "2017" ] ] }, "title" : "Update from GAVI, the vaccine alliance SAGE meeting", "type" : "webpage" }, "uris" : [ "http://www.mendeley.com/documents/?uuid=a347e2c9-f350-39b0-8853-efc97abfa622" ] } ], "mendeley" : { "formattedCitation" : "(123)", "plainTextFormattedCitation" : "(123)", "previouslyFormattedCitation" : "(122)" }, "properties" : { "noteIndex" : 0 }, "schema" : "https://github.com/citation-style-language/schema/raw/master/csl-citation.json" }</w:instrText>
      </w:r>
      <w:r w:rsidR="001F192A">
        <w:rPr>
          <w:rFonts w:ascii="Cambria" w:hAnsi="Cambria"/>
        </w:rPr>
        <w:fldChar w:fldCharType="separate"/>
      </w:r>
      <w:r w:rsidR="00B707E2" w:rsidRPr="00B707E2">
        <w:rPr>
          <w:rFonts w:ascii="Cambria" w:hAnsi="Cambria"/>
          <w:noProof/>
        </w:rPr>
        <w:t>(123)</w:t>
      </w:r>
      <w:r w:rsidR="001F192A">
        <w:rPr>
          <w:rFonts w:ascii="Cambria" w:hAnsi="Cambria"/>
        </w:rPr>
        <w:fldChar w:fldCharType="end"/>
      </w:r>
      <w:r w:rsidR="009F6D97">
        <w:rPr>
          <w:rFonts w:ascii="Cambria" w:hAnsi="Cambria"/>
        </w:rPr>
        <w:t>.</w:t>
      </w:r>
      <w:r w:rsidR="00A81B3F" w:rsidRPr="00A81B3F">
        <w:rPr>
          <w:rFonts w:ascii="Cambria" w:hAnsi="Cambria"/>
        </w:rPr>
        <w:t xml:space="preserve"> </w:t>
      </w:r>
    </w:p>
    <w:p w14:paraId="2B415D07" w14:textId="23D8D008" w:rsidR="00A81B3F" w:rsidRDefault="00815626" w:rsidP="00A81B3F">
      <w:pPr>
        <w:ind w:firstLine="720"/>
        <w:jc w:val="both"/>
        <w:rPr>
          <w:rFonts w:ascii="Cambria" w:hAnsi="Cambria"/>
        </w:rPr>
      </w:pPr>
      <w:r>
        <w:rPr>
          <w:rFonts w:ascii="Cambria" w:hAnsi="Cambria"/>
        </w:rPr>
        <w:t>A v</w:t>
      </w:r>
      <w:r w:rsidR="00A81B3F">
        <w:rPr>
          <w:rFonts w:ascii="Cambria" w:hAnsi="Cambria"/>
        </w:rPr>
        <w:t>accine trial may</w:t>
      </w:r>
      <w:r w:rsidR="00B55A8F">
        <w:rPr>
          <w:rFonts w:ascii="Cambria" w:hAnsi="Cambria"/>
        </w:rPr>
        <w:t xml:space="preserve"> be</w:t>
      </w:r>
      <w:r w:rsidR="00A81B3F">
        <w:rPr>
          <w:rFonts w:ascii="Cambria" w:hAnsi="Cambria"/>
        </w:rPr>
        <w:t xml:space="preserve"> </w:t>
      </w:r>
      <w:r>
        <w:rPr>
          <w:rFonts w:ascii="Cambria" w:hAnsi="Cambria"/>
        </w:rPr>
        <w:t>considered a</w:t>
      </w:r>
      <w:r w:rsidR="00C90229">
        <w:rPr>
          <w:rFonts w:ascii="Cambria" w:hAnsi="Cambria"/>
        </w:rPr>
        <w:t xml:space="preserve"> probe stud</w:t>
      </w:r>
      <w:r>
        <w:rPr>
          <w:rFonts w:ascii="Cambria" w:hAnsi="Cambria"/>
        </w:rPr>
        <w:t>y</w:t>
      </w:r>
      <w:r w:rsidR="00C90229">
        <w:rPr>
          <w:rFonts w:ascii="Cambria" w:hAnsi="Cambria"/>
        </w:rPr>
        <w:t xml:space="preserve"> to </w:t>
      </w:r>
      <w:r w:rsidR="002B2C6D">
        <w:rPr>
          <w:rFonts w:ascii="Cambria" w:hAnsi="Cambria"/>
        </w:rPr>
        <w:t>determine whether a causal relationship exists</w:t>
      </w:r>
      <w:r>
        <w:rPr>
          <w:rFonts w:ascii="Cambria" w:hAnsi="Cambria"/>
        </w:rPr>
        <w:t xml:space="preserve"> between RSV infection and asthma</w:t>
      </w:r>
      <w:r w:rsidR="00A81B3F">
        <w:rPr>
          <w:rFonts w:ascii="Cambria" w:hAnsi="Cambria"/>
        </w:rPr>
        <w:t xml:space="preserve">, a longstanding question in the field. </w:t>
      </w:r>
      <w:r w:rsidR="00D178ED">
        <w:rPr>
          <w:rFonts w:ascii="Cambria" w:hAnsi="Cambria"/>
        </w:rPr>
        <w:t>If l</w:t>
      </w:r>
      <w:r w:rsidR="00A81B3F">
        <w:rPr>
          <w:rFonts w:ascii="Cambria" w:hAnsi="Cambria"/>
        </w:rPr>
        <w:t xml:space="preserve">ong-term follow-up </w:t>
      </w:r>
      <w:r w:rsidR="00D178ED">
        <w:rPr>
          <w:rFonts w:ascii="Cambria" w:hAnsi="Cambria"/>
        </w:rPr>
        <w:t xml:space="preserve">had been undertaken during </w:t>
      </w:r>
      <w:r w:rsidR="00A81B3F">
        <w:rPr>
          <w:rFonts w:ascii="Cambria" w:hAnsi="Cambria"/>
        </w:rPr>
        <w:t>the</w:t>
      </w:r>
      <w:r w:rsidR="00D178ED">
        <w:rPr>
          <w:rFonts w:ascii="Cambria" w:hAnsi="Cambria"/>
        </w:rPr>
        <w:t xml:space="preserve"> pivotal</w:t>
      </w:r>
      <w:r w:rsidR="00A81B3F">
        <w:rPr>
          <w:rFonts w:ascii="Cambria" w:hAnsi="Cambria"/>
        </w:rPr>
        <w:t xml:space="preserve"> RSV prevention trials using paliviz</w:t>
      </w:r>
      <w:r w:rsidR="00350222">
        <w:rPr>
          <w:rFonts w:ascii="Cambria" w:hAnsi="Cambria"/>
        </w:rPr>
        <w:t>umab</w:t>
      </w:r>
      <w:r w:rsidR="00D178ED">
        <w:rPr>
          <w:rFonts w:ascii="Cambria" w:hAnsi="Cambria"/>
        </w:rPr>
        <w:t>, these trials</w:t>
      </w:r>
      <w:r w:rsidR="00350222">
        <w:rPr>
          <w:rFonts w:ascii="Cambria" w:hAnsi="Cambria"/>
        </w:rPr>
        <w:t xml:space="preserve"> would now have provided 20 years of</w:t>
      </w:r>
      <w:r w:rsidR="00A81B3F">
        <w:rPr>
          <w:rFonts w:ascii="Cambria" w:hAnsi="Cambria"/>
        </w:rPr>
        <w:t xml:space="preserve"> follow-up on respiratory morbidity after RSV prevention in high-risk infants. Lack of long-term surveillance for airway morbidity in vaccine trials are missed opportunities to provide novel scientific insights important not only to understand the pathophysiology but also the long-term vaccine efficacy against airway morbidity following RSV infection. In addition to wheeze, objective outcomes, such as lung function measurements including demonstration of bronchial hyperreactivity and IgE measurements</w:t>
      </w:r>
      <w:r w:rsidR="00BF1F96">
        <w:rPr>
          <w:rFonts w:ascii="Cambria" w:hAnsi="Cambria"/>
        </w:rPr>
        <w:t xml:space="preserve"> will ideally be incorporated</w:t>
      </w:r>
      <w:r w:rsidR="00A81B3F">
        <w:rPr>
          <w:rFonts w:ascii="Cambria" w:hAnsi="Cambria"/>
        </w:rPr>
        <w:t xml:space="preserve"> </w:t>
      </w:r>
      <w:r w:rsidR="007A34FD">
        <w:rPr>
          <w:rFonts w:ascii="Cambria" w:hAnsi="Cambria"/>
        </w:rPr>
        <w:t xml:space="preserve">in vaccine trials </w:t>
      </w:r>
      <w:r w:rsidR="00A81B3F">
        <w:rPr>
          <w:rFonts w:ascii="Cambria" w:hAnsi="Cambria"/>
        </w:rPr>
        <w:t>to fully understand the impact of RSV prevention on asthma development.</w:t>
      </w:r>
      <w:r w:rsidR="00A81B3F" w:rsidRPr="00331B6A">
        <w:rPr>
          <w:rFonts w:ascii="Cambria" w:hAnsi="Cambria"/>
        </w:rPr>
        <w:t xml:space="preserve"> </w:t>
      </w:r>
    </w:p>
    <w:p w14:paraId="3E7BE0AB" w14:textId="0DBA2CD7" w:rsidR="000216D4" w:rsidRDefault="00A81B3F" w:rsidP="00C566BC">
      <w:pPr>
        <w:jc w:val="both"/>
        <w:rPr>
          <w:rFonts w:ascii="Cambria" w:hAnsi="Cambria"/>
        </w:rPr>
      </w:pPr>
      <w:r>
        <w:rPr>
          <w:rFonts w:ascii="Cambria" w:hAnsi="Cambria"/>
        </w:rPr>
        <w:tab/>
      </w:r>
      <w:r w:rsidR="004F0330">
        <w:rPr>
          <w:rFonts w:ascii="Cambria" w:hAnsi="Cambria"/>
        </w:rPr>
        <w:t>V</w:t>
      </w:r>
      <w:r>
        <w:rPr>
          <w:rFonts w:ascii="Cambria" w:hAnsi="Cambria"/>
        </w:rPr>
        <w:t>iral interference, in which RSV inhibits infection by other viruses, is becoming an increasingly important concept to understand in the context of an approved RSV vaccine. RSV vaccination may conceivably result in an increased</w:t>
      </w:r>
      <w:r w:rsidR="00FC6365">
        <w:rPr>
          <w:rFonts w:ascii="Cambria" w:hAnsi="Cambria"/>
        </w:rPr>
        <w:t xml:space="preserve"> or decreased</w:t>
      </w:r>
      <w:r>
        <w:rPr>
          <w:rFonts w:ascii="Cambria" w:hAnsi="Cambria"/>
        </w:rPr>
        <w:t xml:space="preserve"> prevalence of other respiratory viruses. </w:t>
      </w:r>
      <w:r w:rsidR="00F93FE5">
        <w:rPr>
          <w:rFonts w:ascii="Cambria" w:hAnsi="Cambria"/>
        </w:rPr>
        <w:t>There is ev</w:t>
      </w:r>
      <w:r>
        <w:rPr>
          <w:rFonts w:ascii="Cambria" w:hAnsi="Cambria"/>
        </w:rPr>
        <w:t xml:space="preserve">idence </w:t>
      </w:r>
      <w:r w:rsidR="00F93FE5">
        <w:rPr>
          <w:rFonts w:ascii="Cambria" w:hAnsi="Cambria"/>
        </w:rPr>
        <w:t>supporting</w:t>
      </w:r>
      <w:r>
        <w:rPr>
          <w:rFonts w:ascii="Cambria" w:hAnsi="Cambria"/>
        </w:rPr>
        <w:t xml:space="preserve"> viral interference for influenza vaccination</w:t>
      </w:r>
      <w:r>
        <w:rPr>
          <w:rFonts w:ascii="Cambria" w:hAnsi="Cambria"/>
        </w:rPr>
        <w:fldChar w:fldCharType="begin" w:fldLock="1"/>
      </w:r>
      <w:r w:rsidR="00B707E2">
        <w:rPr>
          <w:rFonts w:ascii="Cambria" w:hAnsi="Cambria"/>
        </w:rPr>
        <w:instrText>ADDIN CSL_CITATION { "citationItems" : [ { "id" : "ITEM-1", "itemData" : { "DOI" : "10.1093/cid/cis307", "author" : [ { "dropping-particle" : "", "family" : "Cowling", "given" : "Benjamin J", "non-dropping-particle" : "", "parse-names" : false, "suffix" : "" }, { "dropping-particle" : "", "family" : "Fang", "given" : "Vicky J", "non-dropping-particle" : "", "parse-names" : false, "suffix" : "" }, { "dropping-particle" : "", "family" : "Nishiura", "given" : "Hiroshi", "non-dropping-particle" : "", "parse-names" : false, "suffix" : "" }, { "dropping-particle" : "", "family" : "Chan", "given" : "Kwok-hung", "non-dropping-particle" : "", "parse-names" : false, "suffix" : "" }, { "dropping-particle" : "", "family" : "Ng", "given" : "Sophia", "non-dropping-particle" : "", "parse-names" : false, "suffix" : "" }, { "dropping-particle" : "", "family" : "Ip", "given" : "Dennis K M", "non-dropping-particle" : "", "parse-names" : false, "suffix" : "" }, { "dropping-particle" : "", "family" : "Chiu", "given" : "Susan S", "non-dropping-particle" : "", "parse-names" : false, "suffix" : "" }, { "dropping-particle" : "", "family" : "Leung", "given" : "Gabriel M", "non-dropping-particle" : "", "parse-names" : false, "suffix" : "" }, { "dropping-particle" : "", "family" : "Peiris", "given" : "J S Malik", "non-dropping-particle" : "", "parse-names" : false, "suffix" : "" } ], "id" : "ITEM-1", "issued" : { "date-parts" : [ [ "2012" ] ] }, "page" : "1778-1783", "title" : "Increased Risk of Nonin fl uenza Respiratory Virus Infections Associated With Receipt of Inactivated In fl uenza Vaccine", "type" : "article-journal", "volume" : "54" }, "uris" : [ "http://www.mendeley.com/documents/?uuid=18560d07-03fd-405d-9e7f-2ae83275bc41" ] }, { "id" : "ITEM-2", "itemData" : { "DOI" : "10.1056/NEJM199805143382002", "ISSN" : "0028-4793", "PMID" : "9580647", "abstract" : "BACKGROUND: Influenzavirus vaccine is used infrequently in healthy children, even though the rates of influenza in this group are high. We conducted a multicenter, double-blind, placebo-controlled trial of a live attenuated, cold-adapted, trivalent influenzavirus vaccine in children 15 to 71 months old.\n\nMETHODS: Two hundred eighty-eight children were assigned to receive one dose of vaccine or placebo given by intranasal spray, and 1314 were assigned to receive two doses approximately 60 days apart. The strains included in the vaccine were antigenically equivalent to those in the inactivated influenzavirus vaccine in use at the time. The subjects were monitored with viral cultures for influenza during the subsequent influenza season. A case of influenza was defined as an illness associated with the isolation of wild-type influenzavirus from respiratory secretions.\n\nRESULTS: The intranasal vaccine was accepted and well tolerated. Among children who were initially seronegative, antibody titers increased by a factor of four in 61 to 96 percent, depending on the influenza strain. Culture-positive influenza was significantly less common in the vaccine group (14 cases among 1070 subjects) than the placebo group (95 cases among 532 subjects). The vaccine efficacy was 93 percent (95 percent confidence interval, 88 to 96 percent) against culture-confirmed influenza. Both the one-dose regimen (89 percent efficacy) and the two-dose regimen (94 percent efficacy) were efficacious, and the vaccine was efficacious against both strains of influenza circulating in 1996-1997, A(H3N2) and B. The vaccinated children had significantly fewer febrile illnesses, including 30 percent fewer episodes of febrile otitis media (95 percent confidence interval, 18 to 45 percent; P&lt;0.001).\n\nCONCLUSIONS: A live attenuated, cold-adapted influenzavirus vaccine was safe, immunogenic, and effective against influenza A(H3N2) and B in healthy children.", "author" : [ { "dropping-particle" : "", "family" : "Belshe", "given" : "Robert B.", "non-dropping-particle" : "", "parse-names" : false, "suffix" : "" }, { "dropping-particle" : "", "family" : "Mendelman", "given" : "Paul M.", "non-dropping-particle" : "", "parse-names" : false, "suffix" : "" }, { "dropping-particle" : "", "family" : "Treanor", "given" : "John", "non-dropping-particle" : "", "parse-names" : false, "suffix" : "" }, { "dropping-particle" : "", "family" : "King", "given" : "James", "non-dropping-particle" : "", "parse-names" : false, "suffix" : "" }, { "dropping-particle" : "", "family" : "Gruber", "given" : "William C.", "non-dropping-particle" : "", "parse-names" : false, "suffix" : "" }, { "dropping-particle" : "", "family" : "Piedra", "given" : "Pedro", "non-dropping-particle" : "", "parse-names" : false, "suffix" : "" }, { "dropping-particle" : "", "family" : "Bernstein", "given" : "David I.", "non-dropping-particle" : "", "parse-names" : false, "suffix" : "" }, { "dropping-particle" : "", "family" : "Hayden", "given" : "Frederick G.", "non-dropping-particle" : "", "parse-names" : false, "suffix" : "" }, { "dropping-particle" : "", "family" : "Kotloff", "given" : "Karen", "non-dropping-particle" : "", "parse-names" : false, "suffix" : "" }, { "dropping-particle" : "", "family" : "Zangwill", "given" : "Ken", "non-dropping-particle" : "", "parse-names" : false, "suffix" : "" }, { "dropping-particle" : "", "family" : "Iacuzio", "given" : "Dominick", "non-dropping-particle" : "", "parse-names" : false, "suffix" : "" }, { "dropping-particle" : "", "family" : "Wolff", "given" : "Mark", "non-dropping-particle" : "", "parse-names" : false, "suffix" : "" } ], "container-title" : "New England Journal of Medicine", "id" : "ITEM-2", "issue" : "20", "issued" : { "date-parts" : [ [ "1998", "5", "14" ] ] }, "page" : "1405-1412", "title" : "The Efficacy of Live Attenuated, Cold-Adapted, Trivalent, Intranasal Influenzavirus Vaccine in Children", "type" : "article-journal", "volume" : "338" }, "uris" : [ "http://www.mendeley.com/documents/?uuid=05e79c19-ddd6-4f16-a4eb-616cd71e39e1" ] } ], "mendeley" : { "formattedCitation" : "(124,125)", "plainTextFormattedCitation" : "(124,125)", "previouslyFormattedCitation" : "(123,124)" }, "properties" : { "noteIndex" : 0 }, "schema" : "https://github.com/citation-style-language/schema/raw/master/csl-citation.json" }</w:instrText>
      </w:r>
      <w:r>
        <w:rPr>
          <w:rFonts w:ascii="Cambria" w:hAnsi="Cambria"/>
        </w:rPr>
        <w:fldChar w:fldCharType="separate"/>
      </w:r>
      <w:r w:rsidR="00B707E2" w:rsidRPr="00B707E2">
        <w:rPr>
          <w:rFonts w:ascii="Cambria" w:hAnsi="Cambria"/>
          <w:noProof/>
        </w:rPr>
        <w:t>(124,125)</w:t>
      </w:r>
      <w:r>
        <w:rPr>
          <w:rFonts w:ascii="Cambria" w:hAnsi="Cambria"/>
        </w:rPr>
        <w:fldChar w:fldCharType="end"/>
      </w:r>
      <w:r>
        <w:rPr>
          <w:rFonts w:ascii="Cambria" w:hAnsi="Cambria"/>
        </w:rPr>
        <w:t>, for RSV prevention</w:t>
      </w:r>
      <w:r>
        <w:rPr>
          <w:rFonts w:ascii="Cambria" w:hAnsi="Cambria"/>
        </w:rPr>
        <w:fldChar w:fldCharType="begin" w:fldLock="1"/>
      </w:r>
      <w:r w:rsidR="00B707E2">
        <w:rPr>
          <w:rFonts w:ascii="Cambria" w:hAnsi="Cambria"/>
        </w:rPr>
        <w:instrText>ADDIN CSL_CITATION { "citationItems" : [ { "id" : "ITEM-1", "itemData" : { "DOI" : "10.1093/infdis/jix031", "ISSN" : "0022-1899", "PMID" : "28368456", "abstract" : "Background Respiratory syncytial virus (RSV) and human rhinovirus (HRV) are the most common viruses associated with acute respiratory tract infections in infancy. Viral interference is important in understanding respiratory viral circulation and the impact of vaccines. Methods To study viral interference, we evaluated cases of RSV and HRV codetection by polymerase chain reaction in 2 prospective birth cohort studies (the Infant Susceptibility to Pulmonary Infections and Asthma Following RSV Exposure [INSPIRE] study and the Tennessee Children's Respiratory Initiative [TCRI]) and a double-blinded, randomized, controlled trial (MAKI), using adjusted multivariable regression analyses. Results Among 3263 respiratory tract samples, 24.5% (798) and 37.3% (1216) were RSV and HRV positive, respectively. The odds of HRV infection were significantly lower in RSV-infected infants in all cohorts, with adjusted odds ratios of 0.30 (95% confidence interval [CI], .22-.40 in the INSPIRE study, 0.18 (95% CI, .11-.28) in the TCRI (adjusted for disease severity), and 0.34 (95% CI, .16-.72) in the MAKI trial. HRV infection was significantly more common among infants administered RSV immunoprophylaxis, compared with infants who did not receive immunoprophylaxis (OR, 1.65; 95% CI, 1.65-2.39). Conclusions A negative association of RSV on HRV codetection was consistently observed across populations, seasons, disease severity, and geographical regions. Suppressing RSV infection by RSV immunoprophylaxis might increase the risk of having HRV infection.", "author" : [ { "dropping-particle" : "", "family" : "Achten", "given" : "Niek B.", "non-dropping-particle" : "", "parse-names" : false, "suffix" : "" }, { "dropping-particle" : "", "family" : "Wu", "given" : "Pingsheng", "non-dropping-particle" : "", "parse-names" : false, "suffix" : "" }, { "dropping-particle" : "", "family" : "Bont", "given" : "Louis", "non-dropping-particle" : "", "parse-names" : false, "suffix" : "" }, { "dropping-particle" : "", "family" : "Blanken", "given" : "Maarten O.", "non-dropping-particle" : "", "parse-names" : false, "suffix" : "" }, { "dropping-particle" : "", "family" : "Gebretsadik", "given" : "Tebeb", "non-dropping-particle" : "", "parse-names" : false, "suffix" : "" }, { "dropping-particle" : "", "family" : "Chappell", "given" : "James D.", "non-dropping-particle" : "", "parse-names" : false, "suffix" : "" }, { "dropping-particle" : "", "family" : "Wang", "given" : "Li", "non-dropping-particle" : "", "parse-names" : false, "suffix" : "" }, { "dropping-particle" : "", "family" : "Yu", "given" : "Chang", "non-dropping-particle" : "", "parse-names" : false, "suffix" : "" }, { "dropping-particle" : "", "family" : "Larkin", "given" : "Emma K.", "non-dropping-particle" : "", "parse-names" : false, "suffix" : "" }, { "dropping-particle" : "", "family" : "Carroll", "given" : "Kecia N.", "non-dropping-particle" : "", "parse-names" : false, "suffix" : "" }, { "dropping-particle" : "", "family" : "Anderson", "given" : "Larry J.", "non-dropping-particle" : "", "parse-names" : false, "suffix" : "" }, { "dropping-particle" : "", "family" : "Moore", "given" : "Martin L.", "non-dropping-particle" : "", "parse-names" : false, "suffix" : "" }, { "dropping-particle" : "", "family" : "Sloan", "given" : "Chantel D.", "non-dropping-particle" : "", "parse-names" : false, "suffix" : "" }, { "dropping-particle" : "V.", "family" : "Hartert", "given" : "Tina", "non-dropping-particle" : "", "parse-names" : false, "suffix" : "" } ], "container-title" : "The Journal of Infectious Diseases", "id" : "ITEM-1", "issue" : "7", "issued" : { "date-parts" : [ [ "2017", "4", "1" ] ] }, "page" : "1102-1106", "title" : "Interference Between Respiratory Syncytial Virus and Human Rhinovirus Infection in Infancy", "type" : "article-journal", "volume" : "215" }, "uris" : [ "http://www.mendeley.com/documents/?uuid=7623c2cd-f218-3466-b125-c7893db08ba1" ] }, { "id" : "ITEM-2", "itemData" : { "DOI" : "10.1056/NEJMoa1211917", "ISBN" : "1533-4406 (Electronic)\\n0028-4793 (Linking)", "ISSN" : "1533-4406", "PMID" : "23656644", "abstract" : "BACKGROUND: Respiratory syncytial virus (RSV) infection is associated with subsequent recurrent wheeze. Observational studies cannot determine whether RSV infection is the cause of recurrent wheeze or the first indication of preexistent pulmonary vulnerability in preterm infants. The monoclonal antibody palivizumab has shown efficacy in preventing severe RSV infection in high-risk infants.\\n\\nMETHODS: In the double-blind, placebo-controlled MAKI trial, we randomly assigned 429 otherwise healthy preterm infants born at a gestational age of 33 to 35 weeks to receive either monthly palivizumab injections (214 infants) or placebo (215 infants) during the RSV season. The prespecified primary outcome was the total number of parent-reported wheezing days in the first year of life. Nasopharyngeal swabs were taken during respiratory episodes for viral analysis.\\n\\nRESULTS: Palivizumab treatment resulted in a relative reduction of 61% (95% confidence interval, 56 to 65) in the total number of wheezing days during the first year of life (930 of 53,075 days in the RSV-prevention group [1.8%] vs. 2309 of 51,726 days [4.5%] in the placebo group). During this time, the proportion of infants with recurrent wheeze was 10 percentage points lower in patients treated with palivizumab (11% vs. 21%, P=0.01).\\n\\nCONCLUSIONS: In otherwise healthy preterm infants, palivizumab treatment resulted in a significant reduction in wheezing days during the first year of life, even after the end of treatment. These findings implicate RSV infection as an important mechanism of recurrent wheeze during the first year of life in such infants. (Funded by Abbott Laboratories and by the Netherlands Organization for Health Research and Development; MAKI Controlled Clinical Trials number, ISRCTN73641710.).", "author" : [ { "dropping-particle" : "", "family" : "Blanken", "given" : "Maarten O", "non-dropping-particle" : "", "parse-names" : false, "suffix" : "" }, { "dropping-particle" : "", "family" : "Rovers", "given" : "Maroeska M", "non-dropping-particle" : "", "parse-names" : false, "suffix" : "" }, { "dropping-particle" : "", "family" : "Molenaar", "given" : "Jorine M", "non-dropping-particle" : "", "parse-names" : false, "suffix" : "" }, { "dropping-particle" : "", "family" : "Winkler-Seinstra", "given" : "Pauline L", "non-dropping-particle" : "", "parse-names" : false, "suffix" : "" }, { "dropping-particle" : "", "family" : "Meijer", "given" : "Adam", "non-dropping-particle" : "", "parse-names" : false, "suffix" : "" }, { "dropping-particle" : "", "family" : "Kimpen", "given" : "Jan L L", "non-dropping-particle" : "", "parse-names" : false, "suffix" : "" }, { "dropping-particle" : "", "family" : "Bont", "given" : "Louis", "non-dropping-particle" : "", "parse-names" : false, "suffix" : "" } ], "container-title" : "The New England journal of medicine", "id" : "ITEM-2", "issued" : { "date-parts" : [ [ "2013" ] ] }, "page" : "1791-9", "title" : "Respiratory syncytial virus and recurrent wheeze in healthy preterm infants.", "type" : "article-journal", "volume" : "368" }, "uris" : [ "http://www.mendeley.com/documents/?uuid=db73e0bf-45f3-4b14-af35-4aba429e85ee" ] } ], "mendeley" : { "formattedCitation" : "(126,127)", "plainTextFormattedCitation" : "(126,127)", "previouslyFormattedCitation" : "(125,126)" }, "properties" : { "noteIndex" : 0 }, "schema" : "https://github.com/citation-style-language/schema/raw/master/csl-citation.json" }</w:instrText>
      </w:r>
      <w:r>
        <w:rPr>
          <w:rFonts w:ascii="Cambria" w:hAnsi="Cambria"/>
        </w:rPr>
        <w:fldChar w:fldCharType="separate"/>
      </w:r>
      <w:r w:rsidR="00B707E2" w:rsidRPr="00B707E2">
        <w:rPr>
          <w:rFonts w:ascii="Cambria" w:hAnsi="Cambria"/>
          <w:noProof/>
        </w:rPr>
        <w:t>(126,127)</w:t>
      </w:r>
      <w:r>
        <w:rPr>
          <w:rFonts w:ascii="Cambria" w:hAnsi="Cambria"/>
        </w:rPr>
        <w:fldChar w:fldCharType="end"/>
      </w:r>
      <w:r>
        <w:rPr>
          <w:rFonts w:ascii="Cambria" w:hAnsi="Cambria"/>
        </w:rPr>
        <w:t>, and during</w:t>
      </w:r>
      <w:r w:rsidR="00D178ED">
        <w:rPr>
          <w:rFonts w:ascii="Cambria" w:hAnsi="Cambria"/>
        </w:rPr>
        <w:t xml:space="preserve"> the</w:t>
      </w:r>
      <w:r>
        <w:rPr>
          <w:rFonts w:ascii="Cambria" w:hAnsi="Cambria"/>
        </w:rPr>
        <w:t xml:space="preserve"> RSV season</w:t>
      </w:r>
      <w:r w:rsidR="00AC7EB3" w:rsidRPr="00AC7EB3">
        <w:rPr>
          <w:rFonts w:ascii="Cambria" w:hAnsi="Cambria"/>
        </w:rPr>
        <w:t xml:space="preserve"> </w:t>
      </w:r>
      <w:r w:rsidR="00AC7EB3">
        <w:rPr>
          <w:rFonts w:ascii="Cambria" w:hAnsi="Cambria"/>
        </w:rPr>
        <w:t xml:space="preserve">in the absence of RSV </w:t>
      </w:r>
      <w:r>
        <w:rPr>
          <w:rFonts w:ascii="Cambria" w:hAnsi="Cambria"/>
        </w:rPr>
        <w:fldChar w:fldCharType="begin" w:fldLock="1"/>
      </w:r>
      <w:r w:rsidR="00B707E2">
        <w:rPr>
          <w:rFonts w:ascii="Cambria" w:hAnsi="Cambria"/>
        </w:rPr>
        <w:instrText>ADDIN CSL_CITATION { "citationItems" : [ { "id" : "ITEM-1", "itemData" : { "DOI" : "10.1093/cid/ciw756", "PMID" : "27927871", "abstract" : "Background Molecular diagnostics enable sensitive detection of respiratory viruses, but their clinical significance remains unclear in pediatric lower respiratory tract infection (LRTI). We aimed to determine whether viral coinfections increased life-threatening disease in a large cohort. Methods Molecular testing was performed for respiratory viruses in nasopharyngeal aspirates collected from children aged &lt;5 years within 24 hours of hospital admission during sentinel surveillance for severe acute respiratory illness (SARI) hospitalization conducted in South Africa during February 2009-December 2013. The primary outcome was life-threatening disease, defined as mechanical ventilation, intensive care unit admission, or death. Results Of 2322 HIV-uninfected children with respiratory syncytial virus (RSV)-associated LRTI, 1330 (57.3%) had RSV monoinfection, 38 (1.6%) had life-threatening disease, 575 (24.8%) had rhinovirus, 347 (14.9%) had adenovirus (ADV), and 30 (1.3%) had influenza virus. RSV and any other viral coinfection was not associated with severe disease (odds ratio [OR], 1.4; 95% confidence interval [CI], OR, 0.74; 95% CI, .39-1.4), ADV coinfection had increased odds of life-threatening disease (adjusted OR, 3.4; 95% CI, 1.6-7.2; P = .001), and influenza coinfection had increased odds of life-threatening disease and prolonged length of stay (adjusted OR, 2.1; 95% CI, 1.0-4.5; P = .05) compared with RSV monoinfection. Conclusions RSV coinfection with any respiratory virus is not associated with more severe disease when compared to RSV alone in this study. However, increased life-threatening disease in RSV-ADV and RSV-influenza coinfection warrants further study.", "author" : [ { "dropping-particle" : "", "family" : "Mazur", "given" : "Natalie I.", "non-dropping-particle" : "", "parse-names" : false, "suffix" : "" }, { "dropping-particle" : "", "family" : "Bont", "given" : "Louis", "non-dropping-particle" : "", "parse-names" : false, "suffix" : "" }, { "dropping-particle" : "", "family" : "Cohen", "given" : "Adam L.", "non-dropping-particle" : "", "parse-names" : false, "suffix" : "" }, { "dropping-particle" : "", "family" : "Cohen", "given" : "Cheryl", "non-dropping-particle" : "", "parse-names" : false, "suffix" : "" }, { "dropping-particle" : "", "family" : "Gottberg", "given" : "Anne", "non-dropping-particle" : "von", "parse-names" : false, "suffix" : "" }, { "dropping-particle" : "", "family" : "Groome", "given" : "Michelle J.", "non-dropping-particle" : "", "parse-names" : false, "suffix" : "" }, { "dropping-particle" : "", "family" : "Hellferscee", "given" : "Orienka", "non-dropping-particle" : "", "parse-names" : false, "suffix" : "" }, { "dropping-particle" : "", "family" : "Klipstein-Grobusch", "given" : "Kerstin", "non-dropping-particle" : "", "parse-names" : false, "suffix" : "" }, { "dropping-particle" : "", "family" : "Mekgoe", "given" : "Omphile", "non-dropping-particle" : "", "parse-names" : false, "suffix" : "" }, { "dropping-particle" : "", "family" : "Naby", "given" : "Fathima", "non-dropping-particle" : "", "parse-names" : false, "suffix" : "" }, { "dropping-particle" : "", "family" : "Moyes", "given" : "Jocelyn", "non-dropping-particle" : "", "parse-names" : false, "suffix" : "" }, { "dropping-particle" : "", "family" : "Tempia", "given" : "Stefano", "non-dropping-particle" : "", "parse-names" : false, "suffix" : "" }, { "dropping-particle" : "", "family" : "Treurnicht", "given" : "Florette K.", "non-dropping-particle" : "", "parse-names" : false, "suffix" : "" }, { "dropping-particle" : "", "family" : "Venter", "given" : "Marietje", "non-dropping-particle" : "", "parse-names" : false, "suffix" : "" }, { "dropping-particle" : "", "family" : "Walaza", "given" : "Sibongile", "non-dropping-particle" : "", "parse-names" : false, "suffix" : "" }, { "dropping-particle" : "", "family" : "Wolter", "given" : "Nicole", "non-dropping-particle" : "", "parse-names" : false, "suffix" : "" }, { "dropping-particle" : "", "family" : "Madhi", "given" : "Shabir A.", "non-dropping-particle" : "", "parse-names" : false, "suffix" : "" }, { "dropping-particle" : "", "family" : "South African Severe Acute Respiratory Illness (SARI) Surveillance Group", "given" : "", "non-dropping-particle" : "", "parse-names" : false, "suffix" : "" } ], "container-title" : "Clinical Infectious Diseases", "id" : "ITEM-1", "issue" : "4", "issued" : { "date-parts" : [ [ "2016", "12", "7" ] ] }, "page" : "443-450", "title" : "Severity of Respiratory Syncytial Virus Lower Respiratory Tract Infection With Viral Coinfection in HIV-Uninfected Children", "type" : "article-journal", "volume" : "64" }, "uris" : [ "http://www.mendeley.com/documents/?uuid=5ac8c3ed-b3b1-3f46-a26d-2d6af59cfddf" ] } ], "mendeley" : { "formattedCitation" : "(128)", "plainTextFormattedCitation" : "(128)", "previouslyFormattedCitation" : "(127)" }, "properties" : { "noteIndex" : 0 }, "schema" : "https://github.com/citation-style-language/schema/raw/master/csl-citation.json" }</w:instrText>
      </w:r>
      <w:r>
        <w:rPr>
          <w:rFonts w:ascii="Cambria" w:hAnsi="Cambria"/>
        </w:rPr>
        <w:fldChar w:fldCharType="separate"/>
      </w:r>
      <w:r w:rsidR="00B707E2" w:rsidRPr="00B707E2">
        <w:rPr>
          <w:rFonts w:ascii="Cambria" w:hAnsi="Cambria"/>
          <w:noProof/>
        </w:rPr>
        <w:t>(128)</w:t>
      </w:r>
      <w:r>
        <w:rPr>
          <w:rFonts w:ascii="Cambria" w:hAnsi="Cambria"/>
        </w:rPr>
        <w:fldChar w:fldCharType="end"/>
      </w:r>
      <w:r>
        <w:rPr>
          <w:rFonts w:ascii="Cambria" w:hAnsi="Cambria"/>
        </w:rPr>
        <w:t>. It is important for vaccine trials to examine this phenomenon</w:t>
      </w:r>
      <w:r w:rsidR="00D178ED">
        <w:rPr>
          <w:rFonts w:ascii="Cambria" w:hAnsi="Cambria"/>
        </w:rPr>
        <w:t xml:space="preserve"> by evaluating the incidence of all-cause LRI, as well as RSV-specific LRI,</w:t>
      </w:r>
      <w:r>
        <w:rPr>
          <w:rFonts w:ascii="Cambria" w:hAnsi="Cambria"/>
        </w:rPr>
        <w:t xml:space="preserve"> to better understand the implications of viral interference for an RSV vaccine.</w:t>
      </w:r>
    </w:p>
    <w:p w14:paraId="2FF95D2A" w14:textId="756D8228" w:rsidR="007E7841" w:rsidRDefault="007E7841" w:rsidP="00C566BC">
      <w:pPr>
        <w:jc w:val="both"/>
        <w:rPr>
          <w:rFonts w:ascii="Cambria" w:hAnsi="Cambria"/>
        </w:rPr>
      </w:pPr>
      <w:r>
        <w:rPr>
          <w:rFonts w:ascii="Cambria" w:hAnsi="Cambria"/>
        </w:rPr>
        <w:tab/>
        <w:t xml:space="preserve">This review provides an extensive overview of </w:t>
      </w:r>
      <w:r w:rsidR="002D1CAE">
        <w:rPr>
          <w:rFonts w:ascii="Cambria" w:hAnsi="Cambria"/>
        </w:rPr>
        <w:t>the 1</w:t>
      </w:r>
      <w:r w:rsidR="004F0330">
        <w:rPr>
          <w:rFonts w:ascii="Cambria" w:hAnsi="Cambria"/>
        </w:rPr>
        <w:t>9</w:t>
      </w:r>
      <w:r>
        <w:rPr>
          <w:rFonts w:ascii="Cambria" w:hAnsi="Cambria"/>
        </w:rPr>
        <w:t xml:space="preserve"> vaccine candidates</w:t>
      </w:r>
      <w:r w:rsidR="002D1CAE">
        <w:rPr>
          <w:rFonts w:ascii="Cambria" w:hAnsi="Cambria"/>
        </w:rPr>
        <w:t xml:space="preserve"> and </w:t>
      </w:r>
      <w:r w:rsidR="004F0330">
        <w:rPr>
          <w:rFonts w:ascii="Cambria" w:hAnsi="Cambria"/>
        </w:rPr>
        <w:t>mAbs</w:t>
      </w:r>
      <w:r>
        <w:rPr>
          <w:rFonts w:ascii="Cambria" w:hAnsi="Cambria"/>
        </w:rPr>
        <w:t xml:space="preserve"> in clinical trials</w:t>
      </w:r>
      <w:r w:rsidR="002D1CAE">
        <w:rPr>
          <w:rFonts w:ascii="Cambria" w:hAnsi="Cambria"/>
        </w:rPr>
        <w:t xml:space="preserve"> to prevent RSV</w:t>
      </w:r>
      <w:r w:rsidR="004F06ED">
        <w:rPr>
          <w:rFonts w:ascii="Cambria" w:hAnsi="Cambria"/>
        </w:rPr>
        <w:t xml:space="preserve"> infection</w:t>
      </w:r>
      <w:r w:rsidR="002D1CAE">
        <w:rPr>
          <w:rFonts w:ascii="Cambria" w:hAnsi="Cambria"/>
        </w:rPr>
        <w:t>.</w:t>
      </w:r>
      <w:r w:rsidR="000216D4">
        <w:rPr>
          <w:rFonts w:ascii="Cambria" w:hAnsi="Cambria"/>
        </w:rPr>
        <w:t xml:space="preserve"> </w:t>
      </w:r>
      <w:r w:rsidR="002C67B2">
        <w:rPr>
          <w:rFonts w:ascii="Cambria" w:hAnsi="Cambria"/>
        </w:rPr>
        <w:t xml:space="preserve"> RSV vaccine development is moving rapidly</w:t>
      </w:r>
      <w:r w:rsidR="005B501B">
        <w:rPr>
          <w:rFonts w:ascii="Cambria" w:hAnsi="Cambria"/>
        </w:rPr>
        <w:t xml:space="preserve"> and shows promise to address an unmet global health problem. Vaccines for </w:t>
      </w:r>
      <w:r w:rsidR="00AC7EB3">
        <w:rPr>
          <w:rFonts w:ascii="Cambria" w:hAnsi="Cambria"/>
        </w:rPr>
        <w:t>various</w:t>
      </w:r>
      <w:r w:rsidR="005B501B">
        <w:rPr>
          <w:rFonts w:ascii="Cambria" w:hAnsi="Cambria"/>
        </w:rPr>
        <w:t xml:space="preserve"> target populations are in </w:t>
      </w:r>
      <w:r w:rsidR="005D2D8C">
        <w:rPr>
          <w:rFonts w:ascii="Cambria" w:hAnsi="Cambria"/>
        </w:rPr>
        <w:t>clinical development</w:t>
      </w:r>
      <w:r w:rsidR="005B501B">
        <w:rPr>
          <w:rFonts w:ascii="Cambria" w:hAnsi="Cambria"/>
        </w:rPr>
        <w:t xml:space="preserve">. </w:t>
      </w:r>
      <w:r w:rsidR="005D2D8C">
        <w:rPr>
          <w:rFonts w:ascii="Cambria" w:hAnsi="Cambria"/>
        </w:rPr>
        <w:t xml:space="preserve">One vaccine candidate and one mAb are in late phase trials (IIb/III) and aim to </w:t>
      </w:r>
      <w:r w:rsidR="00B13827">
        <w:rPr>
          <w:rFonts w:ascii="Cambria" w:hAnsi="Cambria"/>
        </w:rPr>
        <w:t xml:space="preserve">prevent </w:t>
      </w:r>
      <w:r w:rsidR="005D2D8C">
        <w:rPr>
          <w:rFonts w:ascii="Cambria" w:hAnsi="Cambria"/>
        </w:rPr>
        <w:t xml:space="preserve">the disease burden in young infants. </w:t>
      </w:r>
      <w:r w:rsidR="00CC6C8E">
        <w:rPr>
          <w:rFonts w:ascii="Cambria" w:hAnsi="Cambria"/>
        </w:rPr>
        <w:t>Despite some recent failures, RSV vaccine</w:t>
      </w:r>
      <w:r w:rsidR="0052005C">
        <w:rPr>
          <w:rFonts w:ascii="Cambria" w:hAnsi="Cambria"/>
        </w:rPr>
        <w:t xml:space="preserve"> candidates and mAbs</w:t>
      </w:r>
      <w:r w:rsidR="00382D66">
        <w:rPr>
          <w:rFonts w:ascii="Cambria" w:hAnsi="Cambria"/>
        </w:rPr>
        <w:t>,</w:t>
      </w:r>
      <w:r w:rsidR="00CC6C8E">
        <w:rPr>
          <w:rFonts w:ascii="Cambria" w:hAnsi="Cambria"/>
        </w:rPr>
        <w:t xml:space="preserve"> </w:t>
      </w:r>
      <w:r w:rsidR="00211589">
        <w:rPr>
          <w:rFonts w:ascii="Cambria" w:hAnsi="Cambria"/>
        </w:rPr>
        <w:t xml:space="preserve">in clinical development </w:t>
      </w:r>
      <w:r w:rsidR="00CC6C8E">
        <w:rPr>
          <w:rFonts w:ascii="Cambria" w:hAnsi="Cambria"/>
        </w:rPr>
        <w:t>hold the</w:t>
      </w:r>
      <w:r w:rsidR="00A85207">
        <w:rPr>
          <w:rFonts w:ascii="Cambria" w:hAnsi="Cambria"/>
        </w:rPr>
        <w:t xml:space="preserve"> promise that a</w:t>
      </w:r>
      <w:r w:rsidR="000E4F2B">
        <w:rPr>
          <w:rFonts w:ascii="Cambria" w:hAnsi="Cambria"/>
        </w:rPr>
        <w:t xml:space="preserve"> preventive intervention for </w:t>
      </w:r>
      <w:r w:rsidR="00A85207">
        <w:rPr>
          <w:rFonts w:ascii="Cambria" w:hAnsi="Cambria"/>
        </w:rPr>
        <w:t>RSV</w:t>
      </w:r>
      <w:r w:rsidR="000E4F2B">
        <w:rPr>
          <w:rFonts w:ascii="Cambria" w:hAnsi="Cambria"/>
        </w:rPr>
        <w:t xml:space="preserve"> is on the horizon.</w:t>
      </w:r>
    </w:p>
    <w:p w14:paraId="0EC169B8" w14:textId="77777777" w:rsidR="00DA0F7A" w:rsidRDefault="00DA0F7A" w:rsidP="00C566BC">
      <w:pPr>
        <w:jc w:val="both"/>
        <w:rPr>
          <w:rFonts w:ascii="Cambria" w:hAnsi="Cambria"/>
        </w:rPr>
      </w:pPr>
    </w:p>
    <w:p w14:paraId="5FA09611" w14:textId="77777777" w:rsidR="00346039" w:rsidRDefault="00346039" w:rsidP="00705567">
      <w:pPr>
        <w:rPr>
          <w:rFonts w:ascii="Cambria" w:hAnsi="Cambria"/>
        </w:rPr>
      </w:pPr>
      <w:r>
        <w:rPr>
          <w:rFonts w:ascii="Cambria" w:hAnsi="Cambria"/>
        </w:rPr>
        <w:br w:type="page"/>
      </w:r>
    </w:p>
    <w:p w14:paraId="78EFBE05" w14:textId="6A9134B9" w:rsidR="005E67BB" w:rsidRPr="0070039D" w:rsidRDefault="005E67BB" w:rsidP="007750C2">
      <w:pPr>
        <w:jc w:val="both"/>
        <w:rPr>
          <w:rFonts w:ascii="Cambria" w:hAnsi="Cambria"/>
          <w:u w:val="single"/>
        </w:rPr>
      </w:pPr>
      <w:r w:rsidRPr="0070039D">
        <w:rPr>
          <w:rFonts w:ascii="Cambria" w:hAnsi="Cambria"/>
          <w:u w:val="single"/>
        </w:rPr>
        <w:lastRenderedPageBreak/>
        <w:t>Acknowledgements</w:t>
      </w:r>
    </w:p>
    <w:p w14:paraId="627DCD9D" w14:textId="70962A4F" w:rsidR="001769C1" w:rsidRDefault="00522B83" w:rsidP="009B6291">
      <w:pPr>
        <w:rPr>
          <w:rFonts w:ascii="Cambria" w:hAnsi="Cambria"/>
        </w:rPr>
        <w:sectPr w:rsidR="001769C1" w:rsidSect="0026308F">
          <w:pgSz w:w="12240" w:h="15840"/>
          <w:pgMar w:top="1440" w:right="1800" w:bottom="1440" w:left="1800" w:header="720" w:footer="720" w:gutter="0"/>
          <w:lnNumType w:countBy="1" w:restart="continuous"/>
          <w:cols w:space="720"/>
        </w:sectPr>
      </w:pPr>
      <w:r>
        <w:rPr>
          <w:rFonts w:ascii="Cambria" w:hAnsi="Cambria"/>
        </w:rPr>
        <w:t>We woul</w:t>
      </w:r>
      <w:r w:rsidR="00067DFD">
        <w:rPr>
          <w:rFonts w:ascii="Cambria" w:hAnsi="Cambria"/>
        </w:rPr>
        <w:t>d like to acknowledge Ichelle van Roessel, Emily Phijffer, and Juliette Simons for</w:t>
      </w:r>
      <w:r w:rsidR="007750C2">
        <w:rPr>
          <w:rFonts w:ascii="Cambria" w:hAnsi="Cambria"/>
        </w:rPr>
        <w:t xml:space="preserve"> excellent</w:t>
      </w:r>
      <w:r w:rsidR="00067DFD">
        <w:rPr>
          <w:rFonts w:ascii="Cambria" w:hAnsi="Cambria"/>
        </w:rPr>
        <w:t xml:space="preserve"> assistance collecting data for the manuscri</w:t>
      </w:r>
      <w:r w:rsidR="00206420">
        <w:rPr>
          <w:rFonts w:ascii="Cambria" w:hAnsi="Cambria"/>
        </w:rPr>
        <w:t>pt.</w:t>
      </w:r>
    </w:p>
    <w:p w14:paraId="2FAF7852" w14:textId="4BE211A3" w:rsidR="005E67BB" w:rsidRDefault="00624906" w:rsidP="00FD376F">
      <w:pPr>
        <w:jc w:val="both"/>
        <w:rPr>
          <w:rFonts w:ascii="Cambria" w:hAnsi="Cambria"/>
        </w:rPr>
      </w:pPr>
      <w:r>
        <w:rPr>
          <w:rFonts w:ascii="Cambria" w:hAnsi="Cambria"/>
        </w:rPr>
        <w:lastRenderedPageBreak/>
        <w:t>R</w:t>
      </w:r>
      <w:r w:rsidR="005E67BB">
        <w:rPr>
          <w:rFonts w:ascii="Cambria" w:hAnsi="Cambria"/>
        </w:rPr>
        <w:t>eferences</w:t>
      </w:r>
    </w:p>
    <w:p w14:paraId="2754692C" w14:textId="77777777" w:rsidR="00F264C6" w:rsidRDefault="00F264C6" w:rsidP="00FD376F">
      <w:pPr>
        <w:jc w:val="both"/>
        <w:rPr>
          <w:rFonts w:ascii="Cambria" w:hAnsi="Cambria"/>
        </w:rPr>
      </w:pPr>
    </w:p>
    <w:p w14:paraId="6253AA67" w14:textId="08664A39" w:rsidR="00B707E2" w:rsidRPr="00B707E2" w:rsidRDefault="000C71B7" w:rsidP="00B707E2">
      <w:pPr>
        <w:widowControl w:val="0"/>
        <w:autoSpaceDE w:val="0"/>
        <w:autoSpaceDN w:val="0"/>
        <w:adjustRightInd w:val="0"/>
        <w:ind w:left="640" w:hanging="640"/>
        <w:rPr>
          <w:rFonts w:ascii="Cambria" w:hAnsi="Cambria"/>
          <w:noProof/>
        </w:rPr>
      </w:pPr>
      <w:r>
        <w:rPr>
          <w:rFonts w:ascii="Cambria" w:hAnsi="Cambria"/>
        </w:rPr>
        <w:fldChar w:fldCharType="begin" w:fldLock="1"/>
      </w:r>
      <w:r>
        <w:rPr>
          <w:rFonts w:ascii="Cambria" w:hAnsi="Cambria"/>
        </w:rPr>
        <w:instrText xml:space="preserve">ADDIN Mendeley Bibliography CSL_BIBLIOGRAPHY </w:instrText>
      </w:r>
      <w:r>
        <w:rPr>
          <w:rFonts w:ascii="Cambria" w:hAnsi="Cambria"/>
        </w:rPr>
        <w:fldChar w:fldCharType="separate"/>
      </w:r>
      <w:r w:rsidR="00B707E2" w:rsidRPr="00B707E2">
        <w:rPr>
          <w:rFonts w:ascii="Cambria" w:hAnsi="Cambria"/>
          <w:noProof/>
        </w:rPr>
        <w:t xml:space="preserve">1. </w:t>
      </w:r>
      <w:r w:rsidR="00B707E2" w:rsidRPr="00B707E2">
        <w:rPr>
          <w:rFonts w:ascii="Cambria" w:hAnsi="Cambria"/>
          <w:noProof/>
        </w:rPr>
        <w:tab/>
        <w:t xml:space="preserve">Shi T, McAllister DA, O’Brien KL, Simoes EAF, Madhi SA, Gessner BD, et al. Global, regional, and national disease burden estimates of acute lower respiratory infections due to respiratory syncytial virus in young children in 2015: a systematic review and modelling study. Lancet. 2017 Sep 2;390(10098):946–58. </w:t>
      </w:r>
    </w:p>
    <w:p w14:paraId="3EBD0D48"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2. </w:t>
      </w:r>
      <w:r w:rsidRPr="00B707E2">
        <w:rPr>
          <w:rFonts w:ascii="Cambria" w:hAnsi="Cambria"/>
          <w:noProof/>
        </w:rPr>
        <w:tab/>
        <w:t xml:space="preserve">Falsey AR, Hennessey PA, Formica MA, Cox C, Walsh EE. Respiratory Syncytial Virus Infection in Elderly and High-Risk Adults. N Engl J Med.  Massachusetts Medical Society ; 2005 Apr 28;352(17):1749–59. </w:t>
      </w:r>
    </w:p>
    <w:p w14:paraId="75B35127"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3. </w:t>
      </w:r>
      <w:r w:rsidRPr="00B707E2">
        <w:rPr>
          <w:rFonts w:ascii="Cambria" w:hAnsi="Cambria"/>
          <w:noProof/>
        </w:rPr>
        <w:tab/>
        <w:t xml:space="preserve">Thompson WW, Shay DK, Weintraub E, Brammer L, Cox N, Anderson LJ, et al. Mortality associated with influenza and respiratory syncytial virus in the United States. JAMA. 2003 Jan 8;289(2):179–86. </w:t>
      </w:r>
    </w:p>
    <w:p w14:paraId="7B3D48BD"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4. </w:t>
      </w:r>
      <w:r w:rsidRPr="00B707E2">
        <w:rPr>
          <w:rFonts w:ascii="Cambria" w:hAnsi="Cambria"/>
          <w:noProof/>
        </w:rPr>
        <w:tab/>
        <w:t xml:space="preserve">Kim HW, Canchola JG, Brandt CD, Pyles G, Chanock RM, Jensen K, et al. Respiratory syncytial virus disease in infants despite prior administration of antigenic inactivated vaccine. Am J Epidemiol. 1969 Apr;89(4):422–34. </w:t>
      </w:r>
    </w:p>
    <w:p w14:paraId="791C795C"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5. </w:t>
      </w:r>
      <w:r w:rsidRPr="00B707E2">
        <w:rPr>
          <w:rFonts w:ascii="Cambria" w:hAnsi="Cambria"/>
          <w:noProof/>
        </w:rPr>
        <w:tab/>
        <w:t xml:space="preserve">Jozwik A, Habibi MS, Paras A, Zhu J, Guvenel A, Dhariwal J, et al. RSV-specific airway resident memory CD8+ T cells and differential disease severity after experimental human infection. Nat Commun. 2015 Dec 21;6:10224. </w:t>
      </w:r>
    </w:p>
    <w:p w14:paraId="5468C49E"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6. </w:t>
      </w:r>
      <w:r w:rsidRPr="00B707E2">
        <w:rPr>
          <w:rFonts w:ascii="Cambria" w:hAnsi="Cambria"/>
          <w:noProof/>
        </w:rPr>
        <w:tab/>
        <w:t xml:space="preserve">Habibi MS, Jozwik A, Makris S, Dunning J, Paras A, DeVincenzo JP, et al. Impaired Antibody-mediated Protection and Defective IgA B-Cell Memory in Experimental Infection of Adults with Respiratory Syncytial Virus. Am J Respir Crit Care Med. 2015 May 1;191(9):1040–9. </w:t>
      </w:r>
    </w:p>
    <w:p w14:paraId="524BC786"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7. </w:t>
      </w:r>
      <w:r w:rsidRPr="00B707E2">
        <w:rPr>
          <w:rFonts w:ascii="Cambria" w:hAnsi="Cambria"/>
          <w:noProof/>
        </w:rPr>
        <w:tab/>
        <w:t xml:space="preserve">Capella C, Chaiwatpongsakorn S, Gorrell E, Risch ZA, Ye F, Mertz SE, et al. Prefusion F, Postfusion F, G Antibodies, and Disease Severity in Infants and Young Children With Acute Respiratory Syncytial Virus Infection. J Infect Dis. 2017 Dec 12;216(11):1398–406. </w:t>
      </w:r>
    </w:p>
    <w:p w14:paraId="40324F9F"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8. </w:t>
      </w:r>
      <w:r w:rsidRPr="00B707E2">
        <w:rPr>
          <w:rFonts w:ascii="Cambria" w:hAnsi="Cambria"/>
          <w:noProof/>
        </w:rPr>
        <w:tab/>
        <w:t>European Medicines Agency. Recombinant respiratory syncytial virus vaccine - Notification of discontinuation of a paediatric development which is covered by an agreed PIP Decision MEDI7510 [Internet]. EMA document. 2016 [cited 2018 Jan 16]. p. 1–2. Available from: http://www.ema.europa.eu/docs/en_GB/document_library/Other/2016/11/WC500216809.pdf</w:t>
      </w:r>
    </w:p>
    <w:p w14:paraId="65256ED6"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9. </w:t>
      </w:r>
      <w:r w:rsidRPr="00B707E2">
        <w:rPr>
          <w:rFonts w:ascii="Cambria" w:hAnsi="Cambria"/>
          <w:noProof/>
        </w:rPr>
        <w:tab/>
        <w:t>Globe Newswire. Novavax Announces Topline RSV F Vaccine Data from Two Clinical Trials in Older Adults | Novavax Inc. - IR Site [Internet]. Novavax Press Release. 2016 [cited 2018 Jan 16]. p. 1–2. Available from: https://ir.novavax.com/news-releases/news-release-details/novavax-announces-topline-rsv-f-vaccine-data-two-clinical-trials</w:t>
      </w:r>
    </w:p>
    <w:p w14:paraId="6819ED0B"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10. </w:t>
      </w:r>
      <w:r w:rsidRPr="00B707E2">
        <w:rPr>
          <w:rFonts w:ascii="Cambria" w:hAnsi="Cambria"/>
          <w:noProof/>
        </w:rPr>
        <w:tab/>
        <w:t>PRNewswire. Regeneron to Discontinue Development of Suptavumab for Respiratory Syncytial Virus (NASDAQ:REGN) [Internet]. Acquire Media. 2017 [cited 2018 Jan 16]. p. 1. Available from: http://investor.regeneron.com/releaseDetail.cfm?releaseid=1037184</w:t>
      </w:r>
    </w:p>
    <w:p w14:paraId="45A7AF04"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11. </w:t>
      </w:r>
      <w:r w:rsidRPr="00B707E2">
        <w:rPr>
          <w:rFonts w:ascii="Cambria" w:hAnsi="Cambria"/>
          <w:noProof/>
        </w:rPr>
        <w:tab/>
        <w:t xml:space="preserve">Simões EAF, Carbonell-Estrany X, Guilbert T, Mansbach JM, Piedra PA, Ramilo O, et al. Clinical Endpoints for Respiratory Syncytial Virus Prophylaxis Trials in Infants and Children in High-income and Middle-income Countries. Pediatr Infect Dis J. 2015 Oct;34(10):1086–92. </w:t>
      </w:r>
    </w:p>
    <w:p w14:paraId="4CF1F522"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12. </w:t>
      </w:r>
      <w:r w:rsidRPr="00B707E2">
        <w:rPr>
          <w:rFonts w:ascii="Cambria" w:hAnsi="Cambria"/>
          <w:noProof/>
        </w:rPr>
        <w:tab/>
        <w:t xml:space="preserve">Modjarrad K, Giersing B, Kaslow DC, Smith PG, Moorthy VS, WHO RSV Vaccine Consultation Expert Group. WHO consultation on Respiratory Syncytial Virus Vaccine Development Report from a World Health Organization Meeting held on 23-24 March 2015. Vaccine. 2016 Jan 4;34(2):190–7. </w:t>
      </w:r>
    </w:p>
    <w:p w14:paraId="7955FA88"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13. </w:t>
      </w:r>
      <w:r w:rsidRPr="00B707E2">
        <w:rPr>
          <w:rFonts w:ascii="Cambria" w:hAnsi="Cambria"/>
          <w:noProof/>
        </w:rPr>
        <w:tab/>
        <w:t xml:space="preserve">Karron RA, Zar HJ. Determining the outcomes of interventions to prevent respiratory syncytial virus disease in children: what to measure? Lancet Respir Med. Elsevier; </w:t>
      </w:r>
      <w:r w:rsidRPr="00B707E2">
        <w:rPr>
          <w:rFonts w:ascii="Cambria" w:hAnsi="Cambria"/>
          <w:noProof/>
        </w:rPr>
        <w:lastRenderedPageBreak/>
        <w:t xml:space="preserve">2018 Jan 1;6(1):65–74. </w:t>
      </w:r>
    </w:p>
    <w:p w14:paraId="727923CC"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14. </w:t>
      </w:r>
      <w:r w:rsidRPr="00B707E2">
        <w:rPr>
          <w:rFonts w:ascii="Cambria" w:hAnsi="Cambria"/>
          <w:noProof/>
        </w:rPr>
        <w:tab/>
        <w:t xml:space="preserve">Glezen WP, Taber LH, Frank AL, Kasel JA. Risk of Primary Infection and Reinfection With Respiratory Syncytial Virus. Am J Dis Child. 1986 Jun 1;140(6):543–6. </w:t>
      </w:r>
    </w:p>
    <w:p w14:paraId="2C5F34A2"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15. </w:t>
      </w:r>
      <w:r w:rsidRPr="00B707E2">
        <w:rPr>
          <w:rFonts w:ascii="Cambria" w:hAnsi="Cambria"/>
          <w:noProof/>
        </w:rPr>
        <w:tab/>
        <w:t xml:space="preserve">Yamin D, Jones FK, DeVincenzo JP, Gertler S, Kobiler O, Townsend JP, et al. Vaccination strategies against respiratory syncytial virus. Proc Natl Acad Sci. 2016 Nov 15;113(46):13239–44. </w:t>
      </w:r>
    </w:p>
    <w:p w14:paraId="5B72F780"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16. </w:t>
      </w:r>
      <w:r w:rsidRPr="00B707E2">
        <w:rPr>
          <w:rFonts w:ascii="Cambria" w:hAnsi="Cambria"/>
          <w:noProof/>
        </w:rPr>
        <w:tab/>
        <w:t xml:space="preserve">WHO | RSV vaccine research and development technical roadmap and WHO Preferred Product Characteristics. WHO. World Health Organization; 2017. p. Licence: CC BY-NC-SA 3.0 IGO. </w:t>
      </w:r>
    </w:p>
    <w:p w14:paraId="648DE2BB"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17. </w:t>
      </w:r>
      <w:r w:rsidRPr="00B707E2">
        <w:rPr>
          <w:rFonts w:ascii="Cambria" w:hAnsi="Cambria"/>
          <w:noProof/>
        </w:rPr>
        <w:tab/>
        <w:t xml:space="preserve">Nair H, Nokes DJ, Gessner BD, Dherani M, Madhi S a, Singleton RJ, et al. Global burden of acute lower respiratory infections due to respiratory syncytial virus in young children: a systematic review and meta-analysis. Lancet. Elsevier Ltd; 2010 May 1;375(9725):1545–55. </w:t>
      </w:r>
    </w:p>
    <w:p w14:paraId="32401C17"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18. </w:t>
      </w:r>
      <w:r w:rsidRPr="00B707E2">
        <w:rPr>
          <w:rFonts w:ascii="Cambria" w:hAnsi="Cambria"/>
          <w:noProof/>
        </w:rPr>
        <w:tab/>
        <w:t xml:space="preserve">Ngwuta JO, Chen M, Modjarrad K, Joyce MG, Kanekiyo M, Kumar A, et al. Prefusion F-specific antibodies determine the magnitude of RSV neutralizing activity in human sera. Sci Transl Med. 2015 Oct 14;7(309):309ra162. </w:t>
      </w:r>
    </w:p>
    <w:p w14:paraId="6082775E"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19. </w:t>
      </w:r>
      <w:r w:rsidRPr="00B707E2">
        <w:rPr>
          <w:rFonts w:ascii="Cambria" w:hAnsi="Cambria"/>
          <w:noProof/>
        </w:rPr>
        <w:tab/>
        <w:t xml:space="preserve">McLellan JS, Chen M, Leung S, Graepel KW, Du X, Yang Y, et al. Structure of RSV fusion glycoprotein trimer bound to a prefusion-specific neutralizing antibody. Science. 2013 May 31;340(6136):1113–7. </w:t>
      </w:r>
    </w:p>
    <w:p w14:paraId="082A4943"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20. </w:t>
      </w:r>
      <w:r w:rsidRPr="00B707E2">
        <w:rPr>
          <w:rFonts w:ascii="Cambria" w:hAnsi="Cambria"/>
          <w:noProof/>
        </w:rPr>
        <w:tab/>
        <w:t xml:space="preserve">Mazur NI, Martinón-Torres F, Baraldi E, Fauroux B, Greenough A, Heikkinen T, et al. Lower respiratory tract infection caused by respiratory syncytial virus: current management and new therapeutics. Lancet Respir Med. 2015 Nov;3(11):888–900. </w:t>
      </w:r>
    </w:p>
    <w:p w14:paraId="5949495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21. </w:t>
      </w:r>
      <w:r w:rsidRPr="00B707E2">
        <w:rPr>
          <w:rFonts w:ascii="Cambria" w:hAnsi="Cambria"/>
          <w:noProof/>
        </w:rPr>
        <w:tab/>
        <w:t>PATH. RSV Vaccine and mAb Snapshot - PATH Vaccine Resource Library [Internet]. 2017 [cited 2017 Dec 22]. Available from: http://vaccineresources.org/details.php?i=1562</w:t>
      </w:r>
    </w:p>
    <w:p w14:paraId="6B8F3258"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22. </w:t>
      </w:r>
      <w:r w:rsidRPr="00B707E2">
        <w:rPr>
          <w:rFonts w:ascii="Cambria" w:hAnsi="Cambria"/>
          <w:noProof/>
        </w:rPr>
        <w:tab/>
        <w:t xml:space="preserve">Chanock R, Finberg L. Recovery from infants with respiratory illness of a virus related to chimpanzee coryza agent (CCA). II. Epidemiologic aspects of infection in infants and young children. Am J Hyg. 1957 Nov;66(3):291–300. </w:t>
      </w:r>
    </w:p>
    <w:p w14:paraId="6F8B4C7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23. </w:t>
      </w:r>
      <w:r w:rsidRPr="00B707E2">
        <w:rPr>
          <w:rFonts w:ascii="Cambria" w:hAnsi="Cambria"/>
          <w:noProof/>
        </w:rPr>
        <w:tab/>
        <w:t xml:space="preserve">Delgado MF, Coviello S, Monsalvo AC, Melendi GA, Hernandez JZ, Batalle JP, et al. Lack of antibody affinity maturation due to poor Toll-like receptor stimulation leads to enhanced respiratory syncytial virus disease. Nat Med. 2009 Jan 14;15(1):34–41. </w:t>
      </w:r>
    </w:p>
    <w:p w14:paraId="4E011353"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24. </w:t>
      </w:r>
      <w:r w:rsidRPr="00B707E2">
        <w:rPr>
          <w:rFonts w:ascii="Cambria" w:hAnsi="Cambria"/>
          <w:noProof/>
        </w:rPr>
        <w:tab/>
        <w:t xml:space="preserve">Moghaddam A, Olszewska W, Wang B, Tregoning JS, Helson R, Sattentau QJ, et al. A potential molecular mechanism for hypersensitivity caused by formalin-inactivated vaccines. Nat Med. 2006 Aug 23;12(8):905–7. </w:t>
      </w:r>
    </w:p>
    <w:p w14:paraId="1A4F2382"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25. </w:t>
      </w:r>
      <w:r w:rsidRPr="00B707E2">
        <w:rPr>
          <w:rFonts w:ascii="Cambria" w:hAnsi="Cambria"/>
          <w:noProof/>
        </w:rPr>
        <w:tab/>
        <w:t xml:space="preserve">Knudson CJ, Hartwig SM, Meyerholz DK, Varga SM. RSV Vaccine-Enhanced Disease Is Orchestrated by the Combined Actions of Distinct CD4 T Cell Subsets. Thomas PG, editor. PLOS Pathog. 2015 Mar 13;11(3):e1004757. </w:t>
      </w:r>
    </w:p>
    <w:p w14:paraId="6911E939"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26. </w:t>
      </w:r>
      <w:r w:rsidRPr="00B707E2">
        <w:rPr>
          <w:rFonts w:ascii="Cambria" w:hAnsi="Cambria"/>
          <w:noProof/>
        </w:rPr>
        <w:tab/>
        <w:t xml:space="preserve">Schmidt ME, Knudson CJ, Hartwig SM, Pewe LL, Meyerholz DK, Langlois RA, et al. Memory CD8 T cells mediate severe immunopathology following respiratory syncytial virus infection. PLoS Pathog. Public Library of Science; 2018 Jan;14(1):e1006810. </w:t>
      </w:r>
    </w:p>
    <w:p w14:paraId="6F2D15FB"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27. </w:t>
      </w:r>
      <w:r w:rsidRPr="00B707E2">
        <w:rPr>
          <w:rFonts w:ascii="Cambria" w:hAnsi="Cambria"/>
          <w:noProof/>
        </w:rPr>
        <w:tab/>
        <w:t xml:space="preserve">Acosta PL, Caballero MT, Polack FP. Brief History and Characterization of Enhanced Respiratory Syncytial Virus Disease. Clin Vaccine Immunol. 2015 Dec 16;23(3):189–95. </w:t>
      </w:r>
    </w:p>
    <w:p w14:paraId="2FB13C10"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28. </w:t>
      </w:r>
      <w:r w:rsidRPr="00B707E2">
        <w:rPr>
          <w:rFonts w:ascii="Cambria" w:hAnsi="Cambria"/>
          <w:noProof/>
        </w:rPr>
        <w:tab/>
        <w:t xml:space="preserve">Groothuis JR, Simoes EA, Hemming VG. Respiratory syncytial virus (RSV) infection in preterm infants and the protective effects of RSV immune globulin (RSVIG). Respiratory Syncytial Virus Immune Globulin Study Group. Pediatrics. 1995 Apr;95(4):463–7. </w:t>
      </w:r>
    </w:p>
    <w:p w14:paraId="3D5A11A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29. </w:t>
      </w:r>
      <w:r w:rsidRPr="00B707E2">
        <w:rPr>
          <w:rFonts w:ascii="Cambria" w:hAnsi="Cambria"/>
          <w:noProof/>
        </w:rPr>
        <w:tab/>
        <w:t xml:space="preserve">IMpact Study Group. Palivizumab, a humanized respiratory syncytial virus monoclonal antibody, reduces hospitalization from respiratory syncytial virus infection in high-risk infants. The IMpact-RSV Study Group. Pediatrics. 1998 </w:t>
      </w:r>
      <w:r w:rsidRPr="00B707E2">
        <w:rPr>
          <w:rFonts w:ascii="Cambria" w:hAnsi="Cambria"/>
          <w:noProof/>
        </w:rPr>
        <w:lastRenderedPageBreak/>
        <w:t xml:space="preserve">Sep;102(3 Pt 1):531–7. </w:t>
      </w:r>
    </w:p>
    <w:p w14:paraId="4363CCFE"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30. </w:t>
      </w:r>
      <w:r w:rsidRPr="00B707E2">
        <w:rPr>
          <w:rFonts w:ascii="Cambria" w:hAnsi="Cambria"/>
          <w:noProof/>
        </w:rPr>
        <w:tab/>
        <w:t xml:space="preserve">Updated guidance for palivizumab prophylaxis among infants and young children at increased risk of hospitalization for respiratory syncytial virus infection. Pediatrics. 2014 Aug;134(2):415–20. </w:t>
      </w:r>
    </w:p>
    <w:p w14:paraId="66BC153F"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31. </w:t>
      </w:r>
      <w:r w:rsidRPr="00B707E2">
        <w:rPr>
          <w:rFonts w:ascii="Cambria" w:hAnsi="Cambria"/>
          <w:noProof/>
        </w:rPr>
        <w:tab/>
        <w:t xml:space="preserve">Mazur NI, van Delden JJ, Bont LJ. Respiratory syncytial virus trials and beyond. Lancet Infect Dis. 2015 Dec;15(12):1363–5. </w:t>
      </w:r>
    </w:p>
    <w:p w14:paraId="5887FE1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32. </w:t>
      </w:r>
      <w:r w:rsidRPr="00B707E2">
        <w:rPr>
          <w:rFonts w:ascii="Cambria" w:hAnsi="Cambria"/>
          <w:noProof/>
        </w:rPr>
        <w:tab/>
        <w:t xml:space="preserve">Feltes TF, Sondheimer HM, Tulloh RMR, Harris BS, Jensen KM, Losonsky GA, et al. A randomized controlled trial of motavizumab versus palivizumab for the prophylaxis of serious respiratory syncytial virus disease in children with hemodynamically significant congenital heart disease. Pediatr Res. 2011 Aug;70(2):186–91. </w:t>
      </w:r>
    </w:p>
    <w:p w14:paraId="742B508E"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33. </w:t>
      </w:r>
      <w:r w:rsidRPr="00B707E2">
        <w:rPr>
          <w:rFonts w:ascii="Cambria" w:hAnsi="Cambria"/>
          <w:noProof/>
        </w:rPr>
        <w:tab/>
        <w:t xml:space="preserve">Feltes TF, Sondheimer HM, Tulloh RMR, Harris BS, Jensen KM, Losonsky GA, et al. A Randomized Controlled Trial of Motavizumab Versus Palivizumab for the Prophylaxis of Serious Respiratory Syncytial Virus Disease in Children With Hemodynamically Significant Congenital Heart Disease. Pediatr Res. 2011 Aug;70(2):186–91. </w:t>
      </w:r>
    </w:p>
    <w:p w14:paraId="3CBE4B20"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34. </w:t>
      </w:r>
      <w:r w:rsidRPr="00B707E2">
        <w:rPr>
          <w:rFonts w:ascii="Cambria" w:hAnsi="Cambria"/>
          <w:noProof/>
        </w:rPr>
        <w:tab/>
        <w:t xml:space="preserve">Carbonell-Estrany X, Simoes EAF, Dagan R, Hall CB, Harris B, Hultquist M, et al. Motavizumab for Prophylaxis of Respiratory Syncytial Virus in High-Risk Children: A Noninferiority Trial. Pediatrics. 2010 Jan 1;125(1):e35–51. </w:t>
      </w:r>
    </w:p>
    <w:p w14:paraId="6B54E80F"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35. </w:t>
      </w:r>
      <w:r w:rsidRPr="00B707E2">
        <w:rPr>
          <w:rFonts w:ascii="Cambria" w:hAnsi="Cambria"/>
          <w:noProof/>
        </w:rPr>
        <w:tab/>
        <w:t xml:space="preserve">O’Brien KL, Chandran A, Weatherholtz R, Jafri HS, Griffin MP, Bellamy T, et al. Efficacy of motavizumab for the prevention of respiratory syncytial virus disease in healthy Native American infants: a phase 3 randomised double-blind placebo-controlled trial. Lancet Infect Dis. 2015 Dec;15(12):1398–408. </w:t>
      </w:r>
    </w:p>
    <w:p w14:paraId="335774B2"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36. </w:t>
      </w:r>
      <w:r w:rsidRPr="00B707E2">
        <w:rPr>
          <w:rFonts w:ascii="Cambria" w:hAnsi="Cambria"/>
          <w:noProof/>
        </w:rPr>
        <w:tab/>
        <w:t xml:space="preserve">Collins PL, Murphy BR. Respiratory Syncytial Virus: Reverse Genetics and Vaccine Strategies. Virology. 2002 May 10;296(2):204–11. </w:t>
      </w:r>
    </w:p>
    <w:p w14:paraId="3D24A436"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37. </w:t>
      </w:r>
      <w:r w:rsidRPr="00B707E2">
        <w:rPr>
          <w:rFonts w:ascii="Cambria" w:hAnsi="Cambria"/>
          <w:noProof/>
        </w:rPr>
        <w:tab/>
        <w:t xml:space="preserve">Karron RA, Luongo C, Thumar B, Loehr KM, Englund JA, Collins PL, et al. A gene deletion that up-regulates viral gene expression yields an attenuated RSV vaccine with improved antibody responses in children. Sci Transl Med. 2015 Nov 4;7(312):312ra175. </w:t>
      </w:r>
    </w:p>
    <w:p w14:paraId="41BC7366"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38. </w:t>
      </w:r>
      <w:r w:rsidRPr="00B707E2">
        <w:rPr>
          <w:rFonts w:ascii="Cambria" w:hAnsi="Cambria"/>
          <w:noProof/>
        </w:rPr>
        <w:tab/>
        <w:t xml:space="preserve">Piedra PA, Grace S, Jewell A, Spinelli S, Bunting D, Hogerman DA, et al. Purified fusion protein vaccine protects against lower respiratory tract illness during respiratory syncytial virus season in children with cystic fibrosis. Pediatr Infect Dis J. 1996 Jan;15(1):23–31. </w:t>
      </w:r>
    </w:p>
    <w:p w14:paraId="75A3EA57"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39. </w:t>
      </w:r>
      <w:r w:rsidRPr="00B707E2">
        <w:rPr>
          <w:rFonts w:ascii="Cambria" w:hAnsi="Cambria"/>
          <w:noProof/>
        </w:rPr>
        <w:tab/>
        <w:t xml:space="preserve">Munoz FM, Piedra PA, Glezen WP. Safety and immunogenicity of respiratory syncytial virus purified fusion protein-2 vaccine in pregnant women. Vaccine. 2003 Jul 28;21(24):3465–7. </w:t>
      </w:r>
    </w:p>
    <w:p w14:paraId="2C620717"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40. </w:t>
      </w:r>
      <w:r w:rsidRPr="00B707E2">
        <w:rPr>
          <w:rFonts w:ascii="Cambria" w:hAnsi="Cambria"/>
          <w:noProof/>
        </w:rPr>
        <w:tab/>
        <w:t xml:space="preserve">Falsey AR, Walsh EE, Capellan J, Gravenstein S, Zambon M, Yau E, et al. Comparison of the Safety and Immunogenicity of 2 Respiratory Syncytial Virus (RSV) Vaccines— Nonadjuvanted Vaccine or Vaccine Adjuvanted with Alum—Given Concomitantly with Influenza Vaccine to High‐Risk Elderly Individuals. J Infect Dis. Oxford University Press; 2008 Nov 1;198(9):1317–26. </w:t>
      </w:r>
    </w:p>
    <w:p w14:paraId="47B6BE0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41. </w:t>
      </w:r>
      <w:r w:rsidRPr="00B707E2">
        <w:rPr>
          <w:rFonts w:ascii="Cambria" w:hAnsi="Cambria"/>
          <w:noProof/>
        </w:rPr>
        <w:tab/>
        <w:t xml:space="preserve">Villafana T, Falloon J, Griffin MP, Zhu Q, Esser MT. Passive and active immunization against respiratory syncytial virus for the young and old. Expert Rev Vaccines. 2017 Jul 3;16(7):737–49. </w:t>
      </w:r>
    </w:p>
    <w:p w14:paraId="48A4964A"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42. </w:t>
      </w:r>
      <w:r w:rsidRPr="00B707E2">
        <w:rPr>
          <w:rFonts w:ascii="Cambria" w:hAnsi="Cambria"/>
          <w:noProof/>
        </w:rPr>
        <w:tab/>
        <w:t xml:space="preserve">Gilman MSA, Castellanos CA, Chen M, Ngwuta JO, Goodwin E, Moin SM, et al. Rapid profiling of RSV antibody repertoires from the memory B cells of naturally infected adult donors. Sci Immunol. 2016 Dec 9;1(6):eaaj1879. </w:t>
      </w:r>
    </w:p>
    <w:p w14:paraId="6D2671DE"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43. </w:t>
      </w:r>
      <w:r w:rsidRPr="00B707E2">
        <w:rPr>
          <w:rFonts w:ascii="Cambria" w:hAnsi="Cambria"/>
          <w:noProof/>
        </w:rPr>
        <w:tab/>
        <w:t>clinicaltrials.gov. Study to Evaluate the Efficacy and Safety of REGN2222, for the Prevention of Medically Attended RSV (Respiratory Syncytial Virus) Infection in Preterm Infants - Full Text View - ClinicalTrials.gov [Internet]. NIH: US National Library of Medicine. 2018 [cited 2018 Mar 28]. Available from: https://clinicaltrials.gov/ct2/show/study/NCT02325791?show_locs=Y</w:t>
      </w:r>
    </w:p>
    <w:p w14:paraId="76EB3B72"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lastRenderedPageBreak/>
        <w:t xml:space="preserve">44. </w:t>
      </w:r>
      <w:r w:rsidRPr="00B707E2">
        <w:rPr>
          <w:rFonts w:ascii="Cambria" w:hAnsi="Cambria"/>
          <w:noProof/>
        </w:rPr>
        <w:tab/>
        <w:t xml:space="preserve">Sivapalasingam S, Perez-Caballero D, Houghton M, Yang F, Davis JD, Gao B, et al. Phase 1 study evaluating safety, tolerability, pharmacokinetics and immunogenicity of REGN2222 in healthy adults: an investigational human monoclonal RSV-F antibody for RSV prevention. In: Poster presentation at IDWeek 2015. San Diego, CA; 2015. </w:t>
      </w:r>
    </w:p>
    <w:p w14:paraId="39547089"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45. </w:t>
      </w:r>
      <w:r w:rsidRPr="00B707E2">
        <w:rPr>
          <w:rFonts w:ascii="Cambria" w:hAnsi="Cambria"/>
          <w:noProof/>
        </w:rPr>
        <w:tab/>
        <w:t>Novavax. Positive Topline Data from Phase 2 Older Adult Trial and Path Forward for RSV F Vaccine Programs [Internet]. Investor Slide Deck. 2017 [cited 2018 Jan 16]. Available from: http://novavax.com/download/files/presentation/Novavax_RSV_Analyst_Day_7-24-17_PDF2.pdf</w:t>
      </w:r>
    </w:p>
    <w:p w14:paraId="776E15CD"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46. </w:t>
      </w:r>
      <w:r w:rsidRPr="00B707E2">
        <w:rPr>
          <w:rFonts w:ascii="Cambria" w:hAnsi="Cambria"/>
          <w:noProof/>
        </w:rPr>
        <w:tab/>
        <w:t>ClinicalTrials.gov. A Study to Evaluate the Efficacy of an RSV F Vaccine in Older Adults [Internet]. NIH: US National Library of Medicine. 2017 [cited 2018 Mar 26]. Available from: https://clinicaltrials.gov/ct2/show/study/NCT02608502?show_locs=Y</w:t>
      </w:r>
    </w:p>
    <w:p w14:paraId="5547581A"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47. </w:t>
      </w:r>
      <w:r w:rsidRPr="00B707E2">
        <w:rPr>
          <w:rFonts w:ascii="Cambria" w:hAnsi="Cambria"/>
          <w:noProof/>
        </w:rPr>
        <w:tab/>
        <w:t>Novavax I. Novavax Announces Positive Top-Line Data from Phase 2 RSV F-Protein Vaccine Clinical Trial in Older Adults [Internet]. 2015 [cited 2018 Mar 28]. Available from: http://www.multivu.com/players/English/7590851-novavax-rsv/</w:t>
      </w:r>
    </w:p>
    <w:p w14:paraId="2D0BB663"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48. </w:t>
      </w:r>
      <w:r w:rsidRPr="00B707E2">
        <w:rPr>
          <w:rFonts w:ascii="Cambria" w:hAnsi="Cambria"/>
          <w:noProof/>
        </w:rPr>
        <w:tab/>
        <w:t xml:space="preserve">Mousa JJ, Sauer MF, Sevy AM, Finn JA, Bates JT, Alvarado G, et al. Structural basis for nonneutralizing antibody competition at antigenic site II of the respiratory syncytial virus fusion protein. Proc Natl Acad Sci. 2016 Nov 1;113(44):E6849–58. </w:t>
      </w:r>
    </w:p>
    <w:p w14:paraId="3560BEBF"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49. </w:t>
      </w:r>
      <w:r w:rsidRPr="00B707E2">
        <w:rPr>
          <w:rFonts w:ascii="Cambria" w:hAnsi="Cambria"/>
          <w:noProof/>
        </w:rPr>
        <w:tab/>
        <w:t xml:space="preserve">Fries L, Shinde V, Stoddard JJ, Thomas DN, Kpamegan E, Lu H, et al. Immunogenicity and safety of a respiratory syncytial virus fusion protein (RSV F) nanoparticle vaccine in older adults. Immun Ageing. 2017 Dec 12;14(1):8. </w:t>
      </w:r>
    </w:p>
    <w:p w14:paraId="5B826380"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50. </w:t>
      </w:r>
      <w:r w:rsidRPr="00B707E2">
        <w:rPr>
          <w:rFonts w:ascii="Cambria" w:hAnsi="Cambria"/>
          <w:noProof/>
        </w:rPr>
        <w:tab/>
        <w:t xml:space="preserve">Falloon J, Yu J, Esser MT, Villafana T, Yu L, Dubovsky F, et al. An Adjuvanted, Postfusion F Protein–Based Vaccine Did Not Prevent Respiratory Syncytial Virus Illness in Older Adults. J Infect Dis. 2017 Dec 12;216(11):1362–70. </w:t>
      </w:r>
    </w:p>
    <w:p w14:paraId="34301598"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51. </w:t>
      </w:r>
      <w:r w:rsidRPr="00B707E2">
        <w:rPr>
          <w:rFonts w:ascii="Cambria" w:hAnsi="Cambria"/>
          <w:noProof/>
        </w:rPr>
        <w:tab/>
        <w:t xml:space="preserve">Falloon J, Ji F, Curtis C, Bart S, Sheldon E, Krieger D, et al. A phase 1a, first-in-human, randomized study of a respiratory syncytial virus F protein vaccine with and without a toll-like receptor-4 agonist and stable emulsion adjuvant. Vaccine. 2016 May 27;34(25):2847–54. </w:t>
      </w:r>
    </w:p>
    <w:p w14:paraId="33B937DE"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52. </w:t>
      </w:r>
      <w:r w:rsidRPr="00B707E2">
        <w:rPr>
          <w:rFonts w:ascii="Cambria" w:hAnsi="Cambria"/>
          <w:noProof/>
        </w:rPr>
        <w:tab/>
        <w:t xml:space="preserve">Langley JM. Vaccine Prevention of Respiratory Syncytial Virus Infection in Older Adults: The Work Continues. J Infect Dis. Oxford University Press; 2017 Dec 12;216(11):1334–6. </w:t>
      </w:r>
    </w:p>
    <w:p w14:paraId="63A11CB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53. </w:t>
      </w:r>
      <w:r w:rsidRPr="00B707E2">
        <w:rPr>
          <w:rFonts w:ascii="Cambria" w:hAnsi="Cambria"/>
          <w:noProof/>
        </w:rPr>
        <w:tab/>
        <w:t xml:space="preserve">Krarup A, Truan D, Furmanova-Hollenstein P, Bogaert L, Bouchier P, Bisschop IJM, et al. A highly stable prefusion RSV F vaccine derived from structural analysis of the fusion mechanism. Nat Commun. Nature Publishing Group; 2015 Sep 3;6:8143. </w:t>
      </w:r>
    </w:p>
    <w:p w14:paraId="36D73C86"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54. </w:t>
      </w:r>
      <w:r w:rsidRPr="00B707E2">
        <w:rPr>
          <w:rFonts w:ascii="Cambria" w:hAnsi="Cambria"/>
          <w:noProof/>
        </w:rPr>
        <w:tab/>
        <w:t xml:space="preserve">Killikelly AM, Kanekiyo M, Graham BS. Pre-fusion F is absent on the surface of formalin-inactivated respiratory syncytial virus. Sci Rep. Nature Publishing Group; 2016 Sep 29;6:34108. </w:t>
      </w:r>
    </w:p>
    <w:p w14:paraId="7A39A250"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55. </w:t>
      </w:r>
      <w:r w:rsidRPr="00B707E2">
        <w:rPr>
          <w:rFonts w:ascii="Cambria" w:hAnsi="Cambria"/>
          <w:noProof/>
        </w:rPr>
        <w:tab/>
        <w:t xml:space="preserve">McLellan JS, Chen M, Joyce MG, Sastry M, Stewart-Jones GBE, Yang Y, et al. Structure-based design of a fusion glycoprotein vaccine for respiratory syncytial virus. Science (80- ). 2013 Nov 1;342(6158):592–8. </w:t>
      </w:r>
    </w:p>
    <w:p w14:paraId="1014DBC4"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56. </w:t>
      </w:r>
      <w:r w:rsidRPr="00B707E2">
        <w:rPr>
          <w:rFonts w:ascii="Cambria" w:hAnsi="Cambria"/>
          <w:noProof/>
        </w:rPr>
        <w:tab/>
        <w:t xml:space="preserve">McLellan JS, Ray WC, Peeples ME. Structure and function of respiratory syncytial virus surface glycoproteins. Curr Top Microbiol Immunol. 2013;372:83–104. </w:t>
      </w:r>
    </w:p>
    <w:p w14:paraId="0B3F95B2"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57. </w:t>
      </w:r>
      <w:r w:rsidRPr="00B707E2">
        <w:rPr>
          <w:rFonts w:ascii="Cambria" w:hAnsi="Cambria"/>
          <w:noProof/>
        </w:rPr>
        <w:tab/>
        <w:t xml:space="preserve">Levine S, Klaiber-Franco R, Paradiso PR. Demonstration that Glycoprotein G Is the Attachment Protein of Respiratory Syncytial Virus. J Gen Virol. 1987 Sep 1;68(9):2521–4. </w:t>
      </w:r>
    </w:p>
    <w:p w14:paraId="215E7694"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58. </w:t>
      </w:r>
      <w:r w:rsidRPr="00B707E2">
        <w:rPr>
          <w:rFonts w:ascii="Cambria" w:hAnsi="Cambria"/>
          <w:noProof/>
        </w:rPr>
        <w:tab/>
        <w:t xml:space="preserve">Graham BS, Modjarrad K, McLellan JS. Novel antigens for RSV vaccines. Curr Opin Immunol. 2015 Aug;35:30–8. </w:t>
      </w:r>
    </w:p>
    <w:p w14:paraId="3FF7C5FC"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59. </w:t>
      </w:r>
      <w:r w:rsidRPr="00B707E2">
        <w:rPr>
          <w:rFonts w:ascii="Cambria" w:hAnsi="Cambria"/>
          <w:noProof/>
        </w:rPr>
        <w:tab/>
        <w:t>Escribano-Romero E, Rawling J, García-Barreno B, Melero JA. The Soluble Form of Human Respiratory Syncytial Virus Attachment Protein Differs from the Membrane-</w:t>
      </w:r>
      <w:r w:rsidRPr="00B707E2">
        <w:rPr>
          <w:rFonts w:ascii="Cambria" w:hAnsi="Cambria"/>
          <w:noProof/>
        </w:rPr>
        <w:lastRenderedPageBreak/>
        <w:t xml:space="preserve">Bound Form in Its Oligomeric State but Is Still Capable of Binding to Cell Surface Proteoglycans. J Virol. 2004;78(7):3524–32. </w:t>
      </w:r>
    </w:p>
    <w:p w14:paraId="1F73338F"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60. </w:t>
      </w:r>
      <w:r w:rsidRPr="00B707E2">
        <w:rPr>
          <w:rFonts w:ascii="Cambria" w:hAnsi="Cambria"/>
          <w:noProof/>
        </w:rPr>
        <w:tab/>
        <w:t xml:space="preserve">Bukreyev A, Yang L, Fricke J, Cheng L, Ward JM, Murphy BR, et al. The secreted form of respiratory syncytial virus G glycoprotein helps the virus evade antibody-mediated restriction of replication by acting as an antigen decoy and through effects on Fc receptor-bearing leukocytes. J Virol. American Society for Microbiology; 2008 Dec 15;82(24):12191–204. </w:t>
      </w:r>
    </w:p>
    <w:p w14:paraId="218DB4B7"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61. </w:t>
      </w:r>
      <w:r w:rsidRPr="00B707E2">
        <w:rPr>
          <w:rFonts w:ascii="Cambria" w:hAnsi="Cambria"/>
          <w:noProof/>
        </w:rPr>
        <w:tab/>
        <w:t xml:space="preserve">Triantafilou K, Kar S, Vakakis E, Kotecha S, Triantafilou M. Human respiratory syncytial virus viroporin SH: a viral recognition pathway used by the host to signal inflammasome activation. Thorax. BMJ Publishing Group Ltd; 2013 Jan 1;68(1):66–75. </w:t>
      </w:r>
    </w:p>
    <w:p w14:paraId="545A9A0F"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62. </w:t>
      </w:r>
      <w:r w:rsidRPr="00B707E2">
        <w:rPr>
          <w:rFonts w:ascii="Cambria" w:hAnsi="Cambria"/>
          <w:noProof/>
        </w:rPr>
        <w:tab/>
        <w:t xml:space="preserve">Collins PL, Mottet G. Membrane orientation and oligomerization of the small hydrophobic protein of human respiratory syncytial virus. J Gen Virol. 1993 Jul 1;74(7):1445–50. </w:t>
      </w:r>
    </w:p>
    <w:p w14:paraId="32D51987"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63. </w:t>
      </w:r>
      <w:r w:rsidRPr="00B707E2">
        <w:rPr>
          <w:rFonts w:ascii="Cambria" w:hAnsi="Cambria"/>
          <w:noProof/>
        </w:rPr>
        <w:tab/>
        <w:t xml:space="preserve">Schepens B, Schotsaert M, Saelens X. Small hydrophobic protein of respiratory syncytial virus as a novel vaccine antigen. Immunotherapy. 2015 Mar;7(3):203–6. </w:t>
      </w:r>
    </w:p>
    <w:p w14:paraId="34410EFC"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64. </w:t>
      </w:r>
      <w:r w:rsidRPr="00B707E2">
        <w:rPr>
          <w:rFonts w:ascii="Cambria" w:hAnsi="Cambria"/>
          <w:noProof/>
        </w:rPr>
        <w:tab/>
        <w:t xml:space="preserve">Fearns R, Peeples ME, Collins PL. Increased Expression of the N Protein of Respiratory Syncytial Virus Stimulates Minigenome Replication but Does Not Alter the Balance between the Synthesis of mRNA and Antigenome. Virology. 1997 Sep 15;236(1):188–201. </w:t>
      </w:r>
    </w:p>
    <w:p w14:paraId="3EE8A334"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65. </w:t>
      </w:r>
      <w:r w:rsidRPr="00B707E2">
        <w:rPr>
          <w:rFonts w:ascii="Cambria" w:hAnsi="Cambria"/>
          <w:noProof/>
        </w:rPr>
        <w:tab/>
        <w:t xml:space="preserve">Collins PL, Graham BS. Viral and host factors in human respiratory syncytial virus pathogenesis. J Virol. American Society for Microbiology; 2008 Mar 1;82(5):2040–55. </w:t>
      </w:r>
    </w:p>
    <w:p w14:paraId="7DC9CA91"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66. </w:t>
      </w:r>
      <w:r w:rsidRPr="00B707E2">
        <w:rPr>
          <w:rFonts w:ascii="Cambria" w:hAnsi="Cambria"/>
          <w:noProof/>
        </w:rPr>
        <w:tab/>
        <w:t xml:space="preserve">Teng MN, Collins PL. Identification of the respiratory syncytial virus proteins required for formation and passage of helper-dependent infectious particles. J Virol. 1998 Jul;72(7):5707–16. </w:t>
      </w:r>
    </w:p>
    <w:p w14:paraId="416D2439"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67. </w:t>
      </w:r>
      <w:r w:rsidRPr="00B707E2">
        <w:rPr>
          <w:rFonts w:ascii="Cambria" w:hAnsi="Cambria"/>
          <w:noProof/>
        </w:rPr>
        <w:tab/>
        <w:t xml:space="preserve">Glezen WP, Paredes A, Allison JE, Taber LH, Frank AL. Risk of respiratory syncytial virus infection for infants from low-income families in relationship to age, sex, ethnic group, and maternal antibody level. J Pediatr. 1981 May;98(5):708–15. </w:t>
      </w:r>
    </w:p>
    <w:p w14:paraId="131368D0"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68. </w:t>
      </w:r>
      <w:r w:rsidRPr="00B707E2">
        <w:rPr>
          <w:rFonts w:ascii="Cambria" w:hAnsi="Cambria"/>
          <w:noProof/>
        </w:rPr>
        <w:tab/>
        <w:t xml:space="preserve">Zhu Q, McLellan JS, Kallewaard NL, Ulbrandt ND, Palaszynski S, Zhang J, et al. A highly potent extended half-life antibody as a potential RSV vaccine surrogate for all infants. Sci Transl Med. 2017 May 3;9(388):eaaj1928. </w:t>
      </w:r>
    </w:p>
    <w:p w14:paraId="6AA8BFB0"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69. </w:t>
      </w:r>
      <w:r w:rsidRPr="00B707E2">
        <w:rPr>
          <w:rFonts w:ascii="Cambria" w:hAnsi="Cambria"/>
          <w:noProof/>
        </w:rPr>
        <w:tab/>
        <w:t xml:space="preserve">Chu HY, Englund JA. Maternal immunization. Clin Infect Dis. 2014 Aug 15;59(4):560–8. </w:t>
      </w:r>
    </w:p>
    <w:p w14:paraId="66CEB1C1"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70. </w:t>
      </w:r>
      <w:r w:rsidRPr="00B707E2">
        <w:rPr>
          <w:rFonts w:ascii="Cambria" w:hAnsi="Cambria"/>
          <w:noProof/>
        </w:rPr>
        <w:tab/>
        <w:t xml:space="preserve">Chaw L, Kamigaki T, Burmaa A, Urtnasan C, Od I, Nyamaa G, et al. Burden of Influenza and Respiratory Syncytial Virus Infection in Pregnant Women and Infants Under 6 Months in Mongolia: A Prospective Cohort Study. PLoS One. Public Library of Science; 2016 Jan 5;11(2):e0148421. </w:t>
      </w:r>
    </w:p>
    <w:p w14:paraId="22862BC1"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71. </w:t>
      </w:r>
      <w:r w:rsidRPr="00B707E2">
        <w:rPr>
          <w:rFonts w:ascii="Cambria" w:hAnsi="Cambria"/>
          <w:noProof/>
        </w:rPr>
        <w:tab/>
        <w:t xml:space="preserve">Madhi SA, Cutland CL, Downs S, Jones S, van Niekerk N, Simoes EAF, et al. Burden of Respiratory Syncytial Virus Infection in South African Human Immunodeficiency Virus (HIV)-Infected and HIV-Uninfected Pregnant and Postpartum Women: A Longitudinal Cohort Study. Clin Infect Dis. 2017 Dec 15; </w:t>
      </w:r>
    </w:p>
    <w:p w14:paraId="10496182"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72. </w:t>
      </w:r>
      <w:r w:rsidRPr="00B707E2">
        <w:rPr>
          <w:rFonts w:ascii="Cambria" w:hAnsi="Cambria"/>
          <w:noProof/>
        </w:rPr>
        <w:tab/>
        <w:t xml:space="preserve">Chu HY, Katz J, Tielsch J, Khatry SK, Shrestha L, LeClerq SC, et al. Clinical Presentation and Birth Outcomes Associated with Respiratory Syncytial Virus Infection in Pregnancy. Jhaveri R, editor. PLoS One. 2016 Mar 31;11(3):e0152015. </w:t>
      </w:r>
    </w:p>
    <w:p w14:paraId="6A2E7C42"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73. </w:t>
      </w:r>
      <w:r w:rsidRPr="00B707E2">
        <w:rPr>
          <w:rFonts w:ascii="Cambria" w:hAnsi="Cambria"/>
          <w:noProof/>
        </w:rPr>
        <w:tab/>
        <w:t xml:space="preserve">Wheeler SM, Dotters-Katz S, Heine RP, Grotegut CA, Swamy GK. Maternal Effects of Respiratory Syncytial Virus Infection during Pregnancy. Emerg Infect Dis. 2015 Nov;21(11):1951–5. </w:t>
      </w:r>
    </w:p>
    <w:p w14:paraId="1461ED7C"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74. </w:t>
      </w:r>
      <w:r w:rsidRPr="00B707E2">
        <w:rPr>
          <w:rFonts w:ascii="Cambria" w:hAnsi="Cambria"/>
          <w:noProof/>
        </w:rPr>
        <w:tab/>
        <w:t xml:space="preserve">Malek A, Sager R, Kuhn P, Nicolaides KH, Schneider H. Evolution of maternofetal transport of immunoglobulins during human pregnancy. Am J Reprod Immunol. 1996 Nov;36(5):248–55. </w:t>
      </w:r>
    </w:p>
    <w:p w14:paraId="0BE06B0B"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75. </w:t>
      </w:r>
      <w:r w:rsidRPr="00B707E2">
        <w:rPr>
          <w:rFonts w:ascii="Cambria" w:hAnsi="Cambria"/>
          <w:noProof/>
        </w:rPr>
        <w:tab/>
        <w:t xml:space="preserve">Beck S, Wojdyla D, Say L, Pilar Bertran A, Meraldi M, Harris Requejo J, et al. The worldwide incidence of preterm birth: a systematic review of maternal mortality and morbidity. Bull World Health Organ. 2010 Jan 1;88(1):31–8. </w:t>
      </w:r>
    </w:p>
    <w:p w14:paraId="3B7732EE"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76. </w:t>
      </w:r>
      <w:r w:rsidRPr="00B707E2">
        <w:rPr>
          <w:rFonts w:ascii="Cambria" w:hAnsi="Cambria"/>
          <w:noProof/>
        </w:rPr>
        <w:tab/>
        <w:t xml:space="preserve">Blencowe H, Cousens S, Oestergaard MZ, Chou D, Moller A-B, Narwal R, et al. National, regional, and worldwide estimates of preterm birth rates in the year 2010 with time trends since 1990 for selected countries: a systematic analysis and implications. Lancet. 2012 Jun 9;379(9832):2162–72. </w:t>
      </w:r>
    </w:p>
    <w:p w14:paraId="66E99532"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77. </w:t>
      </w:r>
      <w:r w:rsidRPr="00B707E2">
        <w:rPr>
          <w:rFonts w:ascii="Cambria" w:hAnsi="Cambria"/>
          <w:noProof/>
        </w:rPr>
        <w:tab/>
        <w:t xml:space="preserve">Eberhardt CS, Blanchard-Rohner G, Lemaître B, Boukrid M, Combescure C, Othenin-Girard V, et al. Maternal Immunization Earlier in Pregnancy Maximizes Antibody Transfer and Expected Infant Seropositivity Against Pertussis. Clin Infect Dis. 2016 Apr 1;62(7):829–36. </w:t>
      </w:r>
    </w:p>
    <w:p w14:paraId="2A0D9CF8"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78. </w:t>
      </w:r>
      <w:r w:rsidRPr="00B707E2">
        <w:rPr>
          <w:rFonts w:ascii="Cambria" w:hAnsi="Cambria"/>
          <w:noProof/>
        </w:rPr>
        <w:tab/>
        <w:t xml:space="preserve">Marchant A, Sadarangani M, Garand M, Dauby N, Verhasselt V, Pereira L, et al. Maternal immunisation: collaborating with mother nature. Lancet Infect Dis. 2017 Jul;17(7):e197–208. </w:t>
      </w:r>
    </w:p>
    <w:p w14:paraId="674BAEF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79. </w:t>
      </w:r>
      <w:r w:rsidRPr="00B707E2">
        <w:rPr>
          <w:rFonts w:ascii="Cambria" w:hAnsi="Cambria"/>
          <w:noProof/>
        </w:rPr>
        <w:tab/>
        <w:t xml:space="preserve">Cromer D, van Hoek AJ, Newall AT, Pollard AJ, Jit M. Burden of paediatric respiratory syncytial virus disease and potential effect of different immunisation strategies: a modelling and cost-effectiveness analysis for England. Lancet Public Heal. Elsevier; 2017 Aug 1;2(8):e367–74. </w:t>
      </w:r>
    </w:p>
    <w:p w14:paraId="5D83D72D"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80. </w:t>
      </w:r>
      <w:r w:rsidRPr="00B707E2">
        <w:rPr>
          <w:rFonts w:ascii="Cambria" w:hAnsi="Cambria"/>
          <w:noProof/>
        </w:rPr>
        <w:tab/>
        <w:t xml:space="preserve">Scheltema NM, Gentile A, Lucion F, Nokes DJ, Munywoki PK, Madhi SA, et al. Global respiratory syncytial virus-associated mortality in young children (RSV GOLD): a retrospective case series. Lancet Glob Heal. Elsevier; 2017 Oct 1;5(10):e984–91. </w:t>
      </w:r>
    </w:p>
    <w:p w14:paraId="25E2C1F3"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81. </w:t>
      </w:r>
      <w:r w:rsidRPr="00B707E2">
        <w:rPr>
          <w:rFonts w:ascii="Cambria" w:hAnsi="Cambria"/>
          <w:noProof/>
        </w:rPr>
        <w:tab/>
        <w:t xml:space="preserve">Bont L, van Vught AJ, Kimpen JL. Prophylaxis against respiratory syncytial virus in premature infants. Lancet. 1999 Sep 18;354(9183):1003–4. </w:t>
      </w:r>
    </w:p>
    <w:p w14:paraId="073750A3"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82. </w:t>
      </w:r>
      <w:r w:rsidRPr="00B707E2">
        <w:rPr>
          <w:rFonts w:ascii="Cambria" w:hAnsi="Cambria"/>
          <w:noProof/>
        </w:rPr>
        <w:tab/>
        <w:t xml:space="preserve">Gilman MSA, Moin SM, Mas V, Chen M, Patel NK, Kramer K, et al. Characterization of a Prefusion-Specific Antibody That Recognizes a Quaternary, Cleavage-Dependent Epitope on the RSV Fusion Glycoprotein. Tomaras GD, editor. PLOS Pathog. 2015 Jul 10;11(7):e1005035. </w:t>
      </w:r>
    </w:p>
    <w:p w14:paraId="701D2A0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83. </w:t>
      </w:r>
      <w:r w:rsidRPr="00B707E2">
        <w:rPr>
          <w:rFonts w:ascii="Cambria" w:hAnsi="Cambria"/>
          <w:noProof/>
        </w:rPr>
        <w:tab/>
        <w:t xml:space="preserve">Corti D, Bianchi S, Vanzetta F, Minola A, Perez L, Agatic G, et al. Cross-neutralization of four paramyxoviruses by a human monoclonal antibody. Nature. 2013 Sep 18;501(7467):439–43. </w:t>
      </w:r>
    </w:p>
    <w:p w14:paraId="29E1F37C"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84. </w:t>
      </w:r>
      <w:r w:rsidRPr="00B707E2">
        <w:rPr>
          <w:rFonts w:ascii="Cambria" w:hAnsi="Cambria"/>
          <w:noProof/>
        </w:rPr>
        <w:tab/>
        <w:t xml:space="preserve">Más V, Rodriguez L, Olmedillas E, Cano O, Palomo C, Terrón MC, et al. Engineering, Structure and Immunogenicity of the Human Metapneumovirus F Protein in the Postfusion Conformation. PLOS Pathog. 2016 Sep 9;12(9):e1005859. </w:t>
      </w:r>
    </w:p>
    <w:p w14:paraId="5C46A4A7"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85. </w:t>
      </w:r>
      <w:r w:rsidRPr="00B707E2">
        <w:rPr>
          <w:rFonts w:ascii="Cambria" w:hAnsi="Cambria"/>
          <w:noProof/>
        </w:rPr>
        <w:tab/>
        <w:t xml:space="preserve">Murphy BR, Prince GA, Walsh EE, Kim HW, Parrott RH, Hemming VG, et al. Dissociation between serum neutralizing and glycoprotein antibody responses of infants and children who received inactivated respiratory syncytial virus vaccine. J Clin Microbiol. American Society for Microbiology (ASM); 1986 Aug;24(2):197–202. </w:t>
      </w:r>
    </w:p>
    <w:p w14:paraId="1D2774E2"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86. </w:t>
      </w:r>
      <w:r w:rsidRPr="00B707E2">
        <w:rPr>
          <w:rFonts w:ascii="Cambria" w:hAnsi="Cambria"/>
          <w:noProof/>
        </w:rPr>
        <w:tab/>
        <w:t xml:space="preserve">Hosken N, Plikaytis B, Trujillo C, Mahmood K, Higgins D, Participating Laboratories Working Group. A multi-laboratory study of diverse RSV neutralization assays indicates feasibility for harmonization with an international standard. Vaccine. 2017 May 25;35(23):3082–8. </w:t>
      </w:r>
    </w:p>
    <w:p w14:paraId="0DBBD041"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87. </w:t>
      </w:r>
      <w:r w:rsidRPr="00B707E2">
        <w:rPr>
          <w:rFonts w:ascii="Cambria" w:hAnsi="Cambria"/>
          <w:noProof/>
        </w:rPr>
        <w:tab/>
        <w:t>NIBSC. Antiserum to Respiratory Syncytial Virus WHO 1st International Standard [Internet]. [cited 2018 Jan 14]. Available from: http://www.nibsc.org/products/brm_product_catalogue/detail_page.aspx?catid=16/284</w:t>
      </w:r>
    </w:p>
    <w:p w14:paraId="7931126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88. </w:t>
      </w:r>
      <w:r w:rsidRPr="00B707E2">
        <w:rPr>
          <w:rFonts w:ascii="Cambria" w:hAnsi="Cambria"/>
          <w:noProof/>
        </w:rPr>
        <w:tab/>
        <w:t xml:space="preserve">Graham B. Vaccine development for respiratory syncytial virus. Curr Opin Virol. 2017;23:107–12. </w:t>
      </w:r>
    </w:p>
    <w:p w14:paraId="6A9BA327"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89. </w:t>
      </w:r>
      <w:r w:rsidRPr="00B707E2">
        <w:rPr>
          <w:rFonts w:ascii="Cambria" w:hAnsi="Cambria"/>
          <w:noProof/>
        </w:rPr>
        <w:tab/>
        <w:t xml:space="preserve">Taylor G. Animal models of respiratory syncytial virus infection. Vaccine. Elsevier; 2017;35(3):469–80. </w:t>
      </w:r>
    </w:p>
    <w:p w14:paraId="6FCEEFBF"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90. </w:t>
      </w:r>
      <w:r w:rsidRPr="00B707E2">
        <w:rPr>
          <w:rFonts w:ascii="Cambria" w:hAnsi="Cambria"/>
          <w:noProof/>
        </w:rPr>
        <w:tab/>
        <w:t xml:space="preserve">Habibi MS, Chiu C. Controlled human infection with RSV: The opportunities of experimental challenge. Vaccine. 2017 Jan 11;35(3):489–95. </w:t>
      </w:r>
    </w:p>
    <w:p w14:paraId="70D077C2"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91. </w:t>
      </w:r>
      <w:r w:rsidRPr="00B707E2">
        <w:rPr>
          <w:rFonts w:ascii="Cambria" w:hAnsi="Cambria"/>
          <w:noProof/>
        </w:rPr>
        <w:tab/>
        <w:t xml:space="preserve">Smith G, Wu Y, Massare M, Liu Y. Recombinant nanoparticle rsv f vaccine for respiratory syncytial virus. USA; WO 2013049342 A1, 2012. </w:t>
      </w:r>
    </w:p>
    <w:p w14:paraId="088F339C"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92. </w:t>
      </w:r>
      <w:r w:rsidRPr="00B707E2">
        <w:rPr>
          <w:rFonts w:ascii="Cambria" w:hAnsi="Cambria"/>
          <w:noProof/>
        </w:rPr>
        <w:tab/>
        <w:t xml:space="preserve">Novavax I. Investor Presentation of Novavax Inc. In: Investor Presentation of Novavax, Inc at JP Morgan Healthcare Conference. 2018. </w:t>
      </w:r>
    </w:p>
    <w:p w14:paraId="78BB8AF6"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93. </w:t>
      </w:r>
      <w:r w:rsidRPr="00B707E2">
        <w:rPr>
          <w:rFonts w:ascii="Cambria" w:hAnsi="Cambria"/>
          <w:noProof/>
        </w:rPr>
        <w:tab/>
        <w:t>A Phase I Randomized, Observer-Blinded, Dose-Ranging Study in Healthy Subjects 24 to [Internet]. [cited 2018 Jan 14]. Available from: https://clinicaltrials.gov/ct2/show/NCT02296463</w:t>
      </w:r>
    </w:p>
    <w:p w14:paraId="4DCEEE69"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94. </w:t>
      </w:r>
      <w:r w:rsidRPr="00B707E2">
        <w:rPr>
          <w:rFonts w:ascii="Cambria" w:hAnsi="Cambria"/>
          <w:noProof/>
        </w:rPr>
        <w:tab/>
        <w:t xml:space="preserve">Van Braeckel-Budimir N, Haijema BJ, Leenhouts K. Bacterium-like particles for efficient immune stimulation of existing vaccines and new subunit vaccines in mucosal applications. Front Immunol. 2013;4:282. </w:t>
      </w:r>
    </w:p>
    <w:p w14:paraId="169D137B"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95. </w:t>
      </w:r>
      <w:r w:rsidRPr="00B707E2">
        <w:rPr>
          <w:rFonts w:ascii="Cambria" w:hAnsi="Cambria"/>
          <w:noProof/>
        </w:rPr>
        <w:tab/>
        <w:t xml:space="preserve">Gilbert SC. Clinical development of Modified Vaccinia virus Ankara vaccines. Vaccine. 2013 Sep 6;31(39):4241–6. </w:t>
      </w:r>
    </w:p>
    <w:p w14:paraId="2301074A"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96. </w:t>
      </w:r>
      <w:r w:rsidRPr="00B707E2">
        <w:rPr>
          <w:rFonts w:ascii="Cambria" w:hAnsi="Cambria"/>
          <w:noProof/>
        </w:rPr>
        <w:tab/>
        <w:t xml:space="preserve">Liebowitz D, Lindbloom JD, Brandl JR, Garg SJ, Tucker SN. High titre neutralising antibodies to influenza after oral tablet immunisation: a phase 1, randomised, placebo-controlled trial. Lancet Infect Dis. 2015 Sep;15(9):1041–8. </w:t>
      </w:r>
    </w:p>
    <w:p w14:paraId="79815ECC"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97. </w:t>
      </w:r>
      <w:r w:rsidRPr="00B707E2">
        <w:rPr>
          <w:rFonts w:ascii="Cambria" w:hAnsi="Cambria"/>
          <w:noProof/>
        </w:rPr>
        <w:tab/>
        <w:t>Business Wire. Vaxart Presents Positive Preclinical Data for Oral RSV Vaccine at RSV Vaccines for the World Conference [Internet]. 2015 [cited 2018 Jan 19]. Available from: https://www.businesswire.com/news/home/20151119005368/en/Vaxart-Presents-Positive-Preclinical-Data-Oral-RSV</w:t>
      </w:r>
    </w:p>
    <w:p w14:paraId="731EABCC"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98. </w:t>
      </w:r>
      <w:r w:rsidRPr="00B707E2">
        <w:rPr>
          <w:rFonts w:ascii="Cambria" w:hAnsi="Cambria"/>
          <w:noProof/>
        </w:rPr>
        <w:tab/>
        <w:t xml:space="preserve">de Bree GJ, Heidema J, van Leeuwen EMM, van Bleek GM, Jonkers RE, Jansen HM, et al. Respiratory Syncytial Virus–Specific CD8 </w:t>
      </w:r>
      <w:r w:rsidRPr="00B707E2">
        <w:rPr>
          <w:rFonts w:ascii="Cambria" w:hAnsi="Cambria"/>
          <w:noProof/>
          <w:vertAlign w:val="superscript"/>
        </w:rPr>
        <w:t>+</w:t>
      </w:r>
      <w:r w:rsidRPr="00B707E2">
        <w:rPr>
          <w:rFonts w:ascii="Cambria" w:hAnsi="Cambria"/>
          <w:noProof/>
        </w:rPr>
        <w:t xml:space="preserve"> Memory T Cell Responses in Elderly Persons. J Infect Dis. 2005 May 15;191(10):1710–8. </w:t>
      </w:r>
    </w:p>
    <w:p w14:paraId="7AB19C54"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99. </w:t>
      </w:r>
      <w:r w:rsidRPr="00B707E2">
        <w:rPr>
          <w:rFonts w:ascii="Cambria" w:hAnsi="Cambria"/>
          <w:noProof/>
        </w:rPr>
        <w:tab/>
        <w:t xml:space="preserve">Cusi MG, Martorelli B, Di Genova G, Terrosi C, Campoccia G, Correale P. Age related changes in T cell mediated immune response and effector memory to Respiratory Syncytial Virus (RSV) in healthy subjects. Immun Ageing. BioMed Central; 2010 Oct 20;7:14. </w:t>
      </w:r>
    </w:p>
    <w:p w14:paraId="0AC74006"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100. </w:t>
      </w:r>
      <w:r w:rsidRPr="00B707E2">
        <w:rPr>
          <w:rFonts w:ascii="Cambria" w:hAnsi="Cambria"/>
          <w:noProof/>
        </w:rPr>
        <w:tab/>
        <w:t xml:space="preserve">Creech CB, Dekker CL, Ho D, Phillips S, Mackey S, Murray-Krezan C, et al. Randomized, placebo-controlled trial to assess the safety and immunogenicity of an adenovirus type 35-based circumsporozoite malaria vaccine in healthy adults. Hum Vaccin Immunother. 2013 Dec 1;9(12):2548–57. </w:t>
      </w:r>
    </w:p>
    <w:p w14:paraId="18EFE340"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101. </w:t>
      </w:r>
      <w:r w:rsidRPr="00B707E2">
        <w:rPr>
          <w:rFonts w:ascii="Cambria" w:hAnsi="Cambria"/>
          <w:noProof/>
        </w:rPr>
        <w:tab/>
        <w:t xml:space="preserve">Barouch DH, Liu J, Peter L, Abbink P, Iampietro MJ, Cheung A, et al. Characterization of Humoral and Cellular Immune Responses Elicited by a Recombinant Adenovirus Serotype 26 HIV-1 Env Vaccine in Healthy Adults (IPCAVD 001). J Infect Dis. 2013 Jan 15;207(2):248–56. </w:t>
      </w:r>
    </w:p>
    <w:p w14:paraId="45EDC326"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102. </w:t>
      </w:r>
      <w:r w:rsidRPr="00B707E2">
        <w:rPr>
          <w:rFonts w:ascii="Cambria" w:hAnsi="Cambria"/>
          <w:noProof/>
        </w:rPr>
        <w:tab/>
        <w:t>A Study to Evaluate the Safety and Immunogenicity of Seasonal Influenza Vaccine and an Adenovirus Serotype 26- Based Vaccine Encoding for the Respiratory Syncytial Virus Pre-fusion F Protein (Ad26.RSV.preF), With and Without Co-administration, in Adults Aged 60 Years and Older in Stable Health - Full Text View - ClinicalTrials.gov [Internet]. [cited 2018 Jan 14]. Available from: https://clinicaltrials.gov/ct2/show/NCT03339713</w:t>
      </w:r>
    </w:p>
    <w:p w14:paraId="4D646BC9"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103. </w:t>
      </w:r>
      <w:r w:rsidRPr="00B707E2">
        <w:rPr>
          <w:rFonts w:ascii="Cambria" w:hAnsi="Cambria"/>
          <w:noProof/>
        </w:rPr>
        <w:tab/>
        <w:t xml:space="preserve">Dieussaert I. GSK’s Pediatric RSV Vaccine Program. In: Presentation at Food and Drug Administration (FDA) 150th Meeting of the Vaccines and Related Biological Products Advisory Committee Meeting (VRBPAC). Silver Spring; 2017. </w:t>
      </w:r>
    </w:p>
    <w:p w14:paraId="2087D5D6"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104. </w:t>
      </w:r>
      <w:r w:rsidRPr="00B707E2">
        <w:rPr>
          <w:rFonts w:ascii="Cambria" w:hAnsi="Cambria"/>
          <w:noProof/>
        </w:rPr>
        <w:tab/>
        <w:t xml:space="preserve">Langley JM, Aggarwal N, Toma A, Halperin SA, McNeil SA, Fissette L, et al. A Randomized, Controlled, Observer-Blinded Phase 1 Study of the Safety and Immunogenicity of a Respiratory Syncytial Virus Vaccine With or Without Alum Adjuvant. J Infect Dis. 2017 Jan 1;215(1):24–33. </w:t>
      </w:r>
    </w:p>
    <w:p w14:paraId="16234817"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105. </w:t>
      </w:r>
      <w:r w:rsidRPr="00B707E2">
        <w:rPr>
          <w:rFonts w:ascii="Cambria" w:hAnsi="Cambria"/>
          <w:noProof/>
        </w:rPr>
        <w:tab/>
        <w:t xml:space="preserve">Karkada M, Weir GM, Quinton T, Sammatur L, MacDonald LD, Grant A, et al. A Novel Breast/Ovarian Cancer Peptide Vaccine Platform That Promotes Specific Type-1 but not Treg/Tr1-type Responses. J Immunother. 2010 Apr;33(3):250–61. </w:t>
      </w:r>
    </w:p>
    <w:p w14:paraId="6291498F"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106. </w:t>
      </w:r>
      <w:r w:rsidRPr="00B707E2">
        <w:rPr>
          <w:rFonts w:ascii="Cambria" w:hAnsi="Cambria"/>
          <w:noProof/>
        </w:rPr>
        <w:tab/>
        <w:t xml:space="preserve">Stanford M. DepoVax TM : A novel delivery formulation for cancer immunotherapy and infectious disease vaccines. In: Presentation at Vaccine Innovation Conference. Montreal; 2017. </w:t>
      </w:r>
    </w:p>
    <w:p w14:paraId="7ABFDD6B"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107. </w:t>
      </w:r>
      <w:r w:rsidRPr="00B707E2">
        <w:rPr>
          <w:rFonts w:ascii="Cambria" w:hAnsi="Cambria"/>
          <w:noProof/>
        </w:rPr>
        <w:tab/>
        <w:t xml:space="preserve">Wright PF, Karron RA, Belshe RB, Shi JR, Randolph VB, Collins PL, et al. The absence of enhanced disease with wild type respiratory syncytial virus infection occurring after receipt of live, attenuated, respiratory syncytial virus vaccines. Vaccine. 2007 Oct 16;25(42):7372–8. </w:t>
      </w:r>
    </w:p>
    <w:p w14:paraId="2D9E5659"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108. </w:t>
      </w:r>
      <w:r w:rsidRPr="00B707E2">
        <w:rPr>
          <w:rFonts w:ascii="Cambria" w:hAnsi="Cambria"/>
          <w:noProof/>
        </w:rPr>
        <w:tab/>
        <w:t xml:space="preserve">Karron RA, Buchholz UJ, Collins PL. Live-Attenuated Respiratory Syncytial Virus Vaccines. Curr Top Microbiol Immunol. 2013;372:259–84. </w:t>
      </w:r>
    </w:p>
    <w:p w14:paraId="2E634D34"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109. </w:t>
      </w:r>
      <w:r w:rsidRPr="00B707E2">
        <w:rPr>
          <w:rFonts w:ascii="Cambria" w:hAnsi="Cambria"/>
          <w:noProof/>
        </w:rPr>
        <w:tab/>
        <w:t xml:space="preserve">Bueno SM, Gonzalez PA, Cautivo KM, Mora JE, Leiva ED, Tobar HE, et al. Protective T cell immunity against respiratory syncytial virus is efficiently induced by recombinant BCG. Proc Natl Acad Sci. 2008 Dec 30;105(52):20822–7. </w:t>
      </w:r>
    </w:p>
    <w:p w14:paraId="32959890"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110. </w:t>
      </w:r>
      <w:r w:rsidRPr="00B707E2">
        <w:rPr>
          <w:rFonts w:ascii="Cambria" w:hAnsi="Cambria"/>
          <w:noProof/>
        </w:rPr>
        <w:tab/>
        <w:t xml:space="preserve">Cautivo KM, Bueno SM, Cortes CM, Wozniak A, Riedel CA, Kalergis AM. Efficient lung recruitment of respiratory syncytial virus-specific Th1 cells induced by recombinant bacillus Calmette-Guérin promotes virus clearance and protects from infection. J Immunol. 2010 Dec 15;185(12):7633–45. </w:t>
      </w:r>
    </w:p>
    <w:p w14:paraId="300A8988"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111. </w:t>
      </w:r>
      <w:r w:rsidRPr="00B707E2">
        <w:rPr>
          <w:rFonts w:ascii="Cambria" w:hAnsi="Cambria"/>
          <w:noProof/>
        </w:rPr>
        <w:tab/>
        <w:t xml:space="preserve">Céspedes PF, Rey-Jurado E, Espinoza JA, Rivera CA, Canedo-Marroquín G, Bueno SM, et al. A single, low dose of a cGMP recombinant BCG vaccine elicits protective T cell immunity against the human respiratory syncytial virus infection and prevents lung pathology in mice. Vaccine. 2017 Feb 1;35(5):757–66. </w:t>
      </w:r>
    </w:p>
    <w:p w14:paraId="1F4AE93F"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112. </w:t>
      </w:r>
      <w:r w:rsidRPr="00B707E2">
        <w:rPr>
          <w:rFonts w:ascii="Cambria" w:hAnsi="Cambria"/>
          <w:noProof/>
        </w:rPr>
        <w:tab/>
        <w:t xml:space="preserve">Rey-Jurado E, Soto J, Gálvez N, Kalergis AM. A safe and efficient BCG vectored vaccine to prevent the disease caused by the human Respiratory Syncytial Virus. Hum Vaccin Immunother. 2017 Sep 2;13(9):2092–7. </w:t>
      </w:r>
    </w:p>
    <w:p w14:paraId="17E2CA44"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113. </w:t>
      </w:r>
      <w:r w:rsidRPr="00B707E2">
        <w:rPr>
          <w:rFonts w:ascii="Cambria" w:hAnsi="Cambria"/>
          <w:noProof/>
        </w:rPr>
        <w:tab/>
        <w:t xml:space="preserve">Dall’Acqua WF, Kiener PA, Wu H. Properties of Human IgG1s Engineered for Enhanced Binding to the Neonatal Fc Receptor (FcRn). J Biol Chem. 2006 Aug 18;281(33):23514–24. </w:t>
      </w:r>
    </w:p>
    <w:p w14:paraId="727644E7"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114. </w:t>
      </w:r>
      <w:r w:rsidRPr="00B707E2">
        <w:rPr>
          <w:rFonts w:ascii="Cambria" w:hAnsi="Cambria"/>
          <w:noProof/>
        </w:rPr>
        <w:tab/>
        <w:t xml:space="preserve">Robbie GJ, Criste R, Dall’acqua WF, Jensen K, Patel NK, Losonsky GA, et al. A novel investigational Fc-modified humanized monoclonal antibody, motavizumab-YTE, has an extended half-life in healthy adults. Antimicrob Agents Chemother. 2013 Dec;57(12):6147–53. </w:t>
      </w:r>
    </w:p>
    <w:p w14:paraId="3E3E469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115. </w:t>
      </w:r>
      <w:r w:rsidRPr="00B707E2">
        <w:rPr>
          <w:rFonts w:ascii="Cambria" w:hAnsi="Cambria"/>
          <w:noProof/>
        </w:rPr>
        <w:tab/>
        <w:t xml:space="preserve">Smith TRF, Schultheis K, Broderick KE. Nucleic acid-based vaccines targeting respiratory syncytial virus: Delivering the goods. Hum Vaccin Immunother. 2017 Nov 2;13(11):2626–9. </w:t>
      </w:r>
    </w:p>
    <w:p w14:paraId="762694EC"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116. </w:t>
      </w:r>
      <w:r w:rsidRPr="00B707E2">
        <w:rPr>
          <w:rFonts w:ascii="Cambria" w:hAnsi="Cambria"/>
          <w:noProof/>
        </w:rPr>
        <w:tab/>
        <w:t xml:space="preserve">Lindell DM, Morris SB, White MP, Kallal LE, Lundy PK, Hamouda T, et al. A Novel Inactivated Intranasal Respiratory Syncytial Virus Vaccine Promotes Viral Clearance without Th2 Associated Vaccine-Enhanced Disease. Semple MG, editor. PLoS One. 2011 Jul 15;6(7):e21823. </w:t>
      </w:r>
    </w:p>
    <w:p w14:paraId="412C16EC"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117. </w:t>
      </w:r>
      <w:r w:rsidRPr="00B707E2">
        <w:rPr>
          <w:rFonts w:ascii="Cambria" w:hAnsi="Cambria"/>
          <w:noProof/>
        </w:rPr>
        <w:tab/>
        <w:t xml:space="preserve">Roberts, J; Graham, B; Karron, R; Munoz, F; Falsey, A; Anderson, L; Marshall, V; Kim, S; Beeler J. The challenges and opportunities in RSV vaccine development: Meeting report from FDA/NIH workshop. Vaccine. 2016;34:4843–4849. </w:t>
      </w:r>
    </w:p>
    <w:p w14:paraId="537838DF"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118. </w:t>
      </w:r>
      <w:r w:rsidRPr="00B707E2">
        <w:rPr>
          <w:rFonts w:ascii="Cambria" w:hAnsi="Cambria"/>
          <w:noProof/>
        </w:rPr>
        <w:tab/>
        <w:t xml:space="preserve">European Medicines Agency. Guideline on the clinical evaluation of medicinal products. EMA/CHMP/257022/2017. London; 2017. </w:t>
      </w:r>
    </w:p>
    <w:p w14:paraId="462A9462"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119. </w:t>
      </w:r>
      <w:r w:rsidRPr="00B707E2">
        <w:rPr>
          <w:rFonts w:ascii="Cambria" w:hAnsi="Cambria"/>
          <w:noProof/>
        </w:rPr>
        <w:tab/>
        <w:t xml:space="preserve">RSV vaccine research and development technology roadmap: Priority activities for development, testing, licensure and global use of RSV vaccines, with a specific focus on the medical need for young children in low-and middle- income countries. Geneva; 2017. </w:t>
      </w:r>
    </w:p>
    <w:p w14:paraId="6A8B577B"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120. </w:t>
      </w:r>
      <w:r w:rsidRPr="00B707E2">
        <w:rPr>
          <w:rFonts w:ascii="Cambria" w:hAnsi="Cambria"/>
          <w:noProof/>
        </w:rPr>
        <w:tab/>
        <w:t xml:space="preserve">WHO Preferred Product Characteristics for Respiratory Syncytial Virus (RSV) Vaccines. Geneva: Licence: CC BY-NC-SA 3.0 IGO; 2017. </w:t>
      </w:r>
    </w:p>
    <w:p w14:paraId="7EA7E864"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121. </w:t>
      </w:r>
      <w:r w:rsidRPr="00B707E2">
        <w:rPr>
          <w:rFonts w:ascii="Cambria" w:hAnsi="Cambria"/>
          <w:noProof/>
        </w:rPr>
        <w:tab/>
        <w:t xml:space="preserve">WHO | WHO Global RSV surveillance pilot - objectives. WHO. World Health Organization; 2017; </w:t>
      </w:r>
    </w:p>
    <w:p w14:paraId="0A8B34F3"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122. </w:t>
      </w:r>
      <w:r w:rsidRPr="00B707E2">
        <w:rPr>
          <w:rFonts w:ascii="Cambria" w:hAnsi="Cambria"/>
          <w:noProof/>
        </w:rPr>
        <w:tab/>
        <w:t xml:space="preserve">Higgins D, Trujillo C, Keech C. Advances in RSV vaccine research and development – A global agenda. Vaccine. 2016 Jun 3;34(26):2870–5. </w:t>
      </w:r>
    </w:p>
    <w:p w14:paraId="197B020E"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123. </w:t>
      </w:r>
      <w:r w:rsidRPr="00B707E2">
        <w:rPr>
          <w:rFonts w:ascii="Cambria" w:hAnsi="Cambria"/>
          <w:noProof/>
        </w:rPr>
        <w:tab/>
        <w:t>Berkley S. Update from GAVI, the vaccine alliance SAGE meeting [Internet]. 2017 [cited 2018 Jan 16]. Available from: www.gavi.org</w:t>
      </w:r>
    </w:p>
    <w:p w14:paraId="1F0A9A4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124. </w:t>
      </w:r>
      <w:r w:rsidRPr="00B707E2">
        <w:rPr>
          <w:rFonts w:ascii="Cambria" w:hAnsi="Cambria"/>
          <w:noProof/>
        </w:rPr>
        <w:tab/>
        <w:t xml:space="preserve">Cowling BJ, Fang VJ, Nishiura H, Chan K, Ng S, Ip DKM, et al. Increased Risk of Nonin fl uenza Respiratory Virus Infections Associated With Receipt of Inactivated In fl uenza Vaccine. 2012;54:1778–83. </w:t>
      </w:r>
    </w:p>
    <w:p w14:paraId="74CD11F8"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125. </w:t>
      </w:r>
      <w:r w:rsidRPr="00B707E2">
        <w:rPr>
          <w:rFonts w:ascii="Cambria" w:hAnsi="Cambria"/>
          <w:noProof/>
        </w:rPr>
        <w:tab/>
        <w:t xml:space="preserve">Belshe RB, Mendelman PM, Treanor J, King J, Gruber WC, Piedra P, et al. The Efficacy of Live Attenuated, Cold-Adapted, Trivalent, Intranasal Influenzavirus Vaccine in Children. N Engl J Med. 1998 May 14;338(20):1405–12. </w:t>
      </w:r>
    </w:p>
    <w:p w14:paraId="7A374D2D"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126. </w:t>
      </w:r>
      <w:r w:rsidRPr="00B707E2">
        <w:rPr>
          <w:rFonts w:ascii="Cambria" w:hAnsi="Cambria"/>
          <w:noProof/>
        </w:rPr>
        <w:tab/>
        <w:t xml:space="preserve">Achten NB, Wu P, Bont L, Blanken MO, Gebretsadik T, Chappell JD, et al. Interference Between Respiratory Syncytial Virus and Human Rhinovirus Infection in Infancy. J Infect Dis. 2017 Apr 1;215(7):1102–6. </w:t>
      </w:r>
    </w:p>
    <w:p w14:paraId="3698C1BE"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127. </w:t>
      </w:r>
      <w:r w:rsidRPr="00B707E2">
        <w:rPr>
          <w:rFonts w:ascii="Cambria" w:hAnsi="Cambria"/>
          <w:noProof/>
        </w:rPr>
        <w:tab/>
        <w:t xml:space="preserve">Blanken MO, Rovers MM, Molenaar JM, Winkler-Seinstra PL, Meijer A, Kimpen JLL, et al. Respiratory syncytial virus and recurrent wheeze in healthy preterm infants. N Engl J Med. 2013;368:1791–9. </w:t>
      </w:r>
    </w:p>
    <w:p w14:paraId="1D4D5C62"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128. </w:t>
      </w:r>
      <w:r w:rsidRPr="00B707E2">
        <w:rPr>
          <w:rFonts w:ascii="Cambria" w:hAnsi="Cambria"/>
          <w:noProof/>
        </w:rPr>
        <w:tab/>
        <w:t xml:space="preserve">Mazur NI, Bont L, Cohen AL, Cohen C, von Gottberg A, Groome MJ, et al. Severity of Respiratory Syncytial Virus Lower Respiratory Tract Infection With Viral Coinfection in HIV-Uninfected Children. Clin Infect Dis. 2016 Dec 7;64(4):443–50. </w:t>
      </w:r>
    </w:p>
    <w:p w14:paraId="3BDDE49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129. </w:t>
      </w:r>
      <w:r w:rsidRPr="00B707E2">
        <w:rPr>
          <w:rFonts w:ascii="Cambria" w:hAnsi="Cambria"/>
          <w:noProof/>
        </w:rPr>
        <w:tab/>
        <w:t xml:space="preserve">Smith G, Raghunandan R, Wu Y, Liu Y, Massare M, Nathan M, et al. Respiratory Syncytial Virus Fusion Glycoprotein Expressed in Insect Cells Form Protein Nanoparticles That Induce Protective Immunity in Cotton Rats. PLoS One. 2012 Nov 30;7(11):e50852. </w:t>
      </w:r>
    </w:p>
    <w:p w14:paraId="4A96FED2"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130. </w:t>
      </w:r>
      <w:r w:rsidRPr="00B707E2">
        <w:rPr>
          <w:rFonts w:ascii="Cambria" w:hAnsi="Cambria"/>
          <w:noProof/>
        </w:rPr>
        <w:tab/>
        <w:t xml:space="preserve">Raghunandan R, Lu H, Zhou B, Xabier MG, Massare MJ, Flyer DC, et al. An insect cell derived respiratory syncytial virus (RSV) F nanoparticle vaccine induces antigenic site II antibodies and protects against RSV challenge in cotton rats by active and passive immunization. Vaccine. 2014 Nov 12;32(48):6485–92. </w:t>
      </w:r>
    </w:p>
    <w:p w14:paraId="1DBA9E33"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131. </w:t>
      </w:r>
      <w:r w:rsidRPr="00B707E2">
        <w:rPr>
          <w:rFonts w:ascii="Cambria" w:hAnsi="Cambria"/>
          <w:noProof/>
        </w:rPr>
        <w:tab/>
        <w:t xml:space="preserve">Welliver R, Papin J, Wolf R, Moore S, Raghunandan R, Lu H, et al. Maternal Immunization of pregnant baboons with the RSV F Nanoparticle leads to trans-placental transfer of high affinity functional antibodies. In: Poster 53 presented at 54th Interscience conference on antimicrobial agents and chemotherapy (ICAAC). Washington D.C.; 2014. </w:t>
      </w:r>
    </w:p>
    <w:p w14:paraId="1B53D130"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132. </w:t>
      </w:r>
      <w:r w:rsidRPr="00B707E2">
        <w:rPr>
          <w:rFonts w:ascii="Cambria" w:hAnsi="Cambria"/>
          <w:noProof/>
        </w:rPr>
        <w:tab/>
        <w:t xml:space="preserve">Glenn GM, Fries LF, Smith G, Kpamegan E, Lu H, Guebre-Xabier M, et al. Modeling maternal fetal RSV F vaccine induced antibody transfer in guinea pigs. Vaccine. 2015 Nov 25;33(47):6488–92. </w:t>
      </w:r>
    </w:p>
    <w:p w14:paraId="798CDCED"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133. </w:t>
      </w:r>
      <w:r w:rsidRPr="00B707E2">
        <w:rPr>
          <w:rFonts w:ascii="Cambria" w:hAnsi="Cambria"/>
          <w:noProof/>
        </w:rPr>
        <w:tab/>
        <w:t>Novavax. Novavax: Investor and Analyst Presentation November 9, 2016 [Internet]. 2016 [cited 2017 Dec 19]. Available from: http://novavax.com/presentation.show</w:t>
      </w:r>
    </w:p>
    <w:p w14:paraId="2C045CAC"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134. </w:t>
      </w:r>
      <w:r w:rsidRPr="00B707E2">
        <w:rPr>
          <w:rFonts w:ascii="Cambria" w:hAnsi="Cambria"/>
          <w:noProof/>
        </w:rPr>
        <w:tab/>
        <w:t xml:space="preserve">August A, Glenn GM, Kpamegan E, Hickman SP, Jani D, Lu H, et al. A Phase 2 randomized, observer-blind, placebo-controlled, dose-ranging trial of aluminum-adjuvanted respiratory syncytial virus F particle vaccine formulations in healthy women of childbearing age. Vaccine. 2017 Jun 27;35(30):3749–59. </w:t>
      </w:r>
    </w:p>
    <w:p w14:paraId="3E63ED9A"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135. </w:t>
      </w:r>
      <w:r w:rsidRPr="00B707E2">
        <w:rPr>
          <w:rFonts w:ascii="Cambria" w:hAnsi="Cambria"/>
          <w:noProof/>
        </w:rPr>
        <w:tab/>
        <w:t xml:space="preserve">Glenn GM, Fries LF, Thomas DN, Smith G, Kpamegan E, Lu H, et al. A Randomized, Blinded, Controlled, Dose-Ranging Study of a Respiratory Syncytial Virus Recombinant Fusion (F) Nanoparticle Vaccine in Healthy Women of Childbearing Age. J Infect Dis. 2016 Feb 1;213(3):411–22. </w:t>
      </w:r>
    </w:p>
    <w:p w14:paraId="1A9F12DA"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136. </w:t>
      </w:r>
      <w:r w:rsidRPr="00B707E2">
        <w:rPr>
          <w:rFonts w:ascii="Cambria" w:hAnsi="Cambria"/>
          <w:noProof/>
        </w:rPr>
        <w:tab/>
        <w:t xml:space="preserve">Fries L, Shinde V, Stoddard JJ, Thomas DN, Kpamegan E, Lu H, et al. Immunogenicity and safety of a respiratory syncytial virus fusion protein (RSV F) nanoparticle vaccine in older adults. Immun Ageing. 2017 Dec 12;14(1):8. </w:t>
      </w:r>
    </w:p>
    <w:p w14:paraId="63A2E9DE"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137. </w:t>
      </w:r>
      <w:r w:rsidRPr="00B707E2">
        <w:rPr>
          <w:rFonts w:ascii="Cambria" w:hAnsi="Cambria"/>
          <w:noProof/>
        </w:rPr>
        <w:tab/>
        <w:t>Clinical Stage Pipeline – Novavax [Internet]. [cited 2017 Dec 19]. Available from: http://novavax.com/page/11/clinical-stage-pipeline</w:t>
      </w:r>
    </w:p>
    <w:p w14:paraId="7BF2DE1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138. </w:t>
      </w:r>
      <w:r w:rsidRPr="00B707E2">
        <w:rPr>
          <w:rFonts w:ascii="Cambria" w:hAnsi="Cambria"/>
          <w:noProof/>
        </w:rPr>
        <w:tab/>
        <w:t xml:space="preserve">Green CA, Scarselli E, Sande CJ, Thompson AJ, de Lara CM, Taylor KS, et al. Chimpanzee adenovirus- and MVA-vectored respiratory syncytial virus vaccine is safe and immunogenic in adults. Sci Transl Med. 2015 Aug 12;7(300):300ra126. </w:t>
      </w:r>
    </w:p>
    <w:p w14:paraId="2F3ED62C"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139. </w:t>
      </w:r>
      <w:r w:rsidRPr="00B707E2">
        <w:rPr>
          <w:rFonts w:ascii="Cambria" w:hAnsi="Cambria"/>
          <w:noProof/>
        </w:rPr>
        <w:tab/>
        <w:t xml:space="preserve">Jordan E. A randomized, single-blind, placebo-controlled phase I trial to evaluate the safety, tolerability and immunogenicity of the recombinant MVA-BN ® RSV vaccine in healthy adult subjects. In: Presentation at RSV16, the 10th International Respiratory Syncytial Virus Symposium in Patagonia, Argentina. Bariloche; 2016. </w:t>
      </w:r>
    </w:p>
    <w:p w14:paraId="18AB2A48"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140. </w:t>
      </w:r>
      <w:r w:rsidRPr="00B707E2">
        <w:rPr>
          <w:rFonts w:ascii="Cambria" w:hAnsi="Cambria"/>
          <w:noProof/>
        </w:rPr>
        <w:tab/>
        <w:t>Bavarian Nordic. Bavarian Nordic announces positive data from ongoing phase 2 study investigating a universal RSV vaccine [Internet]. Company Announcement no .18. 2017 [cited 2018 Jan 21]. Available from: http://www.bavarian-nordic.com/investor/news/news.aspx?news=5247</w:t>
      </w:r>
    </w:p>
    <w:p w14:paraId="7981CCE4"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141. </w:t>
      </w:r>
      <w:r w:rsidRPr="00B707E2">
        <w:rPr>
          <w:rFonts w:ascii="Cambria" w:hAnsi="Cambria"/>
          <w:noProof/>
        </w:rPr>
        <w:tab/>
        <w:t xml:space="preserve">Widjojoatmodjo MN, Bogaert L, Meek B, Zahn R, Vellinga J, Custers J, et al. Recombinant low-seroprevalent adenoviral vectors Ad26 and Ad35 expressing the respiratory syncytial virus (RSV) fusion protein induce protective immunity against RSV infection in cotton rats. Vaccine. 2015 Oct 5;33(41):5406–14. </w:t>
      </w:r>
    </w:p>
    <w:p w14:paraId="039E44A3"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142. </w:t>
      </w:r>
      <w:r w:rsidRPr="00B707E2">
        <w:rPr>
          <w:rFonts w:ascii="Cambria" w:hAnsi="Cambria"/>
          <w:noProof/>
        </w:rPr>
        <w:tab/>
        <w:t xml:space="preserve">Saville M. Development of a Vaccine For Prevention Of Respiratory Syncytial Virus (RSV) Disease In RSV - Naïve Infants. In: Presentation at Food and Drug Administration (FDA) 150th Meeting of the Vaccines and Related Biological Products Advisory Committee Meeting (VRBPAC). Silver Spring; 2017. </w:t>
      </w:r>
    </w:p>
    <w:p w14:paraId="69BBD3CA"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143. </w:t>
      </w:r>
      <w:r w:rsidRPr="00B707E2">
        <w:rPr>
          <w:rFonts w:ascii="Cambria" w:hAnsi="Cambria"/>
          <w:noProof/>
        </w:rPr>
        <w:tab/>
        <w:t xml:space="preserve">Steff A-M. Development of RSV Vaccines: Glaxosmithkline. In: Presentation at Vaccine Innovation Conference. Toronto; 2015. </w:t>
      </w:r>
    </w:p>
    <w:p w14:paraId="65B8DD86"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144. </w:t>
      </w:r>
      <w:r w:rsidRPr="00B707E2">
        <w:rPr>
          <w:rFonts w:ascii="Cambria" w:hAnsi="Cambria"/>
          <w:noProof/>
        </w:rPr>
        <w:tab/>
        <w:t>GlaxoSmithKline. Safety, Reactogenicity and Immunogenicity Study of Different Formulations of GlaxoSmithKline (GSK) Biologicals’ Investigational RSV Vaccine (GSK3003891A), in Healthy Women - Study Results - ClinicalTrials.gov [Internet]. ClinicalTrials.gov. 2017 [cited 2018 Jan 21]. p. Study Results. Available from: https://clinicaltrials.gov/ct2/show/results/NCT02360475?term=RSV+vaccine&amp;rank=1&amp;sect=X01256#all</w:t>
      </w:r>
    </w:p>
    <w:p w14:paraId="0017422A"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145. </w:t>
      </w:r>
      <w:r w:rsidRPr="00B707E2">
        <w:rPr>
          <w:rFonts w:ascii="Cambria" w:hAnsi="Cambria"/>
          <w:noProof/>
        </w:rPr>
        <w:tab/>
        <w:t xml:space="preserve">Langley J, MacDonald L, Weir G, MacKinnon-Cameron D, Ye L, McNeil S, et al. A RSV vaccine based on the small hydrophobic ectodomain protein presented with a novel lipid-based adjuvant is highly immunogenic and safe in adults. In: Poster presentation at RSV Vaccines for the World Meeting. Malaga, Spain; 2017. </w:t>
      </w:r>
    </w:p>
    <w:p w14:paraId="1751E8A0"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146. </w:t>
      </w:r>
      <w:r w:rsidRPr="00B707E2">
        <w:rPr>
          <w:rFonts w:ascii="Cambria" w:hAnsi="Cambria"/>
          <w:noProof/>
        </w:rPr>
        <w:tab/>
        <w:t xml:space="preserve">Sastry M, Zhang B, Chen M, Joyce MG, Kong W-P, Chuang G-Y, et al. Adjuvants and the vaccine response to the DS-Cav1-stabilized fusion glycoprotein of respiratory syncytial virus. PLoS One. 2017 Oct 26;12(10):e0186854. </w:t>
      </w:r>
    </w:p>
    <w:p w14:paraId="3C5611C7"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147. </w:t>
      </w:r>
      <w:r w:rsidRPr="00B707E2">
        <w:rPr>
          <w:rFonts w:ascii="Cambria" w:hAnsi="Cambria"/>
          <w:noProof/>
        </w:rPr>
        <w:tab/>
        <w:t xml:space="preserve">Palavecino CE, Cespedes PF, Gomez RS, Kalergis AM, Bueno SM. Immunization with a Recombinant Bacillus Calmette-Guerin Strain Confers Protective Th1 Immunity against the Human Metapneumovirus. J Immunol. 2014 Jan 1;192(1):214–23. </w:t>
      </w:r>
    </w:p>
    <w:p w14:paraId="4CF4C3A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148. </w:t>
      </w:r>
      <w:r w:rsidRPr="00B707E2">
        <w:rPr>
          <w:rFonts w:ascii="Cambria" w:hAnsi="Cambria"/>
          <w:noProof/>
        </w:rPr>
        <w:tab/>
        <w:t xml:space="preserve">Griffin MP, Khan AA, Esser MT, Jensen K, Takas T, Kankam MK, et al. Safety, Tolerability, and Pharmacokinetics of MEDI8897, the Respiratory Syncytial Virus Prefusion F-Targeting Monoclonal Antibody with an Extended Half-Life, in Healthy Adults. Antimicrob Agents Chemother. 2017 Mar 1;61(3):e01714-16. </w:t>
      </w:r>
    </w:p>
    <w:p w14:paraId="65027C16"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149. </w:t>
      </w:r>
      <w:r w:rsidRPr="00B707E2">
        <w:rPr>
          <w:rFonts w:ascii="Cambria" w:hAnsi="Cambria"/>
          <w:noProof/>
        </w:rPr>
        <w:tab/>
        <w:t xml:space="preserve">Stein RT, Bont LJ, Zar H, Polack FP, Park C, Claxton A, et al. Respiratory syncytial virus hospitalization and mortality: Systematic review and meta-analysis. Pediatr Pulmonol. 2017 Apr;52(4):556–69. </w:t>
      </w:r>
    </w:p>
    <w:p w14:paraId="2B5F4E75"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150. </w:t>
      </w:r>
      <w:r w:rsidRPr="00B707E2">
        <w:rPr>
          <w:rFonts w:ascii="Cambria" w:hAnsi="Cambria"/>
          <w:noProof/>
        </w:rPr>
        <w:tab/>
        <w:t xml:space="preserve">Cohen C, Walaza S, Treurnicht FK, McMorrow M, Madhi SA, McAnerney JM, et al. In- and Out-of-hospital Mortality Associated with Seasonal and Pandemic Influenza and Respiratory Syncytial Virus in South Africa, 2009-2013. Clin Infect Dis. 2018 Jan 6;66(1):95–103. </w:t>
      </w:r>
    </w:p>
    <w:p w14:paraId="025198A7"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151. </w:t>
      </w:r>
      <w:r w:rsidRPr="00B707E2">
        <w:rPr>
          <w:rFonts w:ascii="Cambria" w:hAnsi="Cambria"/>
          <w:noProof/>
        </w:rPr>
        <w:tab/>
        <w:t xml:space="preserve">Geoghegan S, Erviti A, Caballero MT, Vallone F, Zanone SM, Losada JV, et al. Mortality due to Respiratory Syncytial Virus. Burden and Risk Factors. Am J Respir Crit Care Med. American Thoracic Society; 2017 Jan 30;195(1):96–103. </w:t>
      </w:r>
    </w:p>
    <w:p w14:paraId="0F59F059" w14:textId="77777777" w:rsidR="00B707E2" w:rsidRPr="00B707E2" w:rsidRDefault="00B707E2" w:rsidP="00B707E2">
      <w:pPr>
        <w:widowControl w:val="0"/>
        <w:autoSpaceDE w:val="0"/>
        <w:autoSpaceDN w:val="0"/>
        <w:adjustRightInd w:val="0"/>
        <w:ind w:left="640" w:hanging="640"/>
        <w:rPr>
          <w:rFonts w:ascii="Cambria" w:hAnsi="Cambria"/>
          <w:noProof/>
        </w:rPr>
      </w:pPr>
      <w:r w:rsidRPr="00B707E2">
        <w:rPr>
          <w:rFonts w:ascii="Cambria" w:hAnsi="Cambria"/>
          <w:noProof/>
        </w:rPr>
        <w:t xml:space="preserve">152. </w:t>
      </w:r>
      <w:r w:rsidRPr="00B707E2">
        <w:rPr>
          <w:rFonts w:ascii="Cambria" w:hAnsi="Cambria"/>
          <w:noProof/>
        </w:rPr>
        <w:tab/>
        <w:t xml:space="preserve">Hall CB, Weinberg GA, Blumkin AK, Edwards KM, Staat MA, Schultz AF, et al. Respiratory syncytial virus-associated hospitalizations among children less than 24 months of age. Pediatrics. 2013 Aug 22;132(2):e341-8. </w:t>
      </w:r>
    </w:p>
    <w:p w14:paraId="3CF12746" w14:textId="3A56DA8B" w:rsidR="000C71B7" w:rsidRDefault="000C71B7" w:rsidP="00B707E2">
      <w:pPr>
        <w:widowControl w:val="0"/>
        <w:autoSpaceDE w:val="0"/>
        <w:autoSpaceDN w:val="0"/>
        <w:adjustRightInd w:val="0"/>
        <w:ind w:left="640" w:hanging="640"/>
        <w:rPr>
          <w:rFonts w:ascii="Cambria" w:hAnsi="Cambria"/>
        </w:rPr>
      </w:pPr>
      <w:r>
        <w:rPr>
          <w:rFonts w:ascii="Cambria" w:hAnsi="Cambria"/>
        </w:rPr>
        <w:fldChar w:fldCharType="end"/>
      </w:r>
    </w:p>
    <w:p w14:paraId="0EBDA07F" w14:textId="77777777" w:rsidR="00BF5B17" w:rsidRDefault="00BF5B17" w:rsidP="00BF5B17">
      <w:pPr>
        <w:rPr>
          <w:rFonts w:ascii="Cambria" w:hAnsi="Cambria"/>
        </w:rPr>
        <w:sectPr w:rsidR="00BF5B17" w:rsidSect="009B6291">
          <w:pgSz w:w="12240" w:h="15840"/>
          <w:pgMar w:top="284" w:right="1440" w:bottom="284" w:left="1440" w:header="720" w:footer="720" w:gutter="0"/>
          <w:cols w:space="720"/>
        </w:sectPr>
      </w:pPr>
    </w:p>
    <w:p w14:paraId="60A81D82" w14:textId="4259EBF3" w:rsidR="00BF5B17" w:rsidRDefault="00BF5B17" w:rsidP="009B6291">
      <w:pPr>
        <w:rPr>
          <w:rFonts w:ascii="Cambria" w:hAnsi="Cambria"/>
        </w:rPr>
      </w:pPr>
      <w:r>
        <w:rPr>
          <w:rFonts w:ascii="Cambria" w:hAnsi="Cambria"/>
        </w:rPr>
        <w:t>Tables/Figures</w:t>
      </w:r>
    </w:p>
    <w:p w14:paraId="12F0E9DA" w14:textId="61F6A53C" w:rsidR="00442F27" w:rsidRDefault="008418DA" w:rsidP="00FD376F">
      <w:pPr>
        <w:jc w:val="both"/>
        <w:rPr>
          <w:rFonts w:ascii="Cambria" w:hAnsi="Cambria"/>
        </w:rPr>
      </w:pPr>
      <w:r>
        <w:rPr>
          <w:rFonts w:ascii="Cambria" w:hAnsi="Cambria"/>
        </w:rPr>
        <w:t xml:space="preserve">Table </w:t>
      </w:r>
      <w:r w:rsidR="00BF5B17">
        <w:rPr>
          <w:rFonts w:ascii="Cambria" w:hAnsi="Cambria"/>
        </w:rPr>
        <w:t>1</w:t>
      </w:r>
      <w:r>
        <w:rPr>
          <w:rFonts w:ascii="Cambria" w:hAnsi="Cambria"/>
        </w:rPr>
        <w:t>: Overview of RSV vaccines</w:t>
      </w:r>
      <w:r w:rsidR="00FC47F8">
        <w:rPr>
          <w:rFonts w:ascii="Cambria" w:hAnsi="Cambria"/>
        </w:rPr>
        <w:t xml:space="preserve"> and mAbs</w:t>
      </w:r>
      <w:r>
        <w:rPr>
          <w:rFonts w:ascii="Cambria" w:hAnsi="Cambria"/>
        </w:rPr>
        <w:t xml:space="preserve"> in clinical development</w:t>
      </w:r>
    </w:p>
    <w:p w14:paraId="4B7F0F9A" w14:textId="77777777" w:rsidR="00442F27" w:rsidRDefault="00442F27" w:rsidP="0040607E">
      <w:pPr>
        <w:ind w:left="-284" w:hanging="426"/>
        <w:jc w:val="both"/>
        <w:rPr>
          <w:rFonts w:ascii="Cambria" w:hAnsi="Cambria"/>
        </w:rPr>
      </w:pPr>
    </w:p>
    <w:tbl>
      <w:tblPr>
        <w:tblStyle w:val="LightShading"/>
        <w:tblW w:w="13574" w:type="dxa"/>
        <w:tblInd w:w="-601" w:type="dxa"/>
        <w:tblLayout w:type="fixed"/>
        <w:tblLook w:val="04A0" w:firstRow="1" w:lastRow="0" w:firstColumn="1" w:lastColumn="0" w:noHBand="0" w:noVBand="1"/>
      </w:tblPr>
      <w:tblGrid>
        <w:gridCol w:w="1135"/>
        <w:gridCol w:w="141"/>
        <w:gridCol w:w="851"/>
        <w:gridCol w:w="958"/>
        <w:gridCol w:w="738"/>
        <w:gridCol w:w="886"/>
        <w:gridCol w:w="941"/>
        <w:gridCol w:w="979"/>
        <w:gridCol w:w="1088"/>
        <w:gridCol w:w="738"/>
        <w:gridCol w:w="738"/>
        <w:gridCol w:w="738"/>
        <w:gridCol w:w="885"/>
        <w:gridCol w:w="886"/>
        <w:gridCol w:w="64"/>
        <w:gridCol w:w="1808"/>
      </w:tblGrid>
      <w:tr w:rsidR="0040607E" w:rsidRPr="0073253E" w14:paraId="37AA9F6E" w14:textId="77777777" w:rsidTr="0068162F">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276" w:type="dxa"/>
            <w:gridSpan w:val="2"/>
          </w:tcPr>
          <w:p w14:paraId="3EA62EE7" w14:textId="729DAEC8" w:rsidR="001F526C" w:rsidRPr="0073253E" w:rsidRDefault="001F526C" w:rsidP="00A73EE2">
            <w:pPr>
              <w:jc w:val="center"/>
              <w:rPr>
                <w:rFonts w:ascii="Cambria" w:hAnsi="Cambria"/>
                <w:sz w:val="12"/>
                <w:szCs w:val="12"/>
              </w:rPr>
            </w:pPr>
            <w:r w:rsidRPr="0073253E">
              <w:rPr>
                <w:rFonts w:ascii="Cambria" w:hAnsi="Cambria"/>
                <w:sz w:val="12"/>
                <w:szCs w:val="12"/>
              </w:rPr>
              <w:t>Vaccine</w:t>
            </w:r>
          </w:p>
        </w:tc>
        <w:tc>
          <w:tcPr>
            <w:tcW w:w="851" w:type="dxa"/>
          </w:tcPr>
          <w:p w14:paraId="1054C799" w14:textId="3847982C" w:rsidR="001F526C" w:rsidRPr="0073253E" w:rsidRDefault="001F526C" w:rsidP="00A73EE2">
            <w:pPr>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Company</w:t>
            </w:r>
            <w:r w:rsidR="00747E90">
              <w:rPr>
                <w:rFonts w:ascii="Cambria" w:hAnsi="Cambria"/>
                <w:sz w:val="12"/>
                <w:szCs w:val="12"/>
              </w:rPr>
              <w:t>/ Sponsor</w:t>
            </w:r>
          </w:p>
        </w:tc>
        <w:tc>
          <w:tcPr>
            <w:tcW w:w="958" w:type="dxa"/>
          </w:tcPr>
          <w:p w14:paraId="08622AB0" w14:textId="2070540A" w:rsidR="001F526C" w:rsidRPr="0073253E" w:rsidRDefault="001F526C" w:rsidP="00A73EE2">
            <w:pPr>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r w:rsidRPr="0073253E">
              <w:rPr>
                <w:rFonts w:ascii="Cambria" w:hAnsi="Cambria"/>
                <w:sz w:val="12"/>
                <w:szCs w:val="12"/>
              </w:rPr>
              <w:t>Manufacturing Process</w:t>
            </w:r>
          </w:p>
        </w:tc>
        <w:tc>
          <w:tcPr>
            <w:tcW w:w="738" w:type="dxa"/>
          </w:tcPr>
          <w:p w14:paraId="390C6274" w14:textId="171241B8" w:rsidR="001F526C" w:rsidRPr="0073253E" w:rsidRDefault="001F526C" w:rsidP="00A73EE2">
            <w:pPr>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r w:rsidRPr="0073253E">
              <w:rPr>
                <w:rFonts w:ascii="Cambria" w:hAnsi="Cambria"/>
                <w:sz w:val="12"/>
                <w:szCs w:val="12"/>
              </w:rPr>
              <w:t>Antigen</w:t>
            </w:r>
          </w:p>
        </w:tc>
        <w:tc>
          <w:tcPr>
            <w:tcW w:w="886" w:type="dxa"/>
          </w:tcPr>
          <w:p w14:paraId="2B29BEAE" w14:textId="4E2DCF27" w:rsidR="001F526C" w:rsidRPr="0073253E" w:rsidRDefault="001F526C" w:rsidP="00A73EE2">
            <w:pPr>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r w:rsidRPr="0073253E">
              <w:rPr>
                <w:rFonts w:ascii="Cambria" w:hAnsi="Cambria"/>
                <w:sz w:val="12"/>
                <w:szCs w:val="12"/>
              </w:rPr>
              <w:t>Adjuvan</w:t>
            </w:r>
            <w:r w:rsidR="00206420">
              <w:rPr>
                <w:rFonts w:ascii="Cambria" w:hAnsi="Cambria"/>
                <w:sz w:val="12"/>
                <w:szCs w:val="12"/>
              </w:rPr>
              <w:t>t</w:t>
            </w:r>
          </w:p>
        </w:tc>
        <w:tc>
          <w:tcPr>
            <w:tcW w:w="941" w:type="dxa"/>
          </w:tcPr>
          <w:p w14:paraId="7B84D813" w14:textId="326FDB3A" w:rsidR="001F526C" w:rsidRPr="0073253E" w:rsidRDefault="001F526C" w:rsidP="00A73EE2">
            <w:pPr>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r w:rsidRPr="0073253E">
              <w:rPr>
                <w:rFonts w:ascii="Cambria" w:hAnsi="Cambria"/>
                <w:sz w:val="12"/>
                <w:szCs w:val="12"/>
              </w:rPr>
              <w:t>Mechanism of Action</w:t>
            </w:r>
          </w:p>
        </w:tc>
        <w:tc>
          <w:tcPr>
            <w:tcW w:w="979" w:type="dxa"/>
          </w:tcPr>
          <w:p w14:paraId="326239F4" w14:textId="083A206F" w:rsidR="001F526C" w:rsidRPr="0073253E" w:rsidRDefault="001F526C" w:rsidP="00A73EE2">
            <w:pPr>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r w:rsidRPr="0073253E">
              <w:rPr>
                <w:rFonts w:ascii="Cambria" w:hAnsi="Cambria"/>
                <w:sz w:val="12"/>
                <w:szCs w:val="12"/>
              </w:rPr>
              <w:t>Target Population</w:t>
            </w:r>
          </w:p>
        </w:tc>
        <w:tc>
          <w:tcPr>
            <w:tcW w:w="1088" w:type="dxa"/>
          </w:tcPr>
          <w:p w14:paraId="7D561297" w14:textId="5F726857" w:rsidR="001F526C" w:rsidRPr="0073253E" w:rsidRDefault="001F526C" w:rsidP="00A73EE2">
            <w:pPr>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Route of </w:t>
            </w:r>
            <w:r w:rsidR="0028696B" w:rsidRPr="0073253E">
              <w:rPr>
                <w:rFonts w:ascii="Cambria" w:hAnsi="Cambria"/>
                <w:sz w:val="12"/>
                <w:szCs w:val="12"/>
              </w:rPr>
              <w:t>Admin</w:t>
            </w:r>
            <w:r w:rsidR="0028696B">
              <w:rPr>
                <w:rFonts w:ascii="Cambria" w:hAnsi="Cambria"/>
                <w:sz w:val="12"/>
                <w:szCs w:val="12"/>
              </w:rPr>
              <w:t>istration</w:t>
            </w:r>
          </w:p>
        </w:tc>
        <w:tc>
          <w:tcPr>
            <w:tcW w:w="738" w:type="dxa"/>
          </w:tcPr>
          <w:p w14:paraId="4B804CC8" w14:textId="107DB36A" w:rsidR="001F526C" w:rsidRPr="0073253E" w:rsidRDefault="001F526C" w:rsidP="00A73EE2">
            <w:pPr>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r w:rsidRPr="0073253E">
              <w:rPr>
                <w:rFonts w:ascii="Cambria" w:hAnsi="Cambria"/>
                <w:sz w:val="12"/>
                <w:szCs w:val="12"/>
              </w:rPr>
              <w:t>Clinical Phase</w:t>
            </w:r>
          </w:p>
        </w:tc>
        <w:tc>
          <w:tcPr>
            <w:tcW w:w="738" w:type="dxa"/>
          </w:tcPr>
          <w:p w14:paraId="772F0834" w14:textId="34459E5D" w:rsidR="001F526C" w:rsidRPr="0073253E" w:rsidRDefault="001F526C" w:rsidP="00A73EE2">
            <w:pPr>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Animal Models</w:t>
            </w:r>
          </w:p>
        </w:tc>
        <w:tc>
          <w:tcPr>
            <w:tcW w:w="738" w:type="dxa"/>
          </w:tcPr>
          <w:p w14:paraId="2B2CDAA4" w14:textId="77777777" w:rsidR="001F526C" w:rsidRDefault="001F526C" w:rsidP="00A73EE2">
            <w:pPr>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r w:rsidRPr="0073253E">
              <w:rPr>
                <w:rFonts w:ascii="Cambria" w:hAnsi="Cambria"/>
                <w:sz w:val="12"/>
                <w:szCs w:val="12"/>
              </w:rPr>
              <w:t>Phase I</w:t>
            </w:r>
          </w:p>
          <w:p w14:paraId="6A141999" w14:textId="2A145A53" w:rsidR="00E418B0" w:rsidRPr="0073253E" w:rsidRDefault="00E418B0" w:rsidP="004A3DEA">
            <w:pPr>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p>
        </w:tc>
        <w:tc>
          <w:tcPr>
            <w:tcW w:w="885" w:type="dxa"/>
          </w:tcPr>
          <w:p w14:paraId="0DE809F5" w14:textId="77777777" w:rsidR="001F526C" w:rsidRDefault="001F526C" w:rsidP="00A73EE2">
            <w:pPr>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r w:rsidRPr="0073253E">
              <w:rPr>
                <w:rFonts w:ascii="Cambria" w:hAnsi="Cambria"/>
                <w:sz w:val="12"/>
                <w:szCs w:val="12"/>
              </w:rPr>
              <w:t>Phase II</w:t>
            </w:r>
          </w:p>
          <w:p w14:paraId="2026EE68" w14:textId="69D9EAC1" w:rsidR="00E418B0" w:rsidRPr="0073253E" w:rsidRDefault="00E418B0" w:rsidP="009B6291">
            <w:pPr>
              <w:cnfStyle w:val="100000000000" w:firstRow="1" w:lastRow="0" w:firstColumn="0" w:lastColumn="0" w:oddVBand="0" w:evenVBand="0" w:oddHBand="0" w:evenHBand="0" w:firstRowFirstColumn="0" w:firstRowLastColumn="0" w:lastRowFirstColumn="0" w:lastRowLastColumn="0"/>
              <w:rPr>
                <w:rFonts w:ascii="Cambria" w:hAnsi="Cambria"/>
                <w:b w:val="0"/>
                <w:bCs w:val="0"/>
                <w:color w:val="auto"/>
                <w:sz w:val="12"/>
                <w:szCs w:val="12"/>
              </w:rPr>
            </w:pPr>
          </w:p>
        </w:tc>
        <w:tc>
          <w:tcPr>
            <w:tcW w:w="886" w:type="dxa"/>
          </w:tcPr>
          <w:p w14:paraId="42D970E6" w14:textId="77777777" w:rsidR="001F526C" w:rsidRDefault="001F526C" w:rsidP="00A73EE2">
            <w:pPr>
              <w:ind w:left="2160" w:hanging="2160"/>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r w:rsidRPr="0073253E">
              <w:rPr>
                <w:rFonts w:ascii="Cambria" w:hAnsi="Cambria"/>
                <w:sz w:val="12"/>
                <w:szCs w:val="12"/>
              </w:rPr>
              <w:t>Phase III</w:t>
            </w:r>
          </w:p>
          <w:p w14:paraId="2476DCB2" w14:textId="581788EC" w:rsidR="00E418B0" w:rsidRPr="0073253E" w:rsidRDefault="00E418B0" w:rsidP="00A73EE2">
            <w:pPr>
              <w:ind w:left="2160" w:hanging="2160"/>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p>
        </w:tc>
        <w:tc>
          <w:tcPr>
            <w:tcW w:w="1872" w:type="dxa"/>
            <w:gridSpan w:val="2"/>
          </w:tcPr>
          <w:p w14:paraId="3E09300A" w14:textId="22355E47" w:rsidR="001F526C" w:rsidRDefault="001F526C" w:rsidP="00A73EE2">
            <w:pPr>
              <w:ind w:left="2160" w:hanging="2160"/>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r w:rsidRPr="0073253E">
              <w:rPr>
                <w:rFonts w:ascii="Cambria" w:hAnsi="Cambria"/>
                <w:sz w:val="12"/>
                <w:szCs w:val="12"/>
              </w:rPr>
              <w:t>Result</w:t>
            </w:r>
          </w:p>
          <w:p w14:paraId="0F81879A" w14:textId="1E95CAE6" w:rsidR="001F526C" w:rsidRPr="0073253E" w:rsidRDefault="001F526C" w:rsidP="00A73EE2">
            <w:pPr>
              <w:ind w:left="2160" w:hanging="2160"/>
              <w:jc w:val="center"/>
              <w:cnfStyle w:val="100000000000" w:firstRow="1"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Su</w:t>
            </w:r>
            <w:r w:rsidRPr="0073253E">
              <w:rPr>
                <w:rFonts w:ascii="Cambria" w:hAnsi="Cambria"/>
                <w:sz w:val="12"/>
                <w:szCs w:val="12"/>
              </w:rPr>
              <w:t>mmary</w:t>
            </w:r>
          </w:p>
        </w:tc>
      </w:tr>
      <w:tr w:rsidR="00A00374" w:rsidRPr="0073253E" w14:paraId="2829FB88" w14:textId="77777777" w:rsidTr="0068162F">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3574" w:type="dxa"/>
            <w:gridSpan w:val="16"/>
          </w:tcPr>
          <w:p w14:paraId="7CAE9055" w14:textId="4319C06D" w:rsidR="00A00374" w:rsidRPr="0073253E" w:rsidRDefault="00A00374" w:rsidP="00285338">
            <w:pPr>
              <w:ind w:left="2160" w:hanging="2160"/>
              <w:jc w:val="both"/>
              <w:rPr>
                <w:rFonts w:ascii="Cambria" w:hAnsi="Cambria"/>
                <w:sz w:val="12"/>
                <w:szCs w:val="12"/>
              </w:rPr>
            </w:pPr>
            <w:r>
              <w:rPr>
                <w:rFonts w:ascii="Cambria" w:hAnsi="Cambria"/>
                <w:sz w:val="12"/>
                <w:szCs w:val="12"/>
              </w:rPr>
              <w:t>PARTICLE</w:t>
            </w:r>
            <w:r w:rsidR="009779CA">
              <w:rPr>
                <w:rFonts w:ascii="Cambria" w:hAnsi="Cambria"/>
                <w:sz w:val="12"/>
                <w:szCs w:val="12"/>
              </w:rPr>
              <w:t>-BASED</w:t>
            </w:r>
          </w:p>
        </w:tc>
      </w:tr>
      <w:tr w:rsidR="0040607E" w:rsidRPr="0073253E" w14:paraId="46A31BDA" w14:textId="77777777" w:rsidTr="0068162F">
        <w:trPr>
          <w:trHeight w:val="302"/>
        </w:trPr>
        <w:tc>
          <w:tcPr>
            <w:cnfStyle w:val="001000000000" w:firstRow="0" w:lastRow="0" w:firstColumn="1" w:lastColumn="0" w:oddVBand="0" w:evenVBand="0" w:oddHBand="0" w:evenHBand="0" w:firstRowFirstColumn="0" w:firstRowLastColumn="0" w:lastRowFirstColumn="0" w:lastRowLastColumn="0"/>
            <w:tcW w:w="1276" w:type="dxa"/>
            <w:gridSpan w:val="2"/>
          </w:tcPr>
          <w:p w14:paraId="6DA34A40" w14:textId="64624A6C" w:rsidR="001F526C" w:rsidRPr="0073253E" w:rsidRDefault="0040607E" w:rsidP="00A73EE2">
            <w:pPr>
              <w:jc w:val="center"/>
              <w:rPr>
                <w:rFonts w:ascii="Cambria" w:hAnsi="Cambria"/>
                <w:sz w:val="12"/>
                <w:szCs w:val="12"/>
              </w:rPr>
            </w:pPr>
            <w:r>
              <w:rPr>
                <w:rFonts w:ascii="Cambria" w:hAnsi="Cambria"/>
                <w:sz w:val="12"/>
                <w:szCs w:val="12"/>
              </w:rPr>
              <w:t>RSV F Nano</w:t>
            </w:r>
            <w:r w:rsidR="001F526C">
              <w:rPr>
                <w:rFonts w:ascii="Cambria" w:hAnsi="Cambria"/>
                <w:sz w:val="12"/>
                <w:szCs w:val="12"/>
              </w:rPr>
              <w:t>particle</w:t>
            </w:r>
          </w:p>
        </w:tc>
        <w:tc>
          <w:tcPr>
            <w:tcW w:w="851" w:type="dxa"/>
          </w:tcPr>
          <w:p w14:paraId="4EE325BC" w14:textId="4BDB9BB0" w:rsidR="001F526C" w:rsidRDefault="001F526C"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Novavax</w:t>
            </w:r>
          </w:p>
        </w:tc>
        <w:tc>
          <w:tcPr>
            <w:tcW w:w="958" w:type="dxa"/>
          </w:tcPr>
          <w:p w14:paraId="2C645BC8" w14:textId="630BEADE" w:rsidR="001F526C" w:rsidRPr="0073253E" w:rsidRDefault="001F526C" w:rsidP="00443253">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Sf9/BV recombinant technology</w:t>
            </w:r>
          </w:p>
        </w:tc>
        <w:tc>
          <w:tcPr>
            <w:tcW w:w="738" w:type="dxa"/>
          </w:tcPr>
          <w:p w14:paraId="2121DC1A" w14:textId="4DF7E1E0" w:rsidR="001F526C" w:rsidRPr="0073253E" w:rsidRDefault="0067320E" w:rsidP="002C62AF">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Stabilized F protein exhibiting post</w:t>
            </w:r>
            <w:r w:rsidR="00525B10">
              <w:rPr>
                <w:rFonts w:ascii="Cambria" w:hAnsi="Cambria"/>
                <w:sz w:val="12"/>
                <w:szCs w:val="12"/>
              </w:rPr>
              <w:t>-</w:t>
            </w:r>
            <w:r>
              <w:rPr>
                <w:rFonts w:ascii="Cambria" w:hAnsi="Cambria"/>
                <w:sz w:val="12"/>
                <w:szCs w:val="12"/>
              </w:rPr>
              <w:t>F morphology</w:t>
            </w:r>
            <w:r w:rsidR="001F526C">
              <w:rPr>
                <w:rFonts w:ascii="Cambria" w:hAnsi="Cambria"/>
                <w:sz w:val="12"/>
                <w:szCs w:val="12"/>
              </w:rPr>
              <w:t xml:space="preserve"> </w:t>
            </w:r>
          </w:p>
        </w:tc>
        <w:tc>
          <w:tcPr>
            <w:tcW w:w="886" w:type="dxa"/>
          </w:tcPr>
          <w:p w14:paraId="2B05A01F" w14:textId="7E6C03D2" w:rsidR="001F526C" w:rsidRPr="0073253E" w:rsidRDefault="001F526C"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Aluminum phosphate</w:t>
            </w:r>
          </w:p>
        </w:tc>
        <w:tc>
          <w:tcPr>
            <w:tcW w:w="941" w:type="dxa"/>
          </w:tcPr>
          <w:p w14:paraId="11DC9477" w14:textId="445D29A4" w:rsidR="001F526C" w:rsidRPr="0073253E" w:rsidRDefault="00EE4E5C" w:rsidP="004C3C8F">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F</w:t>
            </w:r>
            <w:r w:rsidR="001F526C">
              <w:rPr>
                <w:rFonts w:ascii="Cambria" w:hAnsi="Cambria"/>
                <w:sz w:val="12"/>
                <w:szCs w:val="12"/>
              </w:rPr>
              <w:t xml:space="preserve"> forms nanoparticle in multimeric </w:t>
            </w:r>
            <w:r w:rsidR="00443253">
              <w:rPr>
                <w:rFonts w:ascii="Cambria" w:hAnsi="Cambria"/>
                <w:sz w:val="12"/>
                <w:szCs w:val="12"/>
              </w:rPr>
              <w:t xml:space="preserve">micelle </w:t>
            </w:r>
            <w:r w:rsidR="001F526C">
              <w:rPr>
                <w:rFonts w:ascii="Cambria" w:hAnsi="Cambria"/>
                <w:sz w:val="12"/>
                <w:szCs w:val="12"/>
              </w:rPr>
              <w:t>format</w:t>
            </w:r>
          </w:p>
        </w:tc>
        <w:tc>
          <w:tcPr>
            <w:tcW w:w="979" w:type="dxa"/>
          </w:tcPr>
          <w:p w14:paraId="60F6C42E" w14:textId="77777777" w:rsidR="001F526C" w:rsidRDefault="001F526C"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M</w:t>
            </w:r>
          </w:p>
          <w:p w14:paraId="56384C7B" w14:textId="39A124C5" w:rsidR="001F526C" w:rsidRPr="0073253E" w:rsidRDefault="001F526C"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1088" w:type="dxa"/>
          </w:tcPr>
          <w:p w14:paraId="48DAEDD0" w14:textId="78D9F9AF" w:rsidR="001F526C" w:rsidRPr="0073253E" w:rsidRDefault="001F526C"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IM</w:t>
            </w:r>
          </w:p>
        </w:tc>
        <w:tc>
          <w:tcPr>
            <w:tcW w:w="738" w:type="dxa"/>
          </w:tcPr>
          <w:p w14:paraId="7065BBF3" w14:textId="77777777" w:rsidR="001F526C" w:rsidRDefault="001F526C"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III</w:t>
            </w:r>
          </w:p>
          <w:p w14:paraId="1F7EF360" w14:textId="760C5D99" w:rsidR="004801B8" w:rsidRPr="0073253E" w:rsidRDefault="004801B8"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738" w:type="dxa"/>
          </w:tcPr>
          <w:p w14:paraId="20A75DFD" w14:textId="77777777" w:rsidR="00286626" w:rsidRDefault="001F526C"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Cotton rats</w:t>
            </w:r>
          </w:p>
          <w:p w14:paraId="1C24F211" w14:textId="526F489A" w:rsidR="00286626" w:rsidRDefault="00E73864"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fldChar w:fldCharType="begin" w:fldLock="1"/>
            </w:r>
            <w:r w:rsidR="00B707E2">
              <w:rPr>
                <w:rFonts w:ascii="Cambria" w:hAnsi="Cambria"/>
                <w:sz w:val="12"/>
                <w:szCs w:val="12"/>
              </w:rPr>
              <w:instrText>ADDIN CSL_CITATION { "citationItems" : [ { "id" : "ITEM-1", "itemData" : { "DOI" : "10.1371/journal.pone.0050852", "ISSN" : "1932-6203", "PMID" : "23226404", "abstract" : "Respiratory Syncytial Virus (RSV) is an important viral agent causing severe respiratory tract disease in infants and children as well as in the elderly and immunocompromised individuals. The lack of a safe and effective RSV vaccine represents a major unmet medical need. RSV fusion (F) surface glycoprotein was modified and cloned into a baculovirus vector for efficient expression in Sf9 insect cells. Recombinant RSV F was glycosylated and cleaved into covalently linked F2 and F1 polypeptides that formed homotrimers. RSV F extracted and purified from insect cell membranes assembled into 40 nm protein nanoparticles composed of multiple RSV F oligomers arranged in the form of rosettes. The immunogenicity and protective efficacy of purified RSV F nanoparticles was compared to live and formalin inactivated RSV in cotton rats. Immunized animals induced neutralizing serum antibodies, inhibited virus replication in the lungs, and had no signs of disease enhancement in the respiratory track of challenged animals. RSV F nanoparticles also induced IgG competitive for binding of palivizumab neutralizing monoclonal antibody to RSV F antigenic site II. Antibodies to this epitope are known to protect against RSV when passively administered in high risk infants. Together these data provide a rational for continued development a recombinant RSV F nanoparticle vaccine candidate.", "author" : [ { "dropping-particle" : "", "family" : "Smith", "given" : "Gale", "non-dropping-particle" : "", "parse-names" : false, "suffix" : "" }, { "dropping-particle" : "", "family" : "Raghunandan", "given" : "Rama", "non-dropping-particle" : "", "parse-names" : false, "suffix" : "" }, { "dropping-particle" : "", "family" : "Wu", "given" : "Yingyun", "non-dropping-particle" : "", "parse-names" : false, "suffix" : "" }, { "dropping-particle" : "", "family" : "Liu", "given" : "Ye", "non-dropping-particle" : "", "parse-names" : false, "suffix" : "" }, { "dropping-particle" : "", "family" : "Massare", "given" : "Michael", "non-dropping-particle" : "", "parse-names" : false, "suffix" : "" }, { "dropping-particle" : "", "family" : "Nathan", "given" : "Margret", "non-dropping-particle" : "", "parse-names" : false, "suffix" : "" }, { "dropping-particle" : "", "family" : "Zhou", "given" : "Bin", "non-dropping-particle" : "", "parse-names" : false, "suffix" : "" }, { "dropping-particle" : "", "family" : "Lu", "given" : "Hanxin", "non-dropping-particle" : "", "parse-names" : false, "suffix" : "" }, { "dropping-particle" : "", "family" : "Boddapati", "given" : "Sarathi", "non-dropping-particle" : "", "parse-names" : false, "suffix" : "" }, { "dropping-particle" : "", "family" : "Li", "given" : "Jingning", "non-dropping-particle" : "", "parse-names" : false, "suffix" : "" }, { "dropping-particle" : "", "family" : "Flyer", "given" : "David", "non-dropping-particle" : "", "parse-names" : false, "suffix" : "" }, { "dropping-particle" : "", "family" : "Glenn", "given" : "Gregory", "non-dropping-particle" : "", "parse-names" : false, "suffix" : "" } ], "container-title" : "PLoS ONE", "id" : "ITEM-1", "issue" : "11", "issued" : { "date-parts" : [ [ "2012", "11", "30" ] ] }, "page" : "e50852", "title" : "Respiratory Syncytial Virus Fusion Glycoprotein Expressed in Insect Cells Form Protein Nanoparticles That Induce Protective Immunity in Cotton Rats", "type" : "article-journal", "volume" : "7" }, "uris" : [ "http://www.mendeley.com/documents/?uuid=e857b56b-533a-3e9d-a1ae-f39680ac6db9" ] }, { "id" : "ITEM-2", "itemData" : { "DOI" : "10.1016/j.vaccine.2014.09.030", "ISSN" : "0264410X", "PMID" : "25269094", "abstract" : "Post-infectious immunity to respiratory syncytial virus (RSV) infection results in limited protection as evidenced by the high rate of infant hospitalization in the face of high titer, maternally derived RSV-specific antibodies. By contrast, RSV fusion (F) glycoprotein antigenic site II humanized monoclonal antibodies, palivizumab and motavizumab, have been shown to reduce RSV-related hospitalization in infants. Immunogenicity and efficacy studies were conducted in cotton rats comparing a recombinant RSV F nanoparticle vaccine with palivizumab and controlled with live RSV virus intranasal immunization and, formalin inactivated RSV vaccine. Active immunization with RSV F nanoparticle vaccine containing an alum adjuvant induced serum levels of palivizumab competing antibody (PCA) greater than passive administration of 15 mg/kg palivizumab (human prophylactic dose) in cotton rats and neutralized RSV-A and RSV-B viruses. Immunization prevented detectable RSV replication in the lungs and, unlike passive administration of palivizumab, in the nasal passage of challenged cotton rats. Histology of lung tissues following RSV challenge showed no enhanced disease in the vaccinated groups in contrast to formalin inactivated 'Lot 100' vaccine. Passive intramuscular administration of RSV F vaccine-induced immune sera one day prior to challenge of cotton rats reduced viral titers by 2 or more log10 virus per gram of lung and nasal tissue and at doses less than palivizumab. A recombinant RSV F nanoparticle vaccine protected lower and upper respiratory tract against both RSV A and B strain infection and induced polyclonal palivizumab competing antibodies similar to but potentially more broadly protective against RSV than palivizumab.", "author" : [ { "dropping-particle" : "", "family" : "Raghunandan", "given" : "Rama", "non-dropping-particle" : "", "parse-names" : false, "suffix" : "" }, { "dropping-particle" : "", "family" : "Lu", "given" : "Hanxin", "non-dropping-particle" : "", "parse-names" : false, "suffix" : "" }, { "dropping-particle" : "", "family" : "Zhou", "given" : "Bin", "non-dropping-particle" : "", "parse-names" : false, "suffix" : "" }, { "dropping-particle" : "", "family" : "Xabier", "given" : "Mimi Guebre", "non-dropping-particle" : "", "parse-names" : false, "suffix" : "" }, { "dropping-particle" : "", "family" : "Massare", "given" : "Michael J.", "non-dropping-particle" : "", "parse-names" : false, "suffix" : "" }, { "dropping-particle" : "", "family" : "Flyer", "given" : "David C.", "non-dropping-particle" : "", "parse-names" : false, "suffix" : "" }, { "dropping-particle" : "", "family" : "Fries", "given" : "Louis F.", "non-dropping-particle" : "", "parse-names" : false, "suffix" : "" }, { "dropping-particle" : "", "family" : "Smith", "given" : "Gale E.", "non-dropping-particle" : "", "parse-names" : false, "suffix" : "" }, { "dropping-particle" : "", "family" : "Glenn", "given" : "Gregory M.", "non-dropping-particle" : "", "parse-names" : false, "suffix" : "" } ], "container-title" : "Vaccine", "id" : "ITEM-2", "issue" : "48", "issued" : { "date-parts" : [ [ "2014", "11", "12" ] ] }, "page" : "6485-6492", "title" : "An insect cell derived respiratory syncytial virus (RSV) F nanoparticle vaccine induces antigenic site II antibodies and protects against RSV challenge in cotton rats by active and passive immunization", "type" : "article-journal", "volume" : "32" }, "uris" : [ "http://www.mendeley.com/documents/?uuid=366e00ab-001d-36de-b4cf-29d0efb6aba8" ] } ], "mendeley" : { "formattedCitation" : "(129,130)", "plainTextFormattedCitation" : "(129,130)", "previouslyFormattedCitation" : "(128,129)"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(129,130)</w:t>
            </w:r>
            <w:r>
              <w:rPr>
                <w:rFonts w:ascii="Cambria" w:hAnsi="Cambria"/>
                <w:sz w:val="12"/>
                <w:szCs w:val="12"/>
              </w:rPr>
              <w:fldChar w:fldCharType="end"/>
            </w:r>
            <w:r w:rsidR="001F526C">
              <w:rPr>
                <w:rFonts w:ascii="Cambria" w:hAnsi="Cambria"/>
                <w:sz w:val="12"/>
                <w:szCs w:val="12"/>
              </w:rPr>
              <w:t>, baboons</w:t>
            </w:r>
            <w:r w:rsidR="0081092A">
              <w:rPr>
                <w:rFonts w:ascii="Cambria" w:hAnsi="Cambria"/>
                <w:sz w:val="12"/>
                <w:szCs w:val="12"/>
              </w:rPr>
              <w:fldChar w:fldCharType="begin" w:fldLock="1"/>
            </w:r>
            <w:r w:rsidR="00B707E2">
              <w:rPr>
                <w:rFonts w:ascii="Cambria" w:hAnsi="Cambria"/>
                <w:sz w:val="12"/>
                <w:szCs w:val="12"/>
              </w:rPr>
              <w:instrText>ADDIN CSL_CITATION { "citationItems" : [ { "id" : "ITEM-1", "itemData" : { "author" : [ { "dropping-particle" : "", "family" : "Welliver", "given" : "R", "non-dropping-particle" : "", "parse-names" : false, "suffix" : "" }, { "dropping-particle" : "", "family" : "Papin", "given" : "J", "non-dropping-particle" : "", "parse-names" : false, "suffix" : "" }, { "dropping-particle" : "", "family" : "Wolf", "given" : "R", "non-dropping-particle" : "", "parse-names" : false, "suffix" : "" }, { "dropping-particle" : "", "family" : "Moore", "given" : "S", "non-dropping-particle" : "", "parse-names" : false, "suffix" : "" }, { "dropping-particle" : "", "family" : "Raghunandan", "given" : "R", "non-dropping-particle" : "", "parse-names" : false, "suffix" : "" }, { "dropping-particle" : "", "family" : "Lu", "given" : "H", "non-dropping-particle" : "", "parse-names" : false, "suffix" : "" }, { "dropping-particle" : "", "family" : "Flyer", "given" : "D", "non-dropping-particle" : "", "parse-names" : false, "suffix" : "" }, { "dropping-particle" : "", "family" : "Smith", "given" : "G", "non-dropping-particle" : "", "parse-names" : false, "suffix" : "" }, { "dropping-particle" : "", "family" : "Glenn", "given" : "G", "non-dropping-particle" : "", "parse-names" : false, "suffix" : "" } ], "container-title" : "Poster 53 presented at 54th Interscience conference on antimicrobial agents and chemotherapy (ICAAC)", "id" : "ITEM-1", "issued" : { "date-parts" : [ [ "2014" ] ] }, "publisher-place" : "Washington D.C.", "title" : "Maternal Immunization of pregnant baboons with the RSV F Nanoparticle leads to trans-placental transfer of high affinity functional antibodies", "type" : "paper-conference" }, "uris" : [ "http://www.mendeley.com/documents/?uuid=603c9865-24e9-3451-8a89-5958757512a5" ] } ], "mendeley" : { "formattedCitation" : "(131)", "plainTextFormattedCitation" : "(131)", "previouslyFormattedCitation" : "(130)" }, "properties" : { "noteIndex" : 0 }, "schema" : "https://github.com/citation-style-language/schema/raw/master/csl-citation.json" }</w:instrText>
            </w:r>
            <w:r w:rsidR="0081092A">
              <w:rPr>
                <w:rFonts w:ascii="Cambria" w:hAnsi="Cambria"/>
                <w:sz w:val="12"/>
                <w:szCs w:val="12"/>
              </w:rPr>
              <w:fldChar w:fldCharType="separate"/>
            </w:r>
            <w:r w:rsidR="00B707E2" w:rsidRPr="00B707E2">
              <w:rPr>
                <w:rFonts w:ascii="Cambria" w:hAnsi="Cambria"/>
                <w:noProof/>
                <w:sz w:val="12"/>
                <w:szCs w:val="12"/>
              </w:rPr>
              <w:t>(131)</w:t>
            </w:r>
            <w:r w:rsidR="0081092A">
              <w:rPr>
                <w:rFonts w:ascii="Cambria" w:hAnsi="Cambria"/>
                <w:sz w:val="12"/>
                <w:szCs w:val="12"/>
              </w:rPr>
              <w:fldChar w:fldCharType="end"/>
            </w:r>
          </w:p>
          <w:p w14:paraId="669819AA" w14:textId="77777777" w:rsidR="004A3DEA" w:rsidRDefault="004A3DEA" w:rsidP="004A3DEA">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Guinea</w:t>
            </w:r>
          </w:p>
          <w:p w14:paraId="644B6CDC" w14:textId="265ADF32" w:rsidR="004A3DEA" w:rsidRPr="0073253E" w:rsidRDefault="004A3DEA" w:rsidP="00936380">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pigs</w:t>
            </w:r>
            <w:r w:rsidR="00936380">
              <w:rPr>
                <w:rFonts w:ascii="Cambria" w:hAnsi="Cambria"/>
                <w:sz w:val="12"/>
                <w:szCs w:val="12"/>
              </w:rPr>
              <w:fldChar w:fldCharType="begin" w:fldLock="1"/>
            </w:r>
            <w:r w:rsidR="00B707E2">
              <w:rPr>
                <w:rFonts w:ascii="Cambria" w:hAnsi="Cambria"/>
                <w:sz w:val="12"/>
                <w:szCs w:val="12"/>
              </w:rPr>
              <w:instrText>ADDIN CSL_CITATION { "citationItems" : [ { "id" : "ITEM-1", "itemData" : { "DOI" : "10.1016/j.vaccine.2015.08.039", "ISSN" : "0264410X", "PMID" : "26319066", "abstract" : "BACKGROUND Protection of newborns and young infants against RSV disease via maternal immunization mediated by transplacental transfer of antibodies is under evaluation in third-trimester pregnant women with the RSV recombinant F nanoparticle vaccine (RSV F vaccine). Since the hemichorial placental architecture in guinea pigs and humans is similar, the guinea pig model was employed to assess RSV F vaccine immunogenicity in pregnant sows and to compare RSV-specific maternal antibody levels in their pups. METHODS Thirty (30) presumptive pregnant guinea pigs were immunized on gestational day 25 and 46 with placebo (PBS), 30\u03bcg RSV F, or 30\u03bcg RSV F+400\u03bcg aluminum phosphate. Sera at delivery/birth (sows/pups) and 15 and 30 days post-partum (pups) were analyzed for the presence of anti-F IgG, palivizumab-competitive antibody (PCA) and RSV/A microneutralization (MN). RESULTS The rates of pregnancy and stillbirth were similar between controls and vaccinees. The vaccine induced high levels of anti-F IgG, PCA and MN in sows, with the highest levels observed in adjuvanted vaccinees. Placental transfer to pups was proportional to the maternal antibody levels, with concentration effects observed for all immune measures. CONCLUSIONS The RSV F vaccine was safe and immunogenic in pregnant guinea pigs and supported robust transplacental antibody transfer to their pups. Relative concentration of antibodies in the pups was observed even in the presence of high levels of maternal antibody. Guinea pigs may be an important safety and immunogenicity model for preclinical assessment of candidate vaccines for maternal immunization.", "author" : [ { "dropping-particle" : "", "family" : "Glenn", "given" : "Gregory M.", "non-dropping-particle" : "", "parse-names" : false, "suffix" : "" }, { "dropping-particle" : "", "family" : "Fries", "given" : "Louis F.", "non-dropping-particle" : "", "parse-names" : false, "suffix" : "" }, { "dropping-particle" : "", "family" : "Smith", "given" : "Gale", "non-dropping-particle" : "", "parse-names" : false, "suffix" : "" }, { "dropping-particle" : "", "family" : "Kpamegan", "given" : "Eloi", "non-dropping-particle" : "", "parse-names" : false, "suffix" : "" }, { "dropping-particle" : "", "family" : "Lu", "given" : "Hanxin", "non-dropping-particle" : "", "parse-names" : false, "suffix" : "" }, { "dropping-particle" : "", "family" : "Guebre-Xabier", "given" : "Mimi", "non-dropping-particle" : "", "parse-names" : false, "suffix" : "" }, { "dropping-particle" : "", "family" : "Hickman", "given" : "Somia P.", "non-dropping-particle" : "", "parse-names" : false, "suffix" : "" }, { "dropping-particle" : "", "family" : "Flyer", "given" : "David", "non-dropping-particle" : "", "parse-names" : false, "suffix" : "" } ], "container-title" : "Vaccine", "id" : "ITEM-1", "issue" : "47", "issued" : { "date-parts" : [ [ "2015", "11", "25" ] ] }, "page" : "6488-6492", "title" : "Modeling maternal fetal RSV F vaccine induced antibody transfer in guinea pigs", "type" : "article-journal", "volume" : "33" }, "uris" : [ "http://www.mendeley.com/documents/?uuid=6af09557-6c2c-3db7-b322-ead981518976" ] } ], "mendeley" : { "formattedCitation" : "(132)", "plainTextFormattedCitation" : "(132)", "previouslyFormattedCitation" : "(131)" }, "properties" : { "noteIndex" : 0 }, "schema" : "https://github.com/citation-style-language/schema/raw/master/csl-citation.json" }</w:instrText>
            </w:r>
            <w:r w:rsidR="00936380">
              <w:rPr>
                <w:rFonts w:ascii="Cambria" w:hAnsi="Cambria"/>
                <w:sz w:val="12"/>
                <w:szCs w:val="12"/>
              </w:rPr>
              <w:fldChar w:fldCharType="separate"/>
            </w:r>
            <w:r w:rsidR="00B707E2" w:rsidRPr="00B707E2">
              <w:rPr>
                <w:rFonts w:ascii="Cambria" w:hAnsi="Cambria"/>
                <w:noProof/>
                <w:sz w:val="12"/>
                <w:szCs w:val="12"/>
              </w:rPr>
              <w:t>(132)</w:t>
            </w:r>
            <w:r w:rsidR="00936380">
              <w:rPr>
                <w:rFonts w:ascii="Cambria" w:hAnsi="Cambria"/>
                <w:sz w:val="12"/>
                <w:szCs w:val="12"/>
              </w:rPr>
              <w:fldChar w:fldCharType="end"/>
            </w:r>
          </w:p>
        </w:tc>
        <w:tc>
          <w:tcPr>
            <w:tcW w:w="738" w:type="dxa"/>
          </w:tcPr>
          <w:p w14:paraId="3AC7590F" w14:textId="77777777" w:rsidR="001F526C" w:rsidRDefault="001F526C"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Dec 2010- Dec 2011</w:t>
            </w:r>
          </w:p>
          <w:p w14:paraId="223FACB3" w14:textId="77777777" w:rsidR="006D0DC0" w:rsidRPr="006D0DC0" w:rsidRDefault="006D0DC0" w:rsidP="006D0DC0">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6D0DC0">
              <w:rPr>
                <w:rFonts w:ascii="Cambria" w:hAnsi="Cambria"/>
                <w:sz w:val="12"/>
                <w:szCs w:val="12"/>
              </w:rPr>
              <w:t>NCT01290419</w:t>
            </w:r>
          </w:p>
          <w:p w14:paraId="11E22A51" w14:textId="1270887C" w:rsidR="006D0DC0" w:rsidRPr="0073253E" w:rsidRDefault="006D0DC0"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(n=150)</w:t>
            </w:r>
          </w:p>
        </w:tc>
        <w:tc>
          <w:tcPr>
            <w:tcW w:w="885" w:type="dxa"/>
          </w:tcPr>
          <w:p w14:paraId="7CA4A47D" w14:textId="77777777" w:rsidR="00DB7D70" w:rsidRDefault="00DB7D70" w:rsidP="00DB7D70">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Oct 2012 – May 2013</w:t>
            </w:r>
          </w:p>
          <w:p w14:paraId="041AAE5C" w14:textId="4494AB7B" w:rsidR="00DB7D70" w:rsidRPr="00DB7D70" w:rsidRDefault="00DB7D70" w:rsidP="00DB7D70">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DB7D70">
              <w:rPr>
                <w:rFonts w:ascii="Cambria" w:hAnsi="Cambria"/>
                <w:sz w:val="12"/>
                <w:szCs w:val="12"/>
              </w:rPr>
              <w:t>NCT01704365</w:t>
            </w:r>
            <w:r>
              <w:rPr>
                <w:rFonts w:ascii="Cambria" w:hAnsi="Cambria"/>
                <w:sz w:val="12"/>
                <w:szCs w:val="12"/>
              </w:rPr>
              <w:t xml:space="preserve"> (n=330)</w:t>
            </w:r>
          </w:p>
          <w:p w14:paraId="53474F89" w14:textId="77777777" w:rsidR="00DB7D70" w:rsidRDefault="00DB7D70" w:rsidP="009B6291">
            <w:pPr>
              <w:cnfStyle w:val="000000000000" w:firstRow="0" w:lastRow="0" w:firstColumn="0" w:lastColumn="0" w:oddVBand="0" w:evenVBand="0" w:oddHBand="0" w:evenHBand="0" w:firstRowFirstColumn="0" w:firstRowLastColumn="0" w:lastRowFirstColumn="0" w:lastRowLastColumn="0"/>
              <w:rPr>
                <w:rFonts w:ascii="Cambria" w:hAnsi="Cambria"/>
                <w:color w:val="auto"/>
                <w:sz w:val="12"/>
                <w:szCs w:val="12"/>
              </w:rPr>
            </w:pPr>
          </w:p>
          <w:p w14:paraId="3DDCFC2C" w14:textId="77777777" w:rsidR="00DB7D70" w:rsidRDefault="00DB7D70" w:rsidP="00DB7D70">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Oct 2013 – April 2014</w:t>
            </w:r>
          </w:p>
          <w:p w14:paraId="5F43D808" w14:textId="07AFC1A6" w:rsidR="00DB7D70" w:rsidRPr="00DB7D70" w:rsidRDefault="00DB7D70" w:rsidP="00DB7D70">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DB7D70">
              <w:rPr>
                <w:rFonts w:ascii="Cambria" w:hAnsi="Cambria"/>
                <w:sz w:val="12"/>
                <w:szCs w:val="12"/>
              </w:rPr>
              <w:t>NCT01960686</w:t>
            </w:r>
            <w:r>
              <w:rPr>
                <w:rFonts w:ascii="Cambria" w:hAnsi="Cambria"/>
                <w:sz w:val="12"/>
                <w:szCs w:val="12"/>
              </w:rPr>
              <w:t xml:space="preserve"> (n=720)</w:t>
            </w:r>
          </w:p>
          <w:p w14:paraId="2C4C072F" w14:textId="77777777" w:rsidR="00DB7D70" w:rsidRDefault="00DB7D70"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p w14:paraId="5EA4DFF4" w14:textId="7F5C936B" w:rsidR="001F526C" w:rsidRDefault="00886DDA"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Sep 2014 –</w:t>
            </w:r>
          </w:p>
          <w:p w14:paraId="0196FEB9" w14:textId="18B6BA41" w:rsidR="00886DDA" w:rsidRDefault="00886DDA"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Jul 2016</w:t>
            </w:r>
          </w:p>
          <w:p w14:paraId="5E53DA20" w14:textId="77777777" w:rsidR="00886DDA" w:rsidRDefault="00886DDA" w:rsidP="00886DDA">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886DDA">
              <w:rPr>
                <w:rFonts w:ascii="Cambria" w:hAnsi="Cambria"/>
                <w:sz w:val="12"/>
                <w:szCs w:val="12"/>
              </w:rPr>
              <w:t>NCT02247726</w:t>
            </w:r>
          </w:p>
          <w:p w14:paraId="010014B9" w14:textId="7B27B879" w:rsidR="00DB7D70" w:rsidRPr="00886DDA" w:rsidRDefault="006D1645" w:rsidP="00DB7D70">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(n=50)</w:t>
            </w:r>
          </w:p>
          <w:p w14:paraId="2C7E3287" w14:textId="03F76359" w:rsidR="00886DDA" w:rsidRPr="0073253E" w:rsidRDefault="00886DDA"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886" w:type="dxa"/>
          </w:tcPr>
          <w:p w14:paraId="0D1261BF" w14:textId="24A88425" w:rsidR="001F526C" w:rsidRDefault="001F526C" w:rsidP="00A73EE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Dec 2015-</w:t>
            </w:r>
          </w:p>
          <w:p w14:paraId="73FC8CED" w14:textId="1D907180" w:rsidR="001F526C" w:rsidRDefault="00FF7D42" w:rsidP="00A73EE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Jun </w:t>
            </w:r>
            <w:r w:rsidR="001F526C">
              <w:rPr>
                <w:rFonts w:ascii="Cambria" w:hAnsi="Cambria"/>
                <w:sz w:val="12"/>
                <w:szCs w:val="12"/>
              </w:rPr>
              <w:t>2020</w:t>
            </w:r>
          </w:p>
          <w:p w14:paraId="33CB2C1F" w14:textId="77777777" w:rsidR="0002743E" w:rsidRDefault="0002743E" w:rsidP="0002743E">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NCT026249</w:t>
            </w:r>
          </w:p>
          <w:p w14:paraId="2B04A6FC" w14:textId="23A13164" w:rsidR="0002743E" w:rsidRDefault="0002743E" w:rsidP="0002743E">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47</w:t>
            </w:r>
          </w:p>
          <w:p w14:paraId="05D357CC" w14:textId="2D2F1CDF" w:rsidR="001C270D" w:rsidRPr="0073253E" w:rsidRDefault="001C270D" w:rsidP="0002743E">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(n=8618)</w:t>
            </w:r>
          </w:p>
        </w:tc>
        <w:tc>
          <w:tcPr>
            <w:tcW w:w="1872" w:type="dxa"/>
            <w:gridSpan w:val="2"/>
          </w:tcPr>
          <w:p w14:paraId="4D47355C" w14:textId="69D4DA2F" w:rsidR="001F526C" w:rsidRDefault="001F526C" w:rsidP="009B629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 w:val="12"/>
                <w:szCs w:val="12"/>
                <w:lang w:eastAsia="en-US"/>
              </w:rPr>
            </w:pPr>
            <w:r w:rsidRPr="00335C94">
              <w:rPr>
                <w:rFonts w:ascii="Calibri" w:eastAsia="Times New Roman" w:hAnsi="Calibri" w:cs="Arial"/>
                <w:color w:val="000000"/>
                <w:sz w:val="12"/>
                <w:szCs w:val="12"/>
                <w:lang w:eastAsia="en-US"/>
              </w:rPr>
              <w:t xml:space="preserve">PhII: </w:t>
            </w:r>
            <w:r w:rsidR="00F85515">
              <w:rPr>
                <w:rFonts w:ascii="Calibri" w:eastAsia="Times New Roman" w:hAnsi="Calibri" w:cs="Arial"/>
                <w:color w:val="000000"/>
                <w:sz w:val="12"/>
                <w:szCs w:val="12"/>
                <w:lang w:eastAsia="en-US"/>
              </w:rPr>
              <w:t xml:space="preserve">all formulations well-tolerated and immunogenic; </w:t>
            </w:r>
            <w:r w:rsidR="00DB49E9">
              <w:rPr>
                <w:rFonts w:ascii="Calibri" w:eastAsia="Times New Roman" w:hAnsi="Calibri" w:cs="Arial"/>
                <w:color w:val="000000"/>
                <w:sz w:val="12"/>
                <w:szCs w:val="12"/>
                <w:lang w:eastAsia="en-US"/>
              </w:rPr>
              <w:t xml:space="preserve">most robust Ab response with </w:t>
            </w:r>
            <w:r w:rsidR="00F85515">
              <w:rPr>
                <w:rFonts w:ascii="Calibri" w:eastAsia="Times New Roman" w:hAnsi="Calibri" w:cs="Arial"/>
                <w:color w:val="000000"/>
                <w:sz w:val="12"/>
                <w:szCs w:val="12"/>
                <w:lang w:eastAsia="en-US"/>
              </w:rPr>
              <w:t>120</w:t>
            </w:r>
            <w:r w:rsidR="00B970D8">
              <w:rPr>
                <w:rFonts w:ascii="Calibri" w:eastAsia="Times New Roman" w:hAnsi="Calibri" w:cs="Arial"/>
                <w:color w:val="000000"/>
                <w:sz w:val="12"/>
                <w:szCs w:val="12"/>
                <w:lang w:eastAsia="en-US"/>
              </w:rPr>
              <w:t>ug and 0.4mg aluminum</w:t>
            </w:r>
            <w:r w:rsidR="00DB49E9">
              <w:rPr>
                <w:rFonts w:ascii="Calibri" w:eastAsia="Times New Roman" w:hAnsi="Calibri" w:cs="Arial"/>
                <w:color w:val="000000"/>
                <w:sz w:val="12"/>
                <w:szCs w:val="12"/>
                <w:lang w:eastAsia="en-US"/>
              </w:rPr>
              <w:t xml:space="preserve"> formulation, peak d14 and persistence through d91; RSV infection measured by Western blot was reduced by 52% (p=0.009)</w:t>
            </w:r>
            <w:r w:rsidR="00116227">
              <w:rPr>
                <w:rFonts w:ascii="Calibri" w:eastAsia="Times New Roman" w:hAnsi="Calibri" w:cs="Arial"/>
                <w:color w:val="000000"/>
                <w:sz w:val="12"/>
                <w:szCs w:val="12"/>
                <w:lang w:eastAsia="en-US"/>
              </w:rPr>
              <w:t xml:space="preserve"> in healthy women of childbearing age</w:t>
            </w:r>
            <w:r w:rsidR="00FC4625">
              <w:rPr>
                <w:rFonts w:ascii="Calibri" w:eastAsia="Times New Roman" w:hAnsi="Calibri" w:cs="Arial"/>
                <w:color w:val="000000"/>
                <w:sz w:val="12"/>
                <w:szCs w:val="12"/>
                <w:lang w:eastAsia="en-US"/>
              </w:rPr>
              <w:t xml:space="preserve"> (n=720)</w:t>
            </w:r>
            <w:r w:rsidR="00791AE8">
              <w:rPr>
                <w:rFonts w:ascii="Calibri" w:eastAsia="Times New Roman" w:hAnsi="Calibri" w:cs="Arial"/>
                <w:color w:val="000000"/>
                <w:sz w:val="12"/>
                <w:szCs w:val="12"/>
                <w:lang w:eastAsia="en-US"/>
              </w:rPr>
              <w:fldChar w:fldCharType="begin" w:fldLock="1"/>
            </w:r>
            <w:r w:rsidR="00B707E2">
              <w:rPr>
                <w:rFonts w:ascii="Calibri" w:eastAsia="Times New Roman" w:hAnsi="Calibri" w:cs="Arial"/>
                <w:color w:val="000000"/>
                <w:sz w:val="12"/>
                <w:szCs w:val="12"/>
                <w:lang w:eastAsia="en-US"/>
              </w:rPr>
              <w:instrText>ADDIN CSL_CITATION { "citationItems" : [ { "id" : "ITEM-1", "itemData" : { "URL" : "http://novavax.com/presentation.show", "accessed" : { "date-parts" : [ [ "2017", "12", "19" ] ] }, "author" : [ { "dropping-particle" : "", "family" : "Novavax", "given" : "", "non-dropping-particle" : "", "parse-names" : false, "suffix" : "" } ], "id" : "ITEM-1", "issued" : { "date-parts" : [ [ "2016" ] ] }, "title" : "Novavax: Investor and Analyst Presentation November 9, 2016", "type" : "webpage" }, "uris" : [ "http://www.mendeley.com/documents/?uuid=d0e63fef-ca83-3f28-af4c-1bfb39adb230" ] }, { "id" : "ITEM-2", "itemData" : { "DOI" : "10.1016/j.vaccine.2017.05.045", "ISSN" : "0264410X", "PMID" : "28579233", "abstract" : "OBJECTIVE Respiratory syncytial virus (RSV) causes significant morbidity and mortality in infants. We are developing an RSV fusion (F) protein nanoparticle vaccine for immunization of third trimester pregnant women to passively protect infants through transfer of RSV-specific maternal antibodies. The present trial was performed to assess the immunogenicity and safety of several formulations of RSV F vaccine in 1-dose or 2-dose schedules. METHODS Placebo, or vaccine with 60\u03bcg or 120\u03bcg RSV F protein and 0.2, 0.4, or 0.8mg aluminum, were administered intramuscularly on Days 0 and 28 to healthy women 18-35years old. Immunogenicity was assessed from Days 0 through 91 based on anti-F IgG and palivizumab-competitive antibody (PCA) by ELISA, and RSV A and B neutralizing antibodies by microneutralization (MN) assay. Solicited adverse events were collected through Day 7 and unsolicited adverse events through Day 91. RESULTS All formulations were well-tolerated, with no treatment-related serious adverse events. Anti-F IgG and PCA responses were correlated and increased after both doses, while MN increased significantly only after the first dose, then plateaued. The timeliest and most robust antibody responses followed one dose of 120\u03bcg RSV F protein and 0.4mg aluminum, but persistence through 91days was modestly (\u223c25%) superior following two doses of 60\u03bcg RSV F protein and 0.8mg aluminum. Western blot analysis showed RSV infections in active vaccinees were reduced by 52% overall (p=0.009 overall) over the Day 0 through 90 period. CONCLUSIONS RSV F nanoparticle vaccine formulations were well tolerated and immunogenic. The optimal combination of convenience and rapid response for immunization in the third trimester occurred with 120\u03bcg RSV F and 0.4mg aluminum, which achieved peak immune responses in 14days and sufficient persistence through 91days to allow for passive transfer of IgG antibodies to the fetus. NCT01960686.", "author" : [ { "dropping-particle" : "", "family" : "August", "given" : "Allison", "non-dropping-particle" : "", "parse-names" : false, "suffix" : "" }, { "dropping-particle" : "", "family" : "Glenn", "given" : "Gregory M.", "non-dropping-particle" : "", "parse-names" : false, "suffix" : "" }, { "dropping-particle" : "", "family" : "Kpamegan", "given" : "Eloi", "non-dropping-particle" : "", "parse-names" : false, "suffix" : "" }, { "dropping-particle" : "", "family" : "Hickman", "given" : "Somia P.", "non-dropping-particle" : "", "parse-names" : false, "suffix" : "" }, { "dropping-particle" : "", "family" : "Jani", "given" : "Dewal", "non-dropping-particle" : "", "parse-names" : false, "suffix" : "" }, { "dropping-particle" : "", "family" : "Lu", "given" : "Hanxin", "non-dropping-particle" : "", "parse-names" : false, "suffix" : "" }, { "dropping-particle" : "", "family" : "Thomas", "given" : "D. Nigel", "non-dropping-particle" : "", "parse-names" : false, "suffix" : "" }, { "dropping-particle" : "", "family" : "Wen", "given" : "Judy", "non-dropping-particle" : "", "parse-names" : false, "suffix" : "" }, { "dropping-particle" : "", "family" : "Piedra", "given" : "Pedro A.", "non-dropping-particle" : "", "parse-names" : false, "suffix" : "" }, { "dropping-particle" : "", "family" : "Fries", "given" : "Louis F.", "non-dropping-particle" : "", "parse-names" : false, "suffix" : "" } ], "container-title" : "Vaccine", "id" : "ITEM-2", "issue" : "30", "issued" : { "date-parts" : [ [ "2017", "6", "27" ] ] }, "page" : "3749-3759", "title" : "A Phase 2 randomized, observer-blind, placebo-controlled, dose-ranging trial of aluminum-adjuvanted respiratory syncytial virus F particle vaccine formulations in healthy women of childbearing age", "type" : "article-journal", "volume" : "35" }, "uris" : [ "http://www.mendeley.com/documents/?uuid=76918764-61ec-3eed-9dcf-0ba0499b8f55" ] } ], "mendeley" : { "formattedCitation" : "(133,134)", "plainTextFormattedCitation" : "(133,134)", "previouslyFormattedCitation" : "(132,133)" }, "properties" : { "noteIndex" : 0 }, "schema" : "https://github.com/citation-style-language/schema/raw/master/csl-citation.json" }</w:instrText>
            </w:r>
            <w:r w:rsidR="00791AE8">
              <w:rPr>
                <w:rFonts w:ascii="Calibri" w:eastAsia="Times New Roman" w:hAnsi="Calibri" w:cs="Arial"/>
                <w:color w:val="000000"/>
                <w:sz w:val="12"/>
                <w:szCs w:val="12"/>
                <w:lang w:eastAsia="en-US"/>
              </w:rPr>
              <w:fldChar w:fldCharType="separate"/>
            </w:r>
            <w:r w:rsidR="00B707E2" w:rsidRPr="00B707E2">
              <w:rPr>
                <w:rFonts w:ascii="Calibri" w:eastAsia="Times New Roman" w:hAnsi="Calibri" w:cs="Arial"/>
                <w:noProof/>
                <w:color w:val="000000"/>
                <w:sz w:val="12"/>
                <w:szCs w:val="12"/>
                <w:lang w:eastAsia="en-US"/>
              </w:rPr>
              <w:t>(133,134)</w:t>
            </w:r>
            <w:r w:rsidR="00791AE8">
              <w:rPr>
                <w:rFonts w:ascii="Calibri" w:eastAsia="Times New Roman" w:hAnsi="Calibri" w:cs="Arial"/>
                <w:color w:val="000000"/>
                <w:sz w:val="12"/>
                <w:szCs w:val="12"/>
                <w:lang w:eastAsia="en-US"/>
              </w:rPr>
              <w:fldChar w:fldCharType="end"/>
            </w:r>
          </w:p>
          <w:p w14:paraId="7EF2BA7E" w14:textId="77777777" w:rsidR="006942B9" w:rsidRDefault="006942B9" w:rsidP="009B629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 w:val="12"/>
                <w:szCs w:val="12"/>
                <w:lang w:eastAsia="en-US"/>
              </w:rPr>
            </w:pPr>
          </w:p>
          <w:p w14:paraId="40E96CC8" w14:textId="28B6D135" w:rsidR="006942B9" w:rsidRDefault="006942B9" w:rsidP="009B629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 w:val="12"/>
                <w:szCs w:val="12"/>
                <w:lang w:eastAsia="en-US"/>
              </w:rPr>
            </w:pPr>
            <w:r>
              <w:rPr>
                <w:rFonts w:ascii="Calibri" w:eastAsia="Times New Roman" w:hAnsi="Calibri" w:cs="Arial"/>
                <w:color w:val="000000"/>
                <w:sz w:val="12"/>
                <w:szCs w:val="12"/>
                <w:lang w:eastAsia="en-US"/>
              </w:rPr>
              <w:t>Vaccine safe, immunogenic and reduced RSV infection in healthy women of childbearing age (n=330)</w:t>
            </w:r>
            <w:r>
              <w:rPr>
                <w:rFonts w:ascii="Calibri" w:eastAsia="Times New Roman" w:hAnsi="Calibri" w:cs="Arial"/>
                <w:color w:val="000000"/>
                <w:sz w:val="12"/>
                <w:szCs w:val="12"/>
                <w:lang w:eastAsia="en-US"/>
              </w:rPr>
              <w:fldChar w:fldCharType="begin" w:fldLock="1"/>
            </w:r>
            <w:r w:rsidR="00B707E2">
              <w:rPr>
                <w:rFonts w:ascii="Calibri" w:eastAsia="Times New Roman" w:hAnsi="Calibri" w:cs="Arial"/>
                <w:color w:val="000000"/>
                <w:sz w:val="12"/>
                <w:szCs w:val="12"/>
                <w:lang w:eastAsia="en-US"/>
              </w:rPr>
              <w:instrText>ADDIN CSL_CITATION { "citationItems" : [ { "id" : "ITEM-1", "itemData" : { "DOI" : "10.1093/infdis/jiv406", "ISSN" : "0022-1899", "PMID" : "26259809", "abstract" : "BACKGROUND Respiratory syncytial virus (RSV) is a leading cause of infant morbidity and mortality. A recombinant RSV fusion protein nanoparticle vaccine (RSV F vaccine) candidate for maternal immunization was tested for safety and immunogenicity in women of childbearing age. METHODS Three hundred thirty women (18-35 years) were randomized to receive 1 or 2 doses of RSV F vaccine (60 or 90 \u00b5g) with or without aluminum phosphate adjuvant, or placebo at days 0 and 28. Safety was evaluated over 180 days; immunogenicity and RSV infection rates were evaluated over 112 days. RESULTS All vaccine formulations were well tolerated, without vaccine-related serious adverse events. Anti-F immunoglobulin G antibodies rose 6.5-15.6-fold, with significantly higher levels in 2-dose, adjuvanted regimens at day 56. Palivizumab-competitive antibody levels were undetectable at day 0 but increased up to 325 \u00b5g/mL at day 56. A 2.7- and 3.5-fold rise in RSV/A and RSV/B microneutralization antibodies were noted at day 56. Between days 56 and 112, 21% (12/56) of placebo recipients and 11% of vaccinees (26/244) showed evidence of a recent RSV infection (P = .04). CONCLUSIONS The vaccine appeared safe, immunogenic, and reduced RSV infections. Further development as a vaccine for use in maternal immunization is warranted. CLINICAL TRIALS REGISTRATION NCT01704365.", "author" : [ { "dropping-particle" : "", "family" : "Glenn", "given" : "Gregory M.", "non-dropping-particle" : "", "parse-names" : false, "suffix" : "" }, { "dropping-particle" : "", "family" : "Fries", "given" : "Louis F.", "non-dropping-particle" : "", "parse-names" : false, "suffix" : "" }, { "dropping-particle" : "", "family" : "Thomas", "given" : "D. Nigel", "non-dropping-particle" : "", "parse-names" : false, "suffix" : "" }, { "dropping-particle" : "", "family" : "Smith", "given" : "Gale", "non-dropping-particle" : "", "parse-names" : false, "suffix" : "" }, { "dropping-particle" : "", "family" : "Kpamegan", "given" : "Eloi", "non-dropping-particle" : "", "parse-names" : false, "suffix" : "" }, { "dropping-particle" : "", "family" : "Lu", "given" : "Hanxin", "non-dropping-particle" : "", "parse-names" : false, "suffix" : "" }, { "dropping-particle" : "", "family" : "Flyer", "given" : "David", "non-dropping-particle" : "", "parse-names" : false, "suffix" : "" }, { "dropping-particle" : "", "family" : "Jani", "given" : "Dewal", "non-dropping-particle" : "", "parse-names" : false, "suffix" : "" }, { "dropping-particle" : "", "family" : "Hickman", "given" : "Somia P.", "non-dropping-particle" : "", "parse-names" : false, "suffix" : "" }, { "dropping-particle" : "", "family" : "Piedra", "given" : "Pedro A.", "non-dropping-particle" : "", "parse-names" : false, "suffix" : "" } ], "container-title" : "Journal of Infectious Diseases", "id" : "ITEM-1", "issue" : "3", "issued" : { "date-parts" : [ [ "2016", "2", "1" ] ] }, "page" : "411-422", "title" : "A Randomized, Blinded, Controlled, Dose-Ranging Study of a Respiratory Syncytial Virus Recombinant Fusion (F) Nanoparticle Vaccine in Healthy Women of Childbearing Age", "type" : "article-journal", "volume" : "213" }, "uris" : [ "http://www.mendeley.com/documents/?uuid=55d22fe6-255a-31a1-9446-89df345d0182" ] } ], "mendeley" : { "formattedCitation" : "(135)", "plainTextFormattedCitation" : "(135)", "previouslyFormattedCitation" : "(134)" }, "properties" : { "noteIndex" : 0 }, "schema" : "https://github.com/citation-style-language/schema/raw/master/csl-citation.json" }</w:instrText>
            </w:r>
            <w:r>
              <w:rPr>
                <w:rFonts w:ascii="Calibri" w:eastAsia="Times New Roman" w:hAnsi="Calibri" w:cs="Arial"/>
                <w:color w:val="000000"/>
                <w:sz w:val="12"/>
                <w:szCs w:val="12"/>
                <w:lang w:eastAsia="en-US"/>
              </w:rPr>
              <w:fldChar w:fldCharType="separate"/>
            </w:r>
            <w:r w:rsidR="00B707E2" w:rsidRPr="00B707E2">
              <w:rPr>
                <w:rFonts w:ascii="Calibri" w:eastAsia="Times New Roman" w:hAnsi="Calibri" w:cs="Arial"/>
                <w:noProof/>
                <w:color w:val="000000"/>
                <w:sz w:val="12"/>
                <w:szCs w:val="12"/>
                <w:lang w:eastAsia="en-US"/>
              </w:rPr>
              <w:t>(135)</w:t>
            </w:r>
            <w:r>
              <w:rPr>
                <w:rFonts w:ascii="Calibri" w:eastAsia="Times New Roman" w:hAnsi="Calibri" w:cs="Arial"/>
                <w:color w:val="000000"/>
                <w:sz w:val="12"/>
                <w:szCs w:val="12"/>
                <w:lang w:eastAsia="en-US"/>
              </w:rPr>
              <w:fldChar w:fldCharType="end"/>
            </w:r>
          </w:p>
          <w:p w14:paraId="3FC3369B" w14:textId="4E14CE29" w:rsidR="004801B8" w:rsidRPr="00335C94" w:rsidRDefault="004801B8" w:rsidP="00A73EE2">
            <w:pPr>
              <w:ind w:left="-53"/>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 w:val="12"/>
                <w:szCs w:val="12"/>
                <w:lang w:eastAsia="en-US"/>
              </w:rPr>
            </w:pPr>
          </w:p>
        </w:tc>
      </w:tr>
      <w:tr w:rsidR="0040607E" w:rsidRPr="0073253E" w14:paraId="722479EC" w14:textId="77777777" w:rsidTr="0068162F">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276" w:type="dxa"/>
            <w:gridSpan w:val="2"/>
          </w:tcPr>
          <w:p w14:paraId="7A705575" w14:textId="03356536" w:rsidR="001F526C" w:rsidRPr="0073253E" w:rsidRDefault="0040607E" w:rsidP="00A73EE2">
            <w:pPr>
              <w:jc w:val="center"/>
              <w:rPr>
                <w:rFonts w:ascii="Cambria" w:hAnsi="Cambria"/>
                <w:sz w:val="12"/>
                <w:szCs w:val="12"/>
              </w:rPr>
            </w:pPr>
            <w:r>
              <w:rPr>
                <w:rFonts w:ascii="Cambria" w:hAnsi="Cambria"/>
                <w:sz w:val="12"/>
                <w:szCs w:val="12"/>
              </w:rPr>
              <w:t>RSV F Nano</w:t>
            </w:r>
            <w:r w:rsidR="001F526C">
              <w:rPr>
                <w:rFonts w:ascii="Cambria" w:hAnsi="Cambria"/>
                <w:sz w:val="12"/>
                <w:szCs w:val="12"/>
              </w:rPr>
              <w:t>particle</w:t>
            </w:r>
          </w:p>
        </w:tc>
        <w:tc>
          <w:tcPr>
            <w:tcW w:w="851" w:type="dxa"/>
          </w:tcPr>
          <w:p w14:paraId="5040CBF6" w14:textId="10729760" w:rsidR="001F526C" w:rsidRPr="0073253E" w:rsidRDefault="001F526C"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Novavax</w:t>
            </w:r>
          </w:p>
        </w:tc>
        <w:tc>
          <w:tcPr>
            <w:tcW w:w="958" w:type="dxa"/>
          </w:tcPr>
          <w:p w14:paraId="428B5ADF" w14:textId="7954E0F7" w:rsidR="001F526C" w:rsidRPr="0073253E" w:rsidRDefault="00337FD1"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Sf9/BV recombinant technology</w:t>
            </w:r>
          </w:p>
        </w:tc>
        <w:tc>
          <w:tcPr>
            <w:tcW w:w="738" w:type="dxa"/>
          </w:tcPr>
          <w:p w14:paraId="7729F01B" w14:textId="0F35E333" w:rsidR="001F526C" w:rsidRPr="0073253E" w:rsidRDefault="0067320E" w:rsidP="002C62A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Stabilized F protein exhibiting post</w:t>
            </w:r>
            <w:r w:rsidR="00525B10">
              <w:rPr>
                <w:rFonts w:ascii="Cambria" w:hAnsi="Cambria"/>
                <w:sz w:val="12"/>
                <w:szCs w:val="12"/>
              </w:rPr>
              <w:t>-</w:t>
            </w:r>
            <w:r>
              <w:rPr>
                <w:rFonts w:ascii="Cambria" w:hAnsi="Cambria"/>
                <w:sz w:val="12"/>
                <w:szCs w:val="12"/>
              </w:rPr>
              <w:t>F morphology</w:t>
            </w:r>
          </w:p>
        </w:tc>
        <w:tc>
          <w:tcPr>
            <w:tcW w:w="886" w:type="dxa"/>
          </w:tcPr>
          <w:p w14:paraId="1EED2682" w14:textId="640C818C" w:rsidR="001F526C" w:rsidRPr="0073253E" w:rsidRDefault="001F526C"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Aluminum phosphate</w:t>
            </w:r>
            <w:r w:rsidR="0065416C">
              <w:rPr>
                <w:rFonts w:ascii="Cambria" w:hAnsi="Cambria"/>
                <w:sz w:val="12"/>
                <w:szCs w:val="12"/>
              </w:rPr>
              <w:t xml:space="preserve"> &amp; Matrix M</w:t>
            </w:r>
          </w:p>
        </w:tc>
        <w:tc>
          <w:tcPr>
            <w:tcW w:w="941" w:type="dxa"/>
          </w:tcPr>
          <w:p w14:paraId="0AEB15E2" w14:textId="01362CE9" w:rsidR="001F526C" w:rsidRPr="0073253E" w:rsidRDefault="00EE4E5C"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F forms nanoparticle in multim</w:t>
            </w:r>
            <w:r w:rsidR="00443253">
              <w:rPr>
                <w:rFonts w:ascii="Cambria" w:hAnsi="Cambria"/>
                <w:sz w:val="12"/>
                <w:szCs w:val="12"/>
              </w:rPr>
              <w:t>eric  micelle f</w:t>
            </w:r>
            <w:r>
              <w:rPr>
                <w:rFonts w:ascii="Cambria" w:hAnsi="Cambria"/>
                <w:sz w:val="12"/>
                <w:szCs w:val="12"/>
              </w:rPr>
              <w:t>ormat</w:t>
            </w:r>
          </w:p>
        </w:tc>
        <w:tc>
          <w:tcPr>
            <w:tcW w:w="979" w:type="dxa"/>
          </w:tcPr>
          <w:p w14:paraId="77B32B9B" w14:textId="2159E004" w:rsidR="001F526C" w:rsidRPr="0073253E" w:rsidRDefault="00DA4993"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O</w:t>
            </w:r>
          </w:p>
        </w:tc>
        <w:tc>
          <w:tcPr>
            <w:tcW w:w="1088" w:type="dxa"/>
          </w:tcPr>
          <w:p w14:paraId="2F9CD577" w14:textId="12063F99" w:rsidR="001F526C" w:rsidRPr="0073253E" w:rsidRDefault="00337FD1"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IM</w:t>
            </w:r>
          </w:p>
        </w:tc>
        <w:tc>
          <w:tcPr>
            <w:tcW w:w="738" w:type="dxa"/>
          </w:tcPr>
          <w:p w14:paraId="4C01E9E8" w14:textId="0E073002" w:rsidR="001F526C" w:rsidRPr="0073253E" w:rsidRDefault="001F526C"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II</w:t>
            </w:r>
          </w:p>
        </w:tc>
        <w:tc>
          <w:tcPr>
            <w:tcW w:w="738" w:type="dxa"/>
          </w:tcPr>
          <w:p w14:paraId="4C359A93" w14:textId="77777777" w:rsidR="00286626" w:rsidRDefault="00337FD1"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Cotton rats</w:t>
            </w:r>
          </w:p>
          <w:p w14:paraId="74291519" w14:textId="6375006C" w:rsidR="00286626" w:rsidRDefault="00281C17"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fldChar w:fldCharType="begin" w:fldLock="1"/>
            </w:r>
            <w:r w:rsidR="00B707E2">
              <w:rPr>
                <w:rFonts w:ascii="Cambria" w:hAnsi="Cambria"/>
                <w:sz w:val="12"/>
                <w:szCs w:val="12"/>
              </w:rPr>
              <w:instrText>ADDIN CSL_CITATION { "citationItems" : [ { "id" : "ITEM-1", "itemData" : { "DOI" : "10.1371/journal.pone.0050852", "ISSN" : "1932-6203", "PMID" : "23226404", "abstract" : "Respiratory Syncytial Virus (RSV) is an important viral agent causing severe respiratory tract disease in infants and children as well as in the elderly and immunocompromised individuals. The lack of a safe and effective RSV vaccine represents a major unmet medical need. RSV fusion (F) surface glycoprotein was modified and cloned into a baculovirus vector for efficient expression in Sf9 insect cells. Recombinant RSV F was glycosylated and cleaved into covalently linked F2 and F1 polypeptides that formed homotrimers. RSV F extracted and purified from insect cell membranes assembled into 40 nm protein nanoparticles composed of multiple RSV F oligomers arranged in the form of rosettes. The immunogenicity and protective efficacy of purified RSV F nanoparticles was compared to live and formalin inactivated RSV in cotton rats. Immunized animals induced neutralizing serum antibodies, inhibited virus replication in the lungs, and had no signs of disease enhancement in the respiratory track of challenged animals. RSV F nanoparticles also induced IgG competitive for binding of palivizumab neutralizing monoclonal antibody to RSV F antigenic site II. Antibodies to this epitope are known to protect against RSV when passively administered in high risk infants. Together these data provide a rational for continued development a recombinant RSV F nanoparticle vaccine candidate.", "author" : [ { "dropping-particle" : "", "family" : "Smith", "given" : "Gale", "non-dropping-particle" : "", "parse-names" : false, "suffix" : "" }, { "dropping-particle" : "", "family" : "Raghunandan", "given" : "Rama", "non-dropping-particle" : "", "parse-names" : false, "suffix" : "" }, { "dropping-particle" : "", "family" : "Wu", "given" : "Yingyun", "non-dropping-particle" : "", "parse-names" : false, "suffix" : "" }, { "dropping-particle" : "", "family" : "Liu", "given" : "Ye", "non-dropping-particle" : "", "parse-names" : false, "suffix" : "" }, { "dropping-particle" : "", "family" : "Massare", "given" : "Michael", "non-dropping-particle" : "", "parse-names" : false, "suffix" : "" }, { "dropping-particle" : "", "family" : "Nathan", "given" : "Margret", "non-dropping-particle" : "", "parse-names" : false, "suffix" : "" }, { "dropping-particle" : "", "family" : "Zhou", "given" : "Bin", "non-dropping-particle" : "", "parse-names" : false, "suffix" : "" }, { "dropping-particle" : "", "family" : "Lu", "given" : "Hanxin", "non-dropping-particle" : "", "parse-names" : false, "suffix" : "" }, { "dropping-particle" : "", "family" : "Boddapati", "given" : "Sarathi", "non-dropping-particle" : "", "parse-names" : false, "suffix" : "" }, { "dropping-particle" : "", "family" : "Li", "given" : "Jingning", "non-dropping-particle" : "", "parse-names" : false, "suffix" : "" }, { "dropping-particle" : "", "family" : "Flyer", "given" : "David", "non-dropping-particle" : "", "parse-names" : false, "suffix" : "" }, { "dropping-particle" : "", "family" : "Glenn", "given" : "Gregory", "non-dropping-particle" : "", "parse-names" : false, "suffix" : "" } ], "container-title" : "PLoS ONE", "id" : "ITEM-1", "issue" : "11", "issued" : { "date-parts" : [ [ "2012", "11", "30" ] ] }, "page" : "e50852", "title" : "Respiratory Syncytial Virus Fusion Glycoprotein Expressed in Insect Cells Form Protein Nanoparticles That Induce Protective Immunity in Cotton Rats", "type" : "article-journal", "volume" : "7" }, "uris" : [ "http://www.mendeley.com/documents/?uuid=e857b56b-533a-3e9d-a1ae-f39680ac6db9" ] }, { "id" : "ITEM-2", "itemData" : { "DOI" : "10.1016/j.vaccine.2014.09.030", "ISSN" : "0264410X", "PMID" : "25269094", "abstract" : "Post-infectious immunity to respiratory syncytial virus (RSV) infection results in limited protection as evidenced by the high rate of infant hospitalization in the face of high titer, maternally derived RSV-specific antibodies. By contrast, RSV fusion (F) glycoprotein antigenic site II humanized monoclonal antibodies, palivizumab and motavizumab, have been shown to reduce RSV-related hospitalization in infants. Immunogenicity and efficacy studies were conducted in cotton rats comparing a recombinant RSV F nanoparticle vaccine with palivizumab and controlled with live RSV virus intranasal immunization and, formalin inactivated RSV vaccine. Active immunization with RSV F nanoparticle vaccine containing an alum adjuvant induced serum levels of palivizumab competing antibody (PCA) greater than passive administration of 15 mg/kg palivizumab (human prophylactic dose) in cotton rats and neutralized RSV-A and RSV-B viruses. Immunization prevented detectable RSV replication in the lungs and, unlike passive administration of palivizumab, in the nasal passage of challenged cotton rats. Histology of lung tissues following RSV challenge showed no enhanced disease in the vaccinated groups in contrast to formalin inactivated 'Lot 100' vaccine. Passive intramuscular administration of RSV F vaccine-induced immune sera one day prior to challenge of cotton rats reduced viral titers by 2 or more log10 virus per gram of lung and nasal tissue and at doses less than palivizumab. A recombinant RSV F nanoparticle vaccine protected lower and upper respiratory tract against both RSV A and B strain infection and induced polyclonal palivizumab competing antibodies similar to but potentially more broadly protective against RSV than palivizumab.", "author" : [ { "dropping-particle" : "", "family" : "Raghunandan", "given" : "Rama", "non-dropping-particle" : "", "parse-names" : false, "suffix" : "" }, { "dropping-particle" : "", "family" : "Lu", "given" : "Hanxin", "non-dropping-particle" : "", "parse-names" : false, "suffix" : "" }, { "dropping-particle" : "", "family" : "Zhou", "given" : "Bin", "non-dropping-particle" : "", "parse-names" : false, "suffix" : "" }, { "dropping-particle" : "", "family" : "Xabier", "given" : "Mimi Guebre", "non-dropping-particle" : "", "parse-names" : false, "suffix" : "" }, { "dropping-particle" : "", "family" : "Massare", "given" : "Michael J.", "non-dropping-particle" : "", "parse-names" : false, "suffix" : "" }, { "dropping-particle" : "", "family" : "Flyer", "given" : "David C.", "non-dropping-particle" : "", "parse-names" : false, "suffix" : "" }, { "dropping-particle" : "", "family" : "Fries", "given" : "Louis F.", "non-dropping-particle" : "", "parse-names" : false, "suffix" : "" }, { "dropping-particle" : "", "family" : "Smith", "given" : "Gale E.", "non-dropping-particle" : "", "parse-names" : false, "suffix" : "" }, { "dropping-particle" : "", "family" : "Glenn", "given" : "Gregory M.", "non-dropping-particle" : "", "parse-names" : false, "suffix" : "" } ], "container-title" : "Vaccine", "id" : "ITEM-2", "issue" : "48", "issued" : { "date-parts" : [ [ "2014", "11", "12" ] ] }, "page" : "6485-6492", "title" : "An insect cell derived respiratory syncytial virus (RSV) F nanoparticle vaccine induces antigenic site II antibodies and protects against RSV challenge in cotton rats by active and passive immunization", "type" : "article-journal", "volume" : "32" }, "uris" : [ "http://www.mendeley.com/documents/?uuid=366e00ab-001d-36de-b4cf-29d0efb6aba8" ] } ], "mendeley" : { "formattedCitation" : "(129,130)", "plainTextFormattedCitation" : "(129,130)", "previouslyFormattedCitation" : "(128,129)"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(129,130)</w:t>
            </w:r>
            <w:r>
              <w:rPr>
                <w:rFonts w:ascii="Cambria" w:hAnsi="Cambria"/>
                <w:sz w:val="12"/>
                <w:szCs w:val="12"/>
              </w:rPr>
              <w:fldChar w:fldCharType="end"/>
            </w:r>
            <w:r w:rsidR="00337FD1">
              <w:rPr>
                <w:rFonts w:ascii="Cambria" w:hAnsi="Cambria"/>
                <w:sz w:val="12"/>
                <w:szCs w:val="12"/>
              </w:rPr>
              <w:t>, baboons</w:t>
            </w:r>
            <w:r w:rsidR="0081092A">
              <w:rPr>
                <w:rFonts w:ascii="Cambria" w:hAnsi="Cambria"/>
                <w:sz w:val="12"/>
                <w:szCs w:val="12"/>
              </w:rPr>
              <w:fldChar w:fldCharType="begin" w:fldLock="1"/>
            </w:r>
            <w:r w:rsidR="00B707E2">
              <w:rPr>
                <w:rFonts w:ascii="Cambria" w:hAnsi="Cambria"/>
                <w:sz w:val="12"/>
                <w:szCs w:val="12"/>
              </w:rPr>
              <w:instrText>ADDIN CSL_CITATION { "citationItems" : [ { "id" : "ITEM-1", "itemData" : { "author" : [ { "dropping-particle" : "", "family" : "Welliver", "given" : "R", "non-dropping-particle" : "", "parse-names" : false, "suffix" : "" }, { "dropping-particle" : "", "family" : "Papin", "given" : "J", "non-dropping-particle" : "", "parse-names" : false, "suffix" : "" }, { "dropping-particle" : "", "family" : "Wolf", "given" : "R", "non-dropping-particle" : "", "parse-names" : false, "suffix" : "" }, { "dropping-particle" : "", "family" : "Moore", "given" : "S", "non-dropping-particle" : "", "parse-names" : false, "suffix" : "" }, { "dropping-particle" : "", "family" : "Raghunandan", "given" : "R", "non-dropping-particle" : "", "parse-names" : false, "suffix" : "" }, { "dropping-particle" : "", "family" : "Lu", "given" : "H", "non-dropping-particle" : "", "parse-names" : false, "suffix" : "" }, { "dropping-particle" : "", "family" : "Flyer", "given" : "D", "non-dropping-particle" : "", "parse-names" : false, "suffix" : "" }, { "dropping-particle" : "", "family" : "Smith", "given" : "G", "non-dropping-particle" : "", "parse-names" : false, "suffix" : "" }, { "dropping-particle" : "", "family" : "Glenn", "given" : "G", "non-dropping-particle" : "", "parse-names" : false, "suffix" : "" } ], "container-title" : "Poster 53 presented at 54th Interscience conference on antimicrobial agents and chemotherapy (ICAAC)", "id" : "ITEM-1", "issued" : { "date-parts" : [ [ "2014" ] ] }, "publisher-place" : "Washington D.C.", "title" : "Maternal Immunization of pregnant baboons with the RSV F Nanoparticle leads to trans-placental transfer of high affinity functional antibodies", "type" : "paper-conference" }, "uris" : [ "http://www.mendeley.com/documents/?uuid=603c9865-24e9-3451-8a89-5958757512a5" ] } ], "mendeley" : { "formattedCitation" : "(131)", "plainTextFormattedCitation" : "(131)", "previouslyFormattedCitation" : "(130)" }, "properties" : { "noteIndex" : 0 }, "schema" : "https://github.com/citation-style-language/schema/raw/master/csl-citation.json" }</w:instrText>
            </w:r>
            <w:r w:rsidR="0081092A">
              <w:rPr>
                <w:rFonts w:ascii="Cambria" w:hAnsi="Cambria"/>
                <w:sz w:val="12"/>
                <w:szCs w:val="12"/>
              </w:rPr>
              <w:fldChar w:fldCharType="separate"/>
            </w:r>
            <w:r w:rsidR="00B707E2" w:rsidRPr="00B707E2">
              <w:rPr>
                <w:rFonts w:ascii="Cambria" w:hAnsi="Cambria"/>
                <w:noProof/>
                <w:sz w:val="12"/>
                <w:szCs w:val="12"/>
              </w:rPr>
              <w:t>(131)</w:t>
            </w:r>
            <w:r w:rsidR="0081092A">
              <w:rPr>
                <w:rFonts w:ascii="Cambria" w:hAnsi="Cambria"/>
                <w:sz w:val="12"/>
                <w:szCs w:val="12"/>
              </w:rPr>
              <w:fldChar w:fldCharType="end"/>
            </w:r>
          </w:p>
          <w:p w14:paraId="00773856" w14:textId="2693307D" w:rsidR="001F526C" w:rsidRPr="0073253E" w:rsidRDefault="001F526C"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738" w:type="dxa"/>
          </w:tcPr>
          <w:p w14:paraId="219E5BE6" w14:textId="77777777" w:rsidR="001F526C" w:rsidRDefault="0046668F"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Oct 2012- Mar 2014</w:t>
            </w:r>
          </w:p>
          <w:p w14:paraId="53384246" w14:textId="77777777" w:rsidR="00873BFE" w:rsidRDefault="00873BFE" w:rsidP="00873BFE">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7B0917">
              <w:rPr>
                <w:rFonts w:ascii="Cambria" w:hAnsi="Cambria"/>
                <w:sz w:val="12"/>
                <w:szCs w:val="12"/>
              </w:rPr>
              <w:t>NCT01709019</w:t>
            </w:r>
          </w:p>
          <w:p w14:paraId="7076A095" w14:textId="5C1D0E9E" w:rsidR="00DF17B0" w:rsidRDefault="00DF17B0" w:rsidP="00873BFE">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(n=220)</w:t>
            </w:r>
            <w:r w:rsidR="00E13F9B">
              <w:rPr>
                <w:rFonts w:ascii="Cambria" w:hAnsi="Cambria"/>
                <w:sz w:val="12"/>
                <w:szCs w:val="12"/>
              </w:rPr>
              <w:fldChar w:fldCharType="begin" w:fldLock="1"/>
            </w:r>
            <w:r w:rsidR="00B707E2">
              <w:rPr>
                <w:rFonts w:ascii="Cambria" w:hAnsi="Cambria"/>
                <w:sz w:val="12"/>
                <w:szCs w:val="12"/>
              </w:rPr>
              <w:instrText>ADDIN CSL_CITATION { "citationItems" : [ { "id" : "ITEM-1", "itemData" : { "DOI" : "10.1186/s12979-017-0090-7", "ISSN" : "1742-4933", "PMID" : "28413427", "abstract" : "BACKGROUND A preventative strategy for Respiratory Syncytial Virus (RSV) infection constitutes an under-recognized unmet medical need among older adults. Four formulations of a novel recombinant RSV F nanoparticle vaccine (60 or 90\u00a0\u03bcg RSV F protein, with or without aluminum phosphate adjuvant) administered concurrently with a licensed inactivated trivalent influenza vaccine (TIV) in older adult subjects were evaluated for safety and immunogenicity in this randomized, observer-blinded study. RESULTS A total of 220 healthy males and females\u2009\u2265\u200960\u00a0years of age, without symptomatic cardiopulmonary disease, were vaccinated concurrently with TIV and RSV F vaccine or placebo. All vaccine formulations produced an acceptable safety profile, with no vaccine-related serious adverse events or evidence of systemic toxicity. Vaccine-induced immune responses were rapid, rising as early as 7\u00a0days post-vaccination; and were comparable in all formulations in terms of magnitude, with maximal levels attained within 28 (unadjuvanted) or 56 (adjuvanted) days post-vaccination. Peak anti-F protein IgG antibody levels rose 3.6- to 5.6-fold, with an adjuvant effect observed at the 60\u00a0\u03bcg dose, and a dose-effect observed between the unadjuvanted 60 and 90\u00a0\u03bcg regimens. The anti-F response persisted through 12\u00a0months post-vaccination. Palivizumab-competitive antibodies were below quantifiable levels (&lt;33\u00a0\u03bcg/mL) at day 0. The rise of antibodies with specificity for Site II peptide, and the palivizumab-competitive binding activity, denoting antibodies binding at, or in proximity to, antigenic Site II on the F protein, closely paralleled the anti-F response. However, a larger proportion of antibodies in adjuvanted vaccine recipients bound to the Site II peptide at high avidity. Day 0 neutralizing antibodies were high in all subjects and rose 1.3- to 1.7-fold in response to vaccination. Importantly, the RSV F vaccine co-administered with TIV did not impact the serum hemagglutination inhibition antibody responses to a standard-dose TIV, and TIV did not impact the immune response to the RSV F vaccine. CONCLUSIONS RSV F protein nanoparticle vaccine induced increases in measures of functional immunity to RSV in older adults and demonstrated an acceptable safety profile. Adjuvanted formulations provided additional immunogenicity benefit as compared to increasing antigen dose alone. This trial was registered with ClinicalTrials.gov number NCT01709019.", "author" : [ { "dropping-particle" : "", "family" : "Fries", "given" : "Louis", "non-dropping-particle" : "", "parse-names" : false, "suffix" : "" }, { "dropping-particle" : "", "family" : "Shinde", "given" : "Vivek", "non-dropping-particle" : "", "parse-names" : false, "suffix" : "" }, { "dropping-particle" : "", "family" : "Stoddard", "given" : "Jeffrey J", "non-dropping-particle" : "", "parse-names" : false, "suffix" : "" }, { "dropping-particle" : "", "family" : "Thomas", "given" : "D Nigel", "non-dropping-particle" : "", "parse-names" : false, "suffix" : "" }, { "dropping-particle" : "", "family" : "Kpamegan", "given" : "Eloi", "non-dropping-particle" : "", "parse-names" : false, "suffix" : "" }, { "dropping-particle" : "", "family" : "Lu", "given" : "Hanxin", "non-dropping-particle" : "", "parse-names" : false, "suffix" : "" }, { "dropping-particle" : "", "family" : "Smith", "given" : "Gale", "non-dropping-particle" : "", "parse-names" : false, "suffix" : "" }, { "dropping-particle" : "", "family" : "Hickman", "given" : "Somia P", "non-dropping-particle" : "", "parse-names" : false, "suffix" : "" }, { "dropping-particle" : "", "family" : "Piedra", "given" : "Pedro", "non-dropping-particle" : "", "parse-names" : false, "suffix" : "" }, { "dropping-particle" : "", "family" : "Glenn", "given" : "Gregory M", "non-dropping-particle" : "", "parse-names" : false, "suffix" : "" } ], "container-title" : "Immunity &amp; ageing : I &amp; A", "id" : "ITEM-1", "issue" : "1", "issued" : { "date-parts" : [ [ "2017", "12", "12" ] ] }, "page" : "8", "title" : "Immunogenicity and safety of a respiratory syncytial virus fusion protein (RSV F) nanoparticle vaccine in older adults.", "type" : "article-journal", "volume" : "14" }, "uris" : [ "http://www.mendeley.com/documents/?uuid=0a1cabf7-39f5-30db-abaf-a90ff064f718" ] } ], "mendeley" : { "formattedCitation" : "(136)", "plainTextFormattedCitation" : "(136)", "previouslyFormattedCitation" : "(135)" }, "properties" : { "noteIndex" : 0 }, "schema" : "https://github.com/citation-style-language/schema/raw/master/csl-citation.json" }</w:instrText>
            </w:r>
            <w:r w:rsidR="00E13F9B">
              <w:rPr>
                <w:rFonts w:ascii="Cambria" w:hAnsi="Cambria"/>
                <w:sz w:val="12"/>
                <w:szCs w:val="12"/>
              </w:rPr>
              <w:fldChar w:fldCharType="separate"/>
            </w:r>
            <w:r w:rsidR="00B707E2" w:rsidRPr="00B707E2">
              <w:rPr>
                <w:rFonts w:ascii="Cambria" w:hAnsi="Cambria"/>
                <w:noProof/>
                <w:sz w:val="12"/>
                <w:szCs w:val="12"/>
              </w:rPr>
              <w:t>(136)</w:t>
            </w:r>
            <w:r w:rsidR="00E13F9B">
              <w:rPr>
                <w:rFonts w:ascii="Cambria" w:hAnsi="Cambria"/>
                <w:sz w:val="12"/>
                <w:szCs w:val="12"/>
              </w:rPr>
              <w:fldChar w:fldCharType="end"/>
            </w:r>
          </w:p>
          <w:p w14:paraId="2EB60F52" w14:textId="5E7FCCD3" w:rsidR="00873BFE" w:rsidRPr="0073253E" w:rsidRDefault="00873BFE"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885" w:type="dxa"/>
          </w:tcPr>
          <w:p w14:paraId="1DEFD578" w14:textId="77777777" w:rsidR="0088340A" w:rsidRDefault="0088340A"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Oct 2014 – Mar 2016</w:t>
            </w:r>
          </w:p>
          <w:p w14:paraId="17D5A403" w14:textId="77777777" w:rsidR="0088340A" w:rsidRPr="0088340A" w:rsidRDefault="0088340A" w:rsidP="0088340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88340A">
              <w:rPr>
                <w:rFonts w:ascii="Cambria" w:hAnsi="Cambria"/>
                <w:sz w:val="12"/>
                <w:szCs w:val="12"/>
              </w:rPr>
              <w:t>NCT02266628</w:t>
            </w:r>
          </w:p>
          <w:p w14:paraId="665B336B" w14:textId="2C93A879" w:rsidR="0088340A" w:rsidRDefault="00247E90"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(n=1599)</w:t>
            </w:r>
          </w:p>
          <w:p w14:paraId="14DD1611" w14:textId="77777777" w:rsidR="0088340A" w:rsidRDefault="0088340A"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0031E3BD" w14:textId="0FF3ADAE" w:rsidR="00F155F7" w:rsidRDefault="0046668F"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Oct 201</w:t>
            </w:r>
            <w:r w:rsidR="001F7E55">
              <w:rPr>
                <w:rFonts w:ascii="Cambria" w:hAnsi="Cambria"/>
                <w:sz w:val="12"/>
                <w:szCs w:val="12"/>
              </w:rPr>
              <w:t>5</w:t>
            </w:r>
            <w:r>
              <w:rPr>
                <w:rFonts w:ascii="Cambria" w:hAnsi="Cambria"/>
                <w:sz w:val="12"/>
                <w:szCs w:val="12"/>
              </w:rPr>
              <w:t xml:space="preserve"> – Nov 2016</w:t>
            </w:r>
          </w:p>
          <w:p w14:paraId="17FE0203" w14:textId="0D19A54F" w:rsidR="001F7E55" w:rsidRPr="001F7E55" w:rsidRDefault="001F7E55" w:rsidP="001F7E5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1F7E55">
              <w:rPr>
                <w:rFonts w:ascii="Cambria" w:hAnsi="Cambria"/>
                <w:sz w:val="12"/>
                <w:szCs w:val="12"/>
              </w:rPr>
              <w:t>NCT02593071</w:t>
            </w:r>
            <w:r>
              <w:rPr>
                <w:rFonts w:ascii="Cambria" w:hAnsi="Cambria"/>
                <w:sz w:val="12"/>
                <w:szCs w:val="12"/>
              </w:rPr>
              <w:t xml:space="preserve"> (n=1330)</w:t>
            </w:r>
          </w:p>
          <w:p w14:paraId="7B776518" w14:textId="77777777" w:rsidR="001F7E55" w:rsidRDefault="001F7E55"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680DD51A" w14:textId="77777777" w:rsidR="001F526C" w:rsidRDefault="00F155F7"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Rollover: Jan 2017 – Jul 2018</w:t>
            </w:r>
          </w:p>
          <w:p w14:paraId="63F4A44C" w14:textId="5BC99AF6" w:rsidR="00444F4F" w:rsidRDefault="00444F4F" w:rsidP="00444F4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444F4F">
              <w:rPr>
                <w:rFonts w:ascii="Cambria" w:hAnsi="Cambria"/>
                <w:sz w:val="12"/>
                <w:szCs w:val="12"/>
              </w:rPr>
              <w:t>NCT03026348</w:t>
            </w:r>
          </w:p>
          <w:p w14:paraId="19769582" w14:textId="75B5405A" w:rsidR="0087538D" w:rsidRPr="0073253E" w:rsidRDefault="0087538D" w:rsidP="00A73EE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(n=1329)</w:t>
            </w:r>
          </w:p>
        </w:tc>
        <w:tc>
          <w:tcPr>
            <w:tcW w:w="886" w:type="dxa"/>
          </w:tcPr>
          <w:p w14:paraId="5A495583" w14:textId="47ABCB71" w:rsidR="001F526C" w:rsidRDefault="001F526C"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Nov 2015 –</w:t>
            </w:r>
          </w:p>
          <w:p w14:paraId="2FC9014E" w14:textId="474386AF" w:rsidR="00753EAC" w:rsidRPr="00753EAC" w:rsidRDefault="00F155F7" w:rsidP="00753EAC">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 xml:space="preserve">Dec </w:t>
            </w:r>
            <w:r w:rsidR="001F526C">
              <w:rPr>
                <w:rFonts w:ascii="Cambria" w:hAnsi="Cambria"/>
                <w:sz w:val="12"/>
                <w:szCs w:val="12"/>
              </w:rPr>
              <w:t>2016</w:t>
            </w:r>
            <w:r w:rsidR="00753EAC" w:rsidRPr="00753EAC">
              <w:rPr>
                <w:rFonts w:ascii="Helvetica Neue" w:eastAsia="Times New Roman" w:hAnsi="Helvetica Neue" w:cs="Times New Roman"/>
                <w:color w:val="000000"/>
                <w:sz w:val="23"/>
                <w:szCs w:val="23"/>
                <w:shd w:val="clear" w:color="auto" w:fill="FFFFFF"/>
                <w:lang w:eastAsia="en-US"/>
              </w:rPr>
              <w:t xml:space="preserve"> </w:t>
            </w:r>
          </w:p>
          <w:p w14:paraId="3418A8A8" w14:textId="77777777" w:rsidR="00753EAC" w:rsidRDefault="00753EAC" w:rsidP="009B6291">
            <w:pPr>
              <w:cnfStyle w:val="000000100000" w:firstRow="0" w:lastRow="0" w:firstColumn="0" w:lastColumn="0" w:oddVBand="0" w:evenVBand="0" w:oddHBand="1" w:evenHBand="0" w:firstRowFirstColumn="0" w:firstRowLastColumn="0" w:lastRowFirstColumn="0" w:lastRowLastColumn="0"/>
              <w:rPr>
                <w:rFonts w:ascii="Cambria" w:hAnsi="Cambria"/>
                <w:color w:val="auto"/>
                <w:sz w:val="12"/>
                <w:szCs w:val="12"/>
              </w:rPr>
            </w:pPr>
            <w:r>
              <w:rPr>
                <w:rFonts w:ascii="Cambria" w:hAnsi="Cambria"/>
                <w:sz w:val="12"/>
                <w:szCs w:val="12"/>
              </w:rPr>
              <w:t>NCT02608502</w:t>
            </w:r>
          </w:p>
          <w:p w14:paraId="67C02E8F" w14:textId="54FAA33B" w:rsidR="00753EAC" w:rsidRPr="0073253E" w:rsidRDefault="00753EAC" w:rsidP="009B6291">
            <w:pPr>
              <w:cnfStyle w:val="000000100000" w:firstRow="0" w:lastRow="0" w:firstColumn="0" w:lastColumn="0" w:oddVBand="0" w:evenVBand="0" w:oddHBand="1" w:evenHBand="0" w:firstRowFirstColumn="0" w:firstRowLastColumn="0" w:lastRowFirstColumn="0" w:lastRowLastColumn="0"/>
              <w:rPr>
                <w:rFonts w:ascii="Cambria" w:hAnsi="Cambria"/>
                <w:color w:val="auto"/>
                <w:sz w:val="12"/>
                <w:szCs w:val="12"/>
              </w:rPr>
            </w:pPr>
            <w:r>
              <w:rPr>
                <w:rFonts w:ascii="Cambria" w:hAnsi="Cambria"/>
                <w:sz w:val="12"/>
                <w:szCs w:val="12"/>
              </w:rPr>
              <w:t>(n=11850)</w:t>
            </w:r>
          </w:p>
        </w:tc>
        <w:tc>
          <w:tcPr>
            <w:tcW w:w="1872" w:type="dxa"/>
            <w:gridSpan w:val="2"/>
          </w:tcPr>
          <w:p w14:paraId="2EBC54AE" w14:textId="36AFE80E" w:rsidR="001F526C" w:rsidRDefault="001F526C"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PhII: safe, VE: 41%</w:t>
            </w:r>
          </w:p>
          <w:p w14:paraId="7165FE08" w14:textId="15664186" w:rsidR="001F526C" w:rsidRDefault="001F526C"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against RSV-ARD, 64%</w:t>
            </w:r>
          </w:p>
          <w:p w14:paraId="01776957" w14:textId="11661E48" w:rsidR="001F526C" w:rsidRDefault="001F526C"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VE against RSV-msLRTD</w:t>
            </w:r>
            <w:r w:rsidR="00E13F9B">
              <w:rPr>
                <w:rFonts w:ascii="Cambria" w:hAnsi="Cambria"/>
                <w:sz w:val="12"/>
                <w:szCs w:val="12"/>
              </w:rPr>
              <w:fldChar w:fldCharType="begin" w:fldLock="1"/>
            </w:r>
            <w:r w:rsidR="00B707E2">
              <w:rPr>
                <w:rFonts w:ascii="Cambria" w:hAnsi="Cambria"/>
                <w:sz w:val="12"/>
                <w:szCs w:val="12"/>
              </w:rPr>
              <w:instrText>ADDIN CSL_CITATION { "citationItems" : [ { "id" : "ITEM-1", "itemData" : { "URL" : "http://novavax.com/page/11/clinical-stage-pipeline", "accessed" : { "date-parts" : [ [ "2017", "12", "19" ] ] }, "id" : "ITEM-1", "issued" : { "date-parts" : [ [ "0" ] ] }, "title" : "Clinical Stage Pipeline \u2013 Novavax", "type" : "webpage" }, "uris" : [ "http://www.mendeley.com/documents/?uuid=f2067ee8-c1b5-3d2f-95f1-9e17c2ebc1e3" ] } ], "mendeley" : { "formattedCitation" : "(137)", "plainTextFormattedCitation" : "(137)", "previouslyFormattedCitation" : "(136)" }, "properties" : { "noteIndex" : 0 }, "schema" : "https://github.com/citation-style-language/schema/raw/master/csl-citation.json" }</w:instrText>
            </w:r>
            <w:r w:rsidR="00E13F9B">
              <w:rPr>
                <w:rFonts w:ascii="Cambria" w:hAnsi="Cambria"/>
                <w:sz w:val="12"/>
                <w:szCs w:val="12"/>
              </w:rPr>
              <w:fldChar w:fldCharType="separate"/>
            </w:r>
            <w:r w:rsidR="00B707E2" w:rsidRPr="00B707E2">
              <w:rPr>
                <w:rFonts w:ascii="Cambria" w:hAnsi="Cambria"/>
                <w:noProof/>
                <w:sz w:val="12"/>
                <w:szCs w:val="12"/>
              </w:rPr>
              <w:t>(137)</w:t>
            </w:r>
            <w:r w:rsidR="00E13F9B">
              <w:rPr>
                <w:rFonts w:ascii="Cambria" w:hAnsi="Cambria"/>
                <w:sz w:val="12"/>
                <w:szCs w:val="12"/>
              </w:rPr>
              <w:fldChar w:fldCharType="end"/>
            </w:r>
          </w:p>
          <w:p w14:paraId="40EEE50C" w14:textId="125AB6D8" w:rsidR="0087538D" w:rsidRDefault="0087538D"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6CDAA47F" w14:textId="77777777" w:rsidR="001F526C" w:rsidRDefault="001F526C"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PhIII: safe, no efficacy v.</w:t>
            </w:r>
          </w:p>
          <w:p w14:paraId="53F72370" w14:textId="7B73B564" w:rsidR="001F526C" w:rsidRDefault="001F526C"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RSV-ARD &amp;RSV-msLRTD</w:t>
            </w:r>
            <w:r w:rsidR="00BF7DB7">
              <w:rPr>
                <w:rFonts w:ascii="Cambria" w:hAnsi="Cambria"/>
                <w:sz w:val="12"/>
                <w:szCs w:val="12"/>
              </w:rPr>
              <w:t>;; post-</w:t>
            </w:r>
          </w:p>
          <w:p w14:paraId="35ED9C7B" w14:textId="2E9603D4" w:rsidR="00BF7DB7" w:rsidRDefault="00BF7DB7"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 xml:space="preserve">hoc efficacy v all-cause </w:t>
            </w:r>
          </w:p>
          <w:p w14:paraId="3BE0F439" w14:textId="3ED3DEF3" w:rsidR="00BF7DB7" w:rsidRDefault="00BF7DB7"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hospitalization</w:t>
            </w:r>
          </w:p>
          <w:p w14:paraId="6C6D9349" w14:textId="5F93B761" w:rsidR="0087538D" w:rsidRDefault="0087538D"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(n=11850)</w:t>
            </w:r>
          </w:p>
          <w:p w14:paraId="44B98D8A" w14:textId="77777777" w:rsidR="0087538D" w:rsidRDefault="0087538D"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5D087CBA" w14:textId="77777777" w:rsidR="001F526C" w:rsidRDefault="001F526C"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 xml:space="preserve">PhII rollover: no residual </w:t>
            </w:r>
          </w:p>
          <w:p w14:paraId="7C276BDD" w14:textId="77777777" w:rsidR="0040607E" w:rsidRDefault="001F526C"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protection in 2</w:t>
            </w:r>
            <w:r w:rsidRPr="00A73EE2">
              <w:rPr>
                <w:rFonts w:ascii="Cambria" w:hAnsi="Cambria"/>
                <w:sz w:val="12"/>
                <w:szCs w:val="12"/>
                <w:vertAlign w:val="superscript"/>
              </w:rPr>
              <w:t>nd</w:t>
            </w:r>
            <w:r>
              <w:rPr>
                <w:rFonts w:ascii="Cambria" w:hAnsi="Cambria"/>
                <w:sz w:val="12"/>
                <w:szCs w:val="12"/>
              </w:rPr>
              <w:t xml:space="preserve"> year</w:t>
            </w:r>
            <w:r w:rsidR="004801B8">
              <w:rPr>
                <w:rFonts w:ascii="Cambria" w:hAnsi="Cambria"/>
                <w:sz w:val="12"/>
                <w:szCs w:val="12"/>
              </w:rPr>
              <w:t>;</w:t>
            </w:r>
          </w:p>
          <w:p w14:paraId="2377E939" w14:textId="77777777" w:rsidR="00BF7DB7" w:rsidRDefault="00BF7DB7"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second immunization protective</w:t>
            </w:r>
          </w:p>
          <w:p w14:paraId="4A3AF3BE" w14:textId="771129B7" w:rsidR="00BF7DB7" w:rsidRDefault="00BF7DB7"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against RSV-ARD and msLRTD</w:t>
            </w:r>
          </w:p>
          <w:p w14:paraId="51E37690" w14:textId="79AC42BC" w:rsidR="0040607E" w:rsidRPr="0073253E" w:rsidRDefault="00BF7DB7" w:rsidP="00A73EE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Del="00BF7DB7">
              <w:rPr>
                <w:rFonts w:ascii="Cambria" w:hAnsi="Cambria"/>
                <w:sz w:val="12"/>
                <w:szCs w:val="12"/>
              </w:rPr>
              <w:t xml:space="preserve"> </w:t>
            </w:r>
            <w:r>
              <w:rPr>
                <w:rFonts w:ascii="Cambria" w:hAnsi="Cambria"/>
                <w:sz w:val="12"/>
                <w:szCs w:val="12"/>
              </w:rPr>
              <w:t>(n=1329)</w:t>
            </w:r>
            <w:r w:rsidR="00FC52F4">
              <w:rPr>
                <w:rFonts w:ascii="Cambria" w:hAnsi="Cambria"/>
                <w:sz w:val="12"/>
                <w:szCs w:val="12"/>
              </w:rPr>
              <w:fldChar w:fldCharType="begin" w:fldLock="1"/>
            </w:r>
            <w:r w:rsidR="00B707E2">
              <w:rPr>
                <w:rFonts w:ascii="Cambria" w:hAnsi="Cambria"/>
                <w:sz w:val="12"/>
                <w:szCs w:val="12"/>
              </w:rPr>
              <w:instrText>ADDIN CSL_CITATION { "citationItems" : [ { "id" : "ITEM-1", "itemData" : { "URL" : "http://novavax.com/presentation.show", "accessed" : { "date-parts" : [ [ "2017", "12", "19" ] ] }, "author" : [ { "dropping-particle" : "", "family" : "Novavax", "given" : "", "non-dropping-particle" : "", "parse-names" : false, "suffix" : "" } ], "id" : "ITEM-1", "issued" : { "date-parts" : [ [ "2016" ] ] }, "title" : "Novavax: Investor and Analyst Presentation November 9, 2016", "type" : "webpage" }, "uris" : [ "http://www.mendeley.com/documents/?uuid=d0e63fef-ca83-3f28-af4c-1bfb39adb230" ] }, { "id" : "ITEM-2", "itemData" : { "DOI" : "10.1126/scitranslmed.aac5745", "ISSN" : "1946-6234", "PMID" : "26268313", "abstract" : "Respiratory syncytial virus (RSV) causes respiratory infection in annual epidemics, with infants and the elderly at particular risk of developing severe disease and death. However, despite its importance, no vaccine exists. The chimpanzee adenovirus, PanAd3-RSV, and modified vaccinia virus Ankara, MVA-RSV, are replication-defective viral vectors encoding the RSV fusion (F), nucleocapsid (N), and matrix (M2-1) proteins for the induction of humoral and cellular responses. We performed an open-label, dose escalation, phase 1 clinical trial in 42 healthy adults in which four different combinations of prime/boost vaccinations were investigated for safety and immunogenicity, including both intramuscular (IM) and intranasal (IN) administration of the adenovirus-vectored vaccine. The vaccines were safe and well tolerated, with the most common reported adverse events being mild injection site reactions. No vaccine-related serious adverse events occurred. RSV neutralizing antibody titers rose in response to IM prime with PanAd3-RSV and after IM boost for individuals primed by the IN route. Circulating anti-F immunoglobulin G (IgG) and IgA antibody-secreting cells (ASCs) were observed after the IM prime and IM boost. RSV-specific T cell responses were increased after the IM PanAd3-RSV prime and were most efficiently boosted by IM MVA-RSV. Interferon-\u03b3 (IFN-\u03b3) secretion after boost was from both CD4(+) and CD8(+) T cells, without detectable T helper cell 2 (TH2) cytokines that have been previously associated with immune pathogenesis following exposure to RSV after the formalin-inactivated RSV vaccine. In conclusion, PanAd3-RSV and MVA-RSV are safe and immunogenic in healthy adults. These vaccine candidates warrant further clinical evaluation of efficacy to assess their potential to reduce the burden of RSV disease.", "author" : [ { "dropping-particle" : "", "family" : "Green", "given" : "C. A.", "non-dropping-particle" : "", "parse-names" : false, "suffix" : "" }, { "dropping-particle" : "", "family" : "Scarselli", "given" : "E.", "non-dropping-particle" : "", "parse-names" : false, "suffix" : "" }, { "dropping-particle" : "", "family" : "Sande", "given" : "C. J.", "non-dropping-particle" : "", "parse-names" : false, "suffix" : "" }, { "dropping-particle" : "", "family" : "Thompson", "given" : "A. J.", "non-dropping-particle" : "", "parse-names" : false, "suffix" : "" }, { "dropping-particle" : "", "family" : "Lara", "given" : "C. M.", "non-dropping-particle" : "de", "parse-names" : false, "suffix" : "" }, { "dropping-particle" : "", "family" : "Taylor", "given" : "K. S.", "non-dropping-particle" : "", "parse-names" : false, "suffix" : "" }, { "dropping-particle" : "", "family" : "Haworth", "given" : "K.", "non-dropping-particle" : "", "parse-names" : false, "suffix" : "" }, { "dropping-particle" : "", "family" : "Sorbo", "given" : "M.", "non-dropping-particle" : "Del", "parse-names" : false, "suffix" : "" }, { "dropping-particle" : "", "family" : "Angus", "given" : "B.", "non-dropping-particle" : "", "parse-names" : false, "suffix" : "" }, { "dropping-particle" : "", "family" : "Siani", "given" : "L.", "non-dropping-particle" : "", "parse-names" : false, "suffix" : "" }, { "dropping-particle" : "", "family" : "Marco", "given" : "S.", "non-dropping-particle" : "Di", "parse-names" : false, "suffix" : "" }, { "dropping-particle" : "", "family" : "Traboni", "given" : "C.", "non-dropping-particle" : "", "parse-names" : false, "suffix" : "" }, { "dropping-particle" : "", "family" : "Folgori", "given" : "A.", "non-dropping-particle" : "", "parse-names" : false, "suffix" : "" }, { "dropping-particle" : "", "family" : "Colloca", "given" : "S.", "non-dropping-particle" : "", "parse-names" : false, "suffix" : "" }, { "dropping-particle" : "", "family" : "Capone", "given" : "S.", "non-dropping-particle" : "", "parse-names" : false, "suffix" : "" }, { "dropping-particle" : "", "family" : "Vitelli", "given" : "A.", "non-dropping-particle" : "", "parse-names" : false, "suffix" : "" }, { "dropping-particle" : "", "family" : "Cortese", "given" : "R.", "non-dropping-particle" : "", "parse-names" : false, "suffix" : "" }, { "dropping-particle" : "", "family" : "Klenerman", "given" : "P.", "non-dropping-particle" : "", "parse-names" : false, "suffix" : "" }, { "dropping-particle" : "", "family" : "Nicosia", "given" : "A.", "non-dropping-particle" : "", "parse-names" : false, "suffix" : "" }, { "dropping-particle" : "", "family" : "Pollard", "given" : "A. J.", "non-dropping-particle" : "", "parse-names" : false, "suffix" : "" } ], "container-title" : "Science Translational Medicine", "id" : "ITEM-2", "issue" : "300", "issued" : { "date-parts" : [ [ "2015", "8", "12" ] ] }, "page" : "300ra126", "title" : "Chimpanzee adenovirus- and MVA-vectored respiratory syncytial virus vaccine is safe and immunogenic in adults", "type" : "article-journal", "volume" : "7" }, "uris" : [ "http://www.mendeley.com/documents/?uuid=0cfa5613-8880-3022-918a-f6613d96af49" ] } ], "mendeley" : { "formattedCitation" : "(133,138)", "plainTextFormattedCitation" : "(133,138)", "previouslyFormattedCitation" : "(132,137)" }, "properties" : { "noteIndex" : 0 }, "schema" : "https://github.com/citation-style-language/schema/raw/master/csl-citation.json" }</w:instrText>
            </w:r>
            <w:r w:rsidR="00FC52F4">
              <w:rPr>
                <w:rFonts w:ascii="Cambria" w:hAnsi="Cambria"/>
                <w:sz w:val="12"/>
                <w:szCs w:val="12"/>
              </w:rPr>
              <w:fldChar w:fldCharType="separate"/>
            </w:r>
            <w:r w:rsidR="00B707E2" w:rsidRPr="00B707E2">
              <w:rPr>
                <w:rFonts w:ascii="Cambria" w:hAnsi="Cambria"/>
                <w:noProof/>
                <w:sz w:val="12"/>
                <w:szCs w:val="12"/>
              </w:rPr>
              <w:t>(133,138)</w:t>
            </w:r>
            <w:r w:rsidR="00FC52F4">
              <w:rPr>
                <w:rFonts w:ascii="Cambria" w:hAnsi="Cambria"/>
                <w:sz w:val="12"/>
                <w:szCs w:val="12"/>
              </w:rPr>
              <w:fldChar w:fldCharType="end"/>
            </w:r>
          </w:p>
        </w:tc>
      </w:tr>
      <w:tr w:rsidR="0040607E" w:rsidRPr="0073253E" w14:paraId="5DAB82D4" w14:textId="77777777" w:rsidTr="0068162F">
        <w:trPr>
          <w:trHeight w:val="302"/>
        </w:trPr>
        <w:tc>
          <w:tcPr>
            <w:cnfStyle w:val="001000000000" w:firstRow="0" w:lastRow="0" w:firstColumn="1" w:lastColumn="0" w:oddVBand="0" w:evenVBand="0" w:oddHBand="0" w:evenHBand="0" w:firstRowFirstColumn="0" w:firstRowLastColumn="0" w:lastRowFirstColumn="0" w:lastRowLastColumn="0"/>
            <w:tcW w:w="1276" w:type="dxa"/>
            <w:gridSpan w:val="2"/>
          </w:tcPr>
          <w:p w14:paraId="7C6641DA" w14:textId="52A5972A" w:rsidR="001F526C" w:rsidRPr="0073253E" w:rsidRDefault="0040607E" w:rsidP="00A73EE2">
            <w:pPr>
              <w:jc w:val="center"/>
              <w:rPr>
                <w:rFonts w:ascii="Cambria" w:hAnsi="Cambria"/>
                <w:sz w:val="12"/>
                <w:szCs w:val="12"/>
              </w:rPr>
            </w:pPr>
            <w:r>
              <w:rPr>
                <w:rFonts w:ascii="Cambria" w:hAnsi="Cambria"/>
                <w:sz w:val="12"/>
                <w:szCs w:val="12"/>
              </w:rPr>
              <w:t>RSV F Nano</w:t>
            </w:r>
            <w:r w:rsidR="001F526C">
              <w:rPr>
                <w:rFonts w:ascii="Cambria" w:hAnsi="Cambria"/>
                <w:sz w:val="12"/>
                <w:szCs w:val="12"/>
              </w:rPr>
              <w:t>particle</w:t>
            </w:r>
          </w:p>
        </w:tc>
        <w:tc>
          <w:tcPr>
            <w:tcW w:w="851" w:type="dxa"/>
          </w:tcPr>
          <w:p w14:paraId="2A65E86E" w14:textId="1725E956" w:rsidR="001F526C" w:rsidRPr="0073253E" w:rsidRDefault="001F526C"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Novavax</w:t>
            </w:r>
          </w:p>
        </w:tc>
        <w:tc>
          <w:tcPr>
            <w:tcW w:w="958" w:type="dxa"/>
          </w:tcPr>
          <w:p w14:paraId="79F9306B" w14:textId="63A854BE" w:rsidR="001F526C" w:rsidRPr="0073253E" w:rsidRDefault="00337FD1"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Sf9/BV recombinant technology</w:t>
            </w:r>
          </w:p>
        </w:tc>
        <w:tc>
          <w:tcPr>
            <w:tcW w:w="738" w:type="dxa"/>
          </w:tcPr>
          <w:p w14:paraId="67C36C2F" w14:textId="5EE79029" w:rsidR="001F526C" w:rsidRPr="0073253E" w:rsidRDefault="0067320E" w:rsidP="002C62AF">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Stabilized F protein exhibiting post</w:t>
            </w:r>
            <w:r w:rsidR="00525B10">
              <w:rPr>
                <w:rFonts w:ascii="Cambria" w:hAnsi="Cambria"/>
                <w:sz w:val="12"/>
                <w:szCs w:val="12"/>
              </w:rPr>
              <w:t>-</w:t>
            </w:r>
            <w:r>
              <w:rPr>
                <w:rFonts w:ascii="Cambria" w:hAnsi="Cambria"/>
                <w:sz w:val="12"/>
                <w:szCs w:val="12"/>
              </w:rPr>
              <w:t>F morphology</w:t>
            </w:r>
          </w:p>
        </w:tc>
        <w:tc>
          <w:tcPr>
            <w:tcW w:w="886" w:type="dxa"/>
          </w:tcPr>
          <w:p w14:paraId="4F1A35E4" w14:textId="204F614C" w:rsidR="001F526C" w:rsidRPr="0073253E" w:rsidRDefault="001F526C"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Aluminum</w:t>
            </w:r>
            <w:r w:rsidR="00A62196">
              <w:rPr>
                <w:rFonts w:ascii="Cambria" w:hAnsi="Cambria"/>
                <w:sz w:val="12"/>
                <w:szCs w:val="12"/>
              </w:rPr>
              <w:t xml:space="preserve"> phosphate</w:t>
            </w:r>
            <w:r>
              <w:rPr>
                <w:rFonts w:ascii="Cambria" w:hAnsi="Cambria"/>
                <w:sz w:val="12"/>
                <w:szCs w:val="12"/>
              </w:rPr>
              <w:t>/ Matrix M-1</w:t>
            </w:r>
          </w:p>
        </w:tc>
        <w:tc>
          <w:tcPr>
            <w:tcW w:w="941" w:type="dxa"/>
          </w:tcPr>
          <w:p w14:paraId="3B925E78" w14:textId="4226BC20" w:rsidR="001F526C" w:rsidRPr="0073253E" w:rsidRDefault="00EE4E5C"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F forms nanoparticle in multimeric </w:t>
            </w:r>
            <w:r w:rsidR="00443253">
              <w:rPr>
                <w:rFonts w:ascii="Cambria" w:hAnsi="Cambria"/>
                <w:sz w:val="12"/>
                <w:szCs w:val="12"/>
              </w:rPr>
              <w:t>micelle format</w:t>
            </w:r>
          </w:p>
        </w:tc>
        <w:tc>
          <w:tcPr>
            <w:tcW w:w="979" w:type="dxa"/>
          </w:tcPr>
          <w:p w14:paraId="793EF7FC" w14:textId="74925014" w:rsidR="001F526C" w:rsidRPr="0073253E" w:rsidRDefault="001F526C" w:rsidP="00C2335F">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P </w:t>
            </w:r>
          </w:p>
        </w:tc>
        <w:tc>
          <w:tcPr>
            <w:tcW w:w="1088" w:type="dxa"/>
          </w:tcPr>
          <w:p w14:paraId="7FBC68F1" w14:textId="09367840" w:rsidR="001F526C" w:rsidRPr="0073253E" w:rsidRDefault="00337FD1"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IM</w:t>
            </w:r>
          </w:p>
        </w:tc>
        <w:tc>
          <w:tcPr>
            <w:tcW w:w="738" w:type="dxa"/>
          </w:tcPr>
          <w:p w14:paraId="678B92F5" w14:textId="44C97E10" w:rsidR="001F526C" w:rsidRPr="0073253E" w:rsidRDefault="001F526C"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w:t>
            </w:r>
          </w:p>
        </w:tc>
        <w:tc>
          <w:tcPr>
            <w:tcW w:w="738" w:type="dxa"/>
          </w:tcPr>
          <w:p w14:paraId="1C585F8A" w14:textId="77777777" w:rsidR="00286626" w:rsidRDefault="00337FD1"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Cotton rats,</w:t>
            </w:r>
          </w:p>
          <w:p w14:paraId="6B2C5C8F" w14:textId="1792BFA8" w:rsidR="00286626" w:rsidRDefault="00EA59F7"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fldChar w:fldCharType="begin" w:fldLock="1"/>
            </w:r>
            <w:r w:rsidR="00B707E2">
              <w:rPr>
                <w:rFonts w:ascii="Cambria" w:hAnsi="Cambria"/>
                <w:sz w:val="12"/>
                <w:szCs w:val="12"/>
              </w:rPr>
              <w:instrText>ADDIN CSL_CITATION { "citationItems" : [ { "id" : "ITEM-1", "itemData" : { "DOI" : "10.1371/journal.pone.0050852", "ISSN" : "1932-6203", "PMID" : "23226404", "abstract" : "Respiratory Syncytial Virus (RSV) is an important viral agent causing severe respiratory tract disease in infants and children as well as in the elderly and immunocompromised individuals. The lack of a safe and effective RSV vaccine represents a major unmet medical need. RSV fusion (F) surface glycoprotein was modified and cloned into a baculovirus vector for efficient expression in Sf9 insect cells. Recombinant RSV F was glycosylated and cleaved into covalently linked F2 and F1 polypeptides that formed homotrimers. RSV F extracted and purified from insect cell membranes assembled into 40 nm protein nanoparticles composed of multiple RSV F oligomers arranged in the form of rosettes. The immunogenicity and protective efficacy of purified RSV F nanoparticles was compared to live and formalin inactivated RSV in cotton rats. Immunized animals induced neutralizing serum antibodies, inhibited virus replication in the lungs, and had no signs of disease enhancement in the respiratory track of challenged animals. RSV F nanoparticles also induced IgG competitive for binding of palivizumab neutralizing monoclonal antibody to RSV F antigenic site II. Antibodies to this epitope are known to protect against RSV when passively administered in high risk infants. Together these data provide a rational for continued development a recombinant RSV F nanoparticle vaccine candidate.", "author" : [ { "dropping-particle" : "", "family" : "Smith", "given" : "Gale", "non-dropping-particle" : "", "parse-names" : false, "suffix" : "" }, { "dropping-particle" : "", "family" : "Raghunandan", "given" : "Rama", "non-dropping-particle" : "", "parse-names" : false, "suffix" : "" }, { "dropping-particle" : "", "family" : "Wu", "given" : "Yingyun", "non-dropping-particle" : "", "parse-names" : false, "suffix" : "" }, { "dropping-particle" : "", "family" : "Liu", "given" : "Ye", "non-dropping-particle" : "", "parse-names" : false, "suffix" : "" }, { "dropping-particle" : "", "family" : "Massare", "given" : "Michael", "non-dropping-particle" : "", "parse-names" : false, "suffix" : "" }, { "dropping-particle" : "", "family" : "Nathan", "given" : "Margret", "non-dropping-particle" : "", "parse-names" : false, "suffix" : "" }, { "dropping-particle" : "", "family" : "Zhou", "given" : "Bin", "non-dropping-particle" : "", "parse-names" : false, "suffix" : "" }, { "dropping-particle" : "", "family" : "Lu", "given" : "Hanxin", "non-dropping-particle" : "", "parse-names" : false, "suffix" : "" }, { "dropping-particle" : "", "family" : "Boddapati", "given" : "Sarathi", "non-dropping-particle" : "", "parse-names" : false, "suffix" : "" }, { "dropping-particle" : "", "family" : "Li", "given" : "Jingning", "non-dropping-particle" : "", "parse-names" : false, "suffix" : "" }, { "dropping-particle" : "", "family" : "Flyer", "given" : "David", "non-dropping-particle" : "", "parse-names" : false, "suffix" : "" }, { "dropping-particle" : "", "family" : "Glenn", "given" : "Gregory", "non-dropping-particle" : "", "parse-names" : false, "suffix" : "" } ], "container-title" : "PLoS ONE", "id" : "ITEM-1", "issue" : "11", "issued" : { "date-parts" : [ [ "2012", "11", "30" ] ] }, "page" : "e50852", "title" : "Respiratory Syncytial Virus Fusion Glycoprotein Expressed in Insect Cells Form Protein Nanoparticles That Induce Protective Immunity in Cotton Rats", "type" : "article-journal", "volume" : "7" }, "uris" : [ "http://www.mendeley.com/documents/?uuid=e857b56b-533a-3e9d-a1ae-f39680ac6db9" ] }, { "id" : "ITEM-2", "itemData" : { "DOI" : "10.1016/j.vaccine.2014.09.030", "ISSN" : "0264410X", "PMID" : "25269094", "abstract" : "Post-infectious immunity to respiratory syncytial virus (RSV) infection results in limited protection as evidenced by the high rate of infant hospitalization in the face of high titer, maternally derived RSV-specific antibodies. By contrast, RSV fusion (F) glycoprotein antigenic site II humanized monoclonal antibodies, palivizumab and motavizumab, have been shown to reduce RSV-related hospitalization in infants. Immunogenicity and efficacy studies were conducted in cotton rats comparing a recombinant RSV F nanoparticle vaccine with palivizumab and controlled with live RSV virus intranasal immunization and, formalin inactivated RSV vaccine. Active immunization with RSV F nanoparticle vaccine containing an alum adjuvant induced serum levels of palivizumab competing antibody (PCA) greater than passive administration of 15 mg/kg palivizumab (human prophylactic dose) in cotton rats and neutralized RSV-A and RSV-B viruses. Immunization prevented detectable RSV replication in the lungs and, unlike passive administration of palivizumab, in the nasal passage of challenged cotton rats. Histology of lung tissues following RSV challenge showed no enhanced disease in the vaccinated groups in contrast to formalin inactivated 'Lot 100' vaccine. Passive intramuscular administration of RSV F vaccine-induced immune sera one day prior to challenge of cotton rats reduced viral titers by 2 or more log10 virus per gram of lung and nasal tissue and at doses less than palivizumab. A recombinant RSV F nanoparticle vaccine protected lower and upper respiratory tract against both RSV A and B strain infection and induced polyclonal palivizumab competing antibodies similar to but potentially more broadly protective against RSV than palivizumab.", "author" : [ { "dropping-particle" : "", "family" : "Raghunandan", "given" : "Rama", "non-dropping-particle" : "", "parse-names" : false, "suffix" : "" }, { "dropping-particle" : "", "family" : "Lu", "given" : "Hanxin", "non-dropping-particle" : "", "parse-names" : false, "suffix" : "" }, { "dropping-particle" : "", "family" : "Zhou", "given" : "Bin", "non-dropping-particle" : "", "parse-names" : false, "suffix" : "" }, { "dropping-particle" : "", "family" : "Xabier", "given" : "Mimi Guebre", "non-dropping-particle" : "", "parse-names" : false, "suffix" : "" }, { "dropping-particle" : "", "family" : "Massare", "given" : "Michael J.", "non-dropping-particle" : "", "parse-names" : false, "suffix" : "" }, { "dropping-particle" : "", "family" : "Flyer", "given" : "David C.", "non-dropping-particle" : "", "parse-names" : false, "suffix" : "" }, { "dropping-particle" : "", "family" : "Fries", "given" : "Louis F.", "non-dropping-particle" : "", "parse-names" : false, "suffix" : "" }, { "dropping-particle" : "", "family" : "Smith", "given" : "Gale E.", "non-dropping-particle" : "", "parse-names" : false, "suffix" : "" }, { "dropping-particle" : "", "family" : "Glenn", "given" : "Gregory M.", "non-dropping-particle" : "", "parse-names" : false, "suffix" : "" } ], "container-title" : "Vaccine", "id" : "ITEM-2", "issue" : "48", "issued" : { "date-parts" : [ [ "2014", "11", "12" ] ] }, "page" : "6485-6492", "title" : "An insect cell derived respiratory syncytial virus (RSV) F nanoparticle vaccine induces antigenic site II antibodies and protects against RSV challenge in cotton rats by active and passive immunization", "type" : "article-journal", "volume" : "32" }, "uris" : [ "http://www.mendeley.com/documents/?uuid=366e00ab-001d-36de-b4cf-29d0efb6aba8" ] } ], "mendeley" : { "formattedCitation" : "(129,130)", "plainTextFormattedCitation" : "(129,130)", "previouslyFormattedCitation" : "(128,129)"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(129,130)</w:t>
            </w:r>
            <w:r>
              <w:rPr>
                <w:rFonts w:ascii="Cambria" w:hAnsi="Cambria"/>
                <w:sz w:val="12"/>
                <w:szCs w:val="12"/>
              </w:rPr>
              <w:fldChar w:fldCharType="end"/>
            </w:r>
            <w:r w:rsidR="00337FD1">
              <w:rPr>
                <w:rFonts w:ascii="Cambria" w:hAnsi="Cambria"/>
                <w:sz w:val="12"/>
                <w:szCs w:val="12"/>
              </w:rPr>
              <w:t xml:space="preserve"> baboons</w:t>
            </w:r>
          </w:p>
          <w:p w14:paraId="7091B19E" w14:textId="384DCCEC" w:rsidR="001F526C" w:rsidRPr="0073253E" w:rsidRDefault="005C58CE"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fldChar w:fldCharType="begin" w:fldLock="1"/>
            </w:r>
            <w:r w:rsidR="00B707E2">
              <w:rPr>
                <w:rFonts w:ascii="Cambria" w:hAnsi="Cambria"/>
                <w:sz w:val="12"/>
                <w:szCs w:val="12"/>
              </w:rPr>
              <w:instrText>ADDIN CSL_CITATION { "citationItems" : [ { "id" : "ITEM-1", "itemData" : { "author" : [ { "dropping-particle" : "", "family" : "Welliver", "given" : "R", "non-dropping-particle" : "", "parse-names" : false, "suffix" : "" }, { "dropping-particle" : "", "family" : "Papin", "given" : "J", "non-dropping-particle" : "", "parse-names" : false, "suffix" : "" }, { "dropping-particle" : "", "family" : "Wolf", "given" : "R", "non-dropping-particle" : "", "parse-names" : false, "suffix" : "" }, { "dropping-particle" : "", "family" : "Moore", "given" : "S", "non-dropping-particle" : "", "parse-names" : false, "suffix" : "" }, { "dropping-particle" : "", "family" : "Raghunandan", "given" : "R", "non-dropping-particle" : "", "parse-names" : false, "suffix" : "" }, { "dropping-particle" : "", "family" : "Lu", "given" : "H", "non-dropping-particle" : "", "parse-names" : false, "suffix" : "" }, { "dropping-particle" : "", "family" : "Flyer", "given" : "D", "non-dropping-particle" : "", "parse-names" : false, "suffix" : "" }, { "dropping-particle" : "", "family" : "Smith", "given" : "G", "non-dropping-particle" : "", "parse-names" : false, "suffix" : "" }, { "dropping-particle" : "", "family" : "Glenn", "given" : "G", "non-dropping-particle" : "", "parse-names" : false, "suffix" : "" } ], "container-title" : "Poster 53 presented at 54th Interscience conference on antimicrobial agents and chemotherapy (ICAAC)", "id" : "ITEM-1", "issued" : { "date-parts" : [ [ "2014" ] ] }, "publisher-place" : "Washington D.C.", "title" : "Maternal Immunization of pregnant baboons with the RSV F Nanoparticle leads to trans-placental transfer of high affinity functional antibodies", "type" : "paper-conference" }, "uris" : [ "http://www.mendeley.com/documents/?uuid=603c9865-24e9-3451-8a89-5958757512a5" ] } ], "mendeley" : { "formattedCitation" : "(131)", "plainTextFormattedCitation" : "(131)", "previouslyFormattedCitation" : "(130)"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(131)</w:t>
            </w:r>
            <w:r>
              <w:rPr>
                <w:rFonts w:ascii="Cambria" w:hAnsi="Cambria"/>
                <w:sz w:val="12"/>
                <w:szCs w:val="12"/>
              </w:rPr>
              <w:fldChar w:fldCharType="end"/>
            </w:r>
          </w:p>
        </w:tc>
        <w:tc>
          <w:tcPr>
            <w:tcW w:w="738" w:type="dxa"/>
          </w:tcPr>
          <w:p w14:paraId="0FBE2127" w14:textId="2C1711A4" w:rsidR="00146FB9" w:rsidRDefault="001F526C"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Nov 2014 – </w:t>
            </w:r>
            <w:r w:rsidR="00146FB9">
              <w:rPr>
                <w:rFonts w:ascii="Cambria" w:hAnsi="Cambria"/>
                <w:sz w:val="12"/>
                <w:szCs w:val="12"/>
              </w:rPr>
              <w:t xml:space="preserve">Apr </w:t>
            </w:r>
            <w:r>
              <w:rPr>
                <w:rFonts w:ascii="Cambria" w:hAnsi="Cambria"/>
                <w:sz w:val="12"/>
                <w:szCs w:val="12"/>
              </w:rPr>
              <w:t>201</w:t>
            </w:r>
            <w:r w:rsidR="00146FB9">
              <w:rPr>
                <w:rFonts w:ascii="Cambria" w:hAnsi="Cambria"/>
                <w:sz w:val="12"/>
                <w:szCs w:val="12"/>
              </w:rPr>
              <w:t>6</w:t>
            </w:r>
          </w:p>
          <w:p w14:paraId="066DC5B3" w14:textId="0C0C9C85" w:rsidR="001F526C" w:rsidRDefault="00146FB9" w:rsidP="00146FB9">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146FB9">
              <w:rPr>
                <w:rFonts w:ascii="Cambria" w:hAnsi="Cambria"/>
                <w:sz w:val="12"/>
                <w:szCs w:val="12"/>
              </w:rPr>
              <w:t>NCT02296463</w:t>
            </w:r>
          </w:p>
          <w:p w14:paraId="7A12E30D" w14:textId="3C4611E2" w:rsidR="006C5D7D" w:rsidRPr="0073253E" w:rsidRDefault="006C5D7D"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(n=32)</w:t>
            </w:r>
          </w:p>
        </w:tc>
        <w:tc>
          <w:tcPr>
            <w:tcW w:w="885" w:type="dxa"/>
          </w:tcPr>
          <w:p w14:paraId="419D7384" w14:textId="4612F582" w:rsidR="001F526C" w:rsidRPr="0073253E" w:rsidRDefault="001F526C" w:rsidP="00A73EE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886" w:type="dxa"/>
          </w:tcPr>
          <w:p w14:paraId="37C43CDD" w14:textId="60614E1F" w:rsidR="001F526C" w:rsidRPr="0073253E" w:rsidRDefault="001F526C" w:rsidP="00A73EE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72" w:type="dxa"/>
            <w:gridSpan w:val="2"/>
          </w:tcPr>
          <w:p w14:paraId="6FFF4C5F" w14:textId="77777777" w:rsidR="006C5D7D" w:rsidRDefault="001F526C" w:rsidP="00A73EE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PhI: </w:t>
            </w:r>
            <w:r w:rsidR="006C5D7D">
              <w:rPr>
                <w:rFonts w:ascii="Cambria" w:hAnsi="Cambria"/>
                <w:sz w:val="12"/>
                <w:szCs w:val="12"/>
              </w:rPr>
              <w:t>well-tolerates;;</w:t>
            </w:r>
          </w:p>
          <w:p w14:paraId="03503791" w14:textId="77777777" w:rsidR="006C5D7D" w:rsidRDefault="006C5D7D" w:rsidP="00A73EE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Anti-F IgG &amp; PCA increase d14,</w:t>
            </w:r>
          </w:p>
          <w:p w14:paraId="7657CADF" w14:textId="5ADD48EC" w:rsidR="006C5D7D" w:rsidRDefault="006C5D7D" w:rsidP="00A73EE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Peak d28, elevated to d56;</w:t>
            </w:r>
          </w:p>
          <w:p w14:paraId="40411B6E" w14:textId="210ECBCB" w:rsidR="001F526C" w:rsidRDefault="001F526C" w:rsidP="00A73EE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10-fold increase </w:t>
            </w:r>
          </w:p>
          <w:p w14:paraId="4E2BC9B2" w14:textId="0261606E" w:rsidR="00E71651" w:rsidRDefault="00E71651" w:rsidP="00A73EE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PCA &amp; anti-F IgA adjuvanted</w:t>
            </w:r>
            <w:r w:rsidR="001F526C">
              <w:rPr>
                <w:rFonts w:ascii="Cambria" w:hAnsi="Cambria"/>
                <w:sz w:val="12"/>
                <w:szCs w:val="12"/>
              </w:rPr>
              <w:t xml:space="preserve"> </w:t>
            </w:r>
          </w:p>
          <w:p w14:paraId="667949D0" w14:textId="71B6345C" w:rsidR="00E71651" w:rsidRDefault="001F526C" w:rsidP="00A73EE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6-fold </w:t>
            </w:r>
            <w:r w:rsidR="00E71651">
              <w:rPr>
                <w:rFonts w:ascii="Cambria" w:hAnsi="Cambria"/>
                <w:sz w:val="12"/>
                <w:szCs w:val="12"/>
              </w:rPr>
              <w:t>i</w:t>
            </w:r>
            <w:r>
              <w:rPr>
                <w:rFonts w:ascii="Cambria" w:hAnsi="Cambria"/>
                <w:sz w:val="12"/>
                <w:szCs w:val="12"/>
              </w:rPr>
              <w:t>ncrease</w:t>
            </w:r>
          </w:p>
          <w:p w14:paraId="6728EB3C" w14:textId="7290A70C" w:rsidR="001F526C" w:rsidRDefault="001F526C" w:rsidP="00A73EE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 in unadj</w:t>
            </w:r>
            <w:r w:rsidR="00E71651">
              <w:rPr>
                <w:rFonts w:ascii="Cambria" w:hAnsi="Cambria"/>
                <w:sz w:val="12"/>
                <w:szCs w:val="12"/>
              </w:rPr>
              <w:t>uvanted</w:t>
            </w:r>
            <w:r w:rsidR="00FD5B4C">
              <w:rPr>
                <w:rFonts w:ascii="Cambria" w:hAnsi="Cambria"/>
                <w:sz w:val="12"/>
                <w:szCs w:val="12"/>
              </w:rPr>
              <w:fldChar w:fldCharType="begin" w:fldLock="1"/>
            </w:r>
            <w:r w:rsidR="00B707E2">
              <w:rPr>
                <w:rFonts w:ascii="Cambria" w:hAnsi="Cambria"/>
                <w:sz w:val="12"/>
                <w:szCs w:val="12"/>
              </w:rPr>
              <w:instrText>ADDIN CSL_CITATION { "citationItems" : [ { "id" : "ITEM-1", "itemData" : { "URL" : "http://novavax.com/page/11/clinical-stage-pipeline", "accessed" : { "date-parts" : [ [ "2017", "12", "19" ] ] }, "id" : "ITEM-1", "issued" : { "date-parts" : [ [ "0" ] ] }, "title" : "Clinical Stage Pipeline \u2013 Novavax", "type" : "webpage" }, "uris" : [ "http://www.mendeley.com/documents/?uuid=f2067ee8-c1b5-3d2f-95f1-9e17c2ebc1e3" ] } ], "mendeley" : { "formattedCitation" : "(137)", "plainTextFormattedCitation" : "(137)", "previouslyFormattedCitation" : "(136)" }, "properties" : { "noteIndex" : 0 }, "schema" : "https://github.com/citation-style-language/schema/raw/master/csl-citation.json" }</w:instrText>
            </w:r>
            <w:r w:rsidR="00FD5B4C">
              <w:rPr>
                <w:rFonts w:ascii="Cambria" w:hAnsi="Cambria"/>
                <w:sz w:val="12"/>
                <w:szCs w:val="12"/>
              </w:rPr>
              <w:fldChar w:fldCharType="separate"/>
            </w:r>
            <w:r w:rsidR="00B707E2" w:rsidRPr="00B707E2">
              <w:rPr>
                <w:rFonts w:ascii="Cambria" w:hAnsi="Cambria"/>
                <w:noProof/>
                <w:sz w:val="12"/>
                <w:szCs w:val="12"/>
              </w:rPr>
              <w:t>(137)</w:t>
            </w:r>
            <w:r w:rsidR="00FD5B4C">
              <w:rPr>
                <w:rFonts w:ascii="Cambria" w:hAnsi="Cambria"/>
                <w:sz w:val="12"/>
                <w:szCs w:val="12"/>
              </w:rPr>
              <w:fldChar w:fldCharType="end"/>
            </w:r>
          </w:p>
          <w:p w14:paraId="69588E5E" w14:textId="251105D9" w:rsidR="006C5D7D" w:rsidRPr="0073253E" w:rsidRDefault="006C5D7D" w:rsidP="00A73EE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(n=32)</w:t>
            </w:r>
          </w:p>
        </w:tc>
      </w:tr>
      <w:tr w:rsidR="0040607E" w:rsidRPr="0073253E" w14:paraId="310904A1" w14:textId="77777777" w:rsidTr="0068162F">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276" w:type="dxa"/>
            <w:gridSpan w:val="2"/>
          </w:tcPr>
          <w:p w14:paraId="17C6F914" w14:textId="76435ED2" w:rsidR="001F526C" w:rsidRPr="0073253E" w:rsidRDefault="00012D64" w:rsidP="004C3C8F">
            <w:pPr>
              <w:jc w:val="center"/>
              <w:rPr>
                <w:rFonts w:ascii="Cambria" w:hAnsi="Cambria"/>
                <w:sz w:val="12"/>
                <w:szCs w:val="12"/>
              </w:rPr>
            </w:pPr>
            <w:r>
              <w:rPr>
                <w:rFonts w:ascii="Cambria" w:hAnsi="Cambria"/>
                <w:sz w:val="12"/>
                <w:szCs w:val="12"/>
              </w:rPr>
              <w:t>SynGEM</w:t>
            </w:r>
          </w:p>
        </w:tc>
        <w:tc>
          <w:tcPr>
            <w:tcW w:w="851" w:type="dxa"/>
          </w:tcPr>
          <w:p w14:paraId="693EC6DF" w14:textId="2233C798" w:rsidR="001F526C" w:rsidRPr="0073253E" w:rsidRDefault="001F526C" w:rsidP="004C3C8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Mucosis</w:t>
            </w:r>
          </w:p>
        </w:tc>
        <w:tc>
          <w:tcPr>
            <w:tcW w:w="958" w:type="dxa"/>
          </w:tcPr>
          <w:p w14:paraId="474E239F" w14:textId="24A1DD62" w:rsidR="001F526C" w:rsidRPr="0073253E" w:rsidRDefault="001F526C" w:rsidP="004C3C8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Bacterium-like-particle (BLP) mimopath technology carrying F proteins</w:t>
            </w:r>
          </w:p>
        </w:tc>
        <w:tc>
          <w:tcPr>
            <w:tcW w:w="738" w:type="dxa"/>
          </w:tcPr>
          <w:p w14:paraId="1BB95CD0" w14:textId="11999D5F" w:rsidR="001F526C" w:rsidRPr="0073253E" w:rsidRDefault="004A4019" w:rsidP="004C3C8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F protein, unclear which conformation</w:t>
            </w:r>
          </w:p>
        </w:tc>
        <w:tc>
          <w:tcPr>
            <w:tcW w:w="886" w:type="dxa"/>
          </w:tcPr>
          <w:p w14:paraId="312A4711" w14:textId="735F0F22" w:rsidR="001F526C" w:rsidRPr="0073253E" w:rsidRDefault="001F526C" w:rsidP="004C3C8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BLP</w:t>
            </w:r>
          </w:p>
        </w:tc>
        <w:tc>
          <w:tcPr>
            <w:tcW w:w="941" w:type="dxa"/>
          </w:tcPr>
          <w:p w14:paraId="3DF53729" w14:textId="533E91C4" w:rsidR="001F526C" w:rsidRPr="0073253E" w:rsidRDefault="001F526C" w:rsidP="004C3C8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BLP allows presentation of F protein and elicits mucosal IgA</w:t>
            </w:r>
          </w:p>
        </w:tc>
        <w:tc>
          <w:tcPr>
            <w:tcW w:w="979" w:type="dxa"/>
          </w:tcPr>
          <w:p w14:paraId="0351ED86" w14:textId="4D36FB62" w:rsidR="001F526C" w:rsidRPr="0073253E" w:rsidRDefault="00DA4993" w:rsidP="004C3C8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O</w:t>
            </w:r>
            <w:r w:rsidR="001F526C">
              <w:rPr>
                <w:rFonts w:ascii="Cambria" w:hAnsi="Cambria"/>
                <w:sz w:val="12"/>
                <w:szCs w:val="12"/>
              </w:rPr>
              <w:t xml:space="preserve"> &amp; P</w:t>
            </w:r>
          </w:p>
        </w:tc>
        <w:tc>
          <w:tcPr>
            <w:tcW w:w="1088" w:type="dxa"/>
          </w:tcPr>
          <w:p w14:paraId="7911E80C" w14:textId="20D485B6" w:rsidR="001F526C" w:rsidRPr="0073253E" w:rsidRDefault="001F526C" w:rsidP="004C3C8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IN</w:t>
            </w:r>
          </w:p>
        </w:tc>
        <w:tc>
          <w:tcPr>
            <w:tcW w:w="738" w:type="dxa"/>
          </w:tcPr>
          <w:p w14:paraId="6A3E5760" w14:textId="35423A34" w:rsidR="001F526C" w:rsidRPr="0073253E" w:rsidRDefault="001F526C" w:rsidP="004C3C8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w:t>
            </w:r>
          </w:p>
        </w:tc>
        <w:tc>
          <w:tcPr>
            <w:tcW w:w="738" w:type="dxa"/>
          </w:tcPr>
          <w:p w14:paraId="74AAFF33" w14:textId="5156CF71" w:rsidR="001F526C" w:rsidRPr="0073253E" w:rsidRDefault="005C06F6" w:rsidP="004C3C8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M</w:t>
            </w:r>
            <w:r w:rsidR="001F526C">
              <w:rPr>
                <w:rFonts w:ascii="Cambria" w:hAnsi="Cambria"/>
                <w:sz w:val="12"/>
                <w:szCs w:val="12"/>
              </w:rPr>
              <w:t>ice</w:t>
            </w:r>
          </w:p>
        </w:tc>
        <w:tc>
          <w:tcPr>
            <w:tcW w:w="738" w:type="dxa"/>
          </w:tcPr>
          <w:p w14:paraId="0E0C3680" w14:textId="77777777" w:rsidR="001F526C" w:rsidRDefault="00CD4BD1" w:rsidP="004C3C8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July 2016 – Dec 2017</w:t>
            </w:r>
          </w:p>
          <w:p w14:paraId="0593854D" w14:textId="77777777" w:rsidR="00E33645" w:rsidRDefault="00E33645" w:rsidP="00E3364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NCT02958540</w:t>
            </w:r>
          </w:p>
          <w:p w14:paraId="558B8723" w14:textId="56968B21" w:rsidR="00654245" w:rsidRDefault="00654245" w:rsidP="00E3364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(n=48)</w:t>
            </w:r>
          </w:p>
          <w:p w14:paraId="3F00014F" w14:textId="45199097" w:rsidR="00E33645" w:rsidRPr="0073253E" w:rsidRDefault="00E33645" w:rsidP="004C3C8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885" w:type="dxa"/>
          </w:tcPr>
          <w:p w14:paraId="7E3F024C" w14:textId="06A93338" w:rsidR="001F526C" w:rsidRPr="0073253E" w:rsidRDefault="00F155F7" w:rsidP="004C3C8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c>
          <w:tcPr>
            <w:tcW w:w="886" w:type="dxa"/>
          </w:tcPr>
          <w:p w14:paraId="34AB28E7" w14:textId="241E8E90" w:rsidR="001F526C" w:rsidRPr="0073253E" w:rsidRDefault="00F155F7" w:rsidP="004C3C8F">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72" w:type="dxa"/>
            <w:gridSpan w:val="2"/>
          </w:tcPr>
          <w:p w14:paraId="6088FED1" w14:textId="3DD8A03C" w:rsidR="001F526C" w:rsidRDefault="00CD38BE" w:rsidP="0065424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 xml:space="preserve">PhI: </w:t>
            </w:r>
            <w:r w:rsidR="00654245">
              <w:rPr>
                <w:rFonts w:ascii="Cambria" w:hAnsi="Cambria"/>
                <w:sz w:val="12"/>
                <w:szCs w:val="12"/>
              </w:rPr>
              <w:t>some immunogenicity</w:t>
            </w:r>
          </w:p>
          <w:p w14:paraId="623E81DA" w14:textId="77777777" w:rsidR="00654245" w:rsidRDefault="00654245" w:rsidP="0065424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in healthy adults but did not</w:t>
            </w:r>
          </w:p>
          <w:p w14:paraId="447D5B3E" w14:textId="77777777" w:rsidR="00654245" w:rsidRDefault="00654245" w:rsidP="0065424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meet threshold; development</w:t>
            </w:r>
          </w:p>
          <w:p w14:paraId="5CEE6E3A" w14:textId="72B4ACFB" w:rsidR="00654245" w:rsidRPr="0073253E" w:rsidRDefault="00654245" w:rsidP="0065424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suspended.</w:t>
            </w:r>
          </w:p>
        </w:tc>
      </w:tr>
      <w:tr w:rsidR="00A00374" w:rsidRPr="0073253E" w14:paraId="11D1A3F4" w14:textId="77777777" w:rsidTr="0068162F">
        <w:trPr>
          <w:trHeight w:val="302"/>
        </w:trPr>
        <w:tc>
          <w:tcPr>
            <w:cnfStyle w:val="001000000000" w:firstRow="0" w:lastRow="0" w:firstColumn="1" w:lastColumn="0" w:oddVBand="0" w:evenVBand="0" w:oddHBand="0" w:evenHBand="0" w:firstRowFirstColumn="0" w:firstRowLastColumn="0" w:lastRowFirstColumn="0" w:lastRowLastColumn="0"/>
            <w:tcW w:w="13574" w:type="dxa"/>
            <w:gridSpan w:val="16"/>
          </w:tcPr>
          <w:p w14:paraId="5A8C7B31" w14:textId="182230BE" w:rsidR="00A00374" w:rsidRPr="0073253E" w:rsidRDefault="00A00374" w:rsidP="00285338">
            <w:pPr>
              <w:ind w:left="2160" w:hanging="2160"/>
              <w:jc w:val="both"/>
              <w:rPr>
                <w:rFonts w:ascii="Cambria" w:hAnsi="Cambria"/>
                <w:sz w:val="12"/>
                <w:szCs w:val="12"/>
              </w:rPr>
            </w:pPr>
            <w:r>
              <w:rPr>
                <w:rFonts w:ascii="Cambria" w:hAnsi="Cambria"/>
                <w:sz w:val="12"/>
                <w:szCs w:val="12"/>
              </w:rPr>
              <w:t>VECTOR</w:t>
            </w:r>
            <w:r w:rsidR="009779CA">
              <w:rPr>
                <w:rFonts w:ascii="Cambria" w:hAnsi="Cambria"/>
                <w:sz w:val="12"/>
                <w:szCs w:val="12"/>
              </w:rPr>
              <w:t>-BASED</w:t>
            </w:r>
          </w:p>
        </w:tc>
      </w:tr>
      <w:tr w:rsidR="0040607E" w:rsidRPr="0073253E" w14:paraId="03CADCCC" w14:textId="77777777" w:rsidTr="003E0858">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35" w:type="dxa"/>
          </w:tcPr>
          <w:p w14:paraId="1E4D9CA3" w14:textId="6F4CD9CF" w:rsidR="001F526C" w:rsidRPr="0073253E" w:rsidRDefault="009A7D3C" w:rsidP="008F166B">
            <w:pPr>
              <w:jc w:val="center"/>
              <w:rPr>
                <w:rFonts w:ascii="Cambria" w:hAnsi="Cambria"/>
                <w:sz w:val="12"/>
                <w:szCs w:val="12"/>
              </w:rPr>
            </w:pPr>
            <w:r>
              <w:rPr>
                <w:rFonts w:ascii="Cambria" w:hAnsi="Cambria"/>
                <w:sz w:val="12"/>
                <w:szCs w:val="12"/>
              </w:rPr>
              <w:t>MVA</w:t>
            </w:r>
            <w:r w:rsidR="00012D64">
              <w:rPr>
                <w:rFonts w:ascii="Cambria" w:hAnsi="Cambria"/>
                <w:sz w:val="12"/>
                <w:szCs w:val="12"/>
              </w:rPr>
              <w:t>-BN RSV</w:t>
            </w:r>
          </w:p>
        </w:tc>
        <w:tc>
          <w:tcPr>
            <w:tcW w:w="992" w:type="dxa"/>
            <w:gridSpan w:val="2"/>
          </w:tcPr>
          <w:p w14:paraId="39880D37" w14:textId="61B1C1A9" w:rsidR="001F526C" w:rsidRPr="0073253E" w:rsidRDefault="009A7D3C" w:rsidP="008F166B">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Bavarian Nordic</w:t>
            </w:r>
          </w:p>
        </w:tc>
        <w:tc>
          <w:tcPr>
            <w:tcW w:w="958" w:type="dxa"/>
          </w:tcPr>
          <w:p w14:paraId="227ED2C3" w14:textId="20F1EAEB" w:rsidR="001F526C" w:rsidRPr="0073253E" w:rsidRDefault="00B1540F" w:rsidP="008F166B">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MVA-BN technology (antigens expressed in attenuated modified vaccinia Ankara)</w:t>
            </w:r>
          </w:p>
        </w:tc>
        <w:tc>
          <w:tcPr>
            <w:tcW w:w="738" w:type="dxa"/>
          </w:tcPr>
          <w:p w14:paraId="7668497F" w14:textId="059409CB" w:rsidR="001F526C" w:rsidRPr="0073253E" w:rsidRDefault="00A204EC" w:rsidP="008F166B">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F, G (subtype A &amp; B), N, M</w:t>
            </w:r>
            <w:r w:rsidR="0037441D">
              <w:rPr>
                <w:rFonts w:ascii="Cambria" w:hAnsi="Cambria"/>
                <w:sz w:val="12"/>
                <w:szCs w:val="12"/>
              </w:rPr>
              <w:t>2</w:t>
            </w:r>
          </w:p>
        </w:tc>
        <w:tc>
          <w:tcPr>
            <w:tcW w:w="886" w:type="dxa"/>
          </w:tcPr>
          <w:p w14:paraId="19D871FE" w14:textId="4584EB44" w:rsidR="001F526C" w:rsidRPr="0073253E" w:rsidRDefault="008F166B" w:rsidP="008F166B">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none</w:t>
            </w:r>
          </w:p>
        </w:tc>
        <w:tc>
          <w:tcPr>
            <w:tcW w:w="941" w:type="dxa"/>
          </w:tcPr>
          <w:p w14:paraId="1F99E3A2" w14:textId="2E3B5B34" w:rsidR="001F526C" w:rsidRPr="0073253E" w:rsidRDefault="005C328C" w:rsidP="008F166B">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Virus replication blocked at a late stage</w:t>
            </w:r>
          </w:p>
        </w:tc>
        <w:tc>
          <w:tcPr>
            <w:tcW w:w="979" w:type="dxa"/>
          </w:tcPr>
          <w:p w14:paraId="6DBE86D4" w14:textId="3A87EE0C" w:rsidR="001F526C" w:rsidRPr="0073253E" w:rsidRDefault="00DA4993" w:rsidP="008F166B">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O</w:t>
            </w:r>
          </w:p>
        </w:tc>
        <w:tc>
          <w:tcPr>
            <w:tcW w:w="1088" w:type="dxa"/>
          </w:tcPr>
          <w:p w14:paraId="41477012" w14:textId="4591B374" w:rsidR="001F526C" w:rsidRPr="0073253E" w:rsidRDefault="0046668F" w:rsidP="008F166B">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IM/IN</w:t>
            </w:r>
          </w:p>
        </w:tc>
        <w:tc>
          <w:tcPr>
            <w:tcW w:w="738" w:type="dxa"/>
          </w:tcPr>
          <w:p w14:paraId="79221951" w14:textId="6E7233D5" w:rsidR="001F526C" w:rsidRPr="0073253E" w:rsidRDefault="005C328C" w:rsidP="008F166B">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II</w:t>
            </w:r>
          </w:p>
        </w:tc>
        <w:tc>
          <w:tcPr>
            <w:tcW w:w="738" w:type="dxa"/>
          </w:tcPr>
          <w:p w14:paraId="2C3231E3" w14:textId="077EF267" w:rsidR="001F526C" w:rsidRPr="0073253E" w:rsidRDefault="00977557" w:rsidP="00C679C0">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Cotton rats, BALB/c mice</w:t>
            </w:r>
            <w:r w:rsidR="00C679C0">
              <w:rPr>
                <w:rFonts w:ascii="Cambria" w:hAnsi="Cambria"/>
                <w:sz w:val="12"/>
                <w:szCs w:val="12"/>
              </w:rPr>
              <w:fldChar w:fldCharType="begin" w:fldLock="1"/>
            </w:r>
            <w:r w:rsidR="00B707E2">
              <w:rPr>
                <w:rFonts w:ascii="Cambria" w:hAnsi="Cambria"/>
                <w:sz w:val="12"/>
                <w:szCs w:val="12"/>
              </w:rPr>
              <w:instrText>ADDIN CSL_CITATION { "citationItems" : [ { "id" : "ITEM-1", "itemData" : { "author" : [ { "dropping-particle" : "", "family" : "Jordan", "given" : "Elke", "non-dropping-particle" : "", "parse-names" : false, "suffix" : "" } ], "container-title" : "Presentation at RSV16, the 10th International Respiratory Syncytial Virus Symposium in Patagonia, Argentina", "id" : "ITEM-1", "issued" : { "date-parts" : [ [ "2016" ] ] }, "publisher-place" : "Bariloche", "title" : "A randomized, single-blind, placebo-controlled phase I trial to evaluate the safety, tolerability and immunogenicity of the recombinant MVA-BN \u00ae RSV vaccine in healthy adult subjects", "type" : "paper-conference" }, "uris" : [ "http://www.mendeley.com/documents/?uuid=a76d9948-833c-33e2-aca1-599aff0ac748" ] } ], "mendeley" : { "formattedCitation" : "(139)", "plainTextFormattedCitation" : "(139)", "previouslyFormattedCitation" : "(138)" }, "properties" : { "noteIndex" : 0 }, "schema" : "https://github.com/citation-style-language/schema/raw/master/csl-citation.json" }</w:instrText>
            </w:r>
            <w:r w:rsidR="00C679C0">
              <w:rPr>
                <w:rFonts w:ascii="Cambria" w:hAnsi="Cambria"/>
                <w:sz w:val="12"/>
                <w:szCs w:val="12"/>
              </w:rPr>
              <w:fldChar w:fldCharType="separate"/>
            </w:r>
            <w:r w:rsidR="00B707E2" w:rsidRPr="00B707E2">
              <w:rPr>
                <w:rFonts w:ascii="Cambria" w:hAnsi="Cambria"/>
                <w:noProof/>
                <w:sz w:val="12"/>
                <w:szCs w:val="12"/>
              </w:rPr>
              <w:t>(139)</w:t>
            </w:r>
            <w:r w:rsidR="00C679C0">
              <w:rPr>
                <w:rFonts w:ascii="Cambria" w:hAnsi="Cambria"/>
                <w:sz w:val="12"/>
                <w:szCs w:val="12"/>
              </w:rPr>
              <w:fldChar w:fldCharType="end"/>
            </w:r>
          </w:p>
        </w:tc>
        <w:tc>
          <w:tcPr>
            <w:tcW w:w="738" w:type="dxa"/>
          </w:tcPr>
          <w:p w14:paraId="59733566" w14:textId="33D46F5C" w:rsidR="00AA7438" w:rsidRDefault="00C05E7E" w:rsidP="00A84473">
            <w:pPr>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color w:val="404040" w:themeColor="text1" w:themeTint="BF"/>
                <w:sz w:val="12"/>
                <w:szCs w:val="12"/>
              </w:rPr>
            </w:pPr>
            <w:r>
              <w:rPr>
                <w:rFonts w:ascii="Cambria" w:hAnsi="Cambria"/>
                <w:sz w:val="12"/>
                <w:szCs w:val="12"/>
              </w:rPr>
              <w:t xml:space="preserve">IM: </w:t>
            </w:r>
            <w:r w:rsidR="004006A7">
              <w:rPr>
                <w:rFonts w:ascii="Cambria" w:hAnsi="Cambria"/>
                <w:sz w:val="12"/>
                <w:szCs w:val="12"/>
              </w:rPr>
              <w:t>Aug 2015- May 2016</w:t>
            </w:r>
          </w:p>
          <w:p w14:paraId="5F6A4178" w14:textId="77E415ED" w:rsidR="00886096" w:rsidRDefault="00886096" w:rsidP="0028696B">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886096">
              <w:rPr>
                <w:rFonts w:ascii="Cambria" w:hAnsi="Cambria"/>
                <w:sz w:val="12"/>
                <w:szCs w:val="12"/>
              </w:rPr>
              <w:t>NCT02419391</w:t>
            </w:r>
          </w:p>
          <w:p w14:paraId="331E1AF2" w14:textId="77BC2D0C" w:rsidR="00664373" w:rsidRDefault="00664373" w:rsidP="0028696B">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(n=63)</w:t>
            </w:r>
          </w:p>
          <w:p w14:paraId="73EEC1C2" w14:textId="77777777" w:rsidR="00886096" w:rsidRDefault="00886096" w:rsidP="009B6291">
            <w:pPr>
              <w:cnfStyle w:val="000000100000" w:firstRow="0" w:lastRow="0" w:firstColumn="0" w:lastColumn="0" w:oddVBand="0" w:evenVBand="0" w:oddHBand="1" w:evenHBand="0" w:firstRowFirstColumn="0" w:firstRowLastColumn="0" w:lastRowFirstColumn="0" w:lastRowLastColumn="0"/>
              <w:rPr>
                <w:rFonts w:ascii="Cambria" w:hAnsi="Cambria"/>
                <w:color w:val="auto"/>
                <w:sz w:val="12"/>
                <w:szCs w:val="12"/>
              </w:rPr>
            </w:pPr>
          </w:p>
          <w:p w14:paraId="77C0E613" w14:textId="77777777" w:rsidR="00F23DE3" w:rsidRDefault="00C05E7E" w:rsidP="00A92EF4">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IN: Sep 2018 – Aug 2019</w:t>
            </w:r>
          </w:p>
          <w:p w14:paraId="38CC03F6" w14:textId="77777777" w:rsidR="00886096" w:rsidRDefault="00886096" w:rsidP="00886096">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886096">
              <w:rPr>
                <w:rFonts w:ascii="Cambria" w:hAnsi="Cambria"/>
                <w:sz w:val="12"/>
                <w:szCs w:val="12"/>
              </w:rPr>
              <w:t>NCT02864628</w:t>
            </w:r>
          </w:p>
          <w:p w14:paraId="42AEAB11" w14:textId="1B555156" w:rsidR="00664373" w:rsidRPr="00886096" w:rsidRDefault="00664373" w:rsidP="00886096">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(n=96)</w:t>
            </w:r>
          </w:p>
          <w:p w14:paraId="6CA34285" w14:textId="476B921F" w:rsidR="00AA7438" w:rsidRPr="0073253E" w:rsidRDefault="00AA7438" w:rsidP="00A92EF4">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885" w:type="dxa"/>
          </w:tcPr>
          <w:p w14:paraId="298C1D9F" w14:textId="77777777" w:rsidR="001F526C" w:rsidRDefault="004006A7" w:rsidP="004006A7">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Sep</w:t>
            </w:r>
            <w:r w:rsidR="00FC708E">
              <w:rPr>
                <w:rFonts w:ascii="Cambria" w:hAnsi="Cambria"/>
                <w:sz w:val="12"/>
                <w:szCs w:val="12"/>
              </w:rPr>
              <w:t xml:space="preserve"> 2016 – </w:t>
            </w:r>
            <w:r>
              <w:rPr>
                <w:rFonts w:ascii="Cambria" w:hAnsi="Cambria"/>
                <w:sz w:val="12"/>
                <w:szCs w:val="12"/>
              </w:rPr>
              <w:t>Aug 2018</w:t>
            </w:r>
          </w:p>
          <w:p w14:paraId="6AD84115" w14:textId="77777777" w:rsidR="00886096" w:rsidRDefault="00886096" w:rsidP="00886096">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886096">
              <w:rPr>
                <w:rFonts w:ascii="Cambria" w:hAnsi="Cambria"/>
                <w:sz w:val="12"/>
                <w:szCs w:val="12"/>
              </w:rPr>
              <w:t>NCT02873286</w:t>
            </w:r>
          </w:p>
          <w:p w14:paraId="09192C4F" w14:textId="25C58B6C" w:rsidR="00664373" w:rsidRPr="00886096" w:rsidRDefault="00664373" w:rsidP="00886096">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(n=400)</w:t>
            </w:r>
          </w:p>
          <w:p w14:paraId="4E3BDC4E" w14:textId="5AB8832D" w:rsidR="00886096" w:rsidRPr="0073253E" w:rsidRDefault="00886096" w:rsidP="004006A7">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950" w:type="dxa"/>
            <w:gridSpan w:val="2"/>
          </w:tcPr>
          <w:p w14:paraId="697F7D11" w14:textId="0F87B0E3" w:rsidR="001F526C" w:rsidRPr="0073253E" w:rsidRDefault="00FC708E" w:rsidP="008F166B">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08" w:type="dxa"/>
          </w:tcPr>
          <w:p w14:paraId="1D446C25" w14:textId="5D9D9364" w:rsidR="003467B7" w:rsidRDefault="00471E03" w:rsidP="00A84473">
            <w:pPr>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color w:val="404040" w:themeColor="text1" w:themeTint="BF"/>
                <w:sz w:val="12"/>
                <w:szCs w:val="12"/>
              </w:rPr>
            </w:pPr>
            <w:r>
              <w:rPr>
                <w:rFonts w:ascii="Cambria" w:hAnsi="Cambria"/>
                <w:sz w:val="12"/>
                <w:szCs w:val="12"/>
              </w:rPr>
              <w:t xml:space="preserve">PhI; safe, </w:t>
            </w:r>
            <w:r w:rsidR="0037441D">
              <w:rPr>
                <w:rFonts w:ascii="Cambria" w:hAnsi="Cambria"/>
                <w:sz w:val="12"/>
                <w:szCs w:val="12"/>
              </w:rPr>
              <w:t>2</w:t>
            </w:r>
            <w:r>
              <w:rPr>
                <w:rFonts w:ascii="Cambria" w:hAnsi="Cambria"/>
                <w:sz w:val="12"/>
                <w:szCs w:val="12"/>
              </w:rPr>
              <w:t>x increase</w:t>
            </w:r>
          </w:p>
          <w:p w14:paraId="36BB0F0D" w14:textId="64CD987E" w:rsidR="00471E03" w:rsidRDefault="00471E03" w:rsidP="003467B7">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IgG</w:t>
            </w:r>
            <w:r w:rsidR="0037441D">
              <w:rPr>
                <w:rFonts w:ascii="Cambria" w:hAnsi="Cambria"/>
                <w:sz w:val="12"/>
                <w:szCs w:val="12"/>
              </w:rPr>
              <w:t xml:space="preserve"> &amp; IgA; 3-5x increase</w:t>
            </w:r>
          </w:p>
          <w:p w14:paraId="3E60163B" w14:textId="61B1FDB7" w:rsidR="0037441D" w:rsidRDefault="0037441D" w:rsidP="003467B7">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In T cell responses</w:t>
            </w:r>
          </w:p>
          <w:p w14:paraId="045F4F2B" w14:textId="2707B382" w:rsidR="00C93B45" w:rsidRDefault="003467B7" w:rsidP="00C93B4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(n=63)</w:t>
            </w:r>
            <w:r w:rsidR="00AE5BF7">
              <w:rPr>
                <w:rFonts w:ascii="Cambria" w:hAnsi="Cambria"/>
                <w:sz w:val="12"/>
                <w:szCs w:val="12"/>
              </w:rPr>
              <w:fldChar w:fldCharType="begin" w:fldLock="1"/>
            </w:r>
            <w:r w:rsidR="00B707E2">
              <w:rPr>
                <w:rFonts w:ascii="Cambria" w:hAnsi="Cambria"/>
                <w:sz w:val="12"/>
                <w:szCs w:val="12"/>
              </w:rPr>
              <w:instrText>ADDIN CSL_CITATION { "citationItems" : [ { "id" : "ITEM-1", "itemData" : { "author" : [ { "dropping-particle" : "", "family" : "Jordan", "given" : "Elke", "non-dropping-particle" : "", "parse-names" : false, "suffix" : "" } ], "container-title" : "Presentation at RSV16, the 10th International Respiratory Syncytial Virus Symposium in Patagonia, Argentina", "id" : "ITEM-1", "issued" : { "date-parts" : [ [ "2016" ] ] }, "publisher-place" : "Bariloche", "title" : "A randomized, single-blind, placebo-controlled phase I trial to evaluate the safety, tolerability and immunogenicity of the recombinant MVA-BN \u00ae RSV vaccine in healthy adult subjects", "type" : "paper-conference" }, "uris" : [ "http://www.mendeley.com/documents/?uuid=a76d9948-833c-33e2-aca1-599aff0ac748" ] } ], "mendeley" : { "formattedCitation" : "(139)", "plainTextFormattedCitation" : "(139)", "previouslyFormattedCitation" : "(138)" }, "properties" : { "noteIndex" : 0 }, "schema" : "https://github.com/citation-style-language/schema/raw/master/csl-citation.json" }</w:instrText>
            </w:r>
            <w:r w:rsidR="00AE5BF7">
              <w:rPr>
                <w:rFonts w:ascii="Cambria" w:hAnsi="Cambria"/>
                <w:sz w:val="12"/>
                <w:szCs w:val="12"/>
              </w:rPr>
              <w:fldChar w:fldCharType="separate"/>
            </w:r>
            <w:r w:rsidR="00B707E2" w:rsidRPr="00B707E2">
              <w:rPr>
                <w:rFonts w:ascii="Cambria" w:hAnsi="Cambria"/>
                <w:noProof/>
                <w:sz w:val="12"/>
                <w:szCs w:val="12"/>
              </w:rPr>
              <w:t>(139)</w:t>
            </w:r>
            <w:r w:rsidR="00AE5BF7">
              <w:rPr>
                <w:rFonts w:ascii="Cambria" w:hAnsi="Cambria"/>
                <w:sz w:val="12"/>
                <w:szCs w:val="12"/>
              </w:rPr>
              <w:fldChar w:fldCharType="end"/>
            </w:r>
          </w:p>
          <w:p w14:paraId="259137A6" w14:textId="77777777" w:rsidR="000D15B0" w:rsidRDefault="000D15B0" w:rsidP="00C93B4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17F8F94C" w14:textId="3A684C88" w:rsidR="00484258" w:rsidRDefault="000D15B0" w:rsidP="00C93B4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 xml:space="preserve">PhII interim results: </w:t>
            </w:r>
          </w:p>
          <w:p w14:paraId="4E4CCEA1" w14:textId="159E0302" w:rsidR="000D15B0" w:rsidRDefault="000D15B0" w:rsidP="00C93B4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well-tolerated; broad Ab &amp; T</w:t>
            </w:r>
          </w:p>
          <w:p w14:paraId="6B0043DE" w14:textId="28390816" w:rsidR="000D15B0" w:rsidRDefault="000D15B0" w:rsidP="00C93B4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cell response in older adults</w:t>
            </w:r>
          </w:p>
          <w:p w14:paraId="4C9491BC" w14:textId="7AA7B2D5" w:rsidR="004D5C1B" w:rsidRDefault="004D5C1B" w:rsidP="00C93B4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after single vaccination</w:t>
            </w:r>
          </w:p>
          <w:p w14:paraId="2EF7EE70" w14:textId="6A2D38A6" w:rsidR="000D15B0" w:rsidRDefault="000D15B0" w:rsidP="00C93B4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 xml:space="preserve">(n=421) </w:t>
            </w:r>
            <w:r w:rsidR="00133C39">
              <w:rPr>
                <w:rFonts w:ascii="Cambria" w:hAnsi="Cambria"/>
                <w:sz w:val="12"/>
                <w:szCs w:val="12"/>
              </w:rPr>
              <w:fldChar w:fldCharType="begin" w:fldLock="1"/>
            </w:r>
            <w:r w:rsidR="00B707E2">
              <w:rPr>
                <w:rFonts w:ascii="Cambria" w:hAnsi="Cambria"/>
                <w:sz w:val="12"/>
                <w:szCs w:val="12"/>
              </w:rPr>
              <w:instrText>ADDIN CSL_CITATION { "citationItems" : [ { "id" : "ITEM-1", "itemData" : { "URL" : "http://www.bavarian-nordic.com/investor/news/news.aspx?news=5247", "accessed" : { "date-parts" : [ [ "2018", "1", "21" ] ] }, "author" : [ { "dropping-particle" : "", "family" : "Bavarian Nordic", "given" : "", "non-dropping-particle" : "", "parse-names" : false, "suffix" : "" } ], "container-title" : "Company Announcement no .18", "id" : "ITEM-1", "issued" : { "date-parts" : [ [ "2017" ] ] }, "title" : "Bavarian Nordic announces positive data from ongoing phase 2 study investigating a universal RSV vaccine", "type" : "webpage" }, "uris" : [ "http://www.mendeley.com/documents/?uuid=c9bddac6-149a-3df0-a09c-0a422ff65d69" ] } ], "mendeley" : { "formattedCitation" : "(140)", "plainTextFormattedCitation" : "(140)", "previouslyFormattedCitation" : "(139)" }, "properties" : { "noteIndex" : 0 }, "schema" : "https://github.com/citation-style-language/schema/raw/master/csl-citation.json" }</w:instrText>
            </w:r>
            <w:r w:rsidR="00133C39">
              <w:rPr>
                <w:rFonts w:ascii="Cambria" w:hAnsi="Cambria"/>
                <w:sz w:val="12"/>
                <w:szCs w:val="12"/>
              </w:rPr>
              <w:fldChar w:fldCharType="separate"/>
            </w:r>
            <w:r w:rsidR="00B707E2" w:rsidRPr="00B707E2">
              <w:rPr>
                <w:rFonts w:ascii="Cambria" w:hAnsi="Cambria"/>
                <w:noProof/>
                <w:sz w:val="12"/>
                <w:szCs w:val="12"/>
              </w:rPr>
              <w:t>(140)</w:t>
            </w:r>
            <w:r w:rsidR="00133C39">
              <w:rPr>
                <w:rFonts w:ascii="Cambria" w:hAnsi="Cambria"/>
                <w:sz w:val="12"/>
                <w:szCs w:val="12"/>
              </w:rPr>
              <w:fldChar w:fldCharType="end"/>
            </w:r>
          </w:p>
          <w:p w14:paraId="677B740E" w14:textId="3F692D00" w:rsidR="0037441D" w:rsidRPr="0073253E" w:rsidRDefault="0037441D" w:rsidP="00C93B4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r>
      <w:tr w:rsidR="005510AF" w:rsidRPr="0073253E" w14:paraId="01331D6B" w14:textId="77777777" w:rsidTr="003E0858">
        <w:trPr>
          <w:trHeight w:val="302"/>
        </w:trPr>
        <w:tc>
          <w:tcPr>
            <w:cnfStyle w:val="001000000000" w:firstRow="0" w:lastRow="0" w:firstColumn="1" w:lastColumn="0" w:oddVBand="0" w:evenVBand="0" w:oddHBand="0" w:evenHBand="0" w:firstRowFirstColumn="0" w:firstRowLastColumn="0" w:lastRowFirstColumn="0" w:lastRowLastColumn="0"/>
            <w:tcW w:w="1135" w:type="dxa"/>
          </w:tcPr>
          <w:p w14:paraId="6B597694" w14:textId="6265BCAC" w:rsidR="005510AF" w:rsidRPr="0073253E" w:rsidRDefault="005510AF" w:rsidP="00012D64">
            <w:pPr>
              <w:jc w:val="center"/>
              <w:rPr>
                <w:rFonts w:ascii="Cambria" w:hAnsi="Cambria"/>
                <w:sz w:val="12"/>
                <w:szCs w:val="12"/>
              </w:rPr>
            </w:pPr>
            <w:r>
              <w:rPr>
                <w:rFonts w:ascii="Cambria" w:hAnsi="Cambria"/>
                <w:sz w:val="12"/>
                <w:szCs w:val="12"/>
              </w:rPr>
              <w:t>VXA-RSVf oral</w:t>
            </w:r>
          </w:p>
        </w:tc>
        <w:tc>
          <w:tcPr>
            <w:tcW w:w="992" w:type="dxa"/>
            <w:gridSpan w:val="2"/>
          </w:tcPr>
          <w:p w14:paraId="61AB30FB" w14:textId="74040007" w:rsidR="005510AF" w:rsidRPr="0073253E" w:rsidRDefault="005510AF" w:rsidP="00584C0B">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Vaxart</w:t>
            </w:r>
          </w:p>
        </w:tc>
        <w:tc>
          <w:tcPr>
            <w:tcW w:w="958" w:type="dxa"/>
          </w:tcPr>
          <w:p w14:paraId="6226EE12" w14:textId="5881FBCF" w:rsidR="005510AF" w:rsidRPr="0073253E" w:rsidRDefault="005510AF" w:rsidP="00584C0B">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antigen and adjuvant expressed in non-replicating  adenovirus vector (Ad5)</w:t>
            </w:r>
          </w:p>
        </w:tc>
        <w:tc>
          <w:tcPr>
            <w:tcW w:w="738" w:type="dxa"/>
          </w:tcPr>
          <w:p w14:paraId="0A880E5F" w14:textId="0DA62A5D" w:rsidR="005510AF" w:rsidRPr="0073253E" w:rsidRDefault="005510AF" w:rsidP="00584C0B">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F</w:t>
            </w:r>
          </w:p>
        </w:tc>
        <w:tc>
          <w:tcPr>
            <w:tcW w:w="886" w:type="dxa"/>
          </w:tcPr>
          <w:p w14:paraId="209C0038" w14:textId="3AB3F66C" w:rsidR="005510AF" w:rsidRPr="0073253E" w:rsidRDefault="005510AF" w:rsidP="00584C0B">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dsDNA that activates TLR3 receptor</w:t>
            </w:r>
          </w:p>
        </w:tc>
        <w:tc>
          <w:tcPr>
            <w:tcW w:w="941" w:type="dxa"/>
          </w:tcPr>
          <w:p w14:paraId="1BC1368B" w14:textId="3E4FBE71" w:rsidR="005510AF" w:rsidRPr="0073253E" w:rsidRDefault="005510AF" w:rsidP="009A76FE">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Vector delivers directly to gut  (ileum)</w:t>
            </w:r>
          </w:p>
        </w:tc>
        <w:tc>
          <w:tcPr>
            <w:tcW w:w="979" w:type="dxa"/>
          </w:tcPr>
          <w:p w14:paraId="5E562FF0" w14:textId="1449CC58" w:rsidR="005510AF" w:rsidRPr="0073253E" w:rsidRDefault="005510AF" w:rsidP="00584C0B">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O</w:t>
            </w:r>
          </w:p>
        </w:tc>
        <w:tc>
          <w:tcPr>
            <w:tcW w:w="1088" w:type="dxa"/>
          </w:tcPr>
          <w:p w14:paraId="2B79E1EE" w14:textId="6E3116E5" w:rsidR="005510AF" w:rsidRPr="0073253E" w:rsidRDefault="005510AF" w:rsidP="00584C0B">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Oral</w:t>
            </w:r>
          </w:p>
        </w:tc>
        <w:tc>
          <w:tcPr>
            <w:tcW w:w="738" w:type="dxa"/>
          </w:tcPr>
          <w:p w14:paraId="3D7285FF" w14:textId="6C48419B" w:rsidR="005510AF" w:rsidRPr="0073253E" w:rsidRDefault="005510AF" w:rsidP="00584C0B">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w:t>
            </w:r>
          </w:p>
        </w:tc>
        <w:tc>
          <w:tcPr>
            <w:tcW w:w="738" w:type="dxa"/>
          </w:tcPr>
          <w:p w14:paraId="6D8B5662" w14:textId="2FFA383D" w:rsidR="005510AF" w:rsidRPr="0073253E" w:rsidRDefault="005510AF" w:rsidP="00584C0B">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Cotton rat</w:t>
            </w:r>
          </w:p>
        </w:tc>
        <w:tc>
          <w:tcPr>
            <w:tcW w:w="738" w:type="dxa"/>
          </w:tcPr>
          <w:p w14:paraId="5B11A3D3" w14:textId="77777777" w:rsidR="005510AF" w:rsidRDefault="005510AF" w:rsidP="004A4CC5">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Jun 2016- Dec 2017</w:t>
            </w:r>
          </w:p>
          <w:p w14:paraId="4EC6C6B8" w14:textId="77777777" w:rsidR="005510AF" w:rsidRDefault="005510AF" w:rsidP="004A4CC5">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2D2C6B">
              <w:rPr>
                <w:rFonts w:ascii="Cambria" w:hAnsi="Cambria"/>
                <w:sz w:val="12"/>
                <w:szCs w:val="12"/>
              </w:rPr>
              <w:t>NCT02830932</w:t>
            </w:r>
          </w:p>
          <w:p w14:paraId="3AC25E5B" w14:textId="77777777" w:rsidR="005510AF" w:rsidRPr="002D2C6B" w:rsidRDefault="005510AF" w:rsidP="004A4CC5">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(n=66)</w:t>
            </w:r>
          </w:p>
          <w:p w14:paraId="7DDD35D5" w14:textId="1CB095E0" w:rsidR="005510AF" w:rsidRPr="0073253E" w:rsidRDefault="005510AF" w:rsidP="00AC17C3">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885" w:type="dxa"/>
          </w:tcPr>
          <w:p w14:paraId="2A672C6F" w14:textId="4FF17368" w:rsidR="005510AF" w:rsidRPr="0073253E" w:rsidRDefault="005510AF" w:rsidP="00584C0B">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2018?</w:t>
            </w:r>
          </w:p>
        </w:tc>
        <w:tc>
          <w:tcPr>
            <w:tcW w:w="950" w:type="dxa"/>
            <w:gridSpan w:val="2"/>
          </w:tcPr>
          <w:p w14:paraId="53206222" w14:textId="31FB7E9E" w:rsidR="005510AF" w:rsidRPr="0073253E" w:rsidRDefault="005510AF" w:rsidP="00584C0B">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08" w:type="dxa"/>
          </w:tcPr>
          <w:p w14:paraId="5704A7CF" w14:textId="77777777" w:rsidR="005510AF" w:rsidRDefault="005510AF" w:rsidP="004A4CC5">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Preclinical:  Systemic</w:t>
            </w:r>
          </w:p>
          <w:p w14:paraId="68A6A05D" w14:textId="77777777" w:rsidR="005510AF" w:rsidRDefault="005510AF" w:rsidP="004A4CC5">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Anti-F Ab’s  and protection</w:t>
            </w:r>
          </w:p>
          <w:p w14:paraId="5B630CC4" w14:textId="77777777" w:rsidR="005510AF" w:rsidRDefault="005510AF" w:rsidP="004A4CC5">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against RSV infectio</w:t>
            </w:r>
          </w:p>
          <w:p w14:paraId="01ED9426" w14:textId="77777777" w:rsidR="005510AF" w:rsidRDefault="005510AF" w:rsidP="004A4CC5">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in cotton</w:t>
            </w:r>
          </w:p>
          <w:p w14:paraId="12591A39" w14:textId="5B2C4DE5" w:rsidR="005510AF" w:rsidRDefault="005510AF" w:rsidP="004A4CC5">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rat model</w:t>
            </w:r>
            <w:r>
              <w:rPr>
                <w:rFonts w:ascii="Cambria" w:hAnsi="Cambria"/>
                <w:sz w:val="12"/>
                <w:szCs w:val="12"/>
              </w:rPr>
              <w:fldChar w:fldCharType="begin" w:fldLock="1"/>
            </w:r>
            <w:r w:rsidR="00B707E2">
              <w:rPr>
                <w:rFonts w:ascii="Cambria" w:hAnsi="Cambria"/>
                <w:sz w:val="12"/>
                <w:szCs w:val="12"/>
              </w:rPr>
              <w:instrText>ADDIN CSL_CITATION { "citationItems" : [ { "id" : "ITEM-1", "itemData" : { "URL" : "https://www.businesswire.com/news/home/20151119005368/en/Vaxart-Presents-Positive-Preclinical-Data-Oral-RSV", "accessed" : { "date-parts" : [ [ "2018", "1", "19" ] ] }, "author" : [ { "dropping-particle" : "", "family" : "Business Wire", "given" : "", "non-dropping-particle" : "", "parse-names" : false, "suffix" : "" } ], "id" : "ITEM-1", "issued" : { "date-parts" : [ [ "2015" ] ] }, "title" : "Vaxart Presents Positive Preclinical Data for Oral RSV Vaccine at RSV Vaccines for the World Conference", "type" : "webpage" }, "uris" : [ "http://www.mendeley.com/documents/?uuid=2160bb65-0ad1-3c81-ab83-15773806efd2" ] } ], "mendeley" : { "formattedCitation" : "(97)", "plainTextFormattedCitation" : "(97)", "previouslyFormattedCitation" : "(96)"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(97)</w:t>
            </w:r>
            <w:r>
              <w:rPr>
                <w:rFonts w:ascii="Cambria" w:hAnsi="Cambria"/>
                <w:sz w:val="12"/>
                <w:szCs w:val="12"/>
              </w:rPr>
              <w:fldChar w:fldCharType="end"/>
            </w:r>
          </w:p>
          <w:p w14:paraId="5BC53564" w14:textId="503CEAB1" w:rsidR="005510AF" w:rsidRPr="0073253E" w:rsidRDefault="005510AF" w:rsidP="00584C0B">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r>
      <w:tr w:rsidR="005510AF" w:rsidRPr="0073253E" w14:paraId="05D58B23" w14:textId="77777777" w:rsidTr="003E0858">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35" w:type="dxa"/>
          </w:tcPr>
          <w:p w14:paraId="1B344933" w14:textId="4C047745" w:rsidR="005510AF" w:rsidRPr="0073253E" w:rsidRDefault="005510AF" w:rsidP="001209AA">
            <w:pPr>
              <w:jc w:val="center"/>
              <w:rPr>
                <w:rFonts w:ascii="Cambria" w:hAnsi="Cambria"/>
                <w:sz w:val="12"/>
                <w:szCs w:val="12"/>
              </w:rPr>
            </w:pPr>
            <w:r>
              <w:rPr>
                <w:rFonts w:ascii="Cambria" w:hAnsi="Cambria"/>
                <w:sz w:val="12"/>
                <w:szCs w:val="12"/>
              </w:rPr>
              <w:t>Ad26.RSV.preF</w:t>
            </w:r>
          </w:p>
        </w:tc>
        <w:tc>
          <w:tcPr>
            <w:tcW w:w="992" w:type="dxa"/>
            <w:gridSpan w:val="2"/>
          </w:tcPr>
          <w:p w14:paraId="5C869B9C" w14:textId="62606C47" w:rsidR="005510AF" w:rsidRPr="0073253E" w:rsidRDefault="005510AF" w:rsidP="001209A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Janssen</w:t>
            </w:r>
          </w:p>
        </w:tc>
        <w:tc>
          <w:tcPr>
            <w:tcW w:w="958" w:type="dxa"/>
          </w:tcPr>
          <w:p w14:paraId="3FE8E625" w14:textId="2826D44F" w:rsidR="005510AF" w:rsidRPr="0073253E" w:rsidRDefault="005510AF" w:rsidP="001209A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Antigen expressed in human adenovirus type 26 produced in PER.C6 human cell line</w:t>
            </w:r>
          </w:p>
        </w:tc>
        <w:tc>
          <w:tcPr>
            <w:tcW w:w="738" w:type="dxa"/>
          </w:tcPr>
          <w:p w14:paraId="46C0D511" w14:textId="77777777" w:rsidR="005510AF" w:rsidRDefault="005510AF" w:rsidP="004A4CC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Pre-F</w:t>
            </w:r>
          </w:p>
          <w:p w14:paraId="64D1F141" w14:textId="74AB9F7B" w:rsidR="005510AF" w:rsidRPr="0073253E" w:rsidRDefault="005510AF" w:rsidP="001209A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(previously FA2)</w:t>
            </w:r>
          </w:p>
        </w:tc>
        <w:tc>
          <w:tcPr>
            <w:tcW w:w="886" w:type="dxa"/>
          </w:tcPr>
          <w:p w14:paraId="65214651" w14:textId="77122824" w:rsidR="005510AF" w:rsidRPr="0073253E" w:rsidRDefault="005510AF" w:rsidP="001209A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none</w:t>
            </w:r>
          </w:p>
        </w:tc>
        <w:tc>
          <w:tcPr>
            <w:tcW w:w="941" w:type="dxa"/>
          </w:tcPr>
          <w:p w14:paraId="48938D5B" w14:textId="0E9AF407" w:rsidR="005510AF" w:rsidRPr="0073253E" w:rsidRDefault="005510AF" w:rsidP="001209A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Ad26 vector is replication incompetent but expresses immunogenic F antigen</w:t>
            </w:r>
          </w:p>
        </w:tc>
        <w:tc>
          <w:tcPr>
            <w:tcW w:w="979" w:type="dxa"/>
          </w:tcPr>
          <w:p w14:paraId="5FA2C688" w14:textId="69906943" w:rsidR="005510AF" w:rsidRPr="0073253E" w:rsidRDefault="005510AF" w:rsidP="001209A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 xml:space="preserve">O </w:t>
            </w:r>
          </w:p>
        </w:tc>
        <w:tc>
          <w:tcPr>
            <w:tcW w:w="1088" w:type="dxa"/>
          </w:tcPr>
          <w:p w14:paraId="02A72D85" w14:textId="64231C6F" w:rsidR="005510AF" w:rsidRPr="0073253E" w:rsidRDefault="005510AF" w:rsidP="001209A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IM</w:t>
            </w:r>
          </w:p>
        </w:tc>
        <w:tc>
          <w:tcPr>
            <w:tcW w:w="738" w:type="dxa"/>
          </w:tcPr>
          <w:p w14:paraId="1A8BEFFF" w14:textId="3206BA26" w:rsidR="005510AF" w:rsidRPr="0073253E" w:rsidRDefault="005510AF" w:rsidP="001209A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II</w:t>
            </w:r>
          </w:p>
        </w:tc>
        <w:tc>
          <w:tcPr>
            <w:tcW w:w="738" w:type="dxa"/>
          </w:tcPr>
          <w:p w14:paraId="0582D4B8" w14:textId="57CF37F5" w:rsidR="005510AF" w:rsidRPr="0073253E" w:rsidRDefault="005510AF" w:rsidP="001209A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Mice, cotton rats</w:t>
            </w:r>
            <w:r>
              <w:rPr>
                <w:rFonts w:ascii="Cambria" w:hAnsi="Cambria"/>
                <w:sz w:val="12"/>
                <w:szCs w:val="12"/>
              </w:rPr>
              <w:fldChar w:fldCharType="begin" w:fldLock="1"/>
            </w:r>
            <w:r w:rsidR="00B707E2">
              <w:rPr>
                <w:rFonts w:ascii="Cambria" w:hAnsi="Cambria"/>
                <w:sz w:val="12"/>
                <w:szCs w:val="12"/>
              </w:rPr>
              <w:instrText>ADDIN CSL_CITATION { "citationItems" : [ { "id" : "ITEM-1", "itemData" : { "DOI" : "10.1016/j.vaccine.2015.08.056", "ISSN" : "0264410X", "PMID" : "26319741", "abstract" : "RSV is an important cause of lower respiratory tract infections in children, the elderly and in those with underlying medical conditions. Although the high disease burden indicates an urgent need for a vaccine against RSV, no licensed RSV vaccine is currently available. We developed an RSV vaccine candidate based on the low-seroprevalent human adenovirus serotypes 26 and 35 (Ad26 and Ad35) encoding the RSV fusion (F) gene. Single immunization of mice with either one of these vectors induced high titers of RSV neutralizing antibodies and high levels of F specific interferon-gamma-producing T cells. A Th1-type immune response was indicated by a high IgG2a/IgG1 ratio of RSV-specific antibodies, strong induction of RSV-specific interferon-gamma and tumor necrosis factor-alpha cytokine producing CD8 Tcells, and low RSV-specific CD4 T-cell induction. Both humoral and cellular responses were increased upon a boost with RSV-F expressing heterologous adenovirus vector (Ad35 boost after Ad26 prime or vice versa). Both single immunization and prime-boost immunization of cotton rats induced high and long-lasting RSV neutralizing antibody titers and protective immunity against lung and nasal RSV A2 virus load up to at least 30 weeks after immunization. Cotton rats were also completely protected against challenge with a RSV B strain (B15/97) after heterologous prime-boost immunization. Lungs from vaccinated animals showed minimal damage or inflammatory infiltrates post-challenge, in contrast to animals vaccinated with formalin-inactivated virus. Our results suggest that recombinant human adenoviral Ad26 and Ad35 vectors encoding the RSV F gene have the potential to provide broad and durable protection against RSV in humans, and appear safe to be investigated in infants.", "author" : [ { "dropping-particle" : "", "family" : "Widjojoatmodjo", "given" : "Myra N.", "non-dropping-particle" : "", "parse-names" : false, "suffix" : "" }, { "dropping-particle" : "", "family" : "Bogaert", "given" : "Lies", "non-dropping-particle" : "", "parse-names" : false, "suffix" : "" }, { "dropping-particle" : "", "family" : "Meek", "given" : "Bob", "non-dropping-particle" : "", "parse-names" : false, "suffix" : "" }, { "dropping-particle" : "", "family" : "Zahn", "given" : "Roland", "non-dropping-particle" : "", "parse-names" : false, "suffix" : "" }, { "dropping-particle" : "", "family" : "Vellinga", "given" : "Jort", "non-dropping-particle" : "", "parse-names" : false, "suffix" : "" }, { "dropping-particle" : "", "family" : "Custers", "given" : "Jerome", "non-dropping-particle" : "", "parse-names" : false, "suffix" : "" }, { "dropping-particle" : "", "family" : "Serroyen", "given" : "Jan", "non-dropping-particle" : "", "parse-names" : false, "suffix" : "" }, { "dropping-particle" : "", "family" : "Rado\u0161evi\u0107", "given" : "Katarina", "non-dropping-particle" : "", "parse-names" : false, "suffix" : "" }, { "dropping-particle" : "", "family" : "Schuitemaker", "given" : "Hanneke", "non-dropping-particle" : "", "parse-names" : false, "suffix" : "" } ], "container-title" : "Vaccine", "id" : "ITEM-1", "issue" : "41", "issued" : { "date-parts" : [ [ "2015", "10", "5" ] ] }, "page" : "5406-5414", "title" : "Recombinant low-seroprevalent adenoviral vectors Ad26 and Ad35 expressing the respiratory syncytial virus (RSV) fusion protein induce protective immunity against RSV infection in cotton rats", "type" : "article-journal", "volume" : "33" }, "uris" : [ "http://www.mendeley.com/documents/?uuid=1ba72cd4-51a6-3998-8a73-cae391112622" ] } ], "mendeley" : { "formattedCitation" : "(141)", "plainTextFormattedCitation" : "(141)", "previouslyFormattedCitation" : "(140)"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(141)</w:t>
            </w:r>
            <w:r>
              <w:rPr>
                <w:rFonts w:ascii="Cambria" w:hAnsi="Cambria"/>
                <w:sz w:val="12"/>
                <w:szCs w:val="12"/>
              </w:rPr>
              <w:fldChar w:fldCharType="end"/>
            </w:r>
          </w:p>
        </w:tc>
        <w:tc>
          <w:tcPr>
            <w:tcW w:w="738" w:type="dxa"/>
          </w:tcPr>
          <w:p w14:paraId="249E7C3D" w14:textId="77777777" w:rsidR="005510AF" w:rsidRDefault="005510AF" w:rsidP="004A4CC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Nov 2016 – Dec 2018</w:t>
            </w:r>
          </w:p>
          <w:p w14:paraId="6F10FB03" w14:textId="77777777" w:rsidR="005510AF" w:rsidRDefault="005510AF" w:rsidP="004A4CC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FE1931">
              <w:rPr>
                <w:rFonts w:ascii="Cambria" w:hAnsi="Cambria"/>
                <w:sz w:val="12"/>
                <w:szCs w:val="12"/>
              </w:rPr>
              <w:t>NCT02926430</w:t>
            </w:r>
          </w:p>
          <w:p w14:paraId="797A8D89" w14:textId="77777777" w:rsidR="005510AF" w:rsidRPr="00FE1931" w:rsidRDefault="005510AF" w:rsidP="004A4CC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(n-73)</w:t>
            </w:r>
          </w:p>
          <w:p w14:paraId="628A002F" w14:textId="157DEA23" w:rsidR="005510AF" w:rsidRPr="0073253E" w:rsidRDefault="005510AF" w:rsidP="001209A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885" w:type="dxa"/>
          </w:tcPr>
          <w:p w14:paraId="7BB984DC" w14:textId="77777777" w:rsidR="005510AF" w:rsidRDefault="005510AF" w:rsidP="004A4CC5">
            <w:pPr>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color w:val="404040" w:themeColor="text1" w:themeTint="BF"/>
                <w:sz w:val="12"/>
                <w:szCs w:val="12"/>
              </w:rPr>
            </w:pPr>
            <w:r>
              <w:rPr>
                <w:rFonts w:ascii="Cambria" w:hAnsi="Cambria"/>
                <w:sz w:val="12"/>
                <w:szCs w:val="12"/>
              </w:rPr>
              <w:t>Dec 2017 –Jul 2018</w:t>
            </w:r>
          </w:p>
          <w:p w14:paraId="172AEAA1" w14:textId="77777777" w:rsidR="005510AF" w:rsidRPr="006232EE" w:rsidRDefault="005510AF" w:rsidP="004A4CC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6232EE">
              <w:rPr>
                <w:rFonts w:ascii="Cambria" w:hAnsi="Cambria"/>
                <w:sz w:val="12"/>
                <w:szCs w:val="12"/>
              </w:rPr>
              <w:t>NCT03339713</w:t>
            </w:r>
          </w:p>
          <w:p w14:paraId="6336061B" w14:textId="2DD88516" w:rsidR="005510AF" w:rsidRPr="0073253E" w:rsidRDefault="005510AF" w:rsidP="001209A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(n=180)</w:t>
            </w:r>
          </w:p>
        </w:tc>
        <w:tc>
          <w:tcPr>
            <w:tcW w:w="950" w:type="dxa"/>
            <w:gridSpan w:val="2"/>
          </w:tcPr>
          <w:p w14:paraId="2A953465" w14:textId="6676678B" w:rsidR="005510AF" w:rsidRPr="0073253E" w:rsidRDefault="005510AF" w:rsidP="001209AA">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08" w:type="dxa"/>
          </w:tcPr>
          <w:p w14:paraId="267603E0"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PhI: well-tolerated; durable</w:t>
            </w:r>
          </w:p>
          <w:p w14:paraId="187F685E"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humoral and cellular immune</w:t>
            </w:r>
          </w:p>
          <w:p w14:paraId="6AD39644"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response for FA2 candidate;</w:t>
            </w:r>
          </w:p>
          <w:p w14:paraId="5238B0C7"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comparable or higher for preF</w:t>
            </w:r>
          </w:p>
          <w:p w14:paraId="63E2A8B8" w14:textId="2E6773F8"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candidate in older adults</w:t>
            </w:r>
            <w:r w:rsidDel="006232EE">
              <w:rPr>
                <w:rFonts w:ascii="Cambria" w:hAnsi="Cambria"/>
                <w:sz w:val="12"/>
                <w:szCs w:val="12"/>
              </w:rPr>
              <w:t xml:space="preserve"> </w:t>
            </w:r>
            <w:r>
              <w:rPr>
                <w:rFonts w:ascii="Cambria" w:hAnsi="Cambria"/>
                <w:sz w:val="12"/>
                <w:szCs w:val="12"/>
              </w:rPr>
              <w:fldChar w:fldCharType="begin" w:fldLock="1"/>
            </w:r>
            <w:r w:rsidR="00B707E2">
              <w:rPr>
                <w:rFonts w:ascii="Cambria" w:hAnsi="Cambria"/>
                <w:sz w:val="12"/>
                <w:szCs w:val="12"/>
              </w:rPr>
              <w:instrText>ADDIN CSL_CITATION { "citationItems" : [ { "id" : "ITEM-1", "itemData" : { "author" : [ { "dropping-particle" : "", "family" : "Saville", "given" : "M", "non-dropping-particle" : "", "parse-names" : false, "suffix" : "" } ], "container-title" : "Presentation at Food and Drug Administration (FDA) 150th Meeting of the Vaccines and Related Biological Products Advisory Committee Meeting (VRBPAC)", "id" : "ITEM-1", "issued" : { "date-parts" : [ [ "2017" ] ] }, "publisher-place" : "Silver Spring", "title" : "Development of a Vaccine For Prevention Of Respiratory Syncytial Virus (RSV) Disease In RSV - Na\u00efve Infants", "type" : "paper-conference" }, "uris" : [ "http://www.mendeley.com/documents/?uuid=429038b1-2b70-3327-be91-1adb6b54f09d" ] } ], "mendeley" : { "formattedCitation" : "(142)", "plainTextFormattedCitation" : "(142)", "previouslyFormattedCitation" : "(141)"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(142)</w:t>
            </w:r>
            <w:r>
              <w:rPr>
                <w:rFonts w:ascii="Cambria" w:hAnsi="Cambria"/>
                <w:sz w:val="12"/>
                <w:szCs w:val="12"/>
              </w:rPr>
              <w:fldChar w:fldCharType="end"/>
            </w:r>
          </w:p>
          <w:p w14:paraId="096F804D"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1599BB34"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5B3423AB" w14:textId="68735219" w:rsidR="005510AF" w:rsidRPr="0073253E" w:rsidRDefault="005510AF" w:rsidP="001209AA">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r>
      <w:tr w:rsidR="006E6051" w:rsidRPr="0073253E" w14:paraId="199A6746" w14:textId="77777777" w:rsidTr="009B6291">
        <w:trPr>
          <w:trHeight w:val="824"/>
        </w:trPr>
        <w:tc>
          <w:tcPr>
            <w:cnfStyle w:val="001000000000" w:firstRow="0" w:lastRow="0" w:firstColumn="1" w:lastColumn="0" w:oddVBand="0" w:evenVBand="0" w:oddHBand="0" w:evenHBand="0" w:firstRowFirstColumn="0" w:firstRowLastColumn="0" w:lastRowFirstColumn="0" w:lastRowLastColumn="0"/>
            <w:tcW w:w="1135" w:type="dxa"/>
          </w:tcPr>
          <w:p w14:paraId="4A5F6590" w14:textId="769F470A" w:rsidR="006E6051" w:rsidRDefault="00B864A4" w:rsidP="00750479">
            <w:pPr>
              <w:jc w:val="center"/>
              <w:rPr>
                <w:rFonts w:ascii="Cambria" w:hAnsi="Cambria"/>
                <w:sz w:val="12"/>
                <w:szCs w:val="12"/>
              </w:rPr>
            </w:pPr>
            <w:r>
              <w:rPr>
                <w:rFonts w:ascii="Cambria" w:hAnsi="Cambria"/>
                <w:sz w:val="12"/>
                <w:szCs w:val="12"/>
              </w:rPr>
              <w:t>Ad</w:t>
            </w:r>
            <w:r w:rsidR="00750479">
              <w:rPr>
                <w:rFonts w:ascii="Cambria" w:hAnsi="Cambria"/>
                <w:sz w:val="12"/>
                <w:szCs w:val="12"/>
              </w:rPr>
              <w:t>26.RSV.preF</w:t>
            </w:r>
          </w:p>
        </w:tc>
        <w:tc>
          <w:tcPr>
            <w:tcW w:w="992" w:type="dxa"/>
            <w:gridSpan w:val="2"/>
          </w:tcPr>
          <w:p w14:paraId="48C82DC3" w14:textId="3E03D669" w:rsidR="006E6051" w:rsidRDefault="00B864A4"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Janssen</w:t>
            </w:r>
          </w:p>
        </w:tc>
        <w:tc>
          <w:tcPr>
            <w:tcW w:w="958" w:type="dxa"/>
          </w:tcPr>
          <w:p w14:paraId="4290739F" w14:textId="183616C2" w:rsidR="006E6051" w:rsidRDefault="00B864A4" w:rsidP="002F054A">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Antigen expressed in human adenovirus type 26 produced in PER.C6 human cell line</w:t>
            </w:r>
          </w:p>
        </w:tc>
        <w:tc>
          <w:tcPr>
            <w:tcW w:w="738" w:type="dxa"/>
          </w:tcPr>
          <w:p w14:paraId="1C55F3F2" w14:textId="47CBAC86" w:rsidR="00B864A4" w:rsidRDefault="00B864A4" w:rsidP="00B864A4">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Pre</w:t>
            </w:r>
            <w:r w:rsidR="00C35468">
              <w:rPr>
                <w:rFonts w:ascii="Cambria" w:hAnsi="Cambria"/>
                <w:sz w:val="12"/>
                <w:szCs w:val="12"/>
              </w:rPr>
              <w:t>-</w:t>
            </w:r>
            <w:r>
              <w:rPr>
                <w:rFonts w:ascii="Cambria" w:hAnsi="Cambria"/>
                <w:sz w:val="12"/>
                <w:szCs w:val="12"/>
              </w:rPr>
              <w:t>F</w:t>
            </w:r>
          </w:p>
          <w:p w14:paraId="3AB0762D" w14:textId="287C3EEB" w:rsidR="006E6051" w:rsidRDefault="00B864A4" w:rsidP="00B864A4">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(previously FA2)</w:t>
            </w:r>
          </w:p>
        </w:tc>
        <w:tc>
          <w:tcPr>
            <w:tcW w:w="886" w:type="dxa"/>
          </w:tcPr>
          <w:p w14:paraId="1EB266E7" w14:textId="64DAC4F9" w:rsidR="006E6051" w:rsidRDefault="00B864A4"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none</w:t>
            </w:r>
          </w:p>
        </w:tc>
        <w:tc>
          <w:tcPr>
            <w:tcW w:w="941" w:type="dxa"/>
          </w:tcPr>
          <w:p w14:paraId="3D227B7E" w14:textId="176A3EB9" w:rsidR="006E6051" w:rsidRDefault="00B864A4" w:rsidP="00C76B54">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Ad26 vector is replication incompetent </w:t>
            </w:r>
            <w:r w:rsidR="00C76B54">
              <w:rPr>
                <w:rFonts w:ascii="Cambria" w:hAnsi="Cambria"/>
                <w:sz w:val="12"/>
                <w:szCs w:val="12"/>
              </w:rPr>
              <w:t>and</w:t>
            </w:r>
            <w:r>
              <w:rPr>
                <w:rFonts w:ascii="Cambria" w:hAnsi="Cambria"/>
                <w:sz w:val="12"/>
                <w:szCs w:val="12"/>
              </w:rPr>
              <w:t xml:space="preserve"> expresses immunogenic F antigen</w:t>
            </w:r>
          </w:p>
        </w:tc>
        <w:tc>
          <w:tcPr>
            <w:tcW w:w="979" w:type="dxa"/>
          </w:tcPr>
          <w:p w14:paraId="6EE866DD" w14:textId="2F70C80B" w:rsidR="006E6051" w:rsidRDefault="00012D64"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P</w:t>
            </w:r>
          </w:p>
        </w:tc>
        <w:tc>
          <w:tcPr>
            <w:tcW w:w="1088" w:type="dxa"/>
          </w:tcPr>
          <w:p w14:paraId="64BF212C" w14:textId="7078100B" w:rsidR="006E6051" w:rsidRDefault="00012D64"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IM</w:t>
            </w:r>
          </w:p>
        </w:tc>
        <w:tc>
          <w:tcPr>
            <w:tcW w:w="738" w:type="dxa"/>
          </w:tcPr>
          <w:p w14:paraId="13687C9D" w14:textId="302D4819" w:rsidR="006E6051" w:rsidRDefault="00012D64"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w:t>
            </w:r>
          </w:p>
        </w:tc>
        <w:tc>
          <w:tcPr>
            <w:tcW w:w="738" w:type="dxa"/>
          </w:tcPr>
          <w:p w14:paraId="2A814E88" w14:textId="4D4D36E4" w:rsidR="006E6051" w:rsidRDefault="00012D64"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Mice, cotton rats</w:t>
            </w:r>
            <w:r>
              <w:rPr>
                <w:rFonts w:ascii="Cambria" w:hAnsi="Cambria"/>
                <w:sz w:val="12"/>
                <w:szCs w:val="12"/>
              </w:rPr>
              <w:fldChar w:fldCharType="begin" w:fldLock="1"/>
            </w:r>
            <w:r w:rsidR="00B707E2">
              <w:rPr>
                <w:rFonts w:ascii="Cambria" w:hAnsi="Cambria"/>
                <w:sz w:val="12"/>
                <w:szCs w:val="12"/>
              </w:rPr>
              <w:instrText>ADDIN CSL_CITATION { "citationItems" : [ { "id" : "ITEM-1", "itemData" : { "DOI" : "10.1016/j.vaccine.2015.08.056", "ISSN" : "0264410X", "PMID" : "26319741", "abstract" : "RSV is an important cause of lower respiratory tract infections in children, the elderly and in those with underlying medical conditions. Although the high disease burden indicates an urgent need for a vaccine against RSV, no licensed RSV vaccine is currently available. We developed an RSV vaccine candidate based on the low-seroprevalent human adenovirus serotypes 26 and 35 (Ad26 and Ad35) encoding the RSV fusion (F) gene. Single immunization of mice with either one of these vectors induced high titers of RSV neutralizing antibodies and high levels of F specific interferon-gamma-producing T cells. A Th1-type immune response was indicated by a high IgG2a/IgG1 ratio of RSV-specific antibodies, strong induction of RSV-specific interferon-gamma and tumor necrosis factor-alpha cytokine producing CD8 Tcells, and low RSV-specific CD4 T-cell induction. Both humoral and cellular responses were increased upon a boost with RSV-F expressing heterologous adenovirus vector (Ad35 boost after Ad26 prime or vice versa). Both single immunization and prime-boost immunization of cotton rats induced high and long-lasting RSV neutralizing antibody titers and protective immunity against lung and nasal RSV A2 virus load up to at least 30 weeks after immunization. Cotton rats were also completely protected against challenge with a RSV B strain (B15/97) after heterologous prime-boost immunization. Lungs from vaccinated animals showed minimal damage or inflammatory infiltrates post-challenge, in contrast to animals vaccinated with formalin-inactivated virus. Our results suggest that recombinant human adenoviral Ad26 and Ad35 vectors encoding the RSV F gene have the potential to provide broad and durable protection against RSV in humans, and appear safe to be investigated in infants.", "author" : [ { "dropping-particle" : "", "family" : "Widjojoatmodjo", "given" : "Myra N.", "non-dropping-particle" : "", "parse-names" : false, "suffix" : "" }, { "dropping-particle" : "", "family" : "Bogaert", "given" : "Lies", "non-dropping-particle" : "", "parse-names" : false, "suffix" : "" }, { "dropping-particle" : "", "family" : "Meek", "given" : "Bob", "non-dropping-particle" : "", "parse-names" : false, "suffix" : "" }, { "dropping-particle" : "", "family" : "Zahn", "given" : "Roland", "non-dropping-particle" : "", "parse-names" : false, "suffix" : "" }, { "dropping-particle" : "", "family" : "Vellinga", "given" : "Jort", "non-dropping-particle" : "", "parse-names" : false, "suffix" : "" }, { "dropping-particle" : "", "family" : "Custers", "given" : "Jerome", "non-dropping-particle" : "", "parse-names" : false, "suffix" : "" }, { "dropping-particle" : "", "family" : "Serroyen", "given" : "Jan", "non-dropping-particle" : "", "parse-names" : false, "suffix" : "" }, { "dropping-particle" : "", "family" : "Rado\u0161evi\u0107", "given" : "Katarina", "non-dropping-particle" : "", "parse-names" : false, "suffix" : "" }, { "dropping-particle" : "", "family" : "Schuitemaker", "given" : "Hanneke", "non-dropping-particle" : "", "parse-names" : false, "suffix" : "" } ], "container-title" : "Vaccine", "id" : "ITEM-1", "issue" : "41", "issued" : { "date-parts" : [ [ "2015", "10", "5" ] ] }, "page" : "5406-5414", "title" : "Recombinant low-seroprevalent adenoviral vectors Ad26 and Ad35 expressing the respiratory syncytial virus (RSV) fusion protein induce protective immunity against RSV infection in cotton rats", "type" : "article-journal", "volume" : "33" }, "uris" : [ "http://www.mendeley.com/documents/?uuid=1ba72cd4-51a6-3998-8a73-cae391112622" ] } ], "mendeley" : { "formattedCitation" : "(141)", "plainTextFormattedCitation" : "(141)", "previouslyFormattedCitation" : "(140)"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(141)</w:t>
            </w:r>
            <w:r>
              <w:rPr>
                <w:rFonts w:ascii="Cambria" w:hAnsi="Cambria"/>
                <w:sz w:val="12"/>
                <w:szCs w:val="12"/>
              </w:rPr>
              <w:fldChar w:fldCharType="end"/>
            </w:r>
          </w:p>
        </w:tc>
        <w:tc>
          <w:tcPr>
            <w:tcW w:w="738" w:type="dxa"/>
          </w:tcPr>
          <w:p w14:paraId="3DCCF82F" w14:textId="77777777" w:rsidR="006E6051" w:rsidRDefault="00587335" w:rsidP="00A84473">
            <w:pPr>
              <w:cnfStyle w:val="000000000000" w:firstRow="0" w:lastRow="0" w:firstColumn="0" w:lastColumn="0" w:oddVBand="0" w:evenVBand="0" w:oddHBand="0" w:evenHBand="0" w:firstRowFirstColumn="0" w:firstRowLastColumn="0" w:lastRowFirstColumn="0" w:lastRowLastColumn="0"/>
              <w:rPr>
                <w:rFonts w:ascii="Cambria" w:eastAsiaTheme="majorEastAsia" w:hAnsi="Cambria" w:cstheme="majorBidi"/>
                <w:color w:val="404040" w:themeColor="text1" w:themeTint="BF"/>
                <w:sz w:val="12"/>
                <w:szCs w:val="12"/>
              </w:rPr>
            </w:pPr>
            <w:r>
              <w:rPr>
                <w:rFonts w:ascii="Cambria" w:hAnsi="Cambria"/>
                <w:sz w:val="12"/>
                <w:szCs w:val="12"/>
              </w:rPr>
              <w:t>Nov 2017- Mar 2019</w:t>
            </w:r>
          </w:p>
          <w:p w14:paraId="4E742DBD" w14:textId="77777777" w:rsidR="00C76B54" w:rsidRDefault="00C76B54" w:rsidP="00C76B54">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553122">
              <w:rPr>
                <w:rFonts w:ascii="Cambria" w:hAnsi="Cambria"/>
                <w:sz w:val="12"/>
                <w:szCs w:val="12"/>
              </w:rPr>
              <w:t>NCT03303625</w:t>
            </w:r>
          </w:p>
          <w:p w14:paraId="3DAE736D" w14:textId="5A0B92D6" w:rsidR="005270F1" w:rsidRDefault="005270F1" w:rsidP="00C76B54">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(n=60)</w:t>
            </w:r>
          </w:p>
        </w:tc>
        <w:tc>
          <w:tcPr>
            <w:tcW w:w="885" w:type="dxa"/>
          </w:tcPr>
          <w:p w14:paraId="5351E286" w14:textId="77777777" w:rsidR="00943E1D" w:rsidRDefault="00943E1D" w:rsidP="00943E1D">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Nov 2017- Mar 2019</w:t>
            </w:r>
          </w:p>
          <w:p w14:paraId="076C08F9" w14:textId="77777777" w:rsidR="00943E1D" w:rsidRDefault="00943E1D" w:rsidP="00943E1D">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553122">
              <w:rPr>
                <w:rFonts w:ascii="Cambria" w:hAnsi="Cambria"/>
                <w:sz w:val="12"/>
                <w:szCs w:val="12"/>
              </w:rPr>
              <w:t>NCT03303625</w:t>
            </w:r>
          </w:p>
          <w:p w14:paraId="56A0E736" w14:textId="77777777" w:rsidR="00943E1D" w:rsidRDefault="00943E1D" w:rsidP="00943E1D">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(n=60)</w:t>
            </w:r>
          </w:p>
          <w:p w14:paraId="688EE307" w14:textId="65CF6651" w:rsidR="00C76B54" w:rsidRPr="00553122" w:rsidRDefault="00C76B54" w:rsidP="00587335">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950" w:type="dxa"/>
            <w:gridSpan w:val="2"/>
          </w:tcPr>
          <w:p w14:paraId="4CA879DB" w14:textId="1010E682" w:rsidR="006E6051" w:rsidRDefault="00DA1076"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08" w:type="dxa"/>
          </w:tcPr>
          <w:p w14:paraId="76579920" w14:textId="42C0468F" w:rsidR="006E6051" w:rsidRDefault="00943E1D" w:rsidP="001D78D7">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r>
      <w:tr w:rsidR="005510AF" w:rsidRPr="0073253E" w14:paraId="7473674C" w14:textId="77777777" w:rsidTr="003E0858">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35" w:type="dxa"/>
          </w:tcPr>
          <w:p w14:paraId="53A213CE" w14:textId="428E27CB" w:rsidR="005510AF" w:rsidRDefault="005510AF" w:rsidP="007F7002">
            <w:pPr>
              <w:jc w:val="center"/>
              <w:rPr>
                <w:rFonts w:ascii="Cambria" w:hAnsi="Cambria"/>
                <w:sz w:val="12"/>
                <w:szCs w:val="12"/>
              </w:rPr>
            </w:pPr>
            <w:r>
              <w:rPr>
                <w:rFonts w:ascii="Cambria" w:hAnsi="Cambria"/>
                <w:sz w:val="12"/>
                <w:szCs w:val="12"/>
              </w:rPr>
              <w:t>ChAd155-RSV</w:t>
            </w:r>
          </w:p>
        </w:tc>
        <w:tc>
          <w:tcPr>
            <w:tcW w:w="992" w:type="dxa"/>
            <w:gridSpan w:val="2"/>
          </w:tcPr>
          <w:p w14:paraId="0BDE9EC8" w14:textId="33757CAF"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GSK</w:t>
            </w:r>
          </w:p>
        </w:tc>
        <w:tc>
          <w:tcPr>
            <w:tcW w:w="958" w:type="dxa"/>
          </w:tcPr>
          <w:p w14:paraId="767E0312" w14:textId="0B662C18" w:rsidR="005510AF" w:rsidRDefault="005510AF" w:rsidP="002F054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Chimpanzee adenovirus ChAd155-RSV with F, N, M2.1 insert and E1 deletion</w:t>
            </w:r>
          </w:p>
        </w:tc>
        <w:tc>
          <w:tcPr>
            <w:tcW w:w="738" w:type="dxa"/>
          </w:tcPr>
          <w:p w14:paraId="5B48AE04" w14:textId="6BEEAF85"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F, N, M2.1</w:t>
            </w:r>
          </w:p>
        </w:tc>
        <w:tc>
          <w:tcPr>
            <w:tcW w:w="886" w:type="dxa"/>
          </w:tcPr>
          <w:p w14:paraId="0E48BFA0" w14:textId="5B6B1216"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none</w:t>
            </w:r>
          </w:p>
        </w:tc>
        <w:tc>
          <w:tcPr>
            <w:tcW w:w="941" w:type="dxa"/>
          </w:tcPr>
          <w:p w14:paraId="17EC0D62" w14:textId="181CA1F5"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Intracellular RSV antigen expression; replication incompetent  vector</w:t>
            </w:r>
          </w:p>
        </w:tc>
        <w:tc>
          <w:tcPr>
            <w:tcW w:w="979" w:type="dxa"/>
          </w:tcPr>
          <w:p w14:paraId="55CA1B2D" w14:textId="26AF41D1" w:rsidR="005510AF" w:rsidRDefault="005510AF" w:rsidP="00012D64">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w:t>
            </w:r>
          </w:p>
        </w:tc>
        <w:tc>
          <w:tcPr>
            <w:tcW w:w="1088" w:type="dxa"/>
          </w:tcPr>
          <w:p w14:paraId="45817E7D" w14:textId="44F914E2"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IM</w:t>
            </w:r>
          </w:p>
        </w:tc>
        <w:tc>
          <w:tcPr>
            <w:tcW w:w="738" w:type="dxa"/>
          </w:tcPr>
          <w:p w14:paraId="13DE65E4" w14:textId="60B0E958"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II</w:t>
            </w:r>
          </w:p>
        </w:tc>
        <w:tc>
          <w:tcPr>
            <w:tcW w:w="738" w:type="dxa"/>
          </w:tcPr>
          <w:p w14:paraId="4F599BDE" w14:textId="77777777" w:rsidR="005510AF" w:rsidRDefault="005510AF" w:rsidP="004A4CC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Mouse, cotton rat, calves</w:t>
            </w:r>
          </w:p>
          <w:p w14:paraId="55F7A58E" w14:textId="522197AF"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fldChar w:fldCharType="begin" w:fldLock="1"/>
            </w:r>
            <w:r w:rsidR="00B707E2">
              <w:rPr>
                <w:rFonts w:ascii="Cambria" w:hAnsi="Cambria"/>
                <w:sz w:val="12"/>
                <w:szCs w:val="12"/>
              </w:rPr>
              <w:instrText>ADDIN CSL_CITATION { "citationItems" : [ { "id" : "ITEM-1", "itemData" : { "author" : [ { "dropping-particle" : "", "family" : "Dieussaert", "given" : "Ilse", "non-dropping-particle" : "", "parse-names" : false, "suffix" : "" } ], "container-title" : "Presentation at Food and Drug Administration (FDA) 150th Meeting of the Vaccines and Related Biological Products Advisory Committee Meeting (VRBPAC)", "id" : "ITEM-1", "issued" : { "date-parts" : [ [ "2017" ] ] }, "publisher-place" : "Silver Spring", "title" : "GSK\u2019s Pediatric RSV Vaccine Program", "type" : "paper-conference" }, "uris" : [ "http://www.mendeley.com/documents/?uuid=695b6881-f4db-35e8-b2d9-11327eeabec0" ] } ], "mendeley" : { "formattedCitation" : "(103)", "plainTextFormattedCitation" : "(103)", "previouslyFormattedCitation" : "(102)"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(103)</w:t>
            </w:r>
            <w:r>
              <w:rPr>
                <w:rFonts w:ascii="Cambria" w:hAnsi="Cambria"/>
                <w:sz w:val="12"/>
                <w:szCs w:val="12"/>
              </w:rPr>
              <w:fldChar w:fldCharType="end"/>
            </w:r>
          </w:p>
        </w:tc>
        <w:tc>
          <w:tcPr>
            <w:tcW w:w="738" w:type="dxa"/>
          </w:tcPr>
          <w:p w14:paraId="5EF40B1D" w14:textId="77777777" w:rsidR="005510AF" w:rsidRDefault="005510AF" w:rsidP="004A4CC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Jul 2015 – Feb 2017</w:t>
            </w:r>
          </w:p>
          <w:p w14:paraId="535B4647" w14:textId="77777777" w:rsidR="005510AF" w:rsidRDefault="005510AF" w:rsidP="004A4CC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453290">
              <w:rPr>
                <w:rFonts w:ascii="Cambria" w:hAnsi="Cambria"/>
                <w:sz w:val="12"/>
                <w:szCs w:val="12"/>
              </w:rPr>
              <w:t>NCT02491463</w:t>
            </w:r>
          </w:p>
          <w:p w14:paraId="6FA3FD76" w14:textId="77777777" w:rsidR="005510AF" w:rsidRPr="00453290" w:rsidRDefault="005510AF" w:rsidP="004A4CC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(n=73)</w:t>
            </w:r>
          </w:p>
          <w:p w14:paraId="18972E9A" w14:textId="77777777" w:rsidR="005510AF" w:rsidRDefault="005510AF" w:rsidP="00FE1931">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885" w:type="dxa"/>
          </w:tcPr>
          <w:p w14:paraId="73EFF605" w14:textId="77777777" w:rsidR="005510AF" w:rsidRDefault="005510AF" w:rsidP="004A4CC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Jan 2017 – Sep 2020</w:t>
            </w:r>
          </w:p>
          <w:p w14:paraId="57BE2150" w14:textId="77777777" w:rsidR="005510AF" w:rsidRDefault="005510AF" w:rsidP="004A4CC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D53040">
              <w:rPr>
                <w:rFonts w:ascii="Cambria" w:hAnsi="Cambria"/>
                <w:sz w:val="12"/>
                <w:szCs w:val="12"/>
              </w:rPr>
              <w:t>NCT02927873</w:t>
            </w:r>
          </w:p>
          <w:p w14:paraId="3410F1E0" w14:textId="77777777" w:rsidR="005510AF" w:rsidRPr="00D53040" w:rsidRDefault="005510AF" w:rsidP="004A4CC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(n=96)</w:t>
            </w:r>
          </w:p>
          <w:p w14:paraId="091BE2DD" w14:textId="77777777" w:rsidR="005510AF" w:rsidRDefault="005510AF" w:rsidP="004A4CC5">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7AE380A4" w14:textId="7FD39B0B" w:rsidR="005510AF" w:rsidDel="00943E1D" w:rsidRDefault="005510AF">
            <w:pP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950" w:type="dxa"/>
            <w:gridSpan w:val="2"/>
          </w:tcPr>
          <w:p w14:paraId="22B02838"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Plan to start</w:t>
            </w:r>
          </w:p>
          <w:p w14:paraId="5B03C2E2"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post 2020</w:t>
            </w:r>
          </w:p>
          <w:p w14:paraId="3A585070"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with age</w:t>
            </w:r>
          </w:p>
          <w:p w14:paraId="6912A796"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de-escalation</w:t>
            </w:r>
          </w:p>
          <w:p w14:paraId="0BB4099A"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seronegative</w:t>
            </w:r>
          </w:p>
          <w:p w14:paraId="14E0FFD6"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infants</w:t>
            </w:r>
          </w:p>
          <w:p w14:paraId="04CB0459" w14:textId="0DDAEC83" w:rsidR="005510AF"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1808" w:type="dxa"/>
          </w:tcPr>
          <w:p w14:paraId="420190E1"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PhI: safe, B cell and RSV-</w:t>
            </w:r>
          </w:p>
          <w:p w14:paraId="511FDCB5"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neutralizing antibodies</w:t>
            </w:r>
          </w:p>
          <w:p w14:paraId="4E62E4D8" w14:textId="77777777" w:rsidR="005510AF" w:rsidRDefault="005510AF" w:rsidP="004A4CC5">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 xml:space="preserve">in RSV-seropositive </w:t>
            </w:r>
          </w:p>
          <w:p w14:paraId="7B728C0A" w14:textId="5D0F4EE8" w:rsidR="005510AF" w:rsidRDefault="005510AF" w:rsidP="006232EE">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adults (n=73)</w:t>
            </w:r>
            <w:r>
              <w:rPr>
                <w:rFonts w:ascii="Cambria" w:hAnsi="Cambria"/>
                <w:sz w:val="12"/>
                <w:szCs w:val="12"/>
              </w:rPr>
              <w:fldChar w:fldCharType="begin" w:fldLock="1"/>
            </w:r>
            <w:r w:rsidR="00B707E2">
              <w:rPr>
                <w:rFonts w:ascii="Cambria" w:hAnsi="Cambria"/>
                <w:sz w:val="12"/>
                <w:szCs w:val="12"/>
              </w:rPr>
              <w:instrText>ADDIN CSL_CITATION { "citationItems" : [ { "id" : "ITEM-1", "itemData" : { "author" : [ { "dropping-particle" : "", "family" : "Steff", "given" : "Ann-Muriel", "non-dropping-particle" : "", "parse-names" : false, "suffix" : "" } ], "container-title" : "Presentation at Vaccine Innovation Conference", "id" : "ITEM-1", "issued" : { "date-parts" : [ [ "2015" ] ] }, "publisher-place" : "Toronto", "title" : "Development of RSV Vaccines: Glaxosmithkline", "type" : "paper-conference" }, "uris" : [ "http://www.mendeley.com/documents/?uuid=a43f12e8-1aa9-4a90-81f2-80958d7668c2" ] } ], "mendeley" : { "formattedCitation" : "(143)", "plainTextFormattedCitation" : "(143)", "previouslyFormattedCitation" : "(142)"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(143)</w:t>
            </w:r>
            <w:r>
              <w:rPr>
                <w:rFonts w:ascii="Cambria" w:hAnsi="Cambria"/>
                <w:sz w:val="12"/>
                <w:szCs w:val="12"/>
              </w:rPr>
              <w:fldChar w:fldCharType="end"/>
            </w:r>
          </w:p>
        </w:tc>
      </w:tr>
      <w:tr w:rsidR="005510AF" w:rsidRPr="0073253E" w14:paraId="5FD1A39C" w14:textId="77777777" w:rsidTr="003E0858">
        <w:trPr>
          <w:trHeight w:val="302"/>
        </w:trPr>
        <w:tc>
          <w:tcPr>
            <w:cnfStyle w:val="001000000000" w:firstRow="0" w:lastRow="0" w:firstColumn="1" w:lastColumn="0" w:oddVBand="0" w:evenVBand="0" w:oddHBand="0" w:evenHBand="0" w:firstRowFirstColumn="0" w:firstRowLastColumn="0" w:lastRowFirstColumn="0" w:lastRowLastColumn="0"/>
            <w:tcW w:w="1135" w:type="dxa"/>
          </w:tcPr>
          <w:p w14:paraId="41A9700F" w14:textId="5991A130" w:rsidR="005510AF" w:rsidRDefault="005510AF" w:rsidP="007F7002">
            <w:pPr>
              <w:jc w:val="center"/>
              <w:rPr>
                <w:rFonts w:ascii="Cambria" w:hAnsi="Cambria"/>
                <w:sz w:val="12"/>
                <w:szCs w:val="12"/>
              </w:rPr>
            </w:pPr>
            <w:r>
              <w:rPr>
                <w:rFonts w:ascii="Cambria" w:hAnsi="Cambria"/>
                <w:sz w:val="12"/>
                <w:szCs w:val="12"/>
              </w:rPr>
              <w:t>SUBUNIT</w:t>
            </w:r>
          </w:p>
        </w:tc>
        <w:tc>
          <w:tcPr>
            <w:tcW w:w="992" w:type="dxa"/>
            <w:gridSpan w:val="2"/>
          </w:tcPr>
          <w:p w14:paraId="1C3CBE20" w14:textId="77777777" w:rsidR="005510AF"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958" w:type="dxa"/>
          </w:tcPr>
          <w:p w14:paraId="6156A0D3" w14:textId="77777777"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738" w:type="dxa"/>
          </w:tcPr>
          <w:p w14:paraId="53649844" w14:textId="77777777"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886" w:type="dxa"/>
          </w:tcPr>
          <w:p w14:paraId="55324BD5" w14:textId="77777777"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941" w:type="dxa"/>
          </w:tcPr>
          <w:p w14:paraId="05941023" w14:textId="77777777"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979" w:type="dxa"/>
          </w:tcPr>
          <w:p w14:paraId="1C3BB575" w14:textId="77777777" w:rsidR="005510AF"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1088" w:type="dxa"/>
          </w:tcPr>
          <w:p w14:paraId="39ACF975" w14:textId="77777777"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738" w:type="dxa"/>
          </w:tcPr>
          <w:p w14:paraId="3BEAE0EF" w14:textId="77777777"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738" w:type="dxa"/>
          </w:tcPr>
          <w:p w14:paraId="3CC40C16" w14:textId="77777777"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738" w:type="dxa"/>
          </w:tcPr>
          <w:p w14:paraId="48108AF9" w14:textId="77777777"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885" w:type="dxa"/>
          </w:tcPr>
          <w:p w14:paraId="3DB04A46" w14:textId="77777777"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950" w:type="dxa"/>
            <w:gridSpan w:val="2"/>
          </w:tcPr>
          <w:p w14:paraId="2F1E34C6" w14:textId="77777777" w:rsidR="005510AF" w:rsidRPr="0073253E"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1808" w:type="dxa"/>
          </w:tcPr>
          <w:p w14:paraId="34DB6580" w14:textId="77777777" w:rsidR="005510AF" w:rsidRPr="0073253E"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r>
      <w:tr w:rsidR="005510AF" w:rsidRPr="0073253E" w14:paraId="45449C5E" w14:textId="77777777" w:rsidTr="003E0858">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35" w:type="dxa"/>
          </w:tcPr>
          <w:p w14:paraId="64E26EDA" w14:textId="34875B12" w:rsidR="005510AF" w:rsidRPr="0073253E" w:rsidRDefault="005510AF" w:rsidP="007F7002">
            <w:pPr>
              <w:jc w:val="center"/>
              <w:rPr>
                <w:rFonts w:ascii="Cambria" w:hAnsi="Cambria"/>
                <w:sz w:val="12"/>
                <w:szCs w:val="12"/>
              </w:rPr>
            </w:pPr>
            <w:r>
              <w:rPr>
                <w:rFonts w:ascii="Cambria" w:hAnsi="Cambria"/>
                <w:sz w:val="12"/>
                <w:szCs w:val="12"/>
              </w:rPr>
              <w:t>GSK RSV F</w:t>
            </w:r>
          </w:p>
        </w:tc>
        <w:tc>
          <w:tcPr>
            <w:tcW w:w="992" w:type="dxa"/>
            <w:gridSpan w:val="2"/>
          </w:tcPr>
          <w:p w14:paraId="743F80BA" w14:textId="18162193"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GSK</w:t>
            </w:r>
          </w:p>
        </w:tc>
        <w:tc>
          <w:tcPr>
            <w:tcW w:w="958" w:type="dxa"/>
          </w:tcPr>
          <w:p w14:paraId="5DC39063" w14:textId="046231ED"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Pre-F produced in CHO cells</w:t>
            </w:r>
          </w:p>
        </w:tc>
        <w:tc>
          <w:tcPr>
            <w:tcW w:w="738" w:type="dxa"/>
          </w:tcPr>
          <w:p w14:paraId="32871516" w14:textId="3811226B"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Pre-F</w:t>
            </w:r>
          </w:p>
        </w:tc>
        <w:tc>
          <w:tcPr>
            <w:tcW w:w="886" w:type="dxa"/>
          </w:tcPr>
          <w:p w14:paraId="0340AEC9" w14:textId="1172E2D4"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With or without aluminum hydroxide</w:t>
            </w:r>
          </w:p>
        </w:tc>
        <w:tc>
          <w:tcPr>
            <w:tcW w:w="941" w:type="dxa"/>
          </w:tcPr>
          <w:p w14:paraId="637DF490" w14:textId="047E6063" w:rsidR="005510AF" w:rsidRPr="0073253E" w:rsidRDefault="005510AF" w:rsidP="00C41447">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Pre-F antigen induces neutralizing antibodies which are transferred to infant</w:t>
            </w:r>
          </w:p>
        </w:tc>
        <w:tc>
          <w:tcPr>
            <w:tcW w:w="979" w:type="dxa"/>
          </w:tcPr>
          <w:p w14:paraId="721C2435" w14:textId="2412C884"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M</w:t>
            </w:r>
          </w:p>
        </w:tc>
        <w:tc>
          <w:tcPr>
            <w:tcW w:w="1088" w:type="dxa"/>
          </w:tcPr>
          <w:p w14:paraId="3CA60BAD" w14:textId="0B6ABA6C"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IM</w:t>
            </w:r>
          </w:p>
        </w:tc>
        <w:tc>
          <w:tcPr>
            <w:tcW w:w="738" w:type="dxa"/>
          </w:tcPr>
          <w:p w14:paraId="76D0A861" w14:textId="4FF37B70"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II</w:t>
            </w:r>
          </w:p>
        </w:tc>
        <w:tc>
          <w:tcPr>
            <w:tcW w:w="738" w:type="dxa"/>
          </w:tcPr>
          <w:p w14:paraId="3DD880BB" w14:textId="14368FED"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Mice, cotton rats, guinea pigs, cows</w:t>
            </w:r>
          </w:p>
        </w:tc>
        <w:tc>
          <w:tcPr>
            <w:tcW w:w="738" w:type="dxa"/>
          </w:tcPr>
          <w:p w14:paraId="3814D12C" w14:textId="169A71D9"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Dec 2014 –Mar 2017</w:t>
            </w:r>
          </w:p>
          <w:p w14:paraId="77A3D308" w14:textId="77777777" w:rsidR="005510AF" w:rsidRDefault="005510AF" w:rsidP="009C1581">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9C1581">
              <w:rPr>
                <w:rFonts w:ascii="Cambria" w:hAnsi="Cambria"/>
                <w:sz w:val="12"/>
                <w:szCs w:val="12"/>
              </w:rPr>
              <w:t>NCT02298179</w:t>
            </w:r>
          </w:p>
          <w:p w14:paraId="775E9EE1" w14:textId="04021F12" w:rsidR="005510AF" w:rsidRPr="009C1581" w:rsidRDefault="005510AF" w:rsidP="009C1581">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(n=288)</w:t>
            </w:r>
          </w:p>
          <w:p w14:paraId="3AA45FFE" w14:textId="77777777"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11A95FA7" w14:textId="77777777"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7C49A544" w14:textId="77777777"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Jul 2013-Mar 2015</w:t>
            </w:r>
          </w:p>
          <w:p w14:paraId="2BB65B5A" w14:textId="77777777"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E603B6">
              <w:rPr>
                <w:rFonts w:ascii="Cambria" w:hAnsi="Cambria"/>
                <w:sz w:val="12"/>
                <w:szCs w:val="12"/>
              </w:rPr>
              <w:t>NCT01905215</w:t>
            </w:r>
          </w:p>
          <w:p w14:paraId="1F0F3422" w14:textId="4BB61233"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 xml:space="preserve">(n=128) </w:t>
            </w:r>
            <w:r>
              <w:rPr>
                <w:rFonts w:ascii="Cambria" w:hAnsi="Cambria"/>
                <w:sz w:val="12"/>
                <w:szCs w:val="12"/>
              </w:rPr>
              <w:fldChar w:fldCharType="begin" w:fldLock="1"/>
            </w:r>
            <w:r w:rsidR="00B707E2">
              <w:rPr>
                <w:rFonts w:ascii="Cambria" w:hAnsi="Cambria"/>
                <w:sz w:val="12"/>
                <w:szCs w:val="12"/>
              </w:rPr>
              <w:instrText>ADDIN CSL_CITATION { "citationItems" : [ { "id" : "ITEM-1", "itemData" : { "DOI" : "10.1093/infdis/jiw453", "ISSN" : "1537-6613", "PMID" : "27694633", "abstract" : "BACKGROUND Respiratory syncytial virus (RSV) is a leading cause of childhood bronchiolitis and pneumonia, particularly in early infancy. Immunization of pregnant women could boost preexisting immune responses, providing passive protection to newborns through placental transfer of anti-RSV antibody. METHODS In this first-in-humans clinical trial of a purified recombinant RSV protein F vaccine engineered to preferentially maintain prefusion conformation (RSV-PreF), 128 healthy men 18-44 years old were randomized to one dose of a RSV-PreF vaccine containing 10, 30, or 60 \u00b5g of RSV-PreF antigen, with or without alum adjuvant, or control, and followed for one year for safety and immunogenicity outcomes. RESULTS Injection site pain was the most common adverse event, reported by up to 81.3% of participants. The highest RSV neutralizing antibody responses were in the 30 \u00b5g RSV-PreF/alum, 60 \u00b5g RSV-PreF/alum, and 60 \u00b5g RSV-PreF/nonadjuvant groups. Responses were evident on day 7, and 30 days after vaccination these participants had RSV-A neutralizing antibody titers of \u22651:512, and &gt;70% had titers of 1:1024, with titers increasing by 3.2-4.9 fold. Responses remained high on day 60 but waned on days 180 and 360. CONCLUSIONS The RSV-PreF vaccine elicited rapid RSV neutralizing antibody responses in healthy young men, with an acceptable adverse event profile.", "author" : [ { "dropping-particle" : "", "family" : "Langley", "given" : "Joanne M", "non-dropping-particle" : "", "parse-names" : false, "suffix" : "" }, { "dropping-particle" : "", "family" : "Aggarwal", "given" : "Naresh", "non-dropping-particle" : "", "parse-names" : false, "suffix" : "" }, { "dropping-particle" : "", "family" : "Toma", "given" : "Azhar", "non-dropping-particle" : "", "parse-names" : false, "suffix" : "" }, { "dropping-particle" : "", "family" : "Halperin", "given" : "Scott A", "non-dropping-particle" : "", "parse-names" : false, "suffix" : "" }, { "dropping-particle" : "", "family" : "McNeil", "given" : "Shelly A", "non-dropping-particle" : "", "parse-names" : false, "suffix" : "" }, { "dropping-particle" : "", "family" : "Fissette", "given" : "Laurence", "non-dropping-particle" : "", "parse-names" : false, "suffix" : "" }, { "dropping-particle" : "", "family" : "Dew\u00e9", "given" : "Walthere", "non-dropping-particle" : "", "parse-names" : false, "suffix" : "" }, { "dropping-particle" : "", "family" : "Leyssen", "given" : "Maarten", "non-dropping-particle" : "", "parse-names" : false, "suffix" : "" }, { "dropping-particle" : "", "family" : "Toussaint", "given" : "Jean-Fran\u00e7ois", "non-dropping-particle" : "", "parse-names" : false, "suffix" : "" }, { "dropping-particle" : "", "family" : "Dieussaert", "given" : "Ilse", "non-dropping-particle" : "", "parse-names" : false, "suffix" : "" } ], "container-title" : "The Journal of infectious diseases", "id" : "ITEM-1", "issue" : "1", "issued" : { "date-parts" : [ [ "2017", "1", "1" ] ] }, "page" : "24-33", "title" : "A Randomized, Controlled, Observer-Blinded Phase 1 Study of the Safety and Immunogenicity of a Respiratory Syncytial Virus Vaccine With or Without Alum Adjuvant.", "type" : "article-journal", "volume" : "215" }, "uris" : [ "http://www.mendeley.com/documents/?uuid=0fe9bf92-205b-32b7-862b-366c4fabf926" ] } ], "mendeley" : { "formattedCitation" : "(104)", "plainTextFormattedCitation" : "(104)", "previouslyFormattedCitation" : "(103)"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(104)</w:t>
            </w:r>
            <w:r>
              <w:rPr>
                <w:rFonts w:ascii="Cambria" w:hAnsi="Cambria"/>
                <w:sz w:val="12"/>
                <w:szCs w:val="12"/>
              </w:rPr>
              <w:fldChar w:fldCharType="end"/>
            </w:r>
          </w:p>
          <w:p w14:paraId="433BCC5F" w14:textId="77777777"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681C41B5" w14:textId="77777777" w:rsidR="005510AF" w:rsidRPr="00E603B6"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491AC097" w14:textId="4C305F9B"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885" w:type="dxa"/>
          </w:tcPr>
          <w:p w14:paraId="42A24724" w14:textId="77777777" w:rsidR="005510AF"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Mar 2015-</w:t>
            </w:r>
          </w:p>
          <w:p w14:paraId="66900DD0" w14:textId="77777777" w:rsidR="005510AF"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June 2016</w:t>
            </w:r>
          </w:p>
          <w:p w14:paraId="066A99FE" w14:textId="6FE33469" w:rsidR="005510AF"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NCT023604</w:t>
            </w:r>
          </w:p>
          <w:p w14:paraId="7A5E8EF6" w14:textId="189F6616" w:rsidR="005510AF"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75</w:t>
            </w:r>
          </w:p>
          <w:p w14:paraId="3E954D59" w14:textId="00C530AB" w:rsidR="005510AF"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(n=507)</w:t>
            </w:r>
          </w:p>
          <w:p w14:paraId="361C1111" w14:textId="77777777" w:rsidR="005510AF" w:rsidRPr="00D50723"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1B7FDDB9" w14:textId="3E890910" w:rsidR="005510AF" w:rsidRPr="0077132C"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2"/>
                <w:szCs w:val="12"/>
                <w:shd w:val="clear" w:color="auto" w:fill="FFFFFF"/>
                <w:lang w:eastAsia="en-US"/>
              </w:rPr>
            </w:pPr>
            <w:r w:rsidRPr="0077132C">
              <w:rPr>
                <w:rFonts w:ascii="Cambria" w:eastAsia="Times New Roman" w:hAnsi="Cambria" w:cs="Times New Roman"/>
                <w:color w:val="000000"/>
                <w:sz w:val="12"/>
                <w:szCs w:val="12"/>
                <w:shd w:val="clear" w:color="auto" w:fill="FFFFFF"/>
                <w:lang w:eastAsia="en-US"/>
              </w:rPr>
              <w:t>Apr 2016 – Jun 2016 NCT02753413</w:t>
            </w:r>
          </w:p>
          <w:p w14:paraId="51044FCD" w14:textId="2D763A73" w:rsidR="005510AF" w:rsidRPr="0077132C"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2"/>
                <w:szCs w:val="12"/>
                <w:shd w:val="clear" w:color="auto" w:fill="FFFFFF"/>
                <w:lang w:eastAsia="en-US"/>
              </w:rPr>
            </w:pPr>
            <w:r w:rsidRPr="0077132C">
              <w:rPr>
                <w:rFonts w:ascii="Cambria" w:eastAsia="Times New Roman" w:hAnsi="Cambria" w:cs="Times New Roman"/>
                <w:color w:val="000000"/>
                <w:sz w:val="12"/>
                <w:szCs w:val="12"/>
                <w:shd w:val="clear" w:color="auto" w:fill="FFFFFF"/>
                <w:lang w:eastAsia="en-US"/>
              </w:rPr>
              <w:t>(n=102)</w:t>
            </w:r>
          </w:p>
          <w:p w14:paraId="20544838" w14:textId="77777777" w:rsidR="005510AF" w:rsidRPr="0077132C"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2"/>
                <w:szCs w:val="12"/>
                <w:shd w:val="clear" w:color="auto" w:fill="FFFFFF"/>
                <w:lang w:eastAsia="en-US"/>
              </w:rPr>
            </w:pPr>
          </w:p>
          <w:p w14:paraId="5C634750" w14:textId="77777777" w:rsidR="005510AF" w:rsidRPr="0077132C"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2"/>
                <w:szCs w:val="12"/>
                <w:shd w:val="clear" w:color="auto" w:fill="FFFFFF"/>
                <w:lang w:eastAsia="en-US"/>
              </w:rPr>
            </w:pPr>
            <w:r w:rsidRPr="0077132C">
              <w:rPr>
                <w:rFonts w:ascii="Cambria" w:eastAsia="Times New Roman" w:hAnsi="Cambria" w:cs="Times New Roman"/>
                <w:color w:val="000000"/>
                <w:sz w:val="12"/>
                <w:szCs w:val="12"/>
                <w:shd w:val="clear" w:color="auto" w:fill="FFFFFF"/>
                <w:lang w:eastAsia="en-US"/>
              </w:rPr>
              <w:t>Nov 2016 – Mar 2018</w:t>
            </w:r>
          </w:p>
          <w:p w14:paraId="67B3A007" w14:textId="0227B5FA" w:rsidR="005510AF" w:rsidRPr="0077132C" w:rsidRDefault="005510AF" w:rsidP="00C4144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2"/>
                <w:szCs w:val="12"/>
                <w:shd w:val="clear" w:color="auto" w:fill="FFFFFF"/>
                <w:lang w:eastAsia="en-US"/>
              </w:rPr>
            </w:pPr>
            <w:r w:rsidRPr="0077132C">
              <w:rPr>
                <w:rFonts w:ascii="Cambria" w:eastAsia="Times New Roman" w:hAnsi="Cambria" w:cs="Times New Roman"/>
                <w:color w:val="000000"/>
                <w:sz w:val="12"/>
                <w:szCs w:val="12"/>
                <w:shd w:val="clear" w:color="auto" w:fill="FFFFFF"/>
                <w:lang w:eastAsia="en-US"/>
              </w:rPr>
              <w:t>NCT02956837</w:t>
            </w:r>
          </w:p>
          <w:p w14:paraId="427FD13E" w14:textId="3C8AFE8E" w:rsidR="005510AF" w:rsidRDefault="005510AF" w:rsidP="00C4144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2"/>
                <w:szCs w:val="12"/>
                <w:shd w:val="clear" w:color="auto" w:fill="FFFFFF"/>
                <w:lang w:eastAsia="en-US"/>
              </w:rPr>
            </w:pPr>
            <w:r w:rsidRPr="0077132C">
              <w:rPr>
                <w:rFonts w:ascii="Cambria" w:eastAsia="Times New Roman" w:hAnsi="Cambria" w:cs="Times New Roman"/>
                <w:color w:val="000000"/>
                <w:sz w:val="12"/>
                <w:szCs w:val="12"/>
                <w:shd w:val="clear" w:color="auto" w:fill="FFFFFF"/>
                <w:lang w:eastAsia="en-US"/>
              </w:rPr>
              <w:t>(n=406)</w:t>
            </w:r>
          </w:p>
          <w:p w14:paraId="6DC7800E" w14:textId="77777777"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2"/>
                <w:szCs w:val="12"/>
                <w:shd w:val="clear" w:color="auto" w:fill="FFFFFF"/>
                <w:lang w:eastAsia="en-US"/>
              </w:rPr>
            </w:pPr>
          </w:p>
          <w:p w14:paraId="5154FC7D" w14:textId="655FABBF"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12"/>
                <w:szCs w:val="12"/>
                <w:lang w:eastAsia="en-US"/>
              </w:rPr>
            </w:pPr>
            <w:r>
              <w:rPr>
                <w:rFonts w:ascii="Cambria" w:eastAsia="Times New Roman" w:hAnsi="Cambria" w:cs="Times New Roman"/>
                <w:sz w:val="12"/>
                <w:szCs w:val="12"/>
                <w:lang w:eastAsia="en-US"/>
              </w:rPr>
              <w:t>Jul 2017 – Jan 2021</w:t>
            </w:r>
          </w:p>
          <w:p w14:paraId="3B9AD20B" w14:textId="3D78CC3C"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12"/>
                <w:szCs w:val="12"/>
                <w:lang w:eastAsia="en-US"/>
              </w:rPr>
            </w:pPr>
            <w:r w:rsidRPr="00B4528A">
              <w:rPr>
                <w:rFonts w:ascii="Cambria" w:eastAsia="Times New Roman" w:hAnsi="Cambria" w:cs="Times New Roman"/>
                <w:sz w:val="12"/>
                <w:szCs w:val="12"/>
                <w:lang w:eastAsia="en-US"/>
              </w:rPr>
              <w:t>NCT03191383</w:t>
            </w:r>
          </w:p>
          <w:p w14:paraId="53256C25" w14:textId="5855F92E" w:rsidR="005510AF" w:rsidRPr="00453290"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12"/>
                <w:szCs w:val="12"/>
                <w:lang w:eastAsia="en-US"/>
              </w:rPr>
            </w:pPr>
            <w:r>
              <w:rPr>
                <w:rFonts w:ascii="Cambria" w:eastAsia="Times New Roman" w:hAnsi="Cambria" w:cs="Times New Roman"/>
                <w:sz w:val="12"/>
                <w:szCs w:val="12"/>
                <w:lang w:eastAsia="en-US"/>
              </w:rPr>
              <w:t>Halted due to instability of pre-F antigen during manufacturing</w:t>
            </w:r>
          </w:p>
          <w:p w14:paraId="225B4B68" w14:textId="77777777"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950" w:type="dxa"/>
            <w:gridSpan w:val="2"/>
          </w:tcPr>
          <w:p w14:paraId="23689380" w14:textId="3F7A4926" w:rsidR="005510AF" w:rsidRPr="0073253E"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08" w:type="dxa"/>
          </w:tcPr>
          <w:p w14:paraId="10C99A93" w14:textId="7F732DB0" w:rsidR="005510AF" w:rsidRDefault="005510AF" w:rsidP="00F14678">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PhI: safe, RSV-A neutralizing</w:t>
            </w:r>
          </w:p>
          <w:p w14:paraId="2E15A7B8" w14:textId="224CA963" w:rsidR="005510AF" w:rsidRDefault="005510AF" w:rsidP="00F14678">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Ab titers increased 3.2-4.9x;</w:t>
            </w:r>
          </w:p>
          <w:p w14:paraId="36BF61D0" w14:textId="4DA97E07" w:rsidR="005510AF" w:rsidRDefault="005510AF" w:rsidP="00F14678">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 xml:space="preserve">remained high to day 60, </w:t>
            </w:r>
          </w:p>
          <w:p w14:paraId="40D6E01E" w14:textId="05C3AC74" w:rsidR="005510AF" w:rsidRDefault="005510AF" w:rsidP="00F14678">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decreased on day 180 &amp; 360</w:t>
            </w:r>
          </w:p>
          <w:p w14:paraId="331D6A6D" w14:textId="3A1F94DF" w:rsidR="005510AF" w:rsidRDefault="005510AF" w:rsidP="00F14678">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in healthy men (n=128)</w:t>
            </w:r>
            <w:r>
              <w:rPr>
                <w:rFonts w:ascii="Cambria" w:hAnsi="Cambria"/>
                <w:sz w:val="12"/>
                <w:szCs w:val="12"/>
              </w:rPr>
              <w:fldChar w:fldCharType="begin" w:fldLock="1"/>
            </w:r>
            <w:r w:rsidR="00B707E2">
              <w:rPr>
                <w:rFonts w:ascii="Cambria" w:hAnsi="Cambria"/>
                <w:sz w:val="12"/>
                <w:szCs w:val="12"/>
              </w:rPr>
              <w:instrText>ADDIN CSL_CITATION { "citationItems" : [ { "id" : "ITEM-1", "itemData" : { "DOI" : "10.1093/infdis/jiw453", "ISSN" : "1537-6613", "PMID" : "27694633", "abstract" : "BACKGROUND Respiratory syncytial virus (RSV) is a leading cause of childhood bronchiolitis and pneumonia, particularly in early infancy. Immunization of pregnant women could boost preexisting immune responses, providing passive protection to newborns through placental transfer of anti-RSV antibody. METHODS In this first-in-humans clinical trial of a purified recombinant RSV protein F vaccine engineered to preferentially maintain prefusion conformation (RSV-PreF), 128 healthy men 18-44 years old were randomized to one dose of a RSV-PreF vaccine containing 10, 30, or 60 \u00b5g of RSV-PreF antigen, with or without alum adjuvant, or control, and followed for one year for safety and immunogenicity outcomes. RESULTS Injection site pain was the most common adverse event, reported by up to 81.3% of participants. The highest RSV neutralizing antibody responses were in the 30 \u00b5g RSV-PreF/alum, 60 \u00b5g RSV-PreF/alum, and 60 \u00b5g RSV-PreF/nonadjuvant groups. Responses were evident on day 7, and 30 days after vaccination these participants had RSV-A neutralizing antibody titers of \u22651:512, and &gt;70% had titers of 1:1024, with titers increasing by 3.2-4.9 fold. Responses remained high on day 60 but waned on days 180 and 360. CONCLUSIONS The RSV-PreF vaccine elicited rapid RSV neutralizing antibody responses in healthy young men, with an acceptable adverse event profile.", "author" : [ { "dropping-particle" : "", "family" : "Langley", "given" : "Joanne M", "non-dropping-particle" : "", "parse-names" : false, "suffix" : "" }, { "dropping-particle" : "", "family" : "Aggarwal", "given" : "Naresh", "non-dropping-particle" : "", "parse-names" : false, "suffix" : "" }, { "dropping-particle" : "", "family" : "Toma", "given" : "Azhar", "non-dropping-particle" : "", "parse-names" : false, "suffix" : "" }, { "dropping-particle" : "", "family" : "Halperin", "given" : "Scott A", "non-dropping-particle" : "", "parse-names" : false, "suffix" : "" }, { "dropping-particle" : "", "family" : "McNeil", "given" : "Shelly A", "non-dropping-particle" : "", "parse-names" : false, "suffix" : "" }, { "dropping-particle" : "", "family" : "Fissette", "given" : "Laurence", "non-dropping-particle" : "", "parse-names" : false, "suffix" : "" }, { "dropping-particle" : "", "family" : "Dew\u00e9", "given" : "Walthere", "non-dropping-particle" : "", "parse-names" : false, "suffix" : "" }, { "dropping-particle" : "", "family" : "Leyssen", "given" : "Maarten", "non-dropping-particle" : "", "parse-names" : false, "suffix" : "" }, { "dropping-particle" : "", "family" : "Toussaint", "given" : "Jean-Fran\u00e7ois", "non-dropping-particle" : "", "parse-names" : false, "suffix" : "" }, { "dropping-particle" : "", "family" : "Dieussaert", "given" : "Ilse", "non-dropping-particle" : "", "parse-names" : false, "suffix" : "" } ], "container-title" : "The Journal of infectious diseases", "id" : "ITEM-1", "issue" : "1", "issued" : { "date-parts" : [ [ "2017", "1", "1" ] ] }, "page" : "24-33", "title" : "A Randomized, Controlled, Observer-Blinded Phase 1 Study of the Safety and Immunogenicity of a Respiratory Syncytial Virus Vaccine With or Without Alum Adjuvant.", "type" : "article-journal", "volume" : "215" }, "uris" : [ "http://www.mendeley.com/documents/?uuid=0fe9bf92-205b-32b7-862b-366c4fabf926" ] } ], "mendeley" : { "formattedCitation" : "(104)", "plainTextFormattedCitation" : "(104)", "previouslyFormattedCitation" : "(103)"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(104)</w:t>
            </w:r>
            <w:r>
              <w:rPr>
                <w:rFonts w:ascii="Cambria" w:hAnsi="Cambria"/>
                <w:sz w:val="12"/>
                <w:szCs w:val="12"/>
              </w:rPr>
              <w:fldChar w:fldCharType="end"/>
            </w:r>
          </w:p>
          <w:p w14:paraId="0A889471" w14:textId="77777777" w:rsidR="005510AF"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17BF54E7" w14:textId="77777777" w:rsidR="005510AF"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Ph II:  Increased RSV-A</w:t>
            </w:r>
          </w:p>
          <w:p w14:paraId="07E8709B" w14:textId="77777777" w:rsidR="005510AF"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neutralizing Ab  30 days</w:t>
            </w:r>
          </w:p>
          <w:p w14:paraId="29D8B701" w14:textId="77777777" w:rsidR="005510AF"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 xml:space="preserve">post-vaccination in </w:t>
            </w:r>
          </w:p>
          <w:p w14:paraId="4A683F7C" w14:textId="77777777" w:rsidR="005510AF"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healthy non-pregnant women</w:t>
            </w:r>
          </w:p>
          <w:p w14:paraId="22402FF7" w14:textId="0797A0FB" w:rsidR="005510AF" w:rsidRPr="0073253E"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fldChar w:fldCharType="begin" w:fldLock="1"/>
            </w:r>
            <w:r w:rsidR="00B707E2">
              <w:rPr>
                <w:rFonts w:ascii="Cambria" w:hAnsi="Cambria"/>
                <w:sz w:val="12"/>
                <w:szCs w:val="12"/>
              </w:rPr>
              <w:instrText>ADDIN CSL_CITATION { "citationItems" : [ { "id" : "ITEM-1", "itemData" : { "URL" : "https://clinicaltrials.gov/ct2/show/results/NCT02360475?term=RSV+vaccine&amp;rank=1&amp;sect=X01256#all", "accessed" : { "date-parts" : [ [ "2018", "1", "21" ] ] }, "author" : [ { "dropping-particle" : "", "family" : "GlaxoSmithKline", "given" : "", "non-dropping-particle" : "", "parse-names" : false, "suffix" : "" } ], "container-title" : "ClinicalTrials.gov", "id" : "ITEM-1", "issued" : { "date-parts" : [ [ "2017" ] ] }, "page" : "Study Results", "title" : "Safety, Reactogenicity and Immunogenicity Study of Different Formulations of GlaxoSmithKline (GSK) Biologicals' Investigational RSV Vaccine (GSK3003891A), in Healthy Women - Study Results - ClinicalTrials.gov", "type" : "webpage" }, "uris" : [ "http://www.mendeley.com/documents/?uuid=eb44b57a-fe9f-3b46-ba4e-970174e56030" ] } ], "mendeley" : { "formattedCitation" : "(144)", "plainTextFormattedCitation" : "(144)", "previouslyFormattedCitation" : "(143)"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(144)</w:t>
            </w:r>
            <w:r>
              <w:rPr>
                <w:rFonts w:ascii="Cambria" w:hAnsi="Cambria"/>
                <w:sz w:val="12"/>
                <w:szCs w:val="12"/>
              </w:rPr>
              <w:fldChar w:fldCharType="end"/>
            </w:r>
          </w:p>
        </w:tc>
      </w:tr>
      <w:tr w:rsidR="005510AF" w:rsidRPr="0073253E" w14:paraId="2DD0F6E6" w14:textId="77777777" w:rsidTr="003E0858">
        <w:trPr>
          <w:trHeight w:val="302"/>
        </w:trPr>
        <w:tc>
          <w:tcPr>
            <w:cnfStyle w:val="001000000000" w:firstRow="0" w:lastRow="0" w:firstColumn="1" w:lastColumn="0" w:oddVBand="0" w:evenVBand="0" w:oddHBand="0" w:evenHBand="0" w:firstRowFirstColumn="0" w:firstRowLastColumn="0" w:lastRowFirstColumn="0" w:lastRowLastColumn="0"/>
            <w:tcW w:w="1135" w:type="dxa"/>
          </w:tcPr>
          <w:p w14:paraId="2BE6D1ED" w14:textId="00ACAD01" w:rsidR="005510AF" w:rsidRPr="0073253E" w:rsidRDefault="005510AF" w:rsidP="007F7002">
            <w:pPr>
              <w:jc w:val="center"/>
              <w:rPr>
                <w:rFonts w:ascii="Cambria" w:hAnsi="Cambria"/>
                <w:sz w:val="12"/>
                <w:szCs w:val="12"/>
              </w:rPr>
            </w:pPr>
            <w:r>
              <w:rPr>
                <w:rFonts w:ascii="Cambria" w:hAnsi="Cambria"/>
                <w:sz w:val="12"/>
                <w:szCs w:val="12"/>
              </w:rPr>
              <w:t>DPX-RSV</w:t>
            </w:r>
          </w:p>
        </w:tc>
        <w:tc>
          <w:tcPr>
            <w:tcW w:w="992" w:type="dxa"/>
            <w:gridSpan w:val="2"/>
          </w:tcPr>
          <w:p w14:paraId="2DA4CCDA" w14:textId="7B75C0C6"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Dalhousie University</w:t>
            </w:r>
          </w:p>
        </w:tc>
        <w:tc>
          <w:tcPr>
            <w:tcW w:w="958" w:type="dxa"/>
          </w:tcPr>
          <w:p w14:paraId="51103548" w14:textId="79CD85B4"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DepovaxTM delivery in 100% oil-based  platform preventing release at injection site</w:t>
            </w:r>
          </w:p>
        </w:tc>
        <w:tc>
          <w:tcPr>
            <w:tcW w:w="738" w:type="dxa"/>
          </w:tcPr>
          <w:p w14:paraId="75D8F03B" w14:textId="442DC4A5"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SHe</w:t>
            </w:r>
          </w:p>
        </w:tc>
        <w:tc>
          <w:tcPr>
            <w:tcW w:w="886" w:type="dxa"/>
          </w:tcPr>
          <w:p w14:paraId="1E8508E9" w14:textId="6AD8ADE2" w:rsidR="005510AF" w:rsidRPr="0073253E" w:rsidRDefault="005510AF" w:rsidP="007E239A">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DepovaxTM or aluminum hydroxide</w:t>
            </w:r>
          </w:p>
        </w:tc>
        <w:tc>
          <w:tcPr>
            <w:tcW w:w="941" w:type="dxa"/>
          </w:tcPr>
          <w:p w14:paraId="70B3A7AF" w14:textId="1593A3AD"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Depovax gives controlled and prolonged exposure of antigen and adjuvant</w:t>
            </w:r>
          </w:p>
        </w:tc>
        <w:tc>
          <w:tcPr>
            <w:tcW w:w="979" w:type="dxa"/>
          </w:tcPr>
          <w:p w14:paraId="3734EAFF" w14:textId="5BFADEF7"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O</w:t>
            </w:r>
          </w:p>
        </w:tc>
        <w:tc>
          <w:tcPr>
            <w:tcW w:w="1088" w:type="dxa"/>
          </w:tcPr>
          <w:p w14:paraId="04280D62" w14:textId="535A4648"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IM</w:t>
            </w:r>
          </w:p>
        </w:tc>
        <w:tc>
          <w:tcPr>
            <w:tcW w:w="738" w:type="dxa"/>
          </w:tcPr>
          <w:p w14:paraId="7137EDFA" w14:textId="49470BED"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w:t>
            </w:r>
          </w:p>
        </w:tc>
        <w:tc>
          <w:tcPr>
            <w:tcW w:w="738" w:type="dxa"/>
          </w:tcPr>
          <w:p w14:paraId="09B17D98" w14:textId="030F0ECC"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Mice, cotton rats</w:t>
            </w:r>
          </w:p>
        </w:tc>
        <w:tc>
          <w:tcPr>
            <w:tcW w:w="738" w:type="dxa"/>
          </w:tcPr>
          <w:p w14:paraId="6148F9FC" w14:textId="47AB30A8" w:rsidR="005510AF" w:rsidRDefault="005510AF" w:rsidP="00235315">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May 2015- June 2017</w:t>
            </w:r>
          </w:p>
          <w:p w14:paraId="5A8011B9" w14:textId="77777777" w:rsidR="005510AF"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235315">
              <w:rPr>
                <w:rFonts w:ascii="Cambria" w:hAnsi="Cambria"/>
                <w:sz w:val="12"/>
                <w:szCs w:val="12"/>
              </w:rPr>
              <w:t>NCT02472548</w:t>
            </w:r>
          </w:p>
          <w:p w14:paraId="157C11D0" w14:textId="77777777" w:rsidR="005510AF"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(n=40)</w:t>
            </w:r>
          </w:p>
          <w:p w14:paraId="0F962CCA" w14:textId="7BAB4350" w:rsidR="005510AF" w:rsidRPr="0073253E" w:rsidRDefault="005510AF" w:rsidP="00A84473">
            <w:pPr>
              <w:cnfStyle w:val="000000000000" w:firstRow="0" w:lastRow="0" w:firstColumn="0" w:lastColumn="0" w:oddVBand="0" w:evenVBand="0" w:oddHBand="0" w:evenHBand="0" w:firstRowFirstColumn="0" w:firstRowLastColumn="0" w:lastRowFirstColumn="0" w:lastRowLastColumn="0"/>
              <w:rPr>
                <w:rFonts w:ascii="Cambria" w:hAnsi="Cambria"/>
                <w:color w:val="auto"/>
                <w:sz w:val="12"/>
                <w:szCs w:val="12"/>
              </w:rPr>
            </w:pPr>
          </w:p>
        </w:tc>
        <w:tc>
          <w:tcPr>
            <w:tcW w:w="885" w:type="dxa"/>
          </w:tcPr>
          <w:p w14:paraId="0F41001A" w14:textId="71E3ED0A"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950" w:type="dxa"/>
            <w:gridSpan w:val="2"/>
          </w:tcPr>
          <w:p w14:paraId="4BAD9A32" w14:textId="50098893" w:rsidR="005510AF" w:rsidRPr="0073253E"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08" w:type="dxa"/>
          </w:tcPr>
          <w:p w14:paraId="67AF97DF" w14:textId="74BB14E3" w:rsidR="005510AF"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PhI: Well-tolerated,</w:t>
            </w:r>
          </w:p>
          <w:p w14:paraId="7AAF9CD3" w14:textId="481D3CE7" w:rsidR="005510AF"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Antigen-specific Ab response</w:t>
            </w:r>
          </w:p>
          <w:p w14:paraId="5677030A" w14:textId="77777777" w:rsidR="005510AF"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durable to day 421,</w:t>
            </w:r>
          </w:p>
          <w:p w14:paraId="0DD1E808" w14:textId="77777777" w:rsidR="005510AF"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low immunogenicity with </w:t>
            </w:r>
          </w:p>
          <w:p w14:paraId="79177473" w14:textId="77777777" w:rsidR="005510AF"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alum adjuvant</w:t>
            </w:r>
          </w:p>
          <w:p w14:paraId="149528C6" w14:textId="2926C651" w:rsidR="005510AF" w:rsidRPr="0073253E"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in healthy older adults</w:t>
            </w:r>
            <w:r>
              <w:rPr>
                <w:rFonts w:ascii="Cambria" w:hAnsi="Cambria"/>
                <w:sz w:val="12"/>
                <w:szCs w:val="12"/>
              </w:rPr>
              <w:fldChar w:fldCharType="begin" w:fldLock="1"/>
            </w:r>
            <w:r w:rsidR="00B707E2">
              <w:rPr>
                <w:rFonts w:ascii="Cambria" w:hAnsi="Cambria"/>
                <w:sz w:val="12"/>
                <w:szCs w:val="12"/>
              </w:rPr>
              <w:instrText>ADDIN CSL_CITATION { "citationItems" : [ { "id" : "ITEM-1", "itemData" : { "author" : [ { "dropping-particle" : "", "family" : "Langley", "given" : "JM", "non-dropping-particle" : "", "parse-names" : false, "suffix" : "" }, { "dropping-particle" : "", "family" : "MacDonald", "given" : "LD", "non-dropping-particle" : "", "parse-names" : false, "suffix" : "" }, { "dropping-particle" : "", "family" : "Weir", "given" : "G", "non-dropping-particle" : "", "parse-names" : false, "suffix" : "" }, { "dropping-particle" : "", "family" : "MacKinnon-Cameron", "given" : "D", "non-dropping-particle" : "", "parse-names" : false, "suffix" : "" }, { "dropping-particle" : "", "family" : "Ye", "given" : "L", "non-dropping-particle" : "", "parse-names" : false, "suffix" : "" }, { "dropping-particle" : "", "family" : "McNeil", "given" : "S", "non-dropping-particle" : "", "parse-names" : false, "suffix" : "" }, { "dropping-particle" : "", "family" : "Schepens", "given" : "B", "non-dropping-particle" : "", "parse-names" : false, "suffix" : "" }, { "dropping-particle" : "", "family" : "Saelens", "given" : "X", "non-dropping-particle" : "", "parse-names" : false, "suffix" : "" }, { "dropping-particle" : "", "family" : "Stanford", "given" : "M", "non-dropping-particle" : "", "parse-names" : false, "suffix" : "" }, { "dropping-particle" : "", "family" : "Halperin", "given" : "S", "non-dropping-particle" : "", "parse-names" : false, "suffix" : "" } ], "container-title" : "Poster presentation at RSV Vaccines for the World Meeting", "id" : "ITEM-1", "issued" : { "date-parts" : [ [ "2017" ] ] }, "publisher-place" : "Malaga, Spain", "title" : "A RSV vaccine based on the small hydrophobic ectodomain protein presented with a novel lipid-based adjuvant is highly immunogenic and safe in adults", "type" : "paper-conference" }, "uris" : [ "http://www.mendeley.com/documents/?uuid=4d34a4bc-2948-4ae3-948c-3c153af23fa4" ] } ], "mendeley" : { "formattedCitation" : "(145)", "plainTextFormattedCitation" : "(145)", "previouslyFormattedCitation" : "(144)"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(145)</w:t>
            </w:r>
            <w:r>
              <w:rPr>
                <w:rFonts w:ascii="Cambria" w:hAnsi="Cambria"/>
                <w:sz w:val="12"/>
                <w:szCs w:val="12"/>
              </w:rPr>
              <w:fldChar w:fldCharType="end"/>
            </w:r>
          </w:p>
        </w:tc>
      </w:tr>
      <w:tr w:rsidR="005510AF" w:rsidRPr="0073253E" w14:paraId="7F82C92C" w14:textId="77777777" w:rsidTr="003E0858">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35" w:type="dxa"/>
          </w:tcPr>
          <w:p w14:paraId="6730FDA2" w14:textId="24B64E40" w:rsidR="005510AF" w:rsidRPr="0073253E" w:rsidRDefault="005510AF" w:rsidP="00750479">
            <w:pPr>
              <w:jc w:val="center"/>
              <w:rPr>
                <w:rFonts w:ascii="Cambria" w:hAnsi="Cambria"/>
                <w:sz w:val="12"/>
                <w:szCs w:val="12"/>
              </w:rPr>
            </w:pPr>
            <w:r>
              <w:rPr>
                <w:rFonts w:ascii="Cambria" w:hAnsi="Cambria"/>
                <w:sz w:val="12"/>
                <w:szCs w:val="12"/>
              </w:rPr>
              <w:t>RSV F DS-Cav1</w:t>
            </w:r>
          </w:p>
        </w:tc>
        <w:tc>
          <w:tcPr>
            <w:tcW w:w="992" w:type="dxa"/>
            <w:gridSpan w:val="2"/>
          </w:tcPr>
          <w:p w14:paraId="713BC91A" w14:textId="2853F780"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NIH/NIAID/VRC</w:t>
            </w:r>
          </w:p>
        </w:tc>
        <w:tc>
          <w:tcPr>
            <w:tcW w:w="958" w:type="dxa"/>
          </w:tcPr>
          <w:p w14:paraId="5D7F27E3" w14:textId="3D8369F0"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Prefusion stabilitized trimeric RSVF expressed in CHO cell line</w:t>
            </w:r>
          </w:p>
        </w:tc>
        <w:tc>
          <w:tcPr>
            <w:tcW w:w="738" w:type="dxa"/>
          </w:tcPr>
          <w:p w14:paraId="722A08DA" w14:textId="68CA042C"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Pre-F</w:t>
            </w:r>
          </w:p>
        </w:tc>
        <w:tc>
          <w:tcPr>
            <w:tcW w:w="886" w:type="dxa"/>
          </w:tcPr>
          <w:p w14:paraId="51A287C8" w14:textId="19F483F7"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Alum/ TLR4 agonist (E)</w:t>
            </w:r>
          </w:p>
        </w:tc>
        <w:tc>
          <w:tcPr>
            <w:tcW w:w="941" w:type="dxa"/>
          </w:tcPr>
          <w:p w14:paraId="633FF5C5" w14:textId="11FDEED7" w:rsidR="005510AF" w:rsidRPr="0073253E" w:rsidRDefault="005510AF" w:rsidP="005A3260">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Pre-F antigen elicits highly neutralizing antibodies against pre-F epitopes</w:t>
            </w:r>
          </w:p>
        </w:tc>
        <w:tc>
          <w:tcPr>
            <w:tcW w:w="979" w:type="dxa"/>
          </w:tcPr>
          <w:p w14:paraId="27C478E9" w14:textId="00E4A90C"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M &amp; O</w:t>
            </w:r>
          </w:p>
        </w:tc>
        <w:tc>
          <w:tcPr>
            <w:tcW w:w="1088" w:type="dxa"/>
          </w:tcPr>
          <w:p w14:paraId="375F3D2A" w14:textId="40A727E1"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IM</w:t>
            </w:r>
          </w:p>
        </w:tc>
        <w:tc>
          <w:tcPr>
            <w:tcW w:w="738" w:type="dxa"/>
          </w:tcPr>
          <w:p w14:paraId="24662E5B" w14:textId="23CBBD36"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w:t>
            </w:r>
          </w:p>
        </w:tc>
        <w:tc>
          <w:tcPr>
            <w:tcW w:w="738" w:type="dxa"/>
          </w:tcPr>
          <w:p w14:paraId="7F0D13B9" w14:textId="0A7378BD"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Cotton rats, mice, calves</w:t>
            </w:r>
            <w:r>
              <w:rPr>
                <w:rFonts w:ascii="Cambria" w:hAnsi="Cambria"/>
                <w:sz w:val="12"/>
                <w:szCs w:val="12"/>
              </w:rPr>
              <w:fldChar w:fldCharType="begin" w:fldLock="1"/>
            </w:r>
            <w:r w:rsidR="00B707E2">
              <w:rPr>
                <w:rFonts w:ascii="Cambria" w:hAnsi="Cambria"/>
                <w:sz w:val="12"/>
                <w:szCs w:val="12"/>
              </w:rPr>
              <w:instrText>ADDIN CSL_CITATION { "citationItems" : [ { "id" : "ITEM-1", "itemData" : { "DOI" : "10.1371/journal.pone.0186854", "ISSN" : "1932-6203", "author" : [ { "dropping-particle" : "", "family" : "Sastry", "given" : "Mallika", "non-dropping-particle" : "", "parse-names" : false, "suffix" : "" }, { "dropping-particle" : "", "family" : "Zhang", "given" : "Baoshan", "non-dropping-particle" : "", "parse-names" : false, "suffix" : "" }, { "dropping-particle" : "", "family" : "Chen", "given" : "Man", "non-dropping-particle" : "", "parse-names" : false, "suffix" : "" }, { "dropping-particle" : "", "family" : "Joyce", "given" : "M. Gordon", "non-dropping-particle" : "", "parse-names" : false, "suffix" : "" }, { "dropping-particle" : "", "family" : "Kong", "given" : "Wing-Pui", "non-dropping-particle" : "", "parse-names" : false, "suffix" : "" }, { "dropping-particle" : "", "family" : "Chuang", "given" : "Gwo-Yu", "non-dropping-particle" : "", "parse-names" : false, "suffix" : "" }, { "dropping-particle" : "", "family" : "Ko", "given" : "Kiyoon", "non-dropping-particle" : "", "parse-names" : false, "suffix" : "" }, { "dropping-particle" : "", "family" : "Kumar", "given" : "Azad", "non-dropping-particle" : "", "parse-names" : false, "suffix" : "" }, { "dropping-particle" : "", "family" : "Silacci", "given" : "Chiara", "non-dropping-particle" : "", "parse-names" : false, "suffix" : "" }, { "dropping-particle" : "", "family" : "Thom", "given" : "Michelle", "non-dropping-particle" : "", "parse-names" : false, "suffix" : "" }, { "dropping-particle" : "", "family" : "Salazar", "given" : "Andres M.", "non-dropping-particle" : "", "parse-names" : false, "suffix" : "" }, { "dropping-particle" : "", "family" : "Corti", "given" : "Davide", "non-dropping-particle" : "", "parse-names" : false, "suffix" : "" }, { "dropping-particle" : "", "family" : "Lanzavecchia", "given" : "Antonio", "non-dropping-particle" : "", "parse-names" : false, "suffix" : "" }, { "dropping-particle" : "", "family" : "Taylor", "given" : "Geraldine", "non-dropping-particle" : "", "parse-names" : false, "suffix" : "" }, { "dropping-particle" : "", "family" : "Mascola", "given" : "John R.", "non-dropping-particle" : "", "parse-names" : false, "suffix" : "" }, { "dropping-particle" : "", "family" : "Graham", "given" : "Barney S.", "non-dropping-particle" : "", "parse-names" : false, "suffix" : "" }, { "dropping-particle" : "", "family" : "Kwong", "given" : "Peter D.", "non-dropping-particle" : "", "parse-names" : false, "suffix" : "" } ], "container-title" : "PLoS One", "id" : "ITEM-1", "issue" : "10", "issued" : { "date-parts" : [ [ "2017", "10", "26" ] ] }, "page" : "e0186854", "title" : "Adjuvants and the vaccine response to the DS-Cav1-stabilized fusion glycoprotein of respiratory syncytial virus", "type" : "article-journal", "volume" : "12" }, "uris" : [ "http://www.mendeley.com/documents/?uuid=18760360-3329-37c6-a01b-328c86e08fd9" ] } ], "mendeley" : { "formattedCitation" : "(146)", "plainTextFormattedCitation" : "(146)", "previouslyFormattedCitation" : "(145)"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(146)</w:t>
            </w:r>
            <w:r>
              <w:rPr>
                <w:rFonts w:ascii="Cambria" w:hAnsi="Cambria"/>
                <w:sz w:val="12"/>
                <w:szCs w:val="12"/>
              </w:rPr>
              <w:fldChar w:fldCharType="end"/>
            </w:r>
            <w:r>
              <w:rPr>
                <w:rFonts w:ascii="Cambria" w:hAnsi="Cambria"/>
                <w:sz w:val="12"/>
                <w:szCs w:val="12"/>
              </w:rPr>
              <w:t>, macaques</w:t>
            </w:r>
            <w:r>
              <w:rPr>
                <w:rFonts w:ascii="Cambria" w:hAnsi="Cambria"/>
                <w:sz w:val="12"/>
                <w:szCs w:val="12"/>
              </w:rPr>
              <w:fldChar w:fldCharType="begin" w:fldLock="1"/>
            </w:r>
            <w:r w:rsidR="00D83E6A">
              <w:rPr>
                <w:rFonts w:ascii="Cambria" w:hAnsi="Cambria"/>
                <w:sz w:val="12"/>
                <w:szCs w:val="12"/>
              </w:rPr>
              <w:instrText>ADDIN CSL_CITATION { "citationItems" : [ { "id" : "ITEM-1", "itemData" : { "DOI" : "10.1126/science.1243283", "ISSN" : "1095-9203", "PMID" : "24179220", "abstract" : "Respiratory syncytial virus (RSV) is the leading cause of hospitalization for children under 5 years of age. We sought to engineer a viral antigen that provides greater protection than currently available vaccines and focused on antigenic site \u00d8, a metastable site specific to the prefusion state of the RSV fusion (F) glycoprotein, as this site is targeted by extremely potent RSV-neutralizing antibodies. Structure-based design yielded stabilized versions of RSV F that maintained antigenic site \u00d8 when exposed to extremes of pH, osmolality, and temperature. Six RSV F crystal structures provided atomic-level data on how introduced cysteine residues and filled hydrophobic cavities improved stability. Immunization with site \u00d8-stabilized variants of RSV F in mice and macaques elicited levels of RSV-specific neutralizing activity many times the protective threshold.", "author" : [ { "dropping-particle" : "", "family" : "McLellan", "given" : "Jason S", "non-dropping-particle" : "", "parse-names" : false, "suffix" : "" }, { "dropping-particle" : "", "family" : "Chen", "given" : "Man", "non-dropping-particle" : "", "parse-names" : false, "suffix" : "" }, { "dropping-particle" : "", "family" : "Joyce", "given" : "M Gordon", "non-dropping-particle" : "", "parse-names" : false, "suffix" : "" }, { "dropping-particle" : "", "family" : "Sastry", "given" : "Mallika", "non-dropping-particle" : "", "parse-names" : false, "suffix" : "" }, { "dropping-particle" : "", "family" : "Stewart-Jones", "given" : "Guillaume B E", "non-dropping-particle" : "", "parse-names" : false, "suffix" : "" }, { "dropping-particle" : "", "family" : "Yang", "given" : "Yongping", "non-dropping-particle" : "", "parse-names" : false, "suffix" : "" }, { "dropping-particle" : "", "family" : "Zhang", "given" : "Baoshan", "non-dropping-particle" : "", "parse-names" : false, "suffix" : "" }, { "dropping-particle" : "", "family" : "Chen", "given" : "Lei", "non-dropping-particle" : "", "parse-names" : false, "suffix" : "" }, { "dropping-particle" : "", "family" : "Srivatsan", "given" : "Sanjay", "non-dropping-particle" : "", "parse-names" : false, "suffix" : "" }, { "dropping-particle" : "", "family" : "Zheng", "given" : "Anqi", "non-dropping-particle" : "", "parse-names" : false, "suffix" : "" }, { "dropping-particle" : "", "family" : "Zhou", "given" : "Tongqing", "non-dropping-particle" : "", "parse-names" : false, "suffix" : "" }, { "dropping-particle" : "", "family" : "Graepel", "given" : "Kevin W", "non-dropping-particle" : "", "parse-names" : false, "suffix" : "" }, { "dropping-particle" : "", "family" : "Kumar", "given" : "Azad", "non-dropping-particle" : "", "parse-names" : false, "suffix" : "" }, { "dropping-particle" : "", "family" : "Moin", "given" : "Syed", "non-dropping-particle" : "", "parse-names" : false, "suffix" : "" }, { "dropping-particle" : "", "family" : "Boyington", "given" : "Jeffrey C", "non-dropping-particle" : "", "parse-names" : false, "suffix" : "" }, { "dropping-particle" : "", "family" : "Chuang", "given" : "Gwo-Yu", "non-dropping-particle" : "", "parse-names" : false, "suffix" : "" }, { "dropping-particle" : "", "family" : "Soto", "given" : "Cinque", "non-dropping-particle" : "", "parse-names" : false, "suffix" : "" }, { "dropping-particle" : "", "family" : "Baxa", "given" : "Ulrich", "non-dropping-particle" : "", "parse-names" : false, "suffix" : "" }, { "dropping-particle" : "", "family" : "Bakker", "given" : "Arjen Q", "non-dropping-particle" : "", "parse-names" : false, "suffix" : "" }, { "dropping-particle" : "", "family" : "Spits", "given" : "Hergen", "non-dropping-particle" : "", "parse-names" : false, "suffix" : "" }, { "dropping-particle" : "", "family" : "Beaumont", "given" : "Tim", "non-dropping-particle" : "", "parse-names" : false, "suffix" : "" }, { "dropping-particle" : "", "family" : "Zheng", "given" : "Zizheng", "non-dropping-particle" : "", "parse-names" : false, "suffix" : "" }, { "dropping-particle" : "", "family" : "Xia", "given" : "Ningshao", "non-dropping-particle" : "", "parse-names" : false, "suffix" : "" }, { "dropping-particle" : "", "family" : "Ko", "given" : "Sung-Youl", "non-dropping-particle" : "", "parse-names" : false, "suffix" : "" }, { "dropping-particle" : "", "family" : "Todd", "given" : "John-Paul", "non-dropping-particle" : "", "parse-names" : false, "suffix" : "" }, { "dropping-particle" : "", "family" : "Rao", "given" : "Srinivas", "non-dropping-particle" : "", "parse-names" : false, "suffix" : "" }, { "dropping-particle" : "", "family" : "Graham", "given" : "Barney S", "non-dropping-particle" : "", "parse-names" : false, "suffix" : "" }, { "dropping-particle" : "", "family" : "Kwong", "given" : "Peter D", "non-dropping-particle" : "", "parse-names" : false, "suffix" : "" } ], "container-title" : "Science", "id" : "ITEM-1", "issue" : "6158", "issued" : { "date-parts" : [ [ "2013", "11", "1" ] ] }, "page" : "592-8", "title" : "Structure-based design of a fusion glycoprotein vaccine for respiratory syncytial virus.", "type" : "article-journal", "volume" : "342" }, "uris" : [ "http://www.mendeley.com/documents/?uuid=a49c379d-caab-30d7-9531-49c9a6cb3668" ] } ], "mendeley" : { "formattedCitation" : "(55)", "plainTextFormattedCitation" : "(55)", "previouslyFormattedCitation" : "(55)" }, "properties" : { "noteIndex" : 0 }, "schema" : "https://github.com/citation-style-language/schema/raw/master/csl-citation.json" }</w:instrText>
            </w:r>
            <w:r>
              <w:rPr>
                <w:rFonts w:ascii="Cambria" w:hAnsi="Cambria"/>
                <w:sz w:val="12"/>
                <w:szCs w:val="12"/>
              </w:rPr>
              <w:fldChar w:fldCharType="separate"/>
            </w:r>
            <w:r w:rsidR="00462954" w:rsidRPr="00462954">
              <w:rPr>
                <w:rFonts w:ascii="Cambria" w:hAnsi="Cambria"/>
                <w:noProof/>
                <w:sz w:val="12"/>
                <w:szCs w:val="12"/>
              </w:rPr>
              <w:t>(55)</w:t>
            </w:r>
            <w:r>
              <w:rPr>
                <w:rFonts w:ascii="Cambria" w:hAnsi="Cambria"/>
                <w:sz w:val="12"/>
                <w:szCs w:val="12"/>
              </w:rPr>
              <w:fldChar w:fldCharType="end"/>
            </w:r>
          </w:p>
        </w:tc>
        <w:tc>
          <w:tcPr>
            <w:tcW w:w="738" w:type="dxa"/>
          </w:tcPr>
          <w:p w14:paraId="62366555" w14:textId="314DFAC7" w:rsidR="005510AF" w:rsidRDefault="005510AF" w:rsidP="00483DF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Feb 2017- Jan 2020</w:t>
            </w:r>
          </w:p>
          <w:p w14:paraId="76BA4E19" w14:textId="179A8135" w:rsidR="005510AF" w:rsidRDefault="005510AF" w:rsidP="00483DF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483DFF">
              <w:rPr>
                <w:rFonts w:ascii="Cambria" w:hAnsi="Cambria"/>
                <w:sz w:val="12"/>
                <w:szCs w:val="12"/>
              </w:rPr>
              <w:t>NCT</w:t>
            </w:r>
            <w:r>
              <w:rPr>
                <w:rFonts w:ascii="Cambria" w:hAnsi="Cambria"/>
                <w:sz w:val="12"/>
                <w:szCs w:val="12"/>
              </w:rPr>
              <w:t>03049488</w:t>
            </w:r>
          </w:p>
          <w:p w14:paraId="6FAA1D66" w14:textId="0EA89A3E" w:rsidR="005510AF" w:rsidRPr="00483DFF" w:rsidRDefault="005510AF" w:rsidP="00483DFF">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(n=100)</w:t>
            </w:r>
          </w:p>
          <w:p w14:paraId="5BBA48C7" w14:textId="792BE7BD"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885" w:type="dxa"/>
          </w:tcPr>
          <w:p w14:paraId="1486CFF0" w14:textId="422583C9"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c>
          <w:tcPr>
            <w:tcW w:w="950" w:type="dxa"/>
            <w:gridSpan w:val="2"/>
          </w:tcPr>
          <w:p w14:paraId="12E3F545" w14:textId="343D933B" w:rsidR="005510AF" w:rsidRPr="0073253E"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08" w:type="dxa"/>
          </w:tcPr>
          <w:p w14:paraId="337F02A6" w14:textId="4309A1F2" w:rsidR="005510AF" w:rsidRDefault="005510AF" w:rsidP="009B6291">
            <w:pPr>
              <w:cnfStyle w:val="000000100000" w:firstRow="0" w:lastRow="0" w:firstColumn="0" w:lastColumn="0" w:oddVBand="0" w:evenVBand="0" w:oddHBand="1" w:evenHBand="0" w:firstRowFirstColumn="0" w:firstRowLastColumn="0" w:lastRowFirstColumn="0" w:lastRowLastColumn="0"/>
              <w:rPr>
                <w:rFonts w:ascii="Cambria" w:hAnsi="Cambria"/>
                <w:color w:val="auto"/>
                <w:sz w:val="12"/>
                <w:szCs w:val="12"/>
              </w:rPr>
            </w:pPr>
            <w:r>
              <w:rPr>
                <w:rFonts w:ascii="Cambria" w:hAnsi="Cambria"/>
                <w:sz w:val="12"/>
                <w:szCs w:val="12"/>
              </w:rPr>
              <w:t>Preclinical</w:t>
            </w:r>
            <w:r w:rsidR="0006036A">
              <w:rPr>
                <w:rFonts w:ascii="Cambria" w:hAnsi="Cambria"/>
                <w:sz w:val="12"/>
                <w:szCs w:val="12"/>
              </w:rPr>
              <w:t>:</w:t>
            </w:r>
            <w:r>
              <w:rPr>
                <w:rFonts w:ascii="Cambria" w:hAnsi="Cambria"/>
                <w:sz w:val="12"/>
                <w:szCs w:val="12"/>
              </w:rPr>
              <w:t xml:space="preserve"> </w:t>
            </w:r>
            <w:r w:rsidR="0006036A">
              <w:rPr>
                <w:rFonts w:ascii="Cambria" w:hAnsi="Cambria"/>
                <w:sz w:val="12"/>
                <w:szCs w:val="12"/>
              </w:rPr>
              <w:t>I</w:t>
            </w:r>
            <w:r>
              <w:rPr>
                <w:rFonts w:ascii="Cambria" w:hAnsi="Cambria"/>
                <w:sz w:val="12"/>
                <w:szCs w:val="12"/>
              </w:rPr>
              <w:t xml:space="preserve">nduction of high neutralizing Abs and differential adjuvant-induced </w:t>
            </w:r>
          </w:p>
          <w:p w14:paraId="479FF5C0" w14:textId="56212ED2" w:rsidR="005510AF" w:rsidRDefault="005510AF" w:rsidP="009B6291">
            <w:pPr>
              <w:ind w:left="2160" w:hanging="2160"/>
              <w:cnfStyle w:val="000000100000" w:firstRow="0" w:lastRow="0" w:firstColumn="0" w:lastColumn="0" w:oddVBand="0" w:evenVBand="0" w:oddHBand="1" w:evenHBand="0" w:firstRowFirstColumn="0" w:firstRowLastColumn="0" w:lastRowFirstColumn="0" w:lastRowLastColumn="0"/>
              <w:rPr>
                <w:rFonts w:ascii="Cambria" w:hAnsi="Cambria"/>
                <w:color w:val="auto"/>
                <w:sz w:val="12"/>
                <w:szCs w:val="12"/>
              </w:rPr>
            </w:pPr>
            <w:r>
              <w:rPr>
                <w:rFonts w:ascii="Cambria" w:hAnsi="Cambria"/>
                <w:sz w:val="12"/>
                <w:szCs w:val="12"/>
              </w:rPr>
              <w:t>enhancement</w:t>
            </w:r>
            <w:r>
              <w:rPr>
                <w:rFonts w:ascii="Cambria" w:hAnsi="Cambria"/>
                <w:sz w:val="12"/>
                <w:szCs w:val="12"/>
              </w:rPr>
              <w:fldChar w:fldCharType="begin" w:fldLock="1"/>
            </w:r>
            <w:r w:rsidR="00B707E2">
              <w:rPr>
                <w:rFonts w:ascii="Cambria" w:hAnsi="Cambria"/>
                <w:sz w:val="12"/>
                <w:szCs w:val="12"/>
              </w:rPr>
              <w:instrText>ADDIN CSL_CITATION { "citationItems" : [ { "id" : "ITEM-1", "itemData" : { "DOI" : "10.1371/journal.pone.0186854", "ISSN" : "1932-6203", "author" : [ { "dropping-particle" : "", "family" : "Sastry", "given" : "Mallika", "non-dropping-particle" : "", "parse-names" : false, "suffix" : "" }, { "dropping-particle" : "", "family" : "Zhang", "given" : "Baoshan", "non-dropping-particle" : "", "parse-names" : false, "suffix" : "" }, { "dropping-particle" : "", "family" : "Chen", "given" : "Man", "non-dropping-particle" : "", "parse-names" : false, "suffix" : "" }, { "dropping-particle" : "", "family" : "Joyce", "given" : "M. Gordon", "non-dropping-particle" : "", "parse-names" : false, "suffix" : "" }, { "dropping-particle" : "", "family" : "Kong", "given" : "Wing-Pui", "non-dropping-particle" : "", "parse-names" : false, "suffix" : "" }, { "dropping-particle" : "", "family" : "Chuang", "given" : "Gwo-Yu", "non-dropping-particle" : "", "parse-names" : false, "suffix" : "" }, { "dropping-particle" : "", "family" : "Ko", "given" : "Kiyoon", "non-dropping-particle" : "", "parse-names" : false, "suffix" : "" }, { "dropping-particle" : "", "family" : "Kumar", "given" : "Azad", "non-dropping-particle" : "", "parse-names" : false, "suffix" : "" }, { "dropping-particle" : "", "family" : "Silacci", "given" : "Chiara", "non-dropping-particle" : "", "parse-names" : false, "suffix" : "" }, { "dropping-particle" : "", "family" : "Thom", "given" : "Michelle", "non-dropping-particle" : "", "parse-names" : false, "suffix" : "" }, { "dropping-particle" : "", "family" : "Salazar", "given" : "Andres M.", "non-dropping-particle" : "", "parse-names" : false, "suffix" : "" }, { "dropping-particle" : "", "family" : "Corti", "given" : "Davide", "non-dropping-particle" : "", "parse-names" : false, "suffix" : "" }, { "dropping-particle" : "", "family" : "Lanzavecchia", "given" : "Antonio", "non-dropping-particle" : "", "parse-names" : false, "suffix" : "" }, { "dropping-particle" : "", "family" : "Taylor", "given" : "Geraldine", "non-dropping-particle" : "", "parse-names" : false, "suffix" : "" }, { "dropping-particle" : "", "family" : "Mascola", "given" : "John R.", "non-dropping-particle" : "", "parse-names" : false, "suffix" : "" }, { "dropping-particle" : "", "family" : "Graham", "given" : "Barney S.", "non-dropping-particle" : "", "parse-names" : false, "suffix" : "" }, { "dropping-particle" : "", "family" : "Kwong", "given" : "Peter D.", "non-dropping-particle" : "", "parse-names" : false, "suffix" : "" } ], "container-title" : "PLoS One", "id" : "ITEM-1", "issue" : "10", "issued" : { "date-parts" : [ [ "2017", "10", "26" ] ] }, "page" : "e0186854", "title" : "Adjuvants and the vaccine response to the DS-Cav1-stabilized fusion glycoprotein of respiratory syncytial virus", "type" : "article-journal", "volume" : "12" }, "uris" : [ "http://www.mendeley.com/documents/?uuid=18760360-3329-37c6-a01b-328c86e08fd9" ] } ], "mendeley" : { "formattedCitation" : "(146)", "plainTextFormattedCitation" : "(146)", "previouslyFormattedCitation" : "(145)"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(146)</w:t>
            </w:r>
            <w:r>
              <w:rPr>
                <w:rFonts w:ascii="Cambria" w:hAnsi="Cambria"/>
                <w:sz w:val="12"/>
                <w:szCs w:val="12"/>
              </w:rPr>
              <w:fldChar w:fldCharType="end"/>
            </w:r>
          </w:p>
          <w:p w14:paraId="5EA3A8FB" w14:textId="77777777" w:rsidR="005510AF" w:rsidRDefault="005510AF" w:rsidP="00823F3D">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6D469A2D" w14:textId="639690B6" w:rsidR="005510AF" w:rsidRDefault="005510AF" w:rsidP="009B6291">
            <w:pPr>
              <w:ind w:left="2160" w:hanging="2160"/>
              <w:cnfStyle w:val="000000100000" w:firstRow="0" w:lastRow="0" w:firstColumn="0" w:lastColumn="0" w:oddVBand="0" w:evenVBand="0" w:oddHBand="1" w:evenHBand="0" w:firstRowFirstColumn="0" w:firstRowLastColumn="0" w:lastRowFirstColumn="0" w:lastRowLastColumn="0"/>
              <w:rPr>
                <w:rFonts w:ascii="Cambria" w:hAnsi="Cambria"/>
                <w:color w:val="auto"/>
                <w:sz w:val="12"/>
                <w:szCs w:val="12"/>
              </w:rPr>
            </w:pPr>
            <w:r>
              <w:rPr>
                <w:rFonts w:ascii="Cambria" w:hAnsi="Cambria"/>
                <w:sz w:val="12"/>
                <w:szCs w:val="12"/>
              </w:rPr>
              <w:t xml:space="preserve">Immunization of mice and </w:t>
            </w:r>
          </w:p>
          <w:p w14:paraId="27704D9E" w14:textId="505D59D5" w:rsidR="005510AF" w:rsidRDefault="005510AF" w:rsidP="009B6291">
            <w:pPr>
              <w:ind w:left="2160" w:hanging="2160"/>
              <w:cnfStyle w:val="000000100000" w:firstRow="0" w:lastRow="0" w:firstColumn="0" w:lastColumn="0" w:oddVBand="0" w:evenVBand="0" w:oddHBand="1" w:evenHBand="0" w:firstRowFirstColumn="0" w:firstRowLastColumn="0" w:lastRowFirstColumn="0" w:lastRowLastColumn="0"/>
              <w:rPr>
                <w:rFonts w:ascii="Cambria" w:hAnsi="Cambria"/>
                <w:color w:val="auto"/>
                <w:sz w:val="12"/>
                <w:szCs w:val="12"/>
              </w:rPr>
            </w:pPr>
            <w:r>
              <w:rPr>
                <w:rFonts w:ascii="Cambria" w:hAnsi="Cambria"/>
                <w:sz w:val="12"/>
                <w:szCs w:val="12"/>
              </w:rPr>
              <w:t>macaques induces RSV-</w:t>
            </w:r>
          </w:p>
          <w:p w14:paraId="51E8D39F" w14:textId="0923D8B4" w:rsidR="005510AF" w:rsidRDefault="005510AF" w:rsidP="009B6291">
            <w:pPr>
              <w:ind w:left="2160" w:hanging="2160"/>
              <w:cnfStyle w:val="000000100000" w:firstRow="0" w:lastRow="0" w:firstColumn="0" w:lastColumn="0" w:oddVBand="0" w:evenVBand="0" w:oddHBand="1" w:evenHBand="0" w:firstRowFirstColumn="0" w:firstRowLastColumn="0" w:lastRowFirstColumn="0" w:lastRowLastColumn="0"/>
              <w:rPr>
                <w:rFonts w:ascii="Cambria" w:hAnsi="Cambria"/>
                <w:color w:val="auto"/>
                <w:sz w:val="12"/>
                <w:szCs w:val="12"/>
              </w:rPr>
            </w:pPr>
            <w:r>
              <w:rPr>
                <w:rFonts w:ascii="Cambria" w:hAnsi="Cambria"/>
                <w:sz w:val="12"/>
                <w:szCs w:val="12"/>
              </w:rPr>
              <w:t>neutralizing Ab many times</w:t>
            </w:r>
          </w:p>
          <w:p w14:paraId="1A795712" w14:textId="7E9B7BAB" w:rsidR="005510AF" w:rsidRPr="0073253E" w:rsidRDefault="005510AF" w:rsidP="009B6291">
            <w:pPr>
              <w:ind w:left="2160" w:hanging="2160"/>
              <w:cnfStyle w:val="000000100000" w:firstRow="0" w:lastRow="0" w:firstColumn="0" w:lastColumn="0" w:oddVBand="0" w:evenVBand="0" w:oddHBand="1" w:evenHBand="0" w:firstRowFirstColumn="0" w:firstRowLastColumn="0" w:lastRowFirstColumn="0" w:lastRowLastColumn="0"/>
              <w:rPr>
                <w:rFonts w:ascii="Cambria" w:hAnsi="Cambria"/>
                <w:color w:val="auto"/>
                <w:sz w:val="12"/>
                <w:szCs w:val="12"/>
              </w:rPr>
            </w:pPr>
            <w:r>
              <w:rPr>
                <w:rFonts w:ascii="Cambria" w:hAnsi="Cambria"/>
                <w:sz w:val="12"/>
                <w:szCs w:val="12"/>
              </w:rPr>
              <w:t>Protective threshold</w:t>
            </w:r>
            <w:r>
              <w:rPr>
                <w:rFonts w:ascii="Cambria" w:hAnsi="Cambria"/>
                <w:sz w:val="12"/>
                <w:szCs w:val="12"/>
              </w:rPr>
              <w:fldChar w:fldCharType="begin" w:fldLock="1"/>
            </w:r>
            <w:r w:rsidR="00D83E6A">
              <w:rPr>
                <w:rFonts w:ascii="Cambria" w:hAnsi="Cambria"/>
                <w:sz w:val="12"/>
                <w:szCs w:val="12"/>
              </w:rPr>
              <w:instrText>ADDIN CSL_CITATION { "citationItems" : [ { "id" : "ITEM-1", "itemData" : { "DOI" : "10.1126/science.1243283", "ISSN" : "1095-9203", "PMID" : "24179220", "abstract" : "Respiratory syncytial virus (RSV) is the leading cause of hospitalization for children under 5 years of age. We sought to engineer a viral antigen that provides greater protection than currently available vaccines and focused on antigenic site \u00d8, a metastable site specific to the prefusion state of the RSV fusion (F) glycoprotein, as this site is targeted by extremely potent RSV-neutralizing antibodies. Structure-based design yielded stabilized versions of RSV F that maintained antigenic site \u00d8 when exposed to extremes of pH, osmolality, and temperature. Six RSV F crystal structures provided atomic-level data on how introduced cysteine residues and filled hydrophobic cavities improved stability. Immunization with site \u00d8-stabilized variants of RSV F in mice and macaques elicited levels of RSV-specific neutralizing activity many times the protective threshold.", "author" : [ { "dropping-particle" : "", "family" : "McLellan", "given" : "Jason S", "non-dropping-particle" : "", "parse-names" : false, "suffix" : "" }, { "dropping-particle" : "", "family" : "Chen", "given" : "Man", "non-dropping-particle" : "", "parse-names" : false, "suffix" : "" }, { "dropping-particle" : "", "family" : "Joyce", "given" : "M Gordon", "non-dropping-particle" : "", "parse-names" : false, "suffix" : "" }, { "dropping-particle" : "", "family" : "Sastry", "given" : "Mallika", "non-dropping-particle" : "", "parse-names" : false, "suffix" : "" }, { "dropping-particle" : "", "family" : "Stewart-Jones", "given" : "Guillaume B E", "non-dropping-particle" : "", "parse-names" : false, "suffix" : "" }, { "dropping-particle" : "", "family" : "Yang", "given" : "Yongping", "non-dropping-particle" : "", "parse-names" : false, "suffix" : "" }, { "dropping-particle" : "", "family" : "Zhang", "given" : "Baoshan", "non-dropping-particle" : "", "parse-names" : false, "suffix" : "" }, { "dropping-particle" : "", "family" : "Chen", "given" : "Lei", "non-dropping-particle" : "", "parse-names" : false, "suffix" : "" }, { "dropping-particle" : "", "family" : "Srivatsan", "given" : "Sanjay", "non-dropping-particle" : "", "parse-names" : false, "suffix" : "" }, { "dropping-particle" : "", "family" : "Zheng", "given" : "Anqi", "non-dropping-particle" : "", "parse-names" : false, "suffix" : "" }, { "dropping-particle" : "", "family" : "Zhou", "given" : "Tongqing", "non-dropping-particle" : "", "parse-names" : false, "suffix" : "" }, { "dropping-particle" : "", "family" : "Graepel", "given" : "Kevin W", "non-dropping-particle" : "", "parse-names" : false, "suffix" : "" }, { "dropping-particle" : "", "family" : "Kumar", "given" : "Azad", "non-dropping-particle" : "", "parse-names" : false, "suffix" : "" }, { "dropping-particle" : "", "family" : "Moin", "given" : "Syed", "non-dropping-particle" : "", "parse-names" : false, "suffix" : "" }, { "dropping-particle" : "", "family" : "Boyington", "given" : "Jeffrey C", "non-dropping-particle" : "", "parse-names" : false, "suffix" : "" }, { "dropping-particle" : "", "family" : "Chuang", "given" : "Gwo-Yu", "non-dropping-particle" : "", "parse-names" : false, "suffix" : "" }, { "dropping-particle" : "", "family" : "Soto", "given" : "Cinque", "non-dropping-particle" : "", "parse-names" : false, "suffix" : "" }, { "dropping-particle" : "", "family" : "Baxa", "given" : "Ulrich", "non-dropping-particle" : "", "parse-names" : false, "suffix" : "" }, { "dropping-particle" : "", "family" : "Bakker", "given" : "Arjen Q", "non-dropping-particle" : "", "parse-names" : false, "suffix" : "" }, { "dropping-particle" : "", "family" : "Spits", "given" : "Hergen", "non-dropping-particle" : "", "parse-names" : false, "suffix" : "" }, { "dropping-particle" : "", "family" : "Beaumont", "given" : "Tim", "non-dropping-particle" : "", "parse-names" : false, "suffix" : "" }, { "dropping-particle" : "", "family" : "Zheng", "given" : "Zizheng", "non-dropping-particle" : "", "parse-names" : false, "suffix" : "" }, { "dropping-particle" : "", "family" : "Xia", "given" : "Ningshao", "non-dropping-particle" : "", "parse-names" : false, "suffix" : "" }, { "dropping-particle" : "", "family" : "Ko", "given" : "Sung-Youl", "non-dropping-particle" : "", "parse-names" : false, "suffix" : "" }, { "dropping-particle" : "", "family" : "Todd", "given" : "John-Paul", "non-dropping-particle" : "", "parse-names" : false, "suffix" : "" }, { "dropping-particle" : "", "family" : "Rao", "given" : "Srinivas", "non-dropping-particle" : "", "parse-names" : false, "suffix" : "" }, { "dropping-particle" : "", "family" : "Graham", "given" : "Barney S", "non-dropping-particle" : "", "parse-names" : false, "suffix" : "" }, { "dropping-particle" : "", "family" : "Kwong", "given" : "Peter D", "non-dropping-particle" : "", "parse-names" : false, "suffix" : "" } ], "container-title" : "Science", "id" : "ITEM-1", "issue" : "6158", "issued" : { "date-parts" : [ [ "2013", "11", "1" ] ] }, "page" : "592-8", "title" : "Structure-based design of a fusion glycoprotein vaccine for respiratory syncytial virus.", "type" : "article-journal", "volume" : "342" }, "uris" : [ "http://www.mendeley.com/documents/?uuid=a49c379d-caab-30d7-9531-49c9a6cb3668" ] } ], "mendeley" : { "formattedCitation" : "(55)", "plainTextFormattedCitation" : "(55)", "previouslyFormattedCitation" : "(55)" }, "properties" : { "noteIndex" : 0 }, "schema" : "https://github.com/citation-style-language/schema/raw/master/csl-citation.json" }</w:instrText>
            </w:r>
            <w:r>
              <w:rPr>
                <w:rFonts w:ascii="Cambria" w:hAnsi="Cambria"/>
                <w:sz w:val="12"/>
                <w:szCs w:val="12"/>
              </w:rPr>
              <w:fldChar w:fldCharType="separate"/>
            </w:r>
            <w:r w:rsidR="00462954" w:rsidRPr="00462954">
              <w:rPr>
                <w:rFonts w:ascii="Cambria" w:hAnsi="Cambria"/>
                <w:noProof/>
                <w:sz w:val="12"/>
                <w:szCs w:val="12"/>
              </w:rPr>
              <w:t>(55)</w:t>
            </w:r>
            <w:r>
              <w:rPr>
                <w:rFonts w:ascii="Cambria" w:hAnsi="Cambria"/>
                <w:sz w:val="12"/>
                <w:szCs w:val="12"/>
              </w:rPr>
              <w:fldChar w:fldCharType="end"/>
            </w:r>
          </w:p>
        </w:tc>
      </w:tr>
      <w:tr w:rsidR="005510AF" w:rsidRPr="0073253E" w14:paraId="1F2E9AB1" w14:textId="77777777" w:rsidTr="000270CD">
        <w:trPr>
          <w:trHeight w:val="302"/>
        </w:trPr>
        <w:tc>
          <w:tcPr>
            <w:cnfStyle w:val="001000000000" w:firstRow="0" w:lastRow="0" w:firstColumn="1" w:lastColumn="0" w:oddVBand="0" w:evenVBand="0" w:oddHBand="0" w:evenHBand="0" w:firstRowFirstColumn="0" w:firstRowLastColumn="0" w:lastRowFirstColumn="0" w:lastRowLastColumn="0"/>
            <w:tcW w:w="13574" w:type="dxa"/>
            <w:gridSpan w:val="16"/>
          </w:tcPr>
          <w:p w14:paraId="72F4BAD0" w14:textId="6C0B6E73" w:rsidR="005510AF" w:rsidRPr="0073253E" w:rsidRDefault="005510AF" w:rsidP="0094600D">
            <w:pPr>
              <w:ind w:left="2160" w:hanging="2160"/>
              <w:rPr>
                <w:rFonts w:ascii="Cambria" w:hAnsi="Cambria"/>
                <w:sz w:val="12"/>
                <w:szCs w:val="12"/>
              </w:rPr>
            </w:pPr>
            <w:r>
              <w:rPr>
                <w:rFonts w:ascii="Cambria" w:hAnsi="Cambria"/>
                <w:sz w:val="12"/>
                <w:szCs w:val="12"/>
              </w:rPr>
              <w:t>LIVE-ATTENUATED/CHIMERIC</w:t>
            </w:r>
          </w:p>
        </w:tc>
      </w:tr>
      <w:tr w:rsidR="005510AF" w:rsidRPr="0073253E" w14:paraId="2D80D03B" w14:textId="77777777" w:rsidTr="003E0858">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35" w:type="dxa"/>
          </w:tcPr>
          <w:p w14:paraId="7475A3A0" w14:textId="449BDAC5" w:rsidR="005510AF" w:rsidRPr="0073253E" w:rsidRDefault="005510AF" w:rsidP="007F7002">
            <w:pPr>
              <w:jc w:val="center"/>
              <w:rPr>
                <w:rFonts w:ascii="Cambria" w:hAnsi="Cambria"/>
                <w:sz w:val="12"/>
                <w:szCs w:val="12"/>
              </w:rPr>
            </w:pPr>
            <w:r>
              <w:rPr>
                <w:rFonts w:ascii="Cambria" w:hAnsi="Cambria"/>
                <w:sz w:val="12"/>
                <w:szCs w:val="12"/>
              </w:rPr>
              <w:t>rBCG-N-hRSV</w:t>
            </w:r>
          </w:p>
        </w:tc>
        <w:tc>
          <w:tcPr>
            <w:tcW w:w="992" w:type="dxa"/>
            <w:gridSpan w:val="2"/>
          </w:tcPr>
          <w:p w14:paraId="74904C53" w14:textId="64FC8AEE"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Pontificia Universidad Catolica de Chile</w:t>
            </w:r>
          </w:p>
        </w:tc>
        <w:tc>
          <w:tcPr>
            <w:tcW w:w="958" w:type="dxa"/>
          </w:tcPr>
          <w:p w14:paraId="601332AD" w14:textId="1621151C"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Recombinant BCG expressing N antigen</w:t>
            </w:r>
          </w:p>
        </w:tc>
        <w:tc>
          <w:tcPr>
            <w:tcW w:w="738" w:type="dxa"/>
          </w:tcPr>
          <w:p w14:paraId="5B8BF2EF" w14:textId="0E3385C0"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w:t>
            </w:r>
          </w:p>
        </w:tc>
        <w:tc>
          <w:tcPr>
            <w:tcW w:w="886" w:type="dxa"/>
          </w:tcPr>
          <w:p w14:paraId="22F39DBB" w14:textId="6389EC79"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none</w:t>
            </w:r>
          </w:p>
        </w:tc>
        <w:tc>
          <w:tcPr>
            <w:tcW w:w="941" w:type="dxa"/>
          </w:tcPr>
          <w:p w14:paraId="76F6DFC7" w14:textId="4E50DD22"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Paired BCG and RSV vaccine induces Th1 response</w:t>
            </w:r>
          </w:p>
        </w:tc>
        <w:tc>
          <w:tcPr>
            <w:tcW w:w="979" w:type="dxa"/>
          </w:tcPr>
          <w:p w14:paraId="77F3D51E" w14:textId="1D09A533"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w:t>
            </w:r>
          </w:p>
        </w:tc>
        <w:tc>
          <w:tcPr>
            <w:tcW w:w="1088" w:type="dxa"/>
          </w:tcPr>
          <w:p w14:paraId="6043DB9A" w14:textId="0EEC6124"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ID</w:t>
            </w:r>
          </w:p>
        </w:tc>
        <w:tc>
          <w:tcPr>
            <w:tcW w:w="738" w:type="dxa"/>
          </w:tcPr>
          <w:p w14:paraId="0CB4E344" w14:textId="7AC83134"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w:t>
            </w:r>
          </w:p>
        </w:tc>
        <w:tc>
          <w:tcPr>
            <w:tcW w:w="738" w:type="dxa"/>
          </w:tcPr>
          <w:p w14:paraId="508AA3D2" w14:textId="20D44A7E"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Mice</w:t>
            </w:r>
          </w:p>
          <w:p w14:paraId="127F5AB2" w14:textId="2D0FB379"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fldChar w:fldCharType="begin" w:fldLock="1"/>
            </w:r>
            <w:r w:rsidR="00B707E2">
              <w:rPr>
                <w:rFonts w:ascii="Cambria" w:hAnsi="Cambria"/>
                <w:sz w:val="12"/>
                <w:szCs w:val="12"/>
              </w:rPr>
              <w:instrText>ADDIN CSL_CITATION { "citationItems" : [ { "id" : "ITEM-1", "itemData" : { "DOI" : "10.1073/pnas.0806244105", "ISSN" : "0027-8424", "PMID" : "19075247", "abstract" : "Respiratory syncytial virus (RSV) is one of the leading causes of childhood hospitalization and a major health burden worldwide. Unfortunately, because of an inefficient immunological memory, RSV infection provides limited immune protection against reinfection. Furthermore, RSV can induce an inadequate Th2-type immune response that causes severe respiratory tract inflammation and obstruction. It is thought that effective RSV clearance requires the induction of balanced Th1-type immunity, involving the activation of IFN-gamma-secreting cytotoxic T cells. A recognized inducer of Th1 immunity is Mycobacterium bovis bacillus Calmette-Gu\u00e9rin (BCG), which has been used in newborns for decades in several countries as a tuberculosis vaccine. Here, we show that immunization with recombinant BCG strains expressing RSV antigens promotes protective Th1-type immunity against RSV in mice. Activation of RSV-specific T cells producing IFN-gamma and IL-2 was efficiently obtained after immunization with recombinant BCG. This type of T cell immunity was protective against RSV challenge and caused a significant reduction of inflammatory cell infiltration in the airways. Furthermore, mice immunized with recombinant BCG showed no weight loss and reduced lung viral loads. These data strongly support recombinant BCG as an efficient vaccine against RSV because of its capacity to promote protective Th1 immunity.", "author" : [ { "dropping-particle" : "", "family" : "Bueno", "given" : "S. M.", "non-dropping-particle" : "", "parse-names" : false, "suffix" : "" }, { "dropping-particle" : "", "family" : "Gonzalez", "given" : "P. A.", "non-dropping-particle" : "", "parse-names" : false, "suffix" : "" }, { "dropping-particle" : "", "family" : "Cautivo", "given" : "K. M.", "non-dropping-particle" : "", "parse-names" : false, "suffix" : "" }, { "dropping-particle" : "", "family" : "Mora", "given" : "J. E.", "non-dropping-particle" : "", "parse-names" : false, "suffix" : "" }, { "dropping-particle" : "", "family" : "Leiva", "given" : "E. D.", "non-dropping-particle" : "", "parse-names" : false, "suffix" : "" }, { "dropping-particle" : "", "family" : "Tobar", "given" : "H. E.", "non-dropping-particle" : "", "parse-names" : false, "suffix" : "" }, { "dropping-particle" : "", "family" : "Fennelly", "given" : "G. J.", "non-dropping-particle" : "", "parse-names" : false, "suffix" : "" }, { "dropping-particle" : "", "family" : "Eugenin", "given" : "E. A.", "non-dropping-particle" : "", "parse-names" : false, "suffix" : "" }, { "dropping-particle" : "", "family" : "Jacobs", "given" : "W. R.", "non-dropping-particle" : "", "parse-names" : false, "suffix" : "" }, { "dropping-particle" : "", "family" : "Riedel", "given" : "C. A.", "non-dropping-particle" : "", "parse-names" : false, "suffix" : "" }, { "dropping-particle" : "", "family" : "Kalergis", "given" : "A. M.", "non-dropping-particle" : "", "parse-names" : false, "suffix" : "" } ], "container-title" : "Proceedings of the National Academy of Sciences", "id" : "ITEM-1", "issue" : "52", "issued" : { "date-parts" : [ [ "2008", "12", "30" ] ] }, "page" : "20822-20827", "title" : "Protective T cell immunity against respiratory syncytial virus is efficiently induced by recombinant BCG", "type" : "article-journal", "volume" : "105" }, "uris" : [ "http://www.mendeley.com/documents/?uuid=227c1202-1475-358e-acf0-f7b1264c4187" ] }, { "id" : "ITEM-2", "itemData" : { "DOI" : "10.4049/jimmunol.0903452", "ISSN" : "1550-6606", "PMID" : "21084664", "abstract" : "Infection by the respiratory syncytial virus (RSV) can cause extensive inflammation and lung damage in susceptible hosts due to a Th2-biased immune response. Such a deleterious inflammatory response can be enhanced by immunization with formalin- or UV-inactivated RSV, as well as with vaccinia virus expressing the RSV-G protein. Recently, we have shown that vaccination with rBCG-expressing RSV Ags can prevent the disease in the mouse. To further understand the immunological mechanisms responsible for protection against RSV, we have characterized the T cell populations contributing to virus clearance in mice immunized with this BCG-based vaccine. We found that both CD4(+) and CD8(+) T cells were recruited significantly earlier to the lungs of infected mice that were previously vaccinated. Furthermore, we observed that simultaneous adoptive transfer of CD8(+) and CD4(+) RSV-specific T cells from vaccinated mice was required to confer protection against virus infection in naive recipients. In addition, CD4(+) T cells induced by vaccination released IFN-\u03b3 after RSV challenge, indicating that protection is mediated by a Th1 immune response. These data suggest that vaccination with rBCG-expressing RSV Ags can induce a specific effector/memory Th1 immune response consisting on CD4(+) and CD8(+) T cells, both necessary for a fully protective response against RSV. These results support the notion that an effective induction of Th1 T cell immunity against RSV during childhood could counteract the unbalanced Th2-like immune response triggered by the natural RSV infection.", "author" : [ { "dropping-particle" : "", "family" : "Cautivo", "given" : "Kelly M", "non-dropping-particle" : "", "parse-names" : false, "suffix" : "" }, { "dropping-particle" : "", "family" : "Bueno", "given" : "Susan M", "non-dropping-particle" : "", "parse-names" : false, "suffix" : "" }, { "dropping-particle" : "", "family" : "Cortes", "given" : "Claudia M", "non-dropping-particle" : "", "parse-names" : false, "suffix" : "" }, { "dropping-particle" : "", "family" : "Wozniak", "given" : "Aniela", "non-dropping-particle" : "", "parse-names" : false, "suffix" : "" }, { "dropping-particle" : "", "family" : "Riedel", "given" : "Claudia A", "non-dropping-particle" : "", "parse-names" : false, "suffix" : "" }, { "dropping-particle" : "", "family" : "Kalergis", "given" : "Alexis M", "non-dropping-particle" : "", "parse-names" : false, "suffix" : "" } ], "container-title" : "Journal of immunology (Baltimore, Md. : 1950)", "id" : "ITEM-2", "issue" : "12", "issued" : { "date-parts" : [ [ "2010", "12", "15" ] ] }, "page" : "7633-45", "title" : "Efficient lung recruitment of respiratory syncytial virus-specific Th1 cells induced by recombinant bacillus Calmette-Gu\u00e9rin promotes virus clearance and protects from infection.", "type" : "article-journal", "volume" : "185" }, "uris" : [ "http://www.mendeley.com/documents/?uuid=b13e0614-cac4-3fc8-9369-2d5aad7134fd" ] }, { "id" : "ITEM-3", "itemData" : { "DOI" : "10.1016/j.vaccine.2016.12.048", "ISSN" : "0264410X", "PMID" : "28065474", "abstract" : "Human respiratory syncytial virus (hRSV) is a major health burden worldwide, causing the majority of hospitalizations in children under two years old due to bronchiolitis and pneumonia. HRSV causes year-to-year outbreaks of disease, which also affects the elderly and immunocompromised adults. Furthermore, both hRSV morbidity and epidemics are explained by a consistently high rate of re-infections that take place throughout the patient life. Although significant efforts have been invested worldwide, currently there are no licensed vaccines to prevent hRSV infection. Here, we describe that a recombinant Bacillus Calmette-Guerin (BCG) vaccine expressing the nucleoprotein (N) of hRSV formulated under current good manufacture practices (cGMP rBCG-N-hRSV) confers protective immunity to the virus in mice. Our results show that a single dose of the GMP rBCG-N-hRSV vaccine retains its capacity to protect mice against a challenge with a disease-causing infection of 1\u00d7107 plaque-forming units (PFUs) of the hRSV A2 clinical strain 13018-8. Compared to unimmunized infected controls, vaccinated mice displayed reduced weight loss and less infiltration of neutrophils within the airways, as well as reduced viral loads in bronchoalveolar lavages, parameters that are characteristic of hRSV infection in mice. Also, ex vivo re-stimulation of splenic T cells at 28days post-immunization activated a repertoire of T cells secreting IFN-\u03b3 and IL-17, which further suggest that the rBCG-N-hRSV vaccine induced a mixed, CD8+ and CD4+ T cell response capable of both restraining viral spread and preventing damage of the lungs. All these features support the notion that rBCG-N-hRSV is a promising candidate vaccine to be used in humans to prevent the disease caused by hRSV in the susceptible population.", "author" : [ { "dropping-particle" : "", "family" : "C\u00e9spedes", "given" : "Pablo F.", "non-dropping-particle" : "", "parse-names" : false, "suffix" : "" }, { "dropping-particle" : "", "family" : "Rey-Jurado", "given" : "Emma", "non-dropping-particle" : "", "parse-names" : false, "suffix" : "" }, { "dropping-particle" : "", "family" : "Espinoza", "given" : "Janyra A.", "non-dropping-particle" : "", "parse-names" : false, "suffix" : "" }, { "dropping-particle" : "", "family" : "Rivera", "given" : "Claudia A.", "non-dropping-particle" : "", "parse-names" : false, "suffix" : "" }, { "dropping-particle" : "", "family" : "Canedo-Marroqu\u00edn", "given" : "Gisela", "non-dropping-particle" : "", "parse-names" : false, "suffix" : "" }, { "dropping-particle" : "", "family" : "Bueno", "given" : "Susan M.", "non-dropping-particle" : "", "parse-names" : false, "suffix" : "" }, { "dropping-particle" : "", "family" : "Kalergis", "given" : "Alexis M.", "non-dropping-particle" : "", "parse-names" : false, "suffix" : "" } ], "container-title" : "Vaccine", "id" : "ITEM-3", "issue" : "5", "issued" : { "date-parts" : [ [ "2017", "2", "1" ] ] }, "page" : "757-766", "title" : "A single, low dose of a cGMP recombinant BCG vaccine elicits protective T cell immunity against the human respiratory syncytial virus infection and prevents lung pathology in mice", "type" : "article-journal", "volume" : "35" }, "uris" : [ "http://www.mendeley.com/documents/?uuid=9e87125e-17af-3d9f-b61a-bb4ee6fd8ac2" ] }, { "id" : "ITEM-4", "itemData" : { "DOI" : "10.4049/jimmunol.1300118", "ISSN" : "0022-1767", "PMID" : "24319265", "abstract" : "Along with the human respiratory syncytial virus (hRSV), the human metapneumovirus (hMPV) is one of the leading causes of childhood hospitalization and a major health burden worldwide. Unfortunately, owing to an inefficient immunological memory, hMPV infection provides limited immune protection against reinfection. Furthermore, hMPV can induce an inadequate Th2 type immune response that causes severe lung inflammation, leading to airway obstruction. Similar to hRSV, it is likely that an effective clearance of hMPV would require a balanced Th1 type immunity by the host, involving the activation of IFN-\u03b3-secreting T cells. A recognized inducer of Th1 immunity is Mycobacterium bovis bacillus Calmette-Gu\u00e9rin (BCG), which has been used in newborns for many decades and in several countries as a tuberculosis vaccine. We have previously shown that immunization with BCG strains expressing hRSV Ags can induce an efficient immune response that protects against this virus. In this study, we show that immunization with rBCG strains expressing the phosphoprotein from hMPV also can induce protective Th1 immunity. Mice immunized with rBCG were protected against weight loss, airway inflammation, and viral replication in the lungs after hMPV infection. Our rBCG vaccine also induced the activation of hMPV-specific T cells producing IFN-\u03b3 and IL-2, which could protect from hMPV infection when transferred to recipient mice. These data strongly support the notion that rBCG induces protective Th1 immunity and could be considered as an efficient vaccine against hMPV.", "author" : [ { "dropping-particle" : "", "family" : "Palavecino", "given" : "C. E.", "non-dropping-particle" : "", "parse-names" : false, "suffix" : "" }, { "dropping-particle" : "", "family" : "Cespedes", "given" : "P. F.", "non-dropping-particle" : "", "parse-names" : false, "suffix" : "" }, { "dropping-particle" : "", "family" : "Gomez", "given" : "R. S.", "non-dropping-particle" : "", "parse-names" : false, "suffix" : "" }, { "dropping-particle" : "", "family" : "Kalergis", "given" : "A. M.", "non-dropping-particle" : "", "parse-names" : false, "suffix" : "" }, { "dropping-particle" : "", "family" : "Bueno", "given" : "S. M.", "non-dropping-particle" : "", "parse-names" : false, "suffix" : "" } ], "container-title" : "The Journal of Immunology", "id" : "ITEM-4", "issue" : "1", "issued" : { "date-parts" : [ [ "2014", "1", "1" ] ] }, "page" : "214-223", "title" : "Immunization with a Recombinant Bacillus Calmette-Guerin Strain Confers Protective Th1 Immunity against the Human Metapneumovirus", "type" : "article-journal", "volume" : "192" }, "uris" : [ "http://www.mendeley.com/documents/?uuid=ee0a9383-5cc5-35a4-9b89-2ac3b8e215d0" ] } ], "mendeley" : { "formattedCitation" : "(109\u2013111,147)", "plainTextFormattedCitation" : "(109\u2013111,147)", "previouslyFormattedCitation" : "(108\u2013110,146)"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(109–111,147)</w:t>
            </w:r>
            <w:r>
              <w:rPr>
                <w:rFonts w:ascii="Cambria" w:hAnsi="Cambria"/>
                <w:sz w:val="12"/>
                <w:szCs w:val="12"/>
              </w:rPr>
              <w:fldChar w:fldCharType="end"/>
            </w:r>
          </w:p>
        </w:tc>
        <w:tc>
          <w:tcPr>
            <w:tcW w:w="738" w:type="dxa"/>
          </w:tcPr>
          <w:p w14:paraId="70372DA7" w14:textId="0FDF5383" w:rsidR="005510AF" w:rsidRDefault="005510AF" w:rsidP="00AD41D9">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Jun 2017- May 2018</w:t>
            </w:r>
          </w:p>
          <w:p w14:paraId="3D42D7EA" w14:textId="77777777" w:rsidR="005510AF" w:rsidRPr="00AD41D9" w:rsidRDefault="005510AF" w:rsidP="00AD41D9">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AD41D9">
              <w:rPr>
                <w:rFonts w:ascii="Cambria" w:hAnsi="Cambria"/>
                <w:sz w:val="12"/>
                <w:szCs w:val="12"/>
              </w:rPr>
              <w:t>NCT03213405</w:t>
            </w:r>
          </w:p>
          <w:p w14:paraId="264C9EF4" w14:textId="69F2F0D9"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(n=24)</w:t>
            </w:r>
          </w:p>
        </w:tc>
        <w:tc>
          <w:tcPr>
            <w:tcW w:w="885" w:type="dxa"/>
          </w:tcPr>
          <w:p w14:paraId="647AC1B8" w14:textId="6166B7D3"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c>
          <w:tcPr>
            <w:tcW w:w="950" w:type="dxa"/>
            <w:gridSpan w:val="2"/>
          </w:tcPr>
          <w:p w14:paraId="546689D5" w14:textId="3CA7113D" w:rsidR="005510AF" w:rsidRPr="0073253E"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08" w:type="dxa"/>
          </w:tcPr>
          <w:p w14:paraId="3D6188DC" w14:textId="77777777" w:rsidR="005510AF"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Preclinical: Protective T cell</w:t>
            </w:r>
          </w:p>
          <w:p w14:paraId="0416E97E" w14:textId="77777777" w:rsidR="005510AF"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 xml:space="preserve">immune response and </w:t>
            </w:r>
          </w:p>
          <w:p w14:paraId="03CD9F1F" w14:textId="06248741" w:rsidR="005510AF"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recruitment of Th1 cells</w:t>
            </w:r>
          </w:p>
          <w:p w14:paraId="506ADFB8" w14:textId="0CF15111" w:rsidR="005510AF" w:rsidRPr="0073253E"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fldChar w:fldCharType="begin" w:fldLock="1"/>
            </w:r>
            <w:r w:rsidR="00B707E2">
              <w:rPr>
                <w:rFonts w:ascii="Cambria" w:hAnsi="Cambria"/>
                <w:sz w:val="12"/>
                <w:szCs w:val="12"/>
              </w:rPr>
              <w:instrText>ADDIN CSL_CITATION { "citationItems" : [ { "id" : "ITEM-1", "itemData" : { "DOI" : "10.4049/jimmunol.0903452", "ISSN" : "1550-6606", "PMID" : "21084664", "abstract" : "Infection by the respiratory syncytial virus (RSV) can cause extensive inflammation and lung damage in susceptible hosts due to a Th2-biased immune response. Such a deleterious inflammatory response can be enhanced by immunization with formalin- or UV-inactivated RSV, as well as with vaccinia virus expressing the RSV-G protein. Recently, we have shown that vaccination with rBCG-expressing RSV Ags can prevent the disease in the mouse. To further understand the immunological mechanisms responsible for protection against RSV, we have characterized the T cell populations contributing to virus clearance in mice immunized with this BCG-based vaccine. We found that both CD4(+) and CD8(+) T cells were recruited significantly earlier to the lungs of infected mice that were previously vaccinated. Furthermore, we observed that simultaneous adoptive transfer of CD8(+) and CD4(+) RSV-specific T cells from vaccinated mice was required to confer protection against virus infection in naive recipients. In addition, CD4(+) T cells induced by vaccination released IFN-\u03b3 after RSV challenge, indicating that protection is mediated by a Th1 immune response. These data suggest that vaccination with rBCG-expressing RSV Ags can induce a specific effector/memory Th1 immune response consisting on CD4(+) and CD8(+) T cells, both necessary for a fully protective response against RSV. These results support the notion that an effective induction of Th1 T cell immunity against RSV during childhood could counteract the unbalanced Th2-like immune response triggered by the natural RSV infection.", "author" : [ { "dropping-particle" : "", "family" : "Cautivo", "given" : "Kelly M", "non-dropping-particle" : "", "parse-names" : false, "suffix" : "" }, { "dropping-particle" : "", "family" : "Bueno", "given" : "Susan M", "non-dropping-particle" : "", "parse-names" : false, "suffix" : "" }, { "dropping-particle" : "", "family" : "Cortes", "given" : "Claudia M", "non-dropping-particle" : "", "parse-names" : false, "suffix" : "" }, { "dropping-particle" : "", "family" : "Wozniak", "given" : "Aniela", "non-dropping-particle" : "", "parse-names" : false, "suffix" : "" }, { "dropping-particle" : "", "family" : "Riedel", "given" : "Claudia A", "non-dropping-particle" : "", "parse-names" : false, "suffix" : "" }, { "dropping-particle" : "", "family" : "Kalergis", "given" : "Alexis M", "non-dropping-particle" : "", "parse-names" : false, "suffix" : "" } ], "container-title" : "Journal of immunology (Baltimore, Md. : 1950)", "id" : "ITEM-1", "issue" : "12", "issued" : { "date-parts" : [ [ "2010", "12", "15" ] ] }, "page" : "7633-45", "title" : "Efficient lung recruitment of respiratory syncytial virus-specific Th1 cells induced by recombinant bacillus Calmette-Gu\u00e9rin promotes virus clearance and protects from infection.", "type" : "article-journal", "volume" : "185" }, "uris" : [ "http://www.mendeley.com/documents/?uuid=b13e0614-cac4-3fc8-9369-2d5aad7134fd" ] }, { "id" : "ITEM-2", "itemData" : { "DOI" : "10.1073/pnas.0806244105", "ISSN" : "0027-8424", "PMID" : "19075247", "abstract" : "Respiratory syncytial virus (RSV) is one of the leading causes of childhood hospitalization and a major health burden worldwide. Unfortunately, because of an inefficient immunological memory, RSV infection provides limited immune protection against reinfection. Furthermore, RSV can induce an inadequate Th2-type immune response that causes severe respiratory tract inflammation and obstruction. It is thought that effective RSV clearance requires the induction of balanced Th1-type immunity, involving the activation of IFN-gamma-secreting cytotoxic T cells. A recognized inducer of Th1 immunity is Mycobacterium bovis bacillus Calmette-Gu\u00e9rin (BCG), which has been used in newborns for decades in several countries as a tuberculosis vaccine. Here, we show that immunization with recombinant BCG strains expressing RSV antigens promotes protective Th1-type immunity against RSV in mice. Activation of RSV-specific T cells producing IFN-gamma and IL-2 was efficiently obtained after immunization with recombinant BCG. This type of T cell immunity was protective against RSV challenge and caused a significant reduction of inflammatory cell infiltration in the airways. Furthermore, mice immunized with recombinant BCG showed no weight loss and reduced lung viral loads. These data strongly support recombinant BCG as an efficient vaccine against RSV because of its capacity to promote protective Th1 immunity.", "author" : [ { "dropping-particle" : "", "family" : "Bueno", "given" : "S. M.", "non-dropping-particle" : "", "parse-names" : false, "suffix" : "" }, { "dropping-particle" : "", "family" : "Gonzalez", "given" : "P. A.", "non-dropping-particle" : "", "parse-names" : false, "suffix" : "" }, { "dropping-particle" : "", "family" : "Cautivo", "given" : "K. M.", "non-dropping-particle" : "", "parse-names" : false, "suffix" : "" }, { "dropping-particle" : "", "family" : "Mora", "given" : "J. E.", "non-dropping-particle" : "", "parse-names" : false, "suffix" : "" }, { "dropping-particle" : "", "family" : "Leiva", "given" : "E. D.", "non-dropping-particle" : "", "parse-names" : false, "suffix" : "" }, { "dropping-particle" : "", "family" : "Tobar", "given" : "H. E.", "non-dropping-particle" : "", "parse-names" : false, "suffix" : "" }, { "dropping-particle" : "", "family" : "Fennelly", "given" : "G. J.", "non-dropping-particle" : "", "parse-names" : false, "suffix" : "" }, { "dropping-particle" : "", "family" : "Eugenin", "given" : "E. A.", "non-dropping-particle" : "", "parse-names" : false, "suffix" : "" }, { "dropping-particle" : "", "family" : "Jacobs", "given" : "W. R.", "non-dropping-particle" : "", "parse-names" : false, "suffix" : "" }, { "dropping-particle" : "", "family" : "Riedel", "given" : "C. A.", "non-dropping-particle" : "", "parse-names" : false, "suffix" : "" }, { "dropping-particle" : "", "family" : "Kalergis", "given" : "A. M.", "non-dropping-particle" : "", "parse-names" : false, "suffix" : "" } ], "container-title" : "Proceedings of the National Academy of Sciences", "id" : "ITEM-2", "issue" : "52", "issued" : { "date-parts" : [ [ "2008", "12", "30" ] ] }, "page" : "20822-20827", "title" : "Protective T cell immunity against respiratory syncytial virus is efficiently induced by recombinant BCG", "type" : "article-journal", "volume" : "105" }, "uris" : [ "http://www.mendeley.com/documents/?uuid=227c1202-1475-358e-acf0-f7b1264c4187" ] } ], "mendeley" : { "formattedCitation" : "(109,110)", "plainTextFormattedCitation" : "(109,110)", "previouslyFormattedCitation" : "(108,109)"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(109,110)</w:t>
            </w:r>
            <w:r>
              <w:rPr>
                <w:rFonts w:ascii="Cambria" w:hAnsi="Cambria"/>
                <w:sz w:val="12"/>
                <w:szCs w:val="12"/>
              </w:rPr>
              <w:fldChar w:fldCharType="end"/>
            </w:r>
          </w:p>
        </w:tc>
      </w:tr>
      <w:tr w:rsidR="005510AF" w:rsidRPr="0073253E" w14:paraId="6F0AFDB5" w14:textId="77777777" w:rsidTr="003E0858">
        <w:trPr>
          <w:trHeight w:val="302"/>
        </w:trPr>
        <w:tc>
          <w:tcPr>
            <w:cnfStyle w:val="001000000000" w:firstRow="0" w:lastRow="0" w:firstColumn="1" w:lastColumn="0" w:oddVBand="0" w:evenVBand="0" w:oddHBand="0" w:evenHBand="0" w:firstRowFirstColumn="0" w:firstRowLastColumn="0" w:lastRowFirstColumn="0" w:lastRowLastColumn="0"/>
            <w:tcW w:w="1135" w:type="dxa"/>
          </w:tcPr>
          <w:p w14:paraId="2FE50C6D" w14:textId="7F0D7116" w:rsidR="005510AF" w:rsidRPr="0073253E" w:rsidRDefault="005510AF" w:rsidP="007F7002">
            <w:pPr>
              <w:jc w:val="center"/>
              <w:rPr>
                <w:rFonts w:ascii="Cambria" w:hAnsi="Cambria"/>
                <w:sz w:val="12"/>
                <w:szCs w:val="12"/>
              </w:rPr>
            </w:pPr>
            <w:r>
              <w:rPr>
                <w:rFonts w:ascii="Cambria" w:hAnsi="Cambria"/>
                <w:sz w:val="12"/>
                <w:szCs w:val="12"/>
              </w:rPr>
              <w:t>RSV D46 cpΔM2-2</w:t>
            </w:r>
          </w:p>
        </w:tc>
        <w:tc>
          <w:tcPr>
            <w:tcW w:w="992" w:type="dxa"/>
            <w:gridSpan w:val="2"/>
          </w:tcPr>
          <w:p w14:paraId="7BFDE9C4" w14:textId="41B85EAA"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Sanofi Pasteur/LID/NIAID/NIH</w:t>
            </w:r>
          </w:p>
        </w:tc>
        <w:tc>
          <w:tcPr>
            <w:tcW w:w="958" w:type="dxa"/>
          </w:tcPr>
          <w:p w14:paraId="6D426B78" w14:textId="27468A77" w:rsidR="005510AF" w:rsidRPr="007669E4" w:rsidRDefault="005510AF" w:rsidP="003D3A63">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M2-2 deletion via reverse genetics and </w:t>
            </w:r>
          </w:p>
          <w:p w14:paraId="011A7231" w14:textId="223A811E" w:rsidR="005510AF" w:rsidRPr="0073253E" w:rsidRDefault="00080534" w:rsidP="00BC38FC">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5 aa </w:t>
            </w:r>
            <w:r w:rsidR="005510AF" w:rsidRPr="007669E4">
              <w:rPr>
                <w:rFonts w:ascii="Cambria" w:hAnsi="Cambria"/>
                <w:sz w:val="12"/>
                <w:szCs w:val="12"/>
              </w:rPr>
              <w:t>substitutions</w:t>
            </w:r>
            <w:r>
              <w:rPr>
                <w:rFonts w:ascii="Cambria" w:hAnsi="Cambria"/>
                <w:sz w:val="12"/>
                <w:szCs w:val="12"/>
              </w:rPr>
              <w:t xml:space="preserve"> in 3 proteins</w:t>
            </w:r>
            <w:r w:rsidR="005510AF" w:rsidRPr="007669E4">
              <w:rPr>
                <w:rFonts w:ascii="Cambria" w:hAnsi="Cambria"/>
                <w:sz w:val="12"/>
                <w:szCs w:val="12"/>
              </w:rPr>
              <w:t xml:space="preserve"> </w:t>
            </w:r>
            <w:r w:rsidR="005510AF">
              <w:rPr>
                <w:rFonts w:ascii="Cambria" w:hAnsi="Cambria"/>
                <w:sz w:val="12"/>
                <w:szCs w:val="12"/>
              </w:rPr>
              <w:t>called the</w:t>
            </w:r>
            <w:r w:rsidR="005510AF" w:rsidRPr="007669E4">
              <w:rPr>
                <w:rFonts w:ascii="Cambria" w:hAnsi="Cambria"/>
                <w:sz w:val="12"/>
                <w:szCs w:val="12"/>
              </w:rPr>
              <w:t xml:space="preserve"> “cp” mutations</w:t>
            </w:r>
            <w:r>
              <w:rPr>
                <w:rFonts w:ascii="Cambria" w:hAnsi="Cambria"/>
                <w:sz w:val="12"/>
                <w:szCs w:val="12"/>
              </w:rPr>
              <w:t>, originally identified in a cold-passaged vaccine candidate cpRSV</w:t>
            </w:r>
          </w:p>
        </w:tc>
        <w:tc>
          <w:tcPr>
            <w:tcW w:w="738" w:type="dxa"/>
          </w:tcPr>
          <w:p w14:paraId="6E9B64F1" w14:textId="39781E10"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native RSV</w:t>
            </w:r>
          </w:p>
        </w:tc>
        <w:tc>
          <w:tcPr>
            <w:tcW w:w="886" w:type="dxa"/>
          </w:tcPr>
          <w:p w14:paraId="5A7C52A8" w14:textId="745BF253"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none</w:t>
            </w:r>
          </w:p>
        </w:tc>
        <w:tc>
          <w:tcPr>
            <w:tcW w:w="941" w:type="dxa"/>
          </w:tcPr>
          <w:p w14:paraId="6E7BEBFE" w14:textId="4300B49B"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Deletion of regulatory factor M2.2 causes inefficient replication but high immunogenicity, further attenuation with cp mutations</w:t>
            </w:r>
          </w:p>
        </w:tc>
        <w:tc>
          <w:tcPr>
            <w:tcW w:w="979" w:type="dxa"/>
          </w:tcPr>
          <w:p w14:paraId="23195DDF" w14:textId="16135EBC"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P</w:t>
            </w:r>
          </w:p>
        </w:tc>
        <w:tc>
          <w:tcPr>
            <w:tcW w:w="1088" w:type="dxa"/>
          </w:tcPr>
          <w:p w14:paraId="1F32EB63" w14:textId="6F060F4D"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IN</w:t>
            </w:r>
          </w:p>
        </w:tc>
        <w:tc>
          <w:tcPr>
            <w:tcW w:w="738" w:type="dxa"/>
          </w:tcPr>
          <w:p w14:paraId="02AC69B5" w14:textId="6D147F4A"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w:t>
            </w:r>
          </w:p>
        </w:tc>
        <w:tc>
          <w:tcPr>
            <w:tcW w:w="738" w:type="dxa"/>
          </w:tcPr>
          <w:p w14:paraId="2B5FEA38" w14:textId="199F850F"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African green monkeys</w:t>
            </w:r>
          </w:p>
        </w:tc>
        <w:tc>
          <w:tcPr>
            <w:tcW w:w="738" w:type="dxa"/>
          </w:tcPr>
          <w:p w14:paraId="53A253C9" w14:textId="50260E33" w:rsidR="005510AF" w:rsidRDefault="005510AF" w:rsidP="00F542B9">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Oct 2015- May 2018</w:t>
            </w:r>
          </w:p>
          <w:p w14:paraId="2D3D85C1" w14:textId="77777777" w:rsidR="005510AF" w:rsidRDefault="005510AF" w:rsidP="00F542B9">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F542B9">
              <w:rPr>
                <w:rFonts w:ascii="Cambria" w:hAnsi="Cambria"/>
                <w:sz w:val="12"/>
                <w:szCs w:val="12"/>
              </w:rPr>
              <w:t>NCT02601612</w:t>
            </w:r>
          </w:p>
          <w:p w14:paraId="7F2E2E75" w14:textId="1FD1F42A" w:rsidR="005510AF" w:rsidRDefault="005510AF" w:rsidP="00F542B9">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(n=45)</w:t>
            </w:r>
          </w:p>
          <w:p w14:paraId="29B9368A" w14:textId="77777777" w:rsidR="005510AF" w:rsidRPr="00F542B9" w:rsidRDefault="005510AF" w:rsidP="00F542B9">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p w14:paraId="7F7CF15A" w14:textId="3AC71639"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885" w:type="dxa"/>
          </w:tcPr>
          <w:p w14:paraId="77441954" w14:textId="3224283E"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950" w:type="dxa"/>
            <w:gridSpan w:val="2"/>
          </w:tcPr>
          <w:p w14:paraId="0A8CB3AA" w14:textId="30288EB1" w:rsidR="005510AF" w:rsidRPr="0073253E"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08" w:type="dxa"/>
          </w:tcPr>
          <w:p w14:paraId="5FBA99CC" w14:textId="7549D3A0" w:rsidR="005510AF" w:rsidRPr="0073253E"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r>
      <w:tr w:rsidR="005510AF" w:rsidRPr="0073253E" w14:paraId="2D64BF2D" w14:textId="77777777" w:rsidTr="003E0858">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35" w:type="dxa"/>
          </w:tcPr>
          <w:p w14:paraId="50E6D955" w14:textId="02388F8E" w:rsidR="005510AF" w:rsidRPr="0073253E" w:rsidRDefault="005510AF" w:rsidP="007F7002">
            <w:pPr>
              <w:jc w:val="center"/>
              <w:rPr>
                <w:rFonts w:ascii="Cambria" w:hAnsi="Cambria"/>
                <w:sz w:val="12"/>
                <w:szCs w:val="12"/>
              </w:rPr>
            </w:pPr>
            <w:r>
              <w:rPr>
                <w:rFonts w:ascii="Cambria" w:hAnsi="Cambria"/>
                <w:sz w:val="12"/>
                <w:szCs w:val="12"/>
              </w:rPr>
              <w:t>RSV LID ΔM2-2 1030s</w:t>
            </w:r>
          </w:p>
        </w:tc>
        <w:tc>
          <w:tcPr>
            <w:tcW w:w="992" w:type="dxa"/>
            <w:gridSpan w:val="2"/>
          </w:tcPr>
          <w:p w14:paraId="66C8A075" w14:textId="59147B65"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Sanofi Pasteur/LID/NIAID/NIH</w:t>
            </w:r>
          </w:p>
        </w:tc>
        <w:tc>
          <w:tcPr>
            <w:tcW w:w="958" w:type="dxa"/>
          </w:tcPr>
          <w:p w14:paraId="432C65E0" w14:textId="5EFB91D1" w:rsidR="005510AF" w:rsidRPr="0073253E" w:rsidRDefault="005510AF" w:rsidP="00080534">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M2-2 deletion via reverse genetics</w:t>
            </w:r>
            <w:r w:rsidR="00080534">
              <w:rPr>
                <w:rFonts w:ascii="Cambria" w:hAnsi="Cambria"/>
                <w:sz w:val="12"/>
                <w:szCs w:val="12"/>
              </w:rPr>
              <w:t xml:space="preserve"> and</w:t>
            </w:r>
            <w:r>
              <w:rPr>
                <w:rFonts w:ascii="Cambria" w:hAnsi="Cambria"/>
                <w:sz w:val="12"/>
                <w:szCs w:val="12"/>
              </w:rPr>
              <w:t xml:space="preserve"> temperature sensitivity mutation 1030s</w:t>
            </w:r>
          </w:p>
        </w:tc>
        <w:tc>
          <w:tcPr>
            <w:tcW w:w="738" w:type="dxa"/>
          </w:tcPr>
          <w:p w14:paraId="194D0D9B" w14:textId="7415F037"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native RSV</w:t>
            </w:r>
          </w:p>
        </w:tc>
        <w:tc>
          <w:tcPr>
            <w:tcW w:w="886" w:type="dxa"/>
          </w:tcPr>
          <w:p w14:paraId="3C0FB4DF" w14:textId="066C4FDE"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none</w:t>
            </w:r>
          </w:p>
        </w:tc>
        <w:tc>
          <w:tcPr>
            <w:tcW w:w="941" w:type="dxa"/>
          </w:tcPr>
          <w:p w14:paraId="419AA661" w14:textId="0A6A6870" w:rsidR="005510AF" w:rsidRPr="0073253E" w:rsidRDefault="005510AF" w:rsidP="00F53C64">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Deletion of regulator factor M2-2causes inefficient replication but high immunogenicity; temperature sensitive mutation at position 1030 of L gene</w:t>
            </w:r>
          </w:p>
        </w:tc>
        <w:tc>
          <w:tcPr>
            <w:tcW w:w="979" w:type="dxa"/>
          </w:tcPr>
          <w:p w14:paraId="64EDA922" w14:textId="00261789"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w:t>
            </w:r>
          </w:p>
        </w:tc>
        <w:tc>
          <w:tcPr>
            <w:tcW w:w="1088" w:type="dxa"/>
          </w:tcPr>
          <w:p w14:paraId="0C7E6BA6" w14:textId="043CEFEE"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IN</w:t>
            </w:r>
          </w:p>
        </w:tc>
        <w:tc>
          <w:tcPr>
            <w:tcW w:w="738" w:type="dxa"/>
          </w:tcPr>
          <w:p w14:paraId="0C07BFA7" w14:textId="46642D33"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w:t>
            </w:r>
          </w:p>
        </w:tc>
        <w:tc>
          <w:tcPr>
            <w:tcW w:w="738" w:type="dxa"/>
          </w:tcPr>
          <w:p w14:paraId="20500F22" w14:textId="17C0584F"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Mice, African green monkeys</w:t>
            </w:r>
          </w:p>
        </w:tc>
        <w:tc>
          <w:tcPr>
            <w:tcW w:w="738" w:type="dxa"/>
          </w:tcPr>
          <w:p w14:paraId="5AB00907" w14:textId="77777777"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Jun 2016- Jul 2017</w:t>
            </w:r>
          </w:p>
          <w:p w14:paraId="1B640F70" w14:textId="6F750EE1" w:rsidR="005510AF" w:rsidRPr="005870D6" w:rsidRDefault="005510AF">
            <w:pPr>
              <w:jc w:val="center"/>
              <w:cnfStyle w:val="000000100000" w:firstRow="0" w:lastRow="0" w:firstColumn="0" w:lastColumn="0" w:oddVBand="0" w:evenVBand="0" w:oddHBand="1" w:evenHBand="0" w:firstRowFirstColumn="0" w:firstRowLastColumn="0" w:lastRowFirstColumn="0" w:lastRowLastColumn="0"/>
              <w:rPr>
                <w:rFonts w:ascii="Cambria" w:hAnsi="Cambria"/>
                <w:color w:val="auto"/>
                <w:sz w:val="12"/>
                <w:szCs w:val="12"/>
              </w:rPr>
            </w:pPr>
            <w:r w:rsidRPr="008462AE">
              <w:rPr>
                <w:rFonts w:ascii="Cambria" w:hAnsi="Cambria"/>
                <w:sz w:val="12"/>
                <w:szCs w:val="12"/>
              </w:rPr>
              <w:t>NCT02794870</w:t>
            </w:r>
            <w:r>
              <w:rPr>
                <w:rFonts w:ascii="Cambria" w:hAnsi="Cambria"/>
                <w:sz w:val="12"/>
                <w:szCs w:val="12"/>
              </w:rPr>
              <w:t xml:space="preserve">, </w:t>
            </w:r>
            <w:r w:rsidRPr="005870D6">
              <w:rPr>
                <w:rFonts w:ascii="Cambria" w:hAnsi="Cambria"/>
                <w:sz w:val="12"/>
                <w:szCs w:val="12"/>
              </w:rPr>
              <w:t>NCT02952339</w:t>
            </w:r>
          </w:p>
          <w:p w14:paraId="68F4812A" w14:textId="7755D2B4"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(n=33)</w:t>
            </w:r>
          </w:p>
        </w:tc>
        <w:tc>
          <w:tcPr>
            <w:tcW w:w="885" w:type="dxa"/>
          </w:tcPr>
          <w:p w14:paraId="070C1B80" w14:textId="1EF6F0AC"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c>
          <w:tcPr>
            <w:tcW w:w="950" w:type="dxa"/>
            <w:gridSpan w:val="2"/>
          </w:tcPr>
          <w:p w14:paraId="7687BEE9" w14:textId="027BBE32" w:rsidR="005510AF" w:rsidRPr="0073253E"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08" w:type="dxa"/>
          </w:tcPr>
          <w:p w14:paraId="1D2B010D" w14:textId="79E7F950" w:rsidR="005510AF" w:rsidRPr="0073253E"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r>
      <w:tr w:rsidR="005510AF" w:rsidRPr="0073253E" w14:paraId="32DA42BE" w14:textId="77777777" w:rsidTr="003E0858">
        <w:trPr>
          <w:trHeight w:val="302"/>
        </w:trPr>
        <w:tc>
          <w:tcPr>
            <w:cnfStyle w:val="001000000000" w:firstRow="0" w:lastRow="0" w:firstColumn="1" w:lastColumn="0" w:oddVBand="0" w:evenVBand="0" w:oddHBand="0" w:evenHBand="0" w:firstRowFirstColumn="0" w:firstRowLastColumn="0" w:lastRowFirstColumn="0" w:lastRowLastColumn="0"/>
            <w:tcW w:w="1135" w:type="dxa"/>
          </w:tcPr>
          <w:p w14:paraId="7623A61F" w14:textId="22E0DD65" w:rsidR="005510AF" w:rsidRPr="0073253E" w:rsidRDefault="005510AF" w:rsidP="007F7002">
            <w:pPr>
              <w:jc w:val="center"/>
              <w:rPr>
                <w:rFonts w:ascii="Cambria" w:hAnsi="Cambria"/>
                <w:sz w:val="12"/>
                <w:szCs w:val="12"/>
              </w:rPr>
            </w:pPr>
            <w:r>
              <w:rPr>
                <w:rFonts w:ascii="Cambria" w:hAnsi="Cambria"/>
                <w:sz w:val="12"/>
                <w:szCs w:val="12"/>
              </w:rPr>
              <w:t>RSV ΔNS2 Δ1313 I1314L</w:t>
            </w:r>
          </w:p>
        </w:tc>
        <w:tc>
          <w:tcPr>
            <w:tcW w:w="992" w:type="dxa"/>
            <w:gridSpan w:val="2"/>
          </w:tcPr>
          <w:p w14:paraId="50A8E7ED" w14:textId="01CEB127"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Sanofi Pasteur/LID/NIAID/NIH</w:t>
            </w:r>
          </w:p>
        </w:tc>
        <w:tc>
          <w:tcPr>
            <w:tcW w:w="958" w:type="dxa"/>
          </w:tcPr>
          <w:p w14:paraId="7AD641E4" w14:textId="7707EA46" w:rsidR="005510AF" w:rsidRPr="0073253E" w:rsidRDefault="005510AF" w:rsidP="000F57ED">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NS2 and 1313 deletion via reverse genetics</w:t>
            </w:r>
            <w:r w:rsidR="00080534">
              <w:rPr>
                <w:rFonts w:ascii="Cambria" w:hAnsi="Cambria"/>
                <w:sz w:val="12"/>
                <w:szCs w:val="12"/>
              </w:rPr>
              <w:t>m I1314L substation.</w:t>
            </w:r>
          </w:p>
        </w:tc>
        <w:tc>
          <w:tcPr>
            <w:tcW w:w="738" w:type="dxa"/>
          </w:tcPr>
          <w:p w14:paraId="08AABD05" w14:textId="78C8C1BA"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native RSV</w:t>
            </w:r>
          </w:p>
        </w:tc>
        <w:tc>
          <w:tcPr>
            <w:tcW w:w="886" w:type="dxa"/>
          </w:tcPr>
          <w:p w14:paraId="19221F97" w14:textId="0440B8EA"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none</w:t>
            </w:r>
          </w:p>
        </w:tc>
        <w:tc>
          <w:tcPr>
            <w:tcW w:w="941" w:type="dxa"/>
          </w:tcPr>
          <w:p w14:paraId="4D22B53A" w14:textId="13F8182A" w:rsidR="005510AF" w:rsidRPr="0073253E" w:rsidRDefault="005510AF" w:rsidP="00080534">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NS2 deletion bolsters innate response</w:t>
            </w:r>
            <w:r w:rsidR="00080534">
              <w:rPr>
                <w:rFonts w:ascii="Cambria" w:hAnsi="Cambria"/>
                <w:sz w:val="12"/>
                <w:szCs w:val="12"/>
              </w:rPr>
              <w:t>.</w:t>
            </w:r>
            <w:r>
              <w:rPr>
                <w:rFonts w:ascii="Cambria" w:hAnsi="Cambria"/>
                <w:sz w:val="12"/>
                <w:szCs w:val="12"/>
              </w:rPr>
              <w:t xml:space="preserve"> Deletion at position 1313 of L protein,</w:t>
            </w:r>
            <w:r w:rsidR="00080534">
              <w:rPr>
                <w:rFonts w:ascii="Cambria" w:hAnsi="Cambria"/>
                <w:sz w:val="12"/>
                <w:szCs w:val="12"/>
              </w:rPr>
              <w:t xml:space="preserve"> and I1314L substation confers moderate temperature sensitivity</w:t>
            </w:r>
          </w:p>
        </w:tc>
        <w:tc>
          <w:tcPr>
            <w:tcW w:w="979" w:type="dxa"/>
          </w:tcPr>
          <w:p w14:paraId="478F55F3" w14:textId="50618FF3"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P</w:t>
            </w:r>
          </w:p>
        </w:tc>
        <w:tc>
          <w:tcPr>
            <w:tcW w:w="1088" w:type="dxa"/>
          </w:tcPr>
          <w:p w14:paraId="60E129FC" w14:textId="1D35BDFC"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IN</w:t>
            </w:r>
          </w:p>
        </w:tc>
        <w:tc>
          <w:tcPr>
            <w:tcW w:w="738" w:type="dxa"/>
          </w:tcPr>
          <w:p w14:paraId="3914992A" w14:textId="0C26C5FD"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w:t>
            </w:r>
          </w:p>
        </w:tc>
        <w:tc>
          <w:tcPr>
            <w:tcW w:w="738" w:type="dxa"/>
          </w:tcPr>
          <w:p w14:paraId="6644BA52" w14:textId="273AAD3B"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Mice and chimpanzees</w:t>
            </w:r>
          </w:p>
        </w:tc>
        <w:tc>
          <w:tcPr>
            <w:tcW w:w="738" w:type="dxa"/>
          </w:tcPr>
          <w:p w14:paraId="29B2E846" w14:textId="4F85977A" w:rsidR="005510AF" w:rsidRDefault="005510AF" w:rsidP="005C3F13">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Jun 2013-May 2017</w:t>
            </w:r>
          </w:p>
          <w:p w14:paraId="5DC54ED7" w14:textId="77777777" w:rsidR="005510AF" w:rsidRDefault="005510AF" w:rsidP="005C3F13">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5C3F13">
              <w:rPr>
                <w:rFonts w:ascii="Cambria" w:hAnsi="Cambria"/>
                <w:sz w:val="12"/>
                <w:szCs w:val="12"/>
              </w:rPr>
              <w:t>NCT01893554</w:t>
            </w:r>
          </w:p>
          <w:p w14:paraId="20F76468" w14:textId="4DD39DEE" w:rsidR="005510AF" w:rsidRDefault="005510AF" w:rsidP="005C3F13">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(n=75)</w:t>
            </w:r>
          </w:p>
          <w:p w14:paraId="5310F930" w14:textId="77777777" w:rsidR="005510AF" w:rsidRDefault="005510AF" w:rsidP="005C3F13">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p w14:paraId="3858F643" w14:textId="47EC343E" w:rsidR="005510AF" w:rsidRDefault="005510AF" w:rsidP="005C3F13">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Aug 2017- May 2019</w:t>
            </w:r>
          </w:p>
          <w:p w14:paraId="4D34866C" w14:textId="29AEF77B" w:rsidR="005510AF" w:rsidRDefault="005510AF" w:rsidP="005C3F13">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5C3F13">
              <w:rPr>
                <w:rFonts w:ascii="Cambria" w:hAnsi="Cambria"/>
                <w:sz w:val="12"/>
                <w:szCs w:val="12"/>
              </w:rPr>
              <w:t>NCT03227029</w:t>
            </w:r>
          </w:p>
          <w:p w14:paraId="4A5E9D7C" w14:textId="2ACC78B6" w:rsidR="005510AF" w:rsidRPr="005C3F13" w:rsidRDefault="005510AF" w:rsidP="005C3F13">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(n=80)</w:t>
            </w:r>
          </w:p>
          <w:p w14:paraId="75ACC25D" w14:textId="77777777"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885" w:type="dxa"/>
          </w:tcPr>
          <w:p w14:paraId="7FA95D2C" w14:textId="603C311F"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950" w:type="dxa"/>
            <w:gridSpan w:val="2"/>
          </w:tcPr>
          <w:p w14:paraId="1F6856B3" w14:textId="00354B82" w:rsidR="005510AF" w:rsidRPr="0073253E"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08" w:type="dxa"/>
          </w:tcPr>
          <w:p w14:paraId="00D2D24B" w14:textId="2BF56C10" w:rsidR="005510AF" w:rsidRPr="0073253E"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r>
      <w:tr w:rsidR="005510AF" w:rsidRPr="0073253E" w14:paraId="66964DFA" w14:textId="77777777" w:rsidTr="00506EF1">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35" w:type="dxa"/>
          </w:tcPr>
          <w:p w14:paraId="1E166E44" w14:textId="2826B99A" w:rsidR="005510AF" w:rsidRPr="0073253E" w:rsidRDefault="005510AF" w:rsidP="007F7002">
            <w:pPr>
              <w:jc w:val="center"/>
              <w:rPr>
                <w:rFonts w:ascii="Cambria" w:hAnsi="Cambria"/>
                <w:sz w:val="12"/>
                <w:szCs w:val="12"/>
              </w:rPr>
            </w:pPr>
            <w:r>
              <w:rPr>
                <w:rFonts w:ascii="Cambria" w:hAnsi="Cambria"/>
                <w:sz w:val="12"/>
                <w:szCs w:val="12"/>
              </w:rPr>
              <w:t>RSV D46/NS2/N ΔM2-2 HindIII</w:t>
            </w:r>
          </w:p>
        </w:tc>
        <w:tc>
          <w:tcPr>
            <w:tcW w:w="992" w:type="dxa"/>
            <w:gridSpan w:val="2"/>
          </w:tcPr>
          <w:p w14:paraId="5D90F06E" w14:textId="716EE860"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Sanofi Pasteur/LID/NIAID/NIH</w:t>
            </w:r>
          </w:p>
        </w:tc>
        <w:tc>
          <w:tcPr>
            <w:tcW w:w="958" w:type="dxa"/>
          </w:tcPr>
          <w:p w14:paraId="030FA7D5" w14:textId="73DE0CD6" w:rsidR="005510AF" w:rsidRPr="00597972" w:rsidRDefault="005510AF" w:rsidP="00F54A0B">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597972">
              <w:rPr>
                <w:rFonts w:ascii="Cambria" w:hAnsi="Cambria"/>
                <w:sz w:val="12"/>
                <w:szCs w:val="12"/>
              </w:rPr>
              <w:t>LID</w:t>
            </w:r>
          </w:p>
          <w:p w14:paraId="0AA6369A" w14:textId="036E2EA7" w:rsidR="005510AF" w:rsidRPr="00597972" w:rsidRDefault="00080534" w:rsidP="00F54A0B">
            <w:pPr>
              <w:jc w:val="center"/>
              <w:cnfStyle w:val="000000100000" w:firstRow="0" w:lastRow="0" w:firstColumn="0" w:lastColumn="0" w:oddVBand="0" w:evenVBand="0" w:oddHBand="1" w:evenHBand="0" w:firstRowFirstColumn="0" w:firstRowLastColumn="0" w:lastRowFirstColumn="0" w:lastRowLastColumn="0"/>
              <w:rPr>
                <w:rFonts w:ascii="Cambria" w:hAnsi="Cambria"/>
                <w:color w:val="auto"/>
                <w:sz w:val="12"/>
                <w:szCs w:val="12"/>
              </w:rPr>
            </w:pPr>
            <w:r>
              <w:rPr>
                <w:rFonts w:ascii="Cambria" w:hAnsi="Cambria"/>
                <w:sz w:val="12"/>
                <w:szCs w:val="12"/>
              </w:rPr>
              <w:t>b</w:t>
            </w:r>
            <w:r w:rsidR="005510AF" w:rsidRPr="00597972">
              <w:rPr>
                <w:rFonts w:ascii="Cambria" w:hAnsi="Cambria"/>
                <w:sz w:val="12"/>
                <w:szCs w:val="12"/>
              </w:rPr>
              <w:t>ackbone</w:t>
            </w:r>
            <w:r>
              <w:rPr>
                <w:rFonts w:ascii="Cambria" w:hAnsi="Cambria"/>
                <w:sz w:val="12"/>
                <w:szCs w:val="12"/>
              </w:rPr>
              <w:t xml:space="preserve"> without deletions or </w:t>
            </w:r>
            <w:r w:rsidR="005510AF" w:rsidRPr="00597972">
              <w:rPr>
                <w:rFonts w:ascii="Cambria" w:hAnsi="Cambria"/>
                <w:sz w:val="12"/>
                <w:szCs w:val="12"/>
              </w:rPr>
              <w:t xml:space="preserve"> </w:t>
            </w:r>
            <w:r w:rsidR="005510AF">
              <w:rPr>
                <w:rFonts w:ascii="Cambria" w:hAnsi="Cambria"/>
                <w:sz w:val="12"/>
                <w:szCs w:val="12"/>
              </w:rPr>
              <w:t>substitutions in</w:t>
            </w:r>
            <w:r w:rsidR="005510AF" w:rsidRPr="00597972">
              <w:rPr>
                <w:rFonts w:ascii="Cambria" w:hAnsi="Cambria"/>
                <w:sz w:val="12"/>
                <w:szCs w:val="12"/>
              </w:rPr>
              <w:t xml:space="preserve"> SH gene</w:t>
            </w:r>
            <w:r w:rsidR="005510AF">
              <w:rPr>
                <w:rFonts w:ascii="Cambria" w:hAnsi="Cambria"/>
                <w:sz w:val="12"/>
                <w:szCs w:val="12"/>
              </w:rPr>
              <w:t xml:space="preserve">, </w:t>
            </w:r>
            <w:r>
              <w:rPr>
                <w:rFonts w:ascii="Cambria" w:hAnsi="Cambria"/>
                <w:sz w:val="12"/>
                <w:szCs w:val="12"/>
              </w:rPr>
              <w:t xml:space="preserve">point </w:t>
            </w:r>
            <w:r w:rsidR="005510AF">
              <w:rPr>
                <w:rFonts w:ascii="Cambria" w:hAnsi="Cambria"/>
                <w:sz w:val="12"/>
                <w:szCs w:val="12"/>
              </w:rPr>
              <w:t>mutation</w:t>
            </w:r>
            <w:r w:rsidR="005510AF" w:rsidRPr="00597972">
              <w:rPr>
                <w:rFonts w:ascii="Cambria" w:hAnsi="Cambria"/>
                <w:sz w:val="12"/>
                <w:szCs w:val="12"/>
              </w:rPr>
              <w:t xml:space="preserve"> </w:t>
            </w:r>
            <w:r w:rsidR="005510AF">
              <w:rPr>
                <w:rFonts w:ascii="Cambria" w:hAnsi="Cambria"/>
                <w:sz w:val="12"/>
                <w:szCs w:val="12"/>
              </w:rPr>
              <w:t>in</w:t>
            </w:r>
            <w:r w:rsidR="005510AF" w:rsidRPr="00597972">
              <w:rPr>
                <w:rFonts w:ascii="Cambria" w:hAnsi="Cambria"/>
                <w:sz w:val="12"/>
                <w:szCs w:val="12"/>
              </w:rPr>
              <w:t xml:space="preserve"> NS2 and N proteins, </w:t>
            </w:r>
          </w:p>
          <w:p w14:paraId="25896979" w14:textId="60CE76FC" w:rsidR="005510AF" w:rsidRPr="00597972" w:rsidRDefault="005510AF" w:rsidP="00F54A0B">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597972">
              <w:rPr>
                <w:rFonts w:ascii="Cambria" w:hAnsi="Cambria"/>
                <w:sz w:val="12"/>
                <w:szCs w:val="12"/>
              </w:rPr>
              <w:t>modified M2-2 deletion, based</w:t>
            </w:r>
          </w:p>
          <w:p w14:paraId="1C64A1FA" w14:textId="06167BE8" w:rsidR="005510AF" w:rsidRPr="0073253E" w:rsidRDefault="005510AF" w:rsidP="00F54A0B">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597972">
              <w:rPr>
                <w:rFonts w:ascii="Cambria" w:hAnsi="Cambria"/>
                <w:sz w:val="12"/>
                <w:szCs w:val="12"/>
              </w:rPr>
              <w:t>on RSV MEDI ∆M2-2.</w:t>
            </w:r>
          </w:p>
        </w:tc>
        <w:tc>
          <w:tcPr>
            <w:tcW w:w="738" w:type="dxa"/>
          </w:tcPr>
          <w:p w14:paraId="5BA6AA84" w14:textId="35006D39"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native RSV</w:t>
            </w:r>
          </w:p>
        </w:tc>
        <w:tc>
          <w:tcPr>
            <w:tcW w:w="886" w:type="dxa"/>
          </w:tcPr>
          <w:p w14:paraId="23E87AB9" w14:textId="4202A480"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none</w:t>
            </w:r>
          </w:p>
        </w:tc>
        <w:tc>
          <w:tcPr>
            <w:tcW w:w="941" w:type="dxa"/>
          </w:tcPr>
          <w:p w14:paraId="28B8CCD9" w14:textId="6C6AF228" w:rsidR="005510AF" w:rsidRPr="0073253E" w:rsidRDefault="005510AF" w:rsidP="00CC057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Deletion of regulatory factor M2.2 causes inefficient replication but high immunogenicity</w:t>
            </w:r>
            <w:r w:rsidDel="00F54A0B">
              <w:rPr>
                <w:rFonts w:ascii="Cambria" w:hAnsi="Cambria"/>
                <w:sz w:val="12"/>
                <w:szCs w:val="12"/>
              </w:rPr>
              <w:t xml:space="preserve"> </w:t>
            </w:r>
            <w:r>
              <w:rPr>
                <w:rFonts w:ascii="Cambria" w:hAnsi="Cambria"/>
                <w:sz w:val="12"/>
                <w:szCs w:val="12"/>
              </w:rPr>
              <w:t xml:space="preserve"> </w:t>
            </w:r>
          </w:p>
        </w:tc>
        <w:tc>
          <w:tcPr>
            <w:tcW w:w="979" w:type="dxa"/>
          </w:tcPr>
          <w:p w14:paraId="549758CD" w14:textId="49DC4B6C"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P</w:t>
            </w:r>
          </w:p>
        </w:tc>
        <w:tc>
          <w:tcPr>
            <w:tcW w:w="1088" w:type="dxa"/>
          </w:tcPr>
          <w:p w14:paraId="4D36A49C" w14:textId="12FFB448"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IN</w:t>
            </w:r>
          </w:p>
        </w:tc>
        <w:tc>
          <w:tcPr>
            <w:tcW w:w="738" w:type="dxa"/>
          </w:tcPr>
          <w:p w14:paraId="4455E357" w14:textId="468620D3"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I</w:t>
            </w:r>
          </w:p>
        </w:tc>
        <w:tc>
          <w:tcPr>
            <w:tcW w:w="738" w:type="dxa"/>
          </w:tcPr>
          <w:p w14:paraId="2DFF654F" w14:textId="111469E8"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African green monkeys</w:t>
            </w:r>
          </w:p>
        </w:tc>
        <w:tc>
          <w:tcPr>
            <w:tcW w:w="738" w:type="dxa"/>
          </w:tcPr>
          <w:p w14:paraId="3053485B" w14:textId="5DD8C930" w:rsidR="005510AF" w:rsidRDefault="005510AF" w:rsidP="002719D9">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Mar 2017- April 2019</w:t>
            </w:r>
          </w:p>
          <w:p w14:paraId="65D16BE2" w14:textId="77777777" w:rsidR="005510AF" w:rsidRPr="008917A3" w:rsidRDefault="005510AF" w:rsidP="00CC057A">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RPr="002719D9">
              <w:rPr>
                <w:rFonts w:ascii="Cambria" w:hAnsi="Cambria"/>
                <w:sz w:val="12"/>
                <w:szCs w:val="12"/>
              </w:rPr>
              <w:t>NCT03102034</w:t>
            </w:r>
            <w:r>
              <w:rPr>
                <w:rFonts w:ascii="Cambria" w:hAnsi="Cambria"/>
                <w:sz w:val="12"/>
                <w:szCs w:val="12"/>
              </w:rPr>
              <w:t xml:space="preserve">, </w:t>
            </w:r>
            <w:r w:rsidRPr="008917A3">
              <w:rPr>
                <w:rFonts w:ascii="Cambria" w:hAnsi="Cambria"/>
                <w:sz w:val="12"/>
                <w:szCs w:val="12"/>
              </w:rPr>
              <w:t>NCT03099291</w:t>
            </w:r>
          </w:p>
          <w:p w14:paraId="39DE6656" w14:textId="72F3222D" w:rsidR="005510AF" w:rsidRPr="0073253E" w:rsidRDefault="005510AF" w:rsidP="00745690">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sidDel="00CC057A">
              <w:rPr>
                <w:rFonts w:ascii="Cambria" w:hAnsi="Cambria"/>
                <w:sz w:val="12"/>
                <w:szCs w:val="12"/>
              </w:rPr>
              <w:t xml:space="preserve"> </w:t>
            </w:r>
            <w:r>
              <w:rPr>
                <w:rFonts w:ascii="Cambria" w:hAnsi="Cambria"/>
                <w:sz w:val="12"/>
                <w:szCs w:val="12"/>
              </w:rPr>
              <w:t>(n=33)</w:t>
            </w:r>
          </w:p>
        </w:tc>
        <w:tc>
          <w:tcPr>
            <w:tcW w:w="885" w:type="dxa"/>
          </w:tcPr>
          <w:p w14:paraId="2408B488" w14:textId="179E6B28"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c>
          <w:tcPr>
            <w:tcW w:w="950" w:type="dxa"/>
            <w:gridSpan w:val="2"/>
          </w:tcPr>
          <w:p w14:paraId="7D027D39" w14:textId="3381A876" w:rsidR="005510AF" w:rsidRPr="0073253E"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08" w:type="dxa"/>
          </w:tcPr>
          <w:p w14:paraId="638B0045" w14:textId="36B9143A" w:rsidR="005510AF" w:rsidRPr="0073253E"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r>
              <w:rPr>
                <w:rFonts w:ascii="Cambria" w:hAnsi="Cambria"/>
                <w:sz w:val="12"/>
                <w:szCs w:val="12"/>
              </w:rPr>
              <w:t>N/A</w:t>
            </w:r>
          </w:p>
        </w:tc>
      </w:tr>
      <w:tr w:rsidR="005510AF" w:rsidRPr="0073253E" w14:paraId="0E0BB12A" w14:textId="77777777" w:rsidTr="003E0858">
        <w:trPr>
          <w:trHeight w:val="302"/>
        </w:trPr>
        <w:tc>
          <w:tcPr>
            <w:cnfStyle w:val="001000000000" w:firstRow="0" w:lastRow="0" w:firstColumn="1" w:lastColumn="0" w:oddVBand="0" w:evenVBand="0" w:oddHBand="0" w:evenHBand="0" w:firstRowFirstColumn="0" w:firstRowLastColumn="0" w:lastRowFirstColumn="0" w:lastRowLastColumn="0"/>
            <w:tcW w:w="1135" w:type="dxa"/>
          </w:tcPr>
          <w:p w14:paraId="523B88A7" w14:textId="3B2F60BA" w:rsidR="005510AF" w:rsidRPr="0073253E" w:rsidRDefault="005510AF" w:rsidP="007F7002">
            <w:pPr>
              <w:jc w:val="center"/>
              <w:rPr>
                <w:rFonts w:ascii="Cambria" w:hAnsi="Cambria"/>
                <w:sz w:val="12"/>
                <w:szCs w:val="12"/>
              </w:rPr>
            </w:pPr>
            <w:r>
              <w:rPr>
                <w:rFonts w:ascii="Cambria" w:hAnsi="Cambria"/>
                <w:sz w:val="12"/>
                <w:szCs w:val="12"/>
              </w:rPr>
              <w:t>RSV LID cp ΔM2-2</w:t>
            </w:r>
          </w:p>
        </w:tc>
        <w:tc>
          <w:tcPr>
            <w:tcW w:w="992" w:type="dxa"/>
            <w:gridSpan w:val="2"/>
          </w:tcPr>
          <w:p w14:paraId="50F65086" w14:textId="46D5A875"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Sanofi Pasteur/LID/NIAID/NIH</w:t>
            </w:r>
          </w:p>
        </w:tc>
        <w:tc>
          <w:tcPr>
            <w:tcW w:w="958" w:type="dxa"/>
          </w:tcPr>
          <w:p w14:paraId="06156FAC" w14:textId="74730763" w:rsidR="005510AF"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M2-2 deletion </w:t>
            </w:r>
          </w:p>
          <w:p w14:paraId="147C0710" w14:textId="13D852C3"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via reverse genetics</w:t>
            </w:r>
            <w:r w:rsidR="00080534">
              <w:rPr>
                <w:rFonts w:ascii="Cambria" w:hAnsi="Cambria"/>
                <w:sz w:val="12"/>
                <w:szCs w:val="12"/>
              </w:rPr>
              <w:t>, and cp mutation</w:t>
            </w:r>
          </w:p>
        </w:tc>
        <w:tc>
          <w:tcPr>
            <w:tcW w:w="738" w:type="dxa"/>
          </w:tcPr>
          <w:p w14:paraId="7527B73E" w14:textId="7BEF68A8"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native RSV</w:t>
            </w:r>
          </w:p>
        </w:tc>
        <w:tc>
          <w:tcPr>
            <w:tcW w:w="886" w:type="dxa"/>
          </w:tcPr>
          <w:p w14:paraId="0FADBBD7" w14:textId="7A6DA4E1"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none</w:t>
            </w:r>
          </w:p>
        </w:tc>
        <w:tc>
          <w:tcPr>
            <w:tcW w:w="941" w:type="dxa"/>
          </w:tcPr>
          <w:p w14:paraId="170BD364" w14:textId="2C743E4B"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Deletion of regulatory factor M2.2 causes inefficient replication but high immunogenicity</w:t>
            </w:r>
            <w:r w:rsidDel="00F54A0B">
              <w:rPr>
                <w:rFonts w:ascii="Cambria" w:hAnsi="Cambria"/>
                <w:sz w:val="12"/>
                <w:szCs w:val="12"/>
              </w:rPr>
              <w:t xml:space="preserve"> </w:t>
            </w:r>
            <w:r>
              <w:rPr>
                <w:rFonts w:ascii="Cambria" w:hAnsi="Cambria"/>
                <w:sz w:val="12"/>
                <w:szCs w:val="12"/>
              </w:rPr>
              <w:t>; further attenuation with cp mutations</w:t>
            </w:r>
          </w:p>
        </w:tc>
        <w:tc>
          <w:tcPr>
            <w:tcW w:w="979" w:type="dxa"/>
          </w:tcPr>
          <w:p w14:paraId="3BB96437" w14:textId="234656E9"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P</w:t>
            </w:r>
          </w:p>
        </w:tc>
        <w:tc>
          <w:tcPr>
            <w:tcW w:w="1088" w:type="dxa"/>
          </w:tcPr>
          <w:p w14:paraId="5246775C" w14:textId="4B94E7BC"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IN</w:t>
            </w:r>
          </w:p>
        </w:tc>
        <w:tc>
          <w:tcPr>
            <w:tcW w:w="738" w:type="dxa"/>
          </w:tcPr>
          <w:p w14:paraId="745DD50B" w14:textId="58823165"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w:t>
            </w:r>
          </w:p>
        </w:tc>
        <w:tc>
          <w:tcPr>
            <w:tcW w:w="738" w:type="dxa"/>
          </w:tcPr>
          <w:p w14:paraId="4EC2F1EB" w14:textId="2A8EF370"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African green monkeys</w:t>
            </w:r>
          </w:p>
        </w:tc>
        <w:tc>
          <w:tcPr>
            <w:tcW w:w="738" w:type="dxa"/>
          </w:tcPr>
          <w:p w14:paraId="5B417409" w14:textId="491DD3A6" w:rsidR="005510AF" w:rsidRDefault="005510AF" w:rsidP="001B4214">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Sep 2016-Apr 2018</w:t>
            </w:r>
          </w:p>
          <w:p w14:paraId="799C96A0" w14:textId="7AD512DC" w:rsidR="005510AF" w:rsidRDefault="005510AF" w:rsidP="001B4214">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2A6C7A">
              <w:rPr>
                <w:rFonts w:ascii="Cambria" w:hAnsi="Cambria"/>
                <w:sz w:val="12"/>
                <w:szCs w:val="12"/>
              </w:rPr>
              <w:t>NCT02890381</w:t>
            </w:r>
          </w:p>
          <w:p w14:paraId="19FD3643" w14:textId="221763AF" w:rsidR="005510AF" w:rsidRDefault="005510AF" w:rsidP="001B4214">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(n=17)</w:t>
            </w:r>
          </w:p>
          <w:p w14:paraId="27C7A601" w14:textId="6A21CACB"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885" w:type="dxa"/>
          </w:tcPr>
          <w:p w14:paraId="313841D7" w14:textId="1028914A"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950" w:type="dxa"/>
            <w:gridSpan w:val="2"/>
          </w:tcPr>
          <w:p w14:paraId="5642A7E6" w14:textId="7F5A8870" w:rsidR="005510AF" w:rsidRPr="0073253E"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08" w:type="dxa"/>
          </w:tcPr>
          <w:p w14:paraId="563017BE" w14:textId="346C3850" w:rsidR="005510AF" w:rsidRPr="0073253E"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r>
      <w:tr w:rsidR="005510AF" w:rsidRPr="0073253E" w14:paraId="0A566422" w14:textId="77777777" w:rsidTr="0017099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3574" w:type="dxa"/>
            <w:gridSpan w:val="16"/>
          </w:tcPr>
          <w:p w14:paraId="34E683AD" w14:textId="72C93B46" w:rsidR="005510AF" w:rsidRPr="0073253E" w:rsidRDefault="005510AF" w:rsidP="002719D9">
            <w:pPr>
              <w:ind w:left="2160" w:hanging="2160"/>
              <w:rPr>
                <w:rFonts w:ascii="Cambria" w:hAnsi="Cambria"/>
                <w:sz w:val="12"/>
                <w:szCs w:val="12"/>
              </w:rPr>
            </w:pPr>
            <w:r>
              <w:rPr>
                <w:rFonts w:ascii="Cambria" w:hAnsi="Cambria"/>
                <w:sz w:val="12"/>
                <w:szCs w:val="12"/>
              </w:rPr>
              <w:t>MONOCLONAL ANTIBODY (mAb)</w:t>
            </w:r>
          </w:p>
        </w:tc>
      </w:tr>
      <w:tr w:rsidR="005510AF" w:rsidRPr="0073253E" w14:paraId="7D487E0A" w14:textId="77777777" w:rsidTr="000270CD">
        <w:trPr>
          <w:trHeight w:val="2248"/>
        </w:trPr>
        <w:tc>
          <w:tcPr>
            <w:cnfStyle w:val="001000000000" w:firstRow="0" w:lastRow="0" w:firstColumn="1" w:lastColumn="0" w:oddVBand="0" w:evenVBand="0" w:oddHBand="0" w:evenHBand="0" w:firstRowFirstColumn="0" w:firstRowLastColumn="0" w:lastRowFirstColumn="0" w:lastRowLastColumn="0"/>
            <w:tcW w:w="1135" w:type="dxa"/>
          </w:tcPr>
          <w:p w14:paraId="250A0873" w14:textId="1E31ECAA" w:rsidR="005510AF" w:rsidRDefault="005510AF" w:rsidP="007F7002">
            <w:pPr>
              <w:jc w:val="center"/>
              <w:rPr>
                <w:rFonts w:ascii="Cambria" w:hAnsi="Cambria"/>
                <w:sz w:val="12"/>
                <w:szCs w:val="12"/>
              </w:rPr>
            </w:pPr>
            <w:r>
              <w:rPr>
                <w:rFonts w:ascii="Cambria" w:hAnsi="Cambria"/>
                <w:sz w:val="12"/>
                <w:szCs w:val="12"/>
              </w:rPr>
              <w:t>MEDI8897</w:t>
            </w:r>
          </w:p>
        </w:tc>
        <w:tc>
          <w:tcPr>
            <w:tcW w:w="992" w:type="dxa"/>
            <w:gridSpan w:val="2"/>
          </w:tcPr>
          <w:p w14:paraId="0CF2F00F" w14:textId="7CF7F8C1" w:rsidR="005510AF"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MedImmune</w:t>
            </w:r>
          </w:p>
        </w:tc>
        <w:tc>
          <w:tcPr>
            <w:tcW w:w="958" w:type="dxa"/>
          </w:tcPr>
          <w:p w14:paraId="5EF01F7A" w14:textId="22A8A956"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In vitro-optimized human mAb with YTE mutation in Fc</w:t>
            </w:r>
          </w:p>
        </w:tc>
        <w:tc>
          <w:tcPr>
            <w:tcW w:w="738" w:type="dxa"/>
          </w:tcPr>
          <w:p w14:paraId="3CF475B8" w14:textId="3B750635"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886" w:type="dxa"/>
          </w:tcPr>
          <w:p w14:paraId="0954EAFD" w14:textId="137C016A"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941" w:type="dxa"/>
          </w:tcPr>
          <w:p w14:paraId="19C7A8E8" w14:textId="0286A029" w:rsidR="005510AF"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Antibody targeting site </w:t>
            </w:r>
            <w:r w:rsidRPr="0046661A">
              <w:rPr>
                <w:rFonts w:ascii="Cambria" w:hAnsi="Cambria"/>
                <w:sz w:val="12"/>
                <w:szCs w:val="12"/>
              </w:rPr>
              <w:t>Ø</w:t>
            </w:r>
            <w:r>
              <w:rPr>
                <w:rFonts w:ascii="Cambria" w:hAnsi="Cambria"/>
                <w:sz w:val="12"/>
                <w:szCs w:val="12"/>
              </w:rPr>
              <w:t xml:space="preserve"> of the F protein of RSV with an extended half-life</w:t>
            </w:r>
          </w:p>
        </w:tc>
        <w:tc>
          <w:tcPr>
            <w:tcW w:w="979" w:type="dxa"/>
          </w:tcPr>
          <w:p w14:paraId="1BA77A37" w14:textId="174EF10A"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P</w:t>
            </w:r>
          </w:p>
        </w:tc>
        <w:tc>
          <w:tcPr>
            <w:tcW w:w="1088" w:type="dxa"/>
          </w:tcPr>
          <w:p w14:paraId="030850B9" w14:textId="69967091"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IV/IM</w:t>
            </w:r>
          </w:p>
        </w:tc>
        <w:tc>
          <w:tcPr>
            <w:tcW w:w="738" w:type="dxa"/>
          </w:tcPr>
          <w:p w14:paraId="710D7A48" w14:textId="15ADC6D6"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II</w:t>
            </w:r>
          </w:p>
        </w:tc>
        <w:tc>
          <w:tcPr>
            <w:tcW w:w="738" w:type="dxa"/>
          </w:tcPr>
          <w:p w14:paraId="04AF8FAF" w14:textId="01BB015E" w:rsidR="005510AF"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Cotton rats, cynomolgus monkeys</w:t>
            </w:r>
          </w:p>
          <w:p w14:paraId="2D191B63" w14:textId="45C9696C"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fldChar w:fldCharType="begin" w:fldLock="1"/>
            </w:r>
            <w:r w:rsidR="00A828B0">
              <w:rPr>
                <w:rFonts w:ascii="Cambria" w:hAnsi="Cambria"/>
                <w:sz w:val="12"/>
                <w:szCs w:val="12"/>
              </w:rPr>
              <w:instrText>ADDIN CSL_CITATION { "citationItems" : [ { "id" : "ITEM-1", "itemData" : { "DOI" : "10.1126/scitranslmed.aaj1928", "ISSN" : "1946-6242", "PMID" : "28469033", "abstract" : "Prevention of respiratory syncytial virus (RSV) illness in all infants is a major public health priority. However, no vaccine is currently available to protect this vulnerable population. Palivizumab, the only approved agent for RSV prophylaxis, is limited to high-risk infants, and the cost associated with the requirement for dosing throughout the RSV season makes its use impractical for all infants. We describe the development of a monoclonal antibody as potential RSV prophylaxis for all infants with a single intramuscular dose. MEDI8897*, a highly potent human antibody, was optimized from antibody D25, which targets the prefusion conformation of the RSV fusion (F) protein. Crystallographic analysis of Fab in complex with RSV F from subtypes A and B reveals that MEDI8897* binds a highly conserved epitope. MEDI8897* neutralizes a diverse panel of RSV A and B strains with &gt;50-fold higher activity than palivizumab. At similar serum concentrations, prophylactic administration of MEDI8897* was ninefold more potent than palivizumab at reducing pulmonary viral loads by &gt;3 logs in cotton rats infected with either RSV A or B subtypes. MEDI8897 was generated by the introduction of triple amino acid substitutions (YTE) into the Fc domain of MEDI8897*, which led to more than threefold increased half-life in cynomolgus monkeys compared to non-YTE antibody. Considering the pharmacokinetics of palivizumab in infants, which necessitates five monthly doses for protection during an RSV season, the high potency and extended half-life of MEDI8897 support its development as a cost-effective option to protect all infants from RSV disease with once-per-RSV-season dosing in the clinic.", "author" : [ { "dropping-particle" : "", "family" : "Zhu", "given" : "Qing", "non-dropping-particle" : "", "parse-names" : false, "suffix" : "" }, { "dropping-particle" : "", "family" : "McLellan", "given" : "Jason S", "non-dropping-particle" : "", "parse-names" : false, "suffix" : "" }, { "dropping-particle" : "", "family" : "Kallewaard", "given" : "Nicole L", "non-dropping-particle" : "", "parse-names" : false, "suffix" : "" }, { "dropping-particle" : "", "family" : "Ulbrandt", "given" : "Nancy D", "non-dropping-particle" : "", "parse-names" : false, "suffix" : "" }, { "dropping-particle" : "", "family" : "Palaszynski", "given" : "Susan", "non-dropping-particle" : "", "parse-names" : false, "suffix" : "" }, { "dropping-particle" : "", "family" : "Zhang", "given" : "Jing", "non-dropping-particle" : "", "parse-names" : false, "suffix" : "" }, { "dropping-particle" : "", "family" : "Moldt", "given" : "Brian", "non-dropping-particle" : "", "parse-names" : false, "suffix" : "" }, { "dropping-particle" : "", "family" : "Khan", "given" : "Anis", "non-dropping-particle" : "", "parse-names" : false, "suffix" : "" }, { "dropping-particle" : "", "family" : "Svabek", "given" : "Catherine", "non-dropping-particle" : "", "parse-names" : false, "suffix" : "" }, { "dropping-particle" : "", "family" : "McAuliffe", "given" : "Josephine M", "non-dropping-particle" : "", "parse-names" : false, "suffix" : "" }, { "dropping-particle" : "", "family" : "Wrapp", "given" : "Daniel", "non-dropping-particle" : "", "parse-names" : false, "suffix" : "" }, { "dropping-particle" : "", "family" : "Patel", "given" : "Nita K", "non-dropping-particle" : "", "parse-names" : false, "suffix" : "" }, { "dropping-particle" : "", "family" : "Cook", "given" : "Kimberly E", "non-dropping-particle" : "", "parse-names" : false, "suffix" : "" }, { "dropping-particle" : "", "family" : "Richter", "given" : "Bettina W M", "non-dropping-particle" : "", "parse-names" : false, "suffix" : "" }, { "dropping-particle" : "", "family" : "Ryan", "given" : "Patricia C", "non-dropping-particle" : "", "parse-names" : false, "suffix" : "" }, { "dropping-particle" : "", "family" : "Yuan", "given" : "Andy Q", "non-dropping-particle" : "", "parse-names" : false, "suffix" : "" }, { "dropping-particle" : "", "family" : "Suzich", "given" : "JoAnn A", "non-dropping-particle" : "", "parse-names" : false, "suffix" : "" } ], "container-title" : "Science translational medicine", "id" : "ITEM-1", "issue" : "388", "issued" : { "date-parts" : [ [ "2017", "5", "3" ] ] }, "page" : "eaaj1928", "title" : "A highly potent extended half-life antibody as a potential RSV vaccine surrogate for all infants.", "type" : "article-journal", "volume" : "9" }, "uris" : [ "http://www.mendeley.com/documents/?uuid=a2c15821-8b0d-31f2-ab29-2efc68b9ea12" ] } ], "mendeley" : { "formattedCitation" : "(68)", "plainTextFormattedCitation" : "(68)", "previouslyFormattedCitation" : "(68)" }, "properties" : { "noteIndex" : 0 }, "schema" : "https://github.com/citation-style-language/schema/raw/master/csl-citation.json" }</w:instrText>
            </w:r>
            <w:r>
              <w:rPr>
                <w:rFonts w:ascii="Cambria" w:hAnsi="Cambria"/>
                <w:sz w:val="12"/>
                <w:szCs w:val="12"/>
              </w:rPr>
              <w:fldChar w:fldCharType="separate"/>
            </w:r>
            <w:r w:rsidR="00D83E6A" w:rsidRPr="00D83E6A">
              <w:rPr>
                <w:rFonts w:ascii="Cambria" w:hAnsi="Cambria"/>
                <w:noProof/>
                <w:sz w:val="12"/>
                <w:szCs w:val="12"/>
              </w:rPr>
              <w:t>(68)</w:t>
            </w:r>
            <w:r>
              <w:rPr>
                <w:rFonts w:ascii="Cambria" w:hAnsi="Cambria"/>
                <w:sz w:val="12"/>
                <w:szCs w:val="12"/>
              </w:rPr>
              <w:fldChar w:fldCharType="end"/>
            </w:r>
          </w:p>
        </w:tc>
        <w:tc>
          <w:tcPr>
            <w:tcW w:w="738" w:type="dxa"/>
          </w:tcPr>
          <w:p w14:paraId="16D52AD8" w14:textId="0AD94B68" w:rsidR="005510AF" w:rsidRDefault="005510AF" w:rsidP="008313BB">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Apr 2014- Jun 2015</w:t>
            </w:r>
          </w:p>
          <w:p w14:paraId="3EF205AF" w14:textId="77777777" w:rsidR="005510AF" w:rsidRPr="008313BB" w:rsidRDefault="005510AF" w:rsidP="008313BB">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8313BB">
              <w:rPr>
                <w:rFonts w:ascii="Cambria" w:hAnsi="Cambria"/>
                <w:sz w:val="12"/>
                <w:szCs w:val="12"/>
              </w:rPr>
              <w:t>NCT02114268</w:t>
            </w:r>
          </w:p>
          <w:p w14:paraId="1908E982" w14:textId="2D6DC808" w:rsidR="005510AF" w:rsidRDefault="005510AF" w:rsidP="00BF2FFE">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(n=342)</w:t>
            </w:r>
          </w:p>
          <w:p w14:paraId="05F2DD4C" w14:textId="77777777" w:rsidR="005510AF" w:rsidRDefault="005510AF" w:rsidP="00BF2FFE">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p w14:paraId="76280857" w14:textId="77777777" w:rsidR="005510AF" w:rsidRDefault="005510AF" w:rsidP="00BF2FFE">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Jan 2015- Sep 2016</w:t>
            </w:r>
          </w:p>
          <w:p w14:paraId="324A008C" w14:textId="77777777" w:rsidR="005510AF" w:rsidRPr="00BF2FFE" w:rsidRDefault="005510AF" w:rsidP="00BF2FFE">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BF2FFE">
              <w:rPr>
                <w:rFonts w:ascii="Cambria" w:hAnsi="Cambria"/>
                <w:sz w:val="12"/>
                <w:szCs w:val="12"/>
              </w:rPr>
              <w:t>NCT02290340</w:t>
            </w:r>
          </w:p>
          <w:p w14:paraId="373C7FDB" w14:textId="2F265B9B"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(n=151)</w:t>
            </w:r>
          </w:p>
        </w:tc>
        <w:tc>
          <w:tcPr>
            <w:tcW w:w="885" w:type="dxa"/>
          </w:tcPr>
          <w:p w14:paraId="6EF2687E" w14:textId="77777777" w:rsidR="005510AF" w:rsidRDefault="005510AF" w:rsidP="00BF2FFE">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Nov 2016- Nov 2018</w:t>
            </w:r>
          </w:p>
          <w:p w14:paraId="6D5647B5" w14:textId="77777777" w:rsidR="005510AF" w:rsidRDefault="005510AF" w:rsidP="00BF2FFE">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sidRPr="00BF2FFE">
              <w:rPr>
                <w:rFonts w:ascii="Cambria" w:hAnsi="Cambria"/>
                <w:sz w:val="12"/>
                <w:szCs w:val="12"/>
              </w:rPr>
              <w:t>NCT02878330</w:t>
            </w:r>
          </w:p>
          <w:p w14:paraId="1C851169" w14:textId="23AAA81D" w:rsidR="005510AF" w:rsidRPr="00BF2FFE" w:rsidRDefault="005510AF" w:rsidP="00BF2FFE">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(n=1454)</w:t>
            </w:r>
          </w:p>
          <w:p w14:paraId="2701B4B3" w14:textId="77777777" w:rsidR="005510AF" w:rsidRPr="0073253E" w:rsidRDefault="005510AF" w:rsidP="007F7002">
            <w:pPr>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p>
        </w:tc>
        <w:tc>
          <w:tcPr>
            <w:tcW w:w="950" w:type="dxa"/>
            <w:gridSpan w:val="2"/>
          </w:tcPr>
          <w:p w14:paraId="077DFD17" w14:textId="786B9450" w:rsidR="005510AF" w:rsidRPr="0073253E"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N/A</w:t>
            </w:r>
          </w:p>
        </w:tc>
        <w:tc>
          <w:tcPr>
            <w:tcW w:w="1808" w:type="dxa"/>
          </w:tcPr>
          <w:p w14:paraId="58A65E83" w14:textId="7E3016AA" w:rsidR="005510AF"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PhI; well-tolerated,,</w:t>
            </w:r>
          </w:p>
          <w:p w14:paraId="01346423" w14:textId="777B9178" w:rsidR="005510AF"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Mean half-life 85-117d;</w:t>
            </w:r>
          </w:p>
          <w:p w14:paraId="0332260A" w14:textId="0A4BBBA9" w:rsidR="005510AF"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 xml:space="preserve">time to max concentration </w:t>
            </w:r>
          </w:p>
          <w:p w14:paraId="18906821" w14:textId="15E26C58" w:rsidR="005510AF"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5-9 days; bioavailability 77%</w:t>
            </w:r>
          </w:p>
          <w:p w14:paraId="2005AD61" w14:textId="2FA1BF83" w:rsidR="005510AF"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t>in healthy adults (n=136)</w:t>
            </w:r>
          </w:p>
          <w:p w14:paraId="07630877" w14:textId="27427022" w:rsidR="005510AF" w:rsidRPr="0073253E" w:rsidRDefault="005510AF" w:rsidP="007F7002">
            <w:pPr>
              <w:ind w:left="2160" w:hanging="2160"/>
              <w:jc w:val="center"/>
              <w:cnfStyle w:val="000000000000" w:firstRow="0" w:lastRow="0" w:firstColumn="0" w:lastColumn="0" w:oddVBand="0" w:evenVBand="0" w:oddHBand="0" w:evenHBand="0" w:firstRowFirstColumn="0" w:firstRowLastColumn="0" w:lastRowFirstColumn="0" w:lastRowLastColumn="0"/>
              <w:rPr>
                <w:rFonts w:ascii="Cambria" w:hAnsi="Cambria"/>
                <w:sz w:val="12"/>
                <w:szCs w:val="12"/>
              </w:rPr>
            </w:pPr>
            <w:r>
              <w:rPr>
                <w:rFonts w:ascii="Cambria" w:hAnsi="Cambria"/>
                <w:sz w:val="12"/>
                <w:szCs w:val="12"/>
              </w:rPr>
              <w:fldChar w:fldCharType="begin" w:fldLock="1"/>
            </w:r>
            <w:r w:rsidR="00B707E2">
              <w:rPr>
                <w:rFonts w:ascii="Cambria" w:hAnsi="Cambria"/>
                <w:sz w:val="12"/>
                <w:szCs w:val="12"/>
              </w:rPr>
              <w:instrText>ADDIN CSL_CITATION { "citationItems" : [ { "id" : "ITEM-1", "itemData" : { "DOI" : "10.1128/AAC.01714-16", "ISSN" : "1098-6596", "PMID" : "27956428", "abstract" : "Prevention of respiratory syncytial virus (RSV) illness in infants is a major public health priority, but there is no approved vaccine. Palivizumab is a monoclonal antibody that provides RSV prophylaxis but requires 5 monthly injections and is approved only for infants who experience the greatest morbidity and mortality from RSV. Thus, there remains a significant unmet medical need for prevention of RSV disease in healthy infants. MEDI8897 is a recombinant human RSV monoclonal antibody with a modified Fc region that extends its half-life and is being developed as RSV prophylaxis for all infants. In this phase 1, first-in-human, placebo-controlled study, 136 healthy adults were randomized to receive a single dose of MEDI8897 (n = 102) or placebo (n = 34) in 1 of 5 cohorts (300, 1,000, or 3,000 mg intravenously or 100 or 300 mg intramuscularly [i.m.]) and were monitored for 360 days. The mean half-life of MEDI8897 was 85 to 117 days across dose groups, and bioavailability after 300-mg i.m. dose administration was 77%. Time to maximum concentration following i.m. dosing was 5 to 9 days. Antidrug antibody (ADA) responses were detected in a similar proportion of placebo (15.2%) and MEDI8897 (13.7%) recipients. The safety profile of MEDI8897 was similar to that of the placebo. These results support clinical studies of the i.m. administration of a single dose of MEDI8897 in the target population of infants to provide protection for the duration of the RSV season. (This study has been registered at ClinicalTrials.gov under identifier NCT02114268.).", "author" : [ { "dropping-particle" : "", "family" : "Griffin", "given" : "M Pamela", "non-dropping-particle" : "", "parse-names" : false, "suffix" : "" }, { "dropping-particle" : "", "family" : "Khan", "given" : "Anis A", "non-dropping-particle" : "", "parse-names" : false, "suffix" : "" }, { "dropping-particle" : "", "family" : "Esser", "given" : "Mark T", "non-dropping-particle" : "", "parse-names" : false, "suffix" : "" }, { "dropping-particle" : "", "family" : "Jensen", "given" : "Kathryn", "non-dropping-particle" : "", "parse-names" : false, "suffix" : "" }, { "dropping-particle" : "", "family" : "Takas", "given" : "Therese", "non-dropping-particle" : "", "parse-names" : false, "suffix" : "" }, { "dropping-particle" : "", "family" : "Kankam", "given" : "Martin K", "non-dropping-particle" : "", "parse-names" : false, "suffix" : "" }, { "dropping-particle" : "", "family" : "Villafana", "given" : "Tonya", "non-dropping-particle" : "", "parse-names" : false, "suffix" : "" }, { "dropping-particle" : "", "family" : "Dubovsky", "given" : "Filip", "non-dropping-particle" : "", "parse-names" : false, "suffix" : "" } ], "container-title" : "Antimicrobial agents and chemotherapy", "id" : "ITEM-1", "issue" : "3", "issued" : { "date-parts" : [ [ "2017", "3", "1" ] ] }, "page" : "e01714-16", "title" : "Safety, Tolerability, and Pharmacokinetics of MEDI8897, the Respiratory Syncytial Virus Prefusion F-Targeting Monoclonal Antibody with an Extended Half-Life, in Healthy Adults.", "type" : "article-journal", "volume" : "61" }, "uris" : [ "http://www.mendeley.com/documents/?uuid=6a48e9cc-3f22-3a3b-9afb-bf488ed2aa67" ] } ], "mendeley" : { "formattedCitation" : "(148)", "plainTextFormattedCitation" : "(148)", "previouslyFormattedCitation" : "(147)" }, "properties" : { "noteIndex" : 0 }, "schema" : "https://github.com/citation-style-language/schema/raw/master/csl-citation.json" }</w:instrText>
            </w:r>
            <w:r>
              <w:rPr>
                <w:rFonts w:ascii="Cambria" w:hAnsi="Cambria"/>
                <w:sz w:val="12"/>
                <w:szCs w:val="12"/>
              </w:rPr>
              <w:fldChar w:fldCharType="separate"/>
            </w:r>
            <w:r w:rsidR="00B707E2" w:rsidRPr="00B707E2">
              <w:rPr>
                <w:rFonts w:ascii="Cambria" w:hAnsi="Cambria"/>
                <w:noProof/>
                <w:sz w:val="12"/>
                <w:szCs w:val="12"/>
              </w:rPr>
              <w:t>(148)</w:t>
            </w:r>
            <w:r>
              <w:rPr>
                <w:rFonts w:ascii="Cambria" w:hAnsi="Cambria"/>
                <w:sz w:val="12"/>
                <w:szCs w:val="12"/>
              </w:rPr>
              <w:fldChar w:fldCharType="end"/>
            </w:r>
          </w:p>
        </w:tc>
      </w:tr>
      <w:tr w:rsidR="005510AF" w:rsidRPr="0073253E" w14:paraId="677AF1DE" w14:textId="77777777" w:rsidTr="000270CD">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1135" w:type="dxa"/>
          </w:tcPr>
          <w:p w14:paraId="328B8BAD" w14:textId="2CC5E2EC" w:rsidR="005510AF" w:rsidRPr="0073253E" w:rsidRDefault="005510AF" w:rsidP="007F7002">
            <w:pPr>
              <w:jc w:val="center"/>
              <w:rPr>
                <w:rFonts w:ascii="Cambria" w:hAnsi="Cambria"/>
                <w:sz w:val="12"/>
                <w:szCs w:val="12"/>
              </w:rPr>
            </w:pPr>
          </w:p>
        </w:tc>
        <w:tc>
          <w:tcPr>
            <w:tcW w:w="992" w:type="dxa"/>
            <w:gridSpan w:val="2"/>
          </w:tcPr>
          <w:p w14:paraId="2EE41BA0" w14:textId="223AC87B"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958" w:type="dxa"/>
          </w:tcPr>
          <w:p w14:paraId="2E7A42FE" w14:textId="39C0A76F"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738" w:type="dxa"/>
          </w:tcPr>
          <w:p w14:paraId="2368C744" w14:textId="77777777"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886" w:type="dxa"/>
          </w:tcPr>
          <w:p w14:paraId="05B15000" w14:textId="77777777"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941" w:type="dxa"/>
          </w:tcPr>
          <w:p w14:paraId="771B02E6" w14:textId="77777777" w:rsidR="005510AF"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p w14:paraId="7E56D0BC" w14:textId="7A3D7191" w:rsidR="005510AF" w:rsidRPr="0073253E" w:rsidRDefault="005510AF" w:rsidP="000270CD">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979" w:type="dxa"/>
          </w:tcPr>
          <w:p w14:paraId="6392BA1A" w14:textId="77777777"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1088" w:type="dxa"/>
          </w:tcPr>
          <w:p w14:paraId="0EFA5063" w14:textId="77777777"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738" w:type="dxa"/>
          </w:tcPr>
          <w:p w14:paraId="446B665F" w14:textId="77777777"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738" w:type="dxa"/>
          </w:tcPr>
          <w:p w14:paraId="67431F67" w14:textId="77777777"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738" w:type="dxa"/>
          </w:tcPr>
          <w:p w14:paraId="33EAB0BF" w14:textId="3A615E4C"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885" w:type="dxa"/>
          </w:tcPr>
          <w:p w14:paraId="4D8B4D80" w14:textId="77777777" w:rsidR="005510AF" w:rsidRPr="0073253E" w:rsidRDefault="005510AF" w:rsidP="007F7002">
            <w:pPr>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950" w:type="dxa"/>
            <w:gridSpan w:val="2"/>
          </w:tcPr>
          <w:p w14:paraId="027AE4D8" w14:textId="77777777" w:rsidR="005510AF" w:rsidRPr="0073253E"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c>
          <w:tcPr>
            <w:tcW w:w="1808" w:type="dxa"/>
          </w:tcPr>
          <w:p w14:paraId="40C0C95E" w14:textId="77777777" w:rsidR="005510AF" w:rsidRPr="0073253E" w:rsidRDefault="005510AF" w:rsidP="007F7002">
            <w:pPr>
              <w:ind w:left="2160" w:hanging="2160"/>
              <w:jc w:val="center"/>
              <w:cnfStyle w:val="000000100000" w:firstRow="0" w:lastRow="0" w:firstColumn="0" w:lastColumn="0" w:oddVBand="0" w:evenVBand="0" w:oddHBand="1" w:evenHBand="0" w:firstRowFirstColumn="0" w:firstRowLastColumn="0" w:lastRowFirstColumn="0" w:lastRowLastColumn="0"/>
              <w:rPr>
                <w:rFonts w:ascii="Cambria" w:hAnsi="Cambria"/>
                <w:sz w:val="12"/>
                <w:szCs w:val="12"/>
              </w:rPr>
            </w:pPr>
          </w:p>
        </w:tc>
      </w:tr>
    </w:tbl>
    <w:p w14:paraId="3E7EF335" w14:textId="0FAB8162" w:rsidR="00FD376F" w:rsidRPr="00FD376F" w:rsidRDefault="00FD376F" w:rsidP="00FD376F">
      <w:pPr>
        <w:jc w:val="both"/>
        <w:rPr>
          <w:rFonts w:ascii="Cambria" w:hAnsi="Cambria"/>
        </w:rPr>
      </w:pPr>
    </w:p>
    <w:p w14:paraId="783127D4" w14:textId="03CBAB9B" w:rsidR="00BF5B17" w:rsidRDefault="00943CF0">
      <w:r>
        <w:t xml:space="preserve">Legend: N/A: not applicable or not available, IM: intramuscular, ID: intradermal, IN: intranasal, </w:t>
      </w:r>
      <w:r w:rsidR="002625BD">
        <w:t xml:space="preserve">IV: intravenous; </w:t>
      </w:r>
      <w:r>
        <w:t xml:space="preserve">ARD: acute respiratory disease, PCA: palivizumab-competing antibodies, P: pediatric, M: maternal, </w:t>
      </w:r>
      <w:r w:rsidR="00DA4993">
        <w:t>O</w:t>
      </w:r>
      <w:r>
        <w:t xml:space="preserve">: </w:t>
      </w:r>
      <w:r w:rsidR="00E41806">
        <w:t>older adults, SHe: small hydrophobic protein ectodomain</w:t>
      </w:r>
      <w:r w:rsidR="00BF7DB7">
        <w:t xml:space="preserve">; RSV ARD: all symptomatic respiratory disease due to RSV; msLRTD: moderate-severe RSV-associated </w:t>
      </w:r>
      <w:r w:rsidR="009461B0">
        <w:t>lower respiratory tract disease; NIAID: National Institutes of Allergy and Infectious Diseases; VRC: Vaccine Research Center; NIH: National Institute of Health</w:t>
      </w:r>
      <w:r w:rsidR="009C034C">
        <w:t>, Ab: antibody</w:t>
      </w:r>
      <w:r w:rsidR="00080534">
        <w:t>, aa: amino acid</w:t>
      </w:r>
      <w:r w:rsidR="009461B0">
        <w:t>.</w:t>
      </w:r>
    </w:p>
    <w:p w14:paraId="590AFC5D" w14:textId="798A0EE3" w:rsidR="00BF5B17" w:rsidRDefault="00BF5B17">
      <w:pPr>
        <w:sectPr w:rsidR="00BF5B17" w:rsidSect="00BF5B17">
          <w:pgSz w:w="15840" w:h="12240" w:orient="landscape"/>
          <w:pgMar w:top="284" w:right="1440" w:bottom="284" w:left="1440" w:header="720" w:footer="720" w:gutter="0"/>
          <w:cols w:space="720"/>
        </w:sectPr>
      </w:pPr>
      <w:r>
        <w:br w:type="page"/>
      </w:r>
    </w:p>
    <w:p w14:paraId="2744FBFE" w14:textId="2620F2AF" w:rsidR="00594212" w:rsidRDefault="00594212"/>
    <w:p w14:paraId="212EBC05" w14:textId="450F66CB" w:rsidR="00BF5B17" w:rsidRDefault="00BF5B17" w:rsidP="00BF5B17">
      <w:pPr>
        <w:jc w:val="both"/>
        <w:rPr>
          <w:rFonts w:ascii="Cambria" w:hAnsi="Cambria"/>
        </w:rPr>
      </w:pPr>
      <w:r>
        <w:t>Table 2</w:t>
      </w:r>
      <w:r w:rsidRPr="00BF5B17">
        <w:rPr>
          <w:rFonts w:ascii="Cambria" w:hAnsi="Cambria"/>
        </w:rPr>
        <w:t xml:space="preserve"> </w:t>
      </w:r>
      <w:r>
        <w:rPr>
          <w:rFonts w:ascii="Cambria" w:hAnsi="Cambria"/>
        </w:rPr>
        <w:t>Overview of vaccines and mAbs by target population</w:t>
      </w:r>
    </w:p>
    <w:p w14:paraId="71ACCBC1" w14:textId="25BB953B" w:rsidR="00BF5B17" w:rsidRDefault="00BF5B17"/>
    <w:tbl>
      <w:tblPr>
        <w:tblStyle w:val="LightShading"/>
        <w:tblW w:w="0" w:type="auto"/>
        <w:tblLook w:val="04A0" w:firstRow="1" w:lastRow="0" w:firstColumn="1" w:lastColumn="0" w:noHBand="0" w:noVBand="1"/>
      </w:tblPr>
      <w:tblGrid>
        <w:gridCol w:w="2706"/>
        <w:gridCol w:w="2706"/>
        <w:gridCol w:w="2706"/>
      </w:tblGrid>
      <w:tr w:rsidR="00BF5B17" w:rsidRPr="0095624A" w14:paraId="11B34FDB" w14:textId="77777777" w:rsidTr="00BF5B17">
        <w:trPr>
          <w:cnfStyle w:val="100000000000" w:firstRow="1" w:lastRow="0" w:firstColumn="0" w:lastColumn="0" w:oddVBand="0" w:evenVBand="0" w:oddHBand="0"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2706" w:type="dxa"/>
          </w:tcPr>
          <w:p w14:paraId="2858B20E" w14:textId="77777777" w:rsidR="00BF5B17" w:rsidRPr="0095624A" w:rsidRDefault="00BF5B17" w:rsidP="00BF5B17">
            <w:pPr>
              <w:jc w:val="both"/>
              <w:rPr>
                <w:rFonts w:ascii="Times" w:hAnsi="Times"/>
                <w:sz w:val="16"/>
                <w:szCs w:val="16"/>
              </w:rPr>
            </w:pPr>
            <w:r w:rsidRPr="0095624A">
              <w:rPr>
                <w:rFonts w:ascii="Times" w:hAnsi="Times"/>
                <w:sz w:val="16"/>
                <w:szCs w:val="16"/>
              </w:rPr>
              <w:t>Target Population</w:t>
            </w:r>
          </w:p>
        </w:tc>
        <w:tc>
          <w:tcPr>
            <w:tcW w:w="2706" w:type="dxa"/>
          </w:tcPr>
          <w:p w14:paraId="6DB390B6" w14:textId="77777777" w:rsidR="00BF5B17" w:rsidRPr="0095624A" w:rsidRDefault="00BF5B17" w:rsidP="00BF5B17">
            <w:pPr>
              <w:jc w:val="both"/>
              <w:cnfStyle w:val="100000000000" w:firstRow="1"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Vaccine</w:t>
            </w:r>
          </w:p>
        </w:tc>
        <w:tc>
          <w:tcPr>
            <w:tcW w:w="2706" w:type="dxa"/>
          </w:tcPr>
          <w:p w14:paraId="1CC376DA" w14:textId="77777777" w:rsidR="00BF5B17" w:rsidRPr="0095624A" w:rsidRDefault="00BF5B17" w:rsidP="00BF5B17">
            <w:pPr>
              <w:jc w:val="both"/>
              <w:cnfStyle w:val="100000000000" w:firstRow="1"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Vaccine type</w:t>
            </w:r>
          </w:p>
        </w:tc>
      </w:tr>
      <w:tr w:rsidR="00BF5B17" w:rsidRPr="0095624A" w14:paraId="5D696995" w14:textId="77777777" w:rsidTr="00BF5B17">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706" w:type="dxa"/>
          </w:tcPr>
          <w:p w14:paraId="270B430D" w14:textId="77777777" w:rsidR="00BF5B17" w:rsidRPr="00794FA0" w:rsidRDefault="00BF5B17" w:rsidP="00BF5B17">
            <w:pPr>
              <w:rPr>
                <w:rFonts w:ascii="Times" w:hAnsi="Times"/>
                <w:b w:val="0"/>
                <w:sz w:val="16"/>
                <w:szCs w:val="16"/>
              </w:rPr>
            </w:pPr>
            <w:r w:rsidRPr="00794FA0">
              <w:rPr>
                <w:rFonts w:ascii="Times" w:hAnsi="Times"/>
                <w:b w:val="0"/>
                <w:sz w:val="16"/>
                <w:szCs w:val="16"/>
              </w:rPr>
              <w:t>Pregnant mothers</w:t>
            </w:r>
          </w:p>
        </w:tc>
        <w:tc>
          <w:tcPr>
            <w:tcW w:w="2706" w:type="dxa"/>
          </w:tcPr>
          <w:p w14:paraId="76180FED"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p>
        </w:tc>
        <w:tc>
          <w:tcPr>
            <w:tcW w:w="2706" w:type="dxa"/>
          </w:tcPr>
          <w:p w14:paraId="1427FEDF"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p>
        </w:tc>
      </w:tr>
      <w:tr w:rsidR="00BF5B17" w:rsidRPr="0095624A" w14:paraId="02D98E5F" w14:textId="77777777" w:rsidTr="00BF5B17">
        <w:trPr>
          <w:trHeight w:val="354"/>
        </w:trPr>
        <w:tc>
          <w:tcPr>
            <w:cnfStyle w:val="001000000000" w:firstRow="0" w:lastRow="0" w:firstColumn="1" w:lastColumn="0" w:oddVBand="0" w:evenVBand="0" w:oddHBand="0" w:evenHBand="0" w:firstRowFirstColumn="0" w:firstRowLastColumn="0" w:lastRowFirstColumn="0" w:lastRowLastColumn="0"/>
            <w:tcW w:w="2706" w:type="dxa"/>
          </w:tcPr>
          <w:p w14:paraId="3004584A" w14:textId="564EAFA6" w:rsidR="00BF5B17" w:rsidRPr="00794FA0" w:rsidRDefault="00C07BFE" w:rsidP="00BF5B17">
            <w:pPr>
              <w:jc w:val="center"/>
              <w:rPr>
                <w:rFonts w:ascii="Times" w:hAnsi="Times"/>
                <w:b w:val="0"/>
                <w:sz w:val="16"/>
                <w:szCs w:val="16"/>
              </w:rPr>
            </w:pPr>
            <w:r w:rsidRPr="00794FA0">
              <w:rPr>
                <w:rFonts w:ascii="Times" w:hAnsi="Times"/>
                <w:b w:val="0"/>
                <w:sz w:val="16"/>
                <w:szCs w:val="16"/>
              </w:rPr>
              <w:t>Third trimester</w:t>
            </w:r>
          </w:p>
        </w:tc>
        <w:tc>
          <w:tcPr>
            <w:tcW w:w="2706" w:type="dxa"/>
          </w:tcPr>
          <w:p w14:paraId="31BBDC96"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RSV F nanoparticle</w:t>
            </w:r>
          </w:p>
          <w:p w14:paraId="0F0A27D5"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(Novavax)</w:t>
            </w:r>
          </w:p>
        </w:tc>
        <w:tc>
          <w:tcPr>
            <w:tcW w:w="2706" w:type="dxa"/>
          </w:tcPr>
          <w:p w14:paraId="13A6D8D8"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Nanoparticle</w:t>
            </w:r>
          </w:p>
        </w:tc>
      </w:tr>
      <w:tr w:rsidR="00BF5B17" w:rsidRPr="0095624A" w14:paraId="52D333D9" w14:textId="77777777" w:rsidTr="00BF5B17">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706" w:type="dxa"/>
          </w:tcPr>
          <w:p w14:paraId="6F3772F4" w14:textId="77777777" w:rsidR="00BF5B17" w:rsidRPr="00794FA0" w:rsidRDefault="00BF5B17" w:rsidP="00BF5B17">
            <w:pPr>
              <w:jc w:val="center"/>
              <w:rPr>
                <w:rFonts w:ascii="Times" w:hAnsi="Times"/>
                <w:b w:val="0"/>
                <w:sz w:val="16"/>
                <w:szCs w:val="16"/>
              </w:rPr>
            </w:pPr>
            <w:r w:rsidRPr="00794FA0">
              <w:rPr>
                <w:rFonts w:ascii="Times" w:hAnsi="Times"/>
                <w:b w:val="0"/>
                <w:sz w:val="16"/>
                <w:szCs w:val="16"/>
              </w:rPr>
              <w:t>Third trimester</w:t>
            </w:r>
          </w:p>
        </w:tc>
        <w:tc>
          <w:tcPr>
            <w:tcW w:w="2706" w:type="dxa"/>
          </w:tcPr>
          <w:p w14:paraId="3D41ED6F"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RSV F</w:t>
            </w:r>
          </w:p>
          <w:p w14:paraId="253E905F"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(GSK)</w:t>
            </w:r>
          </w:p>
        </w:tc>
        <w:tc>
          <w:tcPr>
            <w:tcW w:w="2706" w:type="dxa"/>
          </w:tcPr>
          <w:p w14:paraId="6C354634"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Subunit</w:t>
            </w:r>
          </w:p>
        </w:tc>
      </w:tr>
      <w:tr w:rsidR="00BF5B17" w:rsidRPr="0095624A" w14:paraId="5D0FFFAA" w14:textId="77777777" w:rsidTr="00BF5B17">
        <w:trPr>
          <w:trHeight w:val="168"/>
        </w:trPr>
        <w:tc>
          <w:tcPr>
            <w:cnfStyle w:val="001000000000" w:firstRow="0" w:lastRow="0" w:firstColumn="1" w:lastColumn="0" w:oddVBand="0" w:evenVBand="0" w:oddHBand="0" w:evenHBand="0" w:firstRowFirstColumn="0" w:firstRowLastColumn="0" w:lastRowFirstColumn="0" w:lastRowLastColumn="0"/>
            <w:tcW w:w="2706" w:type="dxa"/>
          </w:tcPr>
          <w:p w14:paraId="0B78E886" w14:textId="77777777" w:rsidR="00BF5B17" w:rsidRPr="00794FA0" w:rsidRDefault="00BF5B17" w:rsidP="00BF5B17">
            <w:pPr>
              <w:jc w:val="center"/>
              <w:rPr>
                <w:rFonts w:ascii="Times" w:hAnsi="Times"/>
                <w:b w:val="0"/>
                <w:sz w:val="16"/>
                <w:szCs w:val="16"/>
              </w:rPr>
            </w:pPr>
          </w:p>
        </w:tc>
        <w:tc>
          <w:tcPr>
            <w:tcW w:w="2706" w:type="dxa"/>
          </w:tcPr>
          <w:p w14:paraId="387D043E" w14:textId="77777777" w:rsidR="00BF5B17" w:rsidRPr="00603741"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lang w:val="nl-NL"/>
              </w:rPr>
            </w:pPr>
            <w:r w:rsidRPr="00603741">
              <w:rPr>
                <w:rFonts w:ascii="Times" w:hAnsi="Times"/>
                <w:sz w:val="16"/>
                <w:szCs w:val="16"/>
                <w:lang w:val="nl-NL"/>
              </w:rPr>
              <w:t>RSV F protein (NIH/NIAID/VRC)</w:t>
            </w:r>
          </w:p>
        </w:tc>
        <w:tc>
          <w:tcPr>
            <w:tcW w:w="2706" w:type="dxa"/>
          </w:tcPr>
          <w:p w14:paraId="2F1894C4"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Subunit</w:t>
            </w:r>
          </w:p>
        </w:tc>
      </w:tr>
      <w:tr w:rsidR="00BF5B17" w:rsidRPr="0095624A" w14:paraId="200EC398" w14:textId="77777777" w:rsidTr="00BF5B17">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2706" w:type="dxa"/>
          </w:tcPr>
          <w:p w14:paraId="49CFFC24" w14:textId="77777777" w:rsidR="00BF5B17" w:rsidRPr="00794FA0" w:rsidRDefault="00BF5B17" w:rsidP="00BF5B17">
            <w:pPr>
              <w:rPr>
                <w:rFonts w:ascii="Times" w:hAnsi="Times"/>
                <w:b w:val="0"/>
                <w:sz w:val="16"/>
                <w:szCs w:val="16"/>
              </w:rPr>
            </w:pPr>
            <w:r w:rsidRPr="00794FA0">
              <w:rPr>
                <w:rFonts w:ascii="Times" w:hAnsi="Times"/>
                <w:b w:val="0"/>
                <w:sz w:val="16"/>
                <w:szCs w:val="16"/>
              </w:rPr>
              <w:t>Pediatric</w:t>
            </w:r>
          </w:p>
        </w:tc>
        <w:tc>
          <w:tcPr>
            <w:tcW w:w="2706" w:type="dxa"/>
          </w:tcPr>
          <w:p w14:paraId="4B08D3AF"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p>
        </w:tc>
        <w:tc>
          <w:tcPr>
            <w:tcW w:w="2706" w:type="dxa"/>
          </w:tcPr>
          <w:p w14:paraId="2CADBBEA"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p>
        </w:tc>
      </w:tr>
      <w:tr w:rsidR="00BF5B17" w:rsidRPr="0095624A" w14:paraId="1EF15FD7" w14:textId="77777777" w:rsidTr="00BF5B17">
        <w:trPr>
          <w:trHeight w:val="354"/>
        </w:trPr>
        <w:tc>
          <w:tcPr>
            <w:cnfStyle w:val="001000000000" w:firstRow="0" w:lastRow="0" w:firstColumn="1" w:lastColumn="0" w:oddVBand="0" w:evenVBand="0" w:oddHBand="0" w:evenHBand="0" w:firstRowFirstColumn="0" w:firstRowLastColumn="0" w:lastRowFirstColumn="0" w:lastRowLastColumn="0"/>
            <w:tcW w:w="2706" w:type="dxa"/>
          </w:tcPr>
          <w:p w14:paraId="717271E9" w14:textId="679F9F2A" w:rsidR="00BF5B17" w:rsidRPr="00794FA0" w:rsidRDefault="00F53878" w:rsidP="00BF5B17">
            <w:pPr>
              <w:jc w:val="center"/>
              <w:rPr>
                <w:rFonts w:ascii="Times" w:hAnsi="Times"/>
                <w:b w:val="0"/>
                <w:sz w:val="16"/>
                <w:szCs w:val="16"/>
              </w:rPr>
            </w:pPr>
            <w:r>
              <w:rPr>
                <w:rFonts w:ascii="Times" w:hAnsi="Times"/>
                <w:b w:val="0"/>
                <w:sz w:val="16"/>
                <w:szCs w:val="16"/>
              </w:rPr>
              <w:t>6</w:t>
            </w:r>
            <w:r w:rsidR="00BF5B17" w:rsidRPr="00794FA0">
              <w:rPr>
                <w:rFonts w:ascii="Times" w:hAnsi="Times"/>
                <w:b w:val="0"/>
                <w:sz w:val="16"/>
                <w:szCs w:val="16"/>
              </w:rPr>
              <w:t>m-5y</w:t>
            </w:r>
          </w:p>
        </w:tc>
        <w:tc>
          <w:tcPr>
            <w:tcW w:w="2706" w:type="dxa"/>
          </w:tcPr>
          <w:p w14:paraId="4E88F3BA"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RSV F nanoparticle</w:t>
            </w:r>
          </w:p>
          <w:p w14:paraId="76FAF89D"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(Novavax)</w:t>
            </w:r>
          </w:p>
        </w:tc>
        <w:tc>
          <w:tcPr>
            <w:tcW w:w="2706" w:type="dxa"/>
          </w:tcPr>
          <w:p w14:paraId="15209B45"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Nanoparticle</w:t>
            </w:r>
          </w:p>
        </w:tc>
      </w:tr>
      <w:tr w:rsidR="00BF5B17" w:rsidRPr="0095624A" w14:paraId="2995E2D5" w14:textId="77777777" w:rsidTr="00BF5B17">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706" w:type="dxa"/>
          </w:tcPr>
          <w:p w14:paraId="2CF6704E" w14:textId="77777777" w:rsidR="00BF5B17" w:rsidRPr="00794FA0" w:rsidRDefault="00BF5B17" w:rsidP="00BF5B17">
            <w:pPr>
              <w:jc w:val="center"/>
              <w:rPr>
                <w:rFonts w:ascii="Times" w:hAnsi="Times"/>
                <w:b w:val="0"/>
                <w:sz w:val="16"/>
                <w:szCs w:val="16"/>
              </w:rPr>
            </w:pPr>
            <w:r w:rsidRPr="00794FA0">
              <w:rPr>
                <w:rFonts w:ascii="Times" w:hAnsi="Times"/>
                <w:b w:val="0"/>
                <w:sz w:val="16"/>
                <w:szCs w:val="16"/>
              </w:rPr>
              <w:t>Start 2m</w:t>
            </w:r>
          </w:p>
        </w:tc>
        <w:tc>
          <w:tcPr>
            <w:tcW w:w="2706" w:type="dxa"/>
          </w:tcPr>
          <w:p w14:paraId="053F38D5"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Adenovirus</w:t>
            </w:r>
          </w:p>
          <w:p w14:paraId="6573E458"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(GSK)</w:t>
            </w:r>
          </w:p>
        </w:tc>
        <w:tc>
          <w:tcPr>
            <w:tcW w:w="2706" w:type="dxa"/>
          </w:tcPr>
          <w:p w14:paraId="2A0C012D"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Vector</w:t>
            </w:r>
          </w:p>
        </w:tc>
      </w:tr>
      <w:tr w:rsidR="00BF5B17" w:rsidRPr="0095624A" w14:paraId="0A012A85" w14:textId="77777777" w:rsidTr="00BF5B17">
        <w:trPr>
          <w:trHeight w:val="334"/>
        </w:trPr>
        <w:tc>
          <w:tcPr>
            <w:cnfStyle w:val="001000000000" w:firstRow="0" w:lastRow="0" w:firstColumn="1" w:lastColumn="0" w:oddVBand="0" w:evenVBand="0" w:oddHBand="0" w:evenHBand="0" w:firstRowFirstColumn="0" w:firstRowLastColumn="0" w:lastRowFirstColumn="0" w:lastRowLastColumn="0"/>
            <w:tcW w:w="2706" w:type="dxa"/>
          </w:tcPr>
          <w:p w14:paraId="762BC3CB" w14:textId="77777777" w:rsidR="00BF5B17" w:rsidRPr="00794FA0" w:rsidRDefault="00BF5B17" w:rsidP="00BF5B17">
            <w:pPr>
              <w:jc w:val="center"/>
              <w:rPr>
                <w:rFonts w:ascii="Times" w:hAnsi="Times"/>
                <w:b w:val="0"/>
                <w:sz w:val="16"/>
                <w:szCs w:val="16"/>
              </w:rPr>
            </w:pPr>
            <w:r w:rsidRPr="00794FA0">
              <w:rPr>
                <w:rFonts w:ascii="Times" w:hAnsi="Times"/>
                <w:b w:val="0"/>
                <w:sz w:val="16"/>
                <w:szCs w:val="16"/>
              </w:rPr>
              <w:t>Start 2-3m</w:t>
            </w:r>
          </w:p>
        </w:tc>
        <w:tc>
          <w:tcPr>
            <w:tcW w:w="2706" w:type="dxa"/>
          </w:tcPr>
          <w:p w14:paraId="0803285A"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Ad</w:t>
            </w:r>
            <w:r>
              <w:rPr>
                <w:rFonts w:ascii="Times" w:hAnsi="Times"/>
                <w:sz w:val="16"/>
                <w:szCs w:val="16"/>
              </w:rPr>
              <w:t>en</w:t>
            </w:r>
            <w:r w:rsidRPr="0095624A">
              <w:rPr>
                <w:rFonts w:ascii="Times" w:hAnsi="Times"/>
                <w:sz w:val="16"/>
                <w:szCs w:val="16"/>
              </w:rPr>
              <w:t>ovirus</w:t>
            </w:r>
          </w:p>
          <w:p w14:paraId="7C2FC3DB"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(Janssen)</w:t>
            </w:r>
          </w:p>
        </w:tc>
        <w:tc>
          <w:tcPr>
            <w:tcW w:w="2706" w:type="dxa"/>
          </w:tcPr>
          <w:p w14:paraId="4F79AD7B"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Vector</w:t>
            </w:r>
          </w:p>
        </w:tc>
      </w:tr>
      <w:tr w:rsidR="00BF5B17" w:rsidRPr="0095624A" w14:paraId="3409C2D5" w14:textId="77777777" w:rsidTr="00BF5B17">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706" w:type="dxa"/>
          </w:tcPr>
          <w:p w14:paraId="69C8D3D5" w14:textId="77777777" w:rsidR="00BF5B17" w:rsidRPr="00794FA0" w:rsidRDefault="00BF5B17" w:rsidP="00BF5B17">
            <w:pPr>
              <w:jc w:val="center"/>
              <w:rPr>
                <w:rFonts w:ascii="Times" w:hAnsi="Times"/>
                <w:b w:val="0"/>
                <w:sz w:val="16"/>
                <w:szCs w:val="16"/>
              </w:rPr>
            </w:pPr>
          </w:p>
        </w:tc>
        <w:tc>
          <w:tcPr>
            <w:tcW w:w="2706" w:type="dxa"/>
          </w:tcPr>
          <w:p w14:paraId="58736FF7"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cs="Lucida Grande"/>
                <w:color w:val="000000"/>
                <w:sz w:val="16"/>
                <w:szCs w:val="16"/>
              </w:rPr>
            </w:pPr>
            <w:r w:rsidRPr="0095624A">
              <w:rPr>
                <w:rFonts w:ascii="Times" w:hAnsi="Times" w:cs="Lucida Grande"/>
                <w:color w:val="000000"/>
                <w:sz w:val="16"/>
                <w:szCs w:val="16"/>
              </w:rPr>
              <w:t>BCG/RSV</w:t>
            </w:r>
          </w:p>
          <w:p w14:paraId="5F9B2B8C"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cs="Lucida Grande"/>
                <w:color w:val="000000"/>
                <w:sz w:val="16"/>
                <w:szCs w:val="16"/>
              </w:rPr>
              <w:t>(Pontificia Unversidad Catolica de Chile)</w:t>
            </w:r>
          </w:p>
        </w:tc>
        <w:tc>
          <w:tcPr>
            <w:tcW w:w="2706" w:type="dxa"/>
          </w:tcPr>
          <w:p w14:paraId="5EE28B60"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Pr>
                <w:rFonts w:ascii="Times" w:hAnsi="Times"/>
                <w:sz w:val="16"/>
                <w:szCs w:val="16"/>
              </w:rPr>
              <w:t>Chimeric</w:t>
            </w:r>
          </w:p>
        </w:tc>
      </w:tr>
      <w:tr w:rsidR="00BF5B17" w:rsidRPr="0095624A" w14:paraId="1B90D57C" w14:textId="77777777" w:rsidTr="00BF5B17">
        <w:trPr>
          <w:trHeight w:val="334"/>
        </w:trPr>
        <w:tc>
          <w:tcPr>
            <w:cnfStyle w:val="001000000000" w:firstRow="0" w:lastRow="0" w:firstColumn="1" w:lastColumn="0" w:oddVBand="0" w:evenVBand="0" w:oddHBand="0" w:evenHBand="0" w:firstRowFirstColumn="0" w:firstRowLastColumn="0" w:lastRowFirstColumn="0" w:lastRowLastColumn="0"/>
            <w:tcW w:w="2706" w:type="dxa"/>
          </w:tcPr>
          <w:p w14:paraId="758440DD" w14:textId="77777777" w:rsidR="00BF5B17" w:rsidRPr="00794FA0" w:rsidRDefault="00BF5B17" w:rsidP="00BF5B17">
            <w:pPr>
              <w:jc w:val="center"/>
              <w:rPr>
                <w:rFonts w:ascii="Times" w:hAnsi="Times"/>
                <w:b w:val="0"/>
                <w:sz w:val="16"/>
                <w:szCs w:val="16"/>
              </w:rPr>
            </w:pPr>
          </w:p>
        </w:tc>
        <w:tc>
          <w:tcPr>
            <w:tcW w:w="2706" w:type="dxa"/>
          </w:tcPr>
          <w:p w14:paraId="6DB9562B" w14:textId="77777777" w:rsidR="00BF5B17"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cs="Lucida Grande"/>
                <w:color w:val="000000"/>
                <w:sz w:val="16"/>
                <w:szCs w:val="16"/>
                <w:lang w:val="nl-NL"/>
              </w:rPr>
            </w:pPr>
            <w:r w:rsidRPr="00603741">
              <w:rPr>
                <w:rFonts w:ascii="Times" w:hAnsi="Times" w:cs="Lucida Grande"/>
                <w:color w:val="000000"/>
                <w:sz w:val="16"/>
                <w:szCs w:val="16"/>
                <w:lang w:val="nl-NL"/>
              </w:rPr>
              <w:t xml:space="preserve">RSV D46 cp </w:t>
            </w:r>
            <w:r w:rsidRPr="0095624A">
              <w:rPr>
                <w:rFonts w:ascii="Times" w:hAnsi="Times" w:cs="Lucida Grande"/>
                <w:color w:val="000000"/>
                <w:sz w:val="16"/>
                <w:szCs w:val="16"/>
              </w:rPr>
              <w:t>Δ</w:t>
            </w:r>
            <w:r w:rsidRPr="00603741">
              <w:rPr>
                <w:rFonts w:ascii="Times" w:hAnsi="Times" w:cs="Lucida Grande"/>
                <w:color w:val="000000"/>
                <w:sz w:val="16"/>
                <w:szCs w:val="16"/>
                <w:lang w:val="nl-NL"/>
              </w:rPr>
              <w:t xml:space="preserve">M2-2 </w:t>
            </w:r>
          </w:p>
          <w:p w14:paraId="7A2BA16F" w14:textId="77777777" w:rsidR="00BF5B17" w:rsidRPr="00603741"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lang w:val="nl-NL"/>
              </w:rPr>
            </w:pPr>
            <w:r w:rsidRPr="00603741">
              <w:rPr>
                <w:rFonts w:ascii="Times" w:hAnsi="Times" w:cs="Lucida Grande"/>
                <w:color w:val="000000"/>
                <w:sz w:val="16"/>
                <w:szCs w:val="16"/>
                <w:lang w:val="nl-NL"/>
              </w:rPr>
              <w:t>(Sanofi</w:t>
            </w:r>
            <w:r>
              <w:rPr>
                <w:rFonts w:ascii="Times" w:hAnsi="Times" w:cs="Lucida Grande"/>
                <w:color w:val="000000"/>
                <w:sz w:val="16"/>
                <w:szCs w:val="16"/>
                <w:lang w:val="nl-NL"/>
              </w:rPr>
              <w:t xml:space="preserve"> Pasteur</w:t>
            </w:r>
            <w:r w:rsidRPr="00603741">
              <w:rPr>
                <w:rFonts w:ascii="Times" w:hAnsi="Times" w:cs="Lucida Grande"/>
                <w:color w:val="000000"/>
                <w:sz w:val="16"/>
                <w:szCs w:val="16"/>
                <w:lang w:val="nl-NL"/>
              </w:rPr>
              <w:t>/LID/NIAID/NIH)</w:t>
            </w:r>
          </w:p>
        </w:tc>
        <w:tc>
          <w:tcPr>
            <w:tcW w:w="2706" w:type="dxa"/>
          </w:tcPr>
          <w:p w14:paraId="76DD1C3A"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Live-attenuated</w:t>
            </w:r>
          </w:p>
        </w:tc>
      </w:tr>
      <w:tr w:rsidR="00BF5B17" w:rsidRPr="0095624A" w14:paraId="0DA1DFE9" w14:textId="77777777" w:rsidTr="00BF5B17">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706" w:type="dxa"/>
          </w:tcPr>
          <w:p w14:paraId="1E5AA5A1" w14:textId="77777777" w:rsidR="00BF5B17" w:rsidRPr="00794FA0" w:rsidRDefault="00BF5B17" w:rsidP="00BF5B17">
            <w:pPr>
              <w:jc w:val="center"/>
              <w:rPr>
                <w:rFonts w:ascii="Times" w:hAnsi="Times"/>
                <w:b w:val="0"/>
                <w:sz w:val="16"/>
                <w:szCs w:val="16"/>
              </w:rPr>
            </w:pPr>
          </w:p>
        </w:tc>
        <w:tc>
          <w:tcPr>
            <w:tcW w:w="2706" w:type="dxa"/>
          </w:tcPr>
          <w:p w14:paraId="1690D214" w14:textId="77777777" w:rsidR="00BF5B17"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eastAsia="Times New Roman" w:hAnsi="Times" w:cs="Arial"/>
                <w:color w:val="000000"/>
                <w:sz w:val="16"/>
                <w:szCs w:val="16"/>
                <w:lang w:val="nl-NL" w:eastAsia="en-US"/>
              </w:rPr>
            </w:pPr>
            <w:r w:rsidRPr="00603741">
              <w:rPr>
                <w:rFonts w:ascii="Times" w:eastAsia="Times New Roman" w:hAnsi="Times" w:cs="Arial"/>
                <w:color w:val="000000"/>
                <w:sz w:val="16"/>
                <w:szCs w:val="16"/>
                <w:lang w:val="nl-NL" w:eastAsia="en-US"/>
              </w:rPr>
              <w:t xml:space="preserve">RSV LID </w:t>
            </w:r>
            <w:r w:rsidRPr="0095624A">
              <w:rPr>
                <w:rFonts w:ascii="Times" w:eastAsia="Times New Roman" w:hAnsi="Times" w:cs="Arial"/>
                <w:color w:val="000000"/>
                <w:sz w:val="16"/>
                <w:szCs w:val="16"/>
                <w:lang w:eastAsia="en-US"/>
              </w:rPr>
              <w:t>Δ</w:t>
            </w:r>
            <w:r w:rsidRPr="00603741">
              <w:rPr>
                <w:rFonts w:ascii="Times" w:eastAsia="Times New Roman" w:hAnsi="Times" w:cs="Arial"/>
                <w:color w:val="000000"/>
                <w:sz w:val="16"/>
                <w:szCs w:val="16"/>
                <w:lang w:val="nl-NL" w:eastAsia="en-US"/>
              </w:rPr>
              <w:t xml:space="preserve">M2-2 1030s </w:t>
            </w:r>
          </w:p>
          <w:p w14:paraId="4CD812C5" w14:textId="77777777" w:rsidR="00BF5B17" w:rsidRPr="00603741"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eastAsia="Times New Roman" w:hAnsi="Times" w:cs="Arial"/>
                <w:color w:val="000000"/>
                <w:sz w:val="16"/>
                <w:szCs w:val="16"/>
                <w:lang w:val="nl-NL" w:eastAsia="en-US"/>
              </w:rPr>
            </w:pPr>
            <w:r w:rsidRPr="00603741">
              <w:rPr>
                <w:rFonts w:ascii="Times" w:eastAsia="Times New Roman" w:hAnsi="Times" w:cs="Arial"/>
                <w:color w:val="000000"/>
                <w:sz w:val="16"/>
                <w:szCs w:val="16"/>
                <w:lang w:val="nl-NL" w:eastAsia="en-US"/>
              </w:rPr>
              <w:t>(Sanofi</w:t>
            </w:r>
            <w:r>
              <w:rPr>
                <w:rFonts w:ascii="Times" w:eastAsia="Times New Roman" w:hAnsi="Times" w:cs="Arial"/>
                <w:color w:val="000000"/>
                <w:sz w:val="16"/>
                <w:szCs w:val="16"/>
                <w:lang w:val="nl-NL" w:eastAsia="en-US"/>
              </w:rPr>
              <w:t xml:space="preserve"> Pasteur</w:t>
            </w:r>
            <w:r w:rsidRPr="00603741">
              <w:rPr>
                <w:rFonts w:ascii="Times" w:eastAsia="Times New Roman" w:hAnsi="Times" w:cs="Arial"/>
                <w:color w:val="000000"/>
                <w:sz w:val="16"/>
                <w:szCs w:val="16"/>
                <w:lang w:val="nl-NL" w:eastAsia="en-US"/>
              </w:rPr>
              <w:t>/LID/NIAID/NIH)</w:t>
            </w:r>
          </w:p>
        </w:tc>
        <w:tc>
          <w:tcPr>
            <w:tcW w:w="2706" w:type="dxa"/>
          </w:tcPr>
          <w:p w14:paraId="1854F0AD"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Live-attenuated</w:t>
            </w:r>
          </w:p>
        </w:tc>
      </w:tr>
      <w:tr w:rsidR="00BF5B17" w:rsidRPr="0095624A" w14:paraId="4FA72262" w14:textId="77777777" w:rsidTr="00BF5B17">
        <w:trPr>
          <w:trHeight w:val="354"/>
        </w:trPr>
        <w:tc>
          <w:tcPr>
            <w:cnfStyle w:val="001000000000" w:firstRow="0" w:lastRow="0" w:firstColumn="1" w:lastColumn="0" w:oddVBand="0" w:evenVBand="0" w:oddHBand="0" w:evenHBand="0" w:firstRowFirstColumn="0" w:firstRowLastColumn="0" w:lastRowFirstColumn="0" w:lastRowLastColumn="0"/>
            <w:tcW w:w="2706" w:type="dxa"/>
          </w:tcPr>
          <w:p w14:paraId="1617B6ED" w14:textId="77777777" w:rsidR="00BF5B17" w:rsidRPr="00794FA0" w:rsidRDefault="00BF5B17" w:rsidP="00BF5B17">
            <w:pPr>
              <w:jc w:val="center"/>
              <w:rPr>
                <w:rFonts w:ascii="Times" w:hAnsi="Times"/>
                <w:b w:val="0"/>
                <w:sz w:val="16"/>
                <w:szCs w:val="16"/>
              </w:rPr>
            </w:pPr>
          </w:p>
        </w:tc>
        <w:tc>
          <w:tcPr>
            <w:tcW w:w="2706" w:type="dxa"/>
          </w:tcPr>
          <w:p w14:paraId="26D16E4D" w14:textId="20C20108" w:rsidR="00BF5B17"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Arial"/>
                <w:color w:val="000000"/>
                <w:sz w:val="16"/>
                <w:szCs w:val="16"/>
                <w:lang w:val="nl-NL" w:eastAsia="en-US"/>
              </w:rPr>
            </w:pPr>
            <w:r w:rsidRPr="00603741">
              <w:rPr>
                <w:rFonts w:ascii="Times" w:eastAsia="Times New Roman" w:hAnsi="Times" w:cs="Arial"/>
                <w:color w:val="000000"/>
                <w:sz w:val="16"/>
                <w:szCs w:val="16"/>
                <w:lang w:val="nl-NL" w:eastAsia="en-US"/>
              </w:rPr>
              <w:t xml:space="preserve">RSV </w:t>
            </w:r>
            <w:r w:rsidRPr="0095624A">
              <w:rPr>
                <w:rFonts w:ascii="Times" w:eastAsia="Times New Roman" w:hAnsi="Times" w:cs="Arial"/>
                <w:color w:val="000000"/>
                <w:sz w:val="16"/>
                <w:szCs w:val="16"/>
                <w:lang w:eastAsia="en-US"/>
              </w:rPr>
              <w:t>Δ</w:t>
            </w:r>
            <w:r w:rsidRPr="00603741">
              <w:rPr>
                <w:rFonts w:ascii="Times" w:eastAsia="Times New Roman" w:hAnsi="Times" w:cs="Arial"/>
                <w:color w:val="000000"/>
                <w:sz w:val="16"/>
                <w:szCs w:val="16"/>
                <w:lang w:val="nl-NL" w:eastAsia="en-US"/>
              </w:rPr>
              <w:t xml:space="preserve">NS2 </w:t>
            </w:r>
            <w:r w:rsidRPr="0095624A">
              <w:rPr>
                <w:rFonts w:ascii="Times" w:eastAsia="Times New Roman" w:hAnsi="Times" w:cs="Arial"/>
                <w:color w:val="000000"/>
                <w:sz w:val="16"/>
                <w:szCs w:val="16"/>
                <w:lang w:eastAsia="en-US"/>
              </w:rPr>
              <w:t>Δ</w:t>
            </w:r>
            <w:r w:rsidRPr="00603741">
              <w:rPr>
                <w:rFonts w:ascii="Times" w:eastAsia="Times New Roman" w:hAnsi="Times" w:cs="Arial"/>
                <w:color w:val="000000"/>
                <w:sz w:val="16"/>
                <w:szCs w:val="16"/>
                <w:lang w:val="nl-NL" w:eastAsia="en-US"/>
              </w:rPr>
              <w:t xml:space="preserve">1313 </w:t>
            </w:r>
            <w:r w:rsidR="00C548EC">
              <w:rPr>
                <w:rFonts w:ascii="Times" w:eastAsia="Times New Roman" w:hAnsi="Times" w:cs="Arial"/>
                <w:color w:val="000000"/>
                <w:sz w:val="16"/>
                <w:szCs w:val="16"/>
                <w:lang w:val="nl-NL" w:eastAsia="en-US"/>
              </w:rPr>
              <w:t>I1314L</w:t>
            </w:r>
          </w:p>
          <w:p w14:paraId="4B814F65" w14:textId="77777777" w:rsidR="00BF5B17" w:rsidRPr="00603741"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Arial"/>
                <w:color w:val="000000"/>
                <w:sz w:val="16"/>
                <w:szCs w:val="16"/>
                <w:lang w:val="nl-NL" w:eastAsia="en-US"/>
              </w:rPr>
            </w:pPr>
            <w:r w:rsidRPr="00603741">
              <w:rPr>
                <w:rFonts w:ascii="Times" w:eastAsia="Times New Roman" w:hAnsi="Times" w:cs="Arial"/>
                <w:color w:val="000000"/>
                <w:sz w:val="16"/>
                <w:szCs w:val="16"/>
                <w:lang w:val="nl-NL" w:eastAsia="en-US"/>
              </w:rPr>
              <w:t>(Sanofi</w:t>
            </w:r>
            <w:r>
              <w:rPr>
                <w:rFonts w:ascii="Times" w:eastAsia="Times New Roman" w:hAnsi="Times" w:cs="Arial"/>
                <w:color w:val="000000"/>
                <w:sz w:val="16"/>
                <w:szCs w:val="16"/>
                <w:lang w:val="nl-NL" w:eastAsia="en-US"/>
              </w:rPr>
              <w:t xml:space="preserve"> Pasteur</w:t>
            </w:r>
            <w:r w:rsidRPr="00603741">
              <w:rPr>
                <w:rFonts w:ascii="Times" w:eastAsia="Times New Roman" w:hAnsi="Times" w:cs="Arial"/>
                <w:color w:val="000000"/>
                <w:sz w:val="16"/>
                <w:szCs w:val="16"/>
                <w:lang w:val="nl-NL" w:eastAsia="en-US"/>
              </w:rPr>
              <w:t>/LID/NIAID/NIH)</w:t>
            </w:r>
          </w:p>
        </w:tc>
        <w:tc>
          <w:tcPr>
            <w:tcW w:w="2706" w:type="dxa"/>
          </w:tcPr>
          <w:p w14:paraId="3ACFC436"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Live-attenuated</w:t>
            </w:r>
          </w:p>
        </w:tc>
      </w:tr>
      <w:tr w:rsidR="00BF5B17" w:rsidRPr="0095624A" w14:paraId="39397817" w14:textId="77777777" w:rsidTr="00BF5B17">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706" w:type="dxa"/>
          </w:tcPr>
          <w:p w14:paraId="59DEF07A" w14:textId="77777777" w:rsidR="00BF5B17" w:rsidRPr="00794FA0" w:rsidRDefault="00BF5B17" w:rsidP="00BF5B17">
            <w:pPr>
              <w:jc w:val="center"/>
              <w:rPr>
                <w:rFonts w:ascii="Times" w:hAnsi="Times"/>
                <w:b w:val="0"/>
                <w:sz w:val="16"/>
                <w:szCs w:val="16"/>
              </w:rPr>
            </w:pPr>
          </w:p>
        </w:tc>
        <w:tc>
          <w:tcPr>
            <w:tcW w:w="2706" w:type="dxa"/>
          </w:tcPr>
          <w:p w14:paraId="58BC6138" w14:textId="77777777" w:rsidR="00BF5B17" w:rsidRPr="00603741"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eastAsia="Times New Roman" w:hAnsi="Times" w:cs="Arial"/>
                <w:color w:val="000000"/>
                <w:sz w:val="16"/>
                <w:szCs w:val="16"/>
                <w:lang w:val="nl-NL" w:eastAsia="en-US"/>
              </w:rPr>
            </w:pPr>
            <w:r w:rsidRPr="00603741">
              <w:rPr>
                <w:rFonts w:ascii="Times" w:eastAsia="Times New Roman" w:hAnsi="Times" w:cs="Arial"/>
                <w:color w:val="000000"/>
                <w:sz w:val="16"/>
                <w:szCs w:val="16"/>
                <w:lang w:val="nl-NL" w:eastAsia="en-US"/>
              </w:rPr>
              <w:t>RSV D46/NS2/ N/</w:t>
            </w:r>
            <w:r w:rsidRPr="0095624A">
              <w:rPr>
                <w:rFonts w:ascii="Times" w:eastAsia="Times New Roman" w:hAnsi="Times" w:cs="Arial"/>
                <w:color w:val="000000"/>
                <w:sz w:val="16"/>
                <w:szCs w:val="16"/>
                <w:lang w:eastAsia="en-US"/>
              </w:rPr>
              <w:t>Δ</w:t>
            </w:r>
            <w:r w:rsidRPr="00603741">
              <w:rPr>
                <w:rFonts w:ascii="Times" w:eastAsia="Times New Roman" w:hAnsi="Times" w:cs="Arial"/>
                <w:color w:val="000000"/>
                <w:sz w:val="16"/>
                <w:szCs w:val="16"/>
                <w:lang w:val="nl-NL" w:eastAsia="en-US"/>
              </w:rPr>
              <w:t>M2-2-HindIII (Sanofi</w:t>
            </w:r>
            <w:r>
              <w:rPr>
                <w:rFonts w:ascii="Times" w:eastAsia="Times New Roman" w:hAnsi="Times" w:cs="Arial"/>
                <w:color w:val="000000"/>
                <w:sz w:val="16"/>
                <w:szCs w:val="16"/>
                <w:lang w:val="nl-NL" w:eastAsia="en-US"/>
              </w:rPr>
              <w:t xml:space="preserve"> Pasteur</w:t>
            </w:r>
            <w:r w:rsidRPr="00603741">
              <w:rPr>
                <w:rFonts w:ascii="Times" w:eastAsia="Times New Roman" w:hAnsi="Times" w:cs="Arial"/>
                <w:color w:val="000000"/>
                <w:sz w:val="16"/>
                <w:szCs w:val="16"/>
                <w:lang w:val="nl-NL" w:eastAsia="en-US"/>
              </w:rPr>
              <w:t>/LID/NIAID/NIH)</w:t>
            </w:r>
          </w:p>
        </w:tc>
        <w:tc>
          <w:tcPr>
            <w:tcW w:w="2706" w:type="dxa"/>
          </w:tcPr>
          <w:p w14:paraId="4DEA8692"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Live-attenuated</w:t>
            </w:r>
          </w:p>
        </w:tc>
      </w:tr>
      <w:tr w:rsidR="00BF5B17" w:rsidRPr="0095624A" w14:paraId="538C5750" w14:textId="77777777" w:rsidTr="00BF5B17">
        <w:trPr>
          <w:trHeight w:val="354"/>
        </w:trPr>
        <w:tc>
          <w:tcPr>
            <w:cnfStyle w:val="001000000000" w:firstRow="0" w:lastRow="0" w:firstColumn="1" w:lastColumn="0" w:oddVBand="0" w:evenVBand="0" w:oddHBand="0" w:evenHBand="0" w:firstRowFirstColumn="0" w:firstRowLastColumn="0" w:lastRowFirstColumn="0" w:lastRowLastColumn="0"/>
            <w:tcW w:w="2706" w:type="dxa"/>
          </w:tcPr>
          <w:p w14:paraId="6CC0D728" w14:textId="77777777" w:rsidR="00BF5B17" w:rsidRPr="00794FA0" w:rsidRDefault="00BF5B17" w:rsidP="00BF5B17">
            <w:pPr>
              <w:jc w:val="center"/>
              <w:rPr>
                <w:rFonts w:ascii="Times" w:hAnsi="Times"/>
                <w:b w:val="0"/>
                <w:sz w:val="16"/>
                <w:szCs w:val="16"/>
              </w:rPr>
            </w:pPr>
          </w:p>
        </w:tc>
        <w:tc>
          <w:tcPr>
            <w:tcW w:w="2706" w:type="dxa"/>
          </w:tcPr>
          <w:p w14:paraId="3D0AFA57" w14:textId="77777777" w:rsidR="00BF5B17"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Arial"/>
                <w:color w:val="000000"/>
                <w:sz w:val="16"/>
                <w:szCs w:val="16"/>
                <w:lang w:val="nl-NL" w:eastAsia="en-US"/>
              </w:rPr>
            </w:pPr>
            <w:r w:rsidRPr="00603741">
              <w:rPr>
                <w:rFonts w:ascii="Times" w:eastAsia="Times New Roman" w:hAnsi="Times" w:cs="Arial"/>
                <w:color w:val="000000"/>
                <w:sz w:val="16"/>
                <w:szCs w:val="16"/>
                <w:lang w:val="nl-NL" w:eastAsia="en-US"/>
              </w:rPr>
              <w:t xml:space="preserve">RSV LID cp </w:t>
            </w:r>
            <w:r w:rsidRPr="0095624A">
              <w:rPr>
                <w:rFonts w:ascii="Times" w:eastAsia="Times New Roman" w:hAnsi="Times" w:cs="Arial"/>
                <w:color w:val="000000"/>
                <w:sz w:val="16"/>
                <w:szCs w:val="16"/>
                <w:lang w:eastAsia="en-US"/>
              </w:rPr>
              <w:t>Δ</w:t>
            </w:r>
            <w:r w:rsidRPr="00603741">
              <w:rPr>
                <w:rFonts w:ascii="Times" w:eastAsia="Times New Roman" w:hAnsi="Times" w:cs="Arial"/>
                <w:color w:val="000000"/>
                <w:sz w:val="16"/>
                <w:szCs w:val="16"/>
                <w:lang w:val="nl-NL" w:eastAsia="en-US"/>
              </w:rPr>
              <w:t xml:space="preserve">M2-2 </w:t>
            </w:r>
          </w:p>
          <w:p w14:paraId="6932A927" w14:textId="77777777" w:rsidR="00BF5B17" w:rsidRPr="00603741"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Arial"/>
                <w:color w:val="000000"/>
                <w:sz w:val="16"/>
                <w:szCs w:val="16"/>
                <w:lang w:val="nl-NL" w:eastAsia="en-US"/>
              </w:rPr>
            </w:pPr>
            <w:r w:rsidRPr="00603741">
              <w:rPr>
                <w:rFonts w:ascii="Times" w:eastAsia="Times New Roman" w:hAnsi="Times" w:cs="Arial"/>
                <w:color w:val="000000"/>
                <w:sz w:val="16"/>
                <w:szCs w:val="16"/>
                <w:lang w:val="nl-NL" w:eastAsia="en-US"/>
              </w:rPr>
              <w:t>(Sanofi</w:t>
            </w:r>
            <w:r>
              <w:rPr>
                <w:rFonts w:ascii="Times" w:eastAsia="Times New Roman" w:hAnsi="Times" w:cs="Arial"/>
                <w:color w:val="000000"/>
                <w:sz w:val="16"/>
                <w:szCs w:val="16"/>
                <w:lang w:val="nl-NL" w:eastAsia="en-US"/>
              </w:rPr>
              <w:t xml:space="preserve"> Pasteur</w:t>
            </w:r>
            <w:r w:rsidRPr="00603741">
              <w:rPr>
                <w:rFonts w:ascii="Times" w:eastAsia="Times New Roman" w:hAnsi="Times" w:cs="Arial"/>
                <w:color w:val="000000"/>
                <w:sz w:val="16"/>
                <w:szCs w:val="16"/>
                <w:lang w:val="nl-NL" w:eastAsia="en-US"/>
              </w:rPr>
              <w:t>/LID/NIAID/NIH)</w:t>
            </w:r>
          </w:p>
        </w:tc>
        <w:tc>
          <w:tcPr>
            <w:tcW w:w="2706" w:type="dxa"/>
          </w:tcPr>
          <w:p w14:paraId="57903D4B"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Live-attenuated</w:t>
            </w:r>
          </w:p>
        </w:tc>
      </w:tr>
      <w:tr w:rsidR="00BF5B17" w:rsidRPr="0095624A" w14:paraId="060C765F" w14:textId="77777777" w:rsidTr="00BF5B17">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706" w:type="dxa"/>
          </w:tcPr>
          <w:p w14:paraId="49FE7593" w14:textId="77777777" w:rsidR="00BF5B17" w:rsidRPr="00794FA0" w:rsidRDefault="00BF5B17" w:rsidP="00BF5B17">
            <w:pPr>
              <w:jc w:val="center"/>
              <w:rPr>
                <w:rFonts w:ascii="Times" w:hAnsi="Times"/>
                <w:b w:val="0"/>
                <w:sz w:val="16"/>
                <w:szCs w:val="16"/>
              </w:rPr>
            </w:pPr>
          </w:p>
        </w:tc>
        <w:tc>
          <w:tcPr>
            <w:tcW w:w="2706" w:type="dxa"/>
          </w:tcPr>
          <w:p w14:paraId="41F15641"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eastAsia="Times New Roman" w:hAnsi="Times" w:cs="Arial"/>
                <w:color w:val="000000"/>
                <w:sz w:val="16"/>
                <w:szCs w:val="16"/>
                <w:lang w:eastAsia="en-US"/>
              </w:rPr>
            </w:pPr>
            <w:r w:rsidRPr="0095624A">
              <w:rPr>
                <w:rFonts w:ascii="Times" w:eastAsia="Times New Roman" w:hAnsi="Times" w:cs="Arial"/>
                <w:color w:val="000000"/>
                <w:sz w:val="16"/>
                <w:szCs w:val="16"/>
                <w:lang w:eastAsia="en-US"/>
              </w:rPr>
              <w:t>MEDI8897</w:t>
            </w:r>
          </w:p>
          <w:p w14:paraId="6286CAE3" w14:textId="02582316" w:rsidR="00BF5B17" w:rsidRPr="0095624A" w:rsidRDefault="00C17FCB"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Pr>
                <w:rFonts w:ascii="Times" w:hAnsi="Times"/>
                <w:sz w:val="16"/>
                <w:szCs w:val="16"/>
              </w:rPr>
              <w:t>(MedI</w:t>
            </w:r>
            <w:r w:rsidR="00BF5B17" w:rsidRPr="0095624A">
              <w:rPr>
                <w:rFonts w:ascii="Times" w:hAnsi="Times"/>
                <w:sz w:val="16"/>
                <w:szCs w:val="16"/>
              </w:rPr>
              <w:t>mmune)</w:t>
            </w:r>
          </w:p>
        </w:tc>
        <w:tc>
          <w:tcPr>
            <w:tcW w:w="2706" w:type="dxa"/>
          </w:tcPr>
          <w:p w14:paraId="6822470C"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Monoclonal</w:t>
            </w:r>
            <w:r>
              <w:rPr>
                <w:rFonts w:ascii="Times" w:hAnsi="Times"/>
                <w:sz w:val="16"/>
                <w:szCs w:val="16"/>
              </w:rPr>
              <w:t xml:space="preserve"> antibody</w:t>
            </w:r>
          </w:p>
        </w:tc>
      </w:tr>
      <w:tr w:rsidR="00BF5B17" w:rsidRPr="0095624A" w14:paraId="63424ADE" w14:textId="77777777" w:rsidTr="00BF5B17">
        <w:trPr>
          <w:trHeight w:val="186"/>
        </w:trPr>
        <w:tc>
          <w:tcPr>
            <w:cnfStyle w:val="001000000000" w:firstRow="0" w:lastRow="0" w:firstColumn="1" w:lastColumn="0" w:oddVBand="0" w:evenVBand="0" w:oddHBand="0" w:evenHBand="0" w:firstRowFirstColumn="0" w:firstRowLastColumn="0" w:lastRowFirstColumn="0" w:lastRowLastColumn="0"/>
            <w:tcW w:w="2706" w:type="dxa"/>
          </w:tcPr>
          <w:p w14:paraId="2725DA47" w14:textId="3B9A1BC0" w:rsidR="00BF5B17" w:rsidRPr="00794FA0" w:rsidRDefault="00DA4993" w:rsidP="00BF5B17">
            <w:pPr>
              <w:rPr>
                <w:rFonts w:ascii="Times" w:hAnsi="Times"/>
                <w:b w:val="0"/>
                <w:sz w:val="16"/>
                <w:szCs w:val="16"/>
              </w:rPr>
            </w:pPr>
            <w:r>
              <w:rPr>
                <w:rFonts w:ascii="Times" w:hAnsi="Times"/>
                <w:b w:val="0"/>
                <w:sz w:val="16"/>
                <w:szCs w:val="16"/>
              </w:rPr>
              <w:t>Older adults</w:t>
            </w:r>
          </w:p>
        </w:tc>
        <w:tc>
          <w:tcPr>
            <w:tcW w:w="2706" w:type="dxa"/>
          </w:tcPr>
          <w:p w14:paraId="72339F5F"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2706" w:type="dxa"/>
          </w:tcPr>
          <w:p w14:paraId="4175E796"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r>
      <w:tr w:rsidR="00BF5B17" w:rsidRPr="0095624A" w14:paraId="1837EE60" w14:textId="77777777" w:rsidTr="00BF5B17">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706" w:type="dxa"/>
          </w:tcPr>
          <w:p w14:paraId="013F1DA4" w14:textId="77777777" w:rsidR="00BF5B17" w:rsidRPr="00794FA0" w:rsidRDefault="00BF5B17" w:rsidP="00BF5B17">
            <w:pPr>
              <w:jc w:val="center"/>
              <w:rPr>
                <w:rFonts w:ascii="Times" w:hAnsi="Times"/>
                <w:b w:val="0"/>
                <w:sz w:val="16"/>
                <w:szCs w:val="16"/>
              </w:rPr>
            </w:pPr>
          </w:p>
        </w:tc>
        <w:tc>
          <w:tcPr>
            <w:tcW w:w="2706" w:type="dxa"/>
          </w:tcPr>
          <w:p w14:paraId="6D60BAC6"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RSV F nanoparticle</w:t>
            </w:r>
          </w:p>
          <w:p w14:paraId="32EA1F7D"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(Novavax)</w:t>
            </w:r>
          </w:p>
        </w:tc>
        <w:tc>
          <w:tcPr>
            <w:tcW w:w="2706" w:type="dxa"/>
          </w:tcPr>
          <w:p w14:paraId="5AC6D075"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Nanoparticle</w:t>
            </w:r>
          </w:p>
        </w:tc>
      </w:tr>
      <w:tr w:rsidR="00BF5B17" w:rsidRPr="0095624A" w14:paraId="71C4166E" w14:textId="77777777" w:rsidTr="00BF5B17">
        <w:trPr>
          <w:trHeight w:val="354"/>
        </w:trPr>
        <w:tc>
          <w:tcPr>
            <w:cnfStyle w:val="001000000000" w:firstRow="0" w:lastRow="0" w:firstColumn="1" w:lastColumn="0" w:oddVBand="0" w:evenVBand="0" w:oddHBand="0" w:evenHBand="0" w:firstRowFirstColumn="0" w:firstRowLastColumn="0" w:lastRowFirstColumn="0" w:lastRowLastColumn="0"/>
            <w:tcW w:w="2706" w:type="dxa"/>
          </w:tcPr>
          <w:p w14:paraId="34C0927F" w14:textId="77777777" w:rsidR="00BF5B17" w:rsidRPr="0095624A" w:rsidRDefault="00BF5B17" w:rsidP="00BF5B17">
            <w:pPr>
              <w:jc w:val="center"/>
              <w:rPr>
                <w:rFonts w:ascii="Times" w:hAnsi="Times"/>
                <w:sz w:val="16"/>
                <w:szCs w:val="16"/>
              </w:rPr>
            </w:pPr>
          </w:p>
        </w:tc>
        <w:tc>
          <w:tcPr>
            <w:tcW w:w="2706" w:type="dxa"/>
          </w:tcPr>
          <w:p w14:paraId="5AC0DFC3"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RSV BLP</w:t>
            </w:r>
          </w:p>
          <w:p w14:paraId="34551C93"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(Mucosis)</w:t>
            </w:r>
          </w:p>
        </w:tc>
        <w:tc>
          <w:tcPr>
            <w:tcW w:w="2706" w:type="dxa"/>
          </w:tcPr>
          <w:p w14:paraId="4035F9FC"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Nanoparticle</w:t>
            </w:r>
          </w:p>
        </w:tc>
      </w:tr>
      <w:tr w:rsidR="00BF5B17" w:rsidRPr="0095624A" w14:paraId="109A9473" w14:textId="77777777" w:rsidTr="00BF5B17">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706" w:type="dxa"/>
          </w:tcPr>
          <w:p w14:paraId="0A9D6AA8" w14:textId="77777777" w:rsidR="00BF5B17" w:rsidRPr="0095624A" w:rsidRDefault="00BF5B17" w:rsidP="00BF5B17">
            <w:pPr>
              <w:jc w:val="center"/>
              <w:rPr>
                <w:rFonts w:ascii="Times" w:hAnsi="Times"/>
                <w:sz w:val="16"/>
                <w:szCs w:val="16"/>
              </w:rPr>
            </w:pPr>
          </w:p>
        </w:tc>
        <w:tc>
          <w:tcPr>
            <w:tcW w:w="2706" w:type="dxa"/>
          </w:tcPr>
          <w:p w14:paraId="541169B3"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MVA (Bavarian Nordic)</w:t>
            </w:r>
          </w:p>
        </w:tc>
        <w:tc>
          <w:tcPr>
            <w:tcW w:w="2706" w:type="dxa"/>
          </w:tcPr>
          <w:p w14:paraId="3B10DA7C"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Vector</w:t>
            </w:r>
          </w:p>
        </w:tc>
      </w:tr>
      <w:tr w:rsidR="00BF5B17" w:rsidRPr="0095624A" w14:paraId="6EE155EB" w14:textId="77777777" w:rsidTr="00BF5B17">
        <w:trPr>
          <w:trHeight w:val="186"/>
        </w:trPr>
        <w:tc>
          <w:tcPr>
            <w:cnfStyle w:val="001000000000" w:firstRow="0" w:lastRow="0" w:firstColumn="1" w:lastColumn="0" w:oddVBand="0" w:evenVBand="0" w:oddHBand="0" w:evenHBand="0" w:firstRowFirstColumn="0" w:firstRowLastColumn="0" w:lastRowFirstColumn="0" w:lastRowLastColumn="0"/>
            <w:tcW w:w="2706" w:type="dxa"/>
          </w:tcPr>
          <w:p w14:paraId="153DCB9C" w14:textId="77777777" w:rsidR="00BF5B17" w:rsidRPr="0095624A" w:rsidRDefault="00BF5B17" w:rsidP="00BF5B17">
            <w:pPr>
              <w:jc w:val="center"/>
              <w:rPr>
                <w:rFonts w:ascii="Times" w:hAnsi="Times"/>
                <w:sz w:val="16"/>
                <w:szCs w:val="16"/>
              </w:rPr>
            </w:pPr>
          </w:p>
        </w:tc>
        <w:tc>
          <w:tcPr>
            <w:tcW w:w="2706" w:type="dxa"/>
          </w:tcPr>
          <w:p w14:paraId="7EB8CC40"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Adenovirus (Vaxart)</w:t>
            </w:r>
          </w:p>
        </w:tc>
        <w:tc>
          <w:tcPr>
            <w:tcW w:w="2706" w:type="dxa"/>
          </w:tcPr>
          <w:p w14:paraId="1280B661"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Vector</w:t>
            </w:r>
          </w:p>
        </w:tc>
      </w:tr>
      <w:tr w:rsidR="00BF5B17" w:rsidRPr="0095624A" w14:paraId="6085FB6A" w14:textId="77777777" w:rsidTr="00BF5B17">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2706" w:type="dxa"/>
          </w:tcPr>
          <w:p w14:paraId="55A9F86E" w14:textId="77777777" w:rsidR="00BF5B17" w:rsidRPr="0095624A" w:rsidRDefault="00BF5B17" w:rsidP="00BF5B17">
            <w:pPr>
              <w:jc w:val="center"/>
              <w:rPr>
                <w:rFonts w:ascii="Times" w:hAnsi="Times"/>
                <w:sz w:val="16"/>
                <w:szCs w:val="16"/>
              </w:rPr>
            </w:pPr>
          </w:p>
        </w:tc>
        <w:tc>
          <w:tcPr>
            <w:tcW w:w="2706" w:type="dxa"/>
          </w:tcPr>
          <w:p w14:paraId="74AC68B4"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Adenovirus (Janssen)</w:t>
            </w:r>
          </w:p>
        </w:tc>
        <w:tc>
          <w:tcPr>
            <w:tcW w:w="2706" w:type="dxa"/>
          </w:tcPr>
          <w:p w14:paraId="1539ABF1"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Vector</w:t>
            </w:r>
          </w:p>
        </w:tc>
      </w:tr>
      <w:tr w:rsidR="00BF5B17" w:rsidRPr="0095624A" w14:paraId="6D1FF57F" w14:textId="77777777" w:rsidTr="00BF5B17">
        <w:trPr>
          <w:trHeight w:val="168"/>
        </w:trPr>
        <w:tc>
          <w:tcPr>
            <w:cnfStyle w:val="001000000000" w:firstRow="0" w:lastRow="0" w:firstColumn="1" w:lastColumn="0" w:oddVBand="0" w:evenVBand="0" w:oddHBand="0" w:evenHBand="0" w:firstRowFirstColumn="0" w:firstRowLastColumn="0" w:lastRowFirstColumn="0" w:lastRowLastColumn="0"/>
            <w:tcW w:w="2706" w:type="dxa"/>
          </w:tcPr>
          <w:p w14:paraId="0F0AFA90" w14:textId="77777777" w:rsidR="00BF5B17" w:rsidRPr="0095624A" w:rsidRDefault="00BF5B17" w:rsidP="00BF5B17">
            <w:pPr>
              <w:jc w:val="center"/>
              <w:rPr>
                <w:rFonts w:ascii="Times" w:hAnsi="Times"/>
                <w:sz w:val="16"/>
                <w:szCs w:val="16"/>
              </w:rPr>
            </w:pPr>
          </w:p>
        </w:tc>
        <w:tc>
          <w:tcPr>
            <w:tcW w:w="2706" w:type="dxa"/>
          </w:tcPr>
          <w:p w14:paraId="333B0CC0"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DPX-RSV-SH Protein (Immunovaccine)</w:t>
            </w:r>
          </w:p>
        </w:tc>
        <w:tc>
          <w:tcPr>
            <w:tcW w:w="2706" w:type="dxa"/>
          </w:tcPr>
          <w:p w14:paraId="7B65028E" w14:textId="77777777" w:rsidR="00BF5B17" w:rsidRPr="0095624A" w:rsidRDefault="00BF5B17" w:rsidP="00BF5B17">
            <w:pPr>
              <w:jc w:val="center"/>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95624A">
              <w:rPr>
                <w:rFonts w:ascii="Times" w:hAnsi="Times"/>
                <w:sz w:val="16"/>
                <w:szCs w:val="16"/>
              </w:rPr>
              <w:t>Subunit</w:t>
            </w:r>
          </w:p>
        </w:tc>
      </w:tr>
      <w:tr w:rsidR="00BF5B17" w:rsidRPr="0095624A" w14:paraId="7D4AA9D1" w14:textId="77777777" w:rsidTr="00BF5B17">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706" w:type="dxa"/>
          </w:tcPr>
          <w:p w14:paraId="7E1A0956" w14:textId="77777777" w:rsidR="00BF5B17" w:rsidRPr="0095624A" w:rsidRDefault="00BF5B17" w:rsidP="00BF5B17">
            <w:pPr>
              <w:jc w:val="center"/>
              <w:rPr>
                <w:rFonts w:ascii="Times" w:hAnsi="Times"/>
                <w:sz w:val="16"/>
                <w:szCs w:val="16"/>
              </w:rPr>
            </w:pPr>
          </w:p>
        </w:tc>
        <w:tc>
          <w:tcPr>
            <w:tcW w:w="2706" w:type="dxa"/>
          </w:tcPr>
          <w:p w14:paraId="47E5205A" w14:textId="77777777" w:rsidR="00BF5B17" w:rsidRPr="00603741"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lang w:val="nl-NL"/>
              </w:rPr>
            </w:pPr>
            <w:r w:rsidRPr="00603741">
              <w:rPr>
                <w:rFonts w:ascii="Times" w:hAnsi="Times"/>
                <w:sz w:val="16"/>
                <w:szCs w:val="16"/>
                <w:lang w:val="nl-NL"/>
              </w:rPr>
              <w:t>RSV F protein</w:t>
            </w:r>
          </w:p>
          <w:p w14:paraId="3C16FD21" w14:textId="77777777" w:rsidR="00BF5B17" w:rsidRPr="00603741"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lang w:val="nl-NL"/>
              </w:rPr>
            </w:pPr>
            <w:r w:rsidRPr="00603741">
              <w:rPr>
                <w:rFonts w:ascii="Times" w:hAnsi="Times"/>
                <w:sz w:val="16"/>
                <w:szCs w:val="16"/>
                <w:lang w:val="nl-NL"/>
              </w:rPr>
              <w:t>(NIH/NIAID/VRC)</w:t>
            </w:r>
          </w:p>
        </w:tc>
        <w:tc>
          <w:tcPr>
            <w:tcW w:w="2706" w:type="dxa"/>
          </w:tcPr>
          <w:p w14:paraId="58F9AC0F" w14:textId="77777777" w:rsidR="00BF5B17" w:rsidRPr="0095624A" w:rsidRDefault="00BF5B17" w:rsidP="00BF5B17">
            <w:pPr>
              <w:jc w:val="center"/>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95624A">
              <w:rPr>
                <w:rFonts w:ascii="Times" w:hAnsi="Times"/>
                <w:sz w:val="16"/>
                <w:szCs w:val="16"/>
              </w:rPr>
              <w:t>Subunit</w:t>
            </w:r>
          </w:p>
        </w:tc>
      </w:tr>
    </w:tbl>
    <w:p w14:paraId="75219E1C" w14:textId="18110C92" w:rsidR="00BF5B17" w:rsidRDefault="00BF5B17">
      <w:pPr>
        <w:sectPr w:rsidR="00BF5B17" w:rsidSect="00BF5B17">
          <w:pgSz w:w="15840" w:h="12240" w:orient="landscape"/>
          <w:pgMar w:top="284" w:right="1440" w:bottom="284" w:left="1440" w:header="720" w:footer="720" w:gutter="0"/>
          <w:cols w:space="720"/>
        </w:sectPr>
      </w:pPr>
      <w:r>
        <w:rPr>
          <w:rFonts w:ascii="Cambria" w:hAnsi="Cambria"/>
        </w:rPr>
        <w:t>Legend: m: months; y: years</w:t>
      </w:r>
    </w:p>
    <w:p w14:paraId="37834CEA" w14:textId="20F45954" w:rsidR="00380C8B" w:rsidRDefault="00380C8B">
      <w:r>
        <w:t xml:space="preserve">Table 3: Expected </w:t>
      </w:r>
      <w:r w:rsidR="009A4D33">
        <w:t>i</w:t>
      </w:r>
      <w:r>
        <w:t>mmune response</w:t>
      </w:r>
      <w:r w:rsidR="00FC47F8">
        <w:t xml:space="preserve"> and previous successes</w:t>
      </w:r>
      <w:r>
        <w:t xml:space="preserve"> f</w:t>
      </w:r>
      <w:r w:rsidR="00FC47F8">
        <w:t>or</w:t>
      </w:r>
      <w:r>
        <w:t xml:space="preserve"> vaccine</w:t>
      </w:r>
      <w:r w:rsidR="002A455B">
        <w:t xml:space="preserve"> candidates</w:t>
      </w:r>
      <w:r w:rsidR="003B70DD">
        <w:t xml:space="preserve"> </w:t>
      </w:r>
      <w:r w:rsidR="002A455B">
        <w:t>and monoclonal antibodies</w:t>
      </w:r>
    </w:p>
    <w:p w14:paraId="432A81AD" w14:textId="77777777" w:rsidR="00380C8B" w:rsidRDefault="00380C8B"/>
    <w:tbl>
      <w:tblPr>
        <w:tblStyle w:val="LightShading"/>
        <w:tblW w:w="11211" w:type="dxa"/>
        <w:tblLook w:val="04A0" w:firstRow="1" w:lastRow="0" w:firstColumn="1" w:lastColumn="0" w:noHBand="0" w:noVBand="1"/>
      </w:tblPr>
      <w:tblGrid>
        <w:gridCol w:w="2153"/>
        <w:gridCol w:w="1835"/>
        <w:gridCol w:w="1889"/>
        <w:gridCol w:w="560"/>
        <w:gridCol w:w="1448"/>
        <w:gridCol w:w="1663"/>
        <w:gridCol w:w="1663"/>
      </w:tblGrid>
      <w:tr w:rsidR="00AC7EB3" w:rsidRPr="00380C8B" w14:paraId="29F39519" w14:textId="77777777" w:rsidTr="00A84473">
        <w:trPr>
          <w:gridAfter w:val="1"/>
          <w:cnfStyle w:val="100000000000" w:firstRow="1" w:lastRow="0" w:firstColumn="0" w:lastColumn="0" w:oddVBand="0" w:evenVBand="0" w:oddHBand="0" w:evenHBand="0" w:firstRowFirstColumn="0" w:firstRowLastColumn="0" w:lastRowFirstColumn="0" w:lastRowLastColumn="0"/>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5C7F625A" w14:textId="17B317CD" w:rsidR="00AC7EB3" w:rsidRPr="00380C8B" w:rsidRDefault="00AC7EB3" w:rsidP="004453E4">
            <w:pPr>
              <w:rPr>
                <w:sz w:val="16"/>
                <w:szCs w:val="16"/>
              </w:rPr>
            </w:pPr>
            <w:r w:rsidRPr="00380C8B">
              <w:rPr>
                <w:sz w:val="16"/>
                <w:szCs w:val="16"/>
              </w:rPr>
              <w:t>Vaccine</w:t>
            </w:r>
          </w:p>
        </w:tc>
        <w:tc>
          <w:tcPr>
            <w:tcW w:w="1835" w:type="dxa"/>
          </w:tcPr>
          <w:p w14:paraId="41EB849B" w14:textId="7EFB53B0" w:rsidR="00AC7EB3" w:rsidRPr="00380C8B" w:rsidRDefault="00AC7EB3" w:rsidP="004453E4">
            <w:pPr>
              <w:cnfStyle w:val="100000000000" w:firstRow="1" w:lastRow="0" w:firstColumn="0" w:lastColumn="0" w:oddVBand="0" w:evenVBand="0" w:oddHBand="0" w:evenHBand="0" w:firstRowFirstColumn="0" w:firstRowLastColumn="0" w:lastRowFirstColumn="0" w:lastRowLastColumn="0"/>
              <w:rPr>
                <w:sz w:val="16"/>
                <w:szCs w:val="16"/>
              </w:rPr>
            </w:pPr>
            <w:r w:rsidRPr="00380C8B">
              <w:rPr>
                <w:sz w:val="16"/>
                <w:szCs w:val="16"/>
              </w:rPr>
              <w:t>Target Population</w:t>
            </w:r>
          </w:p>
        </w:tc>
        <w:tc>
          <w:tcPr>
            <w:tcW w:w="1889" w:type="dxa"/>
          </w:tcPr>
          <w:p w14:paraId="1DECFBED" w14:textId="78BCE1F1" w:rsidR="00AC7EB3" w:rsidRPr="00380C8B" w:rsidRDefault="00AC7EB3" w:rsidP="004453E4">
            <w:pPr>
              <w:cnfStyle w:val="100000000000" w:firstRow="1" w:lastRow="0" w:firstColumn="0" w:lastColumn="0" w:oddVBand="0" w:evenVBand="0" w:oddHBand="0" w:evenHBand="0" w:firstRowFirstColumn="0" w:firstRowLastColumn="0" w:lastRowFirstColumn="0" w:lastRowLastColumn="0"/>
              <w:rPr>
                <w:sz w:val="16"/>
                <w:szCs w:val="16"/>
              </w:rPr>
            </w:pPr>
            <w:r w:rsidRPr="00380C8B">
              <w:rPr>
                <w:sz w:val="16"/>
                <w:szCs w:val="16"/>
              </w:rPr>
              <w:t>Pre</w:t>
            </w:r>
            <w:r>
              <w:rPr>
                <w:sz w:val="16"/>
                <w:szCs w:val="16"/>
              </w:rPr>
              <w:t>-</w:t>
            </w:r>
            <w:r w:rsidRPr="00380C8B">
              <w:rPr>
                <w:sz w:val="16"/>
                <w:szCs w:val="16"/>
              </w:rPr>
              <w:t>F</w:t>
            </w:r>
            <w:r>
              <w:rPr>
                <w:sz w:val="16"/>
                <w:szCs w:val="16"/>
              </w:rPr>
              <w:t xml:space="preserve"> Immunity* </w:t>
            </w:r>
            <w:r>
              <w:rPr>
                <w:sz w:val="16"/>
                <w:szCs w:val="16"/>
              </w:rPr>
              <w:fldChar w:fldCharType="begin" w:fldLock="1"/>
            </w:r>
            <w:r w:rsidR="00A828B0">
              <w:rPr>
                <w:sz w:val="16"/>
                <w:szCs w:val="16"/>
              </w:rPr>
              <w:instrText>ADDIN CSL_CITATION { "citationItems" : [ { "id" : "ITEM-1", "itemData" : { "DOI" : "10.1016/j.coviro.2017.03.012", "PMID" : "28525878", "author" : [ { "dropping-particle" : "", "family" : "Graham", "given" : "B", "non-dropping-particle" : "", "parse-names" : false, "suffix" : "" } ], "container-title" : "Current opinion in virology", "id" : "ITEM-1", "issued" : { "date-parts" : [ [ "2017" ] ] }, "page" : "107-112", "title" : "Vaccine development for respiratory syncytial virus", "type" : "article-journal", "volume" : "23" }, "uris" : [ "http://www.mendeley.com/documents/?uuid=dd6ff07e-23bc-3c3b-b476-466f0cdaa975" ] } ], "mendeley" : { "formattedCitation" : "(88)", "plainTextFormattedCitation" : "(88)", "previouslyFormattedCitation" : "(88)" }, "properties" : { "noteIndex" : 0 }, "schema" : "https://github.com/citation-style-language/schema/raw/master/csl-citation.json" }</w:instrText>
            </w:r>
            <w:r>
              <w:rPr>
                <w:sz w:val="16"/>
                <w:szCs w:val="16"/>
              </w:rPr>
              <w:fldChar w:fldCharType="separate"/>
            </w:r>
            <w:r w:rsidR="00D83E6A" w:rsidRPr="00D83E6A">
              <w:rPr>
                <w:b w:val="0"/>
                <w:noProof/>
                <w:sz w:val="16"/>
                <w:szCs w:val="16"/>
              </w:rPr>
              <w:t>(88)</w:t>
            </w:r>
            <w:r>
              <w:rPr>
                <w:sz w:val="16"/>
                <w:szCs w:val="16"/>
              </w:rPr>
              <w:fldChar w:fldCharType="end"/>
            </w:r>
          </w:p>
        </w:tc>
        <w:tc>
          <w:tcPr>
            <w:tcW w:w="2008" w:type="dxa"/>
            <w:gridSpan w:val="2"/>
          </w:tcPr>
          <w:p w14:paraId="278975C9" w14:textId="65E04D3B" w:rsidR="00AC7EB3" w:rsidRPr="00380C8B" w:rsidRDefault="00AC7EB3" w:rsidP="004453E4">
            <w:pP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Immune response</w:t>
            </w:r>
          </w:p>
        </w:tc>
        <w:tc>
          <w:tcPr>
            <w:tcW w:w="1663" w:type="dxa"/>
          </w:tcPr>
          <w:p w14:paraId="3EB4584A" w14:textId="0F0A5DFE" w:rsidR="00AC7EB3" w:rsidRPr="00380C8B" w:rsidRDefault="00AC7EB3" w:rsidP="004453E4">
            <w:pP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Mucosal/Systemic</w:t>
            </w:r>
          </w:p>
        </w:tc>
      </w:tr>
      <w:tr w:rsidR="00AC7EB3" w:rsidRPr="00380C8B" w14:paraId="5A82E011" w14:textId="77777777" w:rsidTr="00A84473">
        <w:trPr>
          <w:gridAfter w:val="1"/>
          <w:cnfStyle w:val="000000100000" w:firstRow="0" w:lastRow="0" w:firstColumn="0" w:lastColumn="0" w:oddVBand="0" w:evenVBand="0" w:oddHBand="1" w:evenHBand="0" w:firstRowFirstColumn="0" w:firstRowLastColumn="0" w:lastRowFirstColumn="0" w:lastRowLastColumn="0"/>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00ABADA3" w14:textId="4CA4C7D9" w:rsidR="00AC7EB3" w:rsidRPr="00380C8B" w:rsidRDefault="00AC7EB3" w:rsidP="00140357">
            <w:pPr>
              <w:jc w:val="center"/>
              <w:rPr>
                <w:sz w:val="16"/>
                <w:szCs w:val="16"/>
              </w:rPr>
            </w:pPr>
            <w:r w:rsidRPr="00380C8B">
              <w:rPr>
                <w:sz w:val="16"/>
                <w:szCs w:val="16"/>
              </w:rPr>
              <w:t>Nanoparticle</w:t>
            </w:r>
          </w:p>
        </w:tc>
        <w:tc>
          <w:tcPr>
            <w:tcW w:w="1835" w:type="dxa"/>
          </w:tcPr>
          <w:p w14:paraId="6E036850" w14:textId="716D92EF"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889" w:type="dxa"/>
          </w:tcPr>
          <w:p w14:paraId="5530F99D" w14:textId="0834CD66"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2008" w:type="dxa"/>
            <w:gridSpan w:val="2"/>
          </w:tcPr>
          <w:p w14:paraId="52E4ED1A" w14:textId="1EB80D56"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63" w:type="dxa"/>
          </w:tcPr>
          <w:p w14:paraId="07AD22A9" w14:textId="77777777"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AC7EB3" w:rsidRPr="00380C8B" w14:paraId="09181694" w14:textId="77777777" w:rsidTr="00A84473">
        <w:trPr>
          <w:gridAfter w:val="1"/>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71BB715F" w14:textId="7815B6B2" w:rsidR="00AC7EB3" w:rsidRDefault="00AC7EB3" w:rsidP="00140357">
            <w:pPr>
              <w:jc w:val="center"/>
              <w:rPr>
                <w:rFonts w:ascii="Cambria" w:hAnsi="Cambria"/>
                <w:sz w:val="16"/>
                <w:szCs w:val="16"/>
              </w:rPr>
            </w:pPr>
            <w:r>
              <w:rPr>
                <w:rFonts w:ascii="Cambria" w:hAnsi="Cambria"/>
                <w:sz w:val="16"/>
                <w:szCs w:val="16"/>
              </w:rPr>
              <w:t>RSV F Nano</w:t>
            </w:r>
            <w:r w:rsidRPr="00380C8B">
              <w:rPr>
                <w:rFonts w:ascii="Cambria" w:hAnsi="Cambria"/>
                <w:sz w:val="16"/>
                <w:szCs w:val="16"/>
              </w:rPr>
              <w:t>particle</w:t>
            </w:r>
          </w:p>
          <w:p w14:paraId="69DAD11A" w14:textId="5A8FBA4F" w:rsidR="00AC7EB3" w:rsidRPr="00380C8B" w:rsidRDefault="00AC7EB3" w:rsidP="00140357">
            <w:pPr>
              <w:jc w:val="center"/>
              <w:rPr>
                <w:sz w:val="16"/>
                <w:szCs w:val="16"/>
              </w:rPr>
            </w:pPr>
            <w:r>
              <w:rPr>
                <w:sz w:val="16"/>
                <w:szCs w:val="16"/>
              </w:rPr>
              <w:t>(Novavax)</w:t>
            </w:r>
          </w:p>
        </w:tc>
        <w:tc>
          <w:tcPr>
            <w:tcW w:w="1835" w:type="dxa"/>
          </w:tcPr>
          <w:p w14:paraId="24DA4E35" w14:textId="16A0D111"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w:t>
            </w:r>
          </w:p>
        </w:tc>
        <w:tc>
          <w:tcPr>
            <w:tcW w:w="1889" w:type="dxa"/>
          </w:tcPr>
          <w:p w14:paraId="0A94C5FD" w14:textId="396FDCFA"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Pre-F &lt; post-F</w:t>
            </w:r>
          </w:p>
        </w:tc>
        <w:tc>
          <w:tcPr>
            <w:tcW w:w="2008" w:type="dxa"/>
            <w:gridSpan w:val="2"/>
          </w:tcPr>
          <w:p w14:paraId="087C31D6" w14:textId="5B47F15E"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Broadly neutralizing antibodies</w:t>
            </w:r>
          </w:p>
        </w:tc>
        <w:tc>
          <w:tcPr>
            <w:tcW w:w="1663" w:type="dxa"/>
          </w:tcPr>
          <w:p w14:paraId="5476167A" w14:textId="7EE03B67" w:rsidR="00AC7EB3"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systemic</w:t>
            </w:r>
          </w:p>
        </w:tc>
      </w:tr>
      <w:tr w:rsidR="00AC7EB3" w:rsidRPr="00380C8B" w14:paraId="560AE4C0" w14:textId="77777777" w:rsidTr="00A84473">
        <w:trPr>
          <w:gridAfter w:val="1"/>
          <w:cnfStyle w:val="000000100000" w:firstRow="0" w:lastRow="0" w:firstColumn="0" w:lastColumn="0" w:oddVBand="0" w:evenVBand="0" w:oddHBand="1" w:evenHBand="0" w:firstRowFirstColumn="0" w:firstRowLastColumn="0" w:lastRowFirstColumn="0" w:lastRowLastColumn="0"/>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1D33197A" w14:textId="0BCA42D6" w:rsidR="00AC7EB3" w:rsidRDefault="00AC7EB3" w:rsidP="00140357">
            <w:pPr>
              <w:jc w:val="center"/>
              <w:rPr>
                <w:rFonts w:ascii="Cambria" w:hAnsi="Cambria"/>
                <w:sz w:val="16"/>
                <w:szCs w:val="16"/>
              </w:rPr>
            </w:pPr>
            <w:r>
              <w:rPr>
                <w:rFonts w:ascii="Cambria" w:hAnsi="Cambria"/>
                <w:sz w:val="16"/>
                <w:szCs w:val="16"/>
              </w:rPr>
              <w:t>RSV F Nano</w:t>
            </w:r>
            <w:r w:rsidRPr="00380C8B">
              <w:rPr>
                <w:rFonts w:ascii="Cambria" w:hAnsi="Cambria"/>
                <w:sz w:val="16"/>
                <w:szCs w:val="16"/>
              </w:rPr>
              <w:t>particle</w:t>
            </w:r>
          </w:p>
          <w:p w14:paraId="7C26E4DC" w14:textId="4C6515E4" w:rsidR="00AC7EB3" w:rsidRPr="00380C8B" w:rsidRDefault="00AC7EB3" w:rsidP="00140357">
            <w:pPr>
              <w:jc w:val="center"/>
              <w:rPr>
                <w:sz w:val="16"/>
                <w:szCs w:val="16"/>
              </w:rPr>
            </w:pPr>
            <w:r>
              <w:rPr>
                <w:sz w:val="16"/>
                <w:szCs w:val="16"/>
              </w:rPr>
              <w:t>(Novavax)</w:t>
            </w:r>
          </w:p>
        </w:tc>
        <w:tc>
          <w:tcPr>
            <w:tcW w:w="1835" w:type="dxa"/>
          </w:tcPr>
          <w:p w14:paraId="4F45865F" w14:textId="137D3E89"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w:t>
            </w:r>
          </w:p>
        </w:tc>
        <w:tc>
          <w:tcPr>
            <w:tcW w:w="1889" w:type="dxa"/>
          </w:tcPr>
          <w:p w14:paraId="7B26B57E" w14:textId="46D4CDD5"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Pre-F &lt; post-F</w:t>
            </w:r>
          </w:p>
        </w:tc>
        <w:tc>
          <w:tcPr>
            <w:tcW w:w="2008" w:type="dxa"/>
            <w:gridSpan w:val="2"/>
          </w:tcPr>
          <w:p w14:paraId="170DA06E" w14:textId="72039B8E"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Broadly neutralizing antibodies</w:t>
            </w:r>
          </w:p>
        </w:tc>
        <w:tc>
          <w:tcPr>
            <w:tcW w:w="1663" w:type="dxa"/>
          </w:tcPr>
          <w:p w14:paraId="7C6C61AF" w14:textId="5ADB3394" w:rsidR="00AC7EB3"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systemic</w:t>
            </w:r>
          </w:p>
        </w:tc>
      </w:tr>
      <w:tr w:rsidR="00AC7EB3" w:rsidRPr="00380C8B" w14:paraId="643BD398" w14:textId="77777777" w:rsidTr="00A84473">
        <w:trPr>
          <w:gridAfter w:val="1"/>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5D05AAFC" w14:textId="77777777" w:rsidR="00AC7EB3" w:rsidRDefault="00AC7EB3" w:rsidP="00140357">
            <w:pPr>
              <w:jc w:val="center"/>
              <w:rPr>
                <w:rFonts w:ascii="Cambria" w:hAnsi="Cambria"/>
                <w:sz w:val="16"/>
                <w:szCs w:val="16"/>
              </w:rPr>
            </w:pPr>
            <w:r>
              <w:rPr>
                <w:rFonts w:ascii="Cambria" w:hAnsi="Cambria"/>
                <w:sz w:val="16"/>
                <w:szCs w:val="16"/>
              </w:rPr>
              <w:t>RSV F Nano</w:t>
            </w:r>
            <w:r w:rsidRPr="00380C8B">
              <w:rPr>
                <w:rFonts w:ascii="Cambria" w:hAnsi="Cambria"/>
                <w:sz w:val="16"/>
                <w:szCs w:val="16"/>
              </w:rPr>
              <w:t>particle</w:t>
            </w:r>
          </w:p>
          <w:p w14:paraId="7AF67D7A" w14:textId="3D7D799C" w:rsidR="00AC7EB3" w:rsidRPr="00380C8B" w:rsidRDefault="00AC7EB3" w:rsidP="00140357">
            <w:pPr>
              <w:jc w:val="center"/>
              <w:rPr>
                <w:sz w:val="16"/>
                <w:szCs w:val="16"/>
              </w:rPr>
            </w:pPr>
            <w:r>
              <w:rPr>
                <w:sz w:val="16"/>
                <w:szCs w:val="16"/>
              </w:rPr>
              <w:t>(Novavax)</w:t>
            </w:r>
          </w:p>
        </w:tc>
        <w:tc>
          <w:tcPr>
            <w:tcW w:w="1835" w:type="dxa"/>
          </w:tcPr>
          <w:p w14:paraId="06770E53" w14:textId="0DBB9C73"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w:t>
            </w:r>
          </w:p>
        </w:tc>
        <w:tc>
          <w:tcPr>
            <w:tcW w:w="1889" w:type="dxa"/>
          </w:tcPr>
          <w:p w14:paraId="5D38B3EB" w14:textId="6CE949D4"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Pre-F &lt; post-F</w:t>
            </w:r>
          </w:p>
        </w:tc>
        <w:tc>
          <w:tcPr>
            <w:tcW w:w="2008" w:type="dxa"/>
            <w:gridSpan w:val="2"/>
          </w:tcPr>
          <w:p w14:paraId="635B2F49" w14:textId="15E46DD8"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Broadly neutralizing antibodies</w:t>
            </w:r>
          </w:p>
        </w:tc>
        <w:tc>
          <w:tcPr>
            <w:tcW w:w="1663" w:type="dxa"/>
          </w:tcPr>
          <w:p w14:paraId="5FE2F309" w14:textId="2656ABAE" w:rsidR="00AC7EB3"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systemic</w:t>
            </w:r>
          </w:p>
        </w:tc>
      </w:tr>
      <w:tr w:rsidR="00AC7EB3" w:rsidRPr="00380C8B" w14:paraId="2CBDE027" w14:textId="77777777" w:rsidTr="00A84473">
        <w:trPr>
          <w:gridAfter w:val="1"/>
          <w:cnfStyle w:val="000000100000" w:firstRow="0" w:lastRow="0" w:firstColumn="0" w:lastColumn="0" w:oddVBand="0" w:evenVBand="0" w:oddHBand="1" w:evenHBand="0" w:firstRowFirstColumn="0" w:firstRowLastColumn="0" w:lastRowFirstColumn="0" w:lastRowLastColumn="0"/>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11AF3D60" w14:textId="77777777" w:rsidR="00AC7EB3" w:rsidRDefault="00AC7EB3" w:rsidP="00140357">
            <w:pPr>
              <w:jc w:val="center"/>
              <w:rPr>
                <w:sz w:val="16"/>
                <w:szCs w:val="16"/>
              </w:rPr>
            </w:pPr>
            <w:r>
              <w:rPr>
                <w:sz w:val="16"/>
                <w:szCs w:val="16"/>
              </w:rPr>
              <w:t>RSV BLP</w:t>
            </w:r>
          </w:p>
          <w:p w14:paraId="6631631B" w14:textId="0AD24E57" w:rsidR="00AC7EB3" w:rsidRPr="00380C8B" w:rsidRDefault="00AC7EB3" w:rsidP="00140357">
            <w:pPr>
              <w:jc w:val="center"/>
              <w:rPr>
                <w:sz w:val="16"/>
                <w:szCs w:val="16"/>
              </w:rPr>
            </w:pPr>
            <w:r>
              <w:rPr>
                <w:sz w:val="16"/>
                <w:szCs w:val="16"/>
              </w:rPr>
              <w:t>(Mucosis)</w:t>
            </w:r>
          </w:p>
        </w:tc>
        <w:tc>
          <w:tcPr>
            <w:tcW w:w="1835" w:type="dxa"/>
          </w:tcPr>
          <w:p w14:paraId="1B39F0CA" w14:textId="4CC247F8"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 &amp; P</w:t>
            </w:r>
          </w:p>
        </w:tc>
        <w:tc>
          <w:tcPr>
            <w:tcW w:w="1889" w:type="dxa"/>
          </w:tcPr>
          <w:p w14:paraId="0FB3EA70" w14:textId="544FDBF8"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unclear F confirmation</w:t>
            </w:r>
          </w:p>
        </w:tc>
        <w:tc>
          <w:tcPr>
            <w:tcW w:w="2008" w:type="dxa"/>
            <w:gridSpan w:val="2"/>
          </w:tcPr>
          <w:p w14:paraId="0435862F" w14:textId="4FCE7174"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Activation of B &amp; T cells; local secretion of neutralizing IgA in the nose; production of IgG neutralizing IgG in the blood</w:t>
            </w:r>
          </w:p>
        </w:tc>
        <w:tc>
          <w:tcPr>
            <w:tcW w:w="1663" w:type="dxa"/>
          </w:tcPr>
          <w:p w14:paraId="3276C6E6" w14:textId="1CC32388" w:rsidR="00AC7EB3"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mucosal &amp; systemic</w:t>
            </w:r>
          </w:p>
        </w:tc>
      </w:tr>
      <w:tr w:rsidR="00AC7EB3" w:rsidRPr="00380C8B" w14:paraId="62CFC39F" w14:textId="77777777" w:rsidTr="00A84473">
        <w:trPr>
          <w:gridAfter w:val="1"/>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0B4D081F" w14:textId="5ECB4E12" w:rsidR="00AC7EB3" w:rsidRPr="00380C8B" w:rsidRDefault="00AC7EB3" w:rsidP="00140357">
            <w:pPr>
              <w:jc w:val="center"/>
              <w:rPr>
                <w:sz w:val="16"/>
                <w:szCs w:val="16"/>
              </w:rPr>
            </w:pPr>
            <w:r>
              <w:rPr>
                <w:sz w:val="16"/>
                <w:szCs w:val="16"/>
              </w:rPr>
              <w:t>Vector</w:t>
            </w:r>
          </w:p>
        </w:tc>
        <w:tc>
          <w:tcPr>
            <w:tcW w:w="1835" w:type="dxa"/>
          </w:tcPr>
          <w:p w14:paraId="139A56D4" w14:textId="77777777"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889" w:type="dxa"/>
          </w:tcPr>
          <w:p w14:paraId="253D3979" w14:textId="18D7385F"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2008" w:type="dxa"/>
            <w:gridSpan w:val="2"/>
          </w:tcPr>
          <w:p w14:paraId="38D290E1" w14:textId="77777777"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63" w:type="dxa"/>
          </w:tcPr>
          <w:p w14:paraId="0AB937C1" w14:textId="77777777"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AC7EB3" w:rsidRPr="00380C8B" w14:paraId="53F73270" w14:textId="77777777" w:rsidTr="00A84473">
        <w:trPr>
          <w:gridAfter w:val="1"/>
          <w:cnfStyle w:val="000000100000" w:firstRow="0" w:lastRow="0" w:firstColumn="0" w:lastColumn="0" w:oddVBand="0" w:evenVBand="0" w:oddHBand="1" w:evenHBand="0" w:firstRowFirstColumn="0" w:firstRowLastColumn="0" w:lastRowFirstColumn="0" w:lastRowLastColumn="0"/>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41141781" w14:textId="77777777" w:rsidR="00AC7EB3" w:rsidRDefault="00AC7EB3" w:rsidP="00140357">
            <w:pPr>
              <w:jc w:val="center"/>
              <w:rPr>
                <w:sz w:val="16"/>
                <w:szCs w:val="16"/>
              </w:rPr>
            </w:pPr>
            <w:r>
              <w:rPr>
                <w:sz w:val="16"/>
                <w:szCs w:val="16"/>
              </w:rPr>
              <w:t>MVA</w:t>
            </w:r>
          </w:p>
          <w:p w14:paraId="4F654E32" w14:textId="3AD676AC" w:rsidR="00AC7EB3" w:rsidRPr="00380C8B" w:rsidRDefault="00AC7EB3" w:rsidP="00140357">
            <w:pPr>
              <w:jc w:val="center"/>
              <w:rPr>
                <w:sz w:val="16"/>
                <w:szCs w:val="16"/>
              </w:rPr>
            </w:pPr>
            <w:r>
              <w:rPr>
                <w:sz w:val="16"/>
                <w:szCs w:val="16"/>
              </w:rPr>
              <w:t>(Bavarian Nordic)</w:t>
            </w:r>
          </w:p>
        </w:tc>
        <w:tc>
          <w:tcPr>
            <w:tcW w:w="1835" w:type="dxa"/>
          </w:tcPr>
          <w:p w14:paraId="7C75B20C" w14:textId="16B6A1FF"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w:t>
            </w:r>
          </w:p>
        </w:tc>
        <w:tc>
          <w:tcPr>
            <w:tcW w:w="1889" w:type="dxa"/>
          </w:tcPr>
          <w:p w14:paraId="4A3C670D" w14:textId="77717280"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Pre-F &lt; post-F</w:t>
            </w:r>
          </w:p>
        </w:tc>
        <w:tc>
          <w:tcPr>
            <w:tcW w:w="2008" w:type="dxa"/>
            <w:gridSpan w:val="2"/>
          </w:tcPr>
          <w:p w14:paraId="0A4A3EC2" w14:textId="4F3AF38B"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 &amp; T cell response; antibodies against 5 RSV antigens</w:t>
            </w:r>
          </w:p>
        </w:tc>
        <w:tc>
          <w:tcPr>
            <w:tcW w:w="1663" w:type="dxa"/>
          </w:tcPr>
          <w:p w14:paraId="5AAC6FF7" w14:textId="0536CBA9" w:rsidR="00AC7EB3"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systemic</w:t>
            </w:r>
          </w:p>
        </w:tc>
      </w:tr>
      <w:tr w:rsidR="00AC7EB3" w:rsidRPr="00380C8B" w14:paraId="482A475C" w14:textId="77777777" w:rsidTr="00A84473">
        <w:trPr>
          <w:gridAfter w:val="1"/>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435F7EF9" w14:textId="4196F89D" w:rsidR="00AC7EB3" w:rsidRDefault="00AC7EB3" w:rsidP="00140357">
            <w:pPr>
              <w:jc w:val="center"/>
              <w:rPr>
                <w:sz w:val="16"/>
                <w:szCs w:val="16"/>
              </w:rPr>
            </w:pPr>
            <w:r>
              <w:rPr>
                <w:sz w:val="16"/>
                <w:szCs w:val="16"/>
              </w:rPr>
              <w:t>Adenovirus</w:t>
            </w:r>
          </w:p>
          <w:p w14:paraId="07D0BDAD" w14:textId="57CC76ED" w:rsidR="00AC7EB3" w:rsidRPr="00380C8B" w:rsidRDefault="00AC7EB3" w:rsidP="00140357">
            <w:pPr>
              <w:jc w:val="center"/>
              <w:rPr>
                <w:sz w:val="16"/>
                <w:szCs w:val="16"/>
              </w:rPr>
            </w:pPr>
            <w:r>
              <w:rPr>
                <w:sz w:val="16"/>
                <w:szCs w:val="16"/>
              </w:rPr>
              <w:t>(GSK)</w:t>
            </w:r>
          </w:p>
        </w:tc>
        <w:tc>
          <w:tcPr>
            <w:tcW w:w="1835" w:type="dxa"/>
          </w:tcPr>
          <w:p w14:paraId="6E0939BC" w14:textId="5642818C"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w:t>
            </w:r>
          </w:p>
        </w:tc>
        <w:tc>
          <w:tcPr>
            <w:tcW w:w="1889" w:type="dxa"/>
          </w:tcPr>
          <w:p w14:paraId="72F8E1B9" w14:textId="5070CB2C"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Pre-F &gt; post-F</w:t>
            </w:r>
          </w:p>
        </w:tc>
        <w:tc>
          <w:tcPr>
            <w:tcW w:w="2008" w:type="dxa"/>
            <w:gridSpan w:val="2"/>
          </w:tcPr>
          <w:p w14:paraId="50F85CEF" w14:textId="2D45521B"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 &amp; T cell response; neutralizing antibodies against F antigen; CD8 T cells against F, N and M2.1 antigens</w:t>
            </w:r>
          </w:p>
        </w:tc>
        <w:tc>
          <w:tcPr>
            <w:tcW w:w="1663" w:type="dxa"/>
          </w:tcPr>
          <w:p w14:paraId="32DFE8A9" w14:textId="222FCF2A" w:rsidR="00AC7EB3"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systemic</w:t>
            </w:r>
          </w:p>
        </w:tc>
      </w:tr>
      <w:tr w:rsidR="00AC7EB3" w:rsidRPr="00380C8B" w14:paraId="46A6C14B" w14:textId="77777777" w:rsidTr="00A84473">
        <w:trPr>
          <w:gridAfter w:val="1"/>
          <w:cnfStyle w:val="000000100000" w:firstRow="0" w:lastRow="0" w:firstColumn="0" w:lastColumn="0" w:oddVBand="0" w:evenVBand="0" w:oddHBand="1" w:evenHBand="0" w:firstRowFirstColumn="0" w:firstRowLastColumn="0" w:lastRowFirstColumn="0" w:lastRowLastColumn="0"/>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1EBBE5BB" w14:textId="3CDDFF8B" w:rsidR="00AC7EB3" w:rsidRPr="00380C8B" w:rsidRDefault="00AC7EB3" w:rsidP="00140357">
            <w:pPr>
              <w:jc w:val="center"/>
              <w:rPr>
                <w:sz w:val="16"/>
                <w:szCs w:val="16"/>
              </w:rPr>
            </w:pPr>
            <w:r>
              <w:rPr>
                <w:sz w:val="16"/>
                <w:szCs w:val="16"/>
              </w:rPr>
              <w:t>Adenovirus (Vaxart)</w:t>
            </w:r>
          </w:p>
        </w:tc>
        <w:tc>
          <w:tcPr>
            <w:tcW w:w="1835" w:type="dxa"/>
          </w:tcPr>
          <w:p w14:paraId="2968F55A" w14:textId="122F45BB"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w:t>
            </w:r>
          </w:p>
        </w:tc>
        <w:tc>
          <w:tcPr>
            <w:tcW w:w="1889" w:type="dxa"/>
          </w:tcPr>
          <w:p w14:paraId="3A993CEF" w14:textId="3A92DC3E"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Pre-F &lt; post-F</w:t>
            </w:r>
          </w:p>
        </w:tc>
        <w:tc>
          <w:tcPr>
            <w:tcW w:w="2008" w:type="dxa"/>
            <w:gridSpan w:val="2"/>
          </w:tcPr>
          <w:p w14:paraId="23C3825B" w14:textId="2F18110A"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 &amp; T cell immunity, protection at mucosal surface</w:t>
            </w:r>
          </w:p>
        </w:tc>
        <w:tc>
          <w:tcPr>
            <w:tcW w:w="1663" w:type="dxa"/>
          </w:tcPr>
          <w:p w14:paraId="7A4FD51F" w14:textId="5401E9DC" w:rsidR="00AC7EB3"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mucosal &gt; systemic</w:t>
            </w:r>
          </w:p>
        </w:tc>
      </w:tr>
      <w:tr w:rsidR="00AC7EB3" w:rsidRPr="00380C8B" w14:paraId="30462B81" w14:textId="77777777" w:rsidTr="00A84473">
        <w:trPr>
          <w:gridAfter w:val="1"/>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62B9C6AE" w14:textId="380EA09F" w:rsidR="00AC7EB3" w:rsidRDefault="00AC7EB3" w:rsidP="00140357">
            <w:pPr>
              <w:jc w:val="center"/>
              <w:rPr>
                <w:sz w:val="16"/>
                <w:szCs w:val="16"/>
              </w:rPr>
            </w:pPr>
            <w:r>
              <w:rPr>
                <w:sz w:val="16"/>
                <w:szCs w:val="16"/>
              </w:rPr>
              <w:t>Adenovirus (Janssen)</w:t>
            </w:r>
          </w:p>
        </w:tc>
        <w:tc>
          <w:tcPr>
            <w:tcW w:w="1835" w:type="dxa"/>
          </w:tcPr>
          <w:p w14:paraId="0C07DD87" w14:textId="3F42BAD6" w:rsidR="00AC7EB3"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w:t>
            </w:r>
          </w:p>
        </w:tc>
        <w:tc>
          <w:tcPr>
            <w:tcW w:w="1889" w:type="dxa"/>
          </w:tcPr>
          <w:p w14:paraId="24CA2F21" w14:textId="69F8F9D9" w:rsidR="00AC7EB3"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Pre-F</w:t>
            </w:r>
          </w:p>
        </w:tc>
        <w:tc>
          <w:tcPr>
            <w:tcW w:w="2008" w:type="dxa"/>
            <w:gridSpan w:val="2"/>
          </w:tcPr>
          <w:p w14:paraId="7B7EC978" w14:textId="4647F0D6" w:rsidR="00AC7EB3"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 &amp; T cells</w:t>
            </w:r>
          </w:p>
        </w:tc>
        <w:tc>
          <w:tcPr>
            <w:tcW w:w="1663" w:type="dxa"/>
          </w:tcPr>
          <w:p w14:paraId="4A04018C" w14:textId="687C8E5A" w:rsidR="00AC7EB3"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systemic</w:t>
            </w:r>
          </w:p>
        </w:tc>
      </w:tr>
      <w:tr w:rsidR="00AC7EB3" w:rsidRPr="00380C8B" w14:paraId="1DA4DA1B" w14:textId="77777777" w:rsidTr="00A84473">
        <w:trPr>
          <w:gridAfter w:val="1"/>
          <w:cnfStyle w:val="000000100000" w:firstRow="0" w:lastRow="0" w:firstColumn="0" w:lastColumn="0" w:oddVBand="0" w:evenVBand="0" w:oddHBand="1" w:evenHBand="0" w:firstRowFirstColumn="0" w:firstRowLastColumn="0" w:lastRowFirstColumn="0" w:lastRowLastColumn="0"/>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111C4659" w14:textId="2BA14FC4" w:rsidR="00AC7EB3" w:rsidRPr="00380C8B" w:rsidRDefault="00AC7EB3" w:rsidP="00140357">
            <w:pPr>
              <w:jc w:val="center"/>
              <w:rPr>
                <w:sz w:val="16"/>
                <w:szCs w:val="16"/>
              </w:rPr>
            </w:pPr>
            <w:r>
              <w:rPr>
                <w:sz w:val="16"/>
                <w:szCs w:val="16"/>
              </w:rPr>
              <w:t>Adenovirus (Janssen)</w:t>
            </w:r>
          </w:p>
        </w:tc>
        <w:tc>
          <w:tcPr>
            <w:tcW w:w="1835" w:type="dxa"/>
          </w:tcPr>
          <w:p w14:paraId="04C383E0" w14:textId="7AAAC7E8"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O </w:t>
            </w:r>
          </w:p>
        </w:tc>
        <w:tc>
          <w:tcPr>
            <w:tcW w:w="1889" w:type="dxa"/>
          </w:tcPr>
          <w:p w14:paraId="5BA6DD0C" w14:textId="35A384DF"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Pre-F</w:t>
            </w:r>
          </w:p>
        </w:tc>
        <w:tc>
          <w:tcPr>
            <w:tcW w:w="2008" w:type="dxa"/>
            <w:gridSpan w:val="2"/>
          </w:tcPr>
          <w:p w14:paraId="2B7B09CD" w14:textId="6F56901D"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 &amp; T cells</w:t>
            </w:r>
          </w:p>
        </w:tc>
        <w:tc>
          <w:tcPr>
            <w:tcW w:w="1663" w:type="dxa"/>
          </w:tcPr>
          <w:p w14:paraId="72201E8B" w14:textId="68757D47" w:rsidR="00AC7EB3"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systemic</w:t>
            </w:r>
          </w:p>
        </w:tc>
      </w:tr>
      <w:tr w:rsidR="00AC7EB3" w:rsidRPr="00380C8B" w14:paraId="6D843C94" w14:textId="77777777" w:rsidTr="00A84473">
        <w:trPr>
          <w:gridAfter w:val="1"/>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301C08E9" w14:textId="340405E6" w:rsidR="00AC7EB3" w:rsidRPr="00380C8B" w:rsidRDefault="00AC7EB3" w:rsidP="00140357">
            <w:pPr>
              <w:jc w:val="center"/>
              <w:rPr>
                <w:sz w:val="16"/>
                <w:szCs w:val="16"/>
              </w:rPr>
            </w:pPr>
            <w:r>
              <w:rPr>
                <w:sz w:val="16"/>
                <w:szCs w:val="16"/>
              </w:rPr>
              <w:t>Subunit</w:t>
            </w:r>
          </w:p>
        </w:tc>
        <w:tc>
          <w:tcPr>
            <w:tcW w:w="1835" w:type="dxa"/>
          </w:tcPr>
          <w:p w14:paraId="3E8E9961" w14:textId="77777777"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889" w:type="dxa"/>
          </w:tcPr>
          <w:p w14:paraId="7F9EE3B1" w14:textId="77777777"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2008" w:type="dxa"/>
            <w:gridSpan w:val="2"/>
          </w:tcPr>
          <w:p w14:paraId="0D920C1E" w14:textId="77777777"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63" w:type="dxa"/>
          </w:tcPr>
          <w:p w14:paraId="2FF68ED0" w14:textId="77777777"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AC7EB3" w:rsidRPr="00380C8B" w14:paraId="6D03FFEB" w14:textId="77777777" w:rsidTr="00A84473">
        <w:trPr>
          <w:gridAfter w:val="1"/>
          <w:cnfStyle w:val="000000100000" w:firstRow="0" w:lastRow="0" w:firstColumn="0" w:lastColumn="0" w:oddVBand="0" w:evenVBand="0" w:oddHBand="1" w:evenHBand="0" w:firstRowFirstColumn="0" w:firstRowLastColumn="0" w:lastRowFirstColumn="0" w:lastRowLastColumn="0"/>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7BF5872E" w14:textId="19631941" w:rsidR="00AC7EB3" w:rsidRPr="00380C8B" w:rsidRDefault="00AC7EB3" w:rsidP="00140357">
            <w:pPr>
              <w:jc w:val="center"/>
              <w:rPr>
                <w:sz w:val="16"/>
                <w:szCs w:val="16"/>
              </w:rPr>
            </w:pPr>
            <w:r>
              <w:rPr>
                <w:sz w:val="16"/>
                <w:szCs w:val="16"/>
              </w:rPr>
              <w:t>RSV F (GSK)</w:t>
            </w:r>
          </w:p>
        </w:tc>
        <w:tc>
          <w:tcPr>
            <w:tcW w:w="1835" w:type="dxa"/>
          </w:tcPr>
          <w:p w14:paraId="154FE6C6" w14:textId="4ADC96D6"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w:t>
            </w:r>
          </w:p>
        </w:tc>
        <w:tc>
          <w:tcPr>
            <w:tcW w:w="1889" w:type="dxa"/>
          </w:tcPr>
          <w:p w14:paraId="35550589" w14:textId="6F259066"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Pre-F</w:t>
            </w:r>
          </w:p>
        </w:tc>
        <w:tc>
          <w:tcPr>
            <w:tcW w:w="2008" w:type="dxa"/>
            <w:gridSpan w:val="2"/>
          </w:tcPr>
          <w:p w14:paraId="19C216D0" w14:textId="7F748D65"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 &amp; T cell response</w:t>
            </w:r>
          </w:p>
        </w:tc>
        <w:tc>
          <w:tcPr>
            <w:tcW w:w="1663" w:type="dxa"/>
          </w:tcPr>
          <w:p w14:paraId="2104D578" w14:textId="7E53FD42"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systemic</w:t>
            </w:r>
          </w:p>
        </w:tc>
      </w:tr>
      <w:tr w:rsidR="00AC7EB3" w:rsidRPr="00380C8B" w14:paraId="45F1107A" w14:textId="77777777" w:rsidTr="00A84473">
        <w:trPr>
          <w:gridAfter w:val="1"/>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0BC9BBD0" w14:textId="6F56A804" w:rsidR="00AC7EB3" w:rsidRPr="00380C8B" w:rsidRDefault="00AC7EB3" w:rsidP="00206420">
            <w:pPr>
              <w:jc w:val="center"/>
              <w:rPr>
                <w:sz w:val="16"/>
                <w:szCs w:val="16"/>
              </w:rPr>
            </w:pPr>
            <w:r>
              <w:rPr>
                <w:sz w:val="16"/>
                <w:szCs w:val="16"/>
              </w:rPr>
              <w:t>DPX-RSV (Dalhousie University)</w:t>
            </w:r>
          </w:p>
        </w:tc>
        <w:tc>
          <w:tcPr>
            <w:tcW w:w="1835" w:type="dxa"/>
          </w:tcPr>
          <w:p w14:paraId="5536C4D2" w14:textId="6A78A121"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w:t>
            </w:r>
          </w:p>
        </w:tc>
        <w:tc>
          <w:tcPr>
            <w:tcW w:w="1889" w:type="dxa"/>
          </w:tcPr>
          <w:p w14:paraId="31299737" w14:textId="5B6A729F"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none</w:t>
            </w:r>
          </w:p>
        </w:tc>
        <w:tc>
          <w:tcPr>
            <w:tcW w:w="2008" w:type="dxa"/>
            <w:gridSpan w:val="2"/>
          </w:tcPr>
          <w:p w14:paraId="239AD42D" w14:textId="77777777"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63" w:type="dxa"/>
          </w:tcPr>
          <w:p w14:paraId="6C6C3203" w14:textId="7727BF77"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systemic</w:t>
            </w:r>
          </w:p>
        </w:tc>
      </w:tr>
      <w:tr w:rsidR="00AC7EB3" w:rsidRPr="00380C8B" w14:paraId="1FBB2154" w14:textId="77777777" w:rsidTr="00A84473">
        <w:trPr>
          <w:gridAfter w:val="1"/>
          <w:cnfStyle w:val="000000100000" w:firstRow="0" w:lastRow="0" w:firstColumn="0" w:lastColumn="0" w:oddVBand="0" w:evenVBand="0" w:oddHBand="1" w:evenHBand="0" w:firstRowFirstColumn="0" w:firstRowLastColumn="0" w:lastRowFirstColumn="0" w:lastRowLastColumn="0"/>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1E45DA76" w14:textId="7CFC9920" w:rsidR="00AC7EB3" w:rsidRPr="00603741" w:rsidRDefault="00AC7EB3" w:rsidP="00140357">
            <w:pPr>
              <w:jc w:val="center"/>
              <w:rPr>
                <w:sz w:val="16"/>
                <w:szCs w:val="16"/>
                <w:lang w:val="nl-NL"/>
              </w:rPr>
            </w:pPr>
            <w:r w:rsidRPr="00603741">
              <w:rPr>
                <w:sz w:val="16"/>
                <w:szCs w:val="16"/>
                <w:lang w:val="nl-NL"/>
              </w:rPr>
              <w:t>RSV F protein (NIH/NIAID/VRC)</w:t>
            </w:r>
          </w:p>
        </w:tc>
        <w:tc>
          <w:tcPr>
            <w:tcW w:w="1835" w:type="dxa"/>
          </w:tcPr>
          <w:p w14:paraId="78DAAB45" w14:textId="30CA5C9C"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 &amp; M</w:t>
            </w:r>
          </w:p>
        </w:tc>
        <w:tc>
          <w:tcPr>
            <w:tcW w:w="1889" w:type="dxa"/>
          </w:tcPr>
          <w:p w14:paraId="77E95E10" w14:textId="17EDFFE6"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Pre-F</w:t>
            </w:r>
          </w:p>
        </w:tc>
        <w:tc>
          <w:tcPr>
            <w:tcW w:w="2008" w:type="dxa"/>
            <w:gridSpan w:val="2"/>
          </w:tcPr>
          <w:p w14:paraId="4ECA9083" w14:textId="77777777"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63" w:type="dxa"/>
          </w:tcPr>
          <w:p w14:paraId="3918EF8D" w14:textId="4AE9270D"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systemic</w:t>
            </w:r>
          </w:p>
        </w:tc>
      </w:tr>
      <w:tr w:rsidR="00AC7EB3" w:rsidRPr="00380C8B" w14:paraId="306EBBDA" w14:textId="77777777" w:rsidTr="00A84473">
        <w:trPr>
          <w:gridAfter w:val="1"/>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7D7955FE" w14:textId="52EDDE50" w:rsidR="00AC7EB3" w:rsidRPr="00380C8B" w:rsidRDefault="00AC7EB3" w:rsidP="00140357">
            <w:pPr>
              <w:jc w:val="center"/>
              <w:rPr>
                <w:sz w:val="16"/>
                <w:szCs w:val="16"/>
              </w:rPr>
            </w:pPr>
            <w:r>
              <w:rPr>
                <w:sz w:val="16"/>
                <w:szCs w:val="16"/>
              </w:rPr>
              <w:t>Live-attenuated</w:t>
            </w:r>
          </w:p>
        </w:tc>
        <w:tc>
          <w:tcPr>
            <w:tcW w:w="1835" w:type="dxa"/>
          </w:tcPr>
          <w:p w14:paraId="32E4DA66" w14:textId="77777777"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889" w:type="dxa"/>
          </w:tcPr>
          <w:p w14:paraId="109B4EE7" w14:textId="77777777"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2008" w:type="dxa"/>
            <w:gridSpan w:val="2"/>
          </w:tcPr>
          <w:p w14:paraId="312EB136" w14:textId="77777777"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63" w:type="dxa"/>
          </w:tcPr>
          <w:p w14:paraId="0C7152DD" w14:textId="77777777"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AC7EB3" w:rsidRPr="00380C8B" w14:paraId="59784DF2" w14:textId="77777777" w:rsidTr="00A84473">
        <w:trPr>
          <w:gridAfter w:val="1"/>
          <w:cnfStyle w:val="000000100000" w:firstRow="0" w:lastRow="0" w:firstColumn="0" w:lastColumn="0" w:oddVBand="0" w:evenVBand="0" w:oddHBand="1" w:evenHBand="0" w:firstRowFirstColumn="0" w:firstRowLastColumn="0" w:lastRowFirstColumn="0" w:lastRowLastColumn="0"/>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2DA467DC" w14:textId="77777777" w:rsidR="00AC7EB3" w:rsidRDefault="00AC7EB3" w:rsidP="00206420">
            <w:pPr>
              <w:jc w:val="center"/>
              <w:rPr>
                <w:sz w:val="16"/>
                <w:szCs w:val="16"/>
              </w:rPr>
            </w:pPr>
            <w:r w:rsidRPr="000276B6">
              <w:rPr>
                <w:sz w:val="16"/>
                <w:szCs w:val="16"/>
              </w:rPr>
              <w:t>BCG/RSV</w:t>
            </w:r>
          </w:p>
          <w:p w14:paraId="7FC69933" w14:textId="4288E826" w:rsidR="00AC7EB3" w:rsidRPr="000276B6" w:rsidRDefault="00AC7EB3" w:rsidP="00206420">
            <w:pPr>
              <w:jc w:val="center"/>
              <w:rPr>
                <w:sz w:val="16"/>
                <w:szCs w:val="16"/>
              </w:rPr>
            </w:pPr>
            <w:r>
              <w:rPr>
                <w:sz w:val="16"/>
                <w:szCs w:val="16"/>
              </w:rPr>
              <w:t>s(</w:t>
            </w:r>
            <w:r w:rsidRPr="00206420">
              <w:rPr>
                <w:sz w:val="16"/>
                <w:szCs w:val="16"/>
              </w:rPr>
              <w:t>Pontificia Universidad Catolica de Chile</w:t>
            </w:r>
            <w:r>
              <w:rPr>
                <w:sz w:val="16"/>
                <w:szCs w:val="16"/>
              </w:rPr>
              <w:t>)</w:t>
            </w:r>
          </w:p>
        </w:tc>
        <w:tc>
          <w:tcPr>
            <w:tcW w:w="1835" w:type="dxa"/>
          </w:tcPr>
          <w:p w14:paraId="00F03756" w14:textId="02AD4D09"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w:t>
            </w:r>
          </w:p>
        </w:tc>
        <w:tc>
          <w:tcPr>
            <w:tcW w:w="1889" w:type="dxa"/>
          </w:tcPr>
          <w:p w14:paraId="1A8790D2" w14:textId="316C1EAD"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Pre-F &amp; post-F</w:t>
            </w:r>
          </w:p>
        </w:tc>
        <w:tc>
          <w:tcPr>
            <w:tcW w:w="2008" w:type="dxa"/>
            <w:gridSpan w:val="2"/>
          </w:tcPr>
          <w:p w14:paraId="5DCB9311" w14:textId="60C0DA1A" w:rsidR="00AC7EB3" w:rsidRPr="00380C8B" w:rsidRDefault="00AC7EB3" w:rsidP="00823B42">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 &amp; T cell response; Th1 polarized response; antibodies against N, F, G</w:t>
            </w:r>
          </w:p>
        </w:tc>
        <w:tc>
          <w:tcPr>
            <w:tcW w:w="1663" w:type="dxa"/>
          </w:tcPr>
          <w:p w14:paraId="64893750" w14:textId="6D8BEA12" w:rsidR="00AC7EB3"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systemic</w:t>
            </w:r>
          </w:p>
        </w:tc>
      </w:tr>
      <w:tr w:rsidR="00AC7EB3" w:rsidRPr="00380C8B" w14:paraId="68AE2BE8" w14:textId="77777777" w:rsidTr="00A84473">
        <w:trPr>
          <w:gridAfter w:val="1"/>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42ED7451" w14:textId="73DDF2A7" w:rsidR="00AC7EB3" w:rsidRDefault="00AC7EB3" w:rsidP="00140357">
            <w:pPr>
              <w:jc w:val="center"/>
              <w:rPr>
                <w:rFonts w:ascii="Cambria" w:hAnsi="Cambria"/>
                <w:sz w:val="16"/>
                <w:szCs w:val="16"/>
              </w:rPr>
            </w:pPr>
            <w:r>
              <w:rPr>
                <w:rFonts w:ascii="Cambria" w:hAnsi="Cambria"/>
                <w:sz w:val="16"/>
                <w:szCs w:val="16"/>
              </w:rPr>
              <w:t>R</w:t>
            </w:r>
            <w:r w:rsidRPr="000276B6">
              <w:rPr>
                <w:rFonts w:ascii="Cambria" w:hAnsi="Cambria"/>
                <w:sz w:val="16"/>
                <w:szCs w:val="16"/>
              </w:rPr>
              <w:t>SV D46 cp ΔM2-2</w:t>
            </w:r>
          </w:p>
          <w:p w14:paraId="4EC91A43" w14:textId="2A942A68" w:rsidR="00AC7EB3" w:rsidRPr="000276B6" w:rsidRDefault="00AC7EB3" w:rsidP="00140357">
            <w:pPr>
              <w:jc w:val="center"/>
              <w:rPr>
                <w:sz w:val="16"/>
                <w:szCs w:val="16"/>
              </w:rPr>
            </w:pPr>
            <w:r w:rsidRPr="00603741">
              <w:rPr>
                <w:rFonts w:ascii="Times" w:eastAsia="Times New Roman" w:hAnsi="Times" w:cs="Arial"/>
                <w:color w:val="000000"/>
                <w:sz w:val="16"/>
                <w:szCs w:val="16"/>
                <w:lang w:val="nl-NL" w:eastAsia="en-US"/>
              </w:rPr>
              <w:t>(Sanofi</w:t>
            </w:r>
            <w:r>
              <w:rPr>
                <w:rFonts w:ascii="Times" w:eastAsia="Times New Roman" w:hAnsi="Times" w:cs="Arial"/>
                <w:color w:val="000000"/>
                <w:sz w:val="16"/>
                <w:szCs w:val="16"/>
                <w:lang w:val="nl-NL" w:eastAsia="en-US"/>
              </w:rPr>
              <w:t xml:space="preserve"> Pasteur</w:t>
            </w:r>
            <w:r w:rsidRPr="00603741">
              <w:rPr>
                <w:rFonts w:ascii="Times" w:eastAsia="Times New Roman" w:hAnsi="Times" w:cs="Arial"/>
                <w:color w:val="000000"/>
                <w:sz w:val="16"/>
                <w:szCs w:val="16"/>
                <w:lang w:val="nl-NL" w:eastAsia="en-US"/>
              </w:rPr>
              <w:t>/LID/NIAID/NIH)</w:t>
            </w:r>
          </w:p>
        </w:tc>
        <w:tc>
          <w:tcPr>
            <w:tcW w:w="1835" w:type="dxa"/>
          </w:tcPr>
          <w:p w14:paraId="14014CBE" w14:textId="1FE9AF1A"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w:t>
            </w:r>
          </w:p>
        </w:tc>
        <w:tc>
          <w:tcPr>
            <w:tcW w:w="1889" w:type="dxa"/>
          </w:tcPr>
          <w:p w14:paraId="10E9C4AE" w14:textId="79B3E65F"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Pre-F &amp; post-F</w:t>
            </w:r>
          </w:p>
        </w:tc>
        <w:tc>
          <w:tcPr>
            <w:tcW w:w="2008" w:type="dxa"/>
            <w:gridSpan w:val="2"/>
          </w:tcPr>
          <w:p w14:paraId="732B0EC4" w14:textId="1FF8516C"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 &amp; T cell response; enhanced antibody production due to increased antigen production from M2-2 deletion</w:t>
            </w:r>
          </w:p>
        </w:tc>
        <w:tc>
          <w:tcPr>
            <w:tcW w:w="1663" w:type="dxa"/>
          </w:tcPr>
          <w:p w14:paraId="6A41D1B9" w14:textId="3152B597"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mucosal &amp; systemic</w:t>
            </w:r>
          </w:p>
        </w:tc>
      </w:tr>
      <w:tr w:rsidR="00AC7EB3" w:rsidRPr="00380C8B" w14:paraId="5653C595" w14:textId="77777777" w:rsidTr="00A84473">
        <w:trPr>
          <w:gridAfter w:val="1"/>
          <w:cnfStyle w:val="000000100000" w:firstRow="0" w:lastRow="0" w:firstColumn="0" w:lastColumn="0" w:oddVBand="0" w:evenVBand="0" w:oddHBand="1" w:evenHBand="0" w:firstRowFirstColumn="0" w:firstRowLastColumn="0" w:lastRowFirstColumn="0" w:lastRowLastColumn="0"/>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112BAF9A" w14:textId="77777777" w:rsidR="00AC7EB3" w:rsidRDefault="00AC7EB3" w:rsidP="00140357">
            <w:pPr>
              <w:jc w:val="center"/>
              <w:rPr>
                <w:rFonts w:ascii="Cambria" w:hAnsi="Cambria"/>
                <w:sz w:val="16"/>
                <w:szCs w:val="16"/>
              </w:rPr>
            </w:pPr>
            <w:r w:rsidRPr="000276B6">
              <w:rPr>
                <w:rFonts w:ascii="Cambria" w:hAnsi="Cambria"/>
                <w:sz w:val="16"/>
                <w:szCs w:val="16"/>
              </w:rPr>
              <w:t>RSV LID ΔM2-2 1030s</w:t>
            </w:r>
          </w:p>
          <w:p w14:paraId="2FC30663" w14:textId="53FC55ED" w:rsidR="00AC7EB3" w:rsidRPr="000276B6" w:rsidRDefault="00AC7EB3" w:rsidP="00140357">
            <w:pPr>
              <w:jc w:val="center"/>
              <w:rPr>
                <w:sz w:val="16"/>
                <w:szCs w:val="16"/>
              </w:rPr>
            </w:pPr>
            <w:r w:rsidRPr="00603741">
              <w:rPr>
                <w:rFonts w:ascii="Times" w:eastAsia="Times New Roman" w:hAnsi="Times" w:cs="Arial"/>
                <w:color w:val="000000"/>
                <w:sz w:val="16"/>
                <w:szCs w:val="16"/>
                <w:lang w:val="nl-NL" w:eastAsia="en-US"/>
              </w:rPr>
              <w:t>(Sanofi</w:t>
            </w:r>
            <w:r>
              <w:rPr>
                <w:rFonts w:ascii="Times" w:eastAsia="Times New Roman" w:hAnsi="Times" w:cs="Arial"/>
                <w:color w:val="000000"/>
                <w:sz w:val="16"/>
                <w:szCs w:val="16"/>
                <w:lang w:val="nl-NL" w:eastAsia="en-US"/>
              </w:rPr>
              <w:t xml:space="preserve"> Pasteur</w:t>
            </w:r>
            <w:r w:rsidRPr="00603741">
              <w:rPr>
                <w:rFonts w:ascii="Times" w:eastAsia="Times New Roman" w:hAnsi="Times" w:cs="Arial"/>
                <w:color w:val="000000"/>
                <w:sz w:val="16"/>
                <w:szCs w:val="16"/>
                <w:lang w:val="nl-NL" w:eastAsia="en-US"/>
              </w:rPr>
              <w:t>/LID/NIAID/NIH)</w:t>
            </w:r>
          </w:p>
        </w:tc>
        <w:tc>
          <w:tcPr>
            <w:tcW w:w="1835" w:type="dxa"/>
          </w:tcPr>
          <w:p w14:paraId="67D8CBAB" w14:textId="62EF3FDA"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w:t>
            </w:r>
          </w:p>
        </w:tc>
        <w:tc>
          <w:tcPr>
            <w:tcW w:w="1889" w:type="dxa"/>
          </w:tcPr>
          <w:p w14:paraId="030A58CF" w14:textId="76F2B42B"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Pre-F &amp; post-F</w:t>
            </w:r>
          </w:p>
        </w:tc>
        <w:tc>
          <w:tcPr>
            <w:tcW w:w="2008" w:type="dxa"/>
            <w:gridSpan w:val="2"/>
          </w:tcPr>
          <w:p w14:paraId="3EFDB013" w14:textId="54D41009"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 &amp; T cell response; enhanced antibody production due to increased antigen production from M2-2 deletion</w:t>
            </w:r>
          </w:p>
        </w:tc>
        <w:tc>
          <w:tcPr>
            <w:tcW w:w="1663" w:type="dxa"/>
          </w:tcPr>
          <w:p w14:paraId="7829DDE2" w14:textId="0FEE8AE2"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mucosal &amp; systemic</w:t>
            </w:r>
          </w:p>
        </w:tc>
      </w:tr>
      <w:tr w:rsidR="00AC7EB3" w:rsidRPr="00380C8B" w14:paraId="5CCBE82F" w14:textId="77777777" w:rsidTr="00A84473">
        <w:trPr>
          <w:gridAfter w:val="1"/>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12793AAB" w14:textId="77777777" w:rsidR="00AC7EB3" w:rsidRDefault="00AC7EB3" w:rsidP="00140357">
            <w:pPr>
              <w:jc w:val="center"/>
              <w:rPr>
                <w:rFonts w:ascii="Cambria" w:hAnsi="Cambria"/>
                <w:sz w:val="16"/>
                <w:szCs w:val="16"/>
              </w:rPr>
            </w:pPr>
            <w:r w:rsidRPr="000276B6">
              <w:rPr>
                <w:rFonts w:ascii="Cambria" w:hAnsi="Cambria"/>
                <w:sz w:val="16"/>
                <w:szCs w:val="16"/>
              </w:rPr>
              <w:t>RSV ΔNS2 Δ1313</w:t>
            </w:r>
            <w:r>
              <w:rPr>
                <w:rFonts w:ascii="Cambria" w:hAnsi="Cambria"/>
                <w:sz w:val="16"/>
                <w:szCs w:val="16"/>
              </w:rPr>
              <w:t>/I1314L</w:t>
            </w:r>
          </w:p>
          <w:p w14:paraId="6524B36A" w14:textId="4FCC763B" w:rsidR="00AC7EB3" w:rsidRPr="000276B6" w:rsidRDefault="00AC7EB3" w:rsidP="00140357">
            <w:pPr>
              <w:jc w:val="center"/>
              <w:rPr>
                <w:sz w:val="16"/>
                <w:szCs w:val="16"/>
              </w:rPr>
            </w:pPr>
            <w:r w:rsidRPr="00603741">
              <w:rPr>
                <w:rFonts w:ascii="Times" w:eastAsia="Times New Roman" w:hAnsi="Times" w:cs="Arial"/>
                <w:color w:val="000000"/>
                <w:sz w:val="16"/>
                <w:szCs w:val="16"/>
                <w:lang w:val="nl-NL" w:eastAsia="en-US"/>
              </w:rPr>
              <w:t>(Sanofi</w:t>
            </w:r>
            <w:r>
              <w:rPr>
                <w:rFonts w:ascii="Times" w:eastAsia="Times New Roman" w:hAnsi="Times" w:cs="Arial"/>
                <w:color w:val="000000"/>
                <w:sz w:val="16"/>
                <w:szCs w:val="16"/>
                <w:lang w:val="nl-NL" w:eastAsia="en-US"/>
              </w:rPr>
              <w:t xml:space="preserve"> Pasteur</w:t>
            </w:r>
            <w:r w:rsidRPr="00603741">
              <w:rPr>
                <w:rFonts w:ascii="Times" w:eastAsia="Times New Roman" w:hAnsi="Times" w:cs="Arial"/>
                <w:color w:val="000000"/>
                <w:sz w:val="16"/>
                <w:szCs w:val="16"/>
                <w:lang w:val="nl-NL" w:eastAsia="en-US"/>
              </w:rPr>
              <w:t>/LID/NIAID/NIH)</w:t>
            </w:r>
          </w:p>
        </w:tc>
        <w:tc>
          <w:tcPr>
            <w:tcW w:w="1835" w:type="dxa"/>
          </w:tcPr>
          <w:p w14:paraId="4C03E0F1" w14:textId="0F716C02"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w:t>
            </w:r>
          </w:p>
        </w:tc>
        <w:tc>
          <w:tcPr>
            <w:tcW w:w="1889" w:type="dxa"/>
          </w:tcPr>
          <w:p w14:paraId="4BD96BEB" w14:textId="5E02438F"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Pre-F &amp; post-F</w:t>
            </w:r>
          </w:p>
        </w:tc>
        <w:tc>
          <w:tcPr>
            <w:tcW w:w="2008" w:type="dxa"/>
            <w:gridSpan w:val="2"/>
          </w:tcPr>
          <w:p w14:paraId="6F0E0590" w14:textId="4C1E757F"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 &amp; T cell response</w:t>
            </w:r>
          </w:p>
        </w:tc>
        <w:tc>
          <w:tcPr>
            <w:tcW w:w="1663" w:type="dxa"/>
          </w:tcPr>
          <w:p w14:paraId="1271403A" w14:textId="787269ED"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mucosal &amp; systemic</w:t>
            </w:r>
          </w:p>
        </w:tc>
      </w:tr>
      <w:tr w:rsidR="00AC7EB3" w:rsidRPr="00380C8B" w14:paraId="42B5DABA" w14:textId="77777777" w:rsidTr="00A84473">
        <w:trPr>
          <w:gridAfter w:val="1"/>
          <w:cnfStyle w:val="000000100000" w:firstRow="0" w:lastRow="0" w:firstColumn="0" w:lastColumn="0" w:oddVBand="0" w:evenVBand="0" w:oddHBand="1" w:evenHBand="0" w:firstRowFirstColumn="0" w:firstRowLastColumn="0" w:lastRowFirstColumn="0" w:lastRowLastColumn="0"/>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71E0938A" w14:textId="77777777" w:rsidR="00AC7EB3" w:rsidRDefault="00AC7EB3" w:rsidP="00140357">
            <w:pPr>
              <w:jc w:val="center"/>
              <w:rPr>
                <w:rFonts w:ascii="Cambria" w:hAnsi="Cambria"/>
                <w:sz w:val="16"/>
                <w:szCs w:val="16"/>
              </w:rPr>
            </w:pPr>
            <w:r w:rsidRPr="000276B6">
              <w:rPr>
                <w:rFonts w:ascii="Cambria" w:hAnsi="Cambria"/>
                <w:sz w:val="16"/>
                <w:szCs w:val="16"/>
              </w:rPr>
              <w:t>RSV D46 ΔNS2 N ΔM2-2 HindIII</w:t>
            </w:r>
          </w:p>
          <w:p w14:paraId="53B3DF40" w14:textId="4F891ABB" w:rsidR="00AC7EB3" w:rsidRPr="000276B6" w:rsidRDefault="00AC7EB3" w:rsidP="00140357">
            <w:pPr>
              <w:jc w:val="center"/>
              <w:rPr>
                <w:sz w:val="16"/>
                <w:szCs w:val="16"/>
              </w:rPr>
            </w:pPr>
            <w:r w:rsidRPr="00603741">
              <w:rPr>
                <w:rFonts w:ascii="Times" w:eastAsia="Times New Roman" w:hAnsi="Times" w:cs="Arial"/>
                <w:color w:val="000000"/>
                <w:sz w:val="16"/>
                <w:szCs w:val="16"/>
                <w:lang w:val="nl-NL" w:eastAsia="en-US"/>
              </w:rPr>
              <w:t>(Sanofi</w:t>
            </w:r>
            <w:r>
              <w:rPr>
                <w:rFonts w:ascii="Times" w:eastAsia="Times New Roman" w:hAnsi="Times" w:cs="Arial"/>
                <w:color w:val="000000"/>
                <w:sz w:val="16"/>
                <w:szCs w:val="16"/>
                <w:lang w:val="nl-NL" w:eastAsia="en-US"/>
              </w:rPr>
              <w:t xml:space="preserve"> Pasteur</w:t>
            </w:r>
            <w:r w:rsidRPr="00603741">
              <w:rPr>
                <w:rFonts w:ascii="Times" w:eastAsia="Times New Roman" w:hAnsi="Times" w:cs="Arial"/>
                <w:color w:val="000000"/>
                <w:sz w:val="16"/>
                <w:szCs w:val="16"/>
                <w:lang w:val="nl-NL" w:eastAsia="en-US"/>
              </w:rPr>
              <w:t>/LID/NIAID/NIH)</w:t>
            </w:r>
          </w:p>
        </w:tc>
        <w:tc>
          <w:tcPr>
            <w:tcW w:w="1835" w:type="dxa"/>
          </w:tcPr>
          <w:p w14:paraId="36887C8F" w14:textId="0D494C17"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w:t>
            </w:r>
          </w:p>
        </w:tc>
        <w:tc>
          <w:tcPr>
            <w:tcW w:w="1889" w:type="dxa"/>
          </w:tcPr>
          <w:p w14:paraId="2D1F396A" w14:textId="7475B763"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Pre-F &amp; post-F</w:t>
            </w:r>
          </w:p>
        </w:tc>
        <w:tc>
          <w:tcPr>
            <w:tcW w:w="2008" w:type="dxa"/>
            <w:gridSpan w:val="2"/>
          </w:tcPr>
          <w:p w14:paraId="21EA6B94" w14:textId="3483FC63"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 &amp; T cell response; enhanced antibody production due to increased antigen production from M2-2 deletion</w:t>
            </w:r>
          </w:p>
        </w:tc>
        <w:tc>
          <w:tcPr>
            <w:tcW w:w="1663" w:type="dxa"/>
          </w:tcPr>
          <w:p w14:paraId="7651DBDF" w14:textId="0F05E82B" w:rsidR="00AC7EB3" w:rsidRPr="00380C8B" w:rsidRDefault="00AC7EB3" w:rsidP="00140357">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mucosal &amp; systemic</w:t>
            </w:r>
          </w:p>
        </w:tc>
      </w:tr>
      <w:tr w:rsidR="00AC7EB3" w:rsidRPr="00380C8B" w14:paraId="60A7966F" w14:textId="77777777" w:rsidTr="00A84473">
        <w:trPr>
          <w:gridAfter w:val="1"/>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6D4C2220" w14:textId="77777777" w:rsidR="00AC7EB3" w:rsidRDefault="00AC7EB3" w:rsidP="00140357">
            <w:pPr>
              <w:jc w:val="center"/>
              <w:rPr>
                <w:rFonts w:ascii="Cambria" w:hAnsi="Cambria"/>
                <w:sz w:val="16"/>
                <w:szCs w:val="16"/>
              </w:rPr>
            </w:pPr>
            <w:r w:rsidRPr="000276B6">
              <w:rPr>
                <w:rFonts w:ascii="Cambria" w:hAnsi="Cambria"/>
                <w:sz w:val="16"/>
                <w:szCs w:val="16"/>
              </w:rPr>
              <w:t>RSV LID cp ΔM2-2</w:t>
            </w:r>
          </w:p>
          <w:p w14:paraId="19F82856" w14:textId="1CC622C2" w:rsidR="00AC7EB3" w:rsidRPr="000276B6" w:rsidRDefault="00AC7EB3" w:rsidP="00140357">
            <w:pPr>
              <w:jc w:val="center"/>
              <w:rPr>
                <w:sz w:val="16"/>
                <w:szCs w:val="16"/>
              </w:rPr>
            </w:pPr>
            <w:r w:rsidRPr="00603741">
              <w:rPr>
                <w:rFonts w:ascii="Times" w:eastAsia="Times New Roman" w:hAnsi="Times" w:cs="Arial"/>
                <w:color w:val="000000"/>
                <w:sz w:val="16"/>
                <w:szCs w:val="16"/>
                <w:lang w:val="nl-NL" w:eastAsia="en-US"/>
              </w:rPr>
              <w:t>(Sanofi</w:t>
            </w:r>
            <w:r>
              <w:rPr>
                <w:rFonts w:ascii="Times" w:eastAsia="Times New Roman" w:hAnsi="Times" w:cs="Arial"/>
                <w:color w:val="000000"/>
                <w:sz w:val="16"/>
                <w:szCs w:val="16"/>
                <w:lang w:val="nl-NL" w:eastAsia="en-US"/>
              </w:rPr>
              <w:t xml:space="preserve"> Pasteur</w:t>
            </w:r>
            <w:r w:rsidRPr="00603741">
              <w:rPr>
                <w:rFonts w:ascii="Times" w:eastAsia="Times New Roman" w:hAnsi="Times" w:cs="Arial"/>
                <w:color w:val="000000"/>
                <w:sz w:val="16"/>
                <w:szCs w:val="16"/>
                <w:lang w:val="nl-NL" w:eastAsia="en-US"/>
              </w:rPr>
              <w:t>/LID/NIAID/NIH)</w:t>
            </w:r>
          </w:p>
        </w:tc>
        <w:tc>
          <w:tcPr>
            <w:tcW w:w="1835" w:type="dxa"/>
          </w:tcPr>
          <w:p w14:paraId="6030290E" w14:textId="4FF8CD25"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w:t>
            </w:r>
          </w:p>
        </w:tc>
        <w:tc>
          <w:tcPr>
            <w:tcW w:w="1889" w:type="dxa"/>
          </w:tcPr>
          <w:p w14:paraId="32A3F8AB" w14:textId="7585653F"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Pre-F &amp; post-F</w:t>
            </w:r>
          </w:p>
        </w:tc>
        <w:tc>
          <w:tcPr>
            <w:tcW w:w="2008" w:type="dxa"/>
            <w:gridSpan w:val="2"/>
          </w:tcPr>
          <w:p w14:paraId="57879841" w14:textId="46763369"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 &amp; T cell response; enhanced antibody production due to increased antigen production from M2-2 deletion</w:t>
            </w:r>
          </w:p>
        </w:tc>
        <w:tc>
          <w:tcPr>
            <w:tcW w:w="1663" w:type="dxa"/>
          </w:tcPr>
          <w:p w14:paraId="197A19B6" w14:textId="0B28AA55"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mucosal &amp; systemic</w:t>
            </w:r>
          </w:p>
        </w:tc>
      </w:tr>
      <w:tr w:rsidR="00694A51" w:rsidRPr="00380C8B" w14:paraId="639AE817" w14:textId="77777777" w:rsidTr="00A84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37" w:type="dxa"/>
            <w:gridSpan w:val="4"/>
          </w:tcPr>
          <w:p w14:paraId="57B3BD54" w14:textId="77777777" w:rsidR="00694A51" w:rsidRPr="00380C8B" w:rsidRDefault="00694A51" w:rsidP="00810B08">
            <w:pPr>
              <w:rPr>
                <w:b w:val="0"/>
                <w:bCs w:val="0"/>
                <w:sz w:val="16"/>
                <w:szCs w:val="16"/>
              </w:rPr>
            </w:pPr>
            <w:r>
              <w:rPr>
                <w:sz w:val="16"/>
                <w:szCs w:val="16"/>
              </w:rPr>
              <w:t>Monoclonal Antibody</w:t>
            </w:r>
          </w:p>
        </w:tc>
        <w:tc>
          <w:tcPr>
            <w:tcW w:w="4774" w:type="dxa"/>
            <w:gridSpan w:val="3"/>
          </w:tcPr>
          <w:p w14:paraId="23E3575A" w14:textId="0EBBDA56" w:rsidR="00694A51" w:rsidRPr="00380C8B" w:rsidRDefault="00694A51" w:rsidP="00810B08">
            <w:pPr>
              <w:cnfStyle w:val="000000100000" w:firstRow="0" w:lastRow="0" w:firstColumn="0" w:lastColumn="0" w:oddVBand="0" w:evenVBand="0" w:oddHBand="1" w:evenHBand="0" w:firstRowFirstColumn="0" w:firstRowLastColumn="0" w:lastRowFirstColumn="0" w:lastRowLastColumn="0"/>
              <w:rPr>
                <w:sz w:val="16"/>
                <w:szCs w:val="16"/>
              </w:rPr>
            </w:pPr>
          </w:p>
        </w:tc>
      </w:tr>
      <w:tr w:rsidR="00AC7EB3" w:rsidRPr="00380C8B" w14:paraId="2A4DCFEC" w14:textId="77777777" w:rsidTr="00694A51">
        <w:trPr>
          <w:gridAfter w:val="1"/>
          <w:wAfter w:w="1663" w:type="dxa"/>
        </w:trPr>
        <w:tc>
          <w:tcPr>
            <w:cnfStyle w:val="001000000000" w:firstRow="0" w:lastRow="0" w:firstColumn="1" w:lastColumn="0" w:oddVBand="0" w:evenVBand="0" w:oddHBand="0" w:evenHBand="0" w:firstRowFirstColumn="0" w:firstRowLastColumn="0" w:lastRowFirstColumn="0" w:lastRowLastColumn="0"/>
            <w:tcW w:w="2153" w:type="dxa"/>
          </w:tcPr>
          <w:p w14:paraId="0B025AAA" w14:textId="5E4F9C8B" w:rsidR="00AC7EB3" w:rsidRDefault="00AC7EB3" w:rsidP="00140357">
            <w:pPr>
              <w:jc w:val="center"/>
              <w:rPr>
                <w:rFonts w:ascii="Cambria" w:hAnsi="Cambria"/>
                <w:sz w:val="16"/>
                <w:szCs w:val="16"/>
              </w:rPr>
            </w:pPr>
            <w:r w:rsidRPr="000276B6">
              <w:rPr>
                <w:rFonts w:ascii="Cambria" w:hAnsi="Cambria"/>
                <w:sz w:val="16"/>
                <w:szCs w:val="16"/>
              </w:rPr>
              <w:t>MEDI8897</w:t>
            </w:r>
          </w:p>
          <w:p w14:paraId="57909935" w14:textId="6948A16C" w:rsidR="00AC7EB3" w:rsidRPr="000276B6" w:rsidRDefault="00AC7EB3" w:rsidP="00140357">
            <w:pPr>
              <w:jc w:val="center"/>
              <w:rPr>
                <w:sz w:val="16"/>
                <w:szCs w:val="16"/>
              </w:rPr>
            </w:pPr>
            <w:r>
              <w:rPr>
                <w:rFonts w:ascii="Cambria" w:hAnsi="Cambria"/>
                <w:sz w:val="16"/>
                <w:szCs w:val="16"/>
              </w:rPr>
              <w:t>(MedImmune)</w:t>
            </w:r>
          </w:p>
        </w:tc>
        <w:tc>
          <w:tcPr>
            <w:tcW w:w="1835" w:type="dxa"/>
          </w:tcPr>
          <w:p w14:paraId="1255C1DF" w14:textId="16E2E686"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w:t>
            </w:r>
          </w:p>
        </w:tc>
        <w:tc>
          <w:tcPr>
            <w:tcW w:w="1889" w:type="dxa"/>
          </w:tcPr>
          <w:p w14:paraId="61526184" w14:textId="19B2739B"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N/A</w:t>
            </w:r>
          </w:p>
        </w:tc>
        <w:tc>
          <w:tcPr>
            <w:tcW w:w="2008" w:type="dxa"/>
            <w:gridSpan w:val="2"/>
          </w:tcPr>
          <w:p w14:paraId="3073E7EF" w14:textId="6E09BB60"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N/A</w:t>
            </w:r>
          </w:p>
        </w:tc>
        <w:tc>
          <w:tcPr>
            <w:tcW w:w="1663" w:type="dxa"/>
          </w:tcPr>
          <w:p w14:paraId="5AC9E95C" w14:textId="053D0A02" w:rsidR="00AC7EB3" w:rsidRPr="00380C8B" w:rsidRDefault="00AC7EB3" w:rsidP="00140357">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N/A</w:t>
            </w:r>
          </w:p>
        </w:tc>
      </w:tr>
    </w:tbl>
    <w:p w14:paraId="1C83FA8B" w14:textId="77777777" w:rsidR="00FD376F" w:rsidRDefault="00FD376F" w:rsidP="004453E4"/>
    <w:p w14:paraId="1E401A9C" w14:textId="2315CD36" w:rsidR="00E972E5" w:rsidRDefault="00E972E5" w:rsidP="004453E4">
      <w:r>
        <w:t>Legend:</w:t>
      </w:r>
      <w:r w:rsidR="009A4D33">
        <w:t xml:space="preserve"> Pre</w:t>
      </w:r>
      <w:r w:rsidR="002C300D">
        <w:t>-</w:t>
      </w:r>
      <w:r w:rsidR="009A4D33">
        <w:t>F: prefusion conformation of the RSV F protein; Post</w:t>
      </w:r>
      <w:r w:rsidR="002C300D">
        <w:t>-</w:t>
      </w:r>
      <w:r w:rsidR="009A4D33">
        <w:t>F: postfusion conformation of the RSV F protein; N: RSV nucleocapsid protein; F: RSV fusion protein; G: RSV attachment protein</w:t>
      </w:r>
      <w:r w:rsidR="00D36760">
        <w:t>; O</w:t>
      </w:r>
      <w:r w:rsidR="009A4D33">
        <w:t xml:space="preserve">: </w:t>
      </w:r>
      <w:r w:rsidR="00D36760">
        <w:t>older adults</w:t>
      </w:r>
      <w:r w:rsidR="009A4D33">
        <w:t>; M: maternal; P: pediatric.</w:t>
      </w:r>
    </w:p>
    <w:p w14:paraId="4324715C" w14:textId="2ECDCA05" w:rsidR="00C20F68" w:rsidRDefault="00C20F68">
      <w:r>
        <w:br w:type="page"/>
      </w:r>
    </w:p>
    <w:p w14:paraId="5F10F23F" w14:textId="68FFB2AA" w:rsidR="000521D6" w:rsidRDefault="00185A9C" w:rsidP="004453E4">
      <w:r>
        <w:t>Figure 1</w:t>
      </w:r>
      <w:r w:rsidR="00206420">
        <w:t xml:space="preserve">: RSV </w:t>
      </w:r>
      <w:r w:rsidR="009C3E16">
        <w:t xml:space="preserve">global </w:t>
      </w:r>
      <w:r w:rsidR="00206420">
        <w:t>b</w:t>
      </w:r>
      <w:r w:rsidR="000521D6">
        <w:t>urden of</w:t>
      </w:r>
      <w:r w:rsidR="00206420">
        <w:t xml:space="preserve"> disease</w:t>
      </w:r>
      <w:r w:rsidR="00462975">
        <w:t xml:space="preserve"> in children</w:t>
      </w:r>
      <w:r w:rsidR="00206420">
        <w:t xml:space="preserve">: </w:t>
      </w:r>
      <w:r w:rsidR="009C3E16">
        <w:t>k</w:t>
      </w:r>
      <w:r w:rsidR="00206420">
        <w:t>ey facts and figures</w:t>
      </w:r>
      <w:r w:rsidR="000521D6">
        <w:t xml:space="preserve"> </w:t>
      </w:r>
      <w:r w:rsidR="00E73D9D">
        <w:t xml:space="preserve"> </w:t>
      </w:r>
    </w:p>
    <w:p w14:paraId="67B9891F" w14:textId="3476029E" w:rsidR="001F0CCC" w:rsidRDefault="001F0CCC" w:rsidP="009B6291">
      <w:pPr>
        <w:tabs>
          <w:tab w:val="left" w:pos="5812"/>
        </w:tabs>
      </w:pPr>
    </w:p>
    <w:p w14:paraId="2C060062" w14:textId="76D55D2D" w:rsidR="001F0CCC" w:rsidRDefault="00BB06E0">
      <w:r>
        <w:rPr>
          <w:noProof/>
          <w:lang w:val="en-GB" w:eastAsia="en-GB"/>
        </w:rPr>
        <w:drawing>
          <wp:inline distT="0" distB="0" distL="0" distR="0" wp14:anchorId="3B3F2F96" wp14:editId="6DD55EA4">
            <wp:extent cx="7480935" cy="5303475"/>
            <wp:effectExtent l="0" t="0" r="0" b="5715"/>
            <wp:docPr id="1" name="Picture 1" descr="Macintosh HD:Users:natalie_mazur:Desktop:Screen Shot 2018-02-05 at 13.49.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atalie_mazur:Desktop:Screen Shot 2018-02-05 at 13.49.4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80935" cy="5303475"/>
                    </a:xfrm>
                    <a:prstGeom prst="rect">
                      <a:avLst/>
                    </a:prstGeom>
                    <a:noFill/>
                    <a:ln>
                      <a:noFill/>
                    </a:ln>
                  </pic:spPr>
                </pic:pic>
              </a:graphicData>
            </a:graphic>
          </wp:inline>
        </w:drawing>
      </w:r>
    </w:p>
    <w:p w14:paraId="761BB667" w14:textId="3A1709CB" w:rsidR="000521D6" w:rsidRDefault="001F0CCC">
      <w:r>
        <w:t>Figure 1 Legend: OR: odds ratio; LRTI: lower respiratory tract infection, RSV: respiratory syncytial virus, HIC: high income country</w:t>
      </w:r>
      <w:r w:rsidR="002510BA">
        <w:t>, *:</w:t>
      </w:r>
      <w:r w:rsidR="00731EB3">
        <w:t xml:space="preserve"> compared to children who </w:t>
      </w:r>
      <w:r w:rsidR="00855C5F">
        <w:t>survived RSV hospitalization and were mechanically ventilated</w:t>
      </w:r>
      <w:r w:rsidR="002510BA">
        <w:t xml:space="preserve">. </w:t>
      </w:r>
      <w:r w:rsidR="00E80D50">
        <w:t xml:space="preserve">Global incidence is shown worldwide. </w:t>
      </w:r>
      <w:r w:rsidR="002510BA">
        <w:t>References: (a)</w:t>
      </w:r>
      <w:r w:rsidR="00E0698F">
        <w:fldChar w:fldCharType="begin" w:fldLock="1"/>
      </w:r>
      <w:r w:rsidR="006A2D97">
        <w:instrText>ADDIN CSL_CITATION { "citationItems" : [ { "id" : "ITEM-1", "itemData" : { "DOI" : "10.1016/S0140-6736(17)30938-8", "ISSN" : "01406736", "PMID" : "28689664", "abstract" : "BACKGROUND We have previously estimated that respiratory syncytial virus (RSV) was associated with 22% of all episodes of (severe) acute lower respiratory infection (ALRI) resulting in 55\u2008000 to 199\u2008000 deaths in children younger than 5 years in 2005. In the past 5 years, major research activity on RSV has yielded substantial new data from developing countries. With a considerably expanded dataset from a large international collaboration, we aimed to estimate the global incidence, hospital admission rate, and mortality from RSV-ALRI episodes in young children in 2015. METHODS We estimated the incidence and hospital admission rate of RSV-associated ALRI (RSV-ALRI) in children younger than 5 years stratified by age and World Bank income regions from a systematic review of studies published between Jan 1, 1995, and Dec 31, 2016, and unpublished data from 76 high quality population-based studies. We estimated the RSV-ALRI incidence for 132 developing countries using a risk factor-based model and 2015 population estimates. We estimated the in-hospital RSV-ALRI mortality by combining in-hospital case fatality ratios with hospital admission estimates from hospital-based (published and unpublished) studies. We also estimated overall RSV-ALRI mortality by identifying studies reporting monthly data for ALRI mortality in the community and RSV activity. FINDINGS We estimated that globally in 2015, 33\u00b71 million (uncertainty range [UR] 21\u00b76-50\u00b73) episodes of RSV-ALRI, resulted in about 3\u00b72 million (2\u00b77-3\u00b78) hospital admissions, and 59\u2008600 (48\u2008000-74\u2008500) in-hospital deaths in children younger than 5 years. In children younger than 6 months, 1\u00b74 million (UR 1\u00b72-1\u00b77) hospital admissions, and 27\u2008300 (UR 20\u2008700-36\u2008200) in-hospital deaths were due to RSV-ALRI. We also estimated that the overall RSV-ALRI mortality could be as high as 118\u2008200 (UR 94\u2008600-149\u2008400). Incidence and mortality varied substantially from year to year in any given population. INTERPRETATION Globally, RSV is a common cause of childhood ALRI and a major cause of hospital admissions in young children, resulting in a substantial burden on health-care services. About 45% of hospital admissions and in-hospital deaths due to RSV-ALRI occur in children younger than 6 months. An effective maternal RSV vaccine or monoclonal antibody could have a substantial effect on disease burden in this age group. FUNDING The Bill &amp; Melinda Gates Foundation.", "author" : [ { "dropping-particle" : "", "family" : "Shi", "given" : "Ting", "non-dropping-particle" : "", "parse-names" : false, "suffix" : "" }, { "dropping-particle" : "", "family" : "McAllister", "given" : "David A", "non-dropping-particle" : "", "parse-names" : false, "suffix" : "" }, { "dropping-particle" : "", "family" : "O'Brien", "given" : "Katherine L", "non-dropping-particle" : "", "parse-names" : false, "suffix" : "" }, { "dropping-particle" : "", "family" : "Simoes", "given" : "Eric A F", "non-dropping-particle" : "", "parse-names" : false, "suffix" : "" }, { "dropping-particle" : "", "family" : "Madhi", "given" : "Shabir A", "non-dropping-particle" : "", "parse-names" : false, "suffix" : "" }, { "dropping-particle" : "", "family" : "Gessner", "given" : "Bradford D", "non-dropping-particle" : "", "parse-names" : false, "suffix" : "" }, { "dropping-particle" : "", "family" : "Polack", "given" : "Fernando P", "non-dropping-particle" : "", "parse-names" : false, "suffix" : "" }, { "dropping-particle" : "", "family" : "Balsells", "given" : "Evelyn", "non-dropping-particle" : "", "parse-names" : false, "suffix" : "" }, { "dropping-particle" : "", "family" : "Acacio", "given" : "Sozinho", "non-dropping-particle" : "", "parse-names" : false, "suffix" : "" }, { "dropping-particle" : "", "family" : "Aguayo", "given" : "Claudia", "non-dropping-particle" : "", "parse-names" : false, "suffix" : "" }, { "dropping-particle" : "", "family" : "Alassani", "given" : "Issifou", "non-dropping-particle" : "", "parse-names" : false, "suffix" : "" }, { "dropping-particle" : "", "family" : "Ali", "given" : "Asad", "non-dropping-particle" : "", "parse-names" : false, "suffix" : "" }, { "dropping-particle" : "", "family" : "Antonio", "given" : "Martin", "non-dropping-particle" : "", "parse-names" : false, "suffix" : "" }, { "dropping-particle" : "", "family" : "Awasthi", "given" : "Shally", "non-dropping-particle" : "", "parse-names" : false, "suffix" : "" }, { "dropping-particle" : "", "family" : "Awori", "given" : "Juliet O", "non-dropping-particle" : "", "parse-names" : false, "suffix" : "" }, { "dropping-particle" : "", "family" : "Azziz-Baumgartner", "given" : "Eduardo", "non-dropping-particle" : "", "parse-names" : false, "suffix" : "" }, { "dropping-particle" : "", "family" : "Baggett", "given" : "Henry C", "non-dropping-particle" : "", "parse-names" : false, "suffix" : "" }, { "dropping-particle" : "", "family" : "Baillie", "given" : "Vicky L", "non-dropping-particle" : "", "parse-names" : false, "suffix" : "" }, { "dropping-particle" : "", "family" : "Balmaseda", "given" : "Angel", "non-dropping-particle" : "", "parse-names" : false, "suffix" : "" }, { "dropping-particle" : "", "family" : "Barahona", "given" : "Alfredo", "non-dropping-particle" : "", "parse-names" : false, "suffix" : "" }, { "dropping-particle" : "", "family" : "Basnet", "given" : "Sudha", "non-dropping-particle" : "", "parse-names" : false, "suffix" : "" }, { "dropping-particle" : "", "family" : "Bassat", "given" : "Quique", "non-dropping-particle" : "", "parse-names" : false, "suffix" : "" }, { "dropping-particle" : "", "family" : "Basualdo", "given" : "Wilma", "non-dropping-particle" : "", "parse-names" : false, "suffix" : "" }, { "dropping-particle" : "", "family" : "Bigogo", "given" : "Godfrey", "non-dropping-particle" : "", "parse-names" : false, "suffix" : "" }, { "dropping-particle" : "", "family" : "Bont", "given" : "Louis", "non-dropping-particle" : "", "parse-names" : false, "suffix" : "" }, { "dropping-particle" : "", "family" : "Breiman", "given" : "Robert F", "non-dropping-particle" : "", "parse-names" : false, "suffix" : "" }, { "dropping-particle" : "", "family" : "Brooks", "given" : "W Abdullah", "non-dropping-particle" : "", "parse-names" : false, "suffix" : "" }, { "dropping-particle" : "", "family" : "Broor", "given" : "Shobha", "non-dropping-particle" : "", "parse-names" : false, "suffix" : "" }, { "dropping-particle" : "", "family" : "Bruce", "given" : "Nigel", "non-dropping-particle" : "", "parse-names" : false, "suffix" : "" }, { "dropping-particle" : "", "family" : "Bruden", "given" : "Dana", "non-dropping-particle" : "", "parse-names" : false, "suffix" : "" }, { "dropping-particle" : "", "family" : "Buchy", "given" : "Philippe", "non-dropping-particle" : "", "parse-names" : false, "suffix" : "" }, { "dropping-particle" : "", "family" : "Campbell", "given" : "Stuart", "non-dropping-particle" : "", "parse-names" : false, "suffix" : "" }, { "dropping-particle" : "", "family" : "Carosone-Link", "given" : "Phyllis", "non-dropping-particle" : "", "parse-names" : false, "suffix" : "" }, { "dropping-particle" : "", "family" : "Chadha", "given" : "Mandeep", "non-dropping-particle" : "", "parse-names" : false, "suffix" : "" }, { "dropping-particle" : "", "family" : "Chipeta", "given" : "James", "non-dropping-particle" : "", "parse-names" : false, "suffix" : "" }, { "dropping-particle" : "", "family" : "Chou", "given" : "Monidarin", "non-dropping-particle" : "", "parse-names" : false, "suffix" : "" }, { "dropping-particle" : "", "family" : "Clara", "given" : "Wilfrido", "non-dropping-particle" : "", "parse-names" : false, "suffix" : "" }, { "dropping-particle" : "", "family" : "Cohen", "given" : "Cheryl", "non-dropping-particle" : "", "parse-names" : false, "suffix" : "" }, { "dropping-particle" : "", "family" : "Cuellar", "given" : "Elizabeth", "non-dropping-particle" : "de", "parse-names" : false, "suffix" : "" }, { "dropping-particle" : "", "family" : "Dang", "given" : "Duc-Anh", "non-dropping-particle" : "", "parse-names" : false, "suffix" : "" }, { "dropping-particle" : "", "family" : "Dash-yandag", "given" : "Budragchaagiin", "non-dropping-particle" : "", "parse-names" : false, "suffix" : "" }, { "dropping-particle" : "", "family" : "Deloria-Knoll", "given" : "Maria", "non-dropping-particle" : "", "parse-names" : false, "suffix" : "" }, { "dropping-particle" : "", "family" : "Dherani", "given" : "Mukesh", "non-dropping-particle" : "", "parse-names" : false, "suffix" : "" }, { "dropping-particle" : "", "family" : "Eap", "given" : "Tekchheng", "non-dropping-particle" : "", "parse-names" : false, "suffix" : "" }, { "dropping-particle" : "", "family" : "Ebruke", "given" : "Bernard E", "non-dropping-particle" : "", "parse-names" : false, "suffix" : "" }, { "dropping-particle" : "", "family" : "Echavarria", "given" : "Marcela", "non-dropping-particle" : "", "parse-names" : false, "suffix" : "" }, { "dropping-particle" : "", "family" : "Freitas L\u00e1zaro Emediato", "given" : "Carla Cec\u00edlia", "non-dropping-particle" : "de", "parse-names" : false, "suffix" : "" }, { "dropping-particle" : "", "family" : "Fasce", "given" : "Rodrigo A", "non-dropping-particle" : "", "parse-names" : false, "suffix" : "" }, { "dropping-particle" : "", "family" : "Feikin", "given" : "Daniel R", "non-dropping-particle" : "", "parse-names" : false, "suffix" : "" }, { "dropping-particle" : "", "family" : "Feng", "given" : "Luzhao", "non-dropping-particle" : "", "parse-names" : false, "suffix" : "" }, { "dropping-particle" : "", "family" : "Gentile", "given" : "Angela", "non-dropping-particle" : "", "parse-names" : false, "suffix" : "" }, { "dropping-particle" : "", "family" : "Gordon", "given" : "Aubree", "non-dropping-particle" : "", "parse-names" : false, "suffix" : "" }, { "dropping-particle" : "", "family" : "Goswami", "given" : "Doli", "non-dropping-particle" : "", "parse-names" : false, "suffix" : "" }, { "dropping-particle" : "", "family" : "Goyet", "given" : "Sophie", "non-dropping-particle" : "", "parse-names" : false, "suffix" : "" }, { "dropping-particle" : "", "family" : "Groome", "given" : "Michelle", "non-dropping-particle" : "", "parse-names" : false, "suffix" : "" }, { "dropping-particle" : "", "family" : "Halasa", "given" : "Natasha", "non-dropping-particle" : "", "parse-names" : false, "suffix" : "" }, { "dropping-particle" : "", "family" : "Hirve", "given" : "Siddhivinayak", "non-dropping-particle" : "", "parse-names" : false, "suffix" : "" }, { "dropping-particle" : "", "family" : "Homaira", "given" : "Nusrat", "non-dropping-particle" : "", "parse-names" : false, "suffix" : "" }, { "dropping-particle" : "", "family" : "Howie", "given" : "Stephen R C", "non-dropping-particle" : "", "parse-names" : false, "suffix" : "" }, { "dropping-particle" : "", "family" : "Jara", "given" : "Jorge", "non-dropping-particle" : "", "parse-names" : false, "suffix" : "" }, { "dropping-particle" : "", "family" : "Jroundi", "given" : "Imane", "non-dropping-particle" : "", "parse-names" : false, "suffix" : "" }, { "dropping-particle" : "", "family" : "Kartasasmita", "given" : "Cissy B", "non-dropping-particle" : "", "parse-names" : false, "suffix" : "" }, { "dropping-particle" : "", "family" : "Khuri-Bulos", "given" : "Najwa", "non-dropping-particle" : "", "parse-names" : false, "suffix" : "" }, { "dropping-particle" : "", "family" : "Kotloff", "given" : "Karen L", "non-dropping-particle" : "", "parse-names" : false, "suffix" : "" }, { "dropping-particle" : "", "family" : "Krishnan", "given" : "Anand", "non-dropping-particle" : "", "parse-names" : false, "suffix" : "" }, { "dropping-particle" : "", "family" : "Libster", "given" : "Romina", "non-dropping-particle" : "", "parse-names" : false, "suffix" : "" }, { "dropping-particle" : "", "family" : "Lopez", "given" : "Olga", "non-dropping-particle" : "", "parse-names" : false, "suffix" : "" }, { "dropping-particle" : "", "family" : "Lucero", "given" : "Marilla G", "non-dropping-particle" : "", "parse-names" : false, "suffix" : "" }, { "dropping-particle" : "", "family" : "Lucion", "given" : "Florencia", "non-dropping-particle" : "", "parse-names" : false, "suffix" : "" }, { "dropping-particle" : "", "family" : "Lupisan", "given" : "Socorro P", "non-dropping-particle" : "", "parse-names" : false, "suffix" : "" }, { "dropping-particle" : "", "family" : "Marcone", "given" : "Debora N", "non-dropping-particle" : "", "parse-names" : false, "suffix" : "" }, { "dropping-particle" : "", "family" : "McCracken", "given" : "John P", "non-dropping-particle" : "", "parse-names" : false, "suffix" : "" }, { "dropping-particle" : "", "family" : "Mejia", "given" : "Mario", "non-dropping-particle" : "", "parse-names" : false, "suffix" : "" }, { "dropping-particle" : "", "family" : "Moisi", "given" : "Jennifer C", "non-dropping-particle" : "", "parse-names" : false, "suffix" : "" }, { "dropping-particle" : "", "family" : "Montgomery", "given" : "Joel M", "non-dropping-particle" : "", "parse-names" : false, "suffix" : "" }, { "dropping-particle" : "", "family" : "Moore", "given" : "David P", "non-dropping-particle" : "", "parse-names" : false, "suffix" : "" }, { "dropping-particle" : "", "family" : "Moraleda", "given" : "Cinta", "non-dropping-particle" : "", "parse-names" : false, "suffix" : "" }, { "dropping-particle" : "", "family" : "Moyes", "given" : "Jocelyn", "non-dropping-particle" : "", "parse-names" : false, "suffix" : "" }, { "dropping-particle" : "", "family" : "Munywoki", "given" : "Patrick", "non-dropping-particle" : "", "parse-names" : false, "suffix" : "" }, { "dropping-particle" : "", "family" : "Mutyara", "given" : "Kuswandewi", "non-dropping-particle" : "", "parse-names" : false, "suffix" : "" }, { "dropping-particle" : "", "family" : "Nicol", "given" : "Mark P", "non-dropping-particle" : "", "parse-names" : false, "suffix" : "" }, { "dropping-particle" : "", "family" : "Nokes", "given" : "D James", "non-dropping-particle" : "", "parse-names" : false, "suffix" : "" }, { "dropping-particle" : "", "family" : "Nymadawa", "given" : "Pagbajabyn", "non-dropping-particle" : "", "parse-names" : false, "suffix" : "" }, { "dropping-particle" : "", "family" : "Costa Oliveira", "given" : "Maria Tereza", "non-dropping-particle" : "da", "parse-names" : false, "suffix" : "" }, { "dropping-particle" : "", "family" : "Oshitani", "given" : "Histoshi", "non-dropping-particle" : "", "parse-names" : false, "suffix" : "" }, { "dropping-particle" : "", "family" : "Pandey", "given" : "Nitin", "non-dropping-particle" : "", "parse-names" : false, "suffix" : "" }, { "dropping-particle" : "", "family" : "Paranhos-Baccal\u00e0", "given" : "Gl\u00e1ucia", "non-dropping-particle" : "", "parse-names" : false, "suffix" : "" }, { "dropping-particle" : "", "family" : "Phillips", "given" : "Lia N", "non-dropping-particle" : "", "parse-names" : false, "suffix" : "" }, { "dropping-particle" : "", "family" : "Picot", "given" : "Valentina Sanchez", "non-dropping-particle" : "", "parse-names" : false, "suffix" : "" }, { "dropping-particle" : "", "family" : "Rahman", "given" : "Mustafizur", "non-dropping-particle" : "", "parse-names" : false, "suffix" : "" }, { "dropping-particle" : "", "family" : "Rakoto-Andrianarivelo", "given" : "Mala", "non-dropping-particle" : "", "parse-names" : false, "suffix" : "" }, { "dropping-particle" : "", "family" : "Rasmussen", "given" : "Zeba A", "non-dropping-particle" : "", "parse-names" : false, "suffix" : "" }, { "dropping-particle" : "", "family" : "Rath", "given" : "Barbara A", "non-dropping-particle" : "", "parse-names" : false, "suffix" : "" }, { "dropping-particle" : "", "family" : "Robinson", "given" : "Annick", "non-dropping-particle" : "", "parse-names" : false, "suffix" : "" }, { "dropping-particle" : "", "family" : "Romero", "given" : "Candice", "non-dropping-particle" : "", "parse-names" : false, "suffix" : "" }, { "dropping-particle" : "", "family" : "Russomando", "given" : "Graciela", "non-dropping-particle" : "", "parse-names" : false, "suffix" : "" }, { "dropping-particle" : "", "family" : "Salimi", "given" : "Vahid", "non-dropping-particle" : "", "parse-names" : false, "suffix" : "" }, { "dropping-particle" : "", "family" : "Sawatwong", "given" : "Pongpun", "non-dropping-particle" : "", "parse-names" : false, "suffix" : "" }, { "dropping-particle" : "", "family" : "Scheltema", "given" : "Nienke", "non-dropping-particle" : "", "parse-names" : false, "suffix" : "" }, { "dropping-particle" : "", "family" : "Schweiger", "given" : "Brunhilde", "non-dropping-particle" : "", "parse-names" : false, "suffix" : "" }, { "dropping-particle" : "", "family" : "Scott", "given" : "J Anthony G", "non-dropping-particle" : "", "parse-names" : false, "suffix" : "" }, { "dropping-particle" : "", "family" : "Seidenberg", "given" : "Phil", "non-dropping-particle" : "", "parse-names" : false, "suffix" : "" }, { "dropping-particle" : "", "family" : "Shen", "given" : "Kunling", "non-dropping-particle" : "", "parse-names" : false, "suffix" : "" }, { "dropping-particle" : "", "family" : "Singleton", "given" : "Rosalyn", "non-dropping-particle" : "", "parse-names" : false, "suffix" : "" }, { "dropping-particle" : "", "family" : "Sotomayor", "given" : "Viviana", "non-dropping-particle" : "", "parse-names" : false, "suffix" : "" }, { "dropping-particle" : "", "family" : "Strand", "given" : "Tor A", "non-dropping-particle" : "", "parse-names" : false, "suffix" : "" }, { "dropping-particle" : "", "family" : "Sutanto", "given" : "Agustinus", "non-dropping-particle" : "", "parse-names" : false, "suffix" : "" }, { "dropping-particle" : "", "family" : "Sylla", "given" : "Mariam", "non-dropping-particle" : "", "parse-names" : false, "suffix" : "" }, { "dropping-particle" : "", "family" : "Tapia", "given" : "Milagritos D", "non-dropping-particle" : "", "parse-names" : false, "suffix" : "" }, { "dropping-particle" : "", "family" : "Thamthitiwat", "given" : "Somsak", "non-dropping-particle" : "", "parse-names" : false, "suffix" : "" }, { "dropping-particle" : "", "family" : "Thomas", "given" : "Elizabeth D", "non-dropping-particle" : "", "parse-names" : false, "suffix" : "" }, { "dropping-particle" : "", "family" : "Tokarz", "given" : "Rafal", "non-dropping-particle" : "", "parse-names" : false, "suffix" : "" }, { "dropping-particle" : "", "family" : "Turner", "given" : "Claudia", "non-dropping-particle" : "", "parse-names" : false, "suffix" : "" }, { "dropping-particle" : "", "family" : "Venter", "given" : "Marietjie", "non-dropping-particle" : "", "parse-names" : false, "suffix" : "" }, { "dropping-particle" : "", "family" : "Waicharoen", "given" : "Sunthareeya", "non-dropping-particle" : "", "parse-names" : false, "suffix" : "" }, { "dropping-particle" : "", "family" : "Wang", "given" : "Jianwei", "non-dropping-particle" : "", "parse-names" : false, "suffix" : "" }, { "dropping-particle" : "", "family" : "Watthanaworawit", "given" : "Wanitda", "non-dropping-particle" : "", "parse-names" : false, "suffix" : "" }, { "dropping-particle" : "", "family" : "Yoshida", "given" : "Lay-Myint", "non-dropping-particle" : "", "parse-names" : false, "suffix" : "" }, { "dropping-particle" : "", "family" : "Yu", "given" : "Hongjie", "non-dropping-particle" : "", "parse-names" : false, "suffix" : "" }, { "dropping-particle" : "", "family" : "Zar", "given" : "Heather J", "non-dropping-particle" : "", "parse-names" : false, "suffix" : "" }, { "dropping-particle" : "", "family" : "Campbell", "given" : "Harry", "non-dropping-particle" : "", "parse-names" : false, "suffix" : "" }, { "dropping-particle" : "", "family" : "Nair", "given" : "Harish", "non-dropping-particle" : "", "parse-names" : false, "suffix" : "" }, { "dropping-particle" : "", "family" : "RSV Global Epidemiology Network", "given" : "", "non-dropping-particle" : "", "parse-names" : false, "suffix" : "" } ], "container-title" : "The Lancet", "id" : "ITEM-1", "issue" : "10098", "issued" : { "date-parts" : [ [ "2017", "9", "2" ] ] }, "page" : "946-958", "title" : "Global, regional, and national disease burden estimates of acute lower respiratory infections due to respiratory syncytial virus in young children in 2015: a systematic review and modelling study", "type" : "article-journal", "volume" : "390" }, "uris" : [ "http://www.mendeley.com/documents/?uuid=fc87d297-adb5-343c-922b-5c0803beb912" ] } ], "mendeley" : { "formattedCitation" : "(1)", "plainTextFormattedCitation" : "(1)", "previouslyFormattedCitation" : "(1)" }, "properties" : { "noteIndex" : 0 }, "schema" : "https://github.com/citation-style-language/schema/raw/master/csl-citation.json" }</w:instrText>
      </w:r>
      <w:r w:rsidR="00E0698F">
        <w:fldChar w:fldCharType="separate"/>
      </w:r>
      <w:r w:rsidR="00E0698F" w:rsidRPr="00E0698F">
        <w:rPr>
          <w:noProof/>
        </w:rPr>
        <w:t>(1)</w:t>
      </w:r>
      <w:r w:rsidR="00E0698F">
        <w:fldChar w:fldCharType="end"/>
      </w:r>
      <w:r w:rsidR="002510BA">
        <w:t xml:space="preserve"> (b)</w:t>
      </w:r>
      <w:r w:rsidR="006A2D97">
        <w:fldChar w:fldCharType="begin" w:fldLock="1"/>
      </w:r>
      <w:r w:rsidR="00A828B0">
        <w:instrText>ADDIN CSL_CITATION { "citationItems" : [ { "id" : "ITEM-1", "itemData" : { "DOI" : "10.1016/S2214-109X(17)30344-3", "ISSN" : "2214-109X", "PMID" : "28911764", "abstract" : "BACKGROUND Respiratory syncytial virus (RSV) infection is an important cause of pneumonia mortality in young children. However, clinical data for fatal RSV infection are scarce. We aimed to identify clinical and socioeconomic characteristics of children aged younger than 5 years with RSV-related mortality using individual patient data. METHODS In this retrospective case series, we developed an online questionnaire to obtain individual patient data for clinical and socioeconomic characteristics of children aged younger than 5 years who died with community-acquired RSV infection between Jan 1, 1995, and Oct 31, 2015, through leading research groups for child pneumonia identified through a comprehensive literature search and existing research networks. For the literature search, we searched PubMed for articles published up to Feb 3, 2015, using the key terms \"RSV\", \"respiratory syncytial virus\", or \"respiratory syncytial viral\" combined with \"mortality\", \"fatality\", \"death\", \"died\", \"deaths\", or \"CFR\" for articles published in English. We invited researchers and clinicians identified to participate between Nov 1, 2014, and Oct 31, 2015. We calculated descriptive statistics for all variables. FINDINGS We studied 358 children with RSV-related in-hospital death from 23 countries across the world, with data contributed from 31 research groups. 117 (33%) children were from low-income or lower middle-income countries, 77 (22%) were from upper middle-income countries, and 164 (46%) were from high-income countries. 190 (53%) were male. Data for comorbidities were missing for some children in low-income and middle-income countries. Available data showed that comorbidities were present in at least 33 (28%) children from low-income or lower middle-income countries, 36 (47%) from upper middle-income countries, and 114 (70%) from high-income countries. Median age for RSV-related deaths was 5\u00b70 months (IQR 2\u00b73-11\u00b70) in low-income or lower middle-income countries, 4\u00b70 years (2\u00b70-10\u00b70) in upper middle-income countries, and 7\u00b70 years (3\u00b76-16\u00b78) in high-income countries. INTERPRETATION This study is the first large case series of children who died with community-acquired RSV infection. A substantial proportion of children with RSV-related death had comorbidities. Our results show that perinatal immunisation strategies for children aged younger than 6 months could have a substantial impact on RSV-related child mortality in low-income and middle-income countries. FUNDING Bill\u2026", "author" : [ { "dropping-particle" : "", "family" : "Scheltema", "given" : "Nienke M", "non-dropping-particle" : "", "parse-names" : false, "suffix" : "" }, { "dropping-particle" : "", "family" : "Gentile", "given" : "Angela", "non-dropping-particle" : "", "parse-names" : false, "suffix" : "" }, { "dropping-particle" : "", "family" : "Lucion", "given" : "Florencia", "non-dropping-particle" : "", "parse-names" : false, "suffix" : "" }, { "dropping-particle" : "", "family" : "Nokes", "given" : "D James", "non-dropping-particle" : "", "parse-names" : false, "suffix" : "" }, { "dropping-particle" : "", "family" : "Munywoki", "given" : "Patrick K", "non-dropping-particle" : "", "parse-names" : false, "suffix" : "" }, { "dropping-particle" : "", "family" : "Madhi", "given" : "Shabir A", "non-dropping-particle" : "", "parse-names" : false, "suffix" : "" }, { "dropping-particle" : "", "family" : "Groome", "given" : "Michelle J", "non-dropping-particle" : "", "parse-names" : false, "suffix" : "" }, { "dropping-particle" : "", "family" : "Cohen", "given" : "Cheryl", "non-dropping-particle" : "", "parse-names" : false, "suffix" : "" }, { "dropping-particle" : "", "family" : "Moyes", "given" : "Jocelyn", "non-dropping-particle" : "", "parse-names" : false, "suffix" : "" }, { "dropping-particle" : "", "family" : "Thorburn", "given" : "Kentigern", "non-dropping-particle" : "", "parse-names" : false, "suffix" : "" }, { "dropping-particle" : "", "family" : "Thamthitiwat", "given" : "Somsak", "non-dropping-particle" : "", "parse-names" : false, "suffix" : "" }, { "dropping-particle" : "", "family" : "Oshitani", "given" : "Hitoshi", "non-dropping-particle" : "", "parse-names" : false, "suffix" : "" }, { "dropping-particle" : "", "family" : "Lupisan", "given" : "Socorro P", "non-dropping-particle" : "", "parse-names" : false, "suffix" : "" }, { "dropping-particle" : "", "family" : "Gordon", "given" : "Aubree", "non-dropping-particle" : "", "parse-names" : false, "suffix" : "" }, { "dropping-particle" : "", "family" : "S\u00e1nchez", "given" : "Jos\u00e9 F", "non-dropping-particle" : "", "parse-names" : false, "suffix" : "" }, { "dropping-particle" : "", "family" : "O'Brien", "given" : "Katherine L", "non-dropping-particle" : "", "parse-names" : false, "suffix" : "" }, { "dropping-particle" : "", "family" : "PERCH Study Group", "given" : "Bradford D", "non-dropping-particle" : "", "parse-names" : false, "suffix" : "" }, { "dropping-particle" : "", "family" : "Gessner", "given" : "Bradford D", "non-dropping-particle" : "", "parse-names" : false, "suffix" : "" }, { "dropping-particle" : "", "family" : "Sutanto", "given" : "Agustinus", "non-dropping-particle" : "", "parse-names" : false, "suffix" : "" }, { "dropping-particle" : "", "family" : "Mejias", "given" : "Asuncion", "non-dropping-particle" : "", "parse-names" : false, "suffix" : "" }, { "dropping-particle" : "", "family" : "Ramilo", "given" : "Octavio", "non-dropping-particle" : "", "parse-names" : false, "suffix" : "" }, { "dropping-particle" : "", "family" : "Khuri-Bulos", "given" : "Najwa", "non-dropping-particle" : "", "parse-names" : false, "suffix" : "" }, { "dropping-particle" : "", "family" : "Halasa", "given" : "Natasha", "non-dropping-particle" : "", "parse-names" : false, "suffix" : "" }, { "dropping-particle" : "", "family" : "de-Paris", "given" : "Fernanda", "non-dropping-particle" : "", "parse-names" : false, "suffix" : "" }, { "dropping-particle" : "", "family" : "Pires", "given" : "M\u00e1rcia Rosane", "non-dropping-particle" : "", "parse-names" : false, "suffix" : "" }, { "dropping-particle" : "", "family" : "Spaeder", "given" : "Michael C", "non-dropping-particle" : "", "parse-names" : false, "suffix" : "" }, { "dropping-particle" : "", "family" : "Paes", "given" : "Bosco A", "non-dropping-particle" : "", "parse-names" : false, "suffix" : "" }, { "dropping-particle" : "", "family" : "Sim\u00f5es", "given" : "Eric A F", "non-dropping-particle" : "", "parse-names" : false, "suffix" : "" }, { "dropping-particle" : "", "family" : "Leung", "given" : "Ting F", "non-dropping-particle" : "", "parse-names" : false, "suffix" : "" }, { "dropping-particle" : "", "family" : "Costa Oliveira", "given" : "Maria Tereza", "non-dropping-particle" : "da", "parse-names" : false, "suffix" : "" }, { "dropping-particle" : "", "family" : "Freitas L\u00e1zaro Emediato", "given" : "Carla Cec\u00edlia", "non-dropping-particle" : "de", "parse-names" : false, "suffix" : "" }, { "dropping-particle" : "", "family" : "Bassat", "given" : "Quique", "non-dropping-particle" : "", "parse-names" : false, "suffix" : "" }, { "dropping-particle" : "", "family" : "Butt", "given" : "Warwick", "non-dropping-particle" : "", "parse-names" : false, "suffix" : "" }, { "dropping-particle" : "", "family" : "Chi", "given" : "Hsin", "non-dropping-particle" : "", "parse-names" : false, "suffix" : "" }, { "dropping-particle" : "", "family" : "Aamir", "given" : "Uzma Bashir", "non-dropping-particle" : "", "parse-names" : false, "suffix" : "" }, { "dropping-particle" : "", "family" : "Ali", "given" : "Asad", "non-dropping-particle" : "", "parse-names" : false, "suffix" : "" }, { "dropping-particle" : "", "family" : "Lucero", "given" : "Marilla G", "non-dropping-particle" : "", "parse-names" : false, "suffix" : "" }, { "dropping-particle" : "", "family" : "Fasce", "given" : "Rodrigo A", "non-dropping-particle" : "", "parse-names" : false, "suffix" : "" }, { "dropping-particle" : "", "family" : "Lopez", "given" : "Olga", "non-dropping-particle" : "", "parse-names" : false, "suffix" : "" }, { "dropping-particle" : "", "family" : "Rath", "given" : "Barbara A", "non-dropping-particle" : "", "parse-names" : false, "suffix" : "" }, { "dropping-particle" : "", "family" : "Polack", "given" : "Fernando P", "non-dropping-particle" : "", "parse-names" : false, "suffix" : "" }, { "dropping-particle" : "", "family" : "Papenburg", "given" : "Jesse", "non-dropping-particle" : "", "parse-names" : false, "suffix" : "" }, { "dropping-particle" : "", "family" : "Rogli\u0107", "given" : "Sr\u0111an", "non-dropping-particle" : "", "parse-names" : false, "suffix" : "" }, { "dropping-particle" : "", "family" : "Ito", "given" : "Hisato", "non-dropping-particle" : "", "parse-names" : false, "suffix" : "" }, { "dropping-particle" : "", "family" : "Goka", "given" : "Edward A", "non-dropping-particle" : "", "parse-names" : false, "suffix" : "" }, { "dropping-particle" : "", "family" : "Grobbee", "given" : "Diederick E", "non-dropping-particle" : "", "parse-names" : false, "suffix" : "" }, { "dropping-particle" : "", "family" : "Nair", "given" : "Harish", "non-dropping-particle" : "", "parse-names" : false, "suffix" : "" }, { "dropping-particle" : "", "family" : "Bont", "given" : "Louis J", "non-dropping-particle" : "", "parse-names" : false, "suffix" : "" } ], "container-title" : "The Lancet. Global health", "id" : "ITEM-1", "issue" : "10", "issued" : { "date-parts" : [ [ "2017", "10", "1" ] ] }, "page" : "e984-e991", "publisher" : "Elsevier", "title" : "Global respiratory syncytial virus-associated mortality in young children (RSV GOLD): a retrospective case series.", "type" : "article-journal", "volume" : "5" }, "uris" : [ "http://www.mendeley.com/documents/?uuid=9a5d8b6f-93e6-395a-8276-9194f8fc7748" ] } ], "mendeley" : { "formattedCitation" : "(80)", "plainTextFormattedCitation" : "(80)", "previouslyFormattedCitation" : "(80)" }, "properties" : { "noteIndex" : 0 }, "schema" : "https://github.com/citation-style-language/schema/raw/master/csl-citation.json" }</w:instrText>
      </w:r>
      <w:r w:rsidR="006A2D97">
        <w:fldChar w:fldCharType="separate"/>
      </w:r>
      <w:r w:rsidR="00D83E6A" w:rsidRPr="00D83E6A">
        <w:rPr>
          <w:noProof/>
        </w:rPr>
        <w:t>(80)</w:t>
      </w:r>
      <w:r w:rsidR="006A2D97">
        <w:fldChar w:fldCharType="end"/>
      </w:r>
      <w:r w:rsidR="002510BA">
        <w:t xml:space="preserve"> (c)</w:t>
      </w:r>
      <w:r w:rsidR="004C3C37">
        <w:fldChar w:fldCharType="begin" w:fldLock="1"/>
      </w:r>
      <w:r w:rsidR="00B707E2">
        <w:instrText>ADDIN CSL_CITATION { "citationItems" : [ { "id" : "ITEM-1", "itemData" : { "DOI" : "10.1002/ppul.23570", "ISSN" : "87556863", "PMID" : "27740723", "abstract" : "BACKGROUND Respiratory syncytial virus (RSV) is a major public health burden worldwide. We aimed to review the current literature on the incidence and mortality of severe RSV in children globally. METHODS Systematic literature review and meta-analysis of published data from 2000 onwards, reporting on burden of acute respiratory infection (ARI) due to RSV in children. Main outcomes were hospitalization for severe RSV-ARI and death. RESULTS Five thousand two hundred and seventy-four references were identified. Fifty-five studies were included from 32 countries. The global RSV-ARI hospitalization estimates, reported per 1,000 children per year (95% Credible Interval (CrI), were 4.37 (2.98, 6.42) among children &lt;5 years, 19.19 (15.04, 24.48) among children &lt;1 year, 20.01 (9.65, 41.31) among children &lt;6 months and 63.85 (37.52, 109.70) among premature children &lt;1 year. The RSV-ARI global case-fatality estimates, reported per 1,000 children, (95% Crl) were 6.21 (2.64, 13.73) among children &lt;5 years, 6.60 (1.85, 16.93) for children &lt;1 year, and 1.04 (0.17, 12.06) among preterm children &lt;1 year. CONCLUSIONS A substantial proportion of RSV-associated morbidity occurs in the first year of life, especially in children born prematurely. These data affirm the importance of RSV disease in the causation of hospitalization and as a significant contributor to pediatric mortality and further demonstrate gestational age as a critical determinant of disease severity. An important limitation of case-fatality ratios is the absence of individual patient characteristics of non-surviving patients. Moreover, case-fatality ratios cannot be translated to population-based mortality. Pediatr Pulmonol. 2017;52:556-569. \u00a9 2016 The Authors. Pediatric Pulmonology. Published by Wiley Periodicals, Inc.", "author" : [ { "dropping-particle" : "", "family" : "Stein", "given" : "Renato T.", "non-dropping-particle" : "", "parse-names" : false, "suffix" : "" }, { "dropping-particle" : "", "family" : "Bont", "given" : "Louis J.", "non-dropping-particle" : "", "parse-names" : false, "suffix" : "" }, { "dropping-particle" : "", "family" : "Zar", "given" : "Heather", "non-dropping-particle" : "", "parse-names" : false, "suffix" : "" }, { "dropping-particle" : "", "family" : "Polack", "given" : "Fernando P.", "non-dropping-particle" : "", "parse-names" : false, "suffix" : "" }, { "dropping-particle" : "", "family" : "Park", "given" : "Caroline", "non-dropping-particle" : "", "parse-names" : false, "suffix" : "" }, { "dropping-particle" : "", "family" : "Claxton", "given" : "Ami", "non-dropping-particle" : "", "parse-names" : false, "suffix" : "" }, { "dropping-particle" : "", "family" : "Borok", "given" : "Gerald", "non-dropping-particle" : "", "parse-names" : false, "suffix" : "" }, { "dropping-particle" : "", "family" : "Butylkova", "given" : "Yekaterina", "non-dropping-particle" : "", "parse-names" : false, "suffix" : "" }, { "dropping-particle" : "", "family" : "Wegzyn", "given" : "Colleen", "non-dropping-particle" : "", "parse-names" : false, "suffix" : "" } ], "container-title" : "Pediatric Pulmonology", "id" : "ITEM-1", "issue" : "4", "issued" : { "date-parts" : [ [ "2017", "4" ] ] }, "page" : "556-569", "title" : "Respiratory syncytial virus hospitalization and mortality: Systematic review and meta-analysis", "type" : "article-journal", "volume" : "52" }, "uris" : [ "http://www.mendeley.com/documents/?uuid=e939dcb7-4bd2-3f0d-a5e7-18419a12353c" ] } ], "mendeley" : { "formattedCitation" : "(149)", "plainTextFormattedCitation" : "(149)", "previouslyFormattedCitation" : "(148)" }, "properties" : { "noteIndex" : 0 }, "schema" : "https://github.com/citation-style-language/schema/raw/master/csl-citation.json" }</w:instrText>
      </w:r>
      <w:r w:rsidR="004C3C37">
        <w:fldChar w:fldCharType="separate"/>
      </w:r>
      <w:r w:rsidR="00B707E2" w:rsidRPr="00B707E2">
        <w:rPr>
          <w:noProof/>
        </w:rPr>
        <w:t>(149)</w:t>
      </w:r>
      <w:r w:rsidR="004C3C37">
        <w:fldChar w:fldCharType="end"/>
      </w:r>
      <w:r w:rsidR="002510BA">
        <w:t xml:space="preserve"> (d)</w:t>
      </w:r>
      <w:r w:rsidR="00731EB3">
        <w:fldChar w:fldCharType="begin" w:fldLock="1"/>
      </w:r>
      <w:r w:rsidR="00B707E2">
        <w:instrText>ADDIN CSL_CITATION { "citationItems" : [ { "id" : "ITEM-1", "itemData" : { "DOI" : "10.1093/cid/cix740", "ISSN" : "1537-6591", "PMID" : "29040527", "abstract" : "Background Estimates of influenza- and respiratory syncytial virus (RSV)-associated mortality burden are important to guide policy for control. Data are limited on the contribution of out-of-hospital deaths to this mortality. Methods We modeled excess mortality attributable to influenza and RSV infection by applying regression models to weekly deaths from national vital statistics from 2009 through 2013, using influenza and RSV laboratory surveillance data as covariates. We fitted separate models for in- and out-of-hospital deaths. Results There were 509791 average annual deaths in South Africa, of which 44% (95% confidence interval [CI] 43%-45%) occurred out-of-hospital. Seasonal influenza and RSV all-cause mortality rates were 23.0 (95% CI 11.0-30.6) and 13.2 (95% CI 6.4-33.8) per 100000 population annually (2.3% [95%CI 2.3%-2.4%] and 1.3% [95% CI 1.2%-1.4%] of all deaths respectively). The peak mortality rate was in individuals aged \u226575 years (386.0; 95% CI 176.5-466.3) for influenza and in infants (143.4; 95% CI 0-194.8) for RSV. Overall, 63% (95% CI 62%--65%) of seasonal influenza and 48% (95% CI 47%-49%) of RSV-associated deaths occurred out-of-hospital. Among children aged &lt;5 years, RSV-associated deaths were more likely to occur in-hospital, whereas influenza-associated deaths were more likely to occur out-of-hospital. The mortality rate was 6.7 (95% CI 6.4-33.8) in the first influenza A(H1N1)pdm09 wave in 2009 and 20.9 (95% CI 6.4-33.8) in the second wave in 2011, with 30% (95% CI 29%-32%) of A(H1N1)pdm09-associated deaths in 2009 occurring out-of-hospital. Discussion More than 45% of seasonal influenza- and RSV-associated deaths occur out-of-hospital in South Africa. These data suggest that hospital-based studies may substantially underestimate mortality burden.", "author" : [ { "dropping-particle" : "", "family" : "Cohen", "given" : "Cheryl", "non-dropping-particle" : "", "parse-names" : false, "suffix" : "" }, { "dropping-particle" : "", "family" : "Walaza", "given" : "Sibongile", "non-dropping-particle" : "", "parse-names" : false, "suffix" : "" }, { "dropping-particle" : "", "family" : "Treurnicht", "given" : "Florette K", "non-dropping-particle" : "", "parse-names" : false, "suffix" : "" }, { "dropping-particle" : "", "family" : "McMorrow", "given" : "Meredith", "non-dropping-particle" : "", "parse-names" : false, "suffix" : "" }, { "dropping-particle" : "", "family" : "Madhi", "given" : "Shabir A", "non-dropping-particle" : "", "parse-names" : false, "suffix" : "" }, { "dropping-particle" : "", "family" : "McAnerney", "given" : "Johanna M", "non-dropping-particle" : "", "parse-names" : false, "suffix" : "" }, { "dropping-particle" : "", "family" : "Tempia", "given" : "Stefano", "non-dropping-particle" : "", "parse-names" : false, "suffix" : "" } ], "container-title" : "Clinical infectious diseases : an official publication of the Infectious Diseases Society of America", "id" : "ITEM-1", "issue" : "1", "issued" : { "date-parts" : [ [ "2018", "1", "6" ] ] }, "page" : "95-103", "title" : "In- and Out-of-hospital Mortality Associated with Seasonal and Pandemic Influenza and Respiratory Syncytial Virus in South Africa, 2009-2013.", "type" : "article-journal", "volume" : "66" }, "uris" : [ "http://www.mendeley.com/documents/?uuid=2c810276-ecb2-3e94-8fc6-f548468ecff4" ] } ], "mendeley" : { "formattedCitation" : "(150)", "plainTextFormattedCitation" : "(150)", "previouslyFormattedCitation" : "(149)" }, "properties" : { "noteIndex" : 0 }, "schema" : "https://github.com/citation-style-language/schema/raw/master/csl-citation.json" }</w:instrText>
      </w:r>
      <w:r w:rsidR="00731EB3">
        <w:fldChar w:fldCharType="separate"/>
      </w:r>
      <w:r w:rsidR="00B707E2" w:rsidRPr="00B707E2">
        <w:rPr>
          <w:noProof/>
        </w:rPr>
        <w:t>(150)</w:t>
      </w:r>
      <w:r w:rsidR="00731EB3">
        <w:fldChar w:fldCharType="end"/>
      </w:r>
      <w:r w:rsidR="002510BA">
        <w:t xml:space="preserve"> (e)</w:t>
      </w:r>
      <w:r w:rsidR="00780439">
        <w:fldChar w:fldCharType="begin" w:fldLock="1"/>
      </w:r>
      <w:r w:rsidR="00B707E2">
        <w:instrText>ADDIN CSL_CITATION { "citationItems" : [ { "id" : "ITEM-1", "itemData" : { "DOI" : "10.1164/rccm.201603-0658OC", "ISSN" : "1073-449X", "abstract" : "Rationale: Respiratory syncytial virus (RSV) is the most frequent cause of hospitalization and an important cause of death in infants in the developing world. The relative contribution of social, biologic, and clinical risk factors to RSV mortality in low-income regions is unclear.Objectives: To determine the burden and risk factors for mortality due to RSV in a low-income population of 84,840 infants.Methods: This was a prospective, population-based, cross-sectional, multicenter study conducted between 2011 and 2013. Hospitalizations and deaths due to severe lower respiratory tract illness (LRTI) were recorded during the RSV season. All-cause hospital deaths and community deaths were monitored. Risk factors for respiratory failure (RF) and mortality due to RSV were assessed using a hierarchical, logistic regression model.Measurements and Main Results: A total of 2,588 (65.5%) infants with severe LRTI were infected with RSV. A total of 157 infants (148 postneonatal) experienced RF or died with RSV. RSV LR...", "author" : [ { "dropping-particle" : "", "family" : "Geoghegan", "given" : "Sarah", "non-dropping-particle" : "", "parse-names" : false, "suffix" : "" }, { "dropping-particle" : "", "family" : "Erviti", "given" : "Anabella", "non-dropping-particle" : "", "parse-names" : false, "suffix" : "" }, { "dropping-particle" : "", "family" : "Caballero", "given" : "Mauricio T.", "non-dropping-particle" : "", "parse-names" : false, "suffix" : "" }, { "dropping-particle" : "", "family" : "Vallone", "given" : "Fernando", "non-dropping-particle" : "", "parse-names" : false, "suffix" : "" }, { "dropping-particle" : "", "family" : "Zanone", "given" : "Stella M.", "non-dropping-particle" : "", "parse-names" : false, "suffix" : "" }, { "dropping-particle" : "", "family" : "Losada", "given" : "Juan Ves", "non-dropping-particle" : "", "parse-names" : false, "suffix" : "" }, { "dropping-particle" : "", "family" : "Bianchi", "given" : "Alejandra", "non-dropping-particle" : "", "parse-names" : false, "suffix" : "" }, { "dropping-particle" : "", "family" : "Acosta", "given" : "Patricio L.", "non-dropping-particle" : "", "parse-names" : false, "suffix" : "" }, { "dropping-particle" : "", "family" : "Talarico", "given" : "Laura B.", "non-dropping-particle" : "", "parse-names" : false, "suffix" : "" }, { "dropping-particle" : "", "family" : "Ferretti", "given" : "Adrian", "non-dropping-particle" : "", "parse-names" : false, "suffix" : "" }, { "dropping-particle" : "", "family" : "Grimaldi", "given" : "Luciano Alva", "non-dropping-particle" : "", "parse-names" : false, "suffix" : "" }, { "dropping-particle" : "", "family" : "Sancilio", "given" : "Andrea", "non-dropping-particle" : "", "parse-names" : false, "suffix" : "" }, { "dropping-particle" : "", "family" : "Due\u00f1as", "given" : "Karina", "non-dropping-particle" : "", "parse-names" : false, "suffix" : "" }, { "dropping-particle" : "", "family" : "Sastre", "given" : "Gustavo", "non-dropping-particle" : "", "parse-names" : false, "suffix" : "" }, { "dropping-particle" : "", "family" : "Rodriguez", "given" : "Andrea", "non-dropping-particle" : "", "parse-names" : false, "suffix" : "" }, { "dropping-particle" : "", "family" : "Ferrero", "given" : "Fernando", "non-dropping-particle" : "", "parse-names" : false, "suffix" : "" }, { "dropping-particle" : "", "family" : "Barboza", "given" : "Edgar", "non-dropping-particle" : "", "parse-names" : false, "suffix" : "" }, { "dropping-particle" : "", "family" : "Gago", "given" : "Guadalupe Fern\u00e1ndez", "non-dropping-particle" : "", "parse-names" : false, "suffix" : "" }, { "dropping-particle" : "", "family" : "Nocito", "given" : "Celina", "non-dropping-particle" : "", "parse-names" : false, "suffix" : "" }, { "dropping-particle" : "", "family" : "Flamenco", "given" : "Edgardo", "non-dropping-particle" : "", "parse-names" : false, "suffix" : "" }, { "dropping-particle" : "", "family" : "Perez", "given" : "Alberto Rodriguez", "non-dropping-particle" : "", "parse-names" : false, "suffix" : "" }, { "dropping-particle" : "", "family" : "Rebec", "given" : "Beatriz", "non-dropping-particle" : "", "parse-names" : false, "suffix" : "" }, { "dropping-particle" : "", "family" : "Ferolla", "given" : "F. Martin", "non-dropping-particle" : "", "parse-names" : false, "suffix" : "" }, { "dropping-particle" : "", "family" : "Libster", "given" : "Romina", "non-dropping-particle" : "", "parse-names" : false, "suffix" : "" }, { "dropping-particle" : "", "family" : "Karron", "given" : "Ruth A.", "non-dropping-particle" : "", "parse-names" : false, "suffix" : "" }, { "dropping-particle" : "", "family" : "Bergel", "given" : "Eduardo", "non-dropping-particle" : "", "parse-names" : false, "suffix" : "" }, { "dropping-particle" : "", "family" : "Polack", "given" : "Fernando P.", "non-dropping-particle" : "", "parse-names" : false, "suffix" : "" } ], "container-title" : "American Journal of Respiratory and Critical Care Medicine", "id" : "ITEM-1", "issue" : "1", "issued" : { "date-parts" : [ [ "2017", "1", "30" ] ] }, "page" : "96-103", "publisher" : "American Thoracic Society", "title" : "Mortality due to Respiratory Syncytial Virus. Burden and Risk Factors", "type" : "article-journal", "volume" : "195" }, "uris" : [ "http://www.mendeley.com/documents/?uuid=95b06a4b-48e2-33c5-883a-71c2ecb3a8b7" ] } ], "mendeley" : { "formattedCitation" : "(151)", "plainTextFormattedCitation" : "(151)", "previouslyFormattedCitation" : "(150)" }, "properties" : { "noteIndex" : 0 }, "schema" : "https://github.com/citation-style-language/schema/raw/master/csl-citation.json" }</w:instrText>
      </w:r>
      <w:r w:rsidR="00780439">
        <w:fldChar w:fldCharType="separate"/>
      </w:r>
      <w:r w:rsidR="00B707E2" w:rsidRPr="00B707E2">
        <w:rPr>
          <w:noProof/>
        </w:rPr>
        <w:t>(151)</w:t>
      </w:r>
      <w:r w:rsidR="00780439">
        <w:fldChar w:fldCharType="end"/>
      </w:r>
      <w:r w:rsidR="002510BA">
        <w:t xml:space="preserve"> (f)</w:t>
      </w:r>
      <w:r w:rsidR="00CA5496">
        <w:fldChar w:fldCharType="begin" w:fldLock="1"/>
      </w:r>
      <w:r w:rsidR="00B707E2">
        <w:instrText>ADDIN CSL_CITATION { "citationItems" : [ { "id" : "ITEM-1", "itemData" : { "DOI" : "10.1542/peds.2013-0303", "ISSN" : "1098-4275", "PMID" : "23878043", "abstract" : "BACKGROUND: Respiratory syncytial virus (RSV) infection is a leading cause of hospitalization among infants. However, estimates of the RSV hospitalization burden have varied, and precision has been limited by the use of age strata grouped in blocks of 6 to \u2265 12 months.\n\nMETHODS: We analyzed data from a 5-year, prospective, population-based surveillance for young children who were hospitalized with laboratory-confirmed (reverse-transcriptase polymerase chain reaction) RSV acute respiratory illness (ARI) during October through March 2000-2005. The total population at risk was stratified by month of age by birth certificate information to yield hospitalization rates.\n\nRESULTS: There were 559 (26%) RSV-infected children among the 2149 enrolled children hospitalized with ARI (85% of all eligible children with ARI). The average RSV hospitalization rate was 5.2 per 1000 children &lt;24 months old. The highest age-specific rate was in infants 1 month old (25.9 per 1000 children). Infants \u2264 2 months of age, who comprised 44% of RSV-hospitalized children, had a hospitalization rate of 17.9 per 1000 children. Most children (79%) were previously healthy. Very preterm infants (&lt;30 weeks' gestation) accounted for only 3% of RSV cases but had RSV hospitalization rates 3 times that of term infants.\n\nCONCLUSIONS: Young infants, especially those who were 1 month old, were at greatest risk of RSV hospitalization. Four-fifths of RSV-hospitalized infants were previously healthy. To substantially reduce the burden of RSV hospitalizations, effective general preventive strategies will be required for all young infants, not just those with risk factors.", "author" : [ { "dropping-particle" : "", "family" : "Hall", "given" : "Caroline Breese", "non-dropping-particle" : "", "parse-names" : false, "suffix" : "" }, { "dropping-particle" : "", "family" : "Weinberg", "given" : "Geoffrey A", "non-dropping-particle" : "", "parse-names" : false, "suffix" : "" }, { "dropping-particle" : "", "family" : "Blumkin", "given" : "Aaron K", "non-dropping-particle" : "", "parse-names" : false, "suffix" : "" }, { "dropping-particle" : "", "family" : "Edwards", "given" : "Kathryn M", "non-dropping-particle" : "", "parse-names" : false, "suffix" : "" }, { "dropping-particle" : "", "family" : "Staat", "given" : "Mary A", "non-dropping-particle" : "", "parse-names" : false, "suffix" : "" }, { "dropping-particle" : "", "family" : "Schultz", "given" : "Andrew F", "non-dropping-particle" : "", "parse-names" : false, "suffix" : "" }, { "dropping-particle" : "", "family" : "Poehling", "given" : "Katherine A", "non-dropping-particle" : "", "parse-names" : false, "suffix" : "" }, { "dropping-particle" : "", "family" : "Szilagyi", "given" : "Peter G", "non-dropping-particle" : "", "parse-names" : false, "suffix" : "" }, { "dropping-particle" : "", "family" : "Griffin", "given" : "Marie R", "non-dropping-particle" : "", "parse-names" : false, "suffix" : "" }, { "dropping-particle" : "V", "family" : "Williams", "given" : "John", "non-dropping-particle" : "", "parse-names" : false, "suffix" : "" }, { "dropping-particle" : "", "family" : "Zhu", "given" : "Yuwei", "non-dropping-particle" : "", "parse-names" : false, "suffix" : "" }, { "dropping-particle" : "", "family" : "Grijalva", "given" : "Carlos G", "non-dropping-particle" : "", "parse-names" : false, "suffix" : "" }, { "dropping-particle" : "", "family" : "Prill", "given" : "Mila M", "non-dropping-particle" : "", "parse-names" : false, "suffix" : "" }, { "dropping-particle" : "", "family" : "Iwane", "given" : "Marika K", "non-dropping-particle" : "", "parse-names" : false, "suffix" : "" } ], "container-title" : "Pediatrics", "id" : "ITEM-1", "issue" : "2", "issued" : { "date-parts" : [ [ "2013", "8", "22" ] ] }, "page" : "e341-8", "title" : "Respiratory syncytial virus-associated hospitalizations among children less than 24 months of age.", "type" : "article-journal", "volume" : "132" }, "uris" : [ "http://www.mendeley.com/documents/?uuid=688f2661-43a3-42fc-aec9-48309abfe515" ] } ], "mendeley" : { "formattedCitation" : "(152)", "plainTextFormattedCitation" : "(152)", "previouslyFormattedCitation" : "(151)" }, "properties" : { "noteIndex" : 0 }, "schema" : "https://github.com/citation-style-language/schema/raw/master/csl-citation.json" }</w:instrText>
      </w:r>
      <w:r w:rsidR="00CA5496">
        <w:fldChar w:fldCharType="separate"/>
      </w:r>
      <w:r w:rsidR="00B707E2" w:rsidRPr="00B707E2">
        <w:rPr>
          <w:noProof/>
        </w:rPr>
        <w:t>(152)</w:t>
      </w:r>
      <w:r w:rsidR="00CA5496">
        <w:fldChar w:fldCharType="end"/>
      </w:r>
      <w:r w:rsidR="000521D6">
        <w:br w:type="page"/>
      </w:r>
    </w:p>
    <w:p w14:paraId="55E30D4E" w14:textId="2D07CDB5" w:rsidR="00C20F68" w:rsidRDefault="000521D6" w:rsidP="004453E4">
      <w:r>
        <w:t xml:space="preserve">Figure </w:t>
      </w:r>
      <w:r w:rsidR="00E73D9D">
        <w:t>2</w:t>
      </w:r>
      <w:r w:rsidR="00185A9C">
        <w:t xml:space="preserve">: </w:t>
      </w:r>
      <w:r w:rsidR="00E73D9D">
        <w:t xml:space="preserve">Overview of </w:t>
      </w:r>
      <w:r w:rsidR="00C20F68">
        <w:t>Vaccine candidate</w:t>
      </w:r>
      <w:r w:rsidR="000B0D70">
        <w:t>s</w:t>
      </w:r>
      <w:r w:rsidR="00C20F68">
        <w:t xml:space="preserve"> </w:t>
      </w:r>
      <w:r w:rsidR="00CE6232">
        <w:t>and monoclonal antibodies</w:t>
      </w:r>
      <w:r w:rsidR="00AF7B2B">
        <w:t xml:space="preserve"> in clinical trials</w:t>
      </w:r>
      <w:r w:rsidR="00CE6232">
        <w:t xml:space="preserve"> per preventive approach </w:t>
      </w:r>
      <w:r w:rsidR="00AF7B2B">
        <w:t>including candidates for which development was recently halted</w:t>
      </w:r>
    </w:p>
    <w:p w14:paraId="08ACE7E2" w14:textId="295BA672" w:rsidR="004D599D" w:rsidRDefault="00E80D50">
      <w:r>
        <w:rPr>
          <w:noProof/>
          <w:lang w:val="en-GB" w:eastAsia="en-GB"/>
        </w:rPr>
        <w:drawing>
          <wp:inline distT="0" distB="0" distL="0" distR="0" wp14:anchorId="30B589BA" wp14:editId="3482E341">
            <wp:extent cx="7366635" cy="5527818"/>
            <wp:effectExtent l="0" t="0" r="0" b="9525"/>
            <wp:docPr id="2" name="Picture 2" descr="Macintosh HD:Users:natalie_mazur:Documents:Utrecht:PhD:PhD Admin:Publications:LID 2018:Graphics:Figure 2_rev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atalie_mazur:Documents:Utrecht:PhD:PhD Admin:Publications:LID 2018:Graphics:Figure 2_revise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66635" cy="5527818"/>
                    </a:xfrm>
                    <a:prstGeom prst="rect">
                      <a:avLst/>
                    </a:prstGeom>
                    <a:noFill/>
                    <a:ln>
                      <a:noFill/>
                    </a:ln>
                  </pic:spPr>
                </pic:pic>
              </a:graphicData>
            </a:graphic>
          </wp:inline>
        </w:drawing>
      </w:r>
    </w:p>
    <w:p w14:paraId="343659DC" w14:textId="18ADC853" w:rsidR="00B23001" w:rsidRDefault="00B23001">
      <w:r>
        <w:t>Legend: For vaccine candidate names listed in gray development has been halted</w:t>
      </w:r>
      <w:r w:rsidR="00206420">
        <w:t xml:space="preserve"> since the last RSV therapeutics review performed in 2015</w:t>
      </w:r>
      <w:r w:rsidR="002E24CA">
        <w:fldChar w:fldCharType="begin" w:fldLock="1"/>
      </w:r>
      <w:r w:rsidR="00AC7A3A">
        <w:instrText>ADDIN CSL_CITATION { "citationItems" : [ { "id" : "ITEM-1", "itemData" : { "DOI" : "10.1016/S2213-2600(15)00255-6", "ISSN" : "22132600", "PMID" : "26411809", "abstract" : "Respiratory syncytial virus (RSV) is a major worldwide cause of morbidity and mortality in children under five years of age. Evidence-based management guidelines suggest that there is no effective treatment for RSV lower respiratory tract infection (LRTI) and that supportive care, ie, hydration and oxygenation, remains the cornerstone of clinical management. However, RSV treatments in development in the past decade include 10 vaccines and 11 therapeutic agents in active clinical trials. Maternal vaccination is particularly relevant because the most severe disease occurs within the first 6 months of life, when children are unlikely to benefit from active immunisation. We must optimise the implementation of novel RSV therapeutics by understanding the target populations, showing safety, and striving for acceptable pricing in the context of this worldwide health problem. In this Review, we outline the limitations of RSV LRTI management, the drugs in development, and the remaining challenges related to study design, regulatory approval, and implementation.", "author" : [ { "dropping-particle" : "", "family" : "Mazur", "given" : "Natalie I", "non-dropping-particle" : "", "parse-names" : false, "suffix" : "" }, { "dropping-particle" : "", "family" : "Martin\u00f3n-Torres", "given" : "Federico", "non-dropping-particle" : "", "parse-names" : false, "suffix" : "" }, { "dropping-particle" : "", "family" : "Baraldi", "given" : "Eugenio", "non-dropping-particle" : "", "parse-names" : false, "suffix" : "" }, { "dropping-particle" : "", "family" : "Fauroux", "given" : "Brigitte", "non-dropping-particle" : "", "parse-names" : false, "suffix" : "" }, { "dropping-particle" : "", "family" : "Greenough", "given" : "Anne", "non-dropping-particle" : "", "parse-names" : false, "suffix" : "" }, { "dropping-particle" : "", "family" : "Heikkinen", "given" : "Terho", "non-dropping-particle" : "", "parse-names" : false, "suffix" : "" }, { "dropping-particle" : "", "family" : "Manzoni", "given" : "Paolo", "non-dropping-particle" : "", "parse-names" : false, "suffix" : "" }, { "dropping-particle" : "", "family" : "Mejias", "given" : "Asuncion", "non-dropping-particle" : "", "parse-names" : false, "suffix" : "" }, { "dropping-particle" : "", "family" : "Nair", "given" : "Harish", "non-dropping-particle" : "", "parse-names" : false, "suffix" : "" }, { "dropping-particle" : "", "family" : "Papadopoulos", "given" : "Nikolaos G", "non-dropping-particle" : "", "parse-names" : false, "suffix" : "" }, { "dropping-particle" : "", "family" : "Polack", "given" : "Fernando P", "non-dropping-particle" : "", "parse-names" : false, "suffix" : "" }, { "dropping-particle" : "", "family" : "Ramilo", "given" : "Octavio", "non-dropping-particle" : "", "parse-names" : false, "suffix" : "" }, { "dropping-particle" : "", "family" : "Sharland", "given" : "Mike", "non-dropping-particle" : "", "parse-names" : false, "suffix" : "" }, { "dropping-particle" : "", "family" : "Stein", "given" : "Renato", "non-dropping-particle" : "", "parse-names" : false, "suffix" : "" }, { "dropping-particle" : "", "family" : "Madhi", "given" : "Shabir A", "non-dropping-particle" : "", "parse-names" : false, "suffix" : "" }, { "dropping-particle" : "", "family" : "Bont", "given" : "Louis", "non-dropping-particle" : "", "parse-names" : false, "suffix" : "" }, { "dropping-particle" : "", "family" : "Respiratory Syncytial Virus Network (ReSViNET)", "given" : "", "non-dropping-particle" : "", "parse-names" : false, "suffix" : "" } ], "container-title" : "The Lancet Respiratory Medicine", "id" : "ITEM-1", "issue" : "11", "issued" : { "date-parts" : [ [ "2015", "11" ] ] }, "page" : "888-900", "title" : "Lower respiratory tract infection caused by respiratory syncytial virus: current management and new therapeutics", "type" : "article-journal", "volume" : "3" }, "uris" : [ "http://www.mendeley.com/documents/?uuid=281e06df-5b7a-3560-861e-51504d05f544" ] } ], "mendeley" : { "formattedCitation" : "(20)", "plainTextFormattedCitation" : "(20)", "previouslyFormattedCitation" : "(20)" }, "properties" : { "noteIndex" : 0 }, "schema" : "https://github.com/citation-style-language/schema/raw/master/csl-citation.json" }</w:instrText>
      </w:r>
      <w:r w:rsidR="002E24CA">
        <w:fldChar w:fldCharType="separate"/>
      </w:r>
      <w:r w:rsidR="009F500F" w:rsidRPr="009F500F">
        <w:rPr>
          <w:noProof/>
        </w:rPr>
        <w:t>(20)</w:t>
      </w:r>
      <w:r w:rsidR="002E24CA">
        <w:fldChar w:fldCharType="end"/>
      </w:r>
      <w:r>
        <w:t xml:space="preserve">. </w:t>
      </w:r>
      <w:r w:rsidR="002E24CA">
        <w:t xml:space="preserve">Abbreviations: </w:t>
      </w:r>
      <w:r>
        <w:t>PH I: phase I; PH II: phase II; PH III: phase III.</w:t>
      </w:r>
      <w:r>
        <w:br w:type="page"/>
      </w:r>
    </w:p>
    <w:p w14:paraId="502B36AB" w14:textId="38A75AE2" w:rsidR="00576CB1" w:rsidRDefault="004D599D" w:rsidP="004453E4">
      <w:r>
        <w:t>Supplement</w:t>
      </w:r>
      <w:r w:rsidR="00DD5D80">
        <w:t>al</w:t>
      </w:r>
      <w:r w:rsidR="00B740E1">
        <w:t xml:space="preserve"> Table 1</w:t>
      </w:r>
      <w:r>
        <w:t>: Data Collection Template</w:t>
      </w:r>
    </w:p>
    <w:p w14:paraId="02824594" w14:textId="77777777" w:rsidR="00C20F68" w:rsidRDefault="00C20F68" w:rsidP="004453E4"/>
    <w:tbl>
      <w:tblPr>
        <w:tblStyle w:val="LightGrid-Accent1"/>
        <w:tblW w:w="0" w:type="auto"/>
        <w:tblLook w:val="04A0" w:firstRow="1" w:lastRow="0" w:firstColumn="1" w:lastColumn="0" w:noHBand="0" w:noVBand="1"/>
      </w:tblPr>
      <w:tblGrid>
        <w:gridCol w:w="1516"/>
        <w:gridCol w:w="1267"/>
        <w:gridCol w:w="1268"/>
        <w:gridCol w:w="1269"/>
        <w:gridCol w:w="1270"/>
        <w:gridCol w:w="1270"/>
        <w:gridCol w:w="1270"/>
        <w:gridCol w:w="1270"/>
        <w:gridCol w:w="1270"/>
        <w:gridCol w:w="1270"/>
      </w:tblGrid>
      <w:tr w:rsidR="00AE0CA1" w14:paraId="34CD5B67" w14:textId="77777777" w:rsidTr="00C87D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58DF341E" w14:textId="2D829322"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Type of Vaccine</w:t>
            </w:r>
          </w:p>
          <w:p w14:paraId="4B70D914" w14:textId="77777777" w:rsidR="00AE0CA1" w:rsidRDefault="00AE0CA1" w:rsidP="004453E4"/>
        </w:tc>
        <w:tc>
          <w:tcPr>
            <w:tcW w:w="1294" w:type="dxa"/>
          </w:tcPr>
          <w:p w14:paraId="4344A351" w14:textId="77777777" w:rsidR="00AE0CA1" w:rsidRDefault="00AE0CA1" w:rsidP="004453E4">
            <w:pPr>
              <w:cnfStyle w:val="100000000000" w:firstRow="1" w:lastRow="0" w:firstColumn="0" w:lastColumn="0" w:oddVBand="0" w:evenVBand="0" w:oddHBand="0" w:evenHBand="0" w:firstRowFirstColumn="0" w:firstRowLastColumn="0" w:lastRowFirstColumn="0" w:lastRowLastColumn="0"/>
            </w:pPr>
          </w:p>
        </w:tc>
        <w:tc>
          <w:tcPr>
            <w:tcW w:w="1295" w:type="dxa"/>
          </w:tcPr>
          <w:p w14:paraId="3B3A261B" w14:textId="77777777" w:rsidR="00AE0CA1" w:rsidRDefault="00AE0CA1" w:rsidP="004453E4">
            <w:pPr>
              <w:cnfStyle w:val="100000000000" w:firstRow="1" w:lastRow="0" w:firstColumn="0" w:lastColumn="0" w:oddVBand="0" w:evenVBand="0" w:oddHBand="0" w:evenHBand="0" w:firstRowFirstColumn="0" w:firstRowLastColumn="0" w:lastRowFirstColumn="0" w:lastRowLastColumn="0"/>
            </w:pPr>
          </w:p>
        </w:tc>
        <w:tc>
          <w:tcPr>
            <w:tcW w:w="1295" w:type="dxa"/>
          </w:tcPr>
          <w:p w14:paraId="40D49ED1" w14:textId="77777777" w:rsidR="00AE0CA1" w:rsidRDefault="00AE0CA1" w:rsidP="004453E4">
            <w:pPr>
              <w:cnfStyle w:val="100000000000" w:firstRow="1" w:lastRow="0" w:firstColumn="0" w:lastColumn="0" w:oddVBand="0" w:evenVBand="0" w:oddHBand="0" w:evenHBand="0" w:firstRowFirstColumn="0" w:firstRowLastColumn="0" w:lastRowFirstColumn="0" w:lastRowLastColumn="0"/>
            </w:pPr>
          </w:p>
        </w:tc>
        <w:tc>
          <w:tcPr>
            <w:tcW w:w="1296" w:type="dxa"/>
          </w:tcPr>
          <w:p w14:paraId="37DD9CEE" w14:textId="77777777" w:rsidR="00AE0CA1" w:rsidRDefault="00AE0CA1" w:rsidP="004453E4">
            <w:pPr>
              <w:cnfStyle w:val="100000000000" w:firstRow="1" w:lastRow="0" w:firstColumn="0" w:lastColumn="0" w:oddVBand="0" w:evenVBand="0" w:oddHBand="0" w:evenHBand="0" w:firstRowFirstColumn="0" w:firstRowLastColumn="0" w:lastRowFirstColumn="0" w:lastRowLastColumn="0"/>
            </w:pPr>
          </w:p>
        </w:tc>
        <w:tc>
          <w:tcPr>
            <w:tcW w:w="1296" w:type="dxa"/>
          </w:tcPr>
          <w:p w14:paraId="4BDA2A9B" w14:textId="77777777" w:rsidR="00AE0CA1" w:rsidRDefault="00AE0CA1" w:rsidP="004453E4">
            <w:pPr>
              <w:cnfStyle w:val="100000000000" w:firstRow="1" w:lastRow="0" w:firstColumn="0" w:lastColumn="0" w:oddVBand="0" w:evenVBand="0" w:oddHBand="0" w:evenHBand="0" w:firstRowFirstColumn="0" w:firstRowLastColumn="0" w:lastRowFirstColumn="0" w:lastRowLastColumn="0"/>
            </w:pPr>
          </w:p>
        </w:tc>
        <w:tc>
          <w:tcPr>
            <w:tcW w:w="1296" w:type="dxa"/>
          </w:tcPr>
          <w:p w14:paraId="0BA1557A" w14:textId="77777777" w:rsidR="00AE0CA1" w:rsidRDefault="00AE0CA1" w:rsidP="004453E4">
            <w:pPr>
              <w:cnfStyle w:val="100000000000" w:firstRow="1" w:lastRow="0" w:firstColumn="0" w:lastColumn="0" w:oddVBand="0" w:evenVBand="0" w:oddHBand="0" w:evenHBand="0" w:firstRowFirstColumn="0" w:firstRowLastColumn="0" w:lastRowFirstColumn="0" w:lastRowLastColumn="0"/>
            </w:pPr>
          </w:p>
        </w:tc>
        <w:tc>
          <w:tcPr>
            <w:tcW w:w="1296" w:type="dxa"/>
          </w:tcPr>
          <w:p w14:paraId="4758E2A4" w14:textId="77777777" w:rsidR="00AE0CA1" w:rsidRDefault="00AE0CA1" w:rsidP="004453E4">
            <w:pPr>
              <w:cnfStyle w:val="100000000000" w:firstRow="1" w:lastRow="0" w:firstColumn="0" w:lastColumn="0" w:oddVBand="0" w:evenVBand="0" w:oddHBand="0" w:evenHBand="0" w:firstRowFirstColumn="0" w:firstRowLastColumn="0" w:lastRowFirstColumn="0" w:lastRowLastColumn="0"/>
            </w:pPr>
          </w:p>
        </w:tc>
        <w:tc>
          <w:tcPr>
            <w:tcW w:w="1296" w:type="dxa"/>
          </w:tcPr>
          <w:p w14:paraId="37FB85B2" w14:textId="77777777" w:rsidR="00AE0CA1" w:rsidRDefault="00AE0CA1" w:rsidP="004453E4">
            <w:pPr>
              <w:cnfStyle w:val="100000000000" w:firstRow="1" w:lastRow="0" w:firstColumn="0" w:lastColumn="0" w:oddVBand="0" w:evenVBand="0" w:oddHBand="0" w:evenHBand="0" w:firstRowFirstColumn="0" w:firstRowLastColumn="0" w:lastRowFirstColumn="0" w:lastRowLastColumn="0"/>
            </w:pPr>
          </w:p>
        </w:tc>
        <w:tc>
          <w:tcPr>
            <w:tcW w:w="1296" w:type="dxa"/>
          </w:tcPr>
          <w:p w14:paraId="4744C884" w14:textId="77777777" w:rsidR="00AE0CA1" w:rsidRDefault="00AE0CA1" w:rsidP="004453E4">
            <w:pPr>
              <w:cnfStyle w:val="100000000000" w:firstRow="1" w:lastRow="0" w:firstColumn="0" w:lastColumn="0" w:oddVBand="0" w:evenVBand="0" w:oddHBand="0" w:evenHBand="0" w:firstRowFirstColumn="0" w:firstRowLastColumn="0" w:lastRowFirstColumn="0" w:lastRowLastColumn="0"/>
            </w:pPr>
          </w:p>
        </w:tc>
      </w:tr>
      <w:tr w:rsidR="00AE0CA1" w14:paraId="79912431"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0F037390"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PATH snapshot</w:t>
            </w:r>
          </w:p>
          <w:p w14:paraId="45384407" w14:textId="77777777" w:rsidR="00AE0CA1" w:rsidRDefault="00AE0CA1" w:rsidP="004453E4"/>
        </w:tc>
        <w:tc>
          <w:tcPr>
            <w:tcW w:w="1294" w:type="dxa"/>
          </w:tcPr>
          <w:p w14:paraId="1A969092"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1D34E438"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1123EE25"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2A73C4F4"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657915E"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8709CFC"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73436794"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7BE99884"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4B8CF49E"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r>
      <w:tr w:rsidR="00AE0CA1" w14:paraId="0E6C3216"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2200BA6F"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Person responsible</w:t>
            </w:r>
          </w:p>
          <w:p w14:paraId="502660FD" w14:textId="77777777" w:rsidR="00AE0CA1" w:rsidRDefault="00AE0CA1" w:rsidP="004453E4"/>
        </w:tc>
        <w:tc>
          <w:tcPr>
            <w:tcW w:w="1294" w:type="dxa"/>
          </w:tcPr>
          <w:p w14:paraId="6B63A70B"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690C48BB"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174F11F7"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F70F703"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3BC11677"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7987AE0A"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652CBB87"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00231AAA"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5DC29F75"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r>
      <w:tr w:rsidR="00AE0CA1" w14:paraId="30D27E9E"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4A52696B"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RSVVW related program items / names</w:t>
            </w:r>
          </w:p>
          <w:p w14:paraId="67CA2B0A" w14:textId="77777777" w:rsidR="00AE0CA1" w:rsidRDefault="00AE0CA1" w:rsidP="004453E4"/>
        </w:tc>
        <w:tc>
          <w:tcPr>
            <w:tcW w:w="1294" w:type="dxa"/>
          </w:tcPr>
          <w:p w14:paraId="51E20F8D"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687B63CB"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60B05F33"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69411C6A"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01EBF623"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44E5835"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C9ACBA3"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98309A7"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7316128C"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r>
      <w:tr w:rsidR="00AE0CA1" w14:paraId="455C78D7"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72FA8208"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Manufacturing process</w:t>
            </w:r>
          </w:p>
          <w:p w14:paraId="165053AF" w14:textId="77777777" w:rsidR="00AE0CA1" w:rsidRDefault="00AE0CA1" w:rsidP="004453E4"/>
        </w:tc>
        <w:tc>
          <w:tcPr>
            <w:tcW w:w="1294" w:type="dxa"/>
          </w:tcPr>
          <w:p w14:paraId="22A723B6"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0111CD5F"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2300573B"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5F1F423B"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D3CC7EF"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2FCEEC99"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30577C14"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273FE495"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5930EF62"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r>
      <w:tr w:rsidR="00AE0CA1" w14:paraId="309C7B51"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0CD9E12C" w14:textId="51C7662E"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Adjuvan</w:t>
            </w:r>
            <w:r w:rsidR="007B054C">
              <w:rPr>
                <w:rFonts w:ascii="Times" w:eastAsia="Times New Roman" w:hAnsi="Times" w:cs="Times New Roman"/>
                <w:color w:val="000000"/>
                <w:sz w:val="20"/>
                <w:szCs w:val="20"/>
                <w:lang w:eastAsia="en-US"/>
              </w:rPr>
              <w:t>t</w:t>
            </w:r>
          </w:p>
          <w:p w14:paraId="07949BB6" w14:textId="77777777" w:rsidR="00AE0CA1" w:rsidRDefault="00AE0CA1" w:rsidP="004453E4"/>
        </w:tc>
        <w:tc>
          <w:tcPr>
            <w:tcW w:w="1294" w:type="dxa"/>
          </w:tcPr>
          <w:p w14:paraId="6B265328"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38510EA8"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18AC16E1"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1CF67308"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5A7C3B6"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000BF3BD"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65924C3C"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8838AF1"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29760B4E"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r>
      <w:tr w:rsidR="00AE0CA1" w14:paraId="57486D11"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7E84C8AA"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 xml:space="preserve">Animal models </w:t>
            </w:r>
          </w:p>
          <w:p w14:paraId="7E338CF1" w14:textId="77777777" w:rsidR="00AE0CA1" w:rsidRDefault="00AE0CA1" w:rsidP="004453E4"/>
        </w:tc>
        <w:tc>
          <w:tcPr>
            <w:tcW w:w="1294" w:type="dxa"/>
          </w:tcPr>
          <w:p w14:paraId="1AB2F470"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5E581BF7"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7535C42B"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2AB3A5FA"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8F32124"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324B3A32"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0B045B05"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12493E7"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334ACA87"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r>
      <w:tr w:rsidR="00AE0CA1" w14:paraId="36A163FC"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0004E401"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Pre-F immunity</w:t>
            </w:r>
          </w:p>
          <w:p w14:paraId="7C09F6D6" w14:textId="77777777" w:rsidR="00AE0CA1" w:rsidRDefault="00AE0CA1" w:rsidP="004453E4"/>
        </w:tc>
        <w:tc>
          <w:tcPr>
            <w:tcW w:w="1294" w:type="dxa"/>
          </w:tcPr>
          <w:p w14:paraId="254F7438"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742A4136"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1414AFA7"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78A35708"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2D4EC50B"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41EA09A4"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4A80BFD4"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484C0D65"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28AAAC51"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r>
      <w:tr w:rsidR="00AE0CA1" w14:paraId="16021119"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2D4B52DB"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Immunity (general)</w:t>
            </w:r>
          </w:p>
          <w:p w14:paraId="217DB2AC" w14:textId="77777777" w:rsidR="00AE0CA1" w:rsidRDefault="00AE0CA1" w:rsidP="004453E4"/>
        </w:tc>
        <w:tc>
          <w:tcPr>
            <w:tcW w:w="1294" w:type="dxa"/>
          </w:tcPr>
          <w:p w14:paraId="6E3C2D79"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15A9759E"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2111EF37"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812C907"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13B6E64A"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6AAD6911"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19A49642"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5A2516BA"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5BE5B29D"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r>
      <w:tr w:rsidR="00AE0CA1" w14:paraId="6968EA9C"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576D73AF"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Antigens</w:t>
            </w:r>
          </w:p>
          <w:p w14:paraId="5B28C00D" w14:textId="77777777" w:rsidR="00AE0CA1" w:rsidRDefault="00AE0CA1" w:rsidP="004453E4"/>
        </w:tc>
        <w:tc>
          <w:tcPr>
            <w:tcW w:w="1294" w:type="dxa"/>
          </w:tcPr>
          <w:p w14:paraId="455C9554"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0BD992DB"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34E39F25"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1B5D2224"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EF36E6E"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BE06A5F"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2B5D9462"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40122D39"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145DB156"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r>
      <w:tr w:rsidR="00AE0CA1" w14:paraId="37C7DFF6"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5DAB9262"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Mechanism of action</w:t>
            </w:r>
          </w:p>
          <w:p w14:paraId="4B0569E7" w14:textId="77777777" w:rsidR="00AE0CA1" w:rsidRDefault="00AE0CA1" w:rsidP="004453E4"/>
        </w:tc>
        <w:tc>
          <w:tcPr>
            <w:tcW w:w="1294" w:type="dxa"/>
          </w:tcPr>
          <w:p w14:paraId="29BC9D82"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43F34EDB"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6824FE19"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6E34FD6A"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01EAC0C6"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25F229BF"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5638589C"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AAC2972"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9BECCE9"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r>
      <w:tr w:rsidR="00AE0CA1" w14:paraId="6D39B624"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3F1C3672"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Mode of administration</w:t>
            </w:r>
          </w:p>
          <w:p w14:paraId="0FA208B5" w14:textId="77777777" w:rsidR="00AE0CA1" w:rsidRDefault="00AE0CA1" w:rsidP="004453E4"/>
        </w:tc>
        <w:tc>
          <w:tcPr>
            <w:tcW w:w="1294" w:type="dxa"/>
          </w:tcPr>
          <w:p w14:paraId="5634CFAF"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431054CD"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64920959"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17D831B"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71B929A"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7D3F815"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79E12B2C"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4E422641"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AC25B69"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r>
      <w:tr w:rsidR="00AE0CA1" w14:paraId="6645FA45"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2B1C9885" w14:textId="77777777" w:rsidR="00AE0CA1" w:rsidRPr="00AE0CA1" w:rsidRDefault="00AE0CA1" w:rsidP="00AE0CA1">
            <w:pPr>
              <w:jc w:val="cente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Target populations</w:t>
            </w:r>
          </w:p>
          <w:p w14:paraId="5C74E9A0" w14:textId="77777777" w:rsidR="00AE0CA1" w:rsidRDefault="00AE0CA1" w:rsidP="00AE0CA1">
            <w:pPr>
              <w:jc w:val="center"/>
            </w:pPr>
          </w:p>
        </w:tc>
        <w:tc>
          <w:tcPr>
            <w:tcW w:w="1294" w:type="dxa"/>
          </w:tcPr>
          <w:p w14:paraId="0C3385DB"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2FA2D729"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15250701"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88A734D"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027624D2"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096F4996"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0D66A2F0"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35859870"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6135C150"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r>
      <w:tr w:rsidR="00AE0CA1" w14:paraId="4A86576C"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4FE7148E" w14:textId="77777777" w:rsidR="00AE0CA1" w:rsidRDefault="00AE0CA1" w:rsidP="004453E4"/>
        </w:tc>
        <w:tc>
          <w:tcPr>
            <w:tcW w:w="1294" w:type="dxa"/>
          </w:tcPr>
          <w:p w14:paraId="6F0C77A1"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4C5658D8"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279B2BF7"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06F25FE0"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1B54D03F"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1FC5B963"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7F65BCCA"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7D088990"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4B926700"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r>
      <w:tr w:rsidR="00AE0CA1" w14:paraId="0CB664EE"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3486EB5A"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Results clinical studies so far</w:t>
            </w:r>
          </w:p>
          <w:p w14:paraId="1C96DB13" w14:textId="77777777" w:rsidR="00AE0CA1" w:rsidRDefault="00AE0CA1" w:rsidP="004453E4"/>
        </w:tc>
        <w:tc>
          <w:tcPr>
            <w:tcW w:w="1294" w:type="dxa"/>
          </w:tcPr>
          <w:p w14:paraId="625F19CE"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756DCC9F"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104FF955"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671CF83C"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5D6C0524"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140E0CC6"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7A0CC179"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56672BFA"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F0EFAC0"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r>
      <w:tr w:rsidR="00AE0CA1" w14:paraId="08627C77"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5A663437"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Efficacy</w:t>
            </w:r>
          </w:p>
          <w:p w14:paraId="7E2833F4" w14:textId="77777777" w:rsidR="00AE0CA1" w:rsidRDefault="00AE0CA1" w:rsidP="004453E4"/>
        </w:tc>
        <w:tc>
          <w:tcPr>
            <w:tcW w:w="1294" w:type="dxa"/>
          </w:tcPr>
          <w:p w14:paraId="675E0BED"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1DFC7FB5"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7ABBF8D9"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1846A295"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68D7EA72"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E49F9B8"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6FDEDAC"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4693B38E"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2B5C20C9"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r>
      <w:tr w:rsidR="00AE0CA1" w14:paraId="23A7675E"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7581A96C"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Endpoints</w:t>
            </w:r>
          </w:p>
          <w:p w14:paraId="6587C770" w14:textId="77777777" w:rsidR="00AE0CA1" w:rsidRDefault="00AE0CA1" w:rsidP="004453E4"/>
        </w:tc>
        <w:tc>
          <w:tcPr>
            <w:tcW w:w="1294" w:type="dxa"/>
          </w:tcPr>
          <w:p w14:paraId="24FAF146"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4A06DF40"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04AF6568"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57D20160"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2E8B9B5D"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3CD4104F"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2E827227"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5D6218A2"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1757F039"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r>
      <w:tr w:rsidR="00AE0CA1" w14:paraId="3677BAF2"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694C4A1F"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PMID results</w:t>
            </w:r>
          </w:p>
          <w:p w14:paraId="3651DC91" w14:textId="77777777" w:rsidR="00AE0CA1" w:rsidRDefault="00AE0CA1" w:rsidP="004453E4"/>
        </w:tc>
        <w:tc>
          <w:tcPr>
            <w:tcW w:w="1294" w:type="dxa"/>
          </w:tcPr>
          <w:p w14:paraId="7D8769F6"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4EF8EC04"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3E8333CA"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4A669A28"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D34DF33"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0638C3B"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16079212"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B7B7FD3"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0BE39FD7"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r>
      <w:tr w:rsidR="00AE0CA1" w14:paraId="09D3683D"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00EB0B01"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Timing Ph1</w:t>
            </w:r>
          </w:p>
          <w:p w14:paraId="66149677" w14:textId="77777777" w:rsidR="00AE0CA1" w:rsidRDefault="00AE0CA1" w:rsidP="004453E4"/>
        </w:tc>
        <w:tc>
          <w:tcPr>
            <w:tcW w:w="1294" w:type="dxa"/>
          </w:tcPr>
          <w:p w14:paraId="3EDD39F5"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480546F7"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0D805F34"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10D10FD5"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3F590BDC"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5628DA93"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78562991"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1C859CA9"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CD7B1F8"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r>
      <w:tr w:rsidR="00AE0CA1" w14:paraId="2007429A"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1D89FE2C"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Timing Ph2</w:t>
            </w:r>
          </w:p>
          <w:p w14:paraId="5D4B4A89" w14:textId="77777777" w:rsidR="00AE0CA1" w:rsidRDefault="00AE0CA1" w:rsidP="004453E4"/>
        </w:tc>
        <w:tc>
          <w:tcPr>
            <w:tcW w:w="1294" w:type="dxa"/>
          </w:tcPr>
          <w:p w14:paraId="2C774FF9"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7843D400"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5D290E51"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0B171F42"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1116D4B0"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3EA0FC6"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56BDC5F"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05F20042"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0008BFD"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r>
      <w:tr w:rsidR="00AE0CA1" w14:paraId="4F51ED1B"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502BAA66"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Timing Ph3</w:t>
            </w:r>
          </w:p>
          <w:p w14:paraId="59FAB1DF" w14:textId="77777777" w:rsidR="00AE0CA1" w:rsidRDefault="00AE0CA1" w:rsidP="004453E4"/>
        </w:tc>
        <w:tc>
          <w:tcPr>
            <w:tcW w:w="1294" w:type="dxa"/>
          </w:tcPr>
          <w:p w14:paraId="018695FA"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233442C2"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26F1C307"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23D3AB83"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0A67991F"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369F1E5"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5271C627"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71CBB429"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2ECB7B9C"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r>
      <w:tr w:rsidR="00AE0CA1" w14:paraId="60437802"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770CBC64"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Current development status</w:t>
            </w:r>
          </w:p>
          <w:p w14:paraId="32FCBCA6" w14:textId="77777777" w:rsidR="00AE0CA1" w:rsidRDefault="00AE0CA1" w:rsidP="004453E4"/>
        </w:tc>
        <w:tc>
          <w:tcPr>
            <w:tcW w:w="1294" w:type="dxa"/>
          </w:tcPr>
          <w:p w14:paraId="24DDED6B"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70E9F5CA"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5A873101"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0F6FDF7D"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1DD7602"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804FC06"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2454F18"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27F80830"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715EE350"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r>
      <w:tr w:rsidR="00AE0CA1" w14:paraId="64F72C4D"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2B3D567A"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Trial names</w:t>
            </w:r>
          </w:p>
          <w:p w14:paraId="35D8BEB7" w14:textId="77777777" w:rsidR="00AE0CA1" w:rsidRDefault="00AE0CA1" w:rsidP="004453E4"/>
        </w:tc>
        <w:tc>
          <w:tcPr>
            <w:tcW w:w="1294" w:type="dxa"/>
          </w:tcPr>
          <w:p w14:paraId="57194619"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7FA32231"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3063AE55"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7B23C885"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26D087C2"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28F4F79E"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58CC2F94"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2C4A3009"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352198FF"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r>
      <w:tr w:rsidR="00AE0CA1" w14:paraId="79228C15"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622BF5DC"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Expected herd immunity</w:t>
            </w:r>
          </w:p>
          <w:p w14:paraId="3736A41A" w14:textId="77777777" w:rsidR="00AE0CA1" w:rsidRDefault="00AE0CA1" w:rsidP="004453E4"/>
        </w:tc>
        <w:tc>
          <w:tcPr>
            <w:tcW w:w="1294" w:type="dxa"/>
          </w:tcPr>
          <w:p w14:paraId="4642523C"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7959AB00"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00020BBA"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69888143"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4D3C501"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B397AA6"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2723107E"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073C719E"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4DF6496" w14:textId="77777777" w:rsidR="00AE0CA1" w:rsidRDefault="00AE0CA1" w:rsidP="004453E4">
            <w:pPr>
              <w:cnfStyle w:val="000000100000" w:firstRow="0" w:lastRow="0" w:firstColumn="0" w:lastColumn="0" w:oddVBand="0" w:evenVBand="0" w:oddHBand="1" w:evenHBand="0" w:firstRowFirstColumn="0" w:firstRowLastColumn="0" w:lastRowFirstColumn="0" w:lastRowLastColumn="0"/>
            </w:pPr>
          </w:p>
        </w:tc>
      </w:tr>
      <w:tr w:rsidR="00C87DD6" w14:paraId="00501037" w14:textId="77777777" w:rsidTr="00C87DD6">
        <w:trPr>
          <w:cnfStyle w:val="000000010000" w:firstRow="0" w:lastRow="0" w:firstColumn="0" w:lastColumn="0" w:oddVBand="0" w:evenVBand="0" w:oddHBand="0" w:evenHBand="1" w:firstRowFirstColumn="0" w:firstRowLastColumn="0" w:lastRowFirstColumn="0" w:lastRowLastColumn="0"/>
          <w:trHeight w:val="1135"/>
        </w:trPr>
        <w:tc>
          <w:tcPr>
            <w:cnfStyle w:val="001000000000" w:firstRow="0" w:lastRow="0" w:firstColumn="1" w:lastColumn="0" w:oddVBand="0" w:evenVBand="0" w:oddHBand="0" w:evenHBand="0" w:firstRowFirstColumn="0" w:firstRowLastColumn="0" w:lastRowFirstColumn="0" w:lastRowLastColumn="0"/>
            <w:tcW w:w="1516" w:type="dxa"/>
          </w:tcPr>
          <w:p w14:paraId="730ABB6E" w14:textId="77777777" w:rsidR="00AE0CA1" w:rsidRPr="00AE0CA1" w:rsidRDefault="00AE0CA1" w:rsidP="00AE0CA1">
            <w:pPr>
              <w:rPr>
                <w:rFonts w:ascii="Times" w:eastAsia="Times New Roman" w:hAnsi="Times" w:cs="Times New Roman"/>
                <w:color w:val="000000"/>
                <w:sz w:val="20"/>
                <w:szCs w:val="20"/>
                <w:lang w:eastAsia="en-US"/>
              </w:rPr>
            </w:pPr>
            <w:r w:rsidRPr="00AE0CA1">
              <w:rPr>
                <w:rFonts w:ascii="Times" w:eastAsia="Times New Roman" w:hAnsi="Times" w:cs="Times New Roman"/>
                <w:color w:val="000000"/>
                <w:sz w:val="20"/>
                <w:szCs w:val="20"/>
                <w:lang w:eastAsia="en-US"/>
              </w:rPr>
              <w:t>Previous vaccine successes</w:t>
            </w:r>
          </w:p>
          <w:p w14:paraId="75A9B69E" w14:textId="77777777" w:rsidR="00AE0CA1" w:rsidRDefault="00AE0CA1" w:rsidP="004453E4"/>
        </w:tc>
        <w:tc>
          <w:tcPr>
            <w:tcW w:w="1294" w:type="dxa"/>
          </w:tcPr>
          <w:p w14:paraId="0ACFC0D1"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5F24B750"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1E996A68"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7E93D24C"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07F7A87F"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307BF6B"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1B4736F4"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1613E245"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13DC2A51"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r>
      <w:tr w:rsidR="00C87DD6" w14:paraId="22637F37"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71CFAEAF" w14:textId="77777777" w:rsidR="00C87DD6" w:rsidRPr="00C87DD6" w:rsidRDefault="00C87DD6" w:rsidP="00C87DD6">
            <w:pPr>
              <w:rPr>
                <w:rFonts w:ascii="Times" w:eastAsia="Times New Roman" w:hAnsi="Times" w:cs="Times New Roman"/>
                <w:color w:val="000000"/>
                <w:sz w:val="20"/>
                <w:szCs w:val="20"/>
                <w:lang w:eastAsia="en-US"/>
              </w:rPr>
            </w:pPr>
            <w:r w:rsidRPr="00C87DD6">
              <w:rPr>
                <w:rFonts w:ascii="Times" w:eastAsia="Times New Roman" w:hAnsi="Times" w:cs="Times New Roman"/>
                <w:color w:val="000000"/>
                <w:sz w:val="20"/>
                <w:szCs w:val="20"/>
                <w:lang w:eastAsia="en-US"/>
              </w:rPr>
              <w:t>Description current trial(s), register</w:t>
            </w:r>
          </w:p>
          <w:p w14:paraId="3F9120A6" w14:textId="77777777" w:rsidR="00C87DD6" w:rsidRPr="00C87DD6" w:rsidRDefault="00C87DD6" w:rsidP="00C87DD6">
            <w:pPr>
              <w:rPr>
                <w:rFonts w:ascii="Times" w:eastAsia="Times New Roman" w:hAnsi="Times" w:cs="Times New Roman"/>
                <w:color w:val="000000"/>
                <w:sz w:val="20"/>
                <w:szCs w:val="20"/>
                <w:lang w:eastAsia="en-US"/>
              </w:rPr>
            </w:pPr>
          </w:p>
        </w:tc>
        <w:tc>
          <w:tcPr>
            <w:tcW w:w="1294" w:type="dxa"/>
          </w:tcPr>
          <w:p w14:paraId="3D9E5BF1"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7F3A0C02"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70EB924C"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18586B44"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1317DAB6"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152E24C7"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2645A3A9"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8A45B2B"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44A531E"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r>
      <w:tr w:rsidR="00C87DD6" w14:paraId="60015A34"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0FD9A02A" w14:textId="77777777" w:rsidR="00C87DD6" w:rsidRPr="00C87DD6" w:rsidRDefault="00C87DD6" w:rsidP="00C87DD6">
            <w:pPr>
              <w:rPr>
                <w:rFonts w:ascii="Times" w:eastAsia="Times New Roman" w:hAnsi="Times" w:cs="Times New Roman"/>
                <w:color w:val="000000"/>
                <w:sz w:val="20"/>
                <w:szCs w:val="20"/>
                <w:lang w:eastAsia="en-US"/>
              </w:rPr>
            </w:pPr>
            <w:r w:rsidRPr="00C87DD6">
              <w:rPr>
                <w:rFonts w:ascii="Times" w:eastAsia="Times New Roman" w:hAnsi="Times" w:cs="Times New Roman"/>
                <w:color w:val="000000"/>
                <w:sz w:val="20"/>
                <w:szCs w:val="20"/>
                <w:lang w:eastAsia="en-US"/>
              </w:rPr>
              <w:t>Summary corporate website</w:t>
            </w:r>
          </w:p>
          <w:p w14:paraId="63A5C961" w14:textId="77777777" w:rsidR="00C87DD6" w:rsidRPr="00C87DD6" w:rsidRDefault="00C87DD6" w:rsidP="00C87DD6">
            <w:pPr>
              <w:rPr>
                <w:rFonts w:ascii="Times" w:eastAsia="Times New Roman" w:hAnsi="Times" w:cs="Times New Roman"/>
                <w:color w:val="000000"/>
                <w:sz w:val="20"/>
                <w:szCs w:val="20"/>
                <w:lang w:eastAsia="en-US"/>
              </w:rPr>
            </w:pPr>
          </w:p>
        </w:tc>
        <w:tc>
          <w:tcPr>
            <w:tcW w:w="1294" w:type="dxa"/>
          </w:tcPr>
          <w:p w14:paraId="6A2B7197"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1FB1A884"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7D9A90B0"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2DADADBE"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7AEF2AF6"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4501082"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E962FDB"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72B6BC39"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675FC47A"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r>
      <w:tr w:rsidR="00C87DD6" w14:paraId="1E462B9D"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28419503" w14:textId="77777777" w:rsidR="00C87DD6" w:rsidRPr="00C87DD6" w:rsidRDefault="00C87DD6" w:rsidP="00C87DD6">
            <w:pPr>
              <w:rPr>
                <w:rFonts w:ascii="Times" w:eastAsia="Times New Roman" w:hAnsi="Times" w:cs="Times New Roman"/>
                <w:color w:val="000000"/>
                <w:sz w:val="20"/>
                <w:szCs w:val="20"/>
                <w:lang w:eastAsia="en-US"/>
              </w:rPr>
            </w:pPr>
            <w:r w:rsidRPr="00C87DD6">
              <w:rPr>
                <w:rFonts w:ascii="Times" w:eastAsia="Times New Roman" w:hAnsi="Times" w:cs="Times New Roman"/>
                <w:color w:val="000000"/>
                <w:sz w:val="20"/>
                <w:szCs w:val="20"/>
                <w:lang w:eastAsia="en-US"/>
              </w:rPr>
              <w:t>LMIC target</w:t>
            </w:r>
          </w:p>
          <w:p w14:paraId="56BDC371" w14:textId="77777777" w:rsidR="00C87DD6" w:rsidRPr="00C87DD6" w:rsidRDefault="00C87DD6" w:rsidP="00C87DD6">
            <w:pPr>
              <w:rPr>
                <w:rFonts w:ascii="Times" w:eastAsia="Times New Roman" w:hAnsi="Times" w:cs="Times New Roman"/>
                <w:color w:val="000000"/>
                <w:sz w:val="20"/>
                <w:szCs w:val="20"/>
                <w:lang w:eastAsia="en-US"/>
              </w:rPr>
            </w:pPr>
          </w:p>
        </w:tc>
        <w:tc>
          <w:tcPr>
            <w:tcW w:w="1294" w:type="dxa"/>
          </w:tcPr>
          <w:p w14:paraId="48FFB7F1"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154075FD"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64FB31CA"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13B20C25"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088A14A"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04A0500E"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152BD718"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4DE77B6D"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4476D7EB"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r>
      <w:tr w:rsidR="00C87DD6" w14:paraId="3E9D650F"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0CB3E417" w14:textId="77777777" w:rsidR="00C87DD6" w:rsidRPr="00C87DD6" w:rsidRDefault="00C87DD6" w:rsidP="00C87DD6">
            <w:pPr>
              <w:rPr>
                <w:rFonts w:ascii="Times" w:eastAsia="Times New Roman" w:hAnsi="Times" w:cs="Times New Roman"/>
                <w:color w:val="000000"/>
                <w:sz w:val="20"/>
                <w:szCs w:val="20"/>
                <w:lang w:eastAsia="en-US"/>
              </w:rPr>
            </w:pPr>
            <w:r w:rsidRPr="00C87DD6">
              <w:rPr>
                <w:rFonts w:ascii="Times" w:eastAsia="Times New Roman" w:hAnsi="Times" w:cs="Times New Roman"/>
                <w:color w:val="000000"/>
                <w:sz w:val="20"/>
                <w:szCs w:val="20"/>
                <w:lang w:eastAsia="en-US"/>
              </w:rPr>
              <w:t>Expected price</w:t>
            </w:r>
          </w:p>
          <w:p w14:paraId="7229E338" w14:textId="77777777" w:rsidR="00C87DD6" w:rsidRPr="00C87DD6" w:rsidRDefault="00C87DD6" w:rsidP="00C87DD6">
            <w:pPr>
              <w:rPr>
                <w:rFonts w:ascii="Times" w:eastAsia="Times New Roman" w:hAnsi="Times" w:cs="Times New Roman"/>
                <w:color w:val="000000"/>
                <w:sz w:val="20"/>
                <w:szCs w:val="20"/>
                <w:lang w:eastAsia="en-US"/>
              </w:rPr>
            </w:pPr>
          </w:p>
        </w:tc>
        <w:tc>
          <w:tcPr>
            <w:tcW w:w="1294" w:type="dxa"/>
          </w:tcPr>
          <w:p w14:paraId="4BFEE2D0"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0C502EFD"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7B276930"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31FB4901"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102C7ADE"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15723F6A"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5AF771CA"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61D539A2"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C10E13B"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r>
      <w:tr w:rsidR="00C87DD6" w14:paraId="45969211"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1F0D08E3" w14:textId="77777777" w:rsidR="00C87DD6" w:rsidRPr="00C87DD6" w:rsidRDefault="00C87DD6" w:rsidP="00C87DD6">
            <w:pPr>
              <w:rPr>
                <w:rFonts w:ascii="Times" w:eastAsia="Times New Roman" w:hAnsi="Times" w:cs="Times New Roman"/>
                <w:color w:val="000000"/>
                <w:sz w:val="20"/>
                <w:szCs w:val="20"/>
                <w:lang w:eastAsia="en-US"/>
              </w:rPr>
            </w:pPr>
            <w:r w:rsidRPr="00C87DD6">
              <w:rPr>
                <w:rFonts w:ascii="Times" w:eastAsia="Times New Roman" w:hAnsi="Times" w:cs="Times New Roman"/>
                <w:color w:val="000000"/>
                <w:sz w:val="20"/>
                <w:szCs w:val="20"/>
                <w:lang w:eastAsia="en-US"/>
              </w:rPr>
              <w:t>Important Links</w:t>
            </w:r>
          </w:p>
          <w:p w14:paraId="56957739" w14:textId="77777777" w:rsidR="00C87DD6" w:rsidRPr="00C87DD6" w:rsidRDefault="00C87DD6" w:rsidP="00C87DD6">
            <w:pPr>
              <w:rPr>
                <w:rFonts w:ascii="Times" w:eastAsia="Times New Roman" w:hAnsi="Times" w:cs="Times New Roman"/>
                <w:color w:val="000000"/>
                <w:sz w:val="20"/>
                <w:szCs w:val="20"/>
                <w:lang w:eastAsia="en-US"/>
              </w:rPr>
            </w:pPr>
          </w:p>
        </w:tc>
        <w:tc>
          <w:tcPr>
            <w:tcW w:w="1294" w:type="dxa"/>
          </w:tcPr>
          <w:p w14:paraId="3F0BB19B"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3EA9505D"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007CDD73"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1483A33"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AEDA3EC"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69B68187"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19940E5B"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FF78BA1"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36B47FC6"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r>
      <w:tr w:rsidR="00C87DD6" w14:paraId="10A70BFD"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3C6E666D" w14:textId="77777777" w:rsidR="00C87DD6" w:rsidRPr="00C87DD6" w:rsidRDefault="00C87DD6" w:rsidP="00C87DD6">
            <w:pPr>
              <w:rPr>
                <w:rFonts w:ascii="Times" w:eastAsia="Times New Roman" w:hAnsi="Times" w:cs="Times New Roman"/>
                <w:color w:val="000000"/>
                <w:sz w:val="20"/>
                <w:szCs w:val="20"/>
                <w:lang w:eastAsia="en-US"/>
              </w:rPr>
            </w:pPr>
          </w:p>
        </w:tc>
        <w:tc>
          <w:tcPr>
            <w:tcW w:w="1294" w:type="dxa"/>
          </w:tcPr>
          <w:p w14:paraId="725C2BAD"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55048202"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28FC71CD"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77A68E99"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4BB98E93"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289F7525"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085DDAD2"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13A05D9E"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0A343A23" w14:textId="77777777" w:rsidR="00C87DD6" w:rsidRDefault="00C87DD6" w:rsidP="004453E4">
            <w:pPr>
              <w:cnfStyle w:val="000000010000" w:firstRow="0" w:lastRow="0" w:firstColumn="0" w:lastColumn="0" w:oddVBand="0" w:evenVBand="0" w:oddHBand="0" w:evenHBand="1" w:firstRowFirstColumn="0" w:firstRowLastColumn="0" w:lastRowFirstColumn="0" w:lastRowLastColumn="0"/>
            </w:pPr>
          </w:p>
        </w:tc>
      </w:tr>
      <w:tr w:rsidR="00C87DD6" w14:paraId="15B5E306" w14:textId="77777777" w:rsidTr="00C87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08BCA87D" w14:textId="77777777" w:rsidR="00C87DD6" w:rsidRPr="00C87DD6" w:rsidRDefault="00C87DD6" w:rsidP="00C87DD6">
            <w:pPr>
              <w:rPr>
                <w:rFonts w:ascii="Times" w:eastAsia="Times New Roman" w:hAnsi="Times" w:cs="Times New Roman"/>
                <w:color w:val="000000"/>
                <w:sz w:val="20"/>
                <w:szCs w:val="20"/>
                <w:lang w:eastAsia="en-US"/>
              </w:rPr>
            </w:pPr>
            <w:r w:rsidRPr="00C87DD6">
              <w:rPr>
                <w:rFonts w:ascii="Times" w:eastAsia="Times New Roman" w:hAnsi="Times" w:cs="Times New Roman"/>
                <w:color w:val="000000"/>
                <w:sz w:val="20"/>
                <w:szCs w:val="20"/>
                <w:lang w:eastAsia="en-US"/>
              </w:rPr>
              <w:t>Important Links</w:t>
            </w:r>
          </w:p>
          <w:p w14:paraId="62DFF6BA" w14:textId="77777777" w:rsidR="00C87DD6" w:rsidRPr="00C87DD6" w:rsidRDefault="00C87DD6" w:rsidP="00C87DD6">
            <w:pPr>
              <w:rPr>
                <w:rFonts w:ascii="Times" w:eastAsia="Times New Roman" w:hAnsi="Times" w:cs="Times New Roman"/>
                <w:color w:val="000000"/>
                <w:sz w:val="20"/>
                <w:szCs w:val="20"/>
                <w:lang w:eastAsia="en-US"/>
              </w:rPr>
            </w:pPr>
          </w:p>
        </w:tc>
        <w:tc>
          <w:tcPr>
            <w:tcW w:w="1294" w:type="dxa"/>
          </w:tcPr>
          <w:p w14:paraId="45093BF9"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0E4EA9B5"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5" w:type="dxa"/>
          </w:tcPr>
          <w:p w14:paraId="7AD14DF5"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4AA89B9A"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4166367E"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0945478F"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41D6ECE0"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6D4A227E"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c>
          <w:tcPr>
            <w:tcW w:w="1296" w:type="dxa"/>
          </w:tcPr>
          <w:p w14:paraId="501A22CD" w14:textId="77777777" w:rsidR="00C87DD6" w:rsidRDefault="00C87DD6" w:rsidP="004453E4">
            <w:pPr>
              <w:cnfStyle w:val="000000100000" w:firstRow="0" w:lastRow="0" w:firstColumn="0" w:lastColumn="0" w:oddVBand="0" w:evenVBand="0" w:oddHBand="1" w:evenHBand="0" w:firstRowFirstColumn="0" w:firstRowLastColumn="0" w:lastRowFirstColumn="0" w:lastRowLastColumn="0"/>
            </w:pPr>
          </w:p>
        </w:tc>
      </w:tr>
      <w:tr w:rsidR="00C87DD6" w14:paraId="29679BA8" w14:textId="77777777" w:rsidTr="00C87D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108CFEB8" w14:textId="3B21869C" w:rsidR="00AE0CA1" w:rsidRPr="00C87DD6" w:rsidRDefault="00AE0CA1" w:rsidP="00C87DD6">
            <w:pPr>
              <w:rPr>
                <w:rFonts w:ascii="Times" w:eastAsia="Times New Roman" w:hAnsi="Times" w:cs="Times New Roman"/>
                <w:color w:val="000000"/>
                <w:sz w:val="20"/>
                <w:szCs w:val="20"/>
                <w:lang w:eastAsia="en-US"/>
              </w:rPr>
            </w:pPr>
          </w:p>
        </w:tc>
        <w:tc>
          <w:tcPr>
            <w:tcW w:w="1294" w:type="dxa"/>
          </w:tcPr>
          <w:p w14:paraId="0C148EA5"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0BB11375"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5" w:type="dxa"/>
          </w:tcPr>
          <w:p w14:paraId="234415DF"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0607BF7E"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7249F014"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198C2F05"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31F4A11E"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10D5CE9F"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c>
          <w:tcPr>
            <w:tcW w:w="1296" w:type="dxa"/>
          </w:tcPr>
          <w:p w14:paraId="7564719D" w14:textId="77777777" w:rsidR="00AE0CA1" w:rsidRDefault="00AE0CA1" w:rsidP="004453E4">
            <w:pPr>
              <w:cnfStyle w:val="000000010000" w:firstRow="0" w:lastRow="0" w:firstColumn="0" w:lastColumn="0" w:oddVBand="0" w:evenVBand="0" w:oddHBand="0" w:evenHBand="1" w:firstRowFirstColumn="0" w:firstRowLastColumn="0" w:lastRowFirstColumn="0" w:lastRowLastColumn="0"/>
            </w:pPr>
          </w:p>
        </w:tc>
      </w:tr>
    </w:tbl>
    <w:p w14:paraId="4213C0B6" w14:textId="5B4A4983" w:rsidR="00C20F68" w:rsidRDefault="00C20F68" w:rsidP="004453E4"/>
    <w:sectPr w:rsidR="00C20F68" w:rsidSect="0073253E">
      <w:pgSz w:w="15840" w:h="12240" w:orient="landscape"/>
      <w:pgMar w:top="284" w:right="1440" w:bottom="2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F7CA5" w14:textId="77777777" w:rsidR="007A5E07" w:rsidRDefault="007A5E07" w:rsidP="00425581">
      <w:r>
        <w:separator/>
      </w:r>
    </w:p>
  </w:endnote>
  <w:endnote w:type="continuationSeparator" w:id="0">
    <w:p w14:paraId="004F133B" w14:textId="77777777" w:rsidR="007A5E07" w:rsidRDefault="007A5E07" w:rsidP="0042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altName w:val="Times New Roman"/>
    <w:panose1 w:val="02020603050405020304"/>
    <w:charset w:val="00"/>
    <w:family w:val="roman"/>
    <w:pitch w:val="variable"/>
    <w:sig w:usb0="E0002A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Malgun Gothic"/>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01DBD" w14:textId="77777777" w:rsidR="00314384" w:rsidRDefault="00314384" w:rsidP="003D4B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EFC4DC" w14:textId="77777777" w:rsidR="00314384" w:rsidRDefault="00314384" w:rsidP="00A8447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AF14B" w14:textId="77777777" w:rsidR="00314384" w:rsidRDefault="00314384" w:rsidP="003D4B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7FE2">
      <w:rPr>
        <w:rStyle w:val="PageNumber"/>
        <w:noProof/>
      </w:rPr>
      <w:t>8</w:t>
    </w:r>
    <w:r>
      <w:rPr>
        <w:rStyle w:val="PageNumber"/>
      </w:rPr>
      <w:fldChar w:fldCharType="end"/>
    </w:r>
  </w:p>
  <w:p w14:paraId="0FFB66FF" w14:textId="77777777" w:rsidR="00314384" w:rsidRDefault="00314384" w:rsidP="00A8447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7BD35" w14:textId="77777777" w:rsidR="007A5E07" w:rsidRDefault="007A5E07" w:rsidP="00425581">
      <w:r>
        <w:separator/>
      </w:r>
    </w:p>
  </w:footnote>
  <w:footnote w:type="continuationSeparator" w:id="0">
    <w:p w14:paraId="717AE197" w14:textId="77777777" w:rsidR="007A5E07" w:rsidRDefault="007A5E07" w:rsidP="00425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B3AB7"/>
    <w:multiLevelType w:val="hybridMultilevel"/>
    <w:tmpl w:val="8A625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6D543E"/>
    <w:multiLevelType w:val="multilevel"/>
    <w:tmpl w:val="4E384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041BB5"/>
    <w:multiLevelType w:val="hybridMultilevel"/>
    <w:tmpl w:val="4E384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3E4"/>
    <w:rsid w:val="00000C35"/>
    <w:rsid w:val="00000C68"/>
    <w:rsid w:val="000019D9"/>
    <w:rsid w:val="00001D42"/>
    <w:rsid w:val="0000296F"/>
    <w:rsid w:val="00005260"/>
    <w:rsid w:val="00005849"/>
    <w:rsid w:val="00006107"/>
    <w:rsid w:val="00011143"/>
    <w:rsid w:val="00012C79"/>
    <w:rsid w:val="00012D64"/>
    <w:rsid w:val="00012EC9"/>
    <w:rsid w:val="00015A1F"/>
    <w:rsid w:val="0001728F"/>
    <w:rsid w:val="000177AF"/>
    <w:rsid w:val="00017838"/>
    <w:rsid w:val="00021106"/>
    <w:rsid w:val="000216D4"/>
    <w:rsid w:val="00021730"/>
    <w:rsid w:val="00021A7A"/>
    <w:rsid w:val="000228E3"/>
    <w:rsid w:val="00022B30"/>
    <w:rsid w:val="0002375C"/>
    <w:rsid w:val="00024B7F"/>
    <w:rsid w:val="00024D17"/>
    <w:rsid w:val="00026D6F"/>
    <w:rsid w:val="000270CD"/>
    <w:rsid w:val="0002743E"/>
    <w:rsid w:val="000276B6"/>
    <w:rsid w:val="0003549C"/>
    <w:rsid w:val="000368BE"/>
    <w:rsid w:val="000369C6"/>
    <w:rsid w:val="00036D8E"/>
    <w:rsid w:val="00036E58"/>
    <w:rsid w:val="000409DA"/>
    <w:rsid w:val="0004333D"/>
    <w:rsid w:val="000457C3"/>
    <w:rsid w:val="0004655A"/>
    <w:rsid w:val="00050598"/>
    <w:rsid w:val="00051A78"/>
    <w:rsid w:val="000521D6"/>
    <w:rsid w:val="000540FC"/>
    <w:rsid w:val="00054802"/>
    <w:rsid w:val="00055EC4"/>
    <w:rsid w:val="00057388"/>
    <w:rsid w:val="0005782F"/>
    <w:rsid w:val="00057E81"/>
    <w:rsid w:val="0006036A"/>
    <w:rsid w:val="00061A55"/>
    <w:rsid w:val="000623C9"/>
    <w:rsid w:val="00065312"/>
    <w:rsid w:val="0006599F"/>
    <w:rsid w:val="000662EE"/>
    <w:rsid w:val="00066B1B"/>
    <w:rsid w:val="00067DFD"/>
    <w:rsid w:val="0007057D"/>
    <w:rsid w:val="00071F9A"/>
    <w:rsid w:val="000745BB"/>
    <w:rsid w:val="000755CA"/>
    <w:rsid w:val="00076D17"/>
    <w:rsid w:val="00080534"/>
    <w:rsid w:val="00080D73"/>
    <w:rsid w:val="00082BE7"/>
    <w:rsid w:val="00087DC9"/>
    <w:rsid w:val="00090C62"/>
    <w:rsid w:val="00093D3D"/>
    <w:rsid w:val="000944FA"/>
    <w:rsid w:val="000949B3"/>
    <w:rsid w:val="000960DB"/>
    <w:rsid w:val="000A1A94"/>
    <w:rsid w:val="000A22F2"/>
    <w:rsid w:val="000A23D0"/>
    <w:rsid w:val="000A4D94"/>
    <w:rsid w:val="000A6FC2"/>
    <w:rsid w:val="000B053F"/>
    <w:rsid w:val="000B0D70"/>
    <w:rsid w:val="000B175A"/>
    <w:rsid w:val="000B2F84"/>
    <w:rsid w:val="000B3888"/>
    <w:rsid w:val="000B5468"/>
    <w:rsid w:val="000B561C"/>
    <w:rsid w:val="000B664A"/>
    <w:rsid w:val="000C0325"/>
    <w:rsid w:val="000C2D1F"/>
    <w:rsid w:val="000C3CC7"/>
    <w:rsid w:val="000C625B"/>
    <w:rsid w:val="000C6BD1"/>
    <w:rsid w:val="000C71B7"/>
    <w:rsid w:val="000D15B0"/>
    <w:rsid w:val="000D1F72"/>
    <w:rsid w:val="000D47BE"/>
    <w:rsid w:val="000D52C6"/>
    <w:rsid w:val="000D74A8"/>
    <w:rsid w:val="000E2E6D"/>
    <w:rsid w:val="000E388B"/>
    <w:rsid w:val="000E38C1"/>
    <w:rsid w:val="000E42F3"/>
    <w:rsid w:val="000E4F2B"/>
    <w:rsid w:val="000E72B6"/>
    <w:rsid w:val="000E741C"/>
    <w:rsid w:val="000E77C2"/>
    <w:rsid w:val="000F04BF"/>
    <w:rsid w:val="000F0DFA"/>
    <w:rsid w:val="000F141B"/>
    <w:rsid w:val="000F57ED"/>
    <w:rsid w:val="00101968"/>
    <w:rsid w:val="00102D81"/>
    <w:rsid w:val="001041E2"/>
    <w:rsid w:val="001045BA"/>
    <w:rsid w:val="00105E01"/>
    <w:rsid w:val="00105FA9"/>
    <w:rsid w:val="00105FEC"/>
    <w:rsid w:val="001066E3"/>
    <w:rsid w:val="00110147"/>
    <w:rsid w:val="00113D66"/>
    <w:rsid w:val="001151E4"/>
    <w:rsid w:val="00116227"/>
    <w:rsid w:val="0011675B"/>
    <w:rsid w:val="00117D6C"/>
    <w:rsid w:val="00117FE2"/>
    <w:rsid w:val="001209AA"/>
    <w:rsid w:val="0012334B"/>
    <w:rsid w:val="00123DA1"/>
    <w:rsid w:val="001273F7"/>
    <w:rsid w:val="00127F5C"/>
    <w:rsid w:val="00133C39"/>
    <w:rsid w:val="001340FA"/>
    <w:rsid w:val="00135C9C"/>
    <w:rsid w:val="001375BE"/>
    <w:rsid w:val="00140357"/>
    <w:rsid w:val="00140D09"/>
    <w:rsid w:val="00142FBD"/>
    <w:rsid w:val="00143F2B"/>
    <w:rsid w:val="00145C74"/>
    <w:rsid w:val="00146FB9"/>
    <w:rsid w:val="00150BDB"/>
    <w:rsid w:val="001551EB"/>
    <w:rsid w:val="00156348"/>
    <w:rsid w:val="001565F7"/>
    <w:rsid w:val="0016058C"/>
    <w:rsid w:val="0016166A"/>
    <w:rsid w:val="001635C6"/>
    <w:rsid w:val="0016420F"/>
    <w:rsid w:val="00164930"/>
    <w:rsid w:val="0016565B"/>
    <w:rsid w:val="00166ADC"/>
    <w:rsid w:val="00170997"/>
    <w:rsid w:val="00172C6F"/>
    <w:rsid w:val="0017649E"/>
    <w:rsid w:val="0017667B"/>
    <w:rsid w:val="001769C1"/>
    <w:rsid w:val="00176E17"/>
    <w:rsid w:val="00180C73"/>
    <w:rsid w:val="00183585"/>
    <w:rsid w:val="001850FE"/>
    <w:rsid w:val="00185A9C"/>
    <w:rsid w:val="0018632C"/>
    <w:rsid w:val="00187C9A"/>
    <w:rsid w:val="00190D2F"/>
    <w:rsid w:val="00190ED6"/>
    <w:rsid w:val="00192CC1"/>
    <w:rsid w:val="00194109"/>
    <w:rsid w:val="0019712C"/>
    <w:rsid w:val="001A1BCE"/>
    <w:rsid w:val="001A35FD"/>
    <w:rsid w:val="001A3683"/>
    <w:rsid w:val="001A49CB"/>
    <w:rsid w:val="001A66BF"/>
    <w:rsid w:val="001B0EFA"/>
    <w:rsid w:val="001B3128"/>
    <w:rsid w:val="001B360C"/>
    <w:rsid w:val="001B38A5"/>
    <w:rsid w:val="001B4214"/>
    <w:rsid w:val="001B5D80"/>
    <w:rsid w:val="001B78EE"/>
    <w:rsid w:val="001C009B"/>
    <w:rsid w:val="001C079D"/>
    <w:rsid w:val="001C0DF8"/>
    <w:rsid w:val="001C1AA5"/>
    <w:rsid w:val="001C270D"/>
    <w:rsid w:val="001C38EA"/>
    <w:rsid w:val="001C47DB"/>
    <w:rsid w:val="001C4F52"/>
    <w:rsid w:val="001C69D5"/>
    <w:rsid w:val="001C7193"/>
    <w:rsid w:val="001C7E85"/>
    <w:rsid w:val="001D0410"/>
    <w:rsid w:val="001D07B0"/>
    <w:rsid w:val="001D13DA"/>
    <w:rsid w:val="001D1BF3"/>
    <w:rsid w:val="001D1CB2"/>
    <w:rsid w:val="001D2232"/>
    <w:rsid w:val="001D2C46"/>
    <w:rsid w:val="001D4857"/>
    <w:rsid w:val="001D78D7"/>
    <w:rsid w:val="001D7D10"/>
    <w:rsid w:val="001E00E1"/>
    <w:rsid w:val="001E01C5"/>
    <w:rsid w:val="001E0ED5"/>
    <w:rsid w:val="001E1329"/>
    <w:rsid w:val="001E159A"/>
    <w:rsid w:val="001E34BF"/>
    <w:rsid w:val="001E3689"/>
    <w:rsid w:val="001E4165"/>
    <w:rsid w:val="001E5A5A"/>
    <w:rsid w:val="001E6889"/>
    <w:rsid w:val="001E6EE5"/>
    <w:rsid w:val="001E799A"/>
    <w:rsid w:val="001F0CCC"/>
    <w:rsid w:val="001F192A"/>
    <w:rsid w:val="001F2C00"/>
    <w:rsid w:val="001F3CB1"/>
    <w:rsid w:val="001F526C"/>
    <w:rsid w:val="001F7523"/>
    <w:rsid w:val="001F7996"/>
    <w:rsid w:val="001F7C8B"/>
    <w:rsid w:val="001F7E55"/>
    <w:rsid w:val="00200832"/>
    <w:rsid w:val="00201053"/>
    <w:rsid w:val="00203911"/>
    <w:rsid w:val="0020521F"/>
    <w:rsid w:val="00205572"/>
    <w:rsid w:val="00206420"/>
    <w:rsid w:val="00206C73"/>
    <w:rsid w:val="00207504"/>
    <w:rsid w:val="00211589"/>
    <w:rsid w:val="0021359B"/>
    <w:rsid w:val="002151F5"/>
    <w:rsid w:val="0021538D"/>
    <w:rsid w:val="002154A6"/>
    <w:rsid w:val="00215966"/>
    <w:rsid w:val="00215C4C"/>
    <w:rsid w:val="00217499"/>
    <w:rsid w:val="002175C1"/>
    <w:rsid w:val="00217810"/>
    <w:rsid w:val="00217B4E"/>
    <w:rsid w:val="00217FCA"/>
    <w:rsid w:val="00220038"/>
    <w:rsid w:val="002209EE"/>
    <w:rsid w:val="002233D5"/>
    <w:rsid w:val="00223509"/>
    <w:rsid w:val="00223988"/>
    <w:rsid w:val="00230EC4"/>
    <w:rsid w:val="0023480D"/>
    <w:rsid w:val="00235315"/>
    <w:rsid w:val="002353BA"/>
    <w:rsid w:val="0023579C"/>
    <w:rsid w:val="00242A9B"/>
    <w:rsid w:val="002438C9"/>
    <w:rsid w:val="00247E90"/>
    <w:rsid w:val="0025083C"/>
    <w:rsid w:val="002510BA"/>
    <w:rsid w:val="002517B3"/>
    <w:rsid w:val="0025312E"/>
    <w:rsid w:val="00253294"/>
    <w:rsid w:val="0025774D"/>
    <w:rsid w:val="00257FB6"/>
    <w:rsid w:val="002616B8"/>
    <w:rsid w:val="002623EE"/>
    <w:rsid w:val="002625BD"/>
    <w:rsid w:val="00262918"/>
    <w:rsid w:val="0026308F"/>
    <w:rsid w:val="00266BF0"/>
    <w:rsid w:val="00270ACF"/>
    <w:rsid w:val="00270E82"/>
    <w:rsid w:val="002719D9"/>
    <w:rsid w:val="00272E20"/>
    <w:rsid w:val="00274550"/>
    <w:rsid w:val="00274C99"/>
    <w:rsid w:val="00275956"/>
    <w:rsid w:val="002761BD"/>
    <w:rsid w:val="00276630"/>
    <w:rsid w:val="00276CB5"/>
    <w:rsid w:val="00281C17"/>
    <w:rsid w:val="00282C95"/>
    <w:rsid w:val="00283410"/>
    <w:rsid w:val="0028527C"/>
    <w:rsid w:val="00285338"/>
    <w:rsid w:val="00286626"/>
    <w:rsid w:val="0028696B"/>
    <w:rsid w:val="00286B85"/>
    <w:rsid w:val="002870AC"/>
    <w:rsid w:val="0028734A"/>
    <w:rsid w:val="00291A40"/>
    <w:rsid w:val="00293233"/>
    <w:rsid w:val="0029563E"/>
    <w:rsid w:val="00296B57"/>
    <w:rsid w:val="00296ED6"/>
    <w:rsid w:val="00296FD6"/>
    <w:rsid w:val="002A1593"/>
    <w:rsid w:val="002A2598"/>
    <w:rsid w:val="002A455B"/>
    <w:rsid w:val="002A555A"/>
    <w:rsid w:val="002A614C"/>
    <w:rsid w:val="002A68F6"/>
    <w:rsid w:val="002A6C7A"/>
    <w:rsid w:val="002B2030"/>
    <w:rsid w:val="002B2C6D"/>
    <w:rsid w:val="002B35C8"/>
    <w:rsid w:val="002B3643"/>
    <w:rsid w:val="002B3B1C"/>
    <w:rsid w:val="002B49DA"/>
    <w:rsid w:val="002B620C"/>
    <w:rsid w:val="002B6BB1"/>
    <w:rsid w:val="002C0BA5"/>
    <w:rsid w:val="002C300D"/>
    <w:rsid w:val="002C62AF"/>
    <w:rsid w:val="002C67B2"/>
    <w:rsid w:val="002D0088"/>
    <w:rsid w:val="002D14EB"/>
    <w:rsid w:val="002D1BCE"/>
    <w:rsid w:val="002D1CAE"/>
    <w:rsid w:val="002D25A0"/>
    <w:rsid w:val="002D2C6B"/>
    <w:rsid w:val="002D3377"/>
    <w:rsid w:val="002D3B27"/>
    <w:rsid w:val="002D3C8F"/>
    <w:rsid w:val="002D54E4"/>
    <w:rsid w:val="002D624D"/>
    <w:rsid w:val="002D6BF3"/>
    <w:rsid w:val="002D73AB"/>
    <w:rsid w:val="002E16C7"/>
    <w:rsid w:val="002E24CA"/>
    <w:rsid w:val="002E2722"/>
    <w:rsid w:val="002E726D"/>
    <w:rsid w:val="002F054A"/>
    <w:rsid w:val="002F177A"/>
    <w:rsid w:val="002F4646"/>
    <w:rsid w:val="002F4F51"/>
    <w:rsid w:val="002F541A"/>
    <w:rsid w:val="002F5946"/>
    <w:rsid w:val="002F68B5"/>
    <w:rsid w:val="002F6E17"/>
    <w:rsid w:val="002F73A6"/>
    <w:rsid w:val="00300A1A"/>
    <w:rsid w:val="003011C1"/>
    <w:rsid w:val="00301C54"/>
    <w:rsid w:val="003031FE"/>
    <w:rsid w:val="0030367E"/>
    <w:rsid w:val="0030488E"/>
    <w:rsid w:val="00304E13"/>
    <w:rsid w:val="0031302F"/>
    <w:rsid w:val="00314384"/>
    <w:rsid w:val="003146B6"/>
    <w:rsid w:val="00315632"/>
    <w:rsid w:val="00315A44"/>
    <w:rsid w:val="00323DD9"/>
    <w:rsid w:val="00325CEA"/>
    <w:rsid w:val="00326129"/>
    <w:rsid w:val="0032787A"/>
    <w:rsid w:val="003306E2"/>
    <w:rsid w:val="003308EB"/>
    <w:rsid w:val="00331AB6"/>
    <w:rsid w:val="00331B6A"/>
    <w:rsid w:val="003326B7"/>
    <w:rsid w:val="003327D5"/>
    <w:rsid w:val="00335C94"/>
    <w:rsid w:val="0033683B"/>
    <w:rsid w:val="00337C07"/>
    <w:rsid w:val="00337FD1"/>
    <w:rsid w:val="00340C41"/>
    <w:rsid w:val="00340DBF"/>
    <w:rsid w:val="003424E1"/>
    <w:rsid w:val="00346039"/>
    <w:rsid w:val="003467B7"/>
    <w:rsid w:val="00346F45"/>
    <w:rsid w:val="00347485"/>
    <w:rsid w:val="00350222"/>
    <w:rsid w:val="003524D2"/>
    <w:rsid w:val="00352AC0"/>
    <w:rsid w:val="00355447"/>
    <w:rsid w:val="00355892"/>
    <w:rsid w:val="003561C9"/>
    <w:rsid w:val="003566FB"/>
    <w:rsid w:val="003613D3"/>
    <w:rsid w:val="00361B7C"/>
    <w:rsid w:val="00362A07"/>
    <w:rsid w:val="00363C29"/>
    <w:rsid w:val="00363F34"/>
    <w:rsid w:val="003646D3"/>
    <w:rsid w:val="0036519B"/>
    <w:rsid w:val="003731E6"/>
    <w:rsid w:val="00373A16"/>
    <w:rsid w:val="0037441D"/>
    <w:rsid w:val="0037577D"/>
    <w:rsid w:val="00375E75"/>
    <w:rsid w:val="0037659F"/>
    <w:rsid w:val="00376DC1"/>
    <w:rsid w:val="00377119"/>
    <w:rsid w:val="00380C8B"/>
    <w:rsid w:val="00381BBE"/>
    <w:rsid w:val="003823F8"/>
    <w:rsid w:val="003828B2"/>
    <w:rsid w:val="00382D66"/>
    <w:rsid w:val="00383895"/>
    <w:rsid w:val="00385D6F"/>
    <w:rsid w:val="003860AF"/>
    <w:rsid w:val="0039182E"/>
    <w:rsid w:val="0039232D"/>
    <w:rsid w:val="00392CDF"/>
    <w:rsid w:val="00393B4C"/>
    <w:rsid w:val="003943A1"/>
    <w:rsid w:val="003945A1"/>
    <w:rsid w:val="0039705B"/>
    <w:rsid w:val="00397429"/>
    <w:rsid w:val="003A21C6"/>
    <w:rsid w:val="003A31DD"/>
    <w:rsid w:val="003A4BCC"/>
    <w:rsid w:val="003A5190"/>
    <w:rsid w:val="003A748C"/>
    <w:rsid w:val="003B0536"/>
    <w:rsid w:val="003B1402"/>
    <w:rsid w:val="003B1BC3"/>
    <w:rsid w:val="003B4D05"/>
    <w:rsid w:val="003B5222"/>
    <w:rsid w:val="003B70DD"/>
    <w:rsid w:val="003B70FB"/>
    <w:rsid w:val="003B7137"/>
    <w:rsid w:val="003C082F"/>
    <w:rsid w:val="003C0C58"/>
    <w:rsid w:val="003C31A8"/>
    <w:rsid w:val="003C32E5"/>
    <w:rsid w:val="003C7290"/>
    <w:rsid w:val="003D2780"/>
    <w:rsid w:val="003D32B0"/>
    <w:rsid w:val="003D3A63"/>
    <w:rsid w:val="003D4B50"/>
    <w:rsid w:val="003E0858"/>
    <w:rsid w:val="003E0AD2"/>
    <w:rsid w:val="003E34DC"/>
    <w:rsid w:val="003E57B6"/>
    <w:rsid w:val="003F0CBF"/>
    <w:rsid w:val="003F255B"/>
    <w:rsid w:val="003F2FE6"/>
    <w:rsid w:val="003F5349"/>
    <w:rsid w:val="003F6ED9"/>
    <w:rsid w:val="0040010C"/>
    <w:rsid w:val="004006A7"/>
    <w:rsid w:val="00401E4A"/>
    <w:rsid w:val="00401FDD"/>
    <w:rsid w:val="00403859"/>
    <w:rsid w:val="00403CF2"/>
    <w:rsid w:val="0040607E"/>
    <w:rsid w:val="004076C8"/>
    <w:rsid w:val="00411601"/>
    <w:rsid w:val="00411F49"/>
    <w:rsid w:val="00412DAF"/>
    <w:rsid w:val="00414E26"/>
    <w:rsid w:val="00415EBB"/>
    <w:rsid w:val="00416DC4"/>
    <w:rsid w:val="004240FF"/>
    <w:rsid w:val="004247B8"/>
    <w:rsid w:val="00425357"/>
    <w:rsid w:val="00425581"/>
    <w:rsid w:val="0042741F"/>
    <w:rsid w:val="00432316"/>
    <w:rsid w:val="0043406C"/>
    <w:rsid w:val="00436F8C"/>
    <w:rsid w:val="004372D0"/>
    <w:rsid w:val="0043754E"/>
    <w:rsid w:val="0043797F"/>
    <w:rsid w:val="00440159"/>
    <w:rsid w:val="00441571"/>
    <w:rsid w:val="00442DBC"/>
    <w:rsid w:val="00442F27"/>
    <w:rsid w:val="00443253"/>
    <w:rsid w:val="00444F4F"/>
    <w:rsid w:val="004453E4"/>
    <w:rsid w:val="00445FE0"/>
    <w:rsid w:val="00446509"/>
    <w:rsid w:val="00447F01"/>
    <w:rsid w:val="00450CC1"/>
    <w:rsid w:val="004529B6"/>
    <w:rsid w:val="00453290"/>
    <w:rsid w:val="00460E97"/>
    <w:rsid w:val="00462310"/>
    <w:rsid w:val="00462954"/>
    <w:rsid w:val="00462975"/>
    <w:rsid w:val="004636CA"/>
    <w:rsid w:val="00464CF7"/>
    <w:rsid w:val="00465FF2"/>
    <w:rsid w:val="0046661A"/>
    <w:rsid w:val="0046668F"/>
    <w:rsid w:val="00466AC7"/>
    <w:rsid w:val="00471E03"/>
    <w:rsid w:val="00474C04"/>
    <w:rsid w:val="00474CB0"/>
    <w:rsid w:val="00475C81"/>
    <w:rsid w:val="00475F8A"/>
    <w:rsid w:val="004800AE"/>
    <w:rsid w:val="004801B8"/>
    <w:rsid w:val="0048146B"/>
    <w:rsid w:val="00481A1E"/>
    <w:rsid w:val="004823B0"/>
    <w:rsid w:val="0048256C"/>
    <w:rsid w:val="004835E3"/>
    <w:rsid w:val="00483DFF"/>
    <w:rsid w:val="00484258"/>
    <w:rsid w:val="00484E03"/>
    <w:rsid w:val="00490710"/>
    <w:rsid w:val="00491C55"/>
    <w:rsid w:val="0049223C"/>
    <w:rsid w:val="00493CB3"/>
    <w:rsid w:val="004960B1"/>
    <w:rsid w:val="004A1261"/>
    <w:rsid w:val="004A25B5"/>
    <w:rsid w:val="004A3DEA"/>
    <w:rsid w:val="004A4019"/>
    <w:rsid w:val="004A4256"/>
    <w:rsid w:val="004A4BC4"/>
    <w:rsid w:val="004A4CC5"/>
    <w:rsid w:val="004B444D"/>
    <w:rsid w:val="004B4A59"/>
    <w:rsid w:val="004B6B28"/>
    <w:rsid w:val="004B722C"/>
    <w:rsid w:val="004B73D0"/>
    <w:rsid w:val="004C1964"/>
    <w:rsid w:val="004C1A75"/>
    <w:rsid w:val="004C2565"/>
    <w:rsid w:val="004C290D"/>
    <w:rsid w:val="004C3C37"/>
    <w:rsid w:val="004C3C57"/>
    <w:rsid w:val="004C3C8F"/>
    <w:rsid w:val="004C40BB"/>
    <w:rsid w:val="004C6218"/>
    <w:rsid w:val="004C65AC"/>
    <w:rsid w:val="004C670F"/>
    <w:rsid w:val="004C7CDF"/>
    <w:rsid w:val="004D00B1"/>
    <w:rsid w:val="004D03EC"/>
    <w:rsid w:val="004D07BE"/>
    <w:rsid w:val="004D1795"/>
    <w:rsid w:val="004D1D73"/>
    <w:rsid w:val="004D599D"/>
    <w:rsid w:val="004D5C1B"/>
    <w:rsid w:val="004D6351"/>
    <w:rsid w:val="004D7A8A"/>
    <w:rsid w:val="004E1A7F"/>
    <w:rsid w:val="004E3E6D"/>
    <w:rsid w:val="004E57BE"/>
    <w:rsid w:val="004E5AFF"/>
    <w:rsid w:val="004E66C6"/>
    <w:rsid w:val="004F0330"/>
    <w:rsid w:val="004F06ED"/>
    <w:rsid w:val="004F0DCF"/>
    <w:rsid w:val="004F15AB"/>
    <w:rsid w:val="004F36F3"/>
    <w:rsid w:val="004F6E74"/>
    <w:rsid w:val="00500AE8"/>
    <w:rsid w:val="0050130C"/>
    <w:rsid w:val="00501EAB"/>
    <w:rsid w:val="005032C5"/>
    <w:rsid w:val="00505AF9"/>
    <w:rsid w:val="00505ED2"/>
    <w:rsid w:val="00506C6D"/>
    <w:rsid w:val="00506EF1"/>
    <w:rsid w:val="00510F77"/>
    <w:rsid w:val="00511A43"/>
    <w:rsid w:val="00512CDC"/>
    <w:rsid w:val="00515334"/>
    <w:rsid w:val="0052005C"/>
    <w:rsid w:val="00520823"/>
    <w:rsid w:val="0052166D"/>
    <w:rsid w:val="00521A20"/>
    <w:rsid w:val="00521C2F"/>
    <w:rsid w:val="00522591"/>
    <w:rsid w:val="00522B83"/>
    <w:rsid w:val="00523323"/>
    <w:rsid w:val="005241AE"/>
    <w:rsid w:val="00525B10"/>
    <w:rsid w:val="00526973"/>
    <w:rsid w:val="005270F1"/>
    <w:rsid w:val="00530F24"/>
    <w:rsid w:val="00533387"/>
    <w:rsid w:val="00533951"/>
    <w:rsid w:val="005349C7"/>
    <w:rsid w:val="00540F12"/>
    <w:rsid w:val="00542014"/>
    <w:rsid w:val="00543805"/>
    <w:rsid w:val="00545C1A"/>
    <w:rsid w:val="005460B0"/>
    <w:rsid w:val="005510AF"/>
    <w:rsid w:val="0055206F"/>
    <w:rsid w:val="00552C0E"/>
    <w:rsid w:val="00553122"/>
    <w:rsid w:val="005562BB"/>
    <w:rsid w:val="00556355"/>
    <w:rsid w:val="00556ECE"/>
    <w:rsid w:val="005575C6"/>
    <w:rsid w:val="00557DE4"/>
    <w:rsid w:val="00561143"/>
    <w:rsid w:val="005672D0"/>
    <w:rsid w:val="00567E3C"/>
    <w:rsid w:val="005708AD"/>
    <w:rsid w:val="00570E67"/>
    <w:rsid w:val="0057227A"/>
    <w:rsid w:val="00572CFB"/>
    <w:rsid w:val="005733B7"/>
    <w:rsid w:val="00574B24"/>
    <w:rsid w:val="00576CB1"/>
    <w:rsid w:val="005840F2"/>
    <w:rsid w:val="00584C0B"/>
    <w:rsid w:val="005870D6"/>
    <w:rsid w:val="00587335"/>
    <w:rsid w:val="00590059"/>
    <w:rsid w:val="005931FD"/>
    <w:rsid w:val="00593550"/>
    <w:rsid w:val="00593571"/>
    <w:rsid w:val="0059399E"/>
    <w:rsid w:val="00593D69"/>
    <w:rsid w:val="00594212"/>
    <w:rsid w:val="0059604C"/>
    <w:rsid w:val="005A07A3"/>
    <w:rsid w:val="005A0B3F"/>
    <w:rsid w:val="005A0E5A"/>
    <w:rsid w:val="005A16D6"/>
    <w:rsid w:val="005A19D4"/>
    <w:rsid w:val="005A1A86"/>
    <w:rsid w:val="005A3260"/>
    <w:rsid w:val="005A3680"/>
    <w:rsid w:val="005A3FA8"/>
    <w:rsid w:val="005A6D9E"/>
    <w:rsid w:val="005B11C7"/>
    <w:rsid w:val="005B501B"/>
    <w:rsid w:val="005B6633"/>
    <w:rsid w:val="005B6D17"/>
    <w:rsid w:val="005B70A1"/>
    <w:rsid w:val="005C06F6"/>
    <w:rsid w:val="005C11B7"/>
    <w:rsid w:val="005C328C"/>
    <w:rsid w:val="005C3733"/>
    <w:rsid w:val="005C3F13"/>
    <w:rsid w:val="005C58CE"/>
    <w:rsid w:val="005D22BC"/>
    <w:rsid w:val="005D2D8C"/>
    <w:rsid w:val="005D2E18"/>
    <w:rsid w:val="005D3E64"/>
    <w:rsid w:val="005D528A"/>
    <w:rsid w:val="005D5571"/>
    <w:rsid w:val="005D70E6"/>
    <w:rsid w:val="005D72E6"/>
    <w:rsid w:val="005E0F98"/>
    <w:rsid w:val="005E67BB"/>
    <w:rsid w:val="005E6FEC"/>
    <w:rsid w:val="005F4A07"/>
    <w:rsid w:val="0060352E"/>
    <w:rsid w:val="00603741"/>
    <w:rsid w:val="00604CFA"/>
    <w:rsid w:val="006055B5"/>
    <w:rsid w:val="00606736"/>
    <w:rsid w:val="00607B4C"/>
    <w:rsid w:val="00611ADD"/>
    <w:rsid w:val="00611EA7"/>
    <w:rsid w:val="006120A7"/>
    <w:rsid w:val="00615040"/>
    <w:rsid w:val="006158D3"/>
    <w:rsid w:val="00616C99"/>
    <w:rsid w:val="006205F7"/>
    <w:rsid w:val="006232EE"/>
    <w:rsid w:val="006241DC"/>
    <w:rsid w:val="00624906"/>
    <w:rsid w:val="00624CF1"/>
    <w:rsid w:val="00624F04"/>
    <w:rsid w:val="00625147"/>
    <w:rsid w:val="00627B12"/>
    <w:rsid w:val="00627EBE"/>
    <w:rsid w:val="006300A6"/>
    <w:rsid w:val="00630E84"/>
    <w:rsid w:val="00631615"/>
    <w:rsid w:val="00631881"/>
    <w:rsid w:val="00634714"/>
    <w:rsid w:val="00636444"/>
    <w:rsid w:val="00636448"/>
    <w:rsid w:val="00637AE0"/>
    <w:rsid w:val="00642C35"/>
    <w:rsid w:val="00647CDD"/>
    <w:rsid w:val="00651DEE"/>
    <w:rsid w:val="00652A78"/>
    <w:rsid w:val="006538DE"/>
    <w:rsid w:val="0065416C"/>
    <w:rsid w:val="00654245"/>
    <w:rsid w:val="00654BE9"/>
    <w:rsid w:val="006617AC"/>
    <w:rsid w:val="00661846"/>
    <w:rsid w:val="00662AD4"/>
    <w:rsid w:val="00664373"/>
    <w:rsid w:val="00665075"/>
    <w:rsid w:val="00666155"/>
    <w:rsid w:val="006668D8"/>
    <w:rsid w:val="00670260"/>
    <w:rsid w:val="00671262"/>
    <w:rsid w:val="0067320E"/>
    <w:rsid w:val="0068162F"/>
    <w:rsid w:val="00681858"/>
    <w:rsid w:val="00684C50"/>
    <w:rsid w:val="00685650"/>
    <w:rsid w:val="00685687"/>
    <w:rsid w:val="006856AC"/>
    <w:rsid w:val="006857FB"/>
    <w:rsid w:val="00686649"/>
    <w:rsid w:val="00692080"/>
    <w:rsid w:val="0069311B"/>
    <w:rsid w:val="006941AB"/>
    <w:rsid w:val="006942B9"/>
    <w:rsid w:val="00694A51"/>
    <w:rsid w:val="00694F82"/>
    <w:rsid w:val="00695977"/>
    <w:rsid w:val="00697720"/>
    <w:rsid w:val="00697C26"/>
    <w:rsid w:val="006A108B"/>
    <w:rsid w:val="006A1177"/>
    <w:rsid w:val="006A1A2B"/>
    <w:rsid w:val="006A2822"/>
    <w:rsid w:val="006A2CAC"/>
    <w:rsid w:val="006A2D97"/>
    <w:rsid w:val="006A3900"/>
    <w:rsid w:val="006A4445"/>
    <w:rsid w:val="006A46D0"/>
    <w:rsid w:val="006A4A32"/>
    <w:rsid w:val="006A5101"/>
    <w:rsid w:val="006A7F08"/>
    <w:rsid w:val="006B34E9"/>
    <w:rsid w:val="006B3D2E"/>
    <w:rsid w:val="006B4670"/>
    <w:rsid w:val="006B46AA"/>
    <w:rsid w:val="006B65BD"/>
    <w:rsid w:val="006B706B"/>
    <w:rsid w:val="006B7155"/>
    <w:rsid w:val="006B7800"/>
    <w:rsid w:val="006C0826"/>
    <w:rsid w:val="006C11B8"/>
    <w:rsid w:val="006C4808"/>
    <w:rsid w:val="006C5D7D"/>
    <w:rsid w:val="006C715B"/>
    <w:rsid w:val="006C7DCF"/>
    <w:rsid w:val="006D0CB7"/>
    <w:rsid w:val="006D0DC0"/>
    <w:rsid w:val="006D1645"/>
    <w:rsid w:val="006D331B"/>
    <w:rsid w:val="006D3619"/>
    <w:rsid w:val="006E1EC2"/>
    <w:rsid w:val="006E2E5A"/>
    <w:rsid w:val="006E2F54"/>
    <w:rsid w:val="006E5098"/>
    <w:rsid w:val="006E59B9"/>
    <w:rsid w:val="006E6051"/>
    <w:rsid w:val="006E6106"/>
    <w:rsid w:val="006E6AAE"/>
    <w:rsid w:val="006E731B"/>
    <w:rsid w:val="006F0E16"/>
    <w:rsid w:val="006F4172"/>
    <w:rsid w:val="006F4411"/>
    <w:rsid w:val="006F5F65"/>
    <w:rsid w:val="006F73C6"/>
    <w:rsid w:val="006F7537"/>
    <w:rsid w:val="006F779E"/>
    <w:rsid w:val="0070039D"/>
    <w:rsid w:val="00702A60"/>
    <w:rsid w:val="00703AFF"/>
    <w:rsid w:val="00704536"/>
    <w:rsid w:val="00705567"/>
    <w:rsid w:val="007064D0"/>
    <w:rsid w:val="00706CE2"/>
    <w:rsid w:val="0071034C"/>
    <w:rsid w:val="00710447"/>
    <w:rsid w:val="007109E7"/>
    <w:rsid w:val="00711B8E"/>
    <w:rsid w:val="00713474"/>
    <w:rsid w:val="00717FBE"/>
    <w:rsid w:val="00720868"/>
    <w:rsid w:val="007228BD"/>
    <w:rsid w:val="00722995"/>
    <w:rsid w:val="00723630"/>
    <w:rsid w:val="00723894"/>
    <w:rsid w:val="0072589A"/>
    <w:rsid w:val="007262A9"/>
    <w:rsid w:val="00726BB6"/>
    <w:rsid w:val="00726D0C"/>
    <w:rsid w:val="00730B7B"/>
    <w:rsid w:val="00730E67"/>
    <w:rsid w:val="00731EB3"/>
    <w:rsid w:val="0073207C"/>
    <w:rsid w:val="0073253E"/>
    <w:rsid w:val="00732F21"/>
    <w:rsid w:val="00733E58"/>
    <w:rsid w:val="007345D1"/>
    <w:rsid w:val="00734FA6"/>
    <w:rsid w:val="007379BB"/>
    <w:rsid w:val="00741BA3"/>
    <w:rsid w:val="007437FD"/>
    <w:rsid w:val="00744571"/>
    <w:rsid w:val="0074521C"/>
    <w:rsid w:val="00745690"/>
    <w:rsid w:val="00747E90"/>
    <w:rsid w:val="00750479"/>
    <w:rsid w:val="0075395D"/>
    <w:rsid w:val="00753EAC"/>
    <w:rsid w:val="0075479F"/>
    <w:rsid w:val="007551FE"/>
    <w:rsid w:val="00756466"/>
    <w:rsid w:val="00756AD2"/>
    <w:rsid w:val="00756E8C"/>
    <w:rsid w:val="00757150"/>
    <w:rsid w:val="007577E7"/>
    <w:rsid w:val="00761E83"/>
    <w:rsid w:val="007638E3"/>
    <w:rsid w:val="00763972"/>
    <w:rsid w:val="00763F13"/>
    <w:rsid w:val="00764B44"/>
    <w:rsid w:val="007677F3"/>
    <w:rsid w:val="00767EA8"/>
    <w:rsid w:val="00771121"/>
    <w:rsid w:val="0077132C"/>
    <w:rsid w:val="00771D2F"/>
    <w:rsid w:val="00773681"/>
    <w:rsid w:val="0077416A"/>
    <w:rsid w:val="007750C2"/>
    <w:rsid w:val="00780439"/>
    <w:rsid w:val="00785563"/>
    <w:rsid w:val="00787B6A"/>
    <w:rsid w:val="00787DE4"/>
    <w:rsid w:val="007904D5"/>
    <w:rsid w:val="00790D16"/>
    <w:rsid w:val="00791AE8"/>
    <w:rsid w:val="00792775"/>
    <w:rsid w:val="0079362D"/>
    <w:rsid w:val="00793DEE"/>
    <w:rsid w:val="00794FA0"/>
    <w:rsid w:val="00795096"/>
    <w:rsid w:val="007950DC"/>
    <w:rsid w:val="00797BA1"/>
    <w:rsid w:val="007A2028"/>
    <w:rsid w:val="007A31BA"/>
    <w:rsid w:val="007A34FD"/>
    <w:rsid w:val="007A35BF"/>
    <w:rsid w:val="007A39E7"/>
    <w:rsid w:val="007A42C6"/>
    <w:rsid w:val="007A5E07"/>
    <w:rsid w:val="007A728E"/>
    <w:rsid w:val="007B054C"/>
    <w:rsid w:val="007B07AB"/>
    <w:rsid w:val="007B0917"/>
    <w:rsid w:val="007B0E1D"/>
    <w:rsid w:val="007B11AB"/>
    <w:rsid w:val="007B1D75"/>
    <w:rsid w:val="007B3E51"/>
    <w:rsid w:val="007B57E6"/>
    <w:rsid w:val="007B67E0"/>
    <w:rsid w:val="007C21BE"/>
    <w:rsid w:val="007C21C7"/>
    <w:rsid w:val="007C32DB"/>
    <w:rsid w:val="007C447E"/>
    <w:rsid w:val="007C503E"/>
    <w:rsid w:val="007C6C20"/>
    <w:rsid w:val="007C74D2"/>
    <w:rsid w:val="007C7B40"/>
    <w:rsid w:val="007C7E3C"/>
    <w:rsid w:val="007D0D20"/>
    <w:rsid w:val="007D1271"/>
    <w:rsid w:val="007D1420"/>
    <w:rsid w:val="007D3831"/>
    <w:rsid w:val="007D3BEB"/>
    <w:rsid w:val="007D3EB8"/>
    <w:rsid w:val="007D41FE"/>
    <w:rsid w:val="007D5FF6"/>
    <w:rsid w:val="007D61D4"/>
    <w:rsid w:val="007E1921"/>
    <w:rsid w:val="007E239A"/>
    <w:rsid w:val="007E44A5"/>
    <w:rsid w:val="007E55EE"/>
    <w:rsid w:val="007E574A"/>
    <w:rsid w:val="007E6B59"/>
    <w:rsid w:val="007E7841"/>
    <w:rsid w:val="007F6883"/>
    <w:rsid w:val="007F6C0C"/>
    <w:rsid w:val="007F7002"/>
    <w:rsid w:val="007F7323"/>
    <w:rsid w:val="007F736E"/>
    <w:rsid w:val="007F79CF"/>
    <w:rsid w:val="007F7E67"/>
    <w:rsid w:val="0080048F"/>
    <w:rsid w:val="00805B2C"/>
    <w:rsid w:val="00806E31"/>
    <w:rsid w:val="0080755C"/>
    <w:rsid w:val="00807A03"/>
    <w:rsid w:val="00807D74"/>
    <w:rsid w:val="0081092A"/>
    <w:rsid w:val="00810B08"/>
    <w:rsid w:val="008126F5"/>
    <w:rsid w:val="00812953"/>
    <w:rsid w:val="008139AA"/>
    <w:rsid w:val="0081402D"/>
    <w:rsid w:val="008151D1"/>
    <w:rsid w:val="00815626"/>
    <w:rsid w:val="00817802"/>
    <w:rsid w:val="00817A9F"/>
    <w:rsid w:val="00821946"/>
    <w:rsid w:val="00821E48"/>
    <w:rsid w:val="00823B42"/>
    <w:rsid w:val="00823F3D"/>
    <w:rsid w:val="00823F53"/>
    <w:rsid w:val="00824EA0"/>
    <w:rsid w:val="008313BB"/>
    <w:rsid w:val="0083251C"/>
    <w:rsid w:val="00834E9D"/>
    <w:rsid w:val="00837795"/>
    <w:rsid w:val="00840880"/>
    <w:rsid w:val="00840C8F"/>
    <w:rsid w:val="00840C97"/>
    <w:rsid w:val="00840E01"/>
    <w:rsid w:val="008418DA"/>
    <w:rsid w:val="00843B24"/>
    <w:rsid w:val="00843BEC"/>
    <w:rsid w:val="00843C7F"/>
    <w:rsid w:val="00844FBB"/>
    <w:rsid w:val="008457B8"/>
    <w:rsid w:val="00845D12"/>
    <w:rsid w:val="008462AE"/>
    <w:rsid w:val="00851B26"/>
    <w:rsid w:val="00854CC8"/>
    <w:rsid w:val="00855C5F"/>
    <w:rsid w:val="00860379"/>
    <w:rsid w:val="008649BF"/>
    <w:rsid w:val="00865007"/>
    <w:rsid w:val="008656C0"/>
    <w:rsid w:val="008667BE"/>
    <w:rsid w:val="0086792E"/>
    <w:rsid w:val="00867EEB"/>
    <w:rsid w:val="0087298B"/>
    <w:rsid w:val="00872A96"/>
    <w:rsid w:val="00873AA8"/>
    <w:rsid w:val="00873BFE"/>
    <w:rsid w:val="0087538D"/>
    <w:rsid w:val="00875A86"/>
    <w:rsid w:val="008761C1"/>
    <w:rsid w:val="00877B26"/>
    <w:rsid w:val="00883142"/>
    <w:rsid w:val="008832CB"/>
    <w:rsid w:val="0088340A"/>
    <w:rsid w:val="008842B2"/>
    <w:rsid w:val="008856D7"/>
    <w:rsid w:val="00886096"/>
    <w:rsid w:val="00886DDA"/>
    <w:rsid w:val="00887939"/>
    <w:rsid w:val="00887B35"/>
    <w:rsid w:val="00890821"/>
    <w:rsid w:val="008909B3"/>
    <w:rsid w:val="00890A68"/>
    <w:rsid w:val="008917A3"/>
    <w:rsid w:val="00891ED6"/>
    <w:rsid w:val="0089285C"/>
    <w:rsid w:val="008932E9"/>
    <w:rsid w:val="008A121C"/>
    <w:rsid w:val="008A221D"/>
    <w:rsid w:val="008A4697"/>
    <w:rsid w:val="008A503A"/>
    <w:rsid w:val="008A5B34"/>
    <w:rsid w:val="008A6654"/>
    <w:rsid w:val="008B28DD"/>
    <w:rsid w:val="008B2EEF"/>
    <w:rsid w:val="008B3BB3"/>
    <w:rsid w:val="008B66B0"/>
    <w:rsid w:val="008C32D4"/>
    <w:rsid w:val="008C3AD1"/>
    <w:rsid w:val="008C6C2B"/>
    <w:rsid w:val="008C7B46"/>
    <w:rsid w:val="008C7FBE"/>
    <w:rsid w:val="008D1944"/>
    <w:rsid w:val="008D3A3C"/>
    <w:rsid w:val="008D5EA5"/>
    <w:rsid w:val="008D715B"/>
    <w:rsid w:val="008E078C"/>
    <w:rsid w:val="008E0E63"/>
    <w:rsid w:val="008E28D6"/>
    <w:rsid w:val="008E76B2"/>
    <w:rsid w:val="008F0618"/>
    <w:rsid w:val="008F166B"/>
    <w:rsid w:val="008F22F6"/>
    <w:rsid w:val="008F4CAA"/>
    <w:rsid w:val="00900950"/>
    <w:rsid w:val="00900F39"/>
    <w:rsid w:val="00901046"/>
    <w:rsid w:val="00901626"/>
    <w:rsid w:val="009079E4"/>
    <w:rsid w:val="00907EE8"/>
    <w:rsid w:val="0091095C"/>
    <w:rsid w:val="009133ED"/>
    <w:rsid w:val="00915D2D"/>
    <w:rsid w:val="00917786"/>
    <w:rsid w:val="00917D00"/>
    <w:rsid w:val="00917F43"/>
    <w:rsid w:val="00920371"/>
    <w:rsid w:val="00922276"/>
    <w:rsid w:val="009251C2"/>
    <w:rsid w:val="009255AC"/>
    <w:rsid w:val="00926E68"/>
    <w:rsid w:val="00931C20"/>
    <w:rsid w:val="009341BC"/>
    <w:rsid w:val="00936380"/>
    <w:rsid w:val="00941DED"/>
    <w:rsid w:val="00943CF0"/>
    <w:rsid w:val="00943E1D"/>
    <w:rsid w:val="0094600D"/>
    <w:rsid w:val="009461B0"/>
    <w:rsid w:val="009464BA"/>
    <w:rsid w:val="00947A2B"/>
    <w:rsid w:val="009519DC"/>
    <w:rsid w:val="00953115"/>
    <w:rsid w:val="00955277"/>
    <w:rsid w:val="0095624A"/>
    <w:rsid w:val="00956300"/>
    <w:rsid w:val="00956794"/>
    <w:rsid w:val="009571D6"/>
    <w:rsid w:val="0095788F"/>
    <w:rsid w:val="00957982"/>
    <w:rsid w:val="009607B6"/>
    <w:rsid w:val="0096172E"/>
    <w:rsid w:val="009628F7"/>
    <w:rsid w:val="00970621"/>
    <w:rsid w:val="00970D9A"/>
    <w:rsid w:val="00971374"/>
    <w:rsid w:val="009718D7"/>
    <w:rsid w:val="00974065"/>
    <w:rsid w:val="00974F8F"/>
    <w:rsid w:val="00975B33"/>
    <w:rsid w:val="00977287"/>
    <w:rsid w:val="00977557"/>
    <w:rsid w:val="009779CA"/>
    <w:rsid w:val="009839C2"/>
    <w:rsid w:val="00984334"/>
    <w:rsid w:val="00984981"/>
    <w:rsid w:val="00985385"/>
    <w:rsid w:val="009857E8"/>
    <w:rsid w:val="00985AD0"/>
    <w:rsid w:val="00990992"/>
    <w:rsid w:val="00994373"/>
    <w:rsid w:val="00996573"/>
    <w:rsid w:val="009A0A5C"/>
    <w:rsid w:val="009A0FCC"/>
    <w:rsid w:val="009A2422"/>
    <w:rsid w:val="009A2527"/>
    <w:rsid w:val="009A3582"/>
    <w:rsid w:val="009A4D33"/>
    <w:rsid w:val="009A76FE"/>
    <w:rsid w:val="009A7D3C"/>
    <w:rsid w:val="009B02BE"/>
    <w:rsid w:val="009B0F80"/>
    <w:rsid w:val="009B1761"/>
    <w:rsid w:val="009B29C4"/>
    <w:rsid w:val="009B48D6"/>
    <w:rsid w:val="009B507D"/>
    <w:rsid w:val="009B601E"/>
    <w:rsid w:val="009B6291"/>
    <w:rsid w:val="009B75AB"/>
    <w:rsid w:val="009B77B6"/>
    <w:rsid w:val="009C034C"/>
    <w:rsid w:val="009C1581"/>
    <w:rsid w:val="009C17FB"/>
    <w:rsid w:val="009C1D13"/>
    <w:rsid w:val="009C3E16"/>
    <w:rsid w:val="009C5341"/>
    <w:rsid w:val="009C5A75"/>
    <w:rsid w:val="009D0854"/>
    <w:rsid w:val="009D32AE"/>
    <w:rsid w:val="009D66F7"/>
    <w:rsid w:val="009E54A4"/>
    <w:rsid w:val="009E5D73"/>
    <w:rsid w:val="009E6B99"/>
    <w:rsid w:val="009E72F9"/>
    <w:rsid w:val="009E7550"/>
    <w:rsid w:val="009E7D84"/>
    <w:rsid w:val="009F1A59"/>
    <w:rsid w:val="009F25C3"/>
    <w:rsid w:val="009F3F20"/>
    <w:rsid w:val="009F500F"/>
    <w:rsid w:val="009F6D97"/>
    <w:rsid w:val="009F74D2"/>
    <w:rsid w:val="00A00374"/>
    <w:rsid w:val="00A00A35"/>
    <w:rsid w:val="00A010E0"/>
    <w:rsid w:val="00A02ECB"/>
    <w:rsid w:val="00A02FF3"/>
    <w:rsid w:val="00A03932"/>
    <w:rsid w:val="00A03BAD"/>
    <w:rsid w:val="00A03C87"/>
    <w:rsid w:val="00A045EC"/>
    <w:rsid w:val="00A063CA"/>
    <w:rsid w:val="00A06426"/>
    <w:rsid w:val="00A07269"/>
    <w:rsid w:val="00A11D7F"/>
    <w:rsid w:val="00A1235A"/>
    <w:rsid w:val="00A204EC"/>
    <w:rsid w:val="00A230F8"/>
    <w:rsid w:val="00A237D1"/>
    <w:rsid w:val="00A24BE9"/>
    <w:rsid w:val="00A256CF"/>
    <w:rsid w:val="00A25F3F"/>
    <w:rsid w:val="00A27FE9"/>
    <w:rsid w:val="00A30C38"/>
    <w:rsid w:val="00A30D88"/>
    <w:rsid w:val="00A34A11"/>
    <w:rsid w:val="00A34B85"/>
    <w:rsid w:val="00A42321"/>
    <w:rsid w:val="00A440DB"/>
    <w:rsid w:val="00A450F9"/>
    <w:rsid w:val="00A47C4B"/>
    <w:rsid w:val="00A50037"/>
    <w:rsid w:val="00A5051A"/>
    <w:rsid w:val="00A51330"/>
    <w:rsid w:val="00A53FAB"/>
    <w:rsid w:val="00A55B39"/>
    <w:rsid w:val="00A562B6"/>
    <w:rsid w:val="00A60043"/>
    <w:rsid w:val="00A610E7"/>
    <w:rsid w:val="00A62196"/>
    <w:rsid w:val="00A62B61"/>
    <w:rsid w:val="00A638C2"/>
    <w:rsid w:val="00A66738"/>
    <w:rsid w:val="00A67278"/>
    <w:rsid w:val="00A67F1E"/>
    <w:rsid w:val="00A73E0E"/>
    <w:rsid w:val="00A73EE2"/>
    <w:rsid w:val="00A74ABD"/>
    <w:rsid w:val="00A7655F"/>
    <w:rsid w:val="00A76A62"/>
    <w:rsid w:val="00A807AA"/>
    <w:rsid w:val="00A81B3F"/>
    <w:rsid w:val="00A81FD2"/>
    <w:rsid w:val="00A828B0"/>
    <w:rsid w:val="00A8394E"/>
    <w:rsid w:val="00A84473"/>
    <w:rsid w:val="00A85207"/>
    <w:rsid w:val="00A85A77"/>
    <w:rsid w:val="00A85EB0"/>
    <w:rsid w:val="00A8738A"/>
    <w:rsid w:val="00A90822"/>
    <w:rsid w:val="00A922AB"/>
    <w:rsid w:val="00A92EF4"/>
    <w:rsid w:val="00A95A58"/>
    <w:rsid w:val="00AA0CB5"/>
    <w:rsid w:val="00AA1B5B"/>
    <w:rsid w:val="00AA5D1B"/>
    <w:rsid w:val="00AA7438"/>
    <w:rsid w:val="00AA75D8"/>
    <w:rsid w:val="00AB1D3D"/>
    <w:rsid w:val="00AB26CB"/>
    <w:rsid w:val="00AB29C4"/>
    <w:rsid w:val="00AB33D5"/>
    <w:rsid w:val="00AB37AD"/>
    <w:rsid w:val="00AB3934"/>
    <w:rsid w:val="00AB6258"/>
    <w:rsid w:val="00AB7CF5"/>
    <w:rsid w:val="00AC17C3"/>
    <w:rsid w:val="00AC313F"/>
    <w:rsid w:val="00AC419E"/>
    <w:rsid w:val="00AC466B"/>
    <w:rsid w:val="00AC5415"/>
    <w:rsid w:val="00AC7766"/>
    <w:rsid w:val="00AC7A3A"/>
    <w:rsid w:val="00AC7EB3"/>
    <w:rsid w:val="00AD02B0"/>
    <w:rsid w:val="00AD201D"/>
    <w:rsid w:val="00AD3B6A"/>
    <w:rsid w:val="00AD41D9"/>
    <w:rsid w:val="00AD46EE"/>
    <w:rsid w:val="00AD69C6"/>
    <w:rsid w:val="00AD6CDE"/>
    <w:rsid w:val="00AE0CA1"/>
    <w:rsid w:val="00AE0CB2"/>
    <w:rsid w:val="00AE0D41"/>
    <w:rsid w:val="00AE357A"/>
    <w:rsid w:val="00AE4CC7"/>
    <w:rsid w:val="00AE579C"/>
    <w:rsid w:val="00AE5BF7"/>
    <w:rsid w:val="00AE5C58"/>
    <w:rsid w:val="00AF01EB"/>
    <w:rsid w:val="00AF2B7D"/>
    <w:rsid w:val="00AF5064"/>
    <w:rsid w:val="00AF658D"/>
    <w:rsid w:val="00AF7B2B"/>
    <w:rsid w:val="00B00D56"/>
    <w:rsid w:val="00B03D81"/>
    <w:rsid w:val="00B04D0C"/>
    <w:rsid w:val="00B06BC8"/>
    <w:rsid w:val="00B10014"/>
    <w:rsid w:val="00B10336"/>
    <w:rsid w:val="00B1067A"/>
    <w:rsid w:val="00B10BF4"/>
    <w:rsid w:val="00B10F46"/>
    <w:rsid w:val="00B10FF0"/>
    <w:rsid w:val="00B1121A"/>
    <w:rsid w:val="00B11E9F"/>
    <w:rsid w:val="00B13827"/>
    <w:rsid w:val="00B14829"/>
    <w:rsid w:val="00B152D7"/>
    <w:rsid w:val="00B1540F"/>
    <w:rsid w:val="00B1562E"/>
    <w:rsid w:val="00B23001"/>
    <w:rsid w:val="00B26F2B"/>
    <w:rsid w:val="00B30C61"/>
    <w:rsid w:val="00B325B0"/>
    <w:rsid w:val="00B33E96"/>
    <w:rsid w:val="00B35711"/>
    <w:rsid w:val="00B36F5D"/>
    <w:rsid w:val="00B37A34"/>
    <w:rsid w:val="00B4011E"/>
    <w:rsid w:val="00B40FDA"/>
    <w:rsid w:val="00B411FF"/>
    <w:rsid w:val="00B4528A"/>
    <w:rsid w:val="00B45B88"/>
    <w:rsid w:val="00B47872"/>
    <w:rsid w:val="00B5148C"/>
    <w:rsid w:val="00B53154"/>
    <w:rsid w:val="00B53CE1"/>
    <w:rsid w:val="00B54EA2"/>
    <w:rsid w:val="00B55A8F"/>
    <w:rsid w:val="00B569F0"/>
    <w:rsid w:val="00B577D6"/>
    <w:rsid w:val="00B57FF0"/>
    <w:rsid w:val="00B60DC4"/>
    <w:rsid w:val="00B60F70"/>
    <w:rsid w:val="00B63B78"/>
    <w:rsid w:val="00B642F9"/>
    <w:rsid w:val="00B64475"/>
    <w:rsid w:val="00B65B72"/>
    <w:rsid w:val="00B66C99"/>
    <w:rsid w:val="00B705F4"/>
    <w:rsid w:val="00B707E2"/>
    <w:rsid w:val="00B710D2"/>
    <w:rsid w:val="00B7313F"/>
    <w:rsid w:val="00B73425"/>
    <w:rsid w:val="00B738A2"/>
    <w:rsid w:val="00B740E1"/>
    <w:rsid w:val="00B767DC"/>
    <w:rsid w:val="00B76E1C"/>
    <w:rsid w:val="00B7753F"/>
    <w:rsid w:val="00B778AB"/>
    <w:rsid w:val="00B77B84"/>
    <w:rsid w:val="00B8013C"/>
    <w:rsid w:val="00B8195A"/>
    <w:rsid w:val="00B84897"/>
    <w:rsid w:val="00B85140"/>
    <w:rsid w:val="00B855D5"/>
    <w:rsid w:val="00B864A4"/>
    <w:rsid w:val="00B86761"/>
    <w:rsid w:val="00B916A1"/>
    <w:rsid w:val="00B91B21"/>
    <w:rsid w:val="00B93516"/>
    <w:rsid w:val="00B9366A"/>
    <w:rsid w:val="00B962E6"/>
    <w:rsid w:val="00B970D8"/>
    <w:rsid w:val="00B9777F"/>
    <w:rsid w:val="00BA13C2"/>
    <w:rsid w:val="00BA24C9"/>
    <w:rsid w:val="00BA3E7C"/>
    <w:rsid w:val="00BA535F"/>
    <w:rsid w:val="00BA62EB"/>
    <w:rsid w:val="00BB06E0"/>
    <w:rsid w:val="00BB25CC"/>
    <w:rsid w:val="00BB2A91"/>
    <w:rsid w:val="00BB2B54"/>
    <w:rsid w:val="00BB4953"/>
    <w:rsid w:val="00BB611A"/>
    <w:rsid w:val="00BB67B0"/>
    <w:rsid w:val="00BC0046"/>
    <w:rsid w:val="00BC024B"/>
    <w:rsid w:val="00BC06A8"/>
    <w:rsid w:val="00BC38FC"/>
    <w:rsid w:val="00BC4B38"/>
    <w:rsid w:val="00BC6D6E"/>
    <w:rsid w:val="00BD0919"/>
    <w:rsid w:val="00BD201A"/>
    <w:rsid w:val="00BD470F"/>
    <w:rsid w:val="00BD5FD2"/>
    <w:rsid w:val="00BD7B0D"/>
    <w:rsid w:val="00BE02FA"/>
    <w:rsid w:val="00BE14CA"/>
    <w:rsid w:val="00BE1FD9"/>
    <w:rsid w:val="00BE210E"/>
    <w:rsid w:val="00BE39A7"/>
    <w:rsid w:val="00BE402F"/>
    <w:rsid w:val="00BE46C1"/>
    <w:rsid w:val="00BE7E7F"/>
    <w:rsid w:val="00BF168B"/>
    <w:rsid w:val="00BF1F96"/>
    <w:rsid w:val="00BF2C00"/>
    <w:rsid w:val="00BF2FFE"/>
    <w:rsid w:val="00BF58D6"/>
    <w:rsid w:val="00BF5B17"/>
    <w:rsid w:val="00BF7DB7"/>
    <w:rsid w:val="00C00986"/>
    <w:rsid w:val="00C05E7E"/>
    <w:rsid w:val="00C062EF"/>
    <w:rsid w:val="00C07BFE"/>
    <w:rsid w:val="00C100DB"/>
    <w:rsid w:val="00C1224C"/>
    <w:rsid w:val="00C12FC5"/>
    <w:rsid w:val="00C14D6E"/>
    <w:rsid w:val="00C14FFC"/>
    <w:rsid w:val="00C17FCB"/>
    <w:rsid w:val="00C202D1"/>
    <w:rsid w:val="00C20670"/>
    <w:rsid w:val="00C20F68"/>
    <w:rsid w:val="00C21D32"/>
    <w:rsid w:val="00C2256C"/>
    <w:rsid w:val="00C229F4"/>
    <w:rsid w:val="00C23217"/>
    <w:rsid w:val="00C2335F"/>
    <w:rsid w:val="00C24084"/>
    <w:rsid w:val="00C240EB"/>
    <w:rsid w:val="00C2457D"/>
    <w:rsid w:val="00C24B02"/>
    <w:rsid w:val="00C24B42"/>
    <w:rsid w:val="00C26CE6"/>
    <w:rsid w:val="00C325AC"/>
    <w:rsid w:val="00C33328"/>
    <w:rsid w:val="00C34B31"/>
    <w:rsid w:val="00C34C68"/>
    <w:rsid w:val="00C35468"/>
    <w:rsid w:val="00C404B9"/>
    <w:rsid w:val="00C41447"/>
    <w:rsid w:val="00C419D4"/>
    <w:rsid w:val="00C43865"/>
    <w:rsid w:val="00C44E20"/>
    <w:rsid w:val="00C4597B"/>
    <w:rsid w:val="00C45FA0"/>
    <w:rsid w:val="00C51E46"/>
    <w:rsid w:val="00C52EB7"/>
    <w:rsid w:val="00C53466"/>
    <w:rsid w:val="00C534CA"/>
    <w:rsid w:val="00C53FA8"/>
    <w:rsid w:val="00C54212"/>
    <w:rsid w:val="00C548EC"/>
    <w:rsid w:val="00C566BC"/>
    <w:rsid w:val="00C57B6B"/>
    <w:rsid w:val="00C57F68"/>
    <w:rsid w:val="00C61A51"/>
    <w:rsid w:val="00C61E38"/>
    <w:rsid w:val="00C61FA9"/>
    <w:rsid w:val="00C62054"/>
    <w:rsid w:val="00C62BC1"/>
    <w:rsid w:val="00C6343E"/>
    <w:rsid w:val="00C63549"/>
    <w:rsid w:val="00C635F4"/>
    <w:rsid w:val="00C6681C"/>
    <w:rsid w:val="00C679C0"/>
    <w:rsid w:val="00C67E26"/>
    <w:rsid w:val="00C71FFA"/>
    <w:rsid w:val="00C734BB"/>
    <w:rsid w:val="00C73881"/>
    <w:rsid w:val="00C750CD"/>
    <w:rsid w:val="00C7598A"/>
    <w:rsid w:val="00C76B54"/>
    <w:rsid w:val="00C801A7"/>
    <w:rsid w:val="00C808BB"/>
    <w:rsid w:val="00C817C9"/>
    <w:rsid w:val="00C818C3"/>
    <w:rsid w:val="00C81BD6"/>
    <w:rsid w:val="00C83726"/>
    <w:rsid w:val="00C85A2A"/>
    <w:rsid w:val="00C86227"/>
    <w:rsid w:val="00C87948"/>
    <w:rsid w:val="00C87B02"/>
    <w:rsid w:val="00C87DD6"/>
    <w:rsid w:val="00C90229"/>
    <w:rsid w:val="00C91144"/>
    <w:rsid w:val="00C91384"/>
    <w:rsid w:val="00C91458"/>
    <w:rsid w:val="00C9299C"/>
    <w:rsid w:val="00C92FC3"/>
    <w:rsid w:val="00C930B6"/>
    <w:rsid w:val="00C93B45"/>
    <w:rsid w:val="00C974CB"/>
    <w:rsid w:val="00CA129D"/>
    <w:rsid w:val="00CA2C45"/>
    <w:rsid w:val="00CA322A"/>
    <w:rsid w:val="00CA5496"/>
    <w:rsid w:val="00CA61D9"/>
    <w:rsid w:val="00CA7066"/>
    <w:rsid w:val="00CA7252"/>
    <w:rsid w:val="00CB06B5"/>
    <w:rsid w:val="00CB19E2"/>
    <w:rsid w:val="00CB5CDA"/>
    <w:rsid w:val="00CB71E3"/>
    <w:rsid w:val="00CC03D7"/>
    <w:rsid w:val="00CC057A"/>
    <w:rsid w:val="00CC1BB7"/>
    <w:rsid w:val="00CC35A1"/>
    <w:rsid w:val="00CC3824"/>
    <w:rsid w:val="00CC4248"/>
    <w:rsid w:val="00CC45A6"/>
    <w:rsid w:val="00CC5CBE"/>
    <w:rsid w:val="00CC6C8E"/>
    <w:rsid w:val="00CC70AE"/>
    <w:rsid w:val="00CD0460"/>
    <w:rsid w:val="00CD2AB0"/>
    <w:rsid w:val="00CD38BE"/>
    <w:rsid w:val="00CD49FD"/>
    <w:rsid w:val="00CD4BD1"/>
    <w:rsid w:val="00CD5EFF"/>
    <w:rsid w:val="00CD6486"/>
    <w:rsid w:val="00CE0437"/>
    <w:rsid w:val="00CE2F6C"/>
    <w:rsid w:val="00CE3D20"/>
    <w:rsid w:val="00CE6232"/>
    <w:rsid w:val="00CE6D49"/>
    <w:rsid w:val="00CE7DAC"/>
    <w:rsid w:val="00CF128A"/>
    <w:rsid w:val="00CF2516"/>
    <w:rsid w:val="00CF27AA"/>
    <w:rsid w:val="00CF34FB"/>
    <w:rsid w:val="00CF39A6"/>
    <w:rsid w:val="00CF4528"/>
    <w:rsid w:val="00CF53AD"/>
    <w:rsid w:val="00CF55F4"/>
    <w:rsid w:val="00CF70DF"/>
    <w:rsid w:val="00D01B54"/>
    <w:rsid w:val="00D01DBA"/>
    <w:rsid w:val="00D03017"/>
    <w:rsid w:val="00D0303B"/>
    <w:rsid w:val="00D0346E"/>
    <w:rsid w:val="00D117DE"/>
    <w:rsid w:val="00D129BB"/>
    <w:rsid w:val="00D130C6"/>
    <w:rsid w:val="00D13320"/>
    <w:rsid w:val="00D15091"/>
    <w:rsid w:val="00D16235"/>
    <w:rsid w:val="00D166E9"/>
    <w:rsid w:val="00D1719F"/>
    <w:rsid w:val="00D178ED"/>
    <w:rsid w:val="00D17976"/>
    <w:rsid w:val="00D20724"/>
    <w:rsid w:val="00D21890"/>
    <w:rsid w:val="00D2489B"/>
    <w:rsid w:val="00D265A5"/>
    <w:rsid w:val="00D302DA"/>
    <w:rsid w:val="00D30603"/>
    <w:rsid w:val="00D31857"/>
    <w:rsid w:val="00D32183"/>
    <w:rsid w:val="00D322E3"/>
    <w:rsid w:val="00D323FF"/>
    <w:rsid w:val="00D32482"/>
    <w:rsid w:val="00D32F92"/>
    <w:rsid w:val="00D33425"/>
    <w:rsid w:val="00D33D9E"/>
    <w:rsid w:val="00D342C2"/>
    <w:rsid w:val="00D3481F"/>
    <w:rsid w:val="00D36264"/>
    <w:rsid w:val="00D36760"/>
    <w:rsid w:val="00D36DA0"/>
    <w:rsid w:val="00D3720D"/>
    <w:rsid w:val="00D37332"/>
    <w:rsid w:val="00D4246E"/>
    <w:rsid w:val="00D42B28"/>
    <w:rsid w:val="00D439B7"/>
    <w:rsid w:val="00D5071A"/>
    <w:rsid w:val="00D50723"/>
    <w:rsid w:val="00D50C2E"/>
    <w:rsid w:val="00D53040"/>
    <w:rsid w:val="00D5341C"/>
    <w:rsid w:val="00D53486"/>
    <w:rsid w:val="00D54A66"/>
    <w:rsid w:val="00D55F97"/>
    <w:rsid w:val="00D575F9"/>
    <w:rsid w:val="00D6088E"/>
    <w:rsid w:val="00D60E8A"/>
    <w:rsid w:val="00D61073"/>
    <w:rsid w:val="00D635D3"/>
    <w:rsid w:val="00D64086"/>
    <w:rsid w:val="00D65AE4"/>
    <w:rsid w:val="00D660C6"/>
    <w:rsid w:val="00D66337"/>
    <w:rsid w:val="00D66F33"/>
    <w:rsid w:val="00D67DDA"/>
    <w:rsid w:val="00D70071"/>
    <w:rsid w:val="00D70D17"/>
    <w:rsid w:val="00D72762"/>
    <w:rsid w:val="00D72CD5"/>
    <w:rsid w:val="00D72FA7"/>
    <w:rsid w:val="00D74678"/>
    <w:rsid w:val="00D76102"/>
    <w:rsid w:val="00D81E14"/>
    <w:rsid w:val="00D83E6A"/>
    <w:rsid w:val="00D84A8E"/>
    <w:rsid w:val="00D85DC8"/>
    <w:rsid w:val="00D86298"/>
    <w:rsid w:val="00D868CB"/>
    <w:rsid w:val="00D87957"/>
    <w:rsid w:val="00D924FF"/>
    <w:rsid w:val="00D92E6B"/>
    <w:rsid w:val="00D94D67"/>
    <w:rsid w:val="00D95136"/>
    <w:rsid w:val="00D9667C"/>
    <w:rsid w:val="00D9793A"/>
    <w:rsid w:val="00DA0406"/>
    <w:rsid w:val="00DA0F7A"/>
    <w:rsid w:val="00DA1076"/>
    <w:rsid w:val="00DA32A9"/>
    <w:rsid w:val="00DA4993"/>
    <w:rsid w:val="00DA5518"/>
    <w:rsid w:val="00DB0192"/>
    <w:rsid w:val="00DB38A5"/>
    <w:rsid w:val="00DB49E9"/>
    <w:rsid w:val="00DB53C1"/>
    <w:rsid w:val="00DB7D70"/>
    <w:rsid w:val="00DC02CB"/>
    <w:rsid w:val="00DC066F"/>
    <w:rsid w:val="00DC0694"/>
    <w:rsid w:val="00DC108A"/>
    <w:rsid w:val="00DC2C12"/>
    <w:rsid w:val="00DC3D5E"/>
    <w:rsid w:val="00DC3E7C"/>
    <w:rsid w:val="00DC4642"/>
    <w:rsid w:val="00DC52E7"/>
    <w:rsid w:val="00DC58E9"/>
    <w:rsid w:val="00DC718F"/>
    <w:rsid w:val="00DD0D03"/>
    <w:rsid w:val="00DD120C"/>
    <w:rsid w:val="00DD17EF"/>
    <w:rsid w:val="00DD1FA4"/>
    <w:rsid w:val="00DD5AA7"/>
    <w:rsid w:val="00DD5D80"/>
    <w:rsid w:val="00DD6002"/>
    <w:rsid w:val="00DD6727"/>
    <w:rsid w:val="00DE0AB2"/>
    <w:rsid w:val="00DF0D10"/>
    <w:rsid w:val="00DF17B0"/>
    <w:rsid w:val="00DF183F"/>
    <w:rsid w:val="00DF29BF"/>
    <w:rsid w:val="00DF3876"/>
    <w:rsid w:val="00DF3AC7"/>
    <w:rsid w:val="00DF3D1D"/>
    <w:rsid w:val="00DF577E"/>
    <w:rsid w:val="00DF69CF"/>
    <w:rsid w:val="00DF6A3E"/>
    <w:rsid w:val="00E01A54"/>
    <w:rsid w:val="00E01DB4"/>
    <w:rsid w:val="00E02259"/>
    <w:rsid w:val="00E03E92"/>
    <w:rsid w:val="00E0465E"/>
    <w:rsid w:val="00E04E24"/>
    <w:rsid w:val="00E05FE8"/>
    <w:rsid w:val="00E0698F"/>
    <w:rsid w:val="00E10CE5"/>
    <w:rsid w:val="00E10E73"/>
    <w:rsid w:val="00E13F9B"/>
    <w:rsid w:val="00E16D3E"/>
    <w:rsid w:val="00E17242"/>
    <w:rsid w:val="00E1755F"/>
    <w:rsid w:val="00E1799F"/>
    <w:rsid w:val="00E20C53"/>
    <w:rsid w:val="00E21B99"/>
    <w:rsid w:val="00E229FD"/>
    <w:rsid w:val="00E23684"/>
    <w:rsid w:val="00E250EC"/>
    <w:rsid w:val="00E2596B"/>
    <w:rsid w:val="00E262FE"/>
    <w:rsid w:val="00E26CBE"/>
    <w:rsid w:val="00E27724"/>
    <w:rsid w:val="00E303E5"/>
    <w:rsid w:val="00E311EB"/>
    <w:rsid w:val="00E31239"/>
    <w:rsid w:val="00E31403"/>
    <w:rsid w:val="00E33645"/>
    <w:rsid w:val="00E337B8"/>
    <w:rsid w:val="00E33CBA"/>
    <w:rsid w:val="00E34904"/>
    <w:rsid w:val="00E362C7"/>
    <w:rsid w:val="00E40313"/>
    <w:rsid w:val="00E40600"/>
    <w:rsid w:val="00E41806"/>
    <w:rsid w:val="00E418B0"/>
    <w:rsid w:val="00E41B0C"/>
    <w:rsid w:val="00E42992"/>
    <w:rsid w:val="00E42D8B"/>
    <w:rsid w:val="00E50358"/>
    <w:rsid w:val="00E50369"/>
    <w:rsid w:val="00E50399"/>
    <w:rsid w:val="00E5271A"/>
    <w:rsid w:val="00E52B09"/>
    <w:rsid w:val="00E535C8"/>
    <w:rsid w:val="00E603B6"/>
    <w:rsid w:val="00E61191"/>
    <w:rsid w:val="00E6364D"/>
    <w:rsid w:val="00E63F1F"/>
    <w:rsid w:val="00E64165"/>
    <w:rsid w:val="00E647AD"/>
    <w:rsid w:val="00E64987"/>
    <w:rsid w:val="00E66692"/>
    <w:rsid w:val="00E7138B"/>
    <w:rsid w:val="00E71651"/>
    <w:rsid w:val="00E728E1"/>
    <w:rsid w:val="00E736E9"/>
    <w:rsid w:val="00E73864"/>
    <w:rsid w:val="00E73AD2"/>
    <w:rsid w:val="00E73D9D"/>
    <w:rsid w:val="00E74708"/>
    <w:rsid w:val="00E75882"/>
    <w:rsid w:val="00E7599D"/>
    <w:rsid w:val="00E76753"/>
    <w:rsid w:val="00E76755"/>
    <w:rsid w:val="00E804CF"/>
    <w:rsid w:val="00E80D50"/>
    <w:rsid w:val="00E81CBF"/>
    <w:rsid w:val="00E8220C"/>
    <w:rsid w:val="00E83317"/>
    <w:rsid w:val="00E83558"/>
    <w:rsid w:val="00E86D31"/>
    <w:rsid w:val="00E90ADC"/>
    <w:rsid w:val="00E92270"/>
    <w:rsid w:val="00E92F12"/>
    <w:rsid w:val="00E96B0A"/>
    <w:rsid w:val="00E972E5"/>
    <w:rsid w:val="00E97575"/>
    <w:rsid w:val="00EA0E29"/>
    <w:rsid w:val="00EA2B93"/>
    <w:rsid w:val="00EA3430"/>
    <w:rsid w:val="00EA41C0"/>
    <w:rsid w:val="00EA59F7"/>
    <w:rsid w:val="00EA7B7C"/>
    <w:rsid w:val="00EB00F4"/>
    <w:rsid w:val="00EB1F71"/>
    <w:rsid w:val="00EB32F4"/>
    <w:rsid w:val="00EB6BA4"/>
    <w:rsid w:val="00EC04CF"/>
    <w:rsid w:val="00EC143A"/>
    <w:rsid w:val="00EC3D4F"/>
    <w:rsid w:val="00EC56C9"/>
    <w:rsid w:val="00EC6ABB"/>
    <w:rsid w:val="00EC7CBA"/>
    <w:rsid w:val="00ED0DEF"/>
    <w:rsid w:val="00ED0DF5"/>
    <w:rsid w:val="00ED6660"/>
    <w:rsid w:val="00ED6E22"/>
    <w:rsid w:val="00ED71A3"/>
    <w:rsid w:val="00ED74F6"/>
    <w:rsid w:val="00EE3C31"/>
    <w:rsid w:val="00EE4E5C"/>
    <w:rsid w:val="00EE562D"/>
    <w:rsid w:val="00EE650C"/>
    <w:rsid w:val="00EE7791"/>
    <w:rsid w:val="00EF08B4"/>
    <w:rsid w:val="00EF0E1B"/>
    <w:rsid w:val="00EF2751"/>
    <w:rsid w:val="00EF2CD8"/>
    <w:rsid w:val="00EF73A4"/>
    <w:rsid w:val="00EF7624"/>
    <w:rsid w:val="00EF7917"/>
    <w:rsid w:val="00F022ED"/>
    <w:rsid w:val="00F04387"/>
    <w:rsid w:val="00F065FA"/>
    <w:rsid w:val="00F06856"/>
    <w:rsid w:val="00F07DFF"/>
    <w:rsid w:val="00F10855"/>
    <w:rsid w:val="00F11234"/>
    <w:rsid w:val="00F14678"/>
    <w:rsid w:val="00F15579"/>
    <w:rsid w:val="00F155F7"/>
    <w:rsid w:val="00F156F3"/>
    <w:rsid w:val="00F17163"/>
    <w:rsid w:val="00F178C2"/>
    <w:rsid w:val="00F17C9F"/>
    <w:rsid w:val="00F17CAE"/>
    <w:rsid w:val="00F23DE3"/>
    <w:rsid w:val="00F264C6"/>
    <w:rsid w:val="00F265E9"/>
    <w:rsid w:val="00F26F88"/>
    <w:rsid w:val="00F27242"/>
    <w:rsid w:val="00F30952"/>
    <w:rsid w:val="00F31FD8"/>
    <w:rsid w:val="00F32144"/>
    <w:rsid w:val="00F342B6"/>
    <w:rsid w:val="00F36E09"/>
    <w:rsid w:val="00F40AA8"/>
    <w:rsid w:val="00F411E7"/>
    <w:rsid w:val="00F47400"/>
    <w:rsid w:val="00F475AF"/>
    <w:rsid w:val="00F52C84"/>
    <w:rsid w:val="00F53878"/>
    <w:rsid w:val="00F53C64"/>
    <w:rsid w:val="00F542B9"/>
    <w:rsid w:val="00F54A0B"/>
    <w:rsid w:val="00F54B54"/>
    <w:rsid w:val="00F57E82"/>
    <w:rsid w:val="00F600EE"/>
    <w:rsid w:val="00F601EB"/>
    <w:rsid w:val="00F62818"/>
    <w:rsid w:val="00F640F8"/>
    <w:rsid w:val="00F64D1C"/>
    <w:rsid w:val="00F669B3"/>
    <w:rsid w:val="00F67999"/>
    <w:rsid w:val="00F73577"/>
    <w:rsid w:val="00F746AD"/>
    <w:rsid w:val="00F74C3A"/>
    <w:rsid w:val="00F77F49"/>
    <w:rsid w:val="00F800AC"/>
    <w:rsid w:val="00F838AB"/>
    <w:rsid w:val="00F8410C"/>
    <w:rsid w:val="00F85515"/>
    <w:rsid w:val="00F878AB"/>
    <w:rsid w:val="00F90BE2"/>
    <w:rsid w:val="00F92C30"/>
    <w:rsid w:val="00F93FE5"/>
    <w:rsid w:val="00F94209"/>
    <w:rsid w:val="00F94CBD"/>
    <w:rsid w:val="00F95088"/>
    <w:rsid w:val="00F963F6"/>
    <w:rsid w:val="00FA07DE"/>
    <w:rsid w:val="00FA166E"/>
    <w:rsid w:val="00FA4598"/>
    <w:rsid w:val="00FA4AB5"/>
    <w:rsid w:val="00FA531D"/>
    <w:rsid w:val="00FB0A26"/>
    <w:rsid w:val="00FB1F2C"/>
    <w:rsid w:val="00FB25C9"/>
    <w:rsid w:val="00FB2E69"/>
    <w:rsid w:val="00FB31C6"/>
    <w:rsid w:val="00FB3BEB"/>
    <w:rsid w:val="00FB7F02"/>
    <w:rsid w:val="00FC15CE"/>
    <w:rsid w:val="00FC1774"/>
    <w:rsid w:val="00FC1A88"/>
    <w:rsid w:val="00FC287B"/>
    <w:rsid w:val="00FC4625"/>
    <w:rsid w:val="00FC46B5"/>
    <w:rsid w:val="00FC47F8"/>
    <w:rsid w:val="00FC52F4"/>
    <w:rsid w:val="00FC6365"/>
    <w:rsid w:val="00FC6B9E"/>
    <w:rsid w:val="00FC6EF2"/>
    <w:rsid w:val="00FC708E"/>
    <w:rsid w:val="00FC70CF"/>
    <w:rsid w:val="00FD3648"/>
    <w:rsid w:val="00FD376F"/>
    <w:rsid w:val="00FD5246"/>
    <w:rsid w:val="00FD56B0"/>
    <w:rsid w:val="00FD5B4C"/>
    <w:rsid w:val="00FD6C34"/>
    <w:rsid w:val="00FD7F0F"/>
    <w:rsid w:val="00FE0567"/>
    <w:rsid w:val="00FE1931"/>
    <w:rsid w:val="00FE2938"/>
    <w:rsid w:val="00FE2C1E"/>
    <w:rsid w:val="00FE42E4"/>
    <w:rsid w:val="00FE4BE0"/>
    <w:rsid w:val="00FE5F44"/>
    <w:rsid w:val="00FE6322"/>
    <w:rsid w:val="00FF1C96"/>
    <w:rsid w:val="00FF35FF"/>
    <w:rsid w:val="00FF4804"/>
    <w:rsid w:val="00FF492B"/>
    <w:rsid w:val="00FF5C5E"/>
    <w:rsid w:val="00FF6869"/>
    <w:rsid w:val="00FF6C6E"/>
    <w:rsid w:val="00FF6E99"/>
    <w:rsid w:val="00FF7D4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D80EA41"/>
  <w15:docId w15:val="{98019A65-9163-420F-97E3-21B500AD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2D3B27"/>
    <w:pPr>
      <w:spacing w:before="100" w:beforeAutospacing="1" w:after="100" w:afterAutospacing="1"/>
      <w:outlineLvl w:val="0"/>
    </w:pPr>
    <w:rPr>
      <w:rFonts w:ascii="Times New Roman" w:hAnsi="Times New Roman" w:cs="Times New Roman"/>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5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50C2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022B30"/>
    <w:pPr>
      <w:ind w:left="720"/>
      <w:contextualSpacing/>
    </w:pPr>
  </w:style>
  <w:style w:type="paragraph" w:styleId="NormalWeb">
    <w:name w:val="Normal (Web)"/>
    <w:basedOn w:val="Normal"/>
    <w:uiPriority w:val="99"/>
    <w:unhideWhenUsed/>
    <w:rsid w:val="00B57FF0"/>
    <w:pPr>
      <w:spacing w:before="100" w:beforeAutospacing="1" w:after="100" w:afterAutospacing="1"/>
    </w:pPr>
    <w:rPr>
      <w:rFonts w:ascii="Times" w:hAnsi="Times" w:cs="Times New Roman"/>
      <w:sz w:val="20"/>
      <w:szCs w:val="20"/>
      <w:lang w:eastAsia="en-US"/>
    </w:rPr>
  </w:style>
  <w:style w:type="character" w:styleId="LineNumber">
    <w:name w:val="line number"/>
    <w:basedOn w:val="DefaultParagraphFont"/>
    <w:uiPriority w:val="99"/>
    <w:semiHidden/>
    <w:unhideWhenUsed/>
    <w:rsid w:val="0026308F"/>
  </w:style>
  <w:style w:type="character" w:styleId="CommentReference">
    <w:name w:val="annotation reference"/>
    <w:basedOn w:val="DefaultParagraphFont"/>
    <w:uiPriority w:val="99"/>
    <w:semiHidden/>
    <w:unhideWhenUsed/>
    <w:rsid w:val="00F155F7"/>
    <w:rPr>
      <w:sz w:val="18"/>
      <w:szCs w:val="18"/>
    </w:rPr>
  </w:style>
  <w:style w:type="paragraph" w:styleId="CommentText">
    <w:name w:val="annotation text"/>
    <w:basedOn w:val="Normal"/>
    <w:link w:val="CommentTextChar"/>
    <w:uiPriority w:val="99"/>
    <w:semiHidden/>
    <w:unhideWhenUsed/>
    <w:rsid w:val="00F155F7"/>
  </w:style>
  <w:style w:type="character" w:customStyle="1" w:styleId="CommentTextChar">
    <w:name w:val="Comment Text Char"/>
    <w:basedOn w:val="DefaultParagraphFont"/>
    <w:link w:val="CommentText"/>
    <w:uiPriority w:val="99"/>
    <w:semiHidden/>
    <w:rsid w:val="00F155F7"/>
    <w:rPr>
      <w:sz w:val="24"/>
      <w:szCs w:val="24"/>
    </w:rPr>
  </w:style>
  <w:style w:type="paragraph" w:styleId="CommentSubject">
    <w:name w:val="annotation subject"/>
    <w:basedOn w:val="CommentText"/>
    <w:next w:val="CommentText"/>
    <w:link w:val="CommentSubjectChar"/>
    <w:uiPriority w:val="99"/>
    <w:semiHidden/>
    <w:unhideWhenUsed/>
    <w:rsid w:val="00F155F7"/>
    <w:rPr>
      <w:b/>
      <w:bCs/>
      <w:sz w:val="20"/>
      <w:szCs w:val="20"/>
    </w:rPr>
  </w:style>
  <w:style w:type="character" w:customStyle="1" w:styleId="CommentSubjectChar">
    <w:name w:val="Comment Subject Char"/>
    <w:basedOn w:val="CommentTextChar"/>
    <w:link w:val="CommentSubject"/>
    <w:uiPriority w:val="99"/>
    <w:semiHidden/>
    <w:rsid w:val="00F155F7"/>
    <w:rPr>
      <w:b/>
      <w:bCs/>
      <w:sz w:val="24"/>
      <w:szCs w:val="24"/>
    </w:rPr>
  </w:style>
  <w:style w:type="paragraph" w:styleId="BalloonText">
    <w:name w:val="Balloon Text"/>
    <w:basedOn w:val="Normal"/>
    <w:link w:val="BalloonTextChar"/>
    <w:uiPriority w:val="99"/>
    <w:semiHidden/>
    <w:unhideWhenUsed/>
    <w:rsid w:val="00F155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155F7"/>
    <w:rPr>
      <w:rFonts w:ascii="Lucida Grande" w:hAnsi="Lucida Grande" w:cs="Lucida Grande"/>
      <w:sz w:val="18"/>
      <w:szCs w:val="18"/>
    </w:rPr>
  </w:style>
  <w:style w:type="paragraph" w:styleId="Revision">
    <w:name w:val="Revision"/>
    <w:hidden/>
    <w:uiPriority w:val="99"/>
    <w:semiHidden/>
    <w:rsid w:val="00603741"/>
    <w:rPr>
      <w:sz w:val="24"/>
      <w:szCs w:val="24"/>
    </w:rPr>
  </w:style>
  <w:style w:type="paragraph" w:styleId="Header">
    <w:name w:val="header"/>
    <w:basedOn w:val="Normal"/>
    <w:link w:val="HeaderChar"/>
    <w:uiPriority w:val="99"/>
    <w:unhideWhenUsed/>
    <w:rsid w:val="00425581"/>
    <w:pPr>
      <w:tabs>
        <w:tab w:val="center" w:pos="4320"/>
        <w:tab w:val="right" w:pos="8640"/>
      </w:tabs>
    </w:pPr>
  </w:style>
  <w:style w:type="character" w:customStyle="1" w:styleId="HeaderChar">
    <w:name w:val="Header Char"/>
    <w:basedOn w:val="DefaultParagraphFont"/>
    <w:link w:val="Header"/>
    <w:uiPriority w:val="99"/>
    <w:rsid w:val="00425581"/>
    <w:rPr>
      <w:sz w:val="24"/>
      <w:szCs w:val="24"/>
    </w:rPr>
  </w:style>
  <w:style w:type="paragraph" w:styleId="Footer">
    <w:name w:val="footer"/>
    <w:basedOn w:val="Normal"/>
    <w:link w:val="FooterChar"/>
    <w:uiPriority w:val="99"/>
    <w:unhideWhenUsed/>
    <w:rsid w:val="00425581"/>
    <w:pPr>
      <w:tabs>
        <w:tab w:val="center" w:pos="4320"/>
        <w:tab w:val="right" w:pos="8640"/>
      </w:tabs>
    </w:pPr>
  </w:style>
  <w:style w:type="character" w:customStyle="1" w:styleId="FooterChar">
    <w:name w:val="Footer Char"/>
    <w:basedOn w:val="DefaultParagraphFont"/>
    <w:link w:val="Footer"/>
    <w:uiPriority w:val="99"/>
    <w:rsid w:val="00425581"/>
    <w:rPr>
      <w:sz w:val="24"/>
      <w:szCs w:val="24"/>
    </w:rPr>
  </w:style>
  <w:style w:type="table" w:styleId="MediumShading2">
    <w:name w:val="Medium Shading 2"/>
    <w:basedOn w:val="TableNormal"/>
    <w:uiPriority w:val="64"/>
    <w:rsid w:val="00AE0CA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87D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C87DD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7F6C0C"/>
    <w:rPr>
      <w:color w:val="0000FF" w:themeColor="hyperlink"/>
      <w:u w:val="single"/>
    </w:rPr>
  </w:style>
  <w:style w:type="character" w:customStyle="1" w:styleId="Heading1Char">
    <w:name w:val="Heading 1 Char"/>
    <w:basedOn w:val="DefaultParagraphFont"/>
    <w:link w:val="Heading1"/>
    <w:uiPriority w:val="9"/>
    <w:rsid w:val="002D3B27"/>
    <w:rPr>
      <w:rFonts w:ascii="Times New Roman" w:hAnsi="Times New Roman" w:cs="Times New Roman"/>
      <w:b/>
      <w:bCs/>
      <w:kern w:val="36"/>
      <w:sz w:val="48"/>
      <w:szCs w:val="48"/>
      <w:lang w:eastAsia="en-US"/>
    </w:rPr>
  </w:style>
  <w:style w:type="paragraph" w:customStyle="1" w:styleId="p1">
    <w:name w:val="p1"/>
    <w:basedOn w:val="Normal"/>
    <w:rsid w:val="002D3B27"/>
    <w:rPr>
      <w:rFonts w:ascii="Helvetica" w:hAnsi="Helvetica" w:cs="Times New Roman"/>
      <w:sz w:val="18"/>
      <w:szCs w:val="18"/>
      <w:lang w:eastAsia="en-US"/>
    </w:rPr>
  </w:style>
  <w:style w:type="character" w:styleId="PageNumber">
    <w:name w:val="page number"/>
    <w:basedOn w:val="DefaultParagraphFont"/>
    <w:uiPriority w:val="99"/>
    <w:semiHidden/>
    <w:unhideWhenUsed/>
    <w:rsid w:val="003D4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57">
      <w:bodyDiv w:val="1"/>
      <w:marLeft w:val="0"/>
      <w:marRight w:val="0"/>
      <w:marTop w:val="0"/>
      <w:marBottom w:val="0"/>
      <w:divBdr>
        <w:top w:val="none" w:sz="0" w:space="0" w:color="auto"/>
        <w:left w:val="none" w:sz="0" w:space="0" w:color="auto"/>
        <w:bottom w:val="none" w:sz="0" w:space="0" w:color="auto"/>
        <w:right w:val="none" w:sz="0" w:space="0" w:color="auto"/>
      </w:divBdr>
    </w:div>
    <w:div w:id="2436756">
      <w:bodyDiv w:val="1"/>
      <w:marLeft w:val="0"/>
      <w:marRight w:val="0"/>
      <w:marTop w:val="0"/>
      <w:marBottom w:val="0"/>
      <w:divBdr>
        <w:top w:val="none" w:sz="0" w:space="0" w:color="auto"/>
        <w:left w:val="none" w:sz="0" w:space="0" w:color="auto"/>
        <w:bottom w:val="none" w:sz="0" w:space="0" w:color="auto"/>
        <w:right w:val="none" w:sz="0" w:space="0" w:color="auto"/>
      </w:divBdr>
    </w:div>
    <w:div w:id="4791294">
      <w:bodyDiv w:val="1"/>
      <w:marLeft w:val="0"/>
      <w:marRight w:val="0"/>
      <w:marTop w:val="0"/>
      <w:marBottom w:val="0"/>
      <w:divBdr>
        <w:top w:val="none" w:sz="0" w:space="0" w:color="auto"/>
        <w:left w:val="none" w:sz="0" w:space="0" w:color="auto"/>
        <w:bottom w:val="none" w:sz="0" w:space="0" w:color="auto"/>
        <w:right w:val="none" w:sz="0" w:space="0" w:color="auto"/>
      </w:divBdr>
    </w:div>
    <w:div w:id="14504590">
      <w:bodyDiv w:val="1"/>
      <w:marLeft w:val="0"/>
      <w:marRight w:val="0"/>
      <w:marTop w:val="0"/>
      <w:marBottom w:val="0"/>
      <w:divBdr>
        <w:top w:val="none" w:sz="0" w:space="0" w:color="auto"/>
        <w:left w:val="none" w:sz="0" w:space="0" w:color="auto"/>
        <w:bottom w:val="none" w:sz="0" w:space="0" w:color="auto"/>
        <w:right w:val="none" w:sz="0" w:space="0" w:color="auto"/>
      </w:divBdr>
    </w:div>
    <w:div w:id="26220621">
      <w:bodyDiv w:val="1"/>
      <w:marLeft w:val="0"/>
      <w:marRight w:val="0"/>
      <w:marTop w:val="0"/>
      <w:marBottom w:val="0"/>
      <w:divBdr>
        <w:top w:val="none" w:sz="0" w:space="0" w:color="auto"/>
        <w:left w:val="none" w:sz="0" w:space="0" w:color="auto"/>
        <w:bottom w:val="none" w:sz="0" w:space="0" w:color="auto"/>
        <w:right w:val="none" w:sz="0" w:space="0" w:color="auto"/>
      </w:divBdr>
    </w:div>
    <w:div w:id="36589140">
      <w:bodyDiv w:val="1"/>
      <w:marLeft w:val="0"/>
      <w:marRight w:val="0"/>
      <w:marTop w:val="0"/>
      <w:marBottom w:val="0"/>
      <w:divBdr>
        <w:top w:val="none" w:sz="0" w:space="0" w:color="auto"/>
        <w:left w:val="none" w:sz="0" w:space="0" w:color="auto"/>
        <w:bottom w:val="none" w:sz="0" w:space="0" w:color="auto"/>
        <w:right w:val="none" w:sz="0" w:space="0" w:color="auto"/>
      </w:divBdr>
    </w:div>
    <w:div w:id="38361564">
      <w:bodyDiv w:val="1"/>
      <w:marLeft w:val="0"/>
      <w:marRight w:val="0"/>
      <w:marTop w:val="0"/>
      <w:marBottom w:val="0"/>
      <w:divBdr>
        <w:top w:val="none" w:sz="0" w:space="0" w:color="auto"/>
        <w:left w:val="none" w:sz="0" w:space="0" w:color="auto"/>
        <w:bottom w:val="none" w:sz="0" w:space="0" w:color="auto"/>
        <w:right w:val="none" w:sz="0" w:space="0" w:color="auto"/>
      </w:divBdr>
    </w:div>
    <w:div w:id="46153424">
      <w:bodyDiv w:val="1"/>
      <w:marLeft w:val="0"/>
      <w:marRight w:val="0"/>
      <w:marTop w:val="0"/>
      <w:marBottom w:val="0"/>
      <w:divBdr>
        <w:top w:val="none" w:sz="0" w:space="0" w:color="auto"/>
        <w:left w:val="none" w:sz="0" w:space="0" w:color="auto"/>
        <w:bottom w:val="none" w:sz="0" w:space="0" w:color="auto"/>
        <w:right w:val="none" w:sz="0" w:space="0" w:color="auto"/>
      </w:divBdr>
    </w:div>
    <w:div w:id="47723837">
      <w:bodyDiv w:val="1"/>
      <w:marLeft w:val="0"/>
      <w:marRight w:val="0"/>
      <w:marTop w:val="0"/>
      <w:marBottom w:val="0"/>
      <w:divBdr>
        <w:top w:val="none" w:sz="0" w:space="0" w:color="auto"/>
        <w:left w:val="none" w:sz="0" w:space="0" w:color="auto"/>
        <w:bottom w:val="none" w:sz="0" w:space="0" w:color="auto"/>
        <w:right w:val="none" w:sz="0" w:space="0" w:color="auto"/>
      </w:divBdr>
    </w:div>
    <w:div w:id="82344137">
      <w:bodyDiv w:val="1"/>
      <w:marLeft w:val="0"/>
      <w:marRight w:val="0"/>
      <w:marTop w:val="0"/>
      <w:marBottom w:val="0"/>
      <w:divBdr>
        <w:top w:val="none" w:sz="0" w:space="0" w:color="auto"/>
        <w:left w:val="none" w:sz="0" w:space="0" w:color="auto"/>
        <w:bottom w:val="none" w:sz="0" w:space="0" w:color="auto"/>
        <w:right w:val="none" w:sz="0" w:space="0" w:color="auto"/>
      </w:divBdr>
    </w:div>
    <w:div w:id="106855907">
      <w:bodyDiv w:val="1"/>
      <w:marLeft w:val="0"/>
      <w:marRight w:val="0"/>
      <w:marTop w:val="0"/>
      <w:marBottom w:val="0"/>
      <w:divBdr>
        <w:top w:val="none" w:sz="0" w:space="0" w:color="auto"/>
        <w:left w:val="none" w:sz="0" w:space="0" w:color="auto"/>
        <w:bottom w:val="none" w:sz="0" w:space="0" w:color="auto"/>
        <w:right w:val="none" w:sz="0" w:space="0" w:color="auto"/>
      </w:divBdr>
    </w:div>
    <w:div w:id="113140707">
      <w:bodyDiv w:val="1"/>
      <w:marLeft w:val="0"/>
      <w:marRight w:val="0"/>
      <w:marTop w:val="0"/>
      <w:marBottom w:val="0"/>
      <w:divBdr>
        <w:top w:val="none" w:sz="0" w:space="0" w:color="auto"/>
        <w:left w:val="none" w:sz="0" w:space="0" w:color="auto"/>
        <w:bottom w:val="none" w:sz="0" w:space="0" w:color="auto"/>
        <w:right w:val="none" w:sz="0" w:space="0" w:color="auto"/>
      </w:divBdr>
    </w:div>
    <w:div w:id="126897106">
      <w:bodyDiv w:val="1"/>
      <w:marLeft w:val="0"/>
      <w:marRight w:val="0"/>
      <w:marTop w:val="0"/>
      <w:marBottom w:val="0"/>
      <w:divBdr>
        <w:top w:val="none" w:sz="0" w:space="0" w:color="auto"/>
        <w:left w:val="none" w:sz="0" w:space="0" w:color="auto"/>
        <w:bottom w:val="none" w:sz="0" w:space="0" w:color="auto"/>
        <w:right w:val="none" w:sz="0" w:space="0" w:color="auto"/>
      </w:divBdr>
    </w:div>
    <w:div w:id="134225705">
      <w:bodyDiv w:val="1"/>
      <w:marLeft w:val="0"/>
      <w:marRight w:val="0"/>
      <w:marTop w:val="0"/>
      <w:marBottom w:val="0"/>
      <w:divBdr>
        <w:top w:val="none" w:sz="0" w:space="0" w:color="auto"/>
        <w:left w:val="none" w:sz="0" w:space="0" w:color="auto"/>
        <w:bottom w:val="none" w:sz="0" w:space="0" w:color="auto"/>
        <w:right w:val="none" w:sz="0" w:space="0" w:color="auto"/>
      </w:divBdr>
    </w:div>
    <w:div w:id="170606431">
      <w:bodyDiv w:val="1"/>
      <w:marLeft w:val="0"/>
      <w:marRight w:val="0"/>
      <w:marTop w:val="0"/>
      <w:marBottom w:val="0"/>
      <w:divBdr>
        <w:top w:val="none" w:sz="0" w:space="0" w:color="auto"/>
        <w:left w:val="none" w:sz="0" w:space="0" w:color="auto"/>
        <w:bottom w:val="none" w:sz="0" w:space="0" w:color="auto"/>
        <w:right w:val="none" w:sz="0" w:space="0" w:color="auto"/>
      </w:divBdr>
    </w:div>
    <w:div w:id="173611088">
      <w:bodyDiv w:val="1"/>
      <w:marLeft w:val="0"/>
      <w:marRight w:val="0"/>
      <w:marTop w:val="0"/>
      <w:marBottom w:val="0"/>
      <w:divBdr>
        <w:top w:val="none" w:sz="0" w:space="0" w:color="auto"/>
        <w:left w:val="none" w:sz="0" w:space="0" w:color="auto"/>
        <w:bottom w:val="none" w:sz="0" w:space="0" w:color="auto"/>
        <w:right w:val="none" w:sz="0" w:space="0" w:color="auto"/>
      </w:divBdr>
    </w:div>
    <w:div w:id="190647997">
      <w:bodyDiv w:val="1"/>
      <w:marLeft w:val="0"/>
      <w:marRight w:val="0"/>
      <w:marTop w:val="0"/>
      <w:marBottom w:val="0"/>
      <w:divBdr>
        <w:top w:val="none" w:sz="0" w:space="0" w:color="auto"/>
        <w:left w:val="none" w:sz="0" w:space="0" w:color="auto"/>
        <w:bottom w:val="none" w:sz="0" w:space="0" w:color="auto"/>
        <w:right w:val="none" w:sz="0" w:space="0" w:color="auto"/>
      </w:divBdr>
    </w:div>
    <w:div w:id="228656619">
      <w:bodyDiv w:val="1"/>
      <w:marLeft w:val="0"/>
      <w:marRight w:val="0"/>
      <w:marTop w:val="0"/>
      <w:marBottom w:val="0"/>
      <w:divBdr>
        <w:top w:val="none" w:sz="0" w:space="0" w:color="auto"/>
        <w:left w:val="none" w:sz="0" w:space="0" w:color="auto"/>
        <w:bottom w:val="none" w:sz="0" w:space="0" w:color="auto"/>
        <w:right w:val="none" w:sz="0" w:space="0" w:color="auto"/>
      </w:divBdr>
    </w:div>
    <w:div w:id="271016113">
      <w:bodyDiv w:val="1"/>
      <w:marLeft w:val="0"/>
      <w:marRight w:val="0"/>
      <w:marTop w:val="0"/>
      <w:marBottom w:val="0"/>
      <w:divBdr>
        <w:top w:val="none" w:sz="0" w:space="0" w:color="auto"/>
        <w:left w:val="none" w:sz="0" w:space="0" w:color="auto"/>
        <w:bottom w:val="none" w:sz="0" w:space="0" w:color="auto"/>
        <w:right w:val="none" w:sz="0" w:space="0" w:color="auto"/>
      </w:divBdr>
    </w:div>
    <w:div w:id="306593183">
      <w:bodyDiv w:val="1"/>
      <w:marLeft w:val="0"/>
      <w:marRight w:val="0"/>
      <w:marTop w:val="0"/>
      <w:marBottom w:val="0"/>
      <w:divBdr>
        <w:top w:val="none" w:sz="0" w:space="0" w:color="auto"/>
        <w:left w:val="none" w:sz="0" w:space="0" w:color="auto"/>
        <w:bottom w:val="none" w:sz="0" w:space="0" w:color="auto"/>
        <w:right w:val="none" w:sz="0" w:space="0" w:color="auto"/>
      </w:divBdr>
    </w:div>
    <w:div w:id="338242853">
      <w:bodyDiv w:val="1"/>
      <w:marLeft w:val="0"/>
      <w:marRight w:val="0"/>
      <w:marTop w:val="0"/>
      <w:marBottom w:val="0"/>
      <w:divBdr>
        <w:top w:val="none" w:sz="0" w:space="0" w:color="auto"/>
        <w:left w:val="none" w:sz="0" w:space="0" w:color="auto"/>
        <w:bottom w:val="none" w:sz="0" w:space="0" w:color="auto"/>
        <w:right w:val="none" w:sz="0" w:space="0" w:color="auto"/>
      </w:divBdr>
    </w:div>
    <w:div w:id="341202533">
      <w:bodyDiv w:val="1"/>
      <w:marLeft w:val="0"/>
      <w:marRight w:val="0"/>
      <w:marTop w:val="0"/>
      <w:marBottom w:val="0"/>
      <w:divBdr>
        <w:top w:val="none" w:sz="0" w:space="0" w:color="auto"/>
        <w:left w:val="none" w:sz="0" w:space="0" w:color="auto"/>
        <w:bottom w:val="none" w:sz="0" w:space="0" w:color="auto"/>
        <w:right w:val="none" w:sz="0" w:space="0" w:color="auto"/>
      </w:divBdr>
    </w:div>
    <w:div w:id="352809368">
      <w:bodyDiv w:val="1"/>
      <w:marLeft w:val="0"/>
      <w:marRight w:val="0"/>
      <w:marTop w:val="0"/>
      <w:marBottom w:val="0"/>
      <w:divBdr>
        <w:top w:val="none" w:sz="0" w:space="0" w:color="auto"/>
        <w:left w:val="none" w:sz="0" w:space="0" w:color="auto"/>
        <w:bottom w:val="none" w:sz="0" w:space="0" w:color="auto"/>
        <w:right w:val="none" w:sz="0" w:space="0" w:color="auto"/>
      </w:divBdr>
    </w:div>
    <w:div w:id="366638324">
      <w:bodyDiv w:val="1"/>
      <w:marLeft w:val="0"/>
      <w:marRight w:val="0"/>
      <w:marTop w:val="0"/>
      <w:marBottom w:val="0"/>
      <w:divBdr>
        <w:top w:val="none" w:sz="0" w:space="0" w:color="auto"/>
        <w:left w:val="none" w:sz="0" w:space="0" w:color="auto"/>
        <w:bottom w:val="none" w:sz="0" w:space="0" w:color="auto"/>
        <w:right w:val="none" w:sz="0" w:space="0" w:color="auto"/>
      </w:divBdr>
    </w:div>
    <w:div w:id="375858911">
      <w:bodyDiv w:val="1"/>
      <w:marLeft w:val="0"/>
      <w:marRight w:val="0"/>
      <w:marTop w:val="0"/>
      <w:marBottom w:val="0"/>
      <w:divBdr>
        <w:top w:val="none" w:sz="0" w:space="0" w:color="auto"/>
        <w:left w:val="none" w:sz="0" w:space="0" w:color="auto"/>
        <w:bottom w:val="none" w:sz="0" w:space="0" w:color="auto"/>
        <w:right w:val="none" w:sz="0" w:space="0" w:color="auto"/>
      </w:divBdr>
    </w:div>
    <w:div w:id="378748644">
      <w:bodyDiv w:val="1"/>
      <w:marLeft w:val="0"/>
      <w:marRight w:val="0"/>
      <w:marTop w:val="0"/>
      <w:marBottom w:val="0"/>
      <w:divBdr>
        <w:top w:val="none" w:sz="0" w:space="0" w:color="auto"/>
        <w:left w:val="none" w:sz="0" w:space="0" w:color="auto"/>
        <w:bottom w:val="none" w:sz="0" w:space="0" w:color="auto"/>
        <w:right w:val="none" w:sz="0" w:space="0" w:color="auto"/>
      </w:divBdr>
    </w:div>
    <w:div w:id="379398737">
      <w:bodyDiv w:val="1"/>
      <w:marLeft w:val="0"/>
      <w:marRight w:val="0"/>
      <w:marTop w:val="0"/>
      <w:marBottom w:val="0"/>
      <w:divBdr>
        <w:top w:val="none" w:sz="0" w:space="0" w:color="auto"/>
        <w:left w:val="none" w:sz="0" w:space="0" w:color="auto"/>
        <w:bottom w:val="none" w:sz="0" w:space="0" w:color="auto"/>
        <w:right w:val="none" w:sz="0" w:space="0" w:color="auto"/>
      </w:divBdr>
    </w:div>
    <w:div w:id="384647307">
      <w:bodyDiv w:val="1"/>
      <w:marLeft w:val="0"/>
      <w:marRight w:val="0"/>
      <w:marTop w:val="0"/>
      <w:marBottom w:val="0"/>
      <w:divBdr>
        <w:top w:val="none" w:sz="0" w:space="0" w:color="auto"/>
        <w:left w:val="none" w:sz="0" w:space="0" w:color="auto"/>
        <w:bottom w:val="none" w:sz="0" w:space="0" w:color="auto"/>
        <w:right w:val="none" w:sz="0" w:space="0" w:color="auto"/>
      </w:divBdr>
      <w:divsChild>
        <w:div w:id="6512978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3700598">
              <w:marLeft w:val="0"/>
              <w:marRight w:val="0"/>
              <w:marTop w:val="0"/>
              <w:marBottom w:val="0"/>
              <w:divBdr>
                <w:top w:val="none" w:sz="0" w:space="0" w:color="auto"/>
                <w:left w:val="none" w:sz="0" w:space="0" w:color="auto"/>
                <w:bottom w:val="none" w:sz="0" w:space="0" w:color="auto"/>
                <w:right w:val="none" w:sz="0" w:space="0" w:color="auto"/>
              </w:divBdr>
              <w:divsChild>
                <w:div w:id="511190421">
                  <w:marLeft w:val="0"/>
                  <w:marRight w:val="0"/>
                  <w:marTop w:val="0"/>
                  <w:marBottom w:val="0"/>
                  <w:divBdr>
                    <w:top w:val="none" w:sz="0" w:space="0" w:color="auto"/>
                    <w:left w:val="none" w:sz="0" w:space="0" w:color="auto"/>
                    <w:bottom w:val="none" w:sz="0" w:space="0" w:color="auto"/>
                    <w:right w:val="none" w:sz="0" w:space="0" w:color="auto"/>
                  </w:divBdr>
                  <w:divsChild>
                    <w:div w:id="70911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994626">
      <w:bodyDiv w:val="1"/>
      <w:marLeft w:val="0"/>
      <w:marRight w:val="0"/>
      <w:marTop w:val="0"/>
      <w:marBottom w:val="0"/>
      <w:divBdr>
        <w:top w:val="none" w:sz="0" w:space="0" w:color="auto"/>
        <w:left w:val="none" w:sz="0" w:space="0" w:color="auto"/>
        <w:bottom w:val="none" w:sz="0" w:space="0" w:color="auto"/>
        <w:right w:val="none" w:sz="0" w:space="0" w:color="auto"/>
      </w:divBdr>
    </w:div>
    <w:div w:id="392043500">
      <w:bodyDiv w:val="1"/>
      <w:marLeft w:val="0"/>
      <w:marRight w:val="0"/>
      <w:marTop w:val="0"/>
      <w:marBottom w:val="0"/>
      <w:divBdr>
        <w:top w:val="none" w:sz="0" w:space="0" w:color="auto"/>
        <w:left w:val="none" w:sz="0" w:space="0" w:color="auto"/>
        <w:bottom w:val="none" w:sz="0" w:space="0" w:color="auto"/>
        <w:right w:val="none" w:sz="0" w:space="0" w:color="auto"/>
      </w:divBdr>
    </w:div>
    <w:div w:id="395015541">
      <w:bodyDiv w:val="1"/>
      <w:marLeft w:val="0"/>
      <w:marRight w:val="0"/>
      <w:marTop w:val="0"/>
      <w:marBottom w:val="0"/>
      <w:divBdr>
        <w:top w:val="none" w:sz="0" w:space="0" w:color="auto"/>
        <w:left w:val="none" w:sz="0" w:space="0" w:color="auto"/>
        <w:bottom w:val="none" w:sz="0" w:space="0" w:color="auto"/>
        <w:right w:val="none" w:sz="0" w:space="0" w:color="auto"/>
      </w:divBdr>
    </w:div>
    <w:div w:id="398868013">
      <w:bodyDiv w:val="1"/>
      <w:marLeft w:val="0"/>
      <w:marRight w:val="0"/>
      <w:marTop w:val="0"/>
      <w:marBottom w:val="0"/>
      <w:divBdr>
        <w:top w:val="none" w:sz="0" w:space="0" w:color="auto"/>
        <w:left w:val="none" w:sz="0" w:space="0" w:color="auto"/>
        <w:bottom w:val="none" w:sz="0" w:space="0" w:color="auto"/>
        <w:right w:val="none" w:sz="0" w:space="0" w:color="auto"/>
      </w:divBdr>
      <w:divsChild>
        <w:div w:id="1842160277">
          <w:marLeft w:val="0"/>
          <w:marRight w:val="0"/>
          <w:marTop w:val="0"/>
          <w:marBottom w:val="0"/>
          <w:divBdr>
            <w:top w:val="none" w:sz="0" w:space="0" w:color="auto"/>
            <w:left w:val="none" w:sz="0" w:space="0" w:color="auto"/>
            <w:bottom w:val="none" w:sz="0" w:space="0" w:color="auto"/>
            <w:right w:val="none" w:sz="0" w:space="0" w:color="auto"/>
          </w:divBdr>
          <w:divsChild>
            <w:div w:id="1144815030">
              <w:marLeft w:val="0"/>
              <w:marRight w:val="0"/>
              <w:marTop w:val="0"/>
              <w:marBottom w:val="0"/>
              <w:divBdr>
                <w:top w:val="none" w:sz="0" w:space="0" w:color="auto"/>
                <w:left w:val="none" w:sz="0" w:space="0" w:color="auto"/>
                <w:bottom w:val="none" w:sz="0" w:space="0" w:color="auto"/>
                <w:right w:val="none" w:sz="0" w:space="0" w:color="auto"/>
              </w:divBdr>
            </w:div>
          </w:divsChild>
        </w:div>
        <w:div w:id="2097826484">
          <w:marLeft w:val="0"/>
          <w:marRight w:val="0"/>
          <w:marTop w:val="0"/>
          <w:marBottom w:val="0"/>
          <w:divBdr>
            <w:top w:val="none" w:sz="0" w:space="0" w:color="auto"/>
            <w:left w:val="none" w:sz="0" w:space="0" w:color="auto"/>
            <w:bottom w:val="none" w:sz="0" w:space="0" w:color="auto"/>
            <w:right w:val="none" w:sz="0" w:space="0" w:color="auto"/>
          </w:divBdr>
          <w:divsChild>
            <w:div w:id="1003625434">
              <w:marLeft w:val="0"/>
              <w:marRight w:val="0"/>
              <w:marTop w:val="0"/>
              <w:marBottom w:val="0"/>
              <w:divBdr>
                <w:top w:val="none" w:sz="0" w:space="0" w:color="auto"/>
                <w:left w:val="none" w:sz="0" w:space="0" w:color="auto"/>
                <w:bottom w:val="none" w:sz="0" w:space="0" w:color="auto"/>
                <w:right w:val="none" w:sz="0" w:space="0" w:color="auto"/>
              </w:divBdr>
            </w:div>
          </w:divsChild>
        </w:div>
        <w:div w:id="524292008">
          <w:marLeft w:val="0"/>
          <w:marRight w:val="0"/>
          <w:marTop w:val="0"/>
          <w:marBottom w:val="0"/>
          <w:divBdr>
            <w:top w:val="none" w:sz="0" w:space="0" w:color="auto"/>
            <w:left w:val="none" w:sz="0" w:space="0" w:color="auto"/>
            <w:bottom w:val="none" w:sz="0" w:space="0" w:color="auto"/>
            <w:right w:val="none" w:sz="0" w:space="0" w:color="auto"/>
          </w:divBdr>
          <w:divsChild>
            <w:div w:id="2090420723">
              <w:marLeft w:val="0"/>
              <w:marRight w:val="0"/>
              <w:marTop w:val="0"/>
              <w:marBottom w:val="0"/>
              <w:divBdr>
                <w:top w:val="none" w:sz="0" w:space="0" w:color="auto"/>
                <w:left w:val="none" w:sz="0" w:space="0" w:color="auto"/>
                <w:bottom w:val="none" w:sz="0" w:space="0" w:color="auto"/>
                <w:right w:val="none" w:sz="0" w:space="0" w:color="auto"/>
              </w:divBdr>
            </w:div>
          </w:divsChild>
        </w:div>
        <w:div w:id="581718796">
          <w:marLeft w:val="0"/>
          <w:marRight w:val="0"/>
          <w:marTop w:val="0"/>
          <w:marBottom w:val="0"/>
          <w:divBdr>
            <w:top w:val="none" w:sz="0" w:space="0" w:color="auto"/>
            <w:left w:val="none" w:sz="0" w:space="0" w:color="auto"/>
            <w:bottom w:val="none" w:sz="0" w:space="0" w:color="auto"/>
            <w:right w:val="none" w:sz="0" w:space="0" w:color="auto"/>
          </w:divBdr>
          <w:divsChild>
            <w:div w:id="988750458">
              <w:marLeft w:val="0"/>
              <w:marRight w:val="0"/>
              <w:marTop w:val="0"/>
              <w:marBottom w:val="0"/>
              <w:divBdr>
                <w:top w:val="none" w:sz="0" w:space="0" w:color="auto"/>
                <w:left w:val="none" w:sz="0" w:space="0" w:color="auto"/>
                <w:bottom w:val="none" w:sz="0" w:space="0" w:color="auto"/>
                <w:right w:val="none" w:sz="0" w:space="0" w:color="auto"/>
              </w:divBdr>
            </w:div>
          </w:divsChild>
        </w:div>
        <w:div w:id="509025101">
          <w:marLeft w:val="0"/>
          <w:marRight w:val="0"/>
          <w:marTop w:val="0"/>
          <w:marBottom w:val="0"/>
          <w:divBdr>
            <w:top w:val="none" w:sz="0" w:space="0" w:color="auto"/>
            <w:left w:val="none" w:sz="0" w:space="0" w:color="auto"/>
            <w:bottom w:val="none" w:sz="0" w:space="0" w:color="auto"/>
            <w:right w:val="none" w:sz="0" w:space="0" w:color="auto"/>
          </w:divBdr>
          <w:divsChild>
            <w:div w:id="391733823">
              <w:marLeft w:val="0"/>
              <w:marRight w:val="0"/>
              <w:marTop w:val="0"/>
              <w:marBottom w:val="0"/>
              <w:divBdr>
                <w:top w:val="none" w:sz="0" w:space="0" w:color="auto"/>
                <w:left w:val="none" w:sz="0" w:space="0" w:color="auto"/>
                <w:bottom w:val="none" w:sz="0" w:space="0" w:color="auto"/>
                <w:right w:val="none" w:sz="0" w:space="0" w:color="auto"/>
              </w:divBdr>
            </w:div>
          </w:divsChild>
        </w:div>
        <w:div w:id="1686056717">
          <w:marLeft w:val="0"/>
          <w:marRight w:val="0"/>
          <w:marTop w:val="0"/>
          <w:marBottom w:val="0"/>
          <w:divBdr>
            <w:top w:val="none" w:sz="0" w:space="0" w:color="auto"/>
            <w:left w:val="none" w:sz="0" w:space="0" w:color="auto"/>
            <w:bottom w:val="none" w:sz="0" w:space="0" w:color="auto"/>
            <w:right w:val="none" w:sz="0" w:space="0" w:color="auto"/>
          </w:divBdr>
          <w:divsChild>
            <w:div w:id="1898196918">
              <w:marLeft w:val="0"/>
              <w:marRight w:val="0"/>
              <w:marTop w:val="0"/>
              <w:marBottom w:val="0"/>
              <w:divBdr>
                <w:top w:val="none" w:sz="0" w:space="0" w:color="auto"/>
                <w:left w:val="none" w:sz="0" w:space="0" w:color="auto"/>
                <w:bottom w:val="none" w:sz="0" w:space="0" w:color="auto"/>
                <w:right w:val="none" w:sz="0" w:space="0" w:color="auto"/>
              </w:divBdr>
            </w:div>
          </w:divsChild>
        </w:div>
        <w:div w:id="94594698">
          <w:marLeft w:val="0"/>
          <w:marRight w:val="0"/>
          <w:marTop w:val="0"/>
          <w:marBottom w:val="0"/>
          <w:divBdr>
            <w:top w:val="none" w:sz="0" w:space="0" w:color="auto"/>
            <w:left w:val="none" w:sz="0" w:space="0" w:color="auto"/>
            <w:bottom w:val="none" w:sz="0" w:space="0" w:color="auto"/>
            <w:right w:val="none" w:sz="0" w:space="0" w:color="auto"/>
          </w:divBdr>
          <w:divsChild>
            <w:div w:id="738211003">
              <w:marLeft w:val="0"/>
              <w:marRight w:val="0"/>
              <w:marTop w:val="0"/>
              <w:marBottom w:val="0"/>
              <w:divBdr>
                <w:top w:val="none" w:sz="0" w:space="0" w:color="auto"/>
                <w:left w:val="none" w:sz="0" w:space="0" w:color="auto"/>
                <w:bottom w:val="none" w:sz="0" w:space="0" w:color="auto"/>
                <w:right w:val="none" w:sz="0" w:space="0" w:color="auto"/>
              </w:divBdr>
            </w:div>
          </w:divsChild>
        </w:div>
        <w:div w:id="1049839948">
          <w:marLeft w:val="0"/>
          <w:marRight w:val="0"/>
          <w:marTop w:val="0"/>
          <w:marBottom w:val="0"/>
          <w:divBdr>
            <w:top w:val="none" w:sz="0" w:space="0" w:color="auto"/>
            <w:left w:val="none" w:sz="0" w:space="0" w:color="auto"/>
            <w:bottom w:val="none" w:sz="0" w:space="0" w:color="auto"/>
            <w:right w:val="none" w:sz="0" w:space="0" w:color="auto"/>
          </w:divBdr>
          <w:divsChild>
            <w:div w:id="1961060531">
              <w:marLeft w:val="0"/>
              <w:marRight w:val="0"/>
              <w:marTop w:val="0"/>
              <w:marBottom w:val="0"/>
              <w:divBdr>
                <w:top w:val="none" w:sz="0" w:space="0" w:color="auto"/>
                <w:left w:val="none" w:sz="0" w:space="0" w:color="auto"/>
                <w:bottom w:val="none" w:sz="0" w:space="0" w:color="auto"/>
                <w:right w:val="none" w:sz="0" w:space="0" w:color="auto"/>
              </w:divBdr>
            </w:div>
          </w:divsChild>
        </w:div>
        <w:div w:id="1156990562">
          <w:marLeft w:val="0"/>
          <w:marRight w:val="0"/>
          <w:marTop w:val="0"/>
          <w:marBottom w:val="0"/>
          <w:divBdr>
            <w:top w:val="none" w:sz="0" w:space="0" w:color="auto"/>
            <w:left w:val="none" w:sz="0" w:space="0" w:color="auto"/>
            <w:bottom w:val="none" w:sz="0" w:space="0" w:color="auto"/>
            <w:right w:val="none" w:sz="0" w:space="0" w:color="auto"/>
          </w:divBdr>
          <w:divsChild>
            <w:div w:id="1948462692">
              <w:marLeft w:val="0"/>
              <w:marRight w:val="0"/>
              <w:marTop w:val="0"/>
              <w:marBottom w:val="0"/>
              <w:divBdr>
                <w:top w:val="none" w:sz="0" w:space="0" w:color="auto"/>
                <w:left w:val="none" w:sz="0" w:space="0" w:color="auto"/>
                <w:bottom w:val="none" w:sz="0" w:space="0" w:color="auto"/>
                <w:right w:val="none" w:sz="0" w:space="0" w:color="auto"/>
              </w:divBdr>
            </w:div>
          </w:divsChild>
        </w:div>
        <w:div w:id="362900582">
          <w:marLeft w:val="0"/>
          <w:marRight w:val="0"/>
          <w:marTop w:val="0"/>
          <w:marBottom w:val="0"/>
          <w:divBdr>
            <w:top w:val="none" w:sz="0" w:space="0" w:color="auto"/>
            <w:left w:val="none" w:sz="0" w:space="0" w:color="auto"/>
            <w:bottom w:val="none" w:sz="0" w:space="0" w:color="auto"/>
            <w:right w:val="none" w:sz="0" w:space="0" w:color="auto"/>
          </w:divBdr>
          <w:divsChild>
            <w:div w:id="92768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9639">
      <w:bodyDiv w:val="1"/>
      <w:marLeft w:val="0"/>
      <w:marRight w:val="0"/>
      <w:marTop w:val="0"/>
      <w:marBottom w:val="0"/>
      <w:divBdr>
        <w:top w:val="none" w:sz="0" w:space="0" w:color="auto"/>
        <w:left w:val="none" w:sz="0" w:space="0" w:color="auto"/>
        <w:bottom w:val="none" w:sz="0" w:space="0" w:color="auto"/>
        <w:right w:val="none" w:sz="0" w:space="0" w:color="auto"/>
      </w:divBdr>
    </w:div>
    <w:div w:id="437483349">
      <w:bodyDiv w:val="1"/>
      <w:marLeft w:val="0"/>
      <w:marRight w:val="0"/>
      <w:marTop w:val="0"/>
      <w:marBottom w:val="0"/>
      <w:divBdr>
        <w:top w:val="none" w:sz="0" w:space="0" w:color="auto"/>
        <w:left w:val="none" w:sz="0" w:space="0" w:color="auto"/>
        <w:bottom w:val="none" w:sz="0" w:space="0" w:color="auto"/>
        <w:right w:val="none" w:sz="0" w:space="0" w:color="auto"/>
      </w:divBdr>
    </w:div>
    <w:div w:id="440492466">
      <w:bodyDiv w:val="1"/>
      <w:marLeft w:val="0"/>
      <w:marRight w:val="0"/>
      <w:marTop w:val="0"/>
      <w:marBottom w:val="0"/>
      <w:divBdr>
        <w:top w:val="none" w:sz="0" w:space="0" w:color="auto"/>
        <w:left w:val="none" w:sz="0" w:space="0" w:color="auto"/>
        <w:bottom w:val="none" w:sz="0" w:space="0" w:color="auto"/>
        <w:right w:val="none" w:sz="0" w:space="0" w:color="auto"/>
      </w:divBdr>
    </w:div>
    <w:div w:id="442579698">
      <w:bodyDiv w:val="1"/>
      <w:marLeft w:val="0"/>
      <w:marRight w:val="0"/>
      <w:marTop w:val="0"/>
      <w:marBottom w:val="0"/>
      <w:divBdr>
        <w:top w:val="none" w:sz="0" w:space="0" w:color="auto"/>
        <w:left w:val="none" w:sz="0" w:space="0" w:color="auto"/>
        <w:bottom w:val="none" w:sz="0" w:space="0" w:color="auto"/>
        <w:right w:val="none" w:sz="0" w:space="0" w:color="auto"/>
      </w:divBdr>
    </w:div>
    <w:div w:id="451942534">
      <w:bodyDiv w:val="1"/>
      <w:marLeft w:val="0"/>
      <w:marRight w:val="0"/>
      <w:marTop w:val="0"/>
      <w:marBottom w:val="0"/>
      <w:divBdr>
        <w:top w:val="none" w:sz="0" w:space="0" w:color="auto"/>
        <w:left w:val="none" w:sz="0" w:space="0" w:color="auto"/>
        <w:bottom w:val="none" w:sz="0" w:space="0" w:color="auto"/>
        <w:right w:val="none" w:sz="0" w:space="0" w:color="auto"/>
      </w:divBdr>
    </w:div>
    <w:div w:id="457843705">
      <w:bodyDiv w:val="1"/>
      <w:marLeft w:val="0"/>
      <w:marRight w:val="0"/>
      <w:marTop w:val="0"/>
      <w:marBottom w:val="0"/>
      <w:divBdr>
        <w:top w:val="none" w:sz="0" w:space="0" w:color="auto"/>
        <w:left w:val="none" w:sz="0" w:space="0" w:color="auto"/>
        <w:bottom w:val="none" w:sz="0" w:space="0" w:color="auto"/>
        <w:right w:val="none" w:sz="0" w:space="0" w:color="auto"/>
      </w:divBdr>
    </w:div>
    <w:div w:id="471676064">
      <w:bodyDiv w:val="1"/>
      <w:marLeft w:val="0"/>
      <w:marRight w:val="0"/>
      <w:marTop w:val="0"/>
      <w:marBottom w:val="0"/>
      <w:divBdr>
        <w:top w:val="none" w:sz="0" w:space="0" w:color="auto"/>
        <w:left w:val="none" w:sz="0" w:space="0" w:color="auto"/>
        <w:bottom w:val="none" w:sz="0" w:space="0" w:color="auto"/>
        <w:right w:val="none" w:sz="0" w:space="0" w:color="auto"/>
      </w:divBdr>
    </w:div>
    <w:div w:id="527375564">
      <w:bodyDiv w:val="1"/>
      <w:marLeft w:val="0"/>
      <w:marRight w:val="0"/>
      <w:marTop w:val="0"/>
      <w:marBottom w:val="0"/>
      <w:divBdr>
        <w:top w:val="none" w:sz="0" w:space="0" w:color="auto"/>
        <w:left w:val="none" w:sz="0" w:space="0" w:color="auto"/>
        <w:bottom w:val="none" w:sz="0" w:space="0" w:color="auto"/>
        <w:right w:val="none" w:sz="0" w:space="0" w:color="auto"/>
      </w:divBdr>
    </w:div>
    <w:div w:id="539824819">
      <w:bodyDiv w:val="1"/>
      <w:marLeft w:val="0"/>
      <w:marRight w:val="0"/>
      <w:marTop w:val="0"/>
      <w:marBottom w:val="0"/>
      <w:divBdr>
        <w:top w:val="none" w:sz="0" w:space="0" w:color="auto"/>
        <w:left w:val="none" w:sz="0" w:space="0" w:color="auto"/>
        <w:bottom w:val="none" w:sz="0" w:space="0" w:color="auto"/>
        <w:right w:val="none" w:sz="0" w:space="0" w:color="auto"/>
      </w:divBdr>
    </w:div>
    <w:div w:id="541480516">
      <w:bodyDiv w:val="1"/>
      <w:marLeft w:val="0"/>
      <w:marRight w:val="0"/>
      <w:marTop w:val="0"/>
      <w:marBottom w:val="0"/>
      <w:divBdr>
        <w:top w:val="none" w:sz="0" w:space="0" w:color="auto"/>
        <w:left w:val="none" w:sz="0" w:space="0" w:color="auto"/>
        <w:bottom w:val="none" w:sz="0" w:space="0" w:color="auto"/>
        <w:right w:val="none" w:sz="0" w:space="0" w:color="auto"/>
      </w:divBdr>
    </w:div>
    <w:div w:id="543834702">
      <w:bodyDiv w:val="1"/>
      <w:marLeft w:val="0"/>
      <w:marRight w:val="0"/>
      <w:marTop w:val="0"/>
      <w:marBottom w:val="0"/>
      <w:divBdr>
        <w:top w:val="none" w:sz="0" w:space="0" w:color="auto"/>
        <w:left w:val="none" w:sz="0" w:space="0" w:color="auto"/>
        <w:bottom w:val="none" w:sz="0" w:space="0" w:color="auto"/>
        <w:right w:val="none" w:sz="0" w:space="0" w:color="auto"/>
      </w:divBdr>
    </w:div>
    <w:div w:id="554967741">
      <w:bodyDiv w:val="1"/>
      <w:marLeft w:val="0"/>
      <w:marRight w:val="0"/>
      <w:marTop w:val="0"/>
      <w:marBottom w:val="0"/>
      <w:divBdr>
        <w:top w:val="none" w:sz="0" w:space="0" w:color="auto"/>
        <w:left w:val="none" w:sz="0" w:space="0" w:color="auto"/>
        <w:bottom w:val="none" w:sz="0" w:space="0" w:color="auto"/>
        <w:right w:val="none" w:sz="0" w:space="0" w:color="auto"/>
      </w:divBdr>
      <w:divsChild>
        <w:div w:id="1052851398">
          <w:marLeft w:val="0"/>
          <w:marRight w:val="0"/>
          <w:marTop w:val="0"/>
          <w:marBottom w:val="0"/>
          <w:divBdr>
            <w:top w:val="none" w:sz="0" w:space="0" w:color="auto"/>
            <w:left w:val="none" w:sz="0" w:space="0" w:color="auto"/>
            <w:bottom w:val="none" w:sz="0" w:space="0" w:color="auto"/>
            <w:right w:val="none" w:sz="0" w:space="0" w:color="auto"/>
          </w:divBdr>
          <w:divsChild>
            <w:div w:id="688524510">
              <w:marLeft w:val="0"/>
              <w:marRight w:val="0"/>
              <w:marTop w:val="0"/>
              <w:marBottom w:val="0"/>
              <w:divBdr>
                <w:top w:val="none" w:sz="0" w:space="0" w:color="auto"/>
                <w:left w:val="none" w:sz="0" w:space="0" w:color="auto"/>
                <w:bottom w:val="none" w:sz="0" w:space="0" w:color="auto"/>
                <w:right w:val="none" w:sz="0" w:space="0" w:color="auto"/>
              </w:divBdr>
              <w:divsChild>
                <w:div w:id="2070380050">
                  <w:marLeft w:val="0"/>
                  <w:marRight w:val="0"/>
                  <w:marTop w:val="0"/>
                  <w:marBottom w:val="0"/>
                  <w:divBdr>
                    <w:top w:val="none" w:sz="0" w:space="0" w:color="auto"/>
                    <w:left w:val="none" w:sz="0" w:space="0" w:color="auto"/>
                    <w:bottom w:val="none" w:sz="0" w:space="0" w:color="auto"/>
                    <w:right w:val="none" w:sz="0" w:space="0" w:color="auto"/>
                  </w:divBdr>
                  <w:divsChild>
                    <w:div w:id="19101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705744">
      <w:bodyDiv w:val="1"/>
      <w:marLeft w:val="0"/>
      <w:marRight w:val="0"/>
      <w:marTop w:val="0"/>
      <w:marBottom w:val="0"/>
      <w:divBdr>
        <w:top w:val="none" w:sz="0" w:space="0" w:color="auto"/>
        <w:left w:val="none" w:sz="0" w:space="0" w:color="auto"/>
        <w:bottom w:val="none" w:sz="0" w:space="0" w:color="auto"/>
        <w:right w:val="none" w:sz="0" w:space="0" w:color="auto"/>
      </w:divBdr>
    </w:div>
    <w:div w:id="575747505">
      <w:bodyDiv w:val="1"/>
      <w:marLeft w:val="0"/>
      <w:marRight w:val="0"/>
      <w:marTop w:val="0"/>
      <w:marBottom w:val="0"/>
      <w:divBdr>
        <w:top w:val="none" w:sz="0" w:space="0" w:color="auto"/>
        <w:left w:val="none" w:sz="0" w:space="0" w:color="auto"/>
        <w:bottom w:val="none" w:sz="0" w:space="0" w:color="auto"/>
        <w:right w:val="none" w:sz="0" w:space="0" w:color="auto"/>
      </w:divBdr>
    </w:div>
    <w:div w:id="577591811">
      <w:bodyDiv w:val="1"/>
      <w:marLeft w:val="0"/>
      <w:marRight w:val="0"/>
      <w:marTop w:val="0"/>
      <w:marBottom w:val="0"/>
      <w:divBdr>
        <w:top w:val="none" w:sz="0" w:space="0" w:color="auto"/>
        <w:left w:val="none" w:sz="0" w:space="0" w:color="auto"/>
        <w:bottom w:val="none" w:sz="0" w:space="0" w:color="auto"/>
        <w:right w:val="none" w:sz="0" w:space="0" w:color="auto"/>
      </w:divBdr>
    </w:div>
    <w:div w:id="585572432">
      <w:bodyDiv w:val="1"/>
      <w:marLeft w:val="0"/>
      <w:marRight w:val="0"/>
      <w:marTop w:val="0"/>
      <w:marBottom w:val="0"/>
      <w:divBdr>
        <w:top w:val="none" w:sz="0" w:space="0" w:color="auto"/>
        <w:left w:val="none" w:sz="0" w:space="0" w:color="auto"/>
        <w:bottom w:val="none" w:sz="0" w:space="0" w:color="auto"/>
        <w:right w:val="none" w:sz="0" w:space="0" w:color="auto"/>
      </w:divBdr>
    </w:div>
    <w:div w:id="593822065">
      <w:bodyDiv w:val="1"/>
      <w:marLeft w:val="0"/>
      <w:marRight w:val="0"/>
      <w:marTop w:val="0"/>
      <w:marBottom w:val="0"/>
      <w:divBdr>
        <w:top w:val="none" w:sz="0" w:space="0" w:color="auto"/>
        <w:left w:val="none" w:sz="0" w:space="0" w:color="auto"/>
        <w:bottom w:val="none" w:sz="0" w:space="0" w:color="auto"/>
        <w:right w:val="none" w:sz="0" w:space="0" w:color="auto"/>
      </w:divBdr>
      <w:divsChild>
        <w:div w:id="568930895">
          <w:marLeft w:val="0"/>
          <w:marRight w:val="0"/>
          <w:marTop w:val="0"/>
          <w:marBottom w:val="0"/>
          <w:divBdr>
            <w:top w:val="none" w:sz="0" w:space="0" w:color="auto"/>
            <w:left w:val="none" w:sz="0" w:space="0" w:color="auto"/>
            <w:bottom w:val="none" w:sz="0" w:space="0" w:color="auto"/>
            <w:right w:val="none" w:sz="0" w:space="0" w:color="auto"/>
          </w:divBdr>
        </w:div>
        <w:div w:id="247231006">
          <w:marLeft w:val="0"/>
          <w:marRight w:val="0"/>
          <w:marTop w:val="0"/>
          <w:marBottom w:val="0"/>
          <w:divBdr>
            <w:top w:val="none" w:sz="0" w:space="0" w:color="auto"/>
            <w:left w:val="none" w:sz="0" w:space="0" w:color="auto"/>
            <w:bottom w:val="none" w:sz="0" w:space="0" w:color="auto"/>
            <w:right w:val="none" w:sz="0" w:space="0" w:color="auto"/>
          </w:divBdr>
        </w:div>
      </w:divsChild>
    </w:div>
    <w:div w:id="596719318">
      <w:bodyDiv w:val="1"/>
      <w:marLeft w:val="0"/>
      <w:marRight w:val="0"/>
      <w:marTop w:val="0"/>
      <w:marBottom w:val="0"/>
      <w:divBdr>
        <w:top w:val="none" w:sz="0" w:space="0" w:color="auto"/>
        <w:left w:val="none" w:sz="0" w:space="0" w:color="auto"/>
        <w:bottom w:val="none" w:sz="0" w:space="0" w:color="auto"/>
        <w:right w:val="none" w:sz="0" w:space="0" w:color="auto"/>
      </w:divBdr>
    </w:div>
    <w:div w:id="648170060">
      <w:bodyDiv w:val="1"/>
      <w:marLeft w:val="0"/>
      <w:marRight w:val="0"/>
      <w:marTop w:val="0"/>
      <w:marBottom w:val="0"/>
      <w:divBdr>
        <w:top w:val="none" w:sz="0" w:space="0" w:color="auto"/>
        <w:left w:val="none" w:sz="0" w:space="0" w:color="auto"/>
        <w:bottom w:val="none" w:sz="0" w:space="0" w:color="auto"/>
        <w:right w:val="none" w:sz="0" w:space="0" w:color="auto"/>
      </w:divBdr>
    </w:div>
    <w:div w:id="653028479">
      <w:bodyDiv w:val="1"/>
      <w:marLeft w:val="0"/>
      <w:marRight w:val="0"/>
      <w:marTop w:val="0"/>
      <w:marBottom w:val="0"/>
      <w:divBdr>
        <w:top w:val="none" w:sz="0" w:space="0" w:color="auto"/>
        <w:left w:val="none" w:sz="0" w:space="0" w:color="auto"/>
        <w:bottom w:val="none" w:sz="0" w:space="0" w:color="auto"/>
        <w:right w:val="none" w:sz="0" w:space="0" w:color="auto"/>
      </w:divBdr>
    </w:div>
    <w:div w:id="653678723">
      <w:bodyDiv w:val="1"/>
      <w:marLeft w:val="0"/>
      <w:marRight w:val="0"/>
      <w:marTop w:val="0"/>
      <w:marBottom w:val="0"/>
      <w:divBdr>
        <w:top w:val="none" w:sz="0" w:space="0" w:color="auto"/>
        <w:left w:val="none" w:sz="0" w:space="0" w:color="auto"/>
        <w:bottom w:val="none" w:sz="0" w:space="0" w:color="auto"/>
        <w:right w:val="none" w:sz="0" w:space="0" w:color="auto"/>
      </w:divBdr>
    </w:div>
    <w:div w:id="657269194">
      <w:bodyDiv w:val="1"/>
      <w:marLeft w:val="0"/>
      <w:marRight w:val="0"/>
      <w:marTop w:val="0"/>
      <w:marBottom w:val="0"/>
      <w:divBdr>
        <w:top w:val="none" w:sz="0" w:space="0" w:color="auto"/>
        <w:left w:val="none" w:sz="0" w:space="0" w:color="auto"/>
        <w:bottom w:val="none" w:sz="0" w:space="0" w:color="auto"/>
        <w:right w:val="none" w:sz="0" w:space="0" w:color="auto"/>
      </w:divBdr>
    </w:div>
    <w:div w:id="662008938">
      <w:bodyDiv w:val="1"/>
      <w:marLeft w:val="0"/>
      <w:marRight w:val="0"/>
      <w:marTop w:val="0"/>
      <w:marBottom w:val="0"/>
      <w:divBdr>
        <w:top w:val="none" w:sz="0" w:space="0" w:color="auto"/>
        <w:left w:val="none" w:sz="0" w:space="0" w:color="auto"/>
        <w:bottom w:val="none" w:sz="0" w:space="0" w:color="auto"/>
        <w:right w:val="none" w:sz="0" w:space="0" w:color="auto"/>
      </w:divBdr>
    </w:div>
    <w:div w:id="672999582">
      <w:bodyDiv w:val="1"/>
      <w:marLeft w:val="0"/>
      <w:marRight w:val="0"/>
      <w:marTop w:val="0"/>
      <w:marBottom w:val="0"/>
      <w:divBdr>
        <w:top w:val="none" w:sz="0" w:space="0" w:color="auto"/>
        <w:left w:val="none" w:sz="0" w:space="0" w:color="auto"/>
        <w:bottom w:val="none" w:sz="0" w:space="0" w:color="auto"/>
        <w:right w:val="none" w:sz="0" w:space="0" w:color="auto"/>
      </w:divBdr>
    </w:div>
    <w:div w:id="678120621">
      <w:bodyDiv w:val="1"/>
      <w:marLeft w:val="0"/>
      <w:marRight w:val="0"/>
      <w:marTop w:val="0"/>
      <w:marBottom w:val="0"/>
      <w:divBdr>
        <w:top w:val="none" w:sz="0" w:space="0" w:color="auto"/>
        <w:left w:val="none" w:sz="0" w:space="0" w:color="auto"/>
        <w:bottom w:val="none" w:sz="0" w:space="0" w:color="auto"/>
        <w:right w:val="none" w:sz="0" w:space="0" w:color="auto"/>
      </w:divBdr>
    </w:div>
    <w:div w:id="682440522">
      <w:bodyDiv w:val="1"/>
      <w:marLeft w:val="0"/>
      <w:marRight w:val="0"/>
      <w:marTop w:val="0"/>
      <w:marBottom w:val="0"/>
      <w:divBdr>
        <w:top w:val="none" w:sz="0" w:space="0" w:color="auto"/>
        <w:left w:val="none" w:sz="0" w:space="0" w:color="auto"/>
        <w:bottom w:val="none" w:sz="0" w:space="0" w:color="auto"/>
        <w:right w:val="none" w:sz="0" w:space="0" w:color="auto"/>
      </w:divBdr>
    </w:div>
    <w:div w:id="685326550">
      <w:bodyDiv w:val="1"/>
      <w:marLeft w:val="0"/>
      <w:marRight w:val="0"/>
      <w:marTop w:val="0"/>
      <w:marBottom w:val="0"/>
      <w:divBdr>
        <w:top w:val="none" w:sz="0" w:space="0" w:color="auto"/>
        <w:left w:val="none" w:sz="0" w:space="0" w:color="auto"/>
        <w:bottom w:val="none" w:sz="0" w:space="0" w:color="auto"/>
        <w:right w:val="none" w:sz="0" w:space="0" w:color="auto"/>
      </w:divBdr>
    </w:div>
    <w:div w:id="702287192">
      <w:bodyDiv w:val="1"/>
      <w:marLeft w:val="0"/>
      <w:marRight w:val="0"/>
      <w:marTop w:val="0"/>
      <w:marBottom w:val="0"/>
      <w:divBdr>
        <w:top w:val="none" w:sz="0" w:space="0" w:color="auto"/>
        <w:left w:val="none" w:sz="0" w:space="0" w:color="auto"/>
        <w:bottom w:val="none" w:sz="0" w:space="0" w:color="auto"/>
        <w:right w:val="none" w:sz="0" w:space="0" w:color="auto"/>
      </w:divBdr>
    </w:div>
    <w:div w:id="710886950">
      <w:bodyDiv w:val="1"/>
      <w:marLeft w:val="0"/>
      <w:marRight w:val="0"/>
      <w:marTop w:val="0"/>
      <w:marBottom w:val="0"/>
      <w:divBdr>
        <w:top w:val="none" w:sz="0" w:space="0" w:color="auto"/>
        <w:left w:val="none" w:sz="0" w:space="0" w:color="auto"/>
        <w:bottom w:val="none" w:sz="0" w:space="0" w:color="auto"/>
        <w:right w:val="none" w:sz="0" w:space="0" w:color="auto"/>
      </w:divBdr>
    </w:div>
    <w:div w:id="755129742">
      <w:bodyDiv w:val="1"/>
      <w:marLeft w:val="0"/>
      <w:marRight w:val="0"/>
      <w:marTop w:val="0"/>
      <w:marBottom w:val="0"/>
      <w:divBdr>
        <w:top w:val="none" w:sz="0" w:space="0" w:color="auto"/>
        <w:left w:val="none" w:sz="0" w:space="0" w:color="auto"/>
        <w:bottom w:val="none" w:sz="0" w:space="0" w:color="auto"/>
        <w:right w:val="none" w:sz="0" w:space="0" w:color="auto"/>
      </w:divBdr>
    </w:div>
    <w:div w:id="759988175">
      <w:bodyDiv w:val="1"/>
      <w:marLeft w:val="0"/>
      <w:marRight w:val="0"/>
      <w:marTop w:val="0"/>
      <w:marBottom w:val="0"/>
      <w:divBdr>
        <w:top w:val="none" w:sz="0" w:space="0" w:color="auto"/>
        <w:left w:val="none" w:sz="0" w:space="0" w:color="auto"/>
        <w:bottom w:val="none" w:sz="0" w:space="0" w:color="auto"/>
        <w:right w:val="none" w:sz="0" w:space="0" w:color="auto"/>
      </w:divBdr>
    </w:div>
    <w:div w:id="763454507">
      <w:bodyDiv w:val="1"/>
      <w:marLeft w:val="0"/>
      <w:marRight w:val="0"/>
      <w:marTop w:val="0"/>
      <w:marBottom w:val="0"/>
      <w:divBdr>
        <w:top w:val="none" w:sz="0" w:space="0" w:color="auto"/>
        <w:left w:val="none" w:sz="0" w:space="0" w:color="auto"/>
        <w:bottom w:val="none" w:sz="0" w:space="0" w:color="auto"/>
        <w:right w:val="none" w:sz="0" w:space="0" w:color="auto"/>
      </w:divBdr>
    </w:div>
    <w:div w:id="768893559">
      <w:bodyDiv w:val="1"/>
      <w:marLeft w:val="0"/>
      <w:marRight w:val="0"/>
      <w:marTop w:val="0"/>
      <w:marBottom w:val="0"/>
      <w:divBdr>
        <w:top w:val="none" w:sz="0" w:space="0" w:color="auto"/>
        <w:left w:val="none" w:sz="0" w:space="0" w:color="auto"/>
        <w:bottom w:val="none" w:sz="0" w:space="0" w:color="auto"/>
        <w:right w:val="none" w:sz="0" w:space="0" w:color="auto"/>
      </w:divBdr>
    </w:div>
    <w:div w:id="804352462">
      <w:bodyDiv w:val="1"/>
      <w:marLeft w:val="0"/>
      <w:marRight w:val="0"/>
      <w:marTop w:val="0"/>
      <w:marBottom w:val="0"/>
      <w:divBdr>
        <w:top w:val="none" w:sz="0" w:space="0" w:color="auto"/>
        <w:left w:val="none" w:sz="0" w:space="0" w:color="auto"/>
        <w:bottom w:val="none" w:sz="0" w:space="0" w:color="auto"/>
        <w:right w:val="none" w:sz="0" w:space="0" w:color="auto"/>
      </w:divBdr>
    </w:div>
    <w:div w:id="823934340">
      <w:bodyDiv w:val="1"/>
      <w:marLeft w:val="0"/>
      <w:marRight w:val="0"/>
      <w:marTop w:val="0"/>
      <w:marBottom w:val="0"/>
      <w:divBdr>
        <w:top w:val="none" w:sz="0" w:space="0" w:color="auto"/>
        <w:left w:val="none" w:sz="0" w:space="0" w:color="auto"/>
        <w:bottom w:val="none" w:sz="0" w:space="0" w:color="auto"/>
        <w:right w:val="none" w:sz="0" w:space="0" w:color="auto"/>
      </w:divBdr>
    </w:div>
    <w:div w:id="830023136">
      <w:bodyDiv w:val="1"/>
      <w:marLeft w:val="0"/>
      <w:marRight w:val="0"/>
      <w:marTop w:val="0"/>
      <w:marBottom w:val="0"/>
      <w:divBdr>
        <w:top w:val="none" w:sz="0" w:space="0" w:color="auto"/>
        <w:left w:val="none" w:sz="0" w:space="0" w:color="auto"/>
        <w:bottom w:val="none" w:sz="0" w:space="0" w:color="auto"/>
        <w:right w:val="none" w:sz="0" w:space="0" w:color="auto"/>
      </w:divBdr>
    </w:div>
    <w:div w:id="861819729">
      <w:bodyDiv w:val="1"/>
      <w:marLeft w:val="0"/>
      <w:marRight w:val="0"/>
      <w:marTop w:val="0"/>
      <w:marBottom w:val="0"/>
      <w:divBdr>
        <w:top w:val="none" w:sz="0" w:space="0" w:color="auto"/>
        <w:left w:val="none" w:sz="0" w:space="0" w:color="auto"/>
        <w:bottom w:val="none" w:sz="0" w:space="0" w:color="auto"/>
        <w:right w:val="none" w:sz="0" w:space="0" w:color="auto"/>
      </w:divBdr>
    </w:div>
    <w:div w:id="862741816">
      <w:bodyDiv w:val="1"/>
      <w:marLeft w:val="0"/>
      <w:marRight w:val="0"/>
      <w:marTop w:val="0"/>
      <w:marBottom w:val="0"/>
      <w:divBdr>
        <w:top w:val="none" w:sz="0" w:space="0" w:color="auto"/>
        <w:left w:val="none" w:sz="0" w:space="0" w:color="auto"/>
        <w:bottom w:val="none" w:sz="0" w:space="0" w:color="auto"/>
        <w:right w:val="none" w:sz="0" w:space="0" w:color="auto"/>
      </w:divBdr>
    </w:div>
    <w:div w:id="863395997">
      <w:bodyDiv w:val="1"/>
      <w:marLeft w:val="0"/>
      <w:marRight w:val="0"/>
      <w:marTop w:val="0"/>
      <w:marBottom w:val="0"/>
      <w:divBdr>
        <w:top w:val="none" w:sz="0" w:space="0" w:color="auto"/>
        <w:left w:val="none" w:sz="0" w:space="0" w:color="auto"/>
        <w:bottom w:val="none" w:sz="0" w:space="0" w:color="auto"/>
        <w:right w:val="none" w:sz="0" w:space="0" w:color="auto"/>
      </w:divBdr>
    </w:div>
    <w:div w:id="866599233">
      <w:bodyDiv w:val="1"/>
      <w:marLeft w:val="0"/>
      <w:marRight w:val="0"/>
      <w:marTop w:val="0"/>
      <w:marBottom w:val="0"/>
      <w:divBdr>
        <w:top w:val="none" w:sz="0" w:space="0" w:color="auto"/>
        <w:left w:val="none" w:sz="0" w:space="0" w:color="auto"/>
        <w:bottom w:val="none" w:sz="0" w:space="0" w:color="auto"/>
        <w:right w:val="none" w:sz="0" w:space="0" w:color="auto"/>
      </w:divBdr>
    </w:div>
    <w:div w:id="880751624">
      <w:bodyDiv w:val="1"/>
      <w:marLeft w:val="0"/>
      <w:marRight w:val="0"/>
      <w:marTop w:val="0"/>
      <w:marBottom w:val="0"/>
      <w:divBdr>
        <w:top w:val="none" w:sz="0" w:space="0" w:color="auto"/>
        <w:left w:val="none" w:sz="0" w:space="0" w:color="auto"/>
        <w:bottom w:val="none" w:sz="0" w:space="0" w:color="auto"/>
        <w:right w:val="none" w:sz="0" w:space="0" w:color="auto"/>
      </w:divBdr>
    </w:div>
    <w:div w:id="894854751">
      <w:bodyDiv w:val="1"/>
      <w:marLeft w:val="0"/>
      <w:marRight w:val="0"/>
      <w:marTop w:val="0"/>
      <w:marBottom w:val="0"/>
      <w:divBdr>
        <w:top w:val="none" w:sz="0" w:space="0" w:color="auto"/>
        <w:left w:val="none" w:sz="0" w:space="0" w:color="auto"/>
        <w:bottom w:val="none" w:sz="0" w:space="0" w:color="auto"/>
        <w:right w:val="none" w:sz="0" w:space="0" w:color="auto"/>
      </w:divBdr>
    </w:div>
    <w:div w:id="914318787">
      <w:bodyDiv w:val="1"/>
      <w:marLeft w:val="0"/>
      <w:marRight w:val="0"/>
      <w:marTop w:val="0"/>
      <w:marBottom w:val="0"/>
      <w:divBdr>
        <w:top w:val="none" w:sz="0" w:space="0" w:color="auto"/>
        <w:left w:val="none" w:sz="0" w:space="0" w:color="auto"/>
        <w:bottom w:val="none" w:sz="0" w:space="0" w:color="auto"/>
        <w:right w:val="none" w:sz="0" w:space="0" w:color="auto"/>
      </w:divBdr>
    </w:div>
    <w:div w:id="915171641">
      <w:bodyDiv w:val="1"/>
      <w:marLeft w:val="0"/>
      <w:marRight w:val="0"/>
      <w:marTop w:val="0"/>
      <w:marBottom w:val="0"/>
      <w:divBdr>
        <w:top w:val="none" w:sz="0" w:space="0" w:color="auto"/>
        <w:left w:val="none" w:sz="0" w:space="0" w:color="auto"/>
        <w:bottom w:val="none" w:sz="0" w:space="0" w:color="auto"/>
        <w:right w:val="none" w:sz="0" w:space="0" w:color="auto"/>
      </w:divBdr>
    </w:div>
    <w:div w:id="924924364">
      <w:bodyDiv w:val="1"/>
      <w:marLeft w:val="0"/>
      <w:marRight w:val="0"/>
      <w:marTop w:val="0"/>
      <w:marBottom w:val="0"/>
      <w:divBdr>
        <w:top w:val="none" w:sz="0" w:space="0" w:color="auto"/>
        <w:left w:val="none" w:sz="0" w:space="0" w:color="auto"/>
        <w:bottom w:val="none" w:sz="0" w:space="0" w:color="auto"/>
        <w:right w:val="none" w:sz="0" w:space="0" w:color="auto"/>
      </w:divBdr>
    </w:div>
    <w:div w:id="932199184">
      <w:bodyDiv w:val="1"/>
      <w:marLeft w:val="0"/>
      <w:marRight w:val="0"/>
      <w:marTop w:val="0"/>
      <w:marBottom w:val="0"/>
      <w:divBdr>
        <w:top w:val="none" w:sz="0" w:space="0" w:color="auto"/>
        <w:left w:val="none" w:sz="0" w:space="0" w:color="auto"/>
        <w:bottom w:val="none" w:sz="0" w:space="0" w:color="auto"/>
        <w:right w:val="none" w:sz="0" w:space="0" w:color="auto"/>
      </w:divBdr>
    </w:div>
    <w:div w:id="932590135">
      <w:bodyDiv w:val="1"/>
      <w:marLeft w:val="0"/>
      <w:marRight w:val="0"/>
      <w:marTop w:val="0"/>
      <w:marBottom w:val="0"/>
      <w:divBdr>
        <w:top w:val="none" w:sz="0" w:space="0" w:color="auto"/>
        <w:left w:val="none" w:sz="0" w:space="0" w:color="auto"/>
        <w:bottom w:val="none" w:sz="0" w:space="0" w:color="auto"/>
        <w:right w:val="none" w:sz="0" w:space="0" w:color="auto"/>
      </w:divBdr>
    </w:div>
    <w:div w:id="949777198">
      <w:bodyDiv w:val="1"/>
      <w:marLeft w:val="0"/>
      <w:marRight w:val="0"/>
      <w:marTop w:val="0"/>
      <w:marBottom w:val="0"/>
      <w:divBdr>
        <w:top w:val="none" w:sz="0" w:space="0" w:color="auto"/>
        <w:left w:val="none" w:sz="0" w:space="0" w:color="auto"/>
        <w:bottom w:val="none" w:sz="0" w:space="0" w:color="auto"/>
        <w:right w:val="none" w:sz="0" w:space="0" w:color="auto"/>
      </w:divBdr>
    </w:div>
    <w:div w:id="984243847">
      <w:bodyDiv w:val="1"/>
      <w:marLeft w:val="0"/>
      <w:marRight w:val="0"/>
      <w:marTop w:val="0"/>
      <w:marBottom w:val="0"/>
      <w:divBdr>
        <w:top w:val="none" w:sz="0" w:space="0" w:color="auto"/>
        <w:left w:val="none" w:sz="0" w:space="0" w:color="auto"/>
        <w:bottom w:val="none" w:sz="0" w:space="0" w:color="auto"/>
        <w:right w:val="none" w:sz="0" w:space="0" w:color="auto"/>
      </w:divBdr>
    </w:div>
    <w:div w:id="986517710">
      <w:bodyDiv w:val="1"/>
      <w:marLeft w:val="0"/>
      <w:marRight w:val="0"/>
      <w:marTop w:val="0"/>
      <w:marBottom w:val="0"/>
      <w:divBdr>
        <w:top w:val="none" w:sz="0" w:space="0" w:color="auto"/>
        <w:left w:val="none" w:sz="0" w:space="0" w:color="auto"/>
        <w:bottom w:val="none" w:sz="0" w:space="0" w:color="auto"/>
        <w:right w:val="none" w:sz="0" w:space="0" w:color="auto"/>
      </w:divBdr>
    </w:div>
    <w:div w:id="992563917">
      <w:bodyDiv w:val="1"/>
      <w:marLeft w:val="0"/>
      <w:marRight w:val="0"/>
      <w:marTop w:val="0"/>
      <w:marBottom w:val="0"/>
      <w:divBdr>
        <w:top w:val="none" w:sz="0" w:space="0" w:color="auto"/>
        <w:left w:val="none" w:sz="0" w:space="0" w:color="auto"/>
        <w:bottom w:val="none" w:sz="0" w:space="0" w:color="auto"/>
        <w:right w:val="none" w:sz="0" w:space="0" w:color="auto"/>
      </w:divBdr>
    </w:div>
    <w:div w:id="996154728">
      <w:bodyDiv w:val="1"/>
      <w:marLeft w:val="0"/>
      <w:marRight w:val="0"/>
      <w:marTop w:val="0"/>
      <w:marBottom w:val="0"/>
      <w:divBdr>
        <w:top w:val="none" w:sz="0" w:space="0" w:color="auto"/>
        <w:left w:val="none" w:sz="0" w:space="0" w:color="auto"/>
        <w:bottom w:val="none" w:sz="0" w:space="0" w:color="auto"/>
        <w:right w:val="none" w:sz="0" w:space="0" w:color="auto"/>
      </w:divBdr>
    </w:div>
    <w:div w:id="1000230448">
      <w:bodyDiv w:val="1"/>
      <w:marLeft w:val="0"/>
      <w:marRight w:val="0"/>
      <w:marTop w:val="0"/>
      <w:marBottom w:val="0"/>
      <w:divBdr>
        <w:top w:val="none" w:sz="0" w:space="0" w:color="auto"/>
        <w:left w:val="none" w:sz="0" w:space="0" w:color="auto"/>
        <w:bottom w:val="none" w:sz="0" w:space="0" w:color="auto"/>
        <w:right w:val="none" w:sz="0" w:space="0" w:color="auto"/>
      </w:divBdr>
    </w:div>
    <w:div w:id="1002701769">
      <w:bodyDiv w:val="1"/>
      <w:marLeft w:val="0"/>
      <w:marRight w:val="0"/>
      <w:marTop w:val="0"/>
      <w:marBottom w:val="0"/>
      <w:divBdr>
        <w:top w:val="none" w:sz="0" w:space="0" w:color="auto"/>
        <w:left w:val="none" w:sz="0" w:space="0" w:color="auto"/>
        <w:bottom w:val="none" w:sz="0" w:space="0" w:color="auto"/>
        <w:right w:val="none" w:sz="0" w:space="0" w:color="auto"/>
      </w:divBdr>
    </w:div>
    <w:div w:id="1018388351">
      <w:bodyDiv w:val="1"/>
      <w:marLeft w:val="0"/>
      <w:marRight w:val="0"/>
      <w:marTop w:val="0"/>
      <w:marBottom w:val="0"/>
      <w:divBdr>
        <w:top w:val="none" w:sz="0" w:space="0" w:color="auto"/>
        <w:left w:val="none" w:sz="0" w:space="0" w:color="auto"/>
        <w:bottom w:val="none" w:sz="0" w:space="0" w:color="auto"/>
        <w:right w:val="none" w:sz="0" w:space="0" w:color="auto"/>
      </w:divBdr>
    </w:div>
    <w:div w:id="1020473260">
      <w:bodyDiv w:val="1"/>
      <w:marLeft w:val="0"/>
      <w:marRight w:val="0"/>
      <w:marTop w:val="0"/>
      <w:marBottom w:val="0"/>
      <w:divBdr>
        <w:top w:val="none" w:sz="0" w:space="0" w:color="auto"/>
        <w:left w:val="none" w:sz="0" w:space="0" w:color="auto"/>
        <w:bottom w:val="none" w:sz="0" w:space="0" w:color="auto"/>
        <w:right w:val="none" w:sz="0" w:space="0" w:color="auto"/>
      </w:divBdr>
    </w:div>
    <w:div w:id="1022391932">
      <w:bodyDiv w:val="1"/>
      <w:marLeft w:val="0"/>
      <w:marRight w:val="0"/>
      <w:marTop w:val="0"/>
      <w:marBottom w:val="0"/>
      <w:divBdr>
        <w:top w:val="none" w:sz="0" w:space="0" w:color="auto"/>
        <w:left w:val="none" w:sz="0" w:space="0" w:color="auto"/>
        <w:bottom w:val="none" w:sz="0" w:space="0" w:color="auto"/>
        <w:right w:val="none" w:sz="0" w:space="0" w:color="auto"/>
      </w:divBdr>
    </w:div>
    <w:div w:id="1029061634">
      <w:bodyDiv w:val="1"/>
      <w:marLeft w:val="0"/>
      <w:marRight w:val="0"/>
      <w:marTop w:val="0"/>
      <w:marBottom w:val="0"/>
      <w:divBdr>
        <w:top w:val="none" w:sz="0" w:space="0" w:color="auto"/>
        <w:left w:val="none" w:sz="0" w:space="0" w:color="auto"/>
        <w:bottom w:val="none" w:sz="0" w:space="0" w:color="auto"/>
        <w:right w:val="none" w:sz="0" w:space="0" w:color="auto"/>
      </w:divBdr>
    </w:div>
    <w:div w:id="1030957568">
      <w:bodyDiv w:val="1"/>
      <w:marLeft w:val="0"/>
      <w:marRight w:val="0"/>
      <w:marTop w:val="0"/>
      <w:marBottom w:val="0"/>
      <w:divBdr>
        <w:top w:val="none" w:sz="0" w:space="0" w:color="auto"/>
        <w:left w:val="none" w:sz="0" w:space="0" w:color="auto"/>
        <w:bottom w:val="none" w:sz="0" w:space="0" w:color="auto"/>
        <w:right w:val="none" w:sz="0" w:space="0" w:color="auto"/>
      </w:divBdr>
    </w:div>
    <w:div w:id="1038898319">
      <w:bodyDiv w:val="1"/>
      <w:marLeft w:val="0"/>
      <w:marRight w:val="0"/>
      <w:marTop w:val="0"/>
      <w:marBottom w:val="0"/>
      <w:divBdr>
        <w:top w:val="none" w:sz="0" w:space="0" w:color="auto"/>
        <w:left w:val="none" w:sz="0" w:space="0" w:color="auto"/>
        <w:bottom w:val="none" w:sz="0" w:space="0" w:color="auto"/>
        <w:right w:val="none" w:sz="0" w:space="0" w:color="auto"/>
      </w:divBdr>
      <w:divsChild>
        <w:div w:id="2114858306">
          <w:marLeft w:val="0"/>
          <w:marRight w:val="0"/>
          <w:marTop w:val="0"/>
          <w:marBottom w:val="0"/>
          <w:divBdr>
            <w:top w:val="none" w:sz="0" w:space="0" w:color="auto"/>
            <w:left w:val="none" w:sz="0" w:space="0" w:color="auto"/>
            <w:bottom w:val="none" w:sz="0" w:space="0" w:color="auto"/>
            <w:right w:val="none" w:sz="0" w:space="0" w:color="auto"/>
          </w:divBdr>
        </w:div>
        <w:div w:id="1354115440">
          <w:marLeft w:val="0"/>
          <w:marRight w:val="0"/>
          <w:marTop w:val="0"/>
          <w:marBottom w:val="0"/>
          <w:divBdr>
            <w:top w:val="none" w:sz="0" w:space="0" w:color="auto"/>
            <w:left w:val="none" w:sz="0" w:space="0" w:color="auto"/>
            <w:bottom w:val="none" w:sz="0" w:space="0" w:color="auto"/>
            <w:right w:val="none" w:sz="0" w:space="0" w:color="auto"/>
          </w:divBdr>
        </w:div>
        <w:div w:id="815222006">
          <w:marLeft w:val="0"/>
          <w:marRight w:val="0"/>
          <w:marTop w:val="0"/>
          <w:marBottom w:val="0"/>
          <w:divBdr>
            <w:top w:val="none" w:sz="0" w:space="0" w:color="auto"/>
            <w:left w:val="none" w:sz="0" w:space="0" w:color="auto"/>
            <w:bottom w:val="none" w:sz="0" w:space="0" w:color="auto"/>
            <w:right w:val="none" w:sz="0" w:space="0" w:color="auto"/>
          </w:divBdr>
        </w:div>
        <w:div w:id="650603726">
          <w:marLeft w:val="0"/>
          <w:marRight w:val="0"/>
          <w:marTop w:val="0"/>
          <w:marBottom w:val="0"/>
          <w:divBdr>
            <w:top w:val="none" w:sz="0" w:space="0" w:color="auto"/>
            <w:left w:val="none" w:sz="0" w:space="0" w:color="auto"/>
            <w:bottom w:val="none" w:sz="0" w:space="0" w:color="auto"/>
            <w:right w:val="none" w:sz="0" w:space="0" w:color="auto"/>
          </w:divBdr>
        </w:div>
      </w:divsChild>
    </w:div>
    <w:div w:id="1062487999">
      <w:bodyDiv w:val="1"/>
      <w:marLeft w:val="0"/>
      <w:marRight w:val="0"/>
      <w:marTop w:val="0"/>
      <w:marBottom w:val="0"/>
      <w:divBdr>
        <w:top w:val="none" w:sz="0" w:space="0" w:color="auto"/>
        <w:left w:val="none" w:sz="0" w:space="0" w:color="auto"/>
        <w:bottom w:val="none" w:sz="0" w:space="0" w:color="auto"/>
        <w:right w:val="none" w:sz="0" w:space="0" w:color="auto"/>
      </w:divBdr>
    </w:div>
    <w:div w:id="1064328843">
      <w:bodyDiv w:val="1"/>
      <w:marLeft w:val="0"/>
      <w:marRight w:val="0"/>
      <w:marTop w:val="0"/>
      <w:marBottom w:val="0"/>
      <w:divBdr>
        <w:top w:val="none" w:sz="0" w:space="0" w:color="auto"/>
        <w:left w:val="none" w:sz="0" w:space="0" w:color="auto"/>
        <w:bottom w:val="none" w:sz="0" w:space="0" w:color="auto"/>
        <w:right w:val="none" w:sz="0" w:space="0" w:color="auto"/>
      </w:divBdr>
    </w:div>
    <w:div w:id="1076364499">
      <w:bodyDiv w:val="1"/>
      <w:marLeft w:val="0"/>
      <w:marRight w:val="0"/>
      <w:marTop w:val="0"/>
      <w:marBottom w:val="0"/>
      <w:divBdr>
        <w:top w:val="none" w:sz="0" w:space="0" w:color="auto"/>
        <w:left w:val="none" w:sz="0" w:space="0" w:color="auto"/>
        <w:bottom w:val="none" w:sz="0" w:space="0" w:color="auto"/>
        <w:right w:val="none" w:sz="0" w:space="0" w:color="auto"/>
      </w:divBdr>
    </w:div>
    <w:div w:id="1099064429">
      <w:bodyDiv w:val="1"/>
      <w:marLeft w:val="0"/>
      <w:marRight w:val="0"/>
      <w:marTop w:val="0"/>
      <w:marBottom w:val="0"/>
      <w:divBdr>
        <w:top w:val="none" w:sz="0" w:space="0" w:color="auto"/>
        <w:left w:val="none" w:sz="0" w:space="0" w:color="auto"/>
        <w:bottom w:val="none" w:sz="0" w:space="0" w:color="auto"/>
        <w:right w:val="none" w:sz="0" w:space="0" w:color="auto"/>
      </w:divBdr>
    </w:div>
    <w:div w:id="1113206440">
      <w:bodyDiv w:val="1"/>
      <w:marLeft w:val="0"/>
      <w:marRight w:val="0"/>
      <w:marTop w:val="0"/>
      <w:marBottom w:val="0"/>
      <w:divBdr>
        <w:top w:val="none" w:sz="0" w:space="0" w:color="auto"/>
        <w:left w:val="none" w:sz="0" w:space="0" w:color="auto"/>
        <w:bottom w:val="none" w:sz="0" w:space="0" w:color="auto"/>
        <w:right w:val="none" w:sz="0" w:space="0" w:color="auto"/>
      </w:divBdr>
    </w:div>
    <w:div w:id="1120496020">
      <w:bodyDiv w:val="1"/>
      <w:marLeft w:val="0"/>
      <w:marRight w:val="0"/>
      <w:marTop w:val="0"/>
      <w:marBottom w:val="0"/>
      <w:divBdr>
        <w:top w:val="none" w:sz="0" w:space="0" w:color="auto"/>
        <w:left w:val="none" w:sz="0" w:space="0" w:color="auto"/>
        <w:bottom w:val="none" w:sz="0" w:space="0" w:color="auto"/>
        <w:right w:val="none" w:sz="0" w:space="0" w:color="auto"/>
      </w:divBdr>
    </w:div>
    <w:div w:id="1122765528">
      <w:bodyDiv w:val="1"/>
      <w:marLeft w:val="0"/>
      <w:marRight w:val="0"/>
      <w:marTop w:val="0"/>
      <w:marBottom w:val="0"/>
      <w:divBdr>
        <w:top w:val="none" w:sz="0" w:space="0" w:color="auto"/>
        <w:left w:val="none" w:sz="0" w:space="0" w:color="auto"/>
        <w:bottom w:val="none" w:sz="0" w:space="0" w:color="auto"/>
        <w:right w:val="none" w:sz="0" w:space="0" w:color="auto"/>
      </w:divBdr>
    </w:div>
    <w:div w:id="1129015525">
      <w:bodyDiv w:val="1"/>
      <w:marLeft w:val="0"/>
      <w:marRight w:val="0"/>
      <w:marTop w:val="0"/>
      <w:marBottom w:val="0"/>
      <w:divBdr>
        <w:top w:val="none" w:sz="0" w:space="0" w:color="auto"/>
        <w:left w:val="none" w:sz="0" w:space="0" w:color="auto"/>
        <w:bottom w:val="none" w:sz="0" w:space="0" w:color="auto"/>
        <w:right w:val="none" w:sz="0" w:space="0" w:color="auto"/>
      </w:divBdr>
    </w:div>
    <w:div w:id="1140730074">
      <w:bodyDiv w:val="1"/>
      <w:marLeft w:val="0"/>
      <w:marRight w:val="0"/>
      <w:marTop w:val="0"/>
      <w:marBottom w:val="0"/>
      <w:divBdr>
        <w:top w:val="none" w:sz="0" w:space="0" w:color="auto"/>
        <w:left w:val="none" w:sz="0" w:space="0" w:color="auto"/>
        <w:bottom w:val="none" w:sz="0" w:space="0" w:color="auto"/>
        <w:right w:val="none" w:sz="0" w:space="0" w:color="auto"/>
      </w:divBdr>
    </w:div>
    <w:div w:id="1144854740">
      <w:bodyDiv w:val="1"/>
      <w:marLeft w:val="0"/>
      <w:marRight w:val="0"/>
      <w:marTop w:val="0"/>
      <w:marBottom w:val="0"/>
      <w:divBdr>
        <w:top w:val="none" w:sz="0" w:space="0" w:color="auto"/>
        <w:left w:val="none" w:sz="0" w:space="0" w:color="auto"/>
        <w:bottom w:val="none" w:sz="0" w:space="0" w:color="auto"/>
        <w:right w:val="none" w:sz="0" w:space="0" w:color="auto"/>
      </w:divBdr>
    </w:div>
    <w:div w:id="1146312890">
      <w:bodyDiv w:val="1"/>
      <w:marLeft w:val="0"/>
      <w:marRight w:val="0"/>
      <w:marTop w:val="0"/>
      <w:marBottom w:val="0"/>
      <w:divBdr>
        <w:top w:val="none" w:sz="0" w:space="0" w:color="auto"/>
        <w:left w:val="none" w:sz="0" w:space="0" w:color="auto"/>
        <w:bottom w:val="none" w:sz="0" w:space="0" w:color="auto"/>
        <w:right w:val="none" w:sz="0" w:space="0" w:color="auto"/>
      </w:divBdr>
    </w:div>
    <w:div w:id="1169177354">
      <w:bodyDiv w:val="1"/>
      <w:marLeft w:val="0"/>
      <w:marRight w:val="0"/>
      <w:marTop w:val="0"/>
      <w:marBottom w:val="0"/>
      <w:divBdr>
        <w:top w:val="none" w:sz="0" w:space="0" w:color="auto"/>
        <w:left w:val="none" w:sz="0" w:space="0" w:color="auto"/>
        <w:bottom w:val="none" w:sz="0" w:space="0" w:color="auto"/>
        <w:right w:val="none" w:sz="0" w:space="0" w:color="auto"/>
      </w:divBdr>
    </w:div>
    <w:div w:id="1169491382">
      <w:bodyDiv w:val="1"/>
      <w:marLeft w:val="0"/>
      <w:marRight w:val="0"/>
      <w:marTop w:val="0"/>
      <w:marBottom w:val="0"/>
      <w:divBdr>
        <w:top w:val="none" w:sz="0" w:space="0" w:color="auto"/>
        <w:left w:val="none" w:sz="0" w:space="0" w:color="auto"/>
        <w:bottom w:val="none" w:sz="0" w:space="0" w:color="auto"/>
        <w:right w:val="none" w:sz="0" w:space="0" w:color="auto"/>
      </w:divBdr>
    </w:div>
    <w:div w:id="1219897216">
      <w:bodyDiv w:val="1"/>
      <w:marLeft w:val="0"/>
      <w:marRight w:val="0"/>
      <w:marTop w:val="0"/>
      <w:marBottom w:val="0"/>
      <w:divBdr>
        <w:top w:val="none" w:sz="0" w:space="0" w:color="auto"/>
        <w:left w:val="none" w:sz="0" w:space="0" w:color="auto"/>
        <w:bottom w:val="none" w:sz="0" w:space="0" w:color="auto"/>
        <w:right w:val="none" w:sz="0" w:space="0" w:color="auto"/>
      </w:divBdr>
    </w:div>
    <w:div w:id="1233274273">
      <w:bodyDiv w:val="1"/>
      <w:marLeft w:val="0"/>
      <w:marRight w:val="0"/>
      <w:marTop w:val="0"/>
      <w:marBottom w:val="0"/>
      <w:divBdr>
        <w:top w:val="none" w:sz="0" w:space="0" w:color="auto"/>
        <w:left w:val="none" w:sz="0" w:space="0" w:color="auto"/>
        <w:bottom w:val="none" w:sz="0" w:space="0" w:color="auto"/>
        <w:right w:val="none" w:sz="0" w:space="0" w:color="auto"/>
      </w:divBdr>
    </w:div>
    <w:div w:id="1243494499">
      <w:bodyDiv w:val="1"/>
      <w:marLeft w:val="0"/>
      <w:marRight w:val="0"/>
      <w:marTop w:val="0"/>
      <w:marBottom w:val="0"/>
      <w:divBdr>
        <w:top w:val="none" w:sz="0" w:space="0" w:color="auto"/>
        <w:left w:val="none" w:sz="0" w:space="0" w:color="auto"/>
        <w:bottom w:val="none" w:sz="0" w:space="0" w:color="auto"/>
        <w:right w:val="none" w:sz="0" w:space="0" w:color="auto"/>
      </w:divBdr>
    </w:div>
    <w:div w:id="1252274211">
      <w:bodyDiv w:val="1"/>
      <w:marLeft w:val="0"/>
      <w:marRight w:val="0"/>
      <w:marTop w:val="0"/>
      <w:marBottom w:val="0"/>
      <w:divBdr>
        <w:top w:val="none" w:sz="0" w:space="0" w:color="auto"/>
        <w:left w:val="none" w:sz="0" w:space="0" w:color="auto"/>
        <w:bottom w:val="none" w:sz="0" w:space="0" w:color="auto"/>
        <w:right w:val="none" w:sz="0" w:space="0" w:color="auto"/>
      </w:divBdr>
    </w:div>
    <w:div w:id="1267082703">
      <w:bodyDiv w:val="1"/>
      <w:marLeft w:val="0"/>
      <w:marRight w:val="0"/>
      <w:marTop w:val="0"/>
      <w:marBottom w:val="0"/>
      <w:divBdr>
        <w:top w:val="none" w:sz="0" w:space="0" w:color="auto"/>
        <w:left w:val="none" w:sz="0" w:space="0" w:color="auto"/>
        <w:bottom w:val="none" w:sz="0" w:space="0" w:color="auto"/>
        <w:right w:val="none" w:sz="0" w:space="0" w:color="auto"/>
      </w:divBdr>
    </w:div>
    <w:div w:id="1287083807">
      <w:bodyDiv w:val="1"/>
      <w:marLeft w:val="0"/>
      <w:marRight w:val="0"/>
      <w:marTop w:val="0"/>
      <w:marBottom w:val="0"/>
      <w:divBdr>
        <w:top w:val="none" w:sz="0" w:space="0" w:color="auto"/>
        <w:left w:val="none" w:sz="0" w:space="0" w:color="auto"/>
        <w:bottom w:val="none" w:sz="0" w:space="0" w:color="auto"/>
        <w:right w:val="none" w:sz="0" w:space="0" w:color="auto"/>
      </w:divBdr>
    </w:div>
    <w:div w:id="1314483671">
      <w:bodyDiv w:val="1"/>
      <w:marLeft w:val="0"/>
      <w:marRight w:val="0"/>
      <w:marTop w:val="0"/>
      <w:marBottom w:val="0"/>
      <w:divBdr>
        <w:top w:val="none" w:sz="0" w:space="0" w:color="auto"/>
        <w:left w:val="none" w:sz="0" w:space="0" w:color="auto"/>
        <w:bottom w:val="none" w:sz="0" w:space="0" w:color="auto"/>
        <w:right w:val="none" w:sz="0" w:space="0" w:color="auto"/>
      </w:divBdr>
      <w:divsChild>
        <w:div w:id="1733039865">
          <w:marLeft w:val="0"/>
          <w:marRight w:val="0"/>
          <w:marTop w:val="0"/>
          <w:marBottom w:val="0"/>
          <w:divBdr>
            <w:top w:val="none" w:sz="0" w:space="0" w:color="auto"/>
            <w:left w:val="none" w:sz="0" w:space="0" w:color="auto"/>
            <w:bottom w:val="none" w:sz="0" w:space="0" w:color="auto"/>
            <w:right w:val="none" w:sz="0" w:space="0" w:color="auto"/>
          </w:divBdr>
        </w:div>
        <w:div w:id="1834954649">
          <w:marLeft w:val="0"/>
          <w:marRight w:val="0"/>
          <w:marTop w:val="0"/>
          <w:marBottom w:val="0"/>
          <w:divBdr>
            <w:top w:val="none" w:sz="0" w:space="0" w:color="auto"/>
            <w:left w:val="none" w:sz="0" w:space="0" w:color="auto"/>
            <w:bottom w:val="none" w:sz="0" w:space="0" w:color="auto"/>
            <w:right w:val="none" w:sz="0" w:space="0" w:color="auto"/>
          </w:divBdr>
        </w:div>
        <w:div w:id="555313556">
          <w:marLeft w:val="0"/>
          <w:marRight w:val="0"/>
          <w:marTop w:val="0"/>
          <w:marBottom w:val="0"/>
          <w:divBdr>
            <w:top w:val="none" w:sz="0" w:space="0" w:color="auto"/>
            <w:left w:val="none" w:sz="0" w:space="0" w:color="auto"/>
            <w:bottom w:val="none" w:sz="0" w:space="0" w:color="auto"/>
            <w:right w:val="none" w:sz="0" w:space="0" w:color="auto"/>
          </w:divBdr>
        </w:div>
        <w:div w:id="1916672007">
          <w:marLeft w:val="0"/>
          <w:marRight w:val="0"/>
          <w:marTop w:val="0"/>
          <w:marBottom w:val="0"/>
          <w:divBdr>
            <w:top w:val="none" w:sz="0" w:space="0" w:color="auto"/>
            <w:left w:val="none" w:sz="0" w:space="0" w:color="auto"/>
            <w:bottom w:val="none" w:sz="0" w:space="0" w:color="auto"/>
            <w:right w:val="none" w:sz="0" w:space="0" w:color="auto"/>
          </w:divBdr>
        </w:div>
      </w:divsChild>
    </w:div>
    <w:div w:id="1329673280">
      <w:bodyDiv w:val="1"/>
      <w:marLeft w:val="0"/>
      <w:marRight w:val="0"/>
      <w:marTop w:val="0"/>
      <w:marBottom w:val="0"/>
      <w:divBdr>
        <w:top w:val="none" w:sz="0" w:space="0" w:color="auto"/>
        <w:left w:val="none" w:sz="0" w:space="0" w:color="auto"/>
        <w:bottom w:val="none" w:sz="0" w:space="0" w:color="auto"/>
        <w:right w:val="none" w:sz="0" w:space="0" w:color="auto"/>
      </w:divBdr>
    </w:div>
    <w:div w:id="1341081049">
      <w:bodyDiv w:val="1"/>
      <w:marLeft w:val="0"/>
      <w:marRight w:val="0"/>
      <w:marTop w:val="0"/>
      <w:marBottom w:val="0"/>
      <w:divBdr>
        <w:top w:val="none" w:sz="0" w:space="0" w:color="auto"/>
        <w:left w:val="none" w:sz="0" w:space="0" w:color="auto"/>
        <w:bottom w:val="none" w:sz="0" w:space="0" w:color="auto"/>
        <w:right w:val="none" w:sz="0" w:space="0" w:color="auto"/>
      </w:divBdr>
    </w:div>
    <w:div w:id="1351029503">
      <w:bodyDiv w:val="1"/>
      <w:marLeft w:val="0"/>
      <w:marRight w:val="0"/>
      <w:marTop w:val="0"/>
      <w:marBottom w:val="0"/>
      <w:divBdr>
        <w:top w:val="none" w:sz="0" w:space="0" w:color="auto"/>
        <w:left w:val="none" w:sz="0" w:space="0" w:color="auto"/>
        <w:bottom w:val="none" w:sz="0" w:space="0" w:color="auto"/>
        <w:right w:val="none" w:sz="0" w:space="0" w:color="auto"/>
      </w:divBdr>
    </w:div>
    <w:div w:id="1353844632">
      <w:bodyDiv w:val="1"/>
      <w:marLeft w:val="0"/>
      <w:marRight w:val="0"/>
      <w:marTop w:val="0"/>
      <w:marBottom w:val="0"/>
      <w:divBdr>
        <w:top w:val="none" w:sz="0" w:space="0" w:color="auto"/>
        <w:left w:val="none" w:sz="0" w:space="0" w:color="auto"/>
        <w:bottom w:val="none" w:sz="0" w:space="0" w:color="auto"/>
        <w:right w:val="none" w:sz="0" w:space="0" w:color="auto"/>
      </w:divBdr>
    </w:div>
    <w:div w:id="1356535979">
      <w:bodyDiv w:val="1"/>
      <w:marLeft w:val="0"/>
      <w:marRight w:val="0"/>
      <w:marTop w:val="0"/>
      <w:marBottom w:val="0"/>
      <w:divBdr>
        <w:top w:val="none" w:sz="0" w:space="0" w:color="auto"/>
        <w:left w:val="none" w:sz="0" w:space="0" w:color="auto"/>
        <w:bottom w:val="none" w:sz="0" w:space="0" w:color="auto"/>
        <w:right w:val="none" w:sz="0" w:space="0" w:color="auto"/>
      </w:divBdr>
    </w:div>
    <w:div w:id="1359117579">
      <w:bodyDiv w:val="1"/>
      <w:marLeft w:val="0"/>
      <w:marRight w:val="0"/>
      <w:marTop w:val="0"/>
      <w:marBottom w:val="0"/>
      <w:divBdr>
        <w:top w:val="none" w:sz="0" w:space="0" w:color="auto"/>
        <w:left w:val="none" w:sz="0" w:space="0" w:color="auto"/>
        <w:bottom w:val="none" w:sz="0" w:space="0" w:color="auto"/>
        <w:right w:val="none" w:sz="0" w:space="0" w:color="auto"/>
      </w:divBdr>
    </w:div>
    <w:div w:id="1367413086">
      <w:bodyDiv w:val="1"/>
      <w:marLeft w:val="0"/>
      <w:marRight w:val="0"/>
      <w:marTop w:val="0"/>
      <w:marBottom w:val="0"/>
      <w:divBdr>
        <w:top w:val="none" w:sz="0" w:space="0" w:color="auto"/>
        <w:left w:val="none" w:sz="0" w:space="0" w:color="auto"/>
        <w:bottom w:val="none" w:sz="0" w:space="0" w:color="auto"/>
        <w:right w:val="none" w:sz="0" w:space="0" w:color="auto"/>
      </w:divBdr>
    </w:div>
    <w:div w:id="1370763249">
      <w:bodyDiv w:val="1"/>
      <w:marLeft w:val="0"/>
      <w:marRight w:val="0"/>
      <w:marTop w:val="0"/>
      <w:marBottom w:val="0"/>
      <w:divBdr>
        <w:top w:val="none" w:sz="0" w:space="0" w:color="auto"/>
        <w:left w:val="none" w:sz="0" w:space="0" w:color="auto"/>
        <w:bottom w:val="none" w:sz="0" w:space="0" w:color="auto"/>
        <w:right w:val="none" w:sz="0" w:space="0" w:color="auto"/>
      </w:divBdr>
    </w:div>
    <w:div w:id="1372267504">
      <w:bodyDiv w:val="1"/>
      <w:marLeft w:val="0"/>
      <w:marRight w:val="0"/>
      <w:marTop w:val="0"/>
      <w:marBottom w:val="0"/>
      <w:divBdr>
        <w:top w:val="none" w:sz="0" w:space="0" w:color="auto"/>
        <w:left w:val="none" w:sz="0" w:space="0" w:color="auto"/>
        <w:bottom w:val="none" w:sz="0" w:space="0" w:color="auto"/>
        <w:right w:val="none" w:sz="0" w:space="0" w:color="auto"/>
      </w:divBdr>
    </w:div>
    <w:div w:id="1384524680">
      <w:bodyDiv w:val="1"/>
      <w:marLeft w:val="0"/>
      <w:marRight w:val="0"/>
      <w:marTop w:val="0"/>
      <w:marBottom w:val="0"/>
      <w:divBdr>
        <w:top w:val="none" w:sz="0" w:space="0" w:color="auto"/>
        <w:left w:val="none" w:sz="0" w:space="0" w:color="auto"/>
        <w:bottom w:val="none" w:sz="0" w:space="0" w:color="auto"/>
        <w:right w:val="none" w:sz="0" w:space="0" w:color="auto"/>
      </w:divBdr>
    </w:div>
    <w:div w:id="1411390381">
      <w:bodyDiv w:val="1"/>
      <w:marLeft w:val="0"/>
      <w:marRight w:val="0"/>
      <w:marTop w:val="0"/>
      <w:marBottom w:val="0"/>
      <w:divBdr>
        <w:top w:val="none" w:sz="0" w:space="0" w:color="auto"/>
        <w:left w:val="none" w:sz="0" w:space="0" w:color="auto"/>
        <w:bottom w:val="none" w:sz="0" w:space="0" w:color="auto"/>
        <w:right w:val="none" w:sz="0" w:space="0" w:color="auto"/>
      </w:divBdr>
    </w:div>
    <w:div w:id="1432314272">
      <w:bodyDiv w:val="1"/>
      <w:marLeft w:val="0"/>
      <w:marRight w:val="0"/>
      <w:marTop w:val="0"/>
      <w:marBottom w:val="0"/>
      <w:divBdr>
        <w:top w:val="none" w:sz="0" w:space="0" w:color="auto"/>
        <w:left w:val="none" w:sz="0" w:space="0" w:color="auto"/>
        <w:bottom w:val="none" w:sz="0" w:space="0" w:color="auto"/>
        <w:right w:val="none" w:sz="0" w:space="0" w:color="auto"/>
      </w:divBdr>
    </w:div>
    <w:div w:id="1433863953">
      <w:bodyDiv w:val="1"/>
      <w:marLeft w:val="0"/>
      <w:marRight w:val="0"/>
      <w:marTop w:val="0"/>
      <w:marBottom w:val="0"/>
      <w:divBdr>
        <w:top w:val="none" w:sz="0" w:space="0" w:color="auto"/>
        <w:left w:val="none" w:sz="0" w:space="0" w:color="auto"/>
        <w:bottom w:val="none" w:sz="0" w:space="0" w:color="auto"/>
        <w:right w:val="none" w:sz="0" w:space="0" w:color="auto"/>
      </w:divBdr>
    </w:div>
    <w:div w:id="1441797574">
      <w:bodyDiv w:val="1"/>
      <w:marLeft w:val="0"/>
      <w:marRight w:val="0"/>
      <w:marTop w:val="0"/>
      <w:marBottom w:val="0"/>
      <w:divBdr>
        <w:top w:val="none" w:sz="0" w:space="0" w:color="auto"/>
        <w:left w:val="none" w:sz="0" w:space="0" w:color="auto"/>
        <w:bottom w:val="none" w:sz="0" w:space="0" w:color="auto"/>
        <w:right w:val="none" w:sz="0" w:space="0" w:color="auto"/>
      </w:divBdr>
    </w:div>
    <w:div w:id="1454786101">
      <w:bodyDiv w:val="1"/>
      <w:marLeft w:val="0"/>
      <w:marRight w:val="0"/>
      <w:marTop w:val="0"/>
      <w:marBottom w:val="0"/>
      <w:divBdr>
        <w:top w:val="none" w:sz="0" w:space="0" w:color="auto"/>
        <w:left w:val="none" w:sz="0" w:space="0" w:color="auto"/>
        <w:bottom w:val="none" w:sz="0" w:space="0" w:color="auto"/>
        <w:right w:val="none" w:sz="0" w:space="0" w:color="auto"/>
      </w:divBdr>
    </w:div>
    <w:div w:id="1473255578">
      <w:bodyDiv w:val="1"/>
      <w:marLeft w:val="0"/>
      <w:marRight w:val="0"/>
      <w:marTop w:val="0"/>
      <w:marBottom w:val="0"/>
      <w:divBdr>
        <w:top w:val="none" w:sz="0" w:space="0" w:color="auto"/>
        <w:left w:val="none" w:sz="0" w:space="0" w:color="auto"/>
        <w:bottom w:val="none" w:sz="0" w:space="0" w:color="auto"/>
        <w:right w:val="none" w:sz="0" w:space="0" w:color="auto"/>
      </w:divBdr>
    </w:div>
    <w:div w:id="1481656300">
      <w:bodyDiv w:val="1"/>
      <w:marLeft w:val="0"/>
      <w:marRight w:val="0"/>
      <w:marTop w:val="0"/>
      <w:marBottom w:val="0"/>
      <w:divBdr>
        <w:top w:val="none" w:sz="0" w:space="0" w:color="auto"/>
        <w:left w:val="none" w:sz="0" w:space="0" w:color="auto"/>
        <w:bottom w:val="none" w:sz="0" w:space="0" w:color="auto"/>
        <w:right w:val="none" w:sz="0" w:space="0" w:color="auto"/>
      </w:divBdr>
    </w:div>
    <w:div w:id="1494294973">
      <w:bodyDiv w:val="1"/>
      <w:marLeft w:val="0"/>
      <w:marRight w:val="0"/>
      <w:marTop w:val="0"/>
      <w:marBottom w:val="0"/>
      <w:divBdr>
        <w:top w:val="none" w:sz="0" w:space="0" w:color="auto"/>
        <w:left w:val="none" w:sz="0" w:space="0" w:color="auto"/>
        <w:bottom w:val="none" w:sz="0" w:space="0" w:color="auto"/>
        <w:right w:val="none" w:sz="0" w:space="0" w:color="auto"/>
      </w:divBdr>
    </w:div>
    <w:div w:id="1495562524">
      <w:bodyDiv w:val="1"/>
      <w:marLeft w:val="0"/>
      <w:marRight w:val="0"/>
      <w:marTop w:val="0"/>
      <w:marBottom w:val="0"/>
      <w:divBdr>
        <w:top w:val="none" w:sz="0" w:space="0" w:color="auto"/>
        <w:left w:val="none" w:sz="0" w:space="0" w:color="auto"/>
        <w:bottom w:val="none" w:sz="0" w:space="0" w:color="auto"/>
        <w:right w:val="none" w:sz="0" w:space="0" w:color="auto"/>
      </w:divBdr>
    </w:div>
    <w:div w:id="1595623808">
      <w:bodyDiv w:val="1"/>
      <w:marLeft w:val="0"/>
      <w:marRight w:val="0"/>
      <w:marTop w:val="0"/>
      <w:marBottom w:val="0"/>
      <w:divBdr>
        <w:top w:val="none" w:sz="0" w:space="0" w:color="auto"/>
        <w:left w:val="none" w:sz="0" w:space="0" w:color="auto"/>
        <w:bottom w:val="none" w:sz="0" w:space="0" w:color="auto"/>
        <w:right w:val="none" w:sz="0" w:space="0" w:color="auto"/>
      </w:divBdr>
    </w:div>
    <w:div w:id="1599218874">
      <w:bodyDiv w:val="1"/>
      <w:marLeft w:val="0"/>
      <w:marRight w:val="0"/>
      <w:marTop w:val="0"/>
      <w:marBottom w:val="0"/>
      <w:divBdr>
        <w:top w:val="none" w:sz="0" w:space="0" w:color="auto"/>
        <w:left w:val="none" w:sz="0" w:space="0" w:color="auto"/>
        <w:bottom w:val="none" w:sz="0" w:space="0" w:color="auto"/>
        <w:right w:val="none" w:sz="0" w:space="0" w:color="auto"/>
      </w:divBdr>
    </w:div>
    <w:div w:id="1614510364">
      <w:bodyDiv w:val="1"/>
      <w:marLeft w:val="0"/>
      <w:marRight w:val="0"/>
      <w:marTop w:val="0"/>
      <w:marBottom w:val="0"/>
      <w:divBdr>
        <w:top w:val="none" w:sz="0" w:space="0" w:color="auto"/>
        <w:left w:val="none" w:sz="0" w:space="0" w:color="auto"/>
        <w:bottom w:val="none" w:sz="0" w:space="0" w:color="auto"/>
        <w:right w:val="none" w:sz="0" w:space="0" w:color="auto"/>
      </w:divBdr>
    </w:div>
    <w:div w:id="1632131306">
      <w:bodyDiv w:val="1"/>
      <w:marLeft w:val="0"/>
      <w:marRight w:val="0"/>
      <w:marTop w:val="0"/>
      <w:marBottom w:val="0"/>
      <w:divBdr>
        <w:top w:val="none" w:sz="0" w:space="0" w:color="auto"/>
        <w:left w:val="none" w:sz="0" w:space="0" w:color="auto"/>
        <w:bottom w:val="none" w:sz="0" w:space="0" w:color="auto"/>
        <w:right w:val="none" w:sz="0" w:space="0" w:color="auto"/>
      </w:divBdr>
    </w:div>
    <w:div w:id="1635713308">
      <w:bodyDiv w:val="1"/>
      <w:marLeft w:val="0"/>
      <w:marRight w:val="0"/>
      <w:marTop w:val="0"/>
      <w:marBottom w:val="0"/>
      <w:divBdr>
        <w:top w:val="none" w:sz="0" w:space="0" w:color="auto"/>
        <w:left w:val="none" w:sz="0" w:space="0" w:color="auto"/>
        <w:bottom w:val="none" w:sz="0" w:space="0" w:color="auto"/>
        <w:right w:val="none" w:sz="0" w:space="0" w:color="auto"/>
      </w:divBdr>
    </w:div>
    <w:div w:id="1643075958">
      <w:bodyDiv w:val="1"/>
      <w:marLeft w:val="0"/>
      <w:marRight w:val="0"/>
      <w:marTop w:val="0"/>
      <w:marBottom w:val="0"/>
      <w:divBdr>
        <w:top w:val="none" w:sz="0" w:space="0" w:color="auto"/>
        <w:left w:val="none" w:sz="0" w:space="0" w:color="auto"/>
        <w:bottom w:val="none" w:sz="0" w:space="0" w:color="auto"/>
        <w:right w:val="none" w:sz="0" w:space="0" w:color="auto"/>
      </w:divBdr>
    </w:div>
    <w:div w:id="1670448877">
      <w:bodyDiv w:val="1"/>
      <w:marLeft w:val="0"/>
      <w:marRight w:val="0"/>
      <w:marTop w:val="0"/>
      <w:marBottom w:val="0"/>
      <w:divBdr>
        <w:top w:val="none" w:sz="0" w:space="0" w:color="auto"/>
        <w:left w:val="none" w:sz="0" w:space="0" w:color="auto"/>
        <w:bottom w:val="none" w:sz="0" w:space="0" w:color="auto"/>
        <w:right w:val="none" w:sz="0" w:space="0" w:color="auto"/>
      </w:divBdr>
    </w:div>
    <w:div w:id="1695689037">
      <w:bodyDiv w:val="1"/>
      <w:marLeft w:val="0"/>
      <w:marRight w:val="0"/>
      <w:marTop w:val="0"/>
      <w:marBottom w:val="0"/>
      <w:divBdr>
        <w:top w:val="none" w:sz="0" w:space="0" w:color="auto"/>
        <w:left w:val="none" w:sz="0" w:space="0" w:color="auto"/>
        <w:bottom w:val="none" w:sz="0" w:space="0" w:color="auto"/>
        <w:right w:val="none" w:sz="0" w:space="0" w:color="auto"/>
      </w:divBdr>
    </w:div>
    <w:div w:id="1705864687">
      <w:bodyDiv w:val="1"/>
      <w:marLeft w:val="0"/>
      <w:marRight w:val="0"/>
      <w:marTop w:val="0"/>
      <w:marBottom w:val="0"/>
      <w:divBdr>
        <w:top w:val="none" w:sz="0" w:space="0" w:color="auto"/>
        <w:left w:val="none" w:sz="0" w:space="0" w:color="auto"/>
        <w:bottom w:val="none" w:sz="0" w:space="0" w:color="auto"/>
        <w:right w:val="none" w:sz="0" w:space="0" w:color="auto"/>
      </w:divBdr>
    </w:div>
    <w:div w:id="1735544985">
      <w:bodyDiv w:val="1"/>
      <w:marLeft w:val="0"/>
      <w:marRight w:val="0"/>
      <w:marTop w:val="0"/>
      <w:marBottom w:val="0"/>
      <w:divBdr>
        <w:top w:val="none" w:sz="0" w:space="0" w:color="auto"/>
        <w:left w:val="none" w:sz="0" w:space="0" w:color="auto"/>
        <w:bottom w:val="none" w:sz="0" w:space="0" w:color="auto"/>
        <w:right w:val="none" w:sz="0" w:space="0" w:color="auto"/>
      </w:divBdr>
    </w:div>
    <w:div w:id="1747532066">
      <w:bodyDiv w:val="1"/>
      <w:marLeft w:val="0"/>
      <w:marRight w:val="0"/>
      <w:marTop w:val="0"/>
      <w:marBottom w:val="0"/>
      <w:divBdr>
        <w:top w:val="none" w:sz="0" w:space="0" w:color="auto"/>
        <w:left w:val="none" w:sz="0" w:space="0" w:color="auto"/>
        <w:bottom w:val="none" w:sz="0" w:space="0" w:color="auto"/>
        <w:right w:val="none" w:sz="0" w:space="0" w:color="auto"/>
      </w:divBdr>
    </w:div>
    <w:div w:id="1756003755">
      <w:bodyDiv w:val="1"/>
      <w:marLeft w:val="0"/>
      <w:marRight w:val="0"/>
      <w:marTop w:val="0"/>
      <w:marBottom w:val="0"/>
      <w:divBdr>
        <w:top w:val="none" w:sz="0" w:space="0" w:color="auto"/>
        <w:left w:val="none" w:sz="0" w:space="0" w:color="auto"/>
        <w:bottom w:val="none" w:sz="0" w:space="0" w:color="auto"/>
        <w:right w:val="none" w:sz="0" w:space="0" w:color="auto"/>
      </w:divBdr>
    </w:div>
    <w:div w:id="1762333690">
      <w:bodyDiv w:val="1"/>
      <w:marLeft w:val="0"/>
      <w:marRight w:val="0"/>
      <w:marTop w:val="0"/>
      <w:marBottom w:val="0"/>
      <w:divBdr>
        <w:top w:val="none" w:sz="0" w:space="0" w:color="auto"/>
        <w:left w:val="none" w:sz="0" w:space="0" w:color="auto"/>
        <w:bottom w:val="none" w:sz="0" w:space="0" w:color="auto"/>
        <w:right w:val="none" w:sz="0" w:space="0" w:color="auto"/>
      </w:divBdr>
    </w:div>
    <w:div w:id="1772358824">
      <w:bodyDiv w:val="1"/>
      <w:marLeft w:val="0"/>
      <w:marRight w:val="0"/>
      <w:marTop w:val="0"/>
      <w:marBottom w:val="0"/>
      <w:divBdr>
        <w:top w:val="none" w:sz="0" w:space="0" w:color="auto"/>
        <w:left w:val="none" w:sz="0" w:space="0" w:color="auto"/>
        <w:bottom w:val="none" w:sz="0" w:space="0" w:color="auto"/>
        <w:right w:val="none" w:sz="0" w:space="0" w:color="auto"/>
      </w:divBdr>
    </w:div>
    <w:div w:id="1781530803">
      <w:bodyDiv w:val="1"/>
      <w:marLeft w:val="0"/>
      <w:marRight w:val="0"/>
      <w:marTop w:val="0"/>
      <w:marBottom w:val="0"/>
      <w:divBdr>
        <w:top w:val="none" w:sz="0" w:space="0" w:color="auto"/>
        <w:left w:val="none" w:sz="0" w:space="0" w:color="auto"/>
        <w:bottom w:val="none" w:sz="0" w:space="0" w:color="auto"/>
        <w:right w:val="none" w:sz="0" w:space="0" w:color="auto"/>
      </w:divBdr>
    </w:div>
    <w:div w:id="1785274190">
      <w:bodyDiv w:val="1"/>
      <w:marLeft w:val="0"/>
      <w:marRight w:val="0"/>
      <w:marTop w:val="0"/>
      <w:marBottom w:val="0"/>
      <w:divBdr>
        <w:top w:val="none" w:sz="0" w:space="0" w:color="auto"/>
        <w:left w:val="none" w:sz="0" w:space="0" w:color="auto"/>
        <w:bottom w:val="none" w:sz="0" w:space="0" w:color="auto"/>
        <w:right w:val="none" w:sz="0" w:space="0" w:color="auto"/>
      </w:divBdr>
    </w:div>
    <w:div w:id="1793551336">
      <w:bodyDiv w:val="1"/>
      <w:marLeft w:val="0"/>
      <w:marRight w:val="0"/>
      <w:marTop w:val="0"/>
      <w:marBottom w:val="0"/>
      <w:divBdr>
        <w:top w:val="none" w:sz="0" w:space="0" w:color="auto"/>
        <w:left w:val="none" w:sz="0" w:space="0" w:color="auto"/>
        <w:bottom w:val="none" w:sz="0" w:space="0" w:color="auto"/>
        <w:right w:val="none" w:sz="0" w:space="0" w:color="auto"/>
      </w:divBdr>
    </w:div>
    <w:div w:id="1794211059">
      <w:bodyDiv w:val="1"/>
      <w:marLeft w:val="0"/>
      <w:marRight w:val="0"/>
      <w:marTop w:val="0"/>
      <w:marBottom w:val="0"/>
      <w:divBdr>
        <w:top w:val="none" w:sz="0" w:space="0" w:color="auto"/>
        <w:left w:val="none" w:sz="0" w:space="0" w:color="auto"/>
        <w:bottom w:val="none" w:sz="0" w:space="0" w:color="auto"/>
        <w:right w:val="none" w:sz="0" w:space="0" w:color="auto"/>
      </w:divBdr>
    </w:div>
    <w:div w:id="1809856932">
      <w:bodyDiv w:val="1"/>
      <w:marLeft w:val="0"/>
      <w:marRight w:val="0"/>
      <w:marTop w:val="0"/>
      <w:marBottom w:val="0"/>
      <w:divBdr>
        <w:top w:val="none" w:sz="0" w:space="0" w:color="auto"/>
        <w:left w:val="none" w:sz="0" w:space="0" w:color="auto"/>
        <w:bottom w:val="none" w:sz="0" w:space="0" w:color="auto"/>
        <w:right w:val="none" w:sz="0" w:space="0" w:color="auto"/>
      </w:divBdr>
    </w:div>
    <w:div w:id="1819878072">
      <w:bodyDiv w:val="1"/>
      <w:marLeft w:val="0"/>
      <w:marRight w:val="0"/>
      <w:marTop w:val="0"/>
      <w:marBottom w:val="0"/>
      <w:divBdr>
        <w:top w:val="none" w:sz="0" w:space="0" w:color="auto"/>
        <w:left w:val="none" w:sz="0" w:space="0" w:color="auto"/>
        <w:bottom w:val="none" w:sz="0" w:space="0" w:color="auto"/>
        <w:right w:val="none" w:sz="0" w:space="0" w:color="auto"/>
      </w:divBdr>
    </w:div>
    <w:div w:id="1836141171">
      <w:bodyDiv w:val="1"/>
      <w:marLeft w:val="0"/>
      <w:marRight w:val="0"/>
      <w:marTop w:val="0"/>
      <w:marBottom w:val="0"/>
      <w:divBdr>
        <w:top w:val="none" w:sz="0" w:space="0" w:color="auto"/>
        <w:left w:val="none" w:sz="0" w:space="0" w:color="auto"/>
        <w:bottom w:val="none" w:sz="0" w:space="0" w:color="auto"/>
        <w:right w:val="none" w:sz="0" w:space="0" w:color="auto"/>
      </w:divBdr>
    </w:div>
    <w:div w:id="1846363233">
      <w:bodyDiv w:val="1"/>
      <w:marLeft w:val="0"/>
      <w:marRight w:val="0"/>
      <w:marTop w:val="0"/>
      <w:marBottom w:val="0"/>
      <w:divBdr>
        <w:top w:val="none" w:sz="0" w:space="0" w:color="auto"/>
        <w:left w:val="none" w:sz="0" w:space="0" w:color="auto"/>
        <w:bottom w:val="none" w:sz="0" w:space="0" w:color="auto"/>
        <w:right w:val="none" w:sz="0" w:space="0" w:color="auto"/>
      </w:divBdr>
    </w:div>
    <w:div w:id="1865433523">
      <w:bodyDiv w:val="1"/>
      <w:marLeft w:val="0"/>
      <w:marRight w:val="0"/>
      <w:marTop w:val="0"/>
      <w:marBottom w:val="0"/>
      <w:divBdr>
        <w:top w:val="none" w:sz="0" w:space="0" w:color="auto"/>
        <w:left w:val="none" w:sz="0" w:space="0" w:color="auto"/>
        <w:bottom w:val="none" w:sz="0" w:space="0" w:color="auto"/>
        <w:right w:val="none" w:sz="0" w:space="0" w:color="auto"/>
      </w:divBdr>
    </w:div>
    <w:div w:id="1874876819">
      <w:bodyDiv w:val="1"/>
      <w:marLeft w:val="0"/>
      <w:marRight w:val="0"/>
      <w:marTop w:val="0"/>
      <w:marBottom w:val="0"/>
      <w:divBdr>
        <w:top w:val="none" w:sz="0" w:space="0" w:color="auto"/>
        <w:left w:val="none" w:sz="0" w:space="0" w:color="auto"/>
        <w:bottom w:val="none" w:sz="0" w:space="0" w:color="auto"/>
        <w:right w:val="none" w:sz="0" w:space="0" w:color="auto"/>
      </w:divBdr>
    </w:div>
    <w:div w:id="1882548130">
      <w:bodyDiv w:val="1"/>
      <w:marLeft w:val="0"/>
      <w:marRight w:val="0"/>
      <w:marTop w:val="0"/>
      <w:marBottom w:val="0"/>
      <w:divBdr>
        <w:top w:val="none" w:sz="0" w:space="0" w:color="auto"/>
        <w:left w:val="none" w:sz="0" w:space="0" w:color="auto"/>
        <w:bottom w:val="none" w:sz="0" w:space="0" w:color="auto"/>
        <w:right w:val="none" w:sz="0" w:space="0" w:color="auto"/>
      </w:divBdr>
    </w:div>
    <w:div w:id="1883008472">
      <w:bodyDiv w:val="1"/>
      <w:marLeft w:val="0"/>
      <w:marRight w:val="0"/>
      <w:marTop w:val="0"/>
      <w:marBottom w:val="0"/>
      <w:divBdr>
        <w:top w:val="none" w:sz="0" w:space="0" w:color="auto"/>
        <w:left w:val="none" w:sz="0" w:space="0" w:color="auto"/>
        <w:bottom w:val="none" w:sz="0" w:space="0" w:color="auto"/>
        <w:right w:val="none" w:sz="0" w:space="0" w:color="auto"/>
      </w:divBdr>
    </w:div>
    <w:div w:id="1895003677">
      <w:bodyDiv w:val="1"/>
      <w:marLeft w:val="0"/>
      <w:marRight w:val="0"/>
      <w:marTop w:val="0"/>
      <w:marBottom w:val="0"/>
      <w:divBdr>
        <w:top w:val="none" w:sz="0" w:space="0" w:color="auto"/>
        <w:left w:val="none" w:sz="0" w:space="0" w:color="auto"/>
        <w:bottom w:val="none" w:sz="0" w:space="0" w:color="auto"/>
        <w:right w:val="none" w:sz="0" w:space="0" w:color="auto"/>
      </w:divBdr>
    </w:div>
    <w:div w:id="1895311070">
      <w:bodyDiv w:val="1"/>
      <w:marLeft w:val="0"/>
      <w:marRight w:val="0"/>
      <w:marTop w:val="0"/>
      <w:marBottom w:val="0"/>
      <w:divBdr>
        <w:top w:val="none" w:sz="0" w:space="0" w:color="auto"/>
        <w:left w:val="none" w:sz="0" w:space="0" w:color="auto"/>
        <w:bottom w:val="none" w:sz="0" w:space="0" w:color="auto"/>
        <w:right w:val="none" w:sz="0" w:space="0" w:color="auto"/>
      </w:divBdr>
    </w:div>
    <w:div w:id="1912696885">
      <w:bodyDiv w:val="1"/>
      <w:marLeft w:val="0"/>
      <w:marRight w:val="0"/>
      <w:marTop w:val="0"/>
      <w:marBottom w:val="0"/>
      <w:divBdr>
        <w:top w:val="none" w:sz="0" w:space="0" w:color="auto"/>
        <w:left w:val="none" w:sz="0" w:space="0" w:color="auto"/>
        <w:bottom w:val="none" w:sz="0" w:space="0" w:color="auto"/>
        <w:right w:val="none" w:sz="0" w:space="0" w:color="auto"/>
      </w:divBdr>
      <w:divsChild>
        <w:div w:id="15032065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550678">
              <w:marLeft w:val="0"/>
              <w:marRight w:val="0"/>
              <w:marTop w:val="0"/>
              <w:marBottom w:val="0"/>
              <w:divBdr>
                <w:top w:val="none" w:sz="0" w:space="0" w:color="auto"/>
                <w:left w:val="none" w:sz="0" w:space="0" w:color="auto"/>
                <w:bottom w:val="none" w:sz="0" w:space="0" w:color="auto"/>
                <w:right w:val="none" w:sz="0" w:space="0" w:color="auto"/>
              </w:divBdr>
              <w:divsChild>
                <w:div w:id="27606736">
                  <w:marLeft w:val="0"/>
                  <w:marRight w:val="0"/>
                  <w:marTop w:val="0"/>
                  <w:marBottom w:val="0"/>
                  <w:divBdr>
                    <w:top w:val="none" w:sz="0" w:space="0" w:color="auto"/>
                    <w:left w:val="none" w:sz="0" w:space="0" w:color="auto"/>
                    <w:bottom w:val="none" w:sz="0" w:space="0" w:color="auto"/>
                    <w:right w:val="none" w:sz="0" w:space="0" w:color="auto"/>
                  </w:divBdr>
                  <w:divsChild>
                    <w:div w:id="32552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303001">
      <w:bodyDiv w:val="1"/>
      <w:marLeft w:val="0"/>
      <w:marRight w:val="0"/>
      <w:marTop w:val="0"/>
      <w:marBottom w:val="0"/>
      <w:divBdr>
        <w:top w:val="none" w:sz="0" w:space="0" w:color="auto"/>
        <w:left w:val="none" w:sz="0" w:space="0" w:color="auto"/>
        <w:bottom w:val="none" w:sz="0" w:space="0" w:color="auto"/>
        <w:right w:val="none" w:sz="0" w:space="0" w:color="auto"/>
      </w:divBdr>
    </w:div>
    <w:div w:id="1929383077">
      <w:bodyDiv w:val="1"/>
      <w:marLeft w:val="0"/>
      <w:marRight w:val="0"/>
      <w:marTop w:val="0"/>
      <w:marBottom w:val="0"/>
      <w:divBdr>
        <w:top w:val="none" w:sz="0" w:space="0" w:color="auto"/>
        <w:left w:val="none" w:sz="0" w:space="0" w:color="auto"/>
        <w:bottom w:val="none" w:sz="0" w:space="0" w:color="auto"/>
        <w:right w:val="none" w:sz="0" w:space="0" w:color="auto"/>
      </w:divBdr>
    </w:div>
    <w:div w:id="1935436654">
      <w:bodyDiv w:val="1"/>
      <w:marLeft w:val="0"/>
      <w:marRight w:val="0"/>
      <w:marTop w:val="0"/>
      <w:marBottom w:val="0"/>
      <w:divBdr>
        <w:top w:val="none" w:sz="0" w:space="0" w:color="auto"/>
        <w:left w:val="none" w:sz="0" w:space="0" w:color="auto"/>
        <w:bottom w:val="none" w:sz="0" w:space="0" w:color="auto"/>
        <w:right w:val="none" w:sz="0" w:space="0" w:color="auto"/>
      </w:divBdr>
    </w:div>
    <w:div w:id="1936088241">
      <w:bodyDiv w:val="1"/>
      <w:marLeft w:val="0"/>
      <w:marRight w:val="0"/>
      <w:marTop w:val="0"/>
      <w:marBottom w:val="0"/>
      <w:divBdr>
        <w:top w:val="none" w:sz="0" w:space="0" w:color="auto"/>
        <w:left w:val="none" w:sz="0" w:space="0" w:color="auto"/>
        <w:bottom w:val="none" w:sz="0" w:space="0" w:color="auto"/>
        <w:right w:val="none" w:sz="0" w:space="0" w:color="auto"/>
      </w:divBdr>
      <w:divsChild>
        <w:div w:id="1689529308">
          <w:marLeft w:val="0"/>
          <w:marRight w:val="0"/>
          <w:marTop w:val="0"/>
          <w:marBottom w:val="0"/>
          <w:divBdr>
            <w:top w:val="none" w:sz="0" w:space="0" w:color="auto"/>
            <w:left w:val="none" w:sz="0" w:space="0" w:color="auto"/>
            <w:bottom w:val="none" w:sz="0" w:space="0" w:color="auto"/>
            <w:right w:val="none" w:sz="0" w:space="0" w:color="auto"/>
          </w:divBdr>
        </w:div>
        <w:div w:id="838424219">
          <w:marLeft w:val="0"/>
          <w:marRight w:val="0"/>
          <w:marTop w:val="0"/>
          <w:marBottom w:val="0"/>
          <w:divBdr>
            <w:top w:val="none" w:sz="0" w:space="0" w:color="auto"/>
            <w:left w:val="none" w:sz="0" w:space="0" w:color="auto"/>
            <w:bottom w:val="none" w:sz="0" w:space="0" w:color="auto"/>
            <w:right w:val="none" w:sz="0" w:space="0" w:color="auto"/>
          </w:divBdr>
        </w:div>
        <w:div w:id="652178269">
          <w:marLeft w:val="0"/>
          <w:marRight w:val="0"/>
          <w:marTop w:val="0"/>
          <w:marBottom w:val="0"/>
          <w:divBdr>
            <w:top w:val="none" w:sz="0" w:space="0" w:color="auto"/>
            <w:left w:val="none" w:sz="0" w:space="0" w:color="auto"/>
            <w:bottom w:val="none" w:sz="0" w:space="0" w:color="auto"/>
            <w:right w:val="none" w:sz="0" w:space="0" w:color="auto"/>
          </w:divBdr>
        </w:div>
        <w:div w:id="1925067295">
          <w:marLeft w:val="0"/>
          <w:marRight w:val="0"/>
          <w:marTop w:val="0"/>
          <w:marBottom w:val="0"/>
          <w:divBdr>
            <w:top w:val="none" w:sz="0" w:space="0" w:color="auto"/>
            <w:left w:val="none" w:sz="0" w:space="0" w:color="auto"/>
            <w:bottom w:val="none" w:sz="0" w:space="0" w:color="auto"/>
            <w:right w:val="none" w:sz="0" w:space="0" w:color="auto"/>
          </w:divBdr>
        </w:div>
      </w:divsChild>
    </w:div>
    <w:div w:id="1936280894">
      <w:bodyDiv w:val="1"/>
      <w:marLeft w:val="0"/>
      <w:marRight w:val="0"/>
      <w:marTop w:val="0"/>
      <w:marBottom w:val="0"/>
      <w:divBdr>
        <w:top w:val="none" w:sz="0" w:space="0" w:color="auto"/>
        <w:left w:val="none" w:sz="0" w:space="0" w:color="auto"/>
        <w:bottom w:val="none" w:sz="0" w:space="0" w:color="auto"/>
        <w:right w:val="none" w:sz="0" w:space="0" w:color="auto"/>
      </w:divBdr>
    </w:div>
    <w:div w:id="1963879744">
      <w:bodyDiv w:val="1"/>
      <w:marLeft w:val="0"/>
      <w:marRight w:val="0"/>
      <w:marTop w:val="0"/>
      <w:marBottom w:val="0"/>
      <w:divBdr>
        <w:top w:val="none" w:sz="0" w:space="0" w:color="auto"/>
        <w:left w:val="none" w:sz="0" w:space="0" w:color="auto"/>
        <w:bottom w:val="none" w:sz="0" w:space="0" w:color="auto"/>
        <w:right w:val="none" w:sz="0" w:space="0" w:color="auto"/>
      </w:divBdr>
    </w:div>
    <w:div w:id="1996489300">
      <w:bodyDiv w:val="1"/>
      <w:marLeft w:val="0"/>
      <w:marRight w:val="0"/>
      <w:marTop w:val="0"/>
      <w:marBottom w:val="0"/>
      <w:divBdr>
        <w:top w:val="none" w:sz="0" w:space="0" w:color="auto"/>
        <w:left w:val="none" w:sz="0" w:space="0" w:color="auto"/>
        <w:bottom w:val="none" w:sz="0" w:space="0" w:color="auto"/>
        <w:right w:val="none" w:sz="0" w:space="0" w:color="auto"/>
      </w:divBdr>
    </w:div>
    <w:div w:id="2004312636">
      <w:bodyDiv w:val="1"/>
      <w:marLeft w:val="0"/>
      <w:marRight w:val="0"/>
      <w:marTop w:val="0"/>
      <w:marBottom w:val="0"/>
      <w:divBdr>
        <w:top w:val="none" w:sz="0" w:space="0" w:color="auto"/>
        <w:left w:val="none" w:sz="0" w:space="0" w:color="auto"/>
        <w:bottom w:val="none" w:sz="0" w:space="0" w:color="auto"/>
        <w:right w:val="none" w:sz="0" w:space="0" w:color="auto"/>
      </w:divBdr>
    </w:div>
    <w:div w:id="2007896849">
      <w:bodyDiv w:val="1"/>
      <w:marLeft w:val="0"/>
      <w:marRight w:val="0"/>
      <w:marTop w:val="0"/>
      <w:marBottom w:val="0"/>
      <w:divBdr>
        <w:top w:val="none" w:sz="0" w:space="0" w:color="auto"/>
        <w:left w:val="none" w:sz="0" w:space="0" w:color="auto"/>
        <w:bottom w:val="none" w:sz="0" w:space="0" w:color="auto"/>
        <w:right w:val="none" w:sz="0" w:space="0" w:color="auto"/>
      </w:divBdr>
    </w:div>
    <w:div w:id="2036349877">
      <w:bodyDiv w:val="1"/>
      <w:marLeft w:val="0"/>
      <w:marRight w:val="0"/>
      <w:marTop w:val="0"/>
      <w:marBottom w:val="0"/>
      <w:divBdr>
        <w:top w:val="none" w:sz="0" w:space="0" w:color="auto"/>
        <w:left w:val="none" w:sz="0" w:space="0" w:color="auto"/>
        <w:bottom w:val="none" w:sz="0" w:space="0" w:color="auto"/>
        <w:right w:val="none" w:sz="0" w:space="0" w:color="auto"/>
      </w:divBdr>
    </w:div>
    <w:div w:id="2042051120">
      <w:bodyDiv w:val="1"/>
      <w:marLeft w:val="0"/>
      <w:marRight w:val="0"/>
      <w:marTop w:val="0"/>
      <w:marBottom w:val="0"/>
      <w:divBdr>
        <w:top w:val="none" w:sz="0" w:space="0" w:color="auto"/>
        <w:left w:val="none" w:sz="0" w:space="0" w:color="auto"/>
        <w:bottom w:val="none" w:sz="0" w:space="0" w:color="auto"/>
        <w:right w:val="none" w:sz="0" w:space="0" w:color="auto"/>
      </w:divBdr>
    </w:div>
    <w:div w:id="2042513609">
      <w:bodyDiv w:val="1"/>
      <w:marLeft w:val="0"/>
      <w:marRight w:val="0"/>
      <w:marTop w:val="0"/>
      <w:marBottom w:val="0"/>
      <w:divBdr>
        <w:top w:val="none" w:sz="0" w:space="0" w:color="auto"/>
        <w:left w:val="none" w:sz="0" w:space="0" w:color="auto"/>
        <w:bottom w:val="none" w:sz="0" w:space="0" w:color="auto"/>
        <w:right w:val="none" w:sz="0" w:space="0" w:color="auto"/>
      </w:divBdr>
      <w:divsChild>
        <w:div w:id="1531842734">
          <w:marLeft w:val="0"/>
          <w:marRight w:val="0"/>
          <w:marTop w:val="0"/>
          <w:marBottom w:val="0"/>
          <w:divBdr>
            <w:top w:val="none" w:sz="0" w:space="0" w:color="auto"/>
            <w:left w:val="none" w:sz="0" w:space="0" w:color="auto"/>
            <w:bottom w:val="none" w:sz="0" w:space="0" w:color="auto"/>
            <w:right w:val="none" w:sz="0" w:space="0" w:color="auto"/>
          </w:divBdr>
        </w:div>
        <w:div w:id="1844590038">
          <w:marLeft w:val="0"/>
          <w:marRight w:val="0"/>
          <w:marTop w:val="0"/>
          <w:marBottom w:val="0"/>
          <w:divBdr>
            <w:top w:val="none" w:sz="0" w:space="0" w:color="auto"/>
            <w:left w:val="none" w:sz="0" w:space="0" w:color="auto"/>
            <w:bottom w:val="none" w:sz="0" w:space="0" w:color="auto"/>
            <w:right w:val="none" w:sz="0" w:space="0" w:color="auto"/>
          </w:divBdr>
        </w:div>
      </w:divsChild>
    </w:div>
    <w:div w:id="2048023936">
      <w:bodyDiv w:val="1"/>
      <w:marLeft w:val="0"/>
      <w:marRight w:val="0"/>
      <w:marTop w:val="0"/>
      <w:marBottom w:val="0"/>
      <w:divBdr>
        <w:top w:val="none" w:sz="0" w:space="0" w:color="auto"/>
        <w:left w:val="none" w:sz="0" w:space="0" w:color="auto"/>
        <w:bottom w:val="none" w:sz="0" w:space="0" w:color="auto"/>
        <w:right w:val="none" w:sz="0" w:space="0" w:color="auto"/>
      </w:divBdr>
    </w:div>
    <w:div w:id="2055109035">
      <w:bodyDiv w:val="1"/>
      <w:marLeft w:val="0"/>
      <w:marRight w:val="0"/>
      <w:marTop w:val="0"/>
      <w:marBottom w:val="0"/>
      <w:divBdr>
        <w:top w:val="none" w:sz="0" w:space="0" w:color="auto"/>
        <w:left w:val="none" w:sz="0" w:space="0" w:color="auto"/>
        <w:bottom w:val="none" w:sz="0" w:space="0" w:color="auto"/>
        <w:right w:val="none" w:sz="0" w:space="0" w:color="auto"/>
      </w:divBdr>
    </w:div>
    <w:div w:id="2082480584">
      <w:bodyDiv w:val="1"/>
      <w:marLeft w:val="0"/>
      <w:marRight w:val="0"/>
      <w:marTop w:val="0"/>
      <w:marBottom w:val="0"/>
      <w:divBdr>
        <w:top w:val="none" w:sz="0" w:space="0" w:color="auto"/>
        <w:left w:val="none" w:sz="0" w:space="0" w:color="auto"/>
        <w:bottom w:val="none" w:sz="0" w:space="0" w:color="auto"/>
        <w:right w:val="none" w:sz="0" w:space="0" w:color="auto"/>
      </w:divBdr>
    </w:div>
    <w:div w:id="2106414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D7468-5DEE-4E1A-9F7E-B1649FDD6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120072</Words>
  <Characters>684415</Characters>
  <Application>Microsoft Office Word</Application>
  <DocSecurity>0</DocSecurity>
  <Lines>5703</Lines>
  <Paragraphs>1605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Harvard University</Company>
  <LinksUpToDate>false</LinksUpToDate>
  <CharactersWithSpaces>802882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Mazur</dc:creator>
  <cp:lastModifiedBy>Lewis, Gale E</cp:lastModifiedBy>
  <cp:revision>3</cp:revision>
  <dcterms:created xsi:type="dcterms:W3CDTF">2018-07-19T14:00:00Z</dcterms:created>
  <dcterms:modified xsi:type="dcterms:W3CDTF">2018-07-19T14:00:00Z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83b91559-312d-3e8b-b768-cc50a8a1510b</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