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F9F903" w14:textId="77777777" w:rsidR="00DA6D8C" w:rsidRPr="006B2F1C" w:rsidRDefault="00DA6D8C" w:rsidP="00DA6D8C">
      <w:pPr>
        <w:pStyle w:val="Heading1"/>
        <w:rPr>
          <w:rFonts w:ascii="Times New Roman" w:hAnsi="Times New Roman"/>
          <w:sz w:val="24"/>
        </w:rPr>
      </w:pPr>
      <w:r w:rsidRPr="006B2F1C">
        <w:rPr>
          <w:rFonts w:ascii="Times New Roman" w:hAnsi="Times New Roman"/>
          <w:sz w:val="24"/>
        </w:rPr>
        <w:t xml:space="preserve">Supplementary Material </w:t>
      </w:r>
    </w:p>
    <w:p w14:paraId="0BD2C6E1" w14:textId="77777777" w:rsidR="00DA6D8C" w:rsidRPr="006B2F1C" w:rsidRDefault="00DA6D8C" w:rsidP="00DA6D8C">
      <w:pPr>
        <w:pStyle w:val="Heading2"/>
        <w:spacing w:after="0" w:line="240" w:lineRule="auto"/>
        <w:rPr>
          <w:rFonts w:ascii="Times New Roman" w:hAnsi="Times New Roman"/>
          <w:i w:val="0"/>
          <w:sz w:val="20"/>
        </w:rPr>
      </w:pPr>
      <w:r w:rsidRPr="006B2F1C">
        <w:rPr>
          <w:rFonts w:ascii="Times New Roman" w:hAnsi="Times New Roman"/>
          <w:i w:val="0"/>
          <w:sz w:val="20"/>
        </w:rPr>
        <w:t xml:space="preserve">Appendix </w:t>
      </w:r>
      <w:r w:rsidRPr="006B2F1C">
        <w:rPr>
          <w:rFonts w:ascii="Times New Roman" w:hAnsi="Times New Roman" w:cs="Times New Roman"/>
          <w:i w:val="0"/>
          <w:iCs/>
          <w:sz w:val="20"/>
          <w:szCs w:val="20"/>
        </w:rPr>
        <w:t>1</w:t>
      </w:r>
      <w:r w:rsidRPr="006B2F1C">
        <w:rPr>
          <w:rFonts w:ascii="Times New Roman" w:hAnsi="Times New Roman"/>
          <w:i w:val="0"/>
          <w:sz w:val="20"/>
        </w:rPr>
        <w:t>. Previous study designs</w:t>
      </w:r>
    </w:p>
    <w:p w14:paraId="30245099" w14:textId="77777777" w:rsidR="00DA6D8C" w:rsidRPr="006B2F1C" w:rsidRDefault="00DA6D8C" w:rsidP="00DA6D8C">
      <w:pPr>
        <w:spacing w:after="0" w:line="240" w:lineRule="auto"/>
        <w:rPr>
          <w:rFonts w:ascii="Times New Roman" w:hAnsi="Times New Roman"/>
          <w:sz w:val="20"/>
        </w:rPr>
      </w:pPr>
      <w:r w:rsidRPr="006B2F1C">
        <w:rPr>
          <w:rFonts w:ascii="Times New Roman" w:hAnsi="Times New Roman"/>
          <w:sz w:val="20"/>
        </w:rPr>
        <w:t xml:space="preserve">The open label (OL) parent study (Study VX13-809-011B) was a </w:t>
      </w:r>
      <w:r w:rsidRPr="006B2F1C">
        <w:rPr>
          <w:rFonts w:ascii="Times New Roman" w:hAnsi="Times New Roman"/>
          <w:sz w:val="20"/>
          <w:szCs w:val="20"/>
        </w:rPr>
        <w:t>p</w:t>
      </w:r>
      <w:r w:rsidRPr="006B2F1C">
        <w:rPr>
          <w:rFonts w:ascii="Times New Roman" w:hAnsi="Times New Roman"/>
          <w:sz w:val="20"/>
        </w:rPr>
        <w:t>hase 3, open-label, single arm, multicentre study that evaluated the safety, tolerability, and efficacy of lumacaftor/ivacaftor therapy over 24 weeks</w:t>
      </w:r>
      <w:r w:rsidRPr="006B2F1C">
        <w:rPr>
          <w:rFonts w:ascii="Times New Roman" w:hAnsi="Times New Roman"/>
          <w:sz w:val="20"/>
          <w:szCs w:val="20"/>
        </w:rPr>
        <w:t>.1</w:t>
      </w:r>
      <w:r w:rsidRPr="006B2F1C">
        <w:t xml:space="preserve"> </w:t>
      </w:r>
      <w:r w:rsidRPr="006B2F1C">
        <w:rPr>
          <w:rFonts w:ascii="Times New Roman" w:hAnsi="Times New Roman"/>
          <w:sz w:val="20"/>
        </w:rPr>
        <w:t>Eligible participants had a percent predicted forced expiratory volume in 1 second (ppFEV</w:t>
      </w:r>
      <w:r w:rsidRPr="006B2F1C">
        <w:rPr>
          <w:rFonts w:ascii="Times New Roman" w:hAnsi="Times New Roman"/>
          <w:sz w:val="20"/>
          <w:vertAlign w:val="subscript"/>
        </w:rPr>
        <w:t>1</w:t>
      </w:r>
      <w:r w:rsidRPr="006B2F1C">
        <w:rPr>
          <w:rFonts w:ascii="Times New Roman" w:hAnsi="Times New Roman"/>
          <w:sz w:val="20"/>
        </w:rPr>
        <w:t xml:space="preserve">) ≥40% and investigator-determined stable disease. Fifty-eight children aged 6 to 11 years with cystic fibrosis homozygous for </w:t>
      </w:r>
      <w:r w:rsidRPr="006B2F1C">
        <w:rPr>
          <w:rFonts w:ascii="Times New Roman" w:hAnsi="Times New Roman"/>
          <w:i/>
          <w:sz w:val="20"/>
        </w:rPr>
        <w:t>F508del-CFTR</w:t>
      </w:r>
      <w:r w:rsidRPr="006B2F1C">
        <w:rPr>
          <w:rFonts w:ascii="Times New Roman" w:hAnsi="Times New Roman"/>
          <w:sz w:val="20"/>
        </w:rPr>
        <w:t xml:space="preserve"> received lumacaftor 200 mg/ivacaftor 250 mg every 12 hours for 24 weeks (in addition to their usual standard</w:t>
      </w:r>
      <w:r w:rsidRPr="006B2F1C">
        <w:rPr>
          <w:rFonts w:ascii="Times New Roman" w:hAnsi="Times New Roman"/>
          <w:sz w:val="20"/>
          <w:szCs w:val="20"/>
        </w:rPr>
        <w:t>-</w:t>
      </w:r>
      <w:r w:rsidRPr="006B2F1C">
        <w:rPr>
          <w:rFonts w:ascii="Times New Roman" w:hAnsi="Times New Roman"/>
          <w:sz w:val="20"/>
        </w:rPr>
        <w:t>of</w:t>
      </w:r>
      <w:r w:rsidRPr="006B2F1C">
        <w:rPr>
          <w:rFonts w:ascii="Times New Roman" w:hAnsi="Times New Roman"/>
          <w:sz w:val="20"/>
          <w:szCs w:val="20"/>
        </w:rPr>
        <w:t>-</w:t>
      </w:r>
      <w:r w:rsidRPr="006B2F1C">
        <w:rPr>
          <w:rFonts w:ascii="Times New Roman" w:hAnsi="Times New Roman"/>
          <w:sz w:val="20"/>
        </w:rPr>
        <w:t xml:space="preserve">care medications for cystic fibrosis). Children then completed a 2-week washout and either attended a safety follow-up visit or rolled over into Study 110. </w:t>
      </w:r>
    </w:p>
    <w:p w14:paraId="7C34D385" w14:textId="77777777" w:rsidR="00DA6D8C" w:rsidRPr="006B2F1C" w:rsidRDefault="00DA6D8C" w:rsidP="00DA6D8C">
      <w:pPr>
        <w:spacing w:after="0" w:line="240" w:lineRule="auto"/>
        <w:rPr>
          <w:rFonts w:ascii="Times New Roman" w:hAnsi="Times New Roman"/>
          <w:sz w:val="20"/>
        </w:rPr>
      </w:pPr>
      <w:r w:rsidRPr="006B2F1C">
        <w:rPr>
          <w:rFonts w:ascii="Times New Roman" w:hAnsi="Times New Roman"/>
          <w:sz w:val="20"/>
        </w:rPr>
        <w:t>The randomi</w:t>
      </w:r>
      <w:r>
        <w:rPr>
          <w:rFonts w:ascii="Times New Roman" w:hAnsi="Times New Roman"/>
          <w:sz w:val="20"/>
        </w:rPr>
        <w:t>s</w:t>
      </w:r>
      <w:r w:rsidRPr="006B2F1C">
        <w:rPr>
          <w:rFonts w:ascii="Times New Roman" w:hAnsi="Times New Roman"/>
          <w:sz w:val="20"/>
        </w:rPr>
        <w:t xml:space="preserve">ed controlled trial (RCT) parent study (Study VX14-809-109) was a </w:t>
      </w:r>
      <w:r w:rsidRPr="006B2F1C">
        <w:rPr>
          <w:rFonts w:ascii="Times New Roman" w:hAnsi="Times New Roman"/>
          <w:sz w:val="20"/>
          <w:szCs w:val="20"/>
        </w:rPr>
        <w:t>p</w:t>
      </w:r>
      <w:r w:rsidRPr="006B2F1C">
        <w:rPr>
          <w:rFonts w:ascii="Times New Roman" w:hAnsi="Times New Roman"/>
          <w:sz w:val="20"/>
        </w:rPr>
        <w:t>hase 3, randomi</w:t>
      </w:r>
      <w:r w:rsidRPr="006B2F1C">
        <w:rPr>
          <w:rFonts w:ascii="Times New Roman" w:hAnsi="Times New Roman"/>
          <w:sz w:val="20"/>
          <w:szCs w:val="20"/>
        </w:rPr>
        <w:t>s</w:t>
      </w:r>
      <w:r w:rsidRPr="006B2F1C">
        <w:rPr>
          <w:rFonts w:ascii="Times New Roman" w:hAnsi="Times New Roman"/>
          <w:sz w:val="20"/>
        </w:rPr>
        <w:t xml:space="preserve">ed, double-blind, placebo-controlled, multicentre study evaluating the efficacy and safety of lumacaftor/ivacaftor in children aged 6 to 11 years with cystic fibrosis homozygous for </w:t>
      </w:r>
      <w:r w:rsidRPr="006B2F1C">
        <w:rPr>
          <w:rFonts w:ascii="Times New Roman" w:hAnsi="Times New Roman"/>
          <w:i/>
          <w:sz w:val="20"/>
        </w:rPr>
        <w:t>F508del-CFTR</w:t>
      </w:r>
      <w:r w:rsidRPr="006B2F1C">
        <w:rPr>
          <w:rFonts w:ascii="Times New Roman" w:hAnsi="Times New Roman"/>
          <w:sz w:val="20"/>
          <w:szCs w:val="20"/>
        </w:rPr>
        <w:t>.</w:t>
      </w:r>
      <w:r w:rsidRPr="006B2F1C">
        <w:rPr>
          <w:rFonts w:ascii="Times New Roman" w:hAnsi="Times New Roman"/>
          <w:sz w:val="20"/>
          <w:szCs w:val="20"/>
          <w:vertAlign w:val="superscript"/>
        </w:rPr>
        <w:t>2</w:t>
      </w:r>
      <w:r w:rsidRPr="006B2F1C">
        <w:rPr>
          <w:rFonts w:ascii="Times New Roman" w:hAnsi="Times New Roman"/>
          <w:sz w:val="20"/>
        </w:rPr>
        <w:t xml:space="preserve"> The primary outcome was lung clearance index at 2∙5% of normali</w:t>
      </w:r>
      <w:r w:rsidRPr="006B2F1C">
        <w:rPr>
          <w:rFonts w:ascii="Times New Roman" w:hAnsi="Times New Roman"/>
          <w:sz w:val="20"/>
          <w:szCs w:val="20"/>
        </w:rPr>
        <w:t>s</w:t>
      </w:r>
      <w:r w:rsidRPr="006B2F1C">
        <w:rPr>
          <w:rFonts w:ascii="Times New Roman" w:hAnsi="Times New Roman"/>
          <w:sz w:val="20"/>
        </w:rPr>
        <w:t>ed tracer gas concentration</w:t>
      </w:r>
      <w:r w:rsidRPr="006B2F1C">
        <w:rPr>
          <w:rFonts w:ascii="Times New Roman" w:hAnsi="Times New Roman"/>
          <w:sz w:val="20"/>
          <w:vertAlign w:val="subscript"/>
        </w:rPr>
        <w:t xml:space="preserve"> </w:t>
      </w:r>
      <w:r w:rsidRPr="006B2F1C">
        <w:rPr>
          <w:rFonts w:ascii="Times New Roman" w:hAnsi="Times New Roman"/>
          <w:sz w:val="20"/>
        </w:rPr>
        <w:t>(LCI</w:t>
      </w:r>
      <w:r w:rsidRPr="006B2F1C">
        <w:rPr>
          <w:rFonts w:ascii="Times New Roman" w:hAnsi="Times New Roman"/>
          <w:sz w:val="20"/>
          <w:vertAlign w:val="subscript"/>
        </w:rPr>
        <w:t>2∙5</w:t>
      </w:r>
      <w:r w:rsidRPr="006B2F1C">
        <w:rPr>
          <w:rFonts w:ascii="Times New Roman" w:hAnsi="Times New Roman"/>
          <w:sz w:val="20"/>
        </w:rPr>
        <w:t>). Eligible participants had a ppFEV</w:t>
      </w:r>
      <w:r w:rsidRPr="006B2F1C">
        <w:rPr>
          <w:rFonts w:ascii="Times New Roman" w:hAnsi="Times New Roman"/>
          <w:sz w:val="20"/>
          <w:vertAlign w:val="subscript"/>
        </w:rPr>
        <w:t>1</w:t>
      </w:r>
      <w:r w:rsidRPr="006B2F1C">
        <w:rPr>
          <w:rFonts w:ascii="Times New Roman" w:hAnsi="Times New Roman"/>
          <w:sz w:val="20"/>
        </w:rPr>
        <w:t> ≥70%, an LCI</w:t>
      </w:r>
      <w:r w:rsidRPr="006B2F1C">
        <w:rPr>
          <w:rFonts w:ascii="Times New Roman" w:hAnsi="Times New Roman"/>
          <w:sz w:val="20"/>
          <w:vertAlign w:val="subscript"/>
        </w:rPr>
        <w:t>2∙5</w:t>
      </w:r>
      <w:r w:rsidRPr="006B2F1C">
        <w:rPr>
          <w:rFonts w:ascii="Times New Roman" w:hAnsi="Times New Roman"/>
          <w:sz w:val="20"/>
        </w:rPr>
        <w:t xml:space="preserve"> ≥7∙5 (the upper limit of normal for the age group), and investigator-determined stable disease at screening</w:t>
      </w:r>
      <w:r w:rsidRPr="006B2F1C">
        <w:rPr>
          <w:rFonts w:ascii="Times New Roman" w:hAnsi="Times New Roman"/>
          <w:sz w:val="20"/>
          <w:szCs w:val="20"/>
        </w:rPr>
        <w:t>.</w:t>
      </w:r>
      <w:r w:rsidRPr="006B2F1C">
        <w:rPr>
          <w:rFonts w:ascii="Times New Roman" w:hAnsi="Times New Roman"/>
          <w:sz w:val="20"/>
        </w:rPr>
        <w:t xml:space="preserve"> A total of 204 children were randomi</w:t>
      </w:r>
      <w:r w:rsidRPr="006B2F1C">
        <w:rPr>
          <w:rFonts w:ascii="Times New Roman" w:hAnsi="Times New Roman"/>
          <w:sz w:val="20"/>
          <w:szCs w:val="20"/>
        </w:rPr>
        <w:t>s</w:t>
      </w:r>
      <w:r w:rsidRPr="006B2F1C">
        <w:rPr>
          <w:rFonts w:ascii="Times New Roman" w:hAnsi="Times New Roman"/>
          <w:sz w:val="20"/>
        </w:rPr>
        <w:t xml:space="preserve">ed 1:1 to receive either lumacaftor 200 mg/ivacaftor 250 mg or matched placebo every 12 hours for 24 weeks and either attended a safety follow-up visit or rolled over into Study 110. </w:t>
      </w:r>
      <w:r w:rsidRPr="006B2F1C">
        <w:rPr>
          <w:rFonts w:ascii="Times New Roman" w:hAnsi="Times New Roman"/>
          <w:sz w:val="20"/>
        </w:rPr>
        <w:br w:type="page"/>
      </w:r>
    </w:p>
    <w:p w14:paraId="11A3A2A2" w14:textId="77777777" w:rsidR="00DA6D8C" w:rsidRPr="006B2F1C" w:rsidRDefault="00DA6D8C" w:rsidP="00DA6D8C">
      <w:pPr>
        <w:pStyle w:val="Heading2"/>
        <w:spacing w:after="0" w:line="240" w:lineRule="auto"/>
        <w:rPr>
          <w:rFonts w:ascii="Times New Roman" w:hAnsi="Times New Roman"/>
          <w:i w:val="0"/>
          <w:sz w:val="20"/>
        </w:rPr>
      </w:pPr>
      <w:r w:rsidRPr="006B2F1C">
        <w:rPr>
          <w:rFonts w:ascii="Times New Roman" w:hAnsi="Times New Roman"/>
          <w:i w:val="0"/>
          <w:sz w:val="20"/>
        </w:rPr>
        <w:lastRenderedPageBreak/>
        <w:t xml:space="preserve">Appendix </w:t>
      </w:r>
      <w:r w:rsidRPr="006B2F1C">
        <w:rPr>
          <w:rFonts w:ascii="Times New Roman" w:hAnsi="Times New Roman" w:cs="Times New Roman"/>
          <w:i w:val="0"/>
          <w:iCs/>
          <w:sz w:val="20"/>
          <w:szCs w:val="20"/>
        </w:rPr>
        <w:t>2</w:t>
      </w:r>
      <w:r w:rsidRPr="006B2F1C">
        <w:rPr>
          <w:rFonts w:ascii="Times New Roman" w:hAnsi="Times New Roman"/>
          <w:i w:val="0"/>
          <w:sz w:val="20"/>
        </w:rPr>
        <w:t>. Additional outcomes</w:t>
      </w:r>
    </w:p>
    <w:p w14:paraId="4DA2EA81" w14:textId="77777777" w:rsidR="00DA6D8C" w:rsidRPr="006B2F1C" w:rsidRDefault="00DA6D8C" w:rsidP="00DA6D8C">
      <w:pPr>
        <w:pStyle w:val="Heading3"/>
        <w:spacing w:before="0" w:after="0" w:line="240" w:lineRule="auto"/>
        <w:rPr>
          <w:rFonts w:ascii="Times New Roman" w:hAnsi="Times New Roman"/>
          <w:sz w:val="20"/>
        </w:rPr>
      </w:pPr>
      <w:r w:rsidRPr="006B2F1C">
        <w:rPr>
          <w:rFonts w:ascii="Times New Roman" w:hAnsi="Times New Roman"/>
          <w:sz w:val="20"/>
        </w:rPr>
        <w:t>Summary of pulmonary exacerbation endpoints</w:t>
      </w:r>
    </w:p>
    <w:p w14:paraId="7E0B45E7" w14:textId="25DE7FF4" w:rsidR="00DA6D8C" w:rsidRPr="006B2F1C" w:rsidRDefault="00DA6D8C" w:rsidP="00DA6D8C">
      <w:pPr>
        <w:spacing w:after="0" w:line="240" w:lineRule="auto"/>
        <w:rPr>
          <w:rFonts w:ascii="Times New Roman" w:hAnsi="Times New Roman"/>
          <w:sz w:val="20"/>
        </w:rPr>
      </w:pPr>
      <w:r w:rsidRPr="006B2F1C">
        <w:rPr>
          <w:rFonts w:ascii="Times New Roman" w:hAnsi="Times New Roman"/>
          <w:sz w:val="20"/>
        </w:rPr>
        <w:t>Pulmonary exacerbations (</w:t>
      </w:r>
      <w:proofErr w:type="spellStart"/>
      <w:r w:rsidRPr="006B2F1C">
        <w:rPr>
          <w:rFonts w:ascii="Times New Roman" w:hAnsi="Times New Roman"/>
          <w:sz w:val="20"/>
        </w:rPr>
        <w:t>PEx</w:t>
      </w:r>
      <w:proofErr w:type="spellEnd"/>
      <w:r w:rsidRPr="006B2F1C">
        <w:rPr>
          <w:rFonts w:ascii="Times New Roman" w:hAnsi="Times New Roman"/>
          <w:sz w:val="20"/>
        </w:rPr>
        <w:t xml:space="preserve">) during the lumacaftor/ivacaftor treatment period were evaluated </w:t>
      </w:r>
      <w:r w:rsidRPr="006B2F1C">
        <w:rPr>
          <w:rFonts w:ascii="Times New Roman" w:hAnsi="Times New Roman"/>
          <w:sz w:val="20"/>
          <w:szCs w:val="20"/>
        </w:rPr>
        <w:t>only in</w:t>
      </w:r>
      <w:r w:rsidRPr="006B2F1C">
        <w:rPr>
          <w:rFonts w:ascii="Times New Roman" w:hAnsi="Times New Roman"/>
          <w:sz w:val="20"/>
        </w:rPr>
        <w:t xml:space="preserve"> children from the RCT study. The median time to first </w:t>
      </w:r>
      <w:proofErr w:type="spellStart"/>
      <w:r w:rsidRPr="006B2F1C">
        <w:rPr>
          <w:rFonts w:ascii="Times New Roman" w:hAnsi="Times New Roman"/>
          <w:sz w:val="20"/>
        </w:rPr>
        <w:t>PEx</w:t>
      </w:r>
      <w:proofErr w:type="spellEnd"/>
      <w:r w:rsidRPr="006B2F1C">
        <w:rPr>
          <w:rFonts w:ascii="Times New Roman" w:hAnsi="Times New Roman"/>
          <w:sz w:val="20"/>
        </w:rPr>
        <w:t xml:space="preserve"> could not be estimated in the </w:t>
      </w:r>
      <w:r w:rsidRPr="006B2F1C">
        <w:rPr>
          <w:rFonts w:ascii="Times New Roman" w:hAnsi="Times New Roman"/>
          <w:sz w:val="20"/>
          <w:szCs w:val="20"/>
        </w:rPr>
        <w:t>placebo to lumacaftor/ivacaftor (</w:t>
      </w:r>
      <w:r w:rsidRPr="006B2F1C">
        <w:rPr>
          <w:rFonts w:ascii="Times New Roman" w:hAnsi="Times New Roman"/>
          <w:sz w:val="20"/>
        </w:rPr>
        <w:t>P</w:t>
      </w:r>
      <w:r w:rsidRPr="006B2F1C">
        <w:rPr>
          <w:rFonts w:ascii="Wingdings" w:hAnsi="Wingdings"/>
          <w:sz w:val="20"/>
        </w:rPr>
        <w:t></w:t>
      </w:r>
      <w:r w:rsidRPr="006B2F1C">
        <w:rPr>
          <w:rFonts w:ascii="Times New Roman" w:hAnsi="Times New Roman"/>
          <w:sz w:val="20"/>
          <w:szCs w:val="20"/>
        </w:rPr>
        <w:t>L</w:t>
      </w:r>
      <w:r w:rsidRPr="006B2F1C">
        <w:rPr>
          <w:rFonts w:ascii="Times New Roman" w:hAnsi="Times New Roman"/>
          <w:sz w:val="20"/>
        </w:rPr>
        <w:t>/I</w:t>
      </w:r>
      <w:r w:rsidRPr="006B2F1C">
        <w:rPr>
          <w:rFonts w:ascii="Times New Roman" w:hAnsi="Times New Roman"/>
          <w:sz w:val="20"/>
          <w:szCs w:val="20"/>
        </w:rPr>
        <w:t>)</w:t>
      </w:r>
      <w:r w:rsidRPr="006B2F1C">
        <w:rPr>
          <w:rFonts w:ascii="Times New Roman" w:hAnsi="Times New Roman"/>
          <w:sz w:val="20"/>
        </w:rPr>
        <w:t xml:space="preserve"> group because </w:t>
      </w:r>
      <w:r w:rsidRPr="006B2F1C">
        <w:rPr>
          <w:rFonts w:ascii="Times New Roman" w:hAnsi="Times New Roman"/>
          <w:sz w:val="20"/>
          <w:szCs w:val="20"/>
        </w:rPr>
        <w:t>&lt;</w:t>
      </w:r>
      <w:r w:rsidRPr="006B2F1C">
        <w:rPr>
          <w:rFonts w:ascii="Times New Roman" w:hAnsi="Times New Roman"/>
          <w:sz w:val="20"/>
        </w:rPr>
        <w:t xml:space="preserve">50% of children in the group had a </w:t>
      </w:r>
      <w:proofErr w:type="spellStart"/>
      <w:r w:rsidRPr="006B2F1C">
        <w:rPr>
          <w:rFonts w:ascii="Times New Roman" w:hAnsi="Times New Roman"/>
          <w:sz w:val="20"/>
          <w:szCs w:val="20"/>
        </w:rPr>
        <w:t>PEx</w:t>
      </w:r>
      <w:proofErr w:type="spellEnd"/>
      <w:r w:rsidRPr="006B2F1C">
        <w:rPr>
          <w:rFonts w:ascii="Times New Roman" w:hAnsi="Times New Roman"/>
          <w:sz w:val="20"/>
          <w:szCs w:val="20"/>
        </w:rPr>
        <w:t>.</w:t>
      </w:r>
      <w:r w:rsidRPr="006B2F1C">
        <w:rPr>
          <w:rFonts w:ascii="Times New Roman" w:hAnsi="Times New Roman"/>
          <w:sz w:val="20"/>
        </w:rPr>
        <w:t xml:space="preserve"> The third quartile of time to first </w:t>
      </w:r>
      <w:proofErr w:type="spellStart"/>
      <w:r w:rsidRPr="006B2F1C">
        <w:rPr>
          <w:rFonts w:ascii="Times New Roman" w:hAnsi="Times New Roman"/>
          <w:sz w:val="20"/>
        </w:rPr>
        <w:t>PEx</w:t>
      </w:r>
      <w:proofErr w:type="spellEnd"/>
      <w:r w:rsidRPr="006B2F1C">
        <w:rPr>
          <w:rFonts w:ascii="Times New Roman" w:hAnsi="Times New Roman"/>
          <w:sz w:val="20"/>
        </w:rPr>
        <w:t xml:space="preserve"> could not be estimated for either the P</w:t>
      </w:r>
      <w:r w:rsidRPr="006B2F1C">
        <w:rPr>
          <w:rFonts w:ascii="Wingdings" w:hAnsi="Wingdings"/>
          <w:sz w:val="20"/>
        </w:rPr>
        <w:t></w:t>
      </w:r>
      <w:r w:rsidRPr="006B2F1C">
        <w:rPr>
          <w:rFonts w:ascii="Times New Roman" w:hAnsi="Times New Roman"/>
          <w:sz w:val="20"/>
          <w:szCs w:val="20"/>
        </w:rPr>
        <w:t>L</w:t>
      </w:r>
      <w:r w:rsidRPr="006B2F1C">
        <w:rPr>
          <w:rFonts w:ascii="Times New Roman" w:hAnsi="Times New Roman"/>
          <w:sz w:val="20"/>
        </w:rPr>
        <w:t xml:space="preserve">/I or </w:t>
      </w:r>
      <w:r w:rsidRPr="006B2F1C">
        <w:rPr>
          <w:rFonts w:ascii="Times New Roman" w:hAnsi="Times New Roman"/>
          <w:sz w:val="20"/>
          <w:szCs w:val="20"/>
        </w:rPr>
        <w:t>lumacaftor/ivacaftor to lumacaftor/ivacaftor (L/I</w:t>
      </w:r>
      <w:r w:rsidRPr="006B2F1C">
        <w:rPr>
          <w:rFonts w:ascii="Wingdings" w:eastAsia="Wingdings" w:hAnsi="Wingdings" w:cs="Wingdings"/>
          <w:sz w:val="20"/>
          <w:szCs w:val="20"/>
        </w:rPr>
        <w:t>à</w:t>
      </w:r>
      <w:r w:rsidRPr="006B2F1C">
        <w:rPr>
          <w:rFonts w:ascii="Times New Roman" w:hAnsi="Times New Roman"/>
          <w:sz w:val="20"/>
          <w:szCs w:val="20"/>
        </w:rPr>
        <w:t>L</w:t>
      </w:r>
      <w:r w:rsidRPr="006B2F1C">
        <w:rPr>
          <w:rFonts w:ascii="Times New Roman" w:hAnsi="Times New Roman"/>
          <w:sz w:val="20"/>
        </w:rPr>
        <w:t>/I</w:t>
      </w:r>
      <w:r w:rsidRPr="006B2F1C">
        <w:rPr>
          <w:rFonts w:ascii="Times New Roman" w:hAnsi="Times New Roman"/>
          <w:sz w:val="20"/>
          <w:szCs w:val="20"/>
        </w:rPr>
        <w:t>)</w:t>
      </w:r>
      <w:r w:rsidRPr="006B2F1C">
        <w:rPr>
          <w:rFonts w:ascii="Times New Roman" w:hAnsi="Times New Roman"/>
          <w:sz w:val="20"/>
        </w:rPr>
        <w:t xml:space="preserve"> group because </w:t>
      </w:r>
      <w:r w:rsidRPr="006B2F1C">
        <w:rPr>
          <w:rFonts w:ascii="Times New Roman" w:hAnsi="Times New Roman"/>
          <w:sz w:val="20"/>
          <w:szCs w:val="20"/>
        </w:rPr>
        <w:t>&lt;</w:t>
      </w:r>
      <w:r w:rsidRPr="006B2F1C">
        <w:rPr>
          <w:rFonts w:ascii="Times New Roman" w:hAnsi="Times New Roman"/>
          <w:sz w:val="20"/>
        </w:rPr>
        <w:t xml:space="preserve">75% of children in each group had events during the lumacaftor/ivacaftor treatment period. The median time to first </w:t>
      </w:r>
      <w:proofErr w:type="spellStart"/>
      <w:r w:rsidRPr="006B2F1C">
        <w:rPr>
          <w:rFonts w:ascii="Times New Roman" w:hAnsi="Times New Roman"/>
          <w:sz w:val="20"/>
        </w:rPr>
        <w:t>PEx</w:t>
      </w:r>
      <w:proofErr w:type="spellEnd"/>
      <w:r w:rsidRPr="006B2F1C">
        <w:rPr>
          <w:rFonts w:ascii="Times New Roman" w:hAnsi="Times New Roman"/>
          <w:sz w:val="20"/>
        </w:rPr>
        <w:t xml:space="preserve"> during the treatment period for the L/I</w:t>
      </w:r>
      <w:r w:rsidRPr="006B2F1C">
        <w:rPr>
          <w:rFonts w:ascii="Wingdings" w:eastAsia="Wingdings" w:hAnsi="Wingdings" w:cs="Wingdings"/>
          <w:sz w:val="20"/>
          <w:szCs w:val="22"/>
        </w:rPr>
        <w:t>à</w:t>
      </w:r>
      <w:r w:rsidRPr="006B2F1C">
        <w:rPr>
          <w:rFonts w:ascii="Times New Roman" w:hAnsi="Times New Roman"/>
          <w:sz w:val="20"/>
          <w:szCs w:val="22"/>
        </w:rPr>
        <w:t>L/I</w:t>
      </w:r>
      <w:r w:rsidRPr="006B2F1C">
        <w:rPr>
          <w:rFonts w:ascii="Times New Roman" w:hAnsi="Times New Roman"/>
          <w:sz w:val="18"/>
          <w:szCs w:val="22"/>
        </w:rPr>
        <w:t xml:space="preserve"> </w:t>
      </w:r>
      <w:r w:rsidRPr="006B2F1C">
        <w:rPr>
          <w:rFonts w:ascii="Times New Roman" w:hAnsi="Times New Roman"/>
          <w:sz w:val="20"/>
        </w:rPr>
        <w:t xml:space="preserve">group was 720 </w:t>
      </w:r>
      <w:r w:rsidR="008C25B5">
        <w:rPr>
          <w:rFonts w:ascii="Times New Roman" w:hAnsi="Times New Roman"/>
          <w:sz w:val="20"/>
        </w:rPr>
        <w:t xml:space="preserve">(interquartile range, </w:t>
      </w:r>
      <w:r w:rsidR="008C25B5" w:rsidRPr="008C25B5">
        <w:rPr>
          <w:rFonts w:ascii="Times New Roman" w:hAnsi="Times New Roman"/>
          <w:sz w:val="20"/>
        </w:rPr>
        <w:t>278</w:t>
      </w:r>
      <w:r w:rsidR="008C25B5" w:rsidRPr="006B2F1C">
        <w:rPr>
          <w:rFonts w:ascii="Times New Roman" w:hAnsi="Times New Roman"/>
          <w:sz w:val="20"/>
        </w:rPr>
        <w:t>·</w:t>
      </w:r>
      <w:r w:rsidR="008C25B5" w:rsidRPr="008C25B5">
        <w:rPr>
          <w:rFonts w:ascii="Times New Roman" w:hAnsi="Times New Roman"/>
          <w:sz w:val="20"/>
        </w:rPr>
        <w:t>00</w:t>
      </w:r>
      <w:r w:rsidR="00E802FD">
        <w:rPr>
          <w:rFonts w:ascii="Times New Roman" w:hAnsi="Times New Roman"/>
          <w:sz w:val="20"/>
        </w:rPr>
        <w:t>-</w:t>
      </w:r>
      <w:r w:rsidR="00E47044">
        <w:rPr>
          <w:rFonts w:ascii="Times New Roman" w:hAnsi="Times New Roman"/>
          <w:sz w:val="20"/>
        </w:rPr>
        <w:t>not estimable</w:t>
      </w:r>
      <w:r w:rsidR="008C25B5">
        <w:rPr>
          <w:rFonts w:ascii="Times New Roman" w:hAnsi="Times New Roman"/>
          <w:sz w:val="20"/>
        </w:rPr>
        <w:t xml:space="preserve">) </w:t>
      </w:r>
      <w:r w:rsidRPr="006B2F1C">
        <w:rPr>
          <w:rFonts w:ascii="Times New Roman" w:hAnsi="Times New Roman"/>
          <w:sz w:val="20"/>
        </w:rPr>
        <w:t>days.</w:t>
      </w:r>
    </w:p>
    <w:p w14:paraId="1185B677" w14:textId="77777777" w:rsidR="00DA6D8C" w:rsidRPr="006B2F1C" w:rsidRDefault="00DA6D8C" w:rsidP="00DA6D8C">
      <w:pPr>
        <w:spacing w:after="0" w:line="240" w:lineRule="auto"/>
        <w:rPr>
          <w:rFonts w:ascii="Times New Roman" w:hAnsi="Times New Roman"/>
          <w:sz w:val="20"/>
        </w:rPr>
      </w:pPr>
      <w:r w:rsidRPr="006B2F1C">
        <w:rPr>
          <w:rFonts w:ascii="Times New Roman" w:hAnsi="Times New Roman"/>
          <w:sz w:val="20"/>
        </w:rPr>
        <w:t>Pulmonary exacerbations occurred in 51 children (49·5%) in the L/I</w:t>
      </w:r>
      <w:r w:rsidRPr="006B2F1C">
        <w:rPr>
          <w:rFonts w:ascii="Wingdings" w:eastAsia="Wingdings" w:hAnsi="Wingdings" w:cs="Wingdings"/>
          <w:sz w:val="20"/>
          <w:szCs w:val="20"/>
        </w:rPr>
        <w:t>à</w:t>
      </w:r>
      <w:r w:rsidRPr="006B2F1C">
        <w:rPr>
          <w:rFonts w:ascii="Times New Roman" w:hAnsi="Times New Roman"/>
          <w:sz w:val="20"/>
        </w:rPr>
        <w:t>L/I group (cumulative rate from the RCT study</w:t>
      </w:r>
      <w:r w:rsidRPr="006B2F1C" w:rsidDel="003E2EA6">
        <w:rPr>
          <w:rFonts w:ascii="Times New Roman" w:hAnsi="Times New Roman"/>
          <w:sz w:val="20"/>
        </w:rPr>
        <w:t xml:space="preserve"> </w:t>
      </w:r>
      <w:r w:rsidRPr="006B2F1C">
        <w:rPr>
          <w:rFonts w:ascii="Times New Roman" w:hAnsi="Times New Roman"/>
          <w:sz w:val="20"/>
        </w:rPr>
        <w:t>and Study 110 [120 weeks]) and in 31 children (32·3%) in the P</w:t>
      </w:r>
      <w:r w:rsidRPr="006B2F1C">
        <w:rPr>
          <w:rFonts w:ascii="Wingdings" w:hAnsi="Wingdings"/>
          <w:sz w:val="20"/>
        </w:rPr>
        <w:t></w:t>
      </w:r>
      <w:r w:rsidRPr="006B2F1C">
        <w:rPr>
          <w:rFonts w:ascii="Times New Roman" w:hAnsi="Times New Roman"/>
          <w:sz w:val="20"/>
          <w:szCs w:val="20"/>
        </w:rPr>
        <w:t>L/I group (from Study 110 only [96 weeks]). The event rate per patient-year in the L/I</w:t>
      </w:r>
      <w:r w:rsidRPr="006B2F1C">
        <w:rPr>
          <w:rFonts w:ascii="Wingdings" w:hAnsi="Wingdings"/>
          <w:sz w:val="20"/>
        </w:rPr>
        <w:t></w:t>
      </w:r>
      <w:r w:rsidRPr="006B2F1C">
        <w:rPr>
          <w:rFonts w:ascii="Times New Roman" w:hAnsi="Times New Roman"/>
          <w:sz w:val="20"/>
        </w:rPr>
        <w:t xml:space="preserve">L/I group was 0·45 (95%CI, 0·33 to 0·61) and </w:t>
      </w:r>
      <w:r w:rsidRPr="006B2F1C">
        <w:rPr>
          <w:rFonts w:ascii="Times New Roman" w:hAnsi="Times New Roman"/>
          <w:sz w:val="20"/>
          <w:szCs w:val="20"/>
        </w:rPr>
        <w:t xml:space="preserve">in the </w:t>
      </w:r>
      <w:r w:rsidRPr="006B2F1C">
        <w:rPr>
          <w:rFonts w:ascii="Times New Roman" w:hAnsi="Times New Roman"/>
          <w:sz w:val="20"/>
        </w:rPr>
        <w:t>P</w:t>
      </w:r>
      <w:r w:rsidRPr="006B2F1C">
        <w:rPr>
          <w:rFonts w:ascii="Wingdings" w:eastAsia="Wingdings" w:hAnsi="Wingdings" w:cs="Wingdings"/>
          <w:sz w:val="20"/>
          <w:szCs w:val="20"/>
        </w:rPr>
        <w:t>à</w:t>
      </w:r>
      <w:r w:rsidRPr="006B2F1C">
        <w:rPr>
          <w:rFonts w:ascii="Times New Roman" w:hAnsi="Times New Roman"/>
          <w:sz w:val="20"/>
        </w:rPr>
        <w:t>L/I group was 0·30 (95% CI, 0·21 to 0·43).</w:t>
      </w:r>
    </w:p>
    <w:p w14:paraId="51B5BD55" w14:textId="77777777" w:rsidR="00DA6D8C" w:rsidRPr="006B2F1C" w:rsidRDefault="00DA6D8C" w:rsidP="00DA6D8C">
      <w:pPr>
        <w:spacing w:after="0" w:line="240" w:lineRule="auto"/>
        <w:rPr>
          <w:rFonts w:ascii="Times New Roman" w:hAnsi="Times New Roman"/>
          <w:sz w:val="20"/>
        </w:rPr>
      </w:pPr>
      <w:r w:rsidRPr="006B2F1C">
        <w:rPr>
          <w:rFonts w:ascii="Times New Roman" w:hAnsi="Times New Roman"/>
          <w:sz w:val="20"/>
        </w:rPr>
        <w:t>Few of the events in the L/I</w:t>
      </w:r>
      <w:r w:rsidRPr="006B2F1C">
        <w:rPr>
          <w:rFonts w:ascii="Wingdings" w:hAnsi="Wingdings"/>
          <w:sz w:val="20"/>
        </w:rPr>
        <w:t></w:t>
      </w:r>
      <w:r w:rsidRPr="006B2F1C">
        <w:rPr>
          <w:rFonts w:ascii="Times New Roman" w:hAnsi="Times New Roman"/>
          <w:sz w:val="20"/>
          <w:szCs w:val="20"/>
        </w:rPr>
        <w:t>L</w:t>
      </w:r>
      <w:r w:rsidRPr="006B2F1C">
        <w:rPr>
          <w:rFonts w:ascii="Times New Roman" w:hAnsi="Times New Roman"/>
          <w:sz w:val="20"/>
        </w:rPr>
        <w:t>/I or P</w:t>
      </w:r>
      <w:r w:rsidRPr="006B2F1C">
        <w:rPr>
          <w:rFonts w:ascii="Wingdings" w:hAnsi="Wingdings"/>
          <w:sz w:val="20"/>
        </w:rPr>
        <w:t></w:t>
      </w:r>
      <w:r w:rsidRPr="006B2F1C">
        <w:rPr>
          <w:rFonts w:ascii="Times New Roman" w:hAnsi="Times New Roman"/>
          <w:sz w:val="20"/>
          <w:szCs w:val="20"/>
        </w:rPr>
        <w:t>L</w:t>
      </w:r>
      <w:r w:rsidRPr="006B2F1C">
        <w:rPr>
          <w:rFonts w:ascii="Times New Roman" w:hAnsi="Times New Roman"/>
          <w:sz w:val="20"/>
        </w:rPr>
        <w:t>/I groups required hospitali</w:t>
      </w:r>
      <w:r w:rsidRPr="006B2F1C">
        <w:rPr>
          <w:rFonts w:ascii="Times New Roman" w:hAnsi="Times New Roman"/>
          <w:sz w:val="20"/>
          <w:szCs w:val="20"/>
        </w:rPr>
        <w:t>s</w:t>
      </w:r>
      <w:r w:rsidRPr="006B2F1C">
        <w:rPr>
          <w:rFonts w:ascii="Times New Roman" w:hAnsi="Times New Roman"/>
          <w:sz w:val="20"/>
        </w:rPr>
        <w:t xml:space="preserve">ation or antibiotic treatment. The median time to first </w:t>
      </w:r>
      <w:proofErr w:type="spellStart"/>
      <w:r w:rsidRPr="006B2F1C">
        <w:rPr>
          <w:rFonts w:ascii="Times New Roman" w:hAnsi="Times New Roman"/>
          <w:sz w:val="20"/>
        </w:rPr>
        <w:t>PEx</w:t>
      </w:r>
      <w:proofErr w:type="spellEnd"/>
      <w:r w:rsidRPr="006B2F1C">
        <w:rPr>
          <w:rFonts w:ascii="Times New Roman" w:hAnsi="Times New Roman"/>
          <w:sz w:val="20"/>
        </w:rPr>
        <w:t xml:space="preserve"> requiring hospitali</w:t>
      </w:r>
      <w:r w:rsidRPr="006B2F1C">
        <w:rPr>
          <w:rFonts w:ascii="Times New Roman" w:hAnsi="Times New Roman"/>
          <w:sz w:val="20"/>
          <w:szCs w:val="20"/>
        </w:rPr>
        <w:t>s</w:t>
      </w:r>
      <w:r w:rsidRPr="006B2F1C">
        <w:rPr>
          <w:rFonts w:ascii="Times New Roman" w:hAnsi="Times New Roman"/>
          <w:sz w:val="20"/>
        </w:rPr>
        <w:t xml:space="preserve">ation could not be estimated for either group. </w:t>
      </w:r>
    </w:p>
    <w:p w14:paraId="442D585F" w14:textId="77777777" w:rsidR="00DA6D8C" w:rsidRPr="006B2F1C" w:rsidRDefault="00DA6D8C" w:rsidP="00DA6D8C">
      <w:pPr>
        <w:spacing w:after="0" w:line="240" w:lineRule="auto"/>
        <w:rPr>
          <w:rFonts w:ascii="Times New Roman" w:hAnsi="Times New Roman"/>
          <w:sz w:val="20"/>
        </w:rPr>
      </w:pPr>
    </w:p>
    <w:p w14:paraId="1AA3FCF8" w14:textId="77777777" w:rsidR="00DA6D8C" w:rsidRPr="006B2F1C" w:rsidRDefault="00DA6D8C" w:rsidP="00DA6D8C">
      <w:pPr>
        <w:pStyle w:val="Heading3"/>
        <w:spacing w:before="0" w:after="0" w:line="240" w:lineRule="auto"/>
        <w:ind w:left="0"/>
        <w:rPr>
          <w:rFonts w:ascii="Times New Roman" w:hAnsi="Times New Roman"/>
          <w:sz w:val="20"/>
        </w:rPr>
      </w:pPr>
      <w:r w:rsidRPr="006B2F1C">
        <w:rPr>
          <w:rFonts w:ascii="Times New Roman" w:hAnsi="Times New Roman"/>
          <w:sz w:val="20"/>
        </w:rPr>
        <w:t>Rate of change in lung function endpoints</w:t>
      </w:r>
    </w:p>
    <w:p w14:paraId="202C825F" w14:textId="77777777" w:rsidR="00DA6D8C" w:rsidRPr="006B2F1C" w:rsidRDefault="00DA6D8C" w:rsidP="00DA6D8C">
      <w:pPr>
        <w:spacing w:after="0" w:line="240" w:lineRule="auto"/>
        <w:ind w:left="0"/>
        <w:rPr>
          <w:rFonts w:ascii="Times New Roman" w:hAnsi="Times New Roman"/>
          <w:sz w:val="20"/>
        </w:rPr>
      </w:pPr>
      <w:r w:rsidRPr="006B2F1C">
        <w:rPr>
          <w:rFonts w:ascii="Times New Roman" w:hAnsi="Times New Roman"/>
          <w:sz w:val="20"/>
        </w:rPr>
        <w:t>The rate of change in lung function endpoints (</w:t>
      </w:r>
      <w:r w:rsidRPr="006B2F1C">
        <w:rPr>
          <w:rFonts w:ascii="Times New Roman" w:hAnsi="Times New Roman"/>
          <w:sz w:val="20"/>
          <w:szCs w:val="20"/>
        </w:rPr>
        <w:t>lung clearance index at 2∙5% [</w:t>
      </w:r>
      <w:r w:rsidRPr="006B2F1C">
        <w:rPr>
          <w:rFonts w:ascii="Times New Roman" w:hAnsi="Times New Roman"/>
          <w:sz w:val="20"/>
        </w:rPr>
        <w:t>LCI</w:t>
      </w:r>
      <w:r w:rsidRPr="006B2F1C">
        <w:rPr>
          <w:rFonts w:ascii="Times New Roman" w:hAnsi="Times New Roman"/>
          <w:sz w:val="20"/>
          <w:vertAlign w:val="subscript"/>
        </w:rPr>
        <w:t>2</w:t>
      </w:r>
      <w:r w:rsidRPr="006B2F1C">
        <w:rPr>
          <w:rFonts w:ascii="Times New Roman" w:hAnsi="Times New Roman"/>
          <w:sz w:val="20"/>
          <w:szCs w:val="20"/>
          <w:vertAlign w:val="subscript"/>
        </w:rPr>
        <w:t>∙5</w:t>
      </w:r>
      <w:r w:rsidRPr="006B2F1C">
        <w:rPr>
          <w:rFonts w:ascii="Times New Roman" w:hAnsi="Times New Roman"/>
          <w:sz w:val="20"/>
          <w:szCs w:val="20"/>
        </w:rPr>
        <w:t>] and 5∙0% [</w:t>
      </w:r>
      <w:r w:rsidRPr="006B2F1C">
        <w:rPr>
          <w:rFonts w:ascii="Times New Roman" w:hAnsi="Times New Roman"/>
          <w:sz w:val="20"/>
        </w:rPr>
        <w:t>LCI</w:t>
      </w:r>
      <w:r w:rsidRPr="006B2F1C">
        <w:rPr>
          <w:rFonts w:ascii="Times New Roman" w:hAnsi="Times New Roman"/>
          <w:sz w:val="20"/>
          <w:vertAlign w:val="subscript"/>
        </w:rPr>
        <w:t>5</w:t>
      </w:r>
      <w:r w:rsidRPr="006B2F1C">
        <w:rPr>
          <w:rFonts w:ascii="Times New Roman" w:hAnsi="Times New Roman"/>
          <w:sz w:val="20"/>
          <w:szCs w:val="20"/>
          <w:vertAlign w:val="subscript"/>
        </w:rPr>
        <w:t>∙0</w:t>
      </w:r>
      <w:r w:rsidRPr="006B2F1C">
        <w:rPr>
          <w:rFonts w:ascii="Times New Roman" w:hAnsi="Times New Roman"/>
          <w:sz w:val="20"/>
          <w:szCs w:val="20"/>
        </w:rPr>
        <w:t>] of normalised tracer gas concentration and percent predicted forced expiratory volume in 1 second [</w:t>
      </w:r>
      <w:r w:rsidRPr="006B2F1C">
        <w:rPr>
          <w:rFonts w:ascii="Times New Roman" w:hAnsi="Times New Roman"/>
          <w:sz w:val="20"/>
        </w:rPr>
        <w:t>ppFEV</w:t>
      </w:r>
      <w:r w:rsidRPr="006B2F1C">
        <w:rPr>
          <w:rFonts w:ascii="Times New Roman" w:hAnsi="Times New Roman"/>
          <w:sz w:val="20"/>
          <w:vertAlign w:val="subscript"/>
        </w:rPr>
        <w:t>1</w:t>
      </w:r>
      <w:r w:rsidRPr="006B2F1C">
        <w:rPr>
          <w:rFonts w:ascii="Times New Roman" w:hAnsi="Times New Roman"/>
          <w:sz w:val="20"/>
          <w:szCs w:val="20"/>
        </w:rPr>
        <w:t>]</w:t>
      </w:r>
      <w:r w:rsidRPr="006B2F1C">
        <w:rPr>
          <w:rFonts w:ascii="Times New Roman" w:hAnsi="Times New Roman"/>
          <w:sz w:val="20"/>
        </w:rPr>
        <w:t xml:space="preserve">) was analysed on data starting on Day 15 after the first dose of lumacaftor/ivacaftor treatment (in either the parent study or Study 110) using a linear mixed model. In this analysis, a rate of change equal to zero would indicate that treatment effects were stable from Day 15 onwards. </w:t>
      </w:r>
    </w:p>
    <w:p w14:paraId="66924CE7" w14:textId="77777777" w:rsidR="00DA6D8C" w:rsidRPr="006B2F1C" w:rsidRDefault="00DA6D8C" w:rsidP="00DA6D8C">
      <w:pPr>
        <w:spacing w:after="0" w:line="240" w:lineRule="auto"/>
        <w:ind w:left="0"/>
        <w:rPr>
          <w:rFonts w:ascii="Times New Roman" w:hAnsi="Times New Roman"/>
          <w:sz w:val="20"/>
        </w:rPr>
      </w:pPr>
      <w:r w:rsidRPr="006B2F1C">
        <w:rPr>
          <w:rFonts w:ascii="Times New Roman" w:hAnsi="Times New Roman"/>
          <w:sz w:val="20"/>
        </w:rPr>
        <w:t>LCI</w:t>
      </w:r>
      <w:r w:rsidRPr="006B2F1C">
        <w:rPr>
          <w:rFonts w:ascii="Times New Roman" w:hAnsi="Times New Roman"/>
          <w:sz w:val="20"/>
          <w:vertAlign w:val="subscript"/>
        </w:rPr>
        <w:t xml:space="preserve">2·5 </w:t>
      </w:r>
      <w:r w:rsidRPr="006B2F1C">
        <w:rPr>
          <w:rFonts w:ascii="Times New Roman" w:hAnsi="Times New Roman"/>
          <w:sz w:val="20"/>
        </w:rPr>
        <w:t>and LCI</w:t>
      </w:r>
      <w:r w:rsidRPr="006B2F1C">
        <w:rPr>
          <w:rFonts w:ascii="Times New Roman" w:hAnsi="Times New Roman"/>
          <w:sz w:val="20"/>
          <w:vertAlign w:val="subscript"/>
        </w:rPr>
        <w:t xml:space="preserve">5·0 </w:t>
      </w:r>
      <w:r w:rsidRPr="006B2F1C">
        <w:rPr>
          <w:rFonts w:ascii="Times New Roman" w:hAnsi="Times New Roman"/>
          <w:sz w:val="20"/>
        </w:rPr>
        <w:t xml:space="preserve">decreased rapidly (improved) by Day 15 after treatment initiation, and these improvements were sustained up to Week 96 in Study 110. </w:t>
      </w:r>
      <w:r w:rsidRPr="006B2F1C">
        <w:rPr>
          <w:rFonts w:ascii="Times New Roman" w:hAnsi="Times New Roman"/>
          <w:sz w:val="20"/>
          <w:szCs w:val="20"/>
        </w:rPr>
        <w:t xml:space="preserve">The </w:t>
      </w:r>
      <w:r w:rsidRPr="006B2F1C">
        <w:rPr>
          <w:rFonts w:ascii="Times New Roman" w:hAnsi="Times New Roman"/>
          <w:sz w:val="20"/>
        </w:rPr>
        <w:t>LCI</w:t>
      </w:r>
      <w:r w:rsidRPr="006B2F1C">
        <w:rPr>
          <w:rFonts w:ascii="Times New Roman" w:hAnsi="Times New Roman"/>
          <w:sz w:val="20"/>
          <w:vertAlign w:val="subscript"/>
        </w:rPr>
        <w:t>2·5</w:t>
      </w:r>
      <w:r w:rsidRPr="006B2F1C">
        <w:rPr>
          <w:rFonts w:ascii="Times New Roman" w:hAnsi="Times New Roman"/>
          <w:sz w:val="20"/>
        </w:rPr>
        <w:t xml:space="preserve"> rate of change, expressed as slope (95% CI), was </w:t>
      </w:r>
      <w:r w:rsidRPr="006B2F1C">
        <w:rPr>
          <w:rFonts w:ascii="Times New Roman" w:hAnsi="Times New Roman"/>
          <w:sz w:val="20"/>
          <w:szCs w:val="20"/>
        </w:rPr>
        <w:t>−</w:t>
      </w:r>
      <w:r w:rsidRPr="006B2F1C">
        <w:rPr>
          <w:rFonts w:ascii="Times New Roman" w:hAnsi="Times New Roman"/>
          <w:sz w:val="20"/>
        </w:rPr>
        <w:t xml:space="preserve">0·01 </w:t>
      </w:r>
      <w:r w:rsidRPr="006B2F1C">
        <w:rPr>
          <w:rFonts w:ascii="Times New Roman" w:hAnsi="Times New Roman"/>
          <w:sz w:val="20"/>
          <w:szCs w:val="20"/>
        </w:rPr>
        <w:t>(−</w:t>
      </w:r>
      <w:r w:rsidRPr="006B2F1C">
        <w:rPr>
          <w:rFonts w:ascii="Times New Roman" w:hAnsi="Times New Roman"/>
          <w:sz w:val="20"/>
        </w:rPr>
        <w:t>0·12</w:t>
      </w:r>
      <w:r w:rsidRPr="006B2F1C">
        <w:rPr>
          <w:rFonts w:ascii="Times New Roman" w:hAnsi="Times New Roman"/>
          <w:sz w:val="20"/>
          <w:szCs w:val="20"/>
        </w:rPr>
        <w:t xml:space="preserve"> to </w:t>
      </w:r>
      <w:r w:rsidRPr="006B2F1C">
        <w:rPr>
          <w:rFonts w:ascii="Times New Roman" w:hAnsi="Times New Roman"/>
          <w:sz w:val="20"/>
        </w:rPr>
        <w:t>0·09)</w:t>
      </w:r>
      <w:r w:rsidRPr="006B2F1C">
        <w:rPr>
          <w:rFonts w:ascii="Times New Roman" w:hAnsi="Times New Roman"/>
          <w:sz w:val="20"/>
          <w:szCs w:val="20"/>
        </w:rPr>
        <w:t>,</w:t>
      </w:r>
      <w:r w:rsidRPr="006B2F1C">
        <w:rPr>
          <w:rFonts w:ascii="Times New Roman" w:hAnsi="Times New Roman"/>
          <w:sz w:val="20"/>
        </w:rPr>
        <w:t xml:space="preserve"> and the LCI</w:t>
      </w:r>
      <w:r w:rsidRPr="006B2F1C">
        <w:rPr>
          <w:rFonts w:ascii="Times New Roman" w:hAnsi="Times New Roman"/>
          <w:sz w:val="20"/>
          <w:vertAlign w:val="subscript"/>
        </w:rPr>
        <w:t>5·0</w:t>
      </w:r>
      <w:r w:rsidRPr="006B2F1C">
        <w:rPr>
          <w:rFonts w:ascii="Times New Roman" w:hAnsi="Times New Roman"/>
          <w:sz w:val="20"/>
        </w:rPr>
        <w:t xml:space="preserve"> rate of change was 0·00 </w:t>
      </w:r>
      <w:r w:rsidRPr="006B2F1C">
        <w:rPr>
          <w:rFonts w:ascii="Times New Roman" w:hAnsi="Times New Roman"/>
          <w:sz w:val="20"/>
          <w:szCs w:val="20"/>
        </w:rPr>
        <w:t>(−</w:t>
      </w:r>
      <w:r w:rsidRPr="006B2F1C">
        <w:rPr>
          <w:rFonts w:ascii="Times New Roman" w:hAnsi="Times New Roman"/>
          <w:sz w:val="20"/>
        </w:rPr>
        <w:t>0·04</w:t>
      </w:r>
      <w:r w:rsidRPr="006B2F1C">
        <w:rPr>
          <w:rFonts w:ascii="Times New Roman" w:hAnsi="Times New Roman"/>
          <w:sz w:val="20"/>
          <w:szCs w:val="20"/>
        </w:rPr>
        <w:t xml:space="preserve"> to </w:t>
      </w:r>
      <w:r w:rsidRPr="006B2F1C">
        <w:rPr>
          <w:rFonts w:ascii="Times New Roman" w:hAnsi="Times New Roman"/>
          <w:sz w:val="20"/>
        </w:rPr>
        <w:t>0·04).</w:t>
      </w:r>
    </w:p>
    <w:p w14:paraId="159D2452" w14:textId="77777777" w:rsidR="00DA6D8C" w:rsidRPr="006B2F1C" w:rsidRDefault="00DA6D8C" w:rsidP="00DA6D8C">
      <w:pPr>
        <w:spacing w:after="0" w:line="240" w:lineRule="auto"/>
        <w:ind w:left="0"/>
        <w:rPr>
          <w:rFonts w:ascii="Times New Roman" w:hAnsi="Times New Roman"/>
          <w:sz w:val="20"/>
        </w:rPr>
      </w:pPr>
      <w:r w:rsidRPr="006B2F1C">
        <w:rPr>
          <w:rFonts w:ascii="Times New Roman" w:hAnsi="Times New Roman"/>
          <w:sz w:val="20"/>
        </w:rPr>
        <w:t>The ppFEV</w:t>
      </w:r>
      <w:r w:rsidRPr="006B2F1C">
        <w:rPr>
          <w:rFonts w:ascii="Times New Roman" w:hAnsi="Times New Roman"/>
          <w:sz w:val="20"/>
          <w:vertAlign w:val="subscript"/>
        </w:rPr>
        <w:t>1</w:t>
      </w:r>
      <w:r w:rsidRPr="006B2F1C">
        <w:rPr>
          <w:rFonts w:ascii="Times New Roman" w:hAnsi="Times New Roman"/>
          <w:sz w:val="20"/>
        </w:rPr>
        <w:t xml:space="preserve"> rate of change from </w:t>
      </w:r>
      <w:r w:rsidRPr="006B2F1C">
        <w:rPr>
          <w:rFonts w:ascii="Times New Roman" w:hAnsi="Times New Roman"/>
          <w:sz w:val="20"/>
          <w:szCs w:val="20"/>
        </w:rPr>
        <w:t>d</w:t>
      </w:r>
      <w:r w:rsidRPr="006B2F1C">
        <w:rPr>
          <w:rFonts w:ascii="Times New Roman" w:hAnsi="Times New Roman"/>
          <w:sz w:val="20"/>
        </w:rPr>
        <w:t>ay 15 after the first dose of lumacaftor/ivacaftor remained stable or increased once children started treatment with lumacaftor/ivacaftor, resulting in a positive rate of change of 0·58 (</w:t>
      </w:r>
      <w:r w:rsidRPr="006B2F1C">
        <w:rPr>
          <w:rFonts w:ascii="Times New Roman" w:hAnsi="Times New Roman"/>
          <w:sz w:val="20"/>
          <w:szCs w:val="20"/>
        </w:rPr>
        <w:t xml:space="preserve">95% CI, </w:t>
      </w:r>
      <w:r w:rsidRPr="006B2F1C">
        <w:rPr>
          <w:rFonts w:ascii="Times New Roman" w:hAnsi="Times New Roman"/>
          <w:sz w:val="20"/>
        </w:rPr>
        <w:t>0·02 to 1·14).</w:t>
      </w:r>
    </w:p>
    <w:p w14:paraId="48870E91" w14:textId="77777777" w:rsidR="00DA6D8C" w:rsidRPr="006B2F1C" w:rsidRDefault="00DA6D8C" w:rsidP="00DA6D8C">
      <w:pPr>
        <w:spacing w:after="0" w:line="240" w:lineRule="auto"/>
        <w:ind w:left="0"/>
        <w:rPr>
          <w:rFonts w:ascii="Times New Roman" w:hAnsi="Times New Roman"/>
          <w:sz w:val="20"/>
        </w:rPr>
      </w:pPr>
    </w:p>
    <w:p w14:paraId="0046B409" w14:textId="77777777" w:rsidR="00DA6D8C" w:rsidRPr="006B2F1C" w:rsidRDefault="00DA6D8C" w:rsidP="00DA6D8C">
      <w:pPr>
        <w:pStyle w:val="Heading3"/>
        <w:spacing w:before="0" w:after="0" w:line="240" w:lineRule="auto"/>
        <w:ind w:left="0"/>
        <w:rPr>
          <w:rFonts w:ascii="Times New Roman" w:hAnsi="Times New Roman"/>
          <w:sz w:val="20"/>
        </w:rPr>
      </w:pPr>
      <w:r w:rsidRPr="006B2F1C">
        <w:rPr>
          <w:rFonts w:ascii="Times New Roman" w:hAnsi="Times New Roman"/>
          <w:sz w:val="20"/>
        </w:rPr>
        <w:t>Ophthalmological assessments</w:t>
      </w:r>
    </w:p>
    <w:p w14:paraId="33756B34" w14:textId="02974C12" w:rsidR="00DA6D8C" w:rsidRPr="006B2F1C" w:rsidRDefault="00DA6D8C" w:rsidP="00DA6D8C">
      <w:pPr>
        <w:spacing w:after="0" w:line="240" w:lineRule="auto"/>
        <w:ind w:left="0"/>
      </w:pPr>
      <w:r w:rsidRPr="006B2F1C">
        <w:rPr>
          <w:rFonts w:ascii="Times New Roman" w:hAnsi="Times New Roman"/>
          <w:sz w:val="20"/>
        </w:rPr>
        <w:t xml:space="preserve">Nine </w:t>
      </w:r>
      <w:r w:rsidR="00C471AF">
        <w:rPr>
          <w:rFonts w:ascii="Times New Roman" w:hAnsi="Times New Roman"/>
          <w:sz w:val="20"/>
        </w:rPr>
        <w:t xml:space="preserve">of 239 </w:t>
      </w:r>
      <w:r w:rsidRPr="006B2F1C">
        <w:rPr>
          <w:rFonts w:ascii="Times New Roman" w:hAnsi="Times New Roman"/>
          <w:sz w:val="20"/>
        </w:rPr>
        <w:t>children (3</w:t>
      </w:r>
      <w:r>
        <w:rPr>
          <w:rFonts w:ascii="Times New Roman" w:hAnsi="Times New Roman"/>
          <w:sz w:val="20"/>
        </w:rPr>
        <w:t>·</w:t>
      </w:r>
      <w:r w:rsidRPr="006B2F1C">
        <w:rPr>
          <w:rFonts w:ascii="Times New Roman" w:hAnsi="Times New Roman"/>
          <w:sz w:val="20"/>
        </w:rPr>
        <w:t xml:space="preserve">8%) had cataracts/lens opacities during Study 110, which were not considered visually significant and did not lead to </w:t>
      </w:r>
      <w:bookmarkStart w:id="0" w:name="_Hlk49347313"/>
      <w:r w:rsidRPr="006B2F1C">
        <w:rPr>
          <w:rFonts w:ascii="Times New Roman" w:hAnsi="Times New Roman"/>
          <w:sz w:val="20"/>
        </w:rPr>
        <w:t xml:space="preserve">lumacaftor/ivacaftor </w:t>
      </w:r>
      <w:bookmarkEnd w:id="0"/>
      <w:r w:rsidRPr="006B2F1C">
        <w:rPr>
          <w:rFonts w:ascii="Times New Roman" w:hAnsi="Times New Roman"/>
          <w:sz w:val="20"/>
        </w:rPr>
        <w:t>interruption or discontinuation. No AE related to lens findings was considered serious. All lens findings were present at parent study baseline, resolved with continued lumacaftor/ivacaftor treatment, or were associated with confounding risk factors (e.g., corticosteroid use or family history).</w:t>
      </w:r>
      <w:r w:rsidRPr="006B2F1C">
        <w:br w:type="page"/>
      </w:r>
    </w:p>
    <w:p w14:paraId="3A9E6AA1" w14:textId="77777777" w:rsidR="00DA6D8C" w:rsidRPr="006B2F1C" w:rsidRDefault="00DA6D8C" w:rsidP="00DA6D8C">
      <w:pPr>
        <w:pStyle w:val="Heading2"/>
        <w:spacing w:after="0" w:line="240" w:lineRule="auto"/>
        <w:rPr>
          <w:rFonts w:ascii="Times New Roman" w:hAnsi="Times New Roman"/>
          <w:i w:val="0"/>
          <w:sz w:val="20"/>
        </w:rPr>
      </w:pPr>
      <w:r w:rsidRPr="006B2F1C">
        <w:rPr>
          <w:rFonts w:ascii="Times New Roman" w:hAnsi="Times New Roman"/>
          <w:i w:val="0"/>
          <w:sz w:val="20"/>
        </w:rPr>
        <w:lastRenderedPageBreak/>
        <w:t>Table S1. Definition of adverse events of special interest: elevated transaminases and respiratory events</w:t>
      </w:r>
    </w:p>
    <w:tbl>
      <w:tblPr>
        <w:tblStyle w:val="TableGrid"/>
        <w:tblW w:w="0" w:type="auto"/>
        <w:tblLook w:val="04A0" w:firstRow="1" w:lastRow="0" w:firstColumn="1" w:lastColumn="0" w:noHBand="0" w:noVBand="1"/>
      </w:tblPr>
      <w:tblGrid>
        <w:gridCol w:w="3145"/>
        <w:gridCol w:w="2340"/>
      </w:tblGrid>
      <w:tr w:rsidR="00DA6D8C" w:rsidRPr="006B2F1C" w14:paraId="0D435D56" w14:textId="77777777" w:rsidTr="001F7C37">
        <w:trPr>
          <w:trHeight w:val="71"/>
        </w:trPr>
        <w:tc>
          <w:tcPr>
            <w:tcW w:w="3145" w:type="dxa"/>
          </w:tcPr>
          <w:p w14:paraId="6A6D8850" w14:textId="77777777" w:rsidR="00DA6D8C" w:rsidRPr="006B2F1C" w:rsidRDefault="00DA6D8C" w:rsidP="001F7C37">
            <w:pPr>
              <w:pStyle w:val="NoSpacing"/>
              <w:rPr>
                <w:b/>
                <w:sz w:val="16"/>
              </w:rPr>
            </w:pPr>
            <w:r w:rsidRPr="006B2F1C">
              <w:rPr>
                <w:b/>
                <w:sz w:val="16"/>
              </w:rPr>
              <w:t>Elevated Transaminases</w:t>
            </w:r>
          </w:p>
        </w:tc>
        <w:tc>
          <w:tcPr>
            <w:tcW w:w="2340" w:type="dxa"/>
          </w:tcPr>
          <w:p w14:paraId="07135F80" w14:textId="77777777" w:rsidR="00DA6D8C" w:rsidRPr="006B2F1C" w:rsidRDefault="00DA6D8C" w:rsidP="001F7C37">
            <w:pPr>
              <w:pStyle w:val="NoSpacing"/>
              <w:rPr>
                <w:sz w:val="16"/>
              </w:rPr>
            </w:pPr>
            <w:r w:rsidRPr="006B2F1C">
              <w:rPr>
                <w:b/>
                <w:sz w:val="16"/>
              </w:rPr>
              <w:t>Respiratory Events</w:t>
            </w:r>
          </w:p>
        </w:tc>
      </w:tr>
      <w:tr w:rsidR="00DA6D8C" w:rsidRPr="006B2F1C" w14:paraId="0EC842E8" w14:textId="77777777" w:rsidTr="001F7C37">
        <w:trPr>
          <w:trHeight w:val="56"/>
        </w:trPr>
        <w:tc>
          <w:tcPr>
            <w:tcW w:w="3145" w:type="dxa"/>
          </w:tcPr>
          <w:p w14:paraId="6C6069AE" w14:textId="77777777" w:rsidR="00DA6D8C" w:rsidRPr="006B2F1C" w:rsidRDefault="00DA6D8C" w:rsidP="001F7C37">
            <w:pPr>
              <w:pStyle w:val="NoSpacing"/>
              <w:rPr>
                <w:sz w:val="16"/>
              </w:rPr>
            </w:pPr>
            <w:r w:rsidRPr="006B2F1C">
              <w:rPr>
                <w:sz w:val="16"/>
              </w:rPr>
              <w:t>Alanine aminotransferase abnormal</w:t>
            </w:r>
          </w:p>
          <w:p w14:paraId="49C33651" w14:textId="77777777" w:rsidR="00DA6D8C" w:rsidRPr="006B2F1C" w:rsidRDefault="00DA6D8C" w:rsidP="001F7C37">
            <w:pPr>
              <w:pStyle w:val="NoSpacing"/>
              <w:rPr>
                <w:sz w:val="16"/>
              </w:rPr>
            </w:pPr>
            <w:r w:rsidRPr="006B2F1C">
              <w:rPr>
                <w:sz w:val="16"/>
              </w:rPr>
              <w:t>Alanine aminotransferase increased</w:t>
            </w:r>
          </w:p>
          <w:p w14:paraId="61078FE0" w14:textId="77777777" w:rsidR="00DA6D8C" w:rsidRPr="006B2F1C" w:rsidRDefault="00DA6D8C" w:rsidP="001F7C37">
            <w:pPr>
              <w:pStyle w:val="NoSpacing"/>
              <w:rPr>
                <w:sz w:val="16"/>
              </w:rPr>
            </w:pPr>
            <w:r w:rsidRPr="006B2F1C">
              <w:rPr>
                <w:sz w:val="16"/>
              </w:rPr>
              <w:t>Aspartate aminotransferase abnormal</w:t>
            </w:r>
          </w:p>
          <w:p w14:paraId="7A276507" w14:textId="77777777" w:rsidR="00DA6D8C" w:rsidRPr="006B2F1C" w:rsidRDefault="00DA6D8C" w:rsidP="001F7C37">
            <w:pPr>
              <w:pStyle w:val="NoSpacing"/>
              <w:rPr>
                <w:sz w:val="16"/>
              </w:rPr>
            </w:pPr>
            <w:r w:rsidRPr="006B2F1C">
              <w:rPr>
                <w:sz w:val="16"/>
              </w:rPr>
              <w:t>Aspartate aminotransferase increased</w:t>
            </w:r>
          </w:p>
          <w:p w14:paraId="545BC9E2" w14:textId="77777777" w:rsidR="00DA6D8C" w:rsidRPr="006B2F1C" w:rsidRDefault="00DA6D8C" w:rsidP="001F7C37">
            <w:pPr>
              <w:pStyle w:val="NoSpacing"/>
              <w:rPr>
                <w:sz w:val="16"/>
              </w:rPr>
            </w:pPr>
            <w:r w:rsidRPr="006B2F1C">
              <w:rPr>
                <w:sz w:val="16"/>
              </w:rPr>
              <w:t>Transaminases abnormal</w:t>
            </w:r>
          </w:p>
          <w:p w14:paraId="605CC52E" w14:textId="77777777" w:rsidR="00DA6D8C" w:rsidRPr="006B2F1C" w:rsidRDefault="00DA6D8C" w:rsidP="001F7C37">
            <w:pPr>
              <w:pStyle w:val="NoSpacing"/>
              <w:rPr>
                <w:sz w:val="16"/>
              </w:rPr>
            </w:pPr>
            <w:r w:rsidRPr="006B2F1C">
              <w:rPr>
                <w:sz w:val="16"/>
              </w:rPr>
              <w:t>Transaminases increased</w:t>
            </w:r>
          </w:p>
          <w:p w14:paraId="62056CFF" w14:textId="77777777" w:rsidR="00DA6D8C" w:rsidRPr="006B2F1C" w:rsidRDefault="00DA6D8C" w:rsidP="001F7C37">
            <w:pPr>
              <w:pStyle w:val="NoSpacing"/>
              <w:rPr>
                <w:sz w:val="16"/>
              </w:rPr>
            </w:pPr>
            <w:r w:rsidRPr="006B2F1C">
              <w:rPr>
                <w:sz w:val="16"/>
              </w:rPr>
              <w:t>Liver function test abnormal</w:t>
            </w:r>
          </w:p>
          <w:p w14:paraId="05335313" w14:textId="77777777" w:rsidR="00DA6D8C" w:rsidRPr="006B2F1C" w:rsidRDefault="00DA6D8C" w:rsidP="001F7C37">
            <w:pPr>
              <w:pStyle w:val="NoSpacing"/>
              <w:rPr>
                <w:sz w:val="16"/>
              </w:rPr>
            </w:pPr>
            <w:r w:rsidRPr="006B2F1C">
              <w:rPr>
                <w:sz w:val="16"/>
              </w:rPr>
              <w:t>Liver function test increased</w:t>
            </w:r>
          </w:p>
          <w:p w14:paraId="1D06AA9D" w14:textId="77777777" w:rsidR="00DA6D8C" w:rsidRPr="006B2F1C" w:rsidRDefault="00DA6D8C" w:rsidP="001F7C37">
            <w:pPr>
              <w:pStyle w:val="NoSpacing"/>
              <w:rPr>
                <w:sz w:val="16"/>
              </w:rPr>
            </w:pPr>
            <w:proofErr w:type="spellStart"/>
            <w:r w:rsidRPr="006B2F1C">
              <w:rPr>
                <w:sz w:val="16"/>
              </w:rPr>
              <w:t>Hypertransaminasaemia</w:t>
            </w:r>
            <w:proofErr w:type="spellEnd"/>
          </w:p>
          <w:p w14:paraId="23CC110B" w14:textId="77777777" w:rsidR="00DA6D8C" w:rsidRPr="006B2F1C" w:rsidRDefault="00DA6D8C" w:rsidP="001F7C37">
            <w:pPr>
              <w:pStyle w:val="NoSpacing"/>
              <w:rPr>
                <w:sz w:val="16"/>
              </w:rPr>
            </w:pPr>
            <w:r w:rsidRPr="006B2F1C">
              <w:rPr>
                <w:sz w:val="16"/>
              </w:rPr>
              <w:t>Hepatic enzyme abnormal</w:t>
            </w:r>
          </w:p>
          <w:p w14:paraId="66B69BD3" w14:textId="77777777" w:rsidR="00DA6D8C" w:rsidRPr="006B2F1C" w:rsidRDefault="00DA6D8C" w:rsidP="001F7C37">
            <w:pPr>
              <w:pStyle w:val="NoSpacing"/>
              <w:rPr>
                <w:sz w:val="16"/>
              </w:rPr>
            </w:pPr>
            <w:r w:rsidRPr="006B2F1C">
              <w:rPr>
                <w:sz w:val="16"/>
              </w:rPr>
              <w:t>Hepatic enzyme increased</w:t>
            </w:r>
          </w:p>
        </w:tc>
        <w:tc>
          <w:tcPr>
            <w:tcW w:w="2340" w:type="dxa"/>
          </w:tcPr>
          <w:p w14:paraId="0684DCC6" w14:textId="77777777" w:rsidR="00DA6D8C" w:rsidRPr="006B2F1C" w:rsidRDefault="00DA6D8C" w:rsidP="001F7C37">
            <w:pPr>
              <w:pStyle w:val="NoSpacing"/>
              <w:rPr>
                <w:sz w:val="16"/>
              </w:rPr>
            </w:pPr>
            <w:r w:rsidRPr="006B2F1C">
              <w:rPr>
                <w:sz w:val="16"/>
              </w:rPr>
              <w:t>Chest discomfort</w:t>
            </w:r>
          </w:p>
          <w:p w14:paraId="321659B8" w14:textId="77777777" w:rsidR="00DA6D8C" w:rsidRPr="006B2F1C" w:rsidRDefault="00DA6D8C" w:rsidP="001F7C37">
            <w:pPr>
              <w:pStyle w:val="NoSpacing"/>
              <w:rPr>
                <w:sz w:val="16"/>
              </w:rPr>
            </w:pPr>
            <w:r w:rsidRPr="006B2F1C">
              <w:rPr>
                <w:sz w:val="16"/>
              </w:rPr>
              <w:t>Dyspnoea</w:t>
            </w:r>
          </w:p>
          <w:p w14:paraId="1E7CADC1" w14:textId="77777777" w:rsidR="00DA6D8C" w:rsidRPr="006B2F1C" w:rsidRDefault="00DA6D8C" w:rsidP="001F7C37">
            <w:pPr>
              <w:pStyle w:val="NoSpacing"/>
              <w:rPr>
                <w:sz w:val="16"/>
              </w:rPr>
            </w:pPr>
            <w:r w:rsidRPr="006B2F1C">
              <w:rPr>
                <w:sz w:val="16"/>
              </w:rPr>
              <w:t>Respiration abnormal</w:t>
            </w:r>
          </w:p>
          <w:p w14:paraId="30228AA6" w14:textId="77777777" w:rsidR="00DA6D8C" w:rsidRPr="006B2F1C" w:rsidRDefault="00DA6D8C" w:rsidP="001F7C37">
            <w:pPr>
              <w:pStyle w:val="NoSpacing"/>
              <w:rPr>
                <w:sz w:val="16"/>
              </w:rPr>
            </w:pPr>
            <w:r w:rsidRPr="006B2F1C">
              <w:rPr>
                <w:sz w:val="16"/>
              </w:rPr>
              <w:t>Asthma</w:t>
            </w:r>
          </w:p>
          <w:p w14:paraId="382DCB5C" w14:textId="77777777" w:rsidR="00DA6D8C" w:rsidRPr="006B2F1C" w:rsidRDefault="00DA6D8C" w:rsidP="001F7C37">
            <w:pPr>
              <w:pStyle w:val="NoSpacing"/>
              <w:rPr>
                <w:sz w:val="16"/>
              </w:rPr>
            </w:pPr>
            <w:r w:rsidRPr="006B2F1C">
              <w:rPr>
                <w:sz w:val="16"/>
              </w:rPr>
              <w:t>Bronchial hyperreactivity</w:t>
            </w:r>
          </w:p>
          <w:p w14:paraId="4FDF6615" w14:textId="77777777" w:rsidR="00DA6D8C" w:rsidRPr="006B2F1C" w:rsidRDefault="00DA6D8C" w:rsidP="001F7C37">
            <w:pPr>
              <w:pStyle w:val="NoSpacing"/>
              <w:rPr>
                <w:sz w:val="16"/>
              </w:rPr>
            </w:pPr>
            <w:r w:rsidRPr="006B2F1C">
              <w:rPr>
                <w:sz w:val="16"/>
              </w:rPr>
              <w:t>Bronchospasm</w:t>
            </w:r>
          </w:p>
          <w:p w14:paraId="485C0F6A" w14:textId="77777777" w:rsidR="00DA6D8C" w:rsidRPr="006B2F1C" w:rsidRDefault="00DA6D8C" w:rsidP="001F7C37">
            <w:pPr>
              <w:pStyle w:val="NoSpacing"/>
              <w:rPr>
                <w:sz w:val="16"/>
              </w:rPr>
            </w:pPr>
            <w:r w:rsidRPr="006B2F1C">
              <w:rPr>
                <w:sz w:val="16"/>
              </w:rPr>
              <w:t>Wheezing</w:t>
            </w:r>
          </w:p>
        </w:tc>
      </w:tr>
    </w:tbl>
    <w:p w14:paraId="33BB7940" w14:textId="77777777" w:rsidR="00DA6D8C" w:rsidRPr="006B2F1C" w:rsidRDefault="00DA6D8C" w:rsidP="00DA6D8C">
      <w:pPr>
        <w:autoSpaceDE/>
        <w:autoSpaceDN/>
        <w:adjustRightInd/>
        <w:spacing w:after="200"/>
        <w:ind w:left="0"/>
        <w:rPr>
          <w:rFonts w:ascii="Times New Roman" w:hAnsi="Times New Roman"/>
        </w:rPr>
      </w:pPr>
    </w:p>
    <w:p w14:paraId="3A276437" w14:textId="014E02B1" w:rsidR="00DA6D8C" w:rsidRPr="006B2F1C" w:rsidRDefault="00DA6D8C" w:rsidP="00DA6D8C">
      <w:pPr>
        <w:pStyle w:val="Heading2"/>
        <w:spacing w:after="0" w:line="240" w:lineRule="auto"/>
        <w:rPr>
          <w:rFonts w:ascii="Times New Roman" w:hAnsi="Times New Roman"/>
          <w:i w:val="0"/>
          <w:sz w:val="20"/>
        </w:rPr>
      </w:pPr>
      <w:r w:rsidRPr="006B2F1C">
        <w:rPr>
          <w:rFonts w:ascii="Times New Roman" w:hAnsi="Times New Roman"/>
          <w:i w:val="0"/>
          <w:sz w:val="20"/>
        </w:rPr>
        <w:t>Table S2. Adverse events leading to treatment discontinuation</w:t>
      </w:r>
    </w:p>
    <w:tbl>
      <w:tblPr>
        <w:tblStyle w:val="TableGrid"/>
        <w:tblW w:w="9625" w:type="dxa"/>
        <w:tblInd w:w="43" w:type="dxa"/>
        <w:tblLook w:val="04A0" w:firstRow="1" w:lastRow="0" w:firstColumn="1" w:lastColumn="0" w:noHBand="0" w:noVBand="1"/>
      </w:tblPr>
      <w:tblGrid>
        <w:gridCol w:w="1183"/>
        <w:gridCol w:w="1453"/>
        <w:gridCol w:w="1658"/>
        <w:gridCol w:w="1113"/>
        <w:gridCol w:w="1585"/>
        <w:gridCol w:w="1434"/>
        <w:gridCol w:w="1199"/>
      </w:tblGrid>
      <w:tr w:rsidR="00DA6D8C" w:rsidRPr="006B2F1C" w14:paraId="2B82C750" w14:textId="77777777" w:rsidTr="001F7C37">
        <w:trPr>
          <w:trHeight w:val="56"/>
        </w:trPr>
        <w:tc>
          <w:tcPr>
            <w:tcW w:w="1183" w:type="dxa"/>
          </w:tcPr>
          <w:p w14:paraId="143C7543" w14:textId="77777777" w:rsidR="00DA6D8C" w:rsidRPr="006B2F1C" w:rsidRDefault="00DA6D8C" w:rsidP="001F7C37">
            <w:pPr>
              <w:spacing w:after="0" w:line="240" w:lineRule="auto"/>
              <w:ind w:left="0"/>
              <w:rPr>
                <w:rFonts w:ascii="Times New Roman" w:hAnsi="Times New Roman"/>
                <w:b/>
                <w:sz w:val="16"/>
              </w:rPr>
            </w:pPr>
            <w:r w:rsidRPr="006B2F1C">
              <w:rPr>
                <w:rFonts w:ascii="Times New Roman" w:hAnsi="Times New Roman"/>
                <w:b/>
                <w:sz w:val="16"/>
              </w:rPr>
              <w:t>Number of Patients</w:t>
            </w:r>
          </w:p>
        </w:tc>
        <w:tc>
          <w:tcPr>
            <w:tcW w:w="1453" w:type="dxa"/>
            <w:vAlign w:val="center"/>
          </w:tcPr>
          <w:p w14:paraId="6E6B58AA" w14:textId="77777777" w:rsidR="00DA6D8C" w:rsidRPr="006B2F1C" w:rsidRDefault="00DA6D8C" w:rsidP="001F7C37">
            <w:pPr>
              <w:spacing w:after="0" w:line="240" w:lineRule="auto"/>
              <w:ind w:left="0"/>
              <w:jc w:val="center"/>
              <w:rPr>
                <w:rFonts w:ascii="Times New Roman" w:hAnsi="Times New Roman"/>
                <w:b/>
                <w:sz w:val="16"/>
              </w:rPr>
            </w:pPr>
            <w:r w:rsidRPr="006B2F1C">
              <w:rPr>
                <w:rFonts w:ascii="Times New Roman" w:hAnsi="Times New Roman"/>
                <w:b/>
                <w:sz w:val="16"/>
              </w:rPr>
              <w:t>4</w:t>
            </w:r>
          </w:p>
        </w:tc>
        <w:tc>
          <w:tcPr>
            <w:tcW w:w="1658" w:type="dxa"/>
            <w:vAlign w:val="center"/>
          </w:tcPr>
          <w:p w14:paraId="27355CFB" w14:textId="77777777" w:rsidR="00DA6D8C" w:rsidRPr="006B2F1C" w:rsidRDefault="00DA6D8C" w:rsidP="001F7C37">
            <w:pPr>
              <w:spacing w:after="0" w:line="240" w:lineRule="auto"/>
              <w:ind w:left="0"/>
              <w:jc w:val="center"/>
              <w:rPr>
                <w:rFonts w:ascii="Times New Roman" w:hAnsi="Times New Roman"/>
                <w:b/>
                <w:sz w:val="16"/>
              </w:rPr>
            </w:pPr>
            <w:r w:rsidRPr="006B2F1C">
              <w:rPr>
                <w:rFonts w:ascii="Times New Roman" w:hAnsi="Times New Roman"/>
                <w:b/>
                <w:sz w:val="16"/>
              </w:rPr>
              <w:t>1</w:t>
            </w:r>
            <w:r w:rsidRPr="006B2F1C">
              <w:rPr>
                <w:b/>
                <w:bCs/>
              </w:rPr>
              <w:t xml:space="preserve"> </w:t>
            </w:r>
          </w:p>
        </w:tc>
        <w:tc>
          <w:tcPr>
            <w:tcW w:w="1113" w:type="dxa"/>
            <w:vAlign w:val="center"/>
          </w:tcPr>
          <w:p w14:paraId="453CE053" w14:textId="77777777" w:rsidR="00DA6D8C" w:rsidRPr="006B2F1C" w:rsidRDefault="00DA6D8C" w:rsidP="001F7C37">
            <w:pPr>
              <w:spacing w:after="0" w:line="240" w:lineRule="auto"/>
              <w:ind w:left="0"/>
              <w:jc w:val="center"/>
              <w:rPr>
                <w:rFonts w:ascii="Times New Roman" w:hAnsi="Times New Roman"/>
                <w:b/>
                <w:sz w:val="16"/>
              </w:rPr>
            </w:pPr>
            <w:r w:rsidRPr="006B2F1C">
              <w:rPr>
                <w:rFonts w:ascii="Times New Roman" w:hAnsi="Times New Roman"/>
                <w:b/>
                <w:sz w:val="16"/>
              </w:rPr>
              <w:t>1</w:t>
            </w:r>
            <w:r w:rsidRPr="006B2F1C">
              <w:rPr>
                <w:b/>
                <w:bCs/>
              </w:rPr>
              <w:t xml:space="preserve"> </w:t>
            </w:r>
          </w:p>
        </w:tc>
        <w:tc>
          <w:tcPr>
            <w:tcW w:w="1585" w:type="dxa"/>
            <w:vAlign w:val="center"/>
          </w:tcPr>
          <w:p w14:paraId="4B76B382" w14:textId="77777777" w:rsidR="00DA6D8C" w:rsidRPr="006B2F1C" w:rsidRDefault="00DA6D8C" w:rsidP="001F7C37">
            <w:pPr>
              <w:spacing w:after="0" w:line="240" w:lineRule="auto"/>
              <w:ind w:left="0"/>
              <w:jc w:val="center"/>
              <w:rPr>
                <w:rFonts w:ascii="Times New Roman" w:hAnsi="Times New Roman"/>
                <w:b/>
                <w:sz w:val="16"/>
              </w:rPr>
            </w:pPr>
            <w:r w:rsidRPr="006B2F1C">
              <w:rPr>
                <w:rFonts w:ascii="Times New Roman" w:hAnsi="Times New Roman"/>
                <w:b/>
                <w:sz w:val="16"/>
              </w:rPr>
              <w:t>1</w:t>
            </w:r>
            <w:r w:rsidRPr="006B2F1C">
              <w:rPr>
                <w:b/>
                <w:bCs/>
              </w:rPr>
              <w:t xml:space="preserve"> </w:t>
            </w:r>
          </w:p>
        </w:tc>
        <w:tc>
          <w:tcPr>
            <w:tcW w:w="1434" w:type="dxa"/>
            <w:vAlign w:val="center"/>
          </w:tcPr>
          <w:p w14:paraId="23D15686" w14:textId="77777777" w:rsidR="00DA6D8C" w:rsidRPr="006B2F1C" w:rsidRDefault="00DA6D8C" w:rsidP="001F7C37">
            <w:pPr>
              <w:spacing w:after="0" w:line="240" w:lineRule="auto"/>
              <w:ind w:left="0"/>
              <w:jc w:val="center"/>
              <w:rPr>
                <w:rFonts w:ascii="Times New Roman" w:hAnsi="Times New Roman"/>
                <w:b/>
                <w:sz w:val="16"/>
              </w:rPr>
            </w:pPr>
            <w:r w:rsidRPr="006B2F1C">
              <w:rPr>
                <w:rFonts w:ascii="Times New Roman" w:hAnsi="Times New Roman"/>
                <w:b/>
                <w:sz w:val="16"/>
              </w:rPr>
              <w:t>1</w:t>
            </w:r>
          </w:p>
        </w:tc>
        <w:tc>
          <w:tcPr>
            <w:tcW w:w="1199" w:type="dxa"/>
            <w:vAlign w:val="center"/>
          </w:tcPr>
          <w:p w14:paraId="30F1136B" w14:textId="77777777" w:rsidR="00DA6D8C" w:rsidRPr="006B2F1C" w:rsidRDefault="00DA6D8C" w:rsidP="001F7C37">
            <w:pPr>
              <w:spacing w:after="0" w:line="240" w:lineRule="auto"/>
              <w:ind w:left="0"/>
              <w:jc w:val="center"/>
              <w:rPr>
                <w:rFonts w:ascii="Times New Roman" w:hAnsi="Times New Roman"/>
                <w:b/>
                <w:sz w:val="16"/>
              </w:rPr>
            </w:pPr>
            <w:r w:rsidRPr="006B2F1C">
              <w:rPr>
                <w:rFonts w:ascii="Times New Roman" w:hAnsi="Times New Roman"/>
                <w:b/>
                <w:sz w:val="16"/>
              </w:rPr>
              <w:t>1</w:t>
            </w:r>
          </w:p>
        </w:tc>
      </w:tr>
      <w:tr w:rsidR="00DA6D8C" w:rsidRPr="006B2F1C" w14:paraId="7A71B4FE" w14:textId="77777777" w:rsidTr="001F7C37">
        <w:trPr>
          <w:trHeight w:val="56"/>
        </w:trPr>
        <w:tc>
          <w:tcPr>
            <w:tcW w:w="1183" w:type="dxa"/>
          </w:tcPr>
          <w:p w14:paraId="532520ED" w14:textId="77777777" w:rsidR="00DA6D8C" w:rsidRPr="006B2F1C" w:rsidRDefault="00DA6D8C" w:rsidP="001F7C37">
            <w:pPr>
              <w:spacing w:after="0" w:line="240" w:lineRule="auto"/>
              <w:ind w:left="0"/>
              <w:rPr>
                <w:rFonts w:ascii="Times New Roman" w:hAnsi="Times New Roman"/>
                <w:b/>
                <w:sz w:val="16"/>
              </w:rPr>
            </w:pPr>
            <w:r w:rsidRPr="006B2F1C">
              <w:rPr>
                <w:rFonts w:ascii="Times New Roman" w:hAnsi="Times New Roman"/>
                <w:b/>
                <w:sz w:val="16"/>
              </w:rPr>
              <w:t>Adverse Event</w:t>
            </w:r>
            <w:r w:rsidRPr="006B2F1C">
              <w:rPr>
                <w:rFonts w:ascii="Times New Roman" w:hAnsi="Times New Roman"/>
                <w:b/>
                <w:bCs/>
                <w:sz w:val="16"/>
                <w:szCs w:val="16"/>
              </w:rPr>
              <w:t>s</w:t>
            </w:r>
          </w:p>
        </w:tc>
        <w:tc>
          <w:tcPr>
            <w:tcW w:w="1453" w:type="dxa"/>
          </w:tcPr>
          <w:p w14:paraId="526D0E45" w14:textId="77777777" w:rsidR="00DA6D8C" w:rsidRPr="006B2F1C" w:rsidRDefault="00DA6D8C" w:rsidP="001F7C37">
            <w:pPr>
              <w:spacing w:after="0" w:line="240" w:lineRule="auto"/>
              <w:ind w:left="0"/>
              <w:rPr>
                <w:rFonts w:ascii="Times New Roman" w:hAnsi="Times New Roman"/>
                <w:sz w:val="16"/>
              </w:rPr>
            </w:pPr>
            <w:r w:rsidRPr="006B2F1C">
              <w:rPr>
                <w:rFonts w:ascii="Times New Roman" w:hAnsi="Times New Roman"/>
                <w:sz w:val="16"/>
              </w:rPr>
              <w:t>Increased ALT</w:t>
            </w:r>
          </w:p>
          <w:p w14:paraId="3CC955AB" w14:textId="77777777" w:rsidR="00DA6D8C" w:rsidRPr="006B2F1C" w:rsidRDefault="00DA6D8C" w:rsidP="001F7C37">
            <w:pPr>
              <w:spacing w:after="0" w:line="240" w:lineRule="auto"/>
              <w:ind w:left="0"/>
              <w:rPr>
                <w:rFonts w:ascii="Times New Roman" w:hAnsi="Times New Roman"/>
                <w:sz w:val="16"/>
              </w:rPr>
            </w:pPr>
            <w:r w:rsidRPr="006B2F1C">
              <w:rPr>
                <w:rFonts w:ascii="Times New Roman" w:hAnsi="Times New Roman"/>
                <w:sz w:val="16"/>
              </w:rPr>
              <w:t>Increased AST</w:t>
            </w:r>
          </w:p>
        </w:tc>
        <w:tc>
          <w:tcPr>
            <w:tcW w:w="1658" w:type="dxa"/>
          </w:tcPr>
          <w:p w14:paraId="12E84A7B" w14:textId="77777777" w:rsidR="00DA6D8C" w:rsidRPr="006B2F1C" w:rsidRDefault="00DA6D8C" w:rsidP="001F7C37">
            <w:pPr>
              <w:spacing w:after="0" w:line="240" w:lineRule="auto"/>
              <w:ind w:left="0"/>
              <w:rPr>
                <w:rFonts w:ascii="Times New Roman" w:hAnsi="Times New Roman"/>
                <w:sz w:val="16"/>
              </w:rPr>
            </w:pPr>
            <w:r w:rsidRPr="006B2F1C">
              <w:rPr>
                <w:rFonts w:ascii="Times New Roman" w:hAnsi="Times New Roman"/>
                <w:sz w:val="16"/>
              </w:rPr>
              <w:t>Autoimmune hepatitis</w:t>
            </w:r>
          </w:p>
        </w:tc>
        <w:tc>
          <w:tcPr>
            <w:tcW w:w="1113" w:type="dxa"/>
          </w:tcPr>
          <w:p w14:paraId="747DFD7D" w14:textId="77777777" w:rsidR="00DA6D8C" w:rsidRPr="006B2F1C" w:rsidRDefault="00DA6D8C" w:rsidP="001F7C37">
            <w:pPr>
              <w:spacing w:after="0" w:line="240" w:lineRule="auto"/>
              <w:ind w:left="0"/>
              <w:rPr>
                <w:rFonts w:ascii="Times New Roman" w:hAnsi="Times New Roman"/>
                <w:sz w:val="16"/>
              </w:rPr>
            </w:pPr>
            <w:r w:rsidRPr="006B2F1C">
              <w:rPr>
                <w:rFonts w:ascii="Times New Roman" w:hAnsi="Times New Roman"/>
                <w:sz w:val="16"/>
              </w:rPr>
              <w:t>CF hepatic disease</w:t>
            </w:r>
          </w:p>
        </w:tc>
        <w:tc>
          <w:tcPr>
            <w:tcW w:w="1585" w:type="dxa"/>
          </w:tcPr>
          <w:p w14:paraId="20729614" w14:textId="77777777" w:rsidR="00DA6D8C" w:rsidRPr="006B2F1C" w:rsidRDefault="00DA6D8C" w:rsidP="001F7C37">
            <w:pPr>
              <w:spacing w:after="0" w:line="240" w:lineRule="auto"/>
              <w:ind w:left="0"/>
              <w:rPr>
                <w:rFonts w:ascii="Times New Roman" w:hAnsi="Times New Roman"/>
                <w:sz w:val="16"/>
                <w:vertAlign w:val="subscript"/>
              </w:rPr>
            </w:pPr>
            <w:r w:rsidRPr="006B2F1C">
              <w:rPr>
                <w:rFonts w:ascii="Times New Roman" w:hAnsi="Times New Roman"/>
                <w:sz w:val="16"/>
              </w:rPr>
              <w:t>F</w:t>
            </w:r>
            <w:r w:rsidRPr="006B2F1C">
              <w:rPr>
                <w:rFonts w:ascii="Times New Roman" w:hAnsi="Times New Roman"/>
                <w:sz w:val="16"/>
                <w:szCs w:val="16"/>
              </w:rPr>
              <w:t>orced expiratory volume decreased</w:t>
            </w:r>
          </w:p>
          <w:p w14:paraId="66F445DE" w14:textId="77777777" w:rsidR="00DA6D8C" w:rsidRPr="006B2F1C" w:rsidRDefault="00DA6D8C" w:rsidP="001F7C37">
            <w:pPr>
              <w:spacing w:after="0" w:line="240" w:lineRule="auto"/>
              <w:ind w:left="0"/>
              <w:rPr>
                <w:rFonts w:ascii="Times New Roman" w:hAnsi="Times New Roman"/>
                <w:sz w:val="16"/>
              </w:rPr>
            </w:pPr>
            <w:r w:rsidRPr="006B2F1C">
              <w:rPr>
                <w:rFonts w:ascii="Times New Roman" w:hAnsi="Times New Roman"/>
                <w:sz w:val="16"/>
              </w:rPr>
              <w:t>Respiration abnormal</w:t>
            </w:r>
          </w:p>
          <w:p w14:paraId="4429563A" w14:textId="77777777" w:rsidR="00DA6D8C" w:rsidRPr="006B2F1C" w:rsidRDefault="00DA6D8C" w:rsidP="001F7C37">
            <w:pPr>
              <w:spacing w:after="0" w:line="240" w:lineRule="auto"/>
              <w:ind w:left="0"/>
              <w:rPr>
                <w:rFonts w:ascii="Times New Roman" w:hAnsi="Times New Roman"/>
                <w:sz w:val="16"/>
              </w:rPr>
            </w:pPr>
            <w:r w:rsidRPr="006B2F1C">
              <w:rPr>
                <w:rFonts w:ascii="Times New Roman" w:hAnsi="Times New Roman"/>
                <w:sz w:val="16"/>
              </w:rPr>
              <w:t>Asthma</w:t>
            </w:r>
          </w:p>
        </w:tc>
        <w:tc>
          <w:tcPr>
            <w:tcW w:w="1434" w:type="dxa"/>
          </w:tcPr>
          <w:p w14:paraId="00DDBD3A" w14:textId="77777777" w:rsidR="00DA6D8C" w:rsidRPr="006B2F1C" w:rsidRDefault="00DA6D8C" w:rsidP="001F7C37">
            <w:pPr>
              <w:spacing w:after="0" w:line="240" w:lineRule="auto"/>
              <w:ind w:left="0"/>
              <w:rPr>
                <w:rFonts w:ascii="Times New Roman" w:hAnsi="Times New Roman"/>
                <w:sz w:val="16"/>
              </w:rPr>
            </w:pPr>
            <w:r w:rsidRPr="006B2F1C">
              <w:rPr>
                <w:rFonts w:ascii="Times New Roman" w:hAnsi="Times New Roman"/>
                <w:sz w:val="16"/>
              </w:rPr>
              <w:t>Abdominal pain</w:t>
            </w:r>
          </w:p>
          <w:p w14:paraId="55B0F87D" w14:textId="77777777" w:rsidR="00DA6D8C" w:rsidRPr="006B2F1C" w:rsidRDefault="00DA6D8C" w:rsidP="001F7C37">
            <w:pPr>
              <w:spacing w:after="0" w:line="240" w:lineRule="auto"/>
              <w:ind w:left="0"/>
              <w:rPr>
                <w:rFonts w:ascii="Times New Roman" w:hAnsi="Times New Roman"/>
                <w:sz w:val="16"/>
              </w:rPr>
            </w:pPr>
            <w:r w:rsidRPr="006B2F1C">
              <w:rPr>
                <w:rFonts w:ascii="Times New Roman" w:hAnsi="Times New Roman"/>
                <w:sz w:val="16"/>
              </w:rPr>
              <w:t>Diarrhoea</w:t>
            </w:r>
          </w:p>
          <w:p w14:paraId="0139C9E1" w14:textId="77777777" w:rsidR="00DA6D8C" w:rsidRPr="006B2F1C" w:rsidRDefault="00DA6D8C" w:rsidP="001F7C37">
            <w:pPr>
              <w:spacing w:after="0" w:line="240" w:lineRule="auto"/>
              <w:ind w:left="0"/>
              <w:rPr>
                <w:rFonts w:ascii="Times New Roman" w:hAnsi="Times New Roman"/>
                <w:sz w:val="16"/>
              </w:rPr>
            </w:pPr>
            <w:r w:rsidRPr="006B2F1C">
              <w:rPr>
                <w:rFonts w:ascii="Times New Roman" w:hAnsi="Times New Roman"/>
                <w:sz w:val="16"/>
              </w:rPr>
              <w:t>Vomiting</w:t>
            </w:r>
          </w:p>
          <w:p w14:paraId="21025BFC" w14:textId="77777777" w:rsidR="00DA6D8C" w:rsidRPr="006B2F1C" w:rsidRDefault="00DA6D8C" w:rsidP="001F7C37">
            <w:pPr>
              <w:spacing w:after="0" w:line="240" w:lineRule="auto"/>
              <w:ind w:left="0"/>
              <w:rPr>
                <w:rFonts w:ascii="Times New Roman" w:hAnsi="Times New Roman"/>
                <w:sz w:val="16"/>
              </w:rPr>
            </w:pPr>
          </w:p>
        </w:tc>
        <w:tc>
          <w:tcPr>
            <w:tcW w:w="1199" w:type="dxa"/>
          </w:tcPr>
          <w:p w14:paraId="728FA292" w14:textId="77777777" w:rsidR="00DA6D8C" w:rsidRPr="006B2F1C" w:rsidRDefault="00DA6D8C" w:rsidP="001F7C37">
            <w:pPr>
              <w:spacing w:after="0" w:line="240" w:lineRule="auto"/>
              <w:ind w:left="0"/>
              <w:rPr>
                <w:rFonts w:ascii="Times New Roman" w:hAnsi="Times New Roman"/>
                <w:sz w:val="16"/>
              </w:rPr>
            </w:pPr>
            <w:r w:rsidRPr="006B2F1C">
              <w:rPr>
                <w:rFonts w:ascii="Times New Roman" w:hAnsi="Times New Roman"/>
                <w:sz w:val="16"/>
              </w:rPr>
              <w:t>Hot flush</w:t>
            </w:r>
          </w:p>
          <w:p w14:paraId="0B5CA015" w14:textId="77777777" w:rsidR="00DA6D8C" w:rsidRPr="006B2F1C" w:rsidRDefault="00DA6D8C" w:rsidP="001F7C37">
            <w:pPr>
              <w:spacing w:after="0" w:line="240" w:lineRule="auto"/>
              <w:ind w:left="0"/>
              <w:rPr>
                <w:rFonts w:ascii="Times New Roman" w:hAnsi="Times New Roman"/>
                <w:sz w:val="16"/>
              </w:rPr>
            </w:pPr>
            <w:r w:rsidRPr="006B2F1C">
              <w:rPr>
                <w:rFonts w:ascii="Times New Roman" w:hAnsi="Times New Roman"/>
                <w:sz w:val="16"/>
              </w:rPr>
              <w:t>Urticaria</w:t>
            </w:r>
          </w:p>
          <w:p w14:paraId="7B760A2F" w14:textId="77777777" w:rsidR="00DA6D8C" w:rsidRPr="006B2F1C" w:rsidRDefault="00DA6D8C" w:rsidP="001F7C37">
            <w:pPr>
              <w:spacing w:after="0" w:line="240" w:lineRule="auto"/>
              <w:ind w:left="0"/>
              <w:rPr>
                <w:rFonts w:ascii="Times New Roman" w:hAnsi="Times New Roman"/>
                <w:sz w:val="16"/>
              </w:rPr>
            </w:pPr>
          </w:p>
        </w:tc>
      </w:tr>
    </w:tbl>
    <w:p w14:paraId="7739614B" w14:textId="77777777" w:rsidR="00DA6D8C" w:rsidRPr="006B2F1C" w:rsidRDefault="00DA6D8C" w:rsidP="00DA6D8C">
      <w:pPr>
        <w:spacing w:after="0" w:line="240" w:lineRule="auto"/>
        <w:rPr>
          <w:rFonts w:ascii="Times New Roman" w:hAnsi="Times New Roman"/>
        </w:rPr>
      </w:pPr>
    </w:p>
    <w:p w14:paraId="6F565F2C" w14:textId="77777777" w:rsidR="00DA6D8C" w:rsidRPr="006B2F1C" w:rsidRDefault="00DA6D8C" w:rsidP="00DA6D8C">
      <w:pPr>
        <w:spacing w:after="0" w:line="240" w:lineRule="auto"/>
        <w:ind w:left="0"/>
        <w:rPr>
          <w:rFonts w:ascii="Times New Roman" w:hAnsi="Times New Roman"/>
          <w:sz w:val="20"/>
          <w:szCs w:val="20"/>
        </w:rPr>
      </w:pPr>
      <w:r w:rsidRPr="006B2F1C">
        <w:rPr>
          <w:rFonts w:ascii="Times New Roman" w:hAnsi="Times New Roman"/>
          <w:sz w:val="20"/>
        </w:rPr>
        <w:t xml:space="preserve">All events leading to treatment discontinuation were considered either related or possibly related to lumacaftor/ivacaftor. </w:t>
      </w:r>
      <w:proofErr w:type="gramStart"/>
      <w:r w:rsidRPr="006B2F1C">
        <w:rPr>
          <w:rFonts w:ascii="Times New Roman" w:hAnsi="Times New Roman"/>
          <w:sz w:val="20"/>
        </w:rPr>
        <w:t>The majority of</w:t>
      </w:r>
      <w:proofErr w:type="gramEnd"/>
      <w:r w:rsidRPr="006B2F1C">
        <w:rPr>
          <w:rFonts w:ascii="Times New Roman" w:hAnsi="Times New Roman"/>
          <w:sz w:val="20"/>
        </w:rPr>
        <w:t xml:space="preserve"> events had outcomes of </w:t>
      </w:r>
      <w:r w:rsidRPr="006B2F1C">
        <w:rPr>
          <w:rFonts w:ascii="Times New Roman" w:hAnsi="Times New Roman"/>
          <w:sz w:val="20"/>
          <w:szCs w:val="20"/>
        </w:rPr>
        <w:t xml:space="preserve">recovery/resolution. </w:t>
      </w:r>
    </w:p>
    <w:p w14:paraId="5F8E0E99" w14:textId="77777777" w:rsidR="00DA6D8C" w:rsidRPr="006B2F1C" w:rsidRDefault="00DA6D8C" w:rsidP="00DA6D8C">
      <w:pPr>
        <w:spacing w:after="0" w:line="240" w:lineRule="auto"/>
        <w:ind w:left="0"/>
        <w:rPr>
          <w:rFonts w:ascii="Times New Roman" w:hAnsi="Times New Roman"/>
          <w:sz w:val="20"/>
        </w:rPr>
      </w:pPr>
      <w:r w:rsidRPr="006B2F1C">
        <w:rPr>
          <w:rFonts w:ascii="Times New Roman" w:hAnsi="Times New Roman"/>
          <w:sz w:val="20"/>
        </w:rPr>
        <w:t>ALT, alanine aminotransferase; AST, aspartate aminotransferase; CF, cystic fibrosis.</w:t>
      </w:r>
    </w:p>
    <w:p w14:paraId="67D2E7E9" w14:textId="77777777" w:rsidR="00DA6D8C" w:rsidRPr="006B2F1C" w:rsidRDefault="00DA6D8C" w:rsidP="00DA6D8C">
      <w:pPr>
        <w:autoSpaceDE/>
        <w:autoSpaceDN/>
        <w:adjustRightInd/>
        <w:spacing w:after="200" w:line="276" w:lineRule="auto"/>
        <w:ind w:left="0"/>
        <w:rPr>
          <w:rFonts w:ascii="Times New Roman" w:hAnsi="Times New Roman"/>
          <w:b/>
        </w:rPr>
      </w:pPr>
    </w:p>
    <w:p w14:paraId="16CE8361" w14:textId="41DFBC70" w:rsidR="005C3655" w:rsidRDefault="00DA6D8C" w:rsidP="00DA6D8C">
      <w:pPr>
        <w:pStyle w:val="Heading2"/>
        <w:spacing w:after="0" w:line="240" w:lineRule="auto"/>
        <w:rPr>
          <w:rFonts w:ascii="Times New Roman" w:hAnsi="Times New Roman"/>
          <w:i w:val="0"/>
          <w:sz w:val="20"/>
        </w:rPr>
      </w:pPr>
      <w:r w:rsidRPr="006B2F1C">
        <w:rPr>
          <w:rFonts w:ascii="Times New Roman" w:hAnsi="Times New Roman"/>
          <w:i w:val="0"/>
          <w:sz w:val="20"/>
        </w:rPr>
        <w:t xml:space="preserve">Table S3. </w:t>
      </w:r>
      <w:r w:rsidR="005C3655" w:rsidRPr="005C3655">
        <w:rPr>
          <w:rFonts w:ascii="Times New Roman" w:hAnsi="Times New Roman"/>
          <w:i w:val="0"/>
          <w:sz w:val="20"/>
        </w:rPr>
        <w:t>Adverse events of special interest</w:t>
      </w:r>
    </w:p>
    <w:tbl>
      <w:tblPr>
        <w:tblStyle w:val="PlainTable110"/>
        <w:tblW w:w="8640" w:type="dxa"/>
        <w:tblLook w:val="0420" w:firstRow="1" w:lastRow="0" w:firstColumn="0" w:lastColumn="0" w:noHBand="0" w:noVBand="1"/>
      </w:tblPr>
      <w:tblGrid>
        <w:gridCol w:w="4553"/>
        <w:gridCol w:w="4087"/>
      </w:tblGrid>
      <w:tr w:rsidR="005C3655" w:rsidRPr="006B2F1C" w14:paraId="293202EC" w14:textId="77777777" w:rsidTr="005C3655">
        <w:trPr>
          <w:cnfStyle w:val="100000000000" w:firstRow="1" w:lastRow="0" w:firstColumn="0" w:lastColumn="0" w:oddVBand="0" w:evenVBand="0" w:oddHBand="0" w:evenHBand="0" w:firstRowFirstColumn="0" w:firstRowLastColumn="0" w:lastRowFirstColumn="0" w:lastRowLastColumn="0"/>
          <w:trHeight w:val="56"/>
        </w:trPr>
        <w:tc>
          <w:tcPr>
            <w:tcW w:w="4553" w:type="dxa"/>
            <w:hideMark/>
          </w:tcPr>
          <w:p w14:paraId="068F9566" w14:textId="77777777" w:rsidR="005C3655" w:rsidRPr="00265B61" w:rsidRDefault="005C3655" w:rsidP="00FD0145">
            <w:pPr>
              <w:autoSpaceDE/>
              <w:autoSpaceDN/>
              <w:adjustRightInd/>
              <w:spacing w:after="0" w:line="240" w:lineRule="auto"/>
              <w:ind w:left="0"/>
              <w:textAlignment w:val="baseline"/>
              <w:rPr>
                <w:rFonts w:ascii="Times New Roman" w:eastAsia="Times New Roman" w:hAnsi="Times New Roman"/>
                <w:sz w:val="16"/>
                <w:szCs w:val="16"/>
              </w:rPr>
            </w:pPr>
          </w:p>
        </w:tc>
        <w:tc>
          <w:tcPr>
            <w:tcW w:w="4087" w:type="dxa"/>
            <w:hideMark/>
          </w:tcPr>
          <w:p w14:paraId="4D631A9C" w14:textId="77777777" w:rsidR="005C3655" w:rsidRPr="00265B61" w:rsidRDefault="005C3655" w:rsidP="00FD0145">
            <w:pPr>
              <w:autoSpaceDE/>
              <w:autoSpaceDN/>
              <w:adjustRightInd/>
              <w:spacing w:after="0" w:line="240" w:lineRule="auto"/>
              <w:ind w:left="0"/>
              <w:jc w:val="center"/>
              <w:textAlignment w:val="baseline"/>
              <w:rPr>
                <w:rFonts w:ascii="Times New Roman" w:eastAsia="Times New Roman" w:hAnsi="Times New Roman"/>
                <w:sz w:val="16"/>
                <w:szCs w:val="16"/>
              </w:rPr>
            </w:pPr>
            <w:r w:rsidRPr="00265B61">
              <w:rPr>
                <w:rFonts w:ascii="Times New Roman" w:hAnsi="Times New Roman"/>
                <w:kern w:val="24"/>
                <w:sz w:val="16"/>
                <w:szCs w:val="16"/>
              </w:rPr>
              <w:t>Participants</w:t>
            </w:r>
          </w:p>
          <w:p w14:paraId="6E00A11F" w14:textId="77777777" w:rsidR="005C3655" w:rsidRPr="00265B61" w:rsidRDefault="005C3655" w:rsidP="00FD0145">
            <w:pPr>
              <w:autoSpaceDE/>
              <w:autoSpaceDN/>
              <w:adjustRightInd/>
              <w:spacing w:after="0" w:line="240" w:lineRule="auto"/>
              <w:ind w:left="0"/>
              <w:jc w:val="center"/>
              <w:textAlignment w:val="baseline"/>
              <w:rPr>
                <w:rFonts w:ascii="Times New Roman" w:eastAsia="Times New Roman" w:hAnsi="Times New Roman"/>
                <w:sz w:val="16"/>
                <w:szCs w:val="16"/>
              </w:rPr>
            </w:pPr>
            <w:r w:rsidRPr="00265B61">
              <w:rPr>
                <w:rFonts w:ascii="Times New Roman" w:hAnsi="Times New Roman"/>
                <w:kern w:val="24"/>
                <w:sz w:val="16"/>
                <w:szCs w:val="16"/>
              </w:rPr>
              <w:t>(</w:t>
            </w:r>
            <w:r w:rsidRPr="00265B61">
              <w:rPr>
                <w:rFonts w:ascii="Times New Roman" w:eastAsia="Verdana" w:hAnsi="Times New Roman"/>
                <w:kern w:val="24"/>
                <w:sz w:val="16"/>
                <w:szCs w:val="16"/>
              </w:rPr>
              <w:t>N=239)</w:t>
            </w:r>
          </w:p>
        </w:tc>
      </w:tr>
      <w:tr w:rsidR="005C3655" w:rsidRPr="006B2F1C" w14:paraId="3B36CE7E" w14:textId="77777777" w:rsidTr="005C3655">
        <w:trPr>
          <w:cnfStyle w:val="000000100000" w:firstRow="0" w:lastRow="0" w:firstColumn="0" w:lastColumn="0" w:oddVBand="0" w:evenVBand="0" w:oddHBand="1" w:evenHBand="0" w:firstRowFirstColumn="0" w:firstRowLastColumn="0" w:lastRowFirstColumn="0" w:lastRowLastColumn="0"/>
          <w:trHeight w:val="56"/>
        </w:trPr>
        <w:tc>
          <w:tcPr>
            <w:tcW w:w="4553" w:type="dxa"/>
            <w:hideMark/>
          </w:tcPr>
          <w:p w14:paraId="7EA6D77F" w14:textId="77777777" w:rsidR="005C3655" w:rsidRPr="00265B61" w:rsidRDefault="005C3655" w:rsidP="00FD0145">
            <w:pPr>
              <w:autoSpaceDE/>
              <w:autoSpaceDN/>
              <w:adjustRightInd/>
              <w:spacing w:after="0" w:line="240" w:lineRule="auto"/>
              <w:ind w:left="0"/>
              <w:rPr>
                <w:rFonts w:ascii="Times New Roman" w:eastAsia="Times New Roman" w:hAnsi="Times New Roman"/>
                <w:sz w:val="16"/>
                <w:szCs w:val="16"/>
              </w:rPr>
            </w:pPr>
            <w:r w:rsidRPr="00265B61">
              <w:rPr>
                <w:rFonts w:ascii="Times New Roman" w:hAnsi="Times New Roman"/>
                <w:b/>
                <w:kern w:val="24"/>
                <w:sz w:val="16"/>
                <w:szCs w:val="16"/>
              </w:rPr>
              <w:t>Respiratory events</w:t>
            </w:r>
            <w:r w:rsidRPr="00265B61">
              <w:rPr>
                <w:rFonts w:ascii="Times New Roman" w:eastAsia="SimSun" w:hAnsi="Times New Roman"/>
                <w:b/>
                <w:bCs/>
                <w:kern w:val="24"/>
                <w:sz w:val="16"/>
                <w:szCs w:val="16"/>
              </w:rPr>
              <w:t>, n (%)</w:t>
            </w:r>
          </w:p>
        </w:tc>
        <w:tc>
          <w:tcPr>
            <w:tcW w:w="4087" w:type="dxa"/>
            <w:hideMark/>
          </w:tcPr>
          <w:p w14:paraId="61A61314" w14:textId="77777777" w:rsidR="005C3655" w:rsidRPr="00265B61" w:rsidRDefault="005C3655" w:rsidP="00FD0145">
            <w:pPr>
              <w:autoSpaceDE/>
              <w:autoSpaceDN/>
              <w:adjustRightInd/>
              <w:spacing w:after="0" w:line="240" w:lineRule="auto"/>
              <w:ind w:left="0"/>
              <w:jc w:val="center"/>
              <w:rPr>
                <w:rFonts w:ascii="Times New Roman" w:eastAsia="Times New Roman" w:hAnsi="Times New Roman"/>
                <w:sz w:val="16"/>
                <w:szCs w:val="16"/>
              </w:rPr>
            </w:pPr>
            <w:r w:rsidRPr="00265B61">
              <w:rPr>
                <w:rFonts w:ascii="Times New Roman" w:hAnsi="Times New Roman"/>
                <w:b/>
                <w:kern w:val="24"/>
                <w:sz w:val="16"/>
                <w:szCs w:val="16"/>
              </w:rPr>
              <w:t>44 (18·4)</w:t>
            </w:r>
          </w:p>
        </w:tc>
      </w:tr>
      <w:tr w:rsidR="005C3655" w:rsidRPr="006B2F1C" w14:paraId="57D13B0F" w14:textId="77777777" w:rsidTr="005C3655">
        <w:trPr>
          <w:trHeight w:val="56"/>
        </w:trPr>
        <w:tc>
          <w:tcPr>
            <w:tcW w:w="4553" w:type="dxa"/>
            <w:hideMark/>
          </w:tcPr>
          <w:p w14:paraId="409C84A6" w14:textId="77777777" w:rsidR="005C3655" w:rsidRPr="00265B61" w:rsidRDefault="005C3655" w:rsidP="00FD0145">
            <w:pPr>
              <w:autoSpaceDE/>
              <w:autoSpaceDN/>
              <w:adjustRightInd/>
              <w:spacing w:after="0" w:line="240" w:lineRule="auto"/>
              <w:ind w:left="288"/>
              <w:rPr>
                <w:rFonts w:ascii="Times New Roman" w:eastAsia="Times New Roman" w:hAnsi="Times New Roman"/>
                <w:sz w:val="16"/>
                <w:szCs w:val="16"/>
              </w:rPr>
            </w:pPr>
            <w:r w:rsidRPr="00265B61">
              <w:rPr>
                <w:rFonts w:ascii="Times New Roman" w:hAnsi="Times New Roman"/>
                <w:kern w:val="24"/>
                <w:sz w:val="16"/>
                <w:szCs w:val="16"/>
              </w:rPr>
              <w:t>Respiration abnormal</w:t>
            </w:r>
          </w:p>
        </w:tc>
        <w:tc>
          <w:tcPr>
            <w:tcW w:w="4087" w:type="dxa"/>
            <w:hideMark/>
          </w:tcPr>
          <w:p w14:paraId="4F99BC14" w14:textId="77777777" w:rsidR="005C3655" w:rsidRPr="00265B61" w:rsidRDefault="005C3655" w:rsidP="00FD0145">
            <w:pPr>
              <w:autoSpaceDE/>
              <w:autoSpaceDN/>
              <w:adjustRightInd/>
              <w:spacing w:after="0" w:line="240" w:lineRule="auto"/>
              <w:ind w:left="0"/>
              <w:jc w:val="center"/>
              <w:rPr>
                <w:rFonts w:ascii="Times New Roman" w:eastAsia="Times New Roman" w:hAnsi="Times New Roman"/>
                <w:sz w:val="16"/>
                <w:szCs w:val="16"/>
              </w:rPr>
            </w:pPr>
            <w:r w:rsidRPr="00265B61">
              <w:rPr>
                <w:rFonts w:ascii="Times New Roman" w:hAnsi="Times New Roman"/>
                <w:kern w:val="24"/>
                <w:sz w:val="16"/>
                <w:szCs w:val="16"/>
              </w:rPr>
              <w:t>14 (5·9)</w:t>
            </w:r>
          </w:p>
        </w:tc>
      </w:tr>
      <w:tr w:rsidR="005C3655" w:rsidRPr="006B2F1C" w14:paraId="11D8D88B" w14:textId="77777777" w:rsidTr="005C3655">
        <w:trPr>
          <w:cnfStyle w:val="000000100000" w:firstRow="0" w:lastRow="0" w:firstColumn="0" w:lastColumn="0" w:oddVBand="0" w:evenVBand="0" w:oddHBand="1" w:evenHBand="0" w:firstRowFirstColumn="0" w:firstRowLastColumn="0" w:lastRowFirstColumn="0" w:lastRowLastColumn="0"/>
          <w:trHeight w:val="56"/>
        </w:trPr>
        <w:tc>
          <w:tcPr>
            <w:tcW w:w="4553" w:type="dxa"/>
            <w:hideMark/>
          </w:tcPr>
          <w:p w14:paraId="10D38897" w14:textId="77777777" w:rsidR="005C3655" w:rsidRPr="00265B61" w:rsidRDefault="005C3655" w:rsidP="00FD0145">
            <w:pPr>
              <w:autoSpaceDE/>
              <w:autoSpaceDN/>
              <w:adjustRightInd/>
              <w:spacing w:after="0" w:line="240" w:lineRule="auto"/>
              <w:ind w:left="288"/>
              <w:rPr>
                <w:rFonts w:ascii="Times New Roman" w:eastAsia="Times New Roman" w:hAnsi="Times New Roman"/>
                <w:sz w:val="16"/>
                <w:szCs w:val="16"/>
              </w:rPr>
            </w:pPr>
            <w:r w:rsidRPr="00265B61">
              <w:rPr>
                <w:rFonts w:ascii="Times New Roman" w:hAnsi="Times New Roman"/>
                <w:kern w:val="24"/>
                <w:sz w:val="16"/>
                <w:szCs w:val="16"/>
              </w:rPr>
              <w:t>Wheezing</w:t>
            </w:r>
          </w:p>
        </w:tc>
        <w:tc>
          <w:tcPr>
            <w:tcW w:w="4087" w:type="dxa"/>
            <w:hideMark/>
          </w:tcPr>
          <w:p w14:paraId="1E2BD00A" w14:textId="77777777" w:rsidR="005C3655" w:rsidRPr="00265B61" w:rsidRDefault="005C3655" w:rsidP="00FD0145">
            <w:pPr>
              <w:autoSpaceDE/>
              <w:autoSpaceDN/>
              <w:adjustRightInd/>
              <w:spacing w:after="0" w:line="240" w:lineRule="auto"/>
              <w:ind w:left="0"/>
              <w:jc w:val="center"/>
              <w:rPr>
                <w:rFonts w:ascii="Times New Roman" w:eastAsia="Times New Roman" w:hAnsi="Times New Roman"/>
                <w:sz w:val="16"/>
                <w:szCs w:val="16"/>
              </w:rPr>
            </w:pPr>
            <w:r w:rsidRPr="00265B61">
              <w:rPr>
                <w:rFonts w:ascii="Times New Roman" w:hAnsi="Times New Roman"/>
                <w:kern w:val="24"/>
                <w:sz w:val="16"/>
                <w:szCs w:val="16"/>
              </w:rPr>
              <w:t>12 (5·0)</w:t>
            </w:r>
          </w:p>
        </w:tc>
      </w:tr>
      <w:tr w:rsidR="005C3655" w:rsidRPr="006B2F1C" w14:paraId="572C8523" w14:textId="77777777" w:rsidTr="005C3655">
        <w:trPr>
          <w:trHeight w:val="56"/>
        </w:trPr>
        <w:tc>
          <w:tcPr>
            <w:tcW w:w="4553" w:type="dxa"/>
            <w:hideMark/>
          </w:tcPr>
          <w:p w14:paraId="46F7F5DB" w14:textId="77777777" w:rsidR="005C3655" w:rsidRPr="00265B61" w:rsidRDefault="005C3655" w:rsidP="00FD0145">
            <w:pPr>
              <w:autoSpaceDE/>
              <w:autoSpaceDN/>
              <w:adjustRightInd/>
              <w:spacing w:after="0" w:line="240" w:lineRule="auto"/>
              <w:ind w:left="288"/>
              <w:rPr>
                <w:rFonts w:ascii="Times New Roman" w:eastAsia="Times New Roman" w:hAnsi="Times New Roman"/>
                <w:sz w:val="16"/>
                <w:szCs w:val="16"/>
              </w:rPr>
            </w:pPr>
            <w:r w:rsidRPr="00265B61">
              <w:rPr>
                <w:rFonts w:ascii="Times New Roman" w:hAnsi="Times New Roman"/>
                <w:kern w:val="24"/>
                <w:sz w:val="16"/>
                <w:szCs w:val="16"/>
              </w:rPr>
              <w:t>Asthma</w:t>
            </w:r>
          </w:p>
        </w:tc>
        <w:tc>
          <w:tcPr>
            <w:tcW w:w="4087" w:type="dxa"/>
            <w:hideMark/>
          </w:tcPr>
          <w:p w14:paraId="319FB697" w14:textId="77777777" w:rsidR="005C3655" w:rsidRPr="00265B61" w:rsidRDefault="005C3655" w:rsidP="00FD0145">
            <w:pPr>
              <w:autoSpaceDE/>
              <w:autoSpaceDN/>
              <w:adjustRightInd/>
              <w:spacing w:after="0" w:line="240" w:lineRule="auto"/>
              <w:ind w:left="0"/>
              <w:jc w:val="center"/>
              <w:rPr>
                <w:rFonts w:ascii="Times New Roman" w:eastAsia="Times New Roman" w:hAnsi="Times New Roman"/>
                <w:sz w:val="16"/>
                <w:szCs w:val="16"/>
              </w:rPr>
            </w:pPr>
            <w:r w:rsidRPr="00265B61">
              <w:rPr>
                <w:rFonts w:ascii="Times New Roman" w:hAnsi="Times New Roman"/>
                <w:kern w:val="24"/>
                <w:sz w:val="16"/>
                <w:szCs w:val="16"/>
              </w:rPr>
              <w:t>10 (4·2)</w:t>
            </w:r>
          </w:p>
        </w:tc>
      </w:tr>
      <w:tr w:rsidR="005C3655" w:rsidRPr="006B2F1C" w14:paraId="373F8228" w14:textId="77777777" w:rsidTr="005C3655">
        <w:trPr>
          <w:cnfStyle w:val="000000100000" w:firstRow="0" w:lastRow="0" w:firstColumn="0" w:lastColumn="0" w:oddVBand="0" w:evenVBand="0" w:oddHBand="1" w:evenHBand="0" w:firstRowFirstColumn="0" w:firstRowLastColumn="0" w:lastRowFirstColumn="0" w:lastRowLastColumn="0"/>
          <w:trHeight w:val="56"/>
        </w:trPr>
        <w:tc>
          <w:tcPr>
            <w:tcW w:w="4553" w:type="dxa"/>
            <w:hideMark/>
          </w:tcPr>
          <w:p w14:paraId="61FC7817" w14:textId="77777777" w:rsidR="005C3655" w:rsidRPr="00265B61" w:rsidRDefault="005C3655" w:rsidP="00FD0145">
            <w:pPr>
              <w:autoSpaceDE/>
              <w:autoSpaceDN/>
              <w:adjustRightInd/>
              <w:spacing w:after="0" w:line="240" w:lineRule="auto"/>
              <w:ind w:left="288"/>
              <w:rPr>
                <w:rFonts w:ascii="Times New Roman" w:eastAsia="Times New Roman" w:hAnsi="Times New Roman"/>
                <w:sz w:val="16"/>
                <w:szCs w:val="16"/>
              </w:rPr>
            </w:pPr>
            <w:r w:rsidRPr="00265B61">
              <w:rPr>
                <w:rFonts w:ascii="Times New Roman" w:hAnsi="Times New Roman"/>
                <w:kern w:val="24"/>
                <w:sz w:val="16"/>
                <w:szCs w:val="16"/>
              </w:rPr>
              <w:t>Dyspnoea</w:t>
            </w:r>
          </w:p>
        </w:tc>
        <w:tc>
          <w:tcPr>
            <w:tcW w:w="4087" w:type="dxa"/>
            <w:hideMark/>
          </w:tcPr>
          <w:p w14:paraId="2D97E52C" w14:textId="77777777" w:rsidR="005C3655" w:rsidRPr="00265B61" w:rsidRDefault="005C3655" w:rsidP="00FD0145">
            <w:pPr>
              <w:autoSpaceDE/>
              <w:autoSpaceDN/>
              <w:adjustRightInd/>
              <w:spacing w:after="0" w:line="240" w:lineRule="auto"/>
              <w:ind w:left="0"/>
              <w:jc w:val="center"/>
              <w:rPr>
                <w:rFonts w:ascii="Times New Roman" w:eastAsia="Times New Roman" w:hAnsi="Times New Roman"/>
                <w:sz w:val="16"/>
                <w:szCs w:val="16"/>
              </w:rPr>
            </w:pPr>
            <w:r w:rsidRPr="00265B61">
              <w:rPr>
                <w:rFonts w:ascii="Times New Roman" w:hAnsi="Times New Roman"/>
                <w:kern w:val="24"/>
                <w:sz w:val="16"/>
                <w:szCs w:val="16"/>
              </w:rPr>
              <w:t>10 (4·2)</w:t>
            </w:r>
          </w:p>
        </w:tc>
      </w:tr>
      <w:tr w:rsidR="005C3655" w:rsidRPr="006B2F1C" w14:paraId="1B90A951" w14:textId="77777777" w:rsidTr="005C3655">
        <w:trPr>
          <w:trHeight w:val="56"/>
        </w:trPr>
        <w:tc>
          <w:tcPr>
            <w:tcW w:w="4553" w:type="dxa"/>
            <w:hideMark/>
          </w:tcPr>
          <w:p w14:paraId="1A7102B6" w14:textId="77777777" w:rsidR="005C3655" w:rsidRPr="00265B61" w:rsidRDefault="005C3655" w:rsidP="00FD0145">
            <w:pPr>
              <w:autoSpaceDE/>
              <w:autoSpaceDN/>
              <w:adjustRightInd/>
              <w:spacing w:after="0" w:line="240" w:lineRule="auto"/>
              <w:ind w:left="288"/>
              <w:rPr>
                <w:rFonts w:ascii="Times New Roman" w:eastAsia="Times New Roman" w:hAnsi="Times New Roman"/>
                <w:sz w:val="16"/>
                <w:szCs w:val="16"/>
              </w:rPr>
            </w:pPr>
            <w:r w:rsidRPr="00265B61">
              <w:rPr>
                <w:rFonts w:ascii="Times New Roman" w:hAnsi="Times New Roman"/>
                <w:kern w:val="24"/>
                <w:sz w:val="16"/>
                <w:szCs w:val="16"/>
              </w:rPr>
              <w:t>Chest discomfort</w:t>
            </w:r>
          </w:p>
        </w:tc>
        <w:tc>
          <w:tcPr>
            <w:tcW w:w="4087" w:type="dxa"/>
            <w:hideMark/>
          </w:tcPr>
          <w:p w14:paraId="7C81D336" w14:textId="77777777" w:rsidR="005C3655" w:rsidRPr="00265B61" w:rsidRDefault="005C3655" w:rsidP="00FD0145">
            <w:pPr>
              <w:autoSpaceDE/>
              <w:autoSpaceDN/>
              <w:adjustRightInd/>
              <w:spacing w:after="0" w:line="240" w:lineRule="auto"/>
              <w:ind w:left="0"/>
              <w:jc w:val="center"/>
              <w:rPr>
                <w:rFonts w:ascii="Times New Roman" w:eastAsia="Times New Roman" w:hAnsi="Times New Roman"/>
                <w:sz w:val="16"/>
                <w:szCs w:val="16"/>
              </w:rPr>
            </w:pPr>
            <w:r w:rsidRPr="00265B61">
              <w:rPr>
                <w:rFonts w:ascii="Times New Roman" w:hAnsi="Times New Roman"/>
                <w:kern w:val="24"/>
                <w:sz w:val="16"/>
                <w:szCs w:val="16"/>
              </w:rPr>
              <w:t>5 (2·1)</w:t>
            </w:r>
          </w:p>
        </w:tc>
      </w:tr>
      <w:tr w:rsidR="005C3655" w:rsidRPr="006B2F1C" w14:paraId="619D1B82" w14:textId="77777777" w:rsidTr="005C3655">
        <w:trPr>
          <w:cnfStyle w:val="000000100000" w:firstRow="0" w:lastRow="0" w:firstColumn="0" w:lastColumn="0" w:oddVBand="0" w:evenVBand="0" w:oddHBand="1" w:evenHBand="0" w:firstRowFirstColumn="0" w:firstRowLastColumn="0" w:lastRowFirstColumn="0" w:lastRowLastColumn="0"/>
          <w:trHeight w:val="56"/>
        </w:trPr>
        <w:tc>
          <w:tcPr>
            <w:tcW w:w="4553" w:type="dxa"/>
            <w:hideMark/>
          </w:tcPr>
          <w:p w14:paraId="17BC5515" w14:textId="77777777" w:rsidR="005C3655" w:rsidRPr="00265B61" w:rsidRDefault="005C3655" w:rsidP="00FD0145">
            <w:pPr>
              <w:autoSpaceDE/>
              <w:autoSpaceDN/>
              <w:adjustRightInd/>
              <w:spacing w:after="0" w:line="240" w:lineRule="auto"/>
              <w:ind w:left="0"/>
              <w:rPr>
                <w:rFonts w:ascii="Times New Roman" w:eastAsia="Times New Roman" w:hAnsi="Times New Roman"/>
                <w:sz w:val="16"/>
                <w:szCs w:val="16"/>
              </w:rPr>
            </w:pPr>
            <w:r w:rsidRPr="00265B61">
              <w:rPr>
                <w:rFonts w:ascii="Times New Roman" w:hAnsi="Times New Roman"/>
                <w:b/>
                <w:kern w:val="24"/>
                <w:sz w:val="16"/>
                <w:szCs w:val="16"/>
              </w:rPr>
              <w:t>Elevated transaminase events</w:t>
            </w:r>
            <w:r w:rsidRPr="00265B61">
              <w:rPr>
                <w:rFonts w:ascii="Times New Roman" w:eastAsia="SimSun" w:hAnsi="Times New Roman"/>
                <w:b/>
                <w:bCs/>
                <w:kern w:val="24"/>
                <w:sz w:val="16"/>
                <w:szCs w:val="16"/>
              </w:rPr>
              <w:t>, n (%)</w:t>
            </w:r>
          </w:p>
        </w:tc>
        <w:tc>
          <w:tcPr>
            <w:tcW w:w="4087" w:type="dxa"/>
            <w:hideMark/>
          </w:tcPr>
          <w:p w14:paraId="2F18B323" w14:textId="77777777" w:rsidR="005C3655" w:rsidRPr="00265B61" w:rsidRDefault="005C3655" w:rsidP="00FD0145">
            <w:pPr>
              <w:autoSpaceDE/>
              <w:autoSpaceDN/>
              <w:adjustRightInd/>
              <w:spacing w:after="0" w:line="240" w:lineRule="auto"/>
              <w:ind w:left="0"/>
              <w:jc w:val="center"/>
              <w:rPr>
                <w:rFonts w:ascii="Times New Roman" w:eastAsia="Times New Roman" w:hAnsi="Times New Roman"/>
                <w:sz w:val="16"/>
                <w:szCs w:val="16"/>
              </w:rPr>
            </w:pPr>
            <w:r w:rsidRPr="00265B61">
              <w:rPr>
                <w:rFonts w:ascii="Times New Roman" w:hAnsi="Times New Roman"/>
                <w:b/>
                <w:kern w:val="24"/>
                <w:sz w:val="16"/>
                <w:szCs w:val="16"/>
              </w:rPr>
              <w:t>46 (19·2)</w:t>
            </w:r>
          </w:p>
        </w:tc>
      </w:tr>
      <w:tr w:rsidR="005C3655" w:rsidRPr="006B2F1C" w14:paraId="76D6DE6C" w14:textId="77777777" w:rsidTr="005C3655">
        <w:trPr>
          <w:trHeight w:val="56"/>
        </w:trPr>
        <w:tc>
          <w:tcPr>
            <w:tcW w:w="4553" w:type="dxa"/>
            <w:hideMark/>
          </w:tcPr>
          <w:p w14:paraId="6335233D" w14:textId="77777777" w:rsidR="005C3655" w:rsidRPr="00265B61" w:rsidRDefault="005C3655" w:rsidP="00FD0145">
            <w:pPr>
              <w:autoSpaceDE/>
              <w:autoSpaceDN/>
              <w:adjustRightInd/>
              <w:spacing w:after="0" w:line="240" w:lineRule="auto"/>
              <w:ind w:left="288"/>
              <w:rPr>
                <w:rFonts w:ascii="Times New Roman" w:eastAsia="Times New Roman" w:hAnsi="Times New Roman"/>
                <w:sz w:val="16"/>
                <w:szCs w:val="16"/>
              </w:rPr>
            </w:pPr>
            <w:r w:rsidRPr="00265B61">
              <w:rPr>
                <w:rFonts w:ascii="Times New Roman" w:hAnsi="Times New Roman"/>
                <w:kern w:val="24"/>
                <w:sz w:val="16"/>
                <w:szCs w:val="16"/>
              </w:rPr>
              <w:t>Increased ALT</w:t>
            </w:r>
          </w:p>
        </w:tc>
        <w:tc>
          <w:tcPr>
            <w:tcW w:w="4087" w:type="dxa"/>
            <w:hideMark/>
          </w:tcPr>
          <w:p w14:paraId="0895D346" w14:textId="77777777" w:rsidR="005C3655" w:rsidRPr="00265B61" w:rsidRDefault="005C3655" w:rsidP="00FD0145">
            <w:pPr>
              <w:autoSpaceDE/>
              <w:autoSpaceDN/>
              <w:adjustRightInd/>
              <w:spacing w:after="0" w:line="240" w:lineRule="auto"/>
              <w:ind w:left="0"/>
              <w:jc w:val="center"/>
              <w:rPr>
                <w:rFonts w:ascii="Times New Roman" w:eastAsia="Times New Roman" w:hAnsi="Times New Roman"/>
                <w:sz w:val="16"/>
                <w:szCs w:val="16"/>
              </w:rPr>
            </w:pPr>
            <w:r w:rsidRPr="00265B61">
              <w:rPr>
                <w:rFonts w:ascii="Times New Roman" w:hAnsi="Times New Roman"/>
                <w:kern w:val="24"/>
                <w:sz w:val="16"/>
                <w:szCs w:val="16"/>
              </w:rPr>
              <w:t>45 (18·8)</w:t>
            </w:r>
          </w:p>
        </w:tc>
      </w:tr>
      <w:tr w:rsidR="005C3655" w:rsidRPr="006B2F1C" w14:paraId="7436D4A4" w14:textId="77777777" w:rsidTr="005C3655">
        <w:trPr>
          <w:cnfStyle w:val="000000100000" w:firstRow="0" w:lastRow="0" w:firstColumn="0" w:lastColumn="0" w:oddVBand="0" w:evenVBand="0" w:oddHBand="1" w:evenHBand="0" w:firstRowFirstColumn="0" w:firstRowLastColumn="0" w:lastRowFirstColumn="0" w:lastRowLastColumn="0"/>
          <w:trHeight w:val="56"/>
        </w:trPr>
        <w:tc>
          <w:tcPr>
            <w:tcW w:w="4553" w:type="dxa"/>
            <w:hideMark/>
          </w:tcPr>
          <w:p w14:paraId="2C1FC5B4" w14:textId="77777777" w:rsidR="005C3655" w:rsidRPr="00265B61" w:rsidRDefault="005C3655" w:rsidP="00FD0145">
            <w:pPr>
              <w:autoSpaceDE/>
              <w:autoSpaceDN/>
              <w:adjustRightInd/>
              <w:spacing w:after="0" w:line="240" w:lineRule="auto"/>
              <w:ind w:left="288"/>
              <w:rPr>
                <w:rFonts w:ascii="Times New Roman" w:eastAsia="Times New Roman" w:hAnsi="Times New Roman"/>
                <w:sz w:val="16"/>
                <w:szCs w:val="16"/>
              </w:rPr>
            </w:pPr>
            <w:r w:rsidRPr="00265B61">
              <w:rPr>
                <w:rFonts w:ascii="Times New Roman" w:hAnsi="Times New Roman"/>
                <w:kern w:val="24"/>
                <w:sz w:val="16"/>
                <w:szCs w:val="16"/>
              </w:rPr>
              <w:t>Increased AST</w:t>
            </w:r>
          </w:p>
        </w:tc>
        <w:tc>
          <w:tcPr>
            <w:tcW w:w="4087" w:type="dxa"/>
            <w:hideMark/>
          </w:tcPr>
          <w:p w14:paraId="59F05697" w14:textId="77777777" w:rsidR="005C3655" w:rsidRPr="00265B61" w:rsidRDefault="005C3655" w:rsidP="00FD0145">
            <w:pPr>
              <w:autoSpaceDE/>
              <w:autoSpaceDN/>
              <w:adjustRightInd/>
              <w:spacing w:after="0" w:line="240" w:lineRule="auto"/>
              <w:ind w:left="0"/>
              <w:jc w:val="center"/>
              <w:rPr>
                <w:rFonts w:ascii="Times New Roman" w:eastAsia="Times New Roman" w:hAnsi="Times New Roman"/>
                <w:sz w:val="16"/>
                <w:szCs w:val="16"/>
              </w:rPr>
            </w:pPr>
            <w:r w:rsidRPr="00265B61">
              <w:rPr>
                <w:rFonts w:ascii="Times New Roman" w:hAnsi="Times New Roman"/>
                <w:kern w:val="24"/>
                <w:sz w:val="16"/>
                <w:szCs w:val="16"/>
              </w:rPr>
              <w:t>32 (13·4)</w:t>
            </w:r>
          </w:p>
        </w:tc>
      </w:tr>
    </w:tbl>
    <w:p w14:paraId="6092ABC2" w14:textId="77777777" w:rsidR="005C3655" w:rsidRPr="00265B61" w:rsidRDefault="005C3655" w:rsidP="005C3655">
      <w:pPr>
        <w:rPr>
          <w:rFonts w:ascii="Times New Roman" w:hAnsi="Times New Roman"/>
          <w:sz w:val="20"/>
          <w:szCs w:val="20"/>
        </w:rPr>
      </w:pPr>
      <w:r w:rsidRPr="00265B61">
        <w:rPr>
          <w:rFonts w:ascii="Times New Roman" w:hAnsi="Times New Roman"/>
          <w:sz w:val="20"/>
          <w:szCs w:val="20"/>
        </w:rPr>
        <w:t>ALT, alanine aminotransferase; AST, aspartate aminotransferase.</w:t>
      </w:r>
    </w:p>
    <w:p w14:paraId="3F4CF63F" w14:textId="77777777" w:rsidR="005C3655" w:rsidRPr="00265B61" w:rsidRDefault="005C3655" w:rsidP="00265B61">
      <w:pPr>
        <w:rPr>
          <w:i/>
        </w:rPr>
      </w:pPr>
    </w:p>
    <w:p w14:paraId="2117B7CE" w14:textId="3D739CBF" w:rsidR="00DA6D8C" w:rsidRPr="006B2F1C" w:rsidRDefault="005C3655" w:rsidP="00DA6D8C">
      <w:pPr>
        <w:pStyle w:val="Heading2"/>
        <w:spacing w:after="0" w:line="240" w:lineRule="auto"/>
        <w:rPr>
          <w:rFonts w:ascii="Times New Roman" w:hAnsi="Times New Roman"/>
          <w:i w:val="0"/>
          <w:sz w:val="20"/>
        </w:rPr>
      </w:pPr>
      <w:r w:rsidRPr="006B2F1C">
        <w:rPr>
          <w:rFonts w:ascii="Times New Roman" w:hAnsi="Times New Roman"/>
          <w:i w:val="0"/>
          <w:sz w:val="20"/>
        </w:rPr>
        <w:t>Table S</w:t>
      </w:r>
      <w:r>
        <w:rPr>
          <w:rFonts w:ascii="Times New Roman" w:hAnsi="Times New Roman"/>
          <w:i w:val="0"/>
          <w:sz w:val="20"/>
        </w:rPr>
        <w:t>4</w:t>
      </w:r>
      <w:r w:rsidRPr="006B2F1C">
        <w:rPr>
          <w:rFonts w:ascii="Times New Roman" w:hAnsi="Times New Roman"/>
          <w:i w:val="0"/>
          <w:sz w:val="20"/>
        </w:rPr>
        <w:t xml:space="preserve">. </w:t>
      </w:r>
      <w:r w:rsidR="00DA6D8C" w:rsidRPr="006B2F1C">
        <w:rPr>
          <w:rFonts w:ascii="Times New Roman" w:hAnsi="Times New Roman"/>
          <w:i w:val="0"/>
          <w:sz w:val="20"/>
        </w:rPr>
        <w:t>Additional secondary endpoints</w:t>
      </w:r>
    </w:p>
    <w:tbl>
      <w:tblPr>
        <w:tblStyle w:val="PlainTable110"/>
        <w:tblW w:w="10038" w:type="dxa"/>
        <w:tblLook w:val="0600" w:firstRow="0" w:lastRow="0" w:firstColumn="0" w:lastColumn="0" w:noHBand="1" w:noVBand="1"/>
      </w:tblPr>
      <w:tblGrid>
        <w:gridCol w:w="2965"/>
        <w:gridCol w:w="4521"/>
        <w:gridCol w:w="2552"/>
      </w:tblGrid>
      <w:tr w:rsidR="00DA6D8C" w:rsidRPr="006B2F1C" w14:paraId="6D69A663" w14:textId="77777777" w:rsidTr="001F7C37">
        <w:trPr>
          <w:trHeight w:val="71"/>
        </w:trPr>
        <w:tc>
          <w:tcPr>
            <w:tcW w:w="2965" w:type="dxa"/>
            <w:hideMark/>
          </w:tcPr>
          <w:p w14:paraId="25F30B5E" w14:textId="77777777" w:rsidR="00DA6D8C" w:rsidRPr="006B2F1C" w:rsidRDefault="00DA6D8C" w:rsidP="001F7C37">
            <w:pPr>
              <w:autoSpaceDE/>
              <w:autoSpaceDN/>
              <w:adjustRightInd/>
              <w:spacing w:after="0" w:line="240" w:lineRule="auto"/>
              <w:ind w:left="0"/>
              <w:rPr>
                <w:rFonts w:ascii="Times New Roman" w:hAnsi="Times New Roman"/>
                <w:sz w:val="16"/>
              </w:rPr>
            </w:pPr>
          </w:p>
        </w:tc>
        <w:tc>
          <w:tcPr>
            <w:tcW w:w="4521" w:type="dxa"/>
          </w:tcPr>
          <w:p w14:paraId="7807CB18" w14:textId="77777777" w:rsidR="00DA6D8C" w:rsidRPr="006B2F1C" w:rsidRDefault="00DA6D8C" w:rsidP="001F7C37">
            <w:pPr>
              <w:autoSpaceDE/>
              <w:autoSpaceDN/>
              <w:adjustRightInd/>
              <w:spacing w:after="0" w:line="240" w:lineRule="auto"/>
              <w:ind w:left="0"/>
              <w:jc w:val="center"/>
              <w:rPr>
                <w:rFonts w:eastAsia="Times New Roman" w:cs="Arial"/>
                <w:sz w:val="20"/>
                <w:szCs w:val="20"/>
                <w:vertAlign w:val="subscript"/>
              </w:rPr>
            </w:pPr>
            <w:r w:rsidRPr="006B2F1C">
              <w:rPr>
                <w:rFonts w:ascii="Times New Roman" w:hAnsi="Times New Roman"/>
                <w:b/>
                <w:kern w:val="24"/>
                <w:sz w:val="16"/>
              </w:rPr>
              <w:t>L/I</w:t>
            </w:r>
            <w:r w:rsidRPr="006B2F1C">
              <w:rPr>
                <w:rFonts w:ascii="Wingdings" w:hAnsi="Wingdings"/>
                <w:sz w:val="16"/>
              </w:rPr>
              <w:t></w:t>
            </w:r>
            <w:r w:rsidRPr="006B2F1C">
              <w:rPr>
                <w:rFonts w:ascii="Times New Roman" w:eastAsia="Times New Roman" w:hAnsi="Times New Roman"/>
                <w:b/>
                <w:bCs/>
                <w:kern w:val="24"/>
                <w:sz w:val="16"/>
                <w:szCs w:val="16"/>
              </w:rPr>
              <w:t>L</w:t>
            </w:r>
            <w:r w:rsidRPr="006B2F1C">
              <w:rPr>
                <w:rFonts w:eastAsia="Times New Roman" w:cs="Arial"/>
                <w:b/>
                <w:bCs/>
                <w:kern w:val="24"/>
                <w:sz w:val="20"/>
                <w:szCs w:val="20"/>
              </w:rPr>
              <w:t>/</w:t>
            </w:r>
            <w:proofErr w:type="spellStart"/>
            <w:r w:rsidRPr="006B2F1C">
              <w:rPr>
                <w:rFonts w:ascii="Times New Roman" w:eastAsia="Times New Roman" w:hAnsi="Times New Roman"/>
                <w:b/>
                <w:bCs/>
                <w:kern w:val="24"/>
                <w:sz w:val="16"/>
                <w:szCs w:val="16"/>
              </w:rPr>
              <w:t>I</w:t>
            </w:r>
            <w:r w:rsidRPr="006B2F1C">
              <w:rPr>
                <w:rFonts w:ascii="Times New Roman" w:eastAsia="Times New Roman" w:hAnsi="Times New Roman"/>
                <w:b/>
                <w:bCs/>
                <w:kern w:val="24"/>
                <w:sz w:val="16"/>
                <w:szCs w:val="16"/>
                <w:vertAlign w:val="superscript"/>
              </w:rPr>
              <w:t>a</w:t>
            </w:r>
            <w:proofErr w:type="spellEnd"/>
          </w:p>
          <w:p w14:paraId="5E074F87" w14:textId="77777777" w:rsidR="00DA6D8C" w:rsidRPr="006B2F1C" w:rsidRDefault="00DA6D8C" w:rsidP="001F7C37">
            <w:pPr>
              <w:autoSpaceDE/>
              <w:autoSpaceDN/>
              <w:adjustRightInd/>
              <w:spacing w:after="0" w:line="240" w:lineRule="auto"/>
              <w:ind w:left="0"/>
              <w:jc w:val="center"/>
              <w:rPr>
                <w:rFonts w:ascii="Times New Roman" w:hAnsi="Times New Roman"/>
                <w:b/>
                <w:sz w:val="16"/>
              </w:rPr>
            </w:pPr>
            <w:r w:rsidRPr="006B2F1C">
              <w:rPr>
                <w:rFonts w:ascii="Times New Roman" w:eastAsia="Times New Roman" w:hAnsi="Times New Roman"/>
                <w:b/>
                <w:bCs/>
                <w:kern w:val="24"/>
                <w:sz w:val="16"/>
                <w:szCs w:val="16"/>
              </w:rPr>
              <w:t>(N</w:t>
            </w:r>
            <w:r w:rsidRPr="006B2F1C">
              <w:rPr>
                <w:rFonts w:ascii="Times New Roman" w:hAnsi="Times New Roman"/>
                <w:b/>
                <w:kern w:val="24"/>
                <w:sz w:val="16"/>
              </w:rPr>
              <w:t>=143)</w:t>
            </w:r>
          </w:p>
        </w:tc>
        <w:tc>
          <w:tcPr>
            <w:tcW w:w="2552" w:type="dxa"/>
            <w:hideMark/>
          </w:tcPr>
          <w:p w14:paraId="5982D8F7" w14:textId="77777777" w:rsidR="00DA6D8C" w:rsidRPr="006B2F1C" w:rsidRDefault="00DA6D8C" w:rsidP="001F7C37">
            <w:pPr>
              <w:autoSpaceDE/>
              <w:autoSpaceDN/>
              <w:adjustRightInd/>
              <w:spacing w:after="0" w:line="240" w:lineRule="auto"/>
              <w:ind w:left="0"/>
              <w:jc w:val="center"/>
              <w:rPr>
                <w:rFonts w:ascii="Times New Roman" w:hAnsi="Times New Roman"/>
                <w:b/>
                <w:sz w:val="16"/>
              </w:rPr>
            </w:pPr>
            <w:r w:rsidRPr="006B2F1C">
              <w:rPr>
                <w:rFonts w:ascii="Times New Roman" w:eastAsia="MS PGothic" w:hAnsi="Times New Roman"/>
                <w:b/>
                <w:bCs/>
                <w:sz w:val="16"/>
                <w:szCs w:val="16"/>
              </w:rPr>
              <w:t>P</w:t>
            </w:r>
            <w:r w:rsidRPr="006B2F1C">
              <w:rPr>
                <w:rFonts w:ascii="Wingdings" w:hAnsi="Wingdings"/>
                <w:sz w:val="16"/>
              </w:rPr>
              <w:t></w:t>
            </w:r>
            <w:r w:rsidRPr="006B2F1C">
              <w:rPr>
                <w:rFonts w:ascii="Times New Roman" w:hAnsi="Times New Roman"/>
                <w:b/>
                <w:sz w:val="16"/>
              </w:rPr>
              <w:t>L/</w:t>
            </w:r>
            <w:proofErr w:type="spellStart"/>
            <w:r w:rsidRPr="006B2F1C">
              <w:rPr>
                <w:rFonts w:ascii="Times New Roman" w:hAnsi="Times New Roman"/>
                <w:b/>
                <w:sz w:val="16"/>
              </w:rPr>
              <w:t>I</w:t>
            </w:r>
            <w:r w:rsidRPr="006B2F1C">
              <w:rPr>
                <w:rFonts w:ascii="Times New Roman" w:hAnsi="Times New Roman"/>
                <w:b/>
                <w:sz w:val="16"/>
                <w:vertAlign w:val="superscript"/>
              </w:rPr>
              <w:t>a</w:t>
            </w:r>
            <w:proofErr w:type="spellEnd"/>
            <w:r w:rsidRPr="006B2F1C">
              <w:rPr>
                <w:rFonts w:ascii="Times New Roman" w:hAnsi="Times New Roman"/>
                <w:b/>
                <w:sz w:val="16"/>
              </w:rPr>
              <w:t xml:space="preserve"> </w:t>
            </w:r>
          </w:p>
          <w:p w14:paraId="0BCA5D4A" w14:textId="77777777" w:rsidR="00DA6D8C" w:rsidRPr="006B2F1C" w:rsidRDefault="00DA6D8C" w:rsidP="001F7C37">
            <w:pPr>
              <w:autoSpaceDE/>
              <w:autoSpaceDN/>
              <w:adjustRightInd/>
              <w:spacing w:after="0" w:line="240" w:lineRule="auto"/>
              <w:ind w:left="0"/>
              <w:jc w:val="center"/>
              <w:rPr>
                <w:rFonts w:ascii="Times New Roman" w:hAnsi="Times New Roman"/>
                <w:sz w:val="16"/>
              </w:rPr>
            </w:pPr>
            <w:r w:rsidRPr="006B2F1C">
              <w:rPr>
                <w:rFonts w:ascii="Times New Roman" w:hAnsi="Times New Roman"/>
                <w:b/>
                <w:kern w:val="24"/>
                <w:sz w:val="16"/>
              </w:rPr>
              <w:t>(N=96)</w:t>
            </w:r>
          </w:p>
        </w:tc>
      </w:tr>
      <w:tr w:rsidR="00DA6D8C" w:rsidRPr="006B2F1C" w14:paraId="57053C56" w14:textId="77777777" w:rsidTr="001F7C37">
        <w:trPr>
          <w:trHeight w:val="56"/>
        </w:trPr>
        <w:tc>
          <w:tcPr>
            <w:tcW w:w="10038" w:type="dxa"/>
            <w:gridSpan w:val="3"/>
            <w:vAlign w:val="center"/>
          </w:tcPr>
          <w:p w14:paraId="09212140" w14:textId="568EDA03" w:rsidR="00DA6D8C" w:rsidRPr="006B2F1C" w:rsidRDefault="00DA6D8C" w:rsidP="001F7C37">
            <w:pPr>
              <w:autoSpaceDE/>
              <w:autoSpaceDN/>
              <w:adjustRightInd/>
              <w:spacing w:after="0" w:line="240" w:lineRule="auto"/>
              <w:ind w:left="0"/>
              <w:rPr>
                <w:rFonts w:ascii="Times New Roman" w:hAnsi="Times New Roman"/>
                <w:b/>
                <w:sz w:val="16"/>
              </w:rPr>
            </w:pPr>
            <w:r w:rsidRPr="006B2F1C">
              <w:rPr>
                <w:rFonts w:ascii="Times New Roman" w:hAnsi="Times New Roman"/>
                <w:b/>
                <w:kern w:val="24"/>
                <w:sz w:val="16"/>
              </w:rPr>
              <w:t xml:space="preserve">Absolute change from parent study BL at </w:t>
            </w:r>
            <w:r w:rsidRPr="006B2F1C">
              <w:rPr>
                <w:rFonts w:ascii="Times New Roman" w:eastAsiaTheme="minorEastAsia" w:hAnsi="Times New Roman"/>
                <w:b/>
                <w:bCs/>
                <w:kern w:val="24"/>
                <w:sz w:val="16"/>
                <w:szCs w:val="16"/>
              </w:rPr>
              <w:t>w</w:t>
            </w:r>
            <w:r w:rsidRPr="006B2F1C">
              <w:rPr>
                <w:rFonts w:ascii="Times New Roman" w:hAnsi="Times New Roman"/>
                <w:b/>
                <w:kern w:val="24"/>
                <w:sz w:val="16"/>
              </w:rPr>
              <w:t>eek 96 of the extension study, LS mean (95% CI</w:t>
            </w:r>
            <w:r w:rsidR="00307B5E">
              <w:rPr>
                <w:rFonts w:ascii="Times New Roman" w:hAnsi="Times New Roman"/>
                <w:b/>
                <w:kern w:val="24"/>
                <w:sz w:val="16"/>
              </w:rPr>
              <w:t>; SE</w:t>
            </w:r>
            <w:r w:rsidRPr="006B2F1C">
              <w:rPr>
                <w:rFonts w:ascii="Times New Roman" w:hAnsi="Times New Roman"/>
                <w:b/>
                <w:kern w:val="24"/>
                <w:sz w:val="16"/>
              </w:rPr>
              <w:t>)</w:t>
            </w:r>
          </w:p>
        </w:tc>
      </w:tr>
      <w:tr w:rsidR="00DA6D8C" w:rsidRPr="006B2F1C" w14:paraId="2042B356" w14:textId="77777777" w:rsidTr="001F7C37">
        <w:trPr>
          <w:trHeight w:val="56"/>
        </w:trPr>
        <w:tc>
          <w:tcPr>
            <w:tcW w:w="2965" w:type="dxa"/>
            <w:hideMark/>
          </w:tcPr>
          <w:p w14:paraId="7EE88FE5" w14:textId="77777777" w:rsidR="00DA6D8C" w:rsidRPr="006B2F1C" w:rsidRDefault="00DA6D8C" w:rsidP="001F7C37">
            <w:pPr>
              <w:autoSpaceDE/>
              <w:autoSpaceDN/>
              <w:adjustRightInd/>
              <w:spacing w:after="0" w:line="240" w:lineRule="auto"/>
              <w:ind w:left="0"/>
              <w:rPr>
                <w:rFonts w:ascii="Times New Roman" w:hAnsi="Times New Roman"/>
                <w:sz w:val="16"/>
              </w:rPr>
            </w:pPr>
            <w:r w:rsidRPr="006B2F1C">
              <w:rPr>
                <w:rFonts w:ascii="Times New Roman" w:hAnsi="Times New Roman"/>
                <w:kern w:val="24"/>
                <w:sz w:val="16"/>
              </w:rPr>
              <w:t>LCI</w:t>
            </w:r>
            <w:r w:rsidRPr="006B2F1C">
              <w:rPr>
                <w:rFonts w:ascii="Times New Roman" w:hAnsi="Times New Roman"/>
                <w:kern w:val="24"/>
                <w:sz w:val="16"/>
                <w:vertAlign w:val="subscript"/>
              </w:rPr>
              <w:t>5·0</w:t>
            </w:r>
          </w:p>
        </w:tc>
        <w:tc>
          <w:tcPr>
            <w:tcW w:w="4521" w:type="dxa"/>
          </w:tcPr>
          <w:p w14:paraId="3AE55088" w14:textId="6DB86D42" w:rsidR="00DA6D8C" w:rsidRPr="006B2F1C" w:rsidRDefault="00DA6D8C" w:rsidP="001F7C37">
            <w:pPr>
              <w:autoSpaceDE/>
              <w:autoSpaceDN/>
              <w:adjustRightInd/>
              <w:spacing w:after="0" w:line="240" w:lineRule="auto"/>
              <w:ind w:left="0"/>
              <w:jc w:val="center"/>
              <w:rPr>
                <w:rFonts w:ascii="Times New Roman" w:hAnsi="Times New Roman"/>
                <w:kern w:val="24"/>
                <w:sz w:val="16"/>
              </w:rPr>
            </w:pPr>
            <w:r w:rsidRPr="006B2F1C">
              <w:rPr>
                <w:rFonts w:ascii="Times New Roman" w:eastAsiaTheme="minorEastAsia" w:hAnsi="Times New Roman"/>
                <w:kern w:val="24"/>
                <w:sz w:val="16"/>
                <w:szCs w:val="16"/>
              </w:rPr>
              <w:t>−</w:t>
            </w:r>
            <w:r w:rsidRPr="006B2F1C">
              <w:rPr>
                <w:rFonts w:ascii="Times New Roman" w:hAnsi="Times New Roman"/>
                <w:kern w:val="24"/>
                <w:sz w:val="16"/>
              </w:rPr>
              <w:t xml:space="preserve">0·21 </w:t>
            </w:r>
            <w:r w:rsidRPr="006B2F1C">
              <w:rPr>
                <w:rFonts w:ascii="Times New Roman" w:eastAsiaTheme="minorEastAsia" w:hAnsi="Times New Roman"/>
                <w:kern w:val="24"/>
                <w:sz w:val="16"/>
                <w:szCs w:val="16"/>
              </w:rPr>
              <w:t>(−</w:t>
            </w:r>
            <w:r w:rsidRPr="006B2F1C">
              <w:rPr>
                <w:rFonts w:ascii="Times New Roman" w:hAnsi="Times New Roman"/>
                <w:kern w:val="24"/>
                <w:sz w:val="16"/>
              </w:rPr>
              <w:t xml:space="preserve">0·36 to </w:t>
            </w:r>
            <w:r w:rsidRPr="006B2F1C">
              <w:rPr>
                <w:rFonts w:ascii="Times New Roman" w:eastAsiaTheme="minorEastAsia" w:hAnsi="Times New Roman"/>
                <w:kern w:val="24"/>
                <w:sz w:val="16"/>
                <w:szCs w:val="16"/>
              </w:rPr>
              <w:t>−</w:t>
            </w:r>
            <w:r w:rsidRPr="006B2F1C">
              <w:rPr>
                <w:rFonts w:ascii="Times New Roman" w:hAnsi="Times New Roman"/>
                <w:kern w:val="24"/>
                <w:sz w:val="16"/>
              </w:rPr>
              <w:t>0·06</w:t>
            </w:r>
            <w:r w:rsidR="00307B5E">
              <w:rPr>
                <w:rFonts w:ascii="Times New Roman" w:hAnsi="Times New Roman"/>
                <w:kern w:val="24"/>
                <w:sz w:val="16"/>
              </w:rPr>
              <w:t>; 0</w:t>
            </w:r>
            <w:r w:rsidR="00307B5E" w:rsidRPr="006B2F1C">
              <w:rPr>
                <w:rFonts w:ascii="Times New Roman" w:hAnsi="Times New Roman"/>
                <w:kern w:val="24"/>
                <w:sz w:val="16"/>
              </w:rPr>
              <w:t>·</w:t>
            </w:r>
            <w:proofErr w:type="gramStart"/>
            <w:r w:rsidR="00307B5E">
              <w:rPr>
                <w:rFonts w:ascii="Times New Roman" w:hAnsi="Times New Roman"/>
                <w:kern w:val="24"/>
                <w:sz w:val="16"/>
              </w:rPr>
              <w:t>08</w:t>
            </w:r>
            <w:r w:rsidRPr="006B2F1C">
              <w:rPr>
                <w:rFonts w:ascii="Times New Roman" w:hAnsi="Times New Roman"/>
                <w:kern w:val="24"/>
                <w:sz w:val="16"/>
              </w:rPr>
              <w:t>)</w:t>
            </w:r>
            <w:r w:rsidRPr="006B2F1C">
              <w:rPr>
                <w:rFonts w:ascii="Times New Roman" w:hAnsi="Times New Roman"/>
                <w:kern w:val="24"/>
                <w:sz w:val="16"/>
                <w:vertAlign w:val="superscript"/>
              </w:rPr>
              <w:t>b</w:t>
            </w:r>
            <w:proofErr w:type="gramEnd"/>
            <w:r w:rsidRPr="006B2F1C">
              <w:rPr>
                <w:rFonts w:ascii="Times New Roman" w:hAnsi="Times New Roman"/>
                <w:kern w:val="24"/>
                <w:sz w:val="16"/>
              </w:rPr>
              <w:t xml:space="preserve"> </w:t>
            </w:r>
            <w:r w:rsidRPr="006B2F1C">
              <w:rPr>
                <w:rFonts w:ascii="Times New Roman" w:eastAsiaTheme="minorEastAsia" w:hAnsi="Times New Roman"/>
                <w:kern w:val="24"/>
                <w:sz w:val="16"/>
                <w:szCs w:val="16"/>
              </w:rPr>
              <w:t>[</w:t>
            </w:r>
            <w:r w:rsidRPr="006B2F1C">
              <w:rPr>
                <w:rFonts w:ascii="Times New Roman" w:hAnsi="Times New Roman"/>
                <w:kern w:val="24"/>
                <w:sz w:val="16"/>
              </w:rPr>
              <w:t>N=117</w:t>
            </w:r>
            <w:r w:rsidRPr="006B2F1C">
              <w:rPr>
                <w:rFonts w:ascii="Times New Roman" w:eastAsiaTheme="minorEastAsia" w:hAnsi="Times New Roman"/>
                <w:kern w:val="24"/>
                <w:sz w:val="16"/>
                <w:szCs w:val="16"/>
              </w:rPr>
              <w:t>]</w:t>
            </w:r>
          </w:p>
        </w:tc>
        <w:tc>
          <w:tcPr>
            <w:tcW w:w="2552" w:type="dxa"/>
            <w:hideMark/>
          </w:tcPr>
          <w:p w14:paraId="0A4F537E" w14:textId="67737DFB" w:rsidR="00DA6D8C" w:rsidRPr="006B2F1C" w:rsidRDefault="00DA6D8C" w:rsidP="001F7C37">
            <w:pPr>
              <w:autoSpaceDE/>
              <w:autoSpaceDN/>
              <w:adjustRightInd/>
              <w:spacing w:after="0" w:line="240" w:lineRule="auto"/>
              <w:ind w:left="0"/>
              <w:jc w:val="center"/>
              <w:rPr>
                <w:rFonts w:ascii="Times New Roman" w:hAnsi="Times New Roman"/>
                <w:sz w:val="16"/>
              </w:rPr>
            </w:pPr>
            <w:r w:rsidRPr="006B2F1C">
              <w:rPr>
                <w:rFonts w:ascii="Times New Roman" w:eastAsiaTheme="minorEastAsia" w:hAnsi="Times New Roman"/>
                <w:kern w:val="24"/>
                <w:sz w:val="16"/>
                <w:szCs w:val="16"/>
              </w:rPr>
              <w:t>−</w:t>
            </w:r>
            <w:r w:rsidRPr="006B2F1C">
              <w:rPr>
                <w:rFonts w:ascii="Times New Roman" w:hAnsi="Times New Roman"/>
                <w:kern w:val="24"/>
                <w:sz w:val="16"/>
              </w:rPr>
              <w:t xml:space="preserve">0·31 </w:t>
            </w:r>
            <w:r w:rsidRPr="006B2F1C">
              <w:rPr>
                <w:rFonts w:ascii="Times New Roman" w:eastAsiaTheme="minorEastAsia" w:hAnsi="Times New Roman"/>
                <w:kern w:val="24"/>
                <w:sz w:val="16"/>
                <w:szCs w:val="16"/>
              </w:rPr>
              <w:t>(−</w:t>
            </w:r>
            <w:r w:rsidRPr="006B2F1C">
              <w:rPr>
                <w:rFonts w:ascii="Times New Roman" w:hAnsi="Times New Roman"/>
                <w:kern w:val="24"/>
                <w:sz w:val="16"/>
              </w:rPr>
              <w:t xml:space="preserve">0·49 to </w:t>
            </w:r>
            <w:r w:rsidRPr="006B2F1C">
              <w:rPr>
                <w:rFonts w:ascii="Times New Roman" w:eastAsiaTheme="minorEastAsia" w:hAnsi="Times New Roman"/>
                <w:kern w:val="24"/>
                <w:sz w:val="16"/>
                <w:szCs w:val="16"/>
              </w:rPr>
              <w:t>−</w:t>
            </w:r>
            <w:r w:rsidRPr="006B2F1C">
              <w:rPr>
                <w:rFonts w:ascii="Times New Roman" w:hAnsi="Times New Roman"/>
                <w:kern w:val="24"/>
                <w:sz w:val="16"/>
              </w:rPr>
              <w:t>0·13</w:t>
            </w:r>
            <w:r w:rsidR="00307B5E">
              <w:rPr>
                <w:rFonts w:ascii="Times New Roman" w:hAnsi="Times New Roman"/>
                <w:kern w:val="24"/>
                <w:sz w:val="16"/>
              </w:rPr>
              <w:t>; 0</w:t>
            </w:r>
            <w:r w:rsidR="00307B5E" w:rsidRPr="006B2F1C">
              <w:rPr>
                <w:rFonts w:ascii="Times New Roman" w:hAnsi="Times New Roman"/>
                <w:kern w:val="24"/>
                <w:sz w:val="16"/>
              </w:rPr>
              <w:t>·</w:t>
            </w:r>
            <w:proofErr w:type="gramStart"/>
            <w:r w:rsidR="00307B5E">
              <w:rPr>
                <w:rFonts w:ascii="Times New Roman" w:hAnsi="Times New Roman"/>
                <w:kern w:val="24"/>
                <w:sz w:val="16"/>
              </w:rPr>
              <w:t>09</w:t>
            </w:r>
            <w:r w:rsidRPr="006B2F1C">
              <w:rPr>
                <w:rFonts w:ascii="Times New Roman" w:hAnsi="Times New Roman"/>
                <w:kern w:val="24"/>
                <w:sz w:val="16"/>
              </w:rPr>
              <w:t>)</w:t>
            </w:r>
            <w:r w:rsidRPr="006B2F1C">
              <w:rPr>
                <w:rFonts w:ascii="Times New Roman" w:hAnsi="Times New Roman"/>
                <w:kern w:val="24"/>
                <w:sz w:val="16"/>
                <w:vertAlign w:val="superscript"/>
              </w:rPr>
              <w:t>b</w:t>
            </w:r>
            <w:proofErr w:type="gramEnd"/>
            <w:r w:rsidRPr="006B2F1C">
              <w:rPr>
                <w:rFonts w:ascii="Times New Roman" w:hAnsi="Times New Roman"/>
                <w:kern w:val="24"/>
                <w:sz w:val="16"/>
              </w:rPr>
              <w:t xml:space="preserve"> </w:t>
            </w:r>
            <w:r w:rsidRPr="006B2F1C">
              <w:rPr>
                <w:rFonts w:ascii="Times New Roman" w:hAnsi="Times New Roman"/>
                <w:sz w:val="16"/>
              </w:rPr>
              <w:t>[N=96</w:t>
            </w:r>
            <w:r w:rsidRPr="006B2F1C">
              <w:rPr>
                <w:rFonts w:ascii="Times New Roman" w:eastAsia="Times New Roman" w:hAnsi="Times New Roman"/>
                <w:sz w:val="16"/>
                <w:szCs w:val="16"/>
              </w:rPr>
              <w:t>]</w:t>
            </w:r>
          </w:p>
        </w:tc>
      </w:tr>
      <w:tr w:rsidR="00DA6D8C" w:rsidRPr="006B2F1C" w14:paraId="63C9A209" w14:textId="77777777" w:rsidTr="001F7C37">
        <w:trPr>
          <w:trHeight w:val="56"/>
        </w:trPr>
        <w:tc>
          <w:tcPr>
            <w:tcW w:w="2965" w:type="dxa"/>
            <w:hideMark/>
          </w:tcPr>
          <w:p w14:paraId="39E6A450" w14:textId="77777777" w:rsidR="00DA6D8C" w:rsidRPr="006B2F1C" w:rsidRDefault="00DA6D8C" w:rsidP="001F7C37">
            <w:pPr>
              <w:autoSpaceDE/>
              <w:autoSpaceDN/>
              <w:adjustRightInd/>
              <w:spacing w:after="0" w:line="240" w:lineRule="auto"/>
              <w:ind w:left="0"/>
              <w:rPr>
                <w:rFonts w:ascii="Times New Roman" w:hAnsi="Times New Roman"/>
                <w:sz w:val="16"/>
              </w:rPr>
            </w:pPr>
            <w:r w:rsidRPr="006B2F1C">
              <w:rPr>
                <w:rFonts w:ascii="Times New Roman" w:hAnsi="Times New Roman"/>
                <w:kern w:val="24"/>
                <w:sz w:val="16"/>
              </w:rPr>
              <w:t>Relative change in ppFEV</w:t>
            </w:r>
            <w:r w:rsidRPr="006B2F1C">
              <w:rPr>
                <w:rFonts w:ascii="Times New Roman" w:hAnsi="Times New Roman"/>
                <w:kern w:val="24"/>
                <w:sz w:val="16"/>
                <w:vertAlign w:val="subscript"/>
              </w:rPr>
              <w:t>1</w:t>
            </w:r>
            <w:r w:rsidRPr="006B2F1C">
              <w:rPr>
                <w:rFonts w:ascii="Times New Roman" w:hAnsi="Times New Roman"/>
                <w:kern w:val="24"/>
                <w:sz w:val="16"/>
              </w:rPr>
              <w:t>,</w:t>
            </w:r>
            <w:r w:rsidRPr="006B2F1C">
              <w:rPr>
                <w:rFonts w:ascii="Times New Roman" w:hAnsi="Times New Roman"/>
                <w:kern w:val="24"/>
                <w:position w:val="-8"/>
                <w:sz w:val="16"/>
                <w:vertAlign w:val="subscript"/>
              </w:rPr>
              <w:t xml:space="preserve"> </w:t>
            </w:r>
            <w:r w:rsidRPr="006B2F1C">
              <w:rPr>
                <w:rFonts w:ascii="Times New Roman" w:hAnsi="Times New Roman"/>
                <w:kern w:val="24"/>
                <w:sz w:val="16"/>
              </w:rPr>
              <w:t>%</w:t>
            </w:r>
          </w:p>
        </w:tc>
        <w:tc>
          <w:tcPr>
            <w:tcW w:w="4521" w:type="dxa"/>
          </w:tcPr>
          <w:p w14:paraId="603A6222" w14:textId="7DD0C387" w:rsidR="00DA6D8C" w:rsidRPr="006B2F1C" w:rsidRDefault="00DA6D8C" w:rsidP="001F7C37">
            <w:pPr>
              <w:autoSpaceDE/>
              <w:autoSpaceDN/>
              <w:adjustRightInd/>
              <w:spacing w:after="0" w:line="240" w:lineRule="auto"/>
              <w:ind w:left="0"/>
              <w:jc w:val="center"/>
              <w:rPr>
                <w:rFonts w:ascii="Times New Roman" w:hAnsi="Times New Roman"/>
                <w:kern w:val="24"/>
                <w:sz w:val="16"/>
              </w:rPr>
            </w:pPr>
            <w:r w:rsidRPr="006B2F1C">
              <w:rPr>
                <w:rFonts w:ascii="Times New Roman" w:hAnsi="Times New Roman"/>
                <w:kern w:val="24"/>
                <w:sz w:val="16"/>
              </w:rPr>
              <w:t>4·9 (2·2</w:t>
            </w:r>
            <w:r w:rsidRPr="006B2F1C">
              <w:rPr>
                <w:rFonts w:ascii="Times New Roman" w:eastAsiaTheme="minorEastAsia" w:hAnsi="Times New Roman"/>
                <w:kern w:val="24"/>
                <w:sz w:val="16"/>
                <w:szCs w:val="16"/>
              </w:rPr>
              <w:t xml:space="preserve"> to </w:t>
            </w:r>
            <w:r w:rsidRPr="006B2F1C">
              <w:rPr>
                <w:rFonts w:ascii="Times New Roman" w:hAnsi="Times New Roman"/>
                <w:kern w:val="24"/>
                <w:sz w:val="16"/>
              </w:rPr>
              <w:t>7·5</w:t>
            </w:r>
            <w:r w:rsidR="00307B5E">
              <w:rPr>
                <w:rFonts w:ascii="Times New Roman" w:hAnsi="Times New Roman"/>
                <w:kern w:val="24"/>
                <w:sz w:val="16"/>
              </w:rPr>
              <w:t>; 1</w:t>
            </w:r>
            <w:r w:rsidR="00307B5E" w:rsidRPr="006B2F1C">
              <w:rPr>
                <w:rFonts w:ascii="Times New Roman" w:hAnsi="Times New Roman"/>
                <w:kern w:val="24"/>
                <w:sz w:val="16"/>
              </w:rPr>
              <w:t>·</w:t>
            </w:r>
            <w:r w:rsidR="00307B5E">
              <w:rPr>
                <w:rFonts w:ascii="Times New Roman" w:hAnsi="Times New Roman"/>
                <w:kern w:val="24"/>
                <w:sz w:val="16"/>
              </w:rPr>
              <w:t>3</w:t>
            </w:r>
            <w:r w:rsidRPr="006B2F1C">
              <w:rPr>
                <w:rFonts w:ascii="Times New Roman" w:hAnsi="Times New Roman"/>
                <w:kern w:val="24"/>
                <w:sz w:val="16"/>
              </w:rPr>
              <w:t>)</w:t>
            </w:r>
          </w:p>
        </w:tc>
        <w:tc>
          <w:tcPr>
            <w:tcW w:w="2552" w:type="dxa"/>
            <w:hideMark/>
          </w:tcPr>
          <w:p w14:paraId="3AD3A0B9" w14:textId="14E3012B" w:rsidR="00DA6D8C" w:rsidRPr="006B2F1C" w:rsidRDefault="00DA6D8C" w:rsidP="001F7C37">
            <w:pPr>
              <w:autoSpaceDE/>
              <w:autoSpaceDN/>
              <w:adjustRightInd/>
              <w:spacing w:after="0" w:line="240" w:lineRule="auto"/>
              <w:ind w:left="0"/>
              <w:jc w:val="center"/>
              <w:rPr>
                <w:rFonts w:ascii="Times New Roman" w:hAnsi="Times New Roman"/>
                <w:sz w:val="16"/>
              </w:rPr>
            </w:pPr>
            <w:r w:rsidRPr="006B2F1C">
              <w:rPr>
                <w:rFonts w:ascii="Times New Roman" w:hAnsi="Times New Roman"/>
                <w:kern w:val="24"/>
                <w:sz w:val="16"/>
              </w:rPr>
              <w:t xml:space="preserve">0·5 </w:t>
            </w:r>
            <w:r w:rsidRPr="006B2F1C">
              <w:rPr>
                <w:rFonts w:ascii="Times New Roman" w:eastAsiaTheme="minorEastAsia" w:hAnsi="Times New Roman"/>
                <w:kern w:val="24"/>
                <w:sz w:val="16"/>
                <w:szCs w:val="16"/>
              </w:rPr>
              <w:t>(−</w:t>
            </w:r>
            <w:r w:rsidRPr="006B2F1C">
              <w:rPr>
                <w:rFonts w:ascii="Times New Roman" w:hAnsi="Times New Roman"/>
                <w:kern w:val="24"/>
                <w:sz w:val="16"/>
              </w:rPr>
              <w:t>2·9 to 4·0</w:t>
            </w:r>
            <w:r w:rsidR="00307B5E">
              <w:rPr>
                <w:rFonts w:ascii="Times New Roman" w:hAnsi="Times New Roman"/>
                <w:kern w:val="24"/>
                <w:sz w:val="16"/>
              </w:rPr>
              <w:t>; 1</w:t>
            </w:r>
            <w:r w:rsidR="00307B5E" w:rsidRPr="006B2F1C">
              <w:rPr>
                <w:rFonts w:ascii="Times New Roman" w:hAnsi="Times New Roman"/>
                <w:kern w:val="24"/>
                <w:sz w:val="16"/>
              </w:rPr>
              <w:t>·</w:t>
            </w:r>
            <w:r w:rsidR="00307B5E">
              <w:rPr>
                <w:rFonts w:ascii="Times New Roman" w:hAnsi="Times New Roman"/>
                <w:kern w:val="24"/>
                <w:sz w:val="16"/>
              </w:rPr>
              <w:t>8</w:t>
            </w:r>
            <w:r w:rsidRPr="006B2F1C">
              <w:rPr>
                <w:rFonts w:ascii="Times New Roman" w:hAnsi="Times New Roman"/>
                <w:kern w:val="24"/>
                <w:sz w:val="16"/>
              </w:rPr>
              <w:t>)</w:t>
            </w:r>
          </w:p>
        </w:tc>
      </w:tr>
      <w:tr w:rsidR="00DA6D8C" w:rsidRPr="006B2F1C" w14:paraId="65EA56BB" w14:textId="77777777" w:rsidTr="001F7C37">
        <w:trPr>
          <w:trHeight w:val="56"/>
        </w:trPr>
        <w:tc>
          <w:tcPr>
            <w:tcW w:w="2965" w:type="dxa"/>
            <w:hideMark/>
          </w:tcPr>
          <w:p w14:paraId="495A2263" w14:textId="77777777" w:rsidR="00DA6D8C" w:rsidRPr="006B2F1C" w:rsidRDefault="00DA6D8C" w:rsidP="001F7C37">
            <w:pPr>
              <w:autoSpaceDE/>
              <w:autoSpaceDN/>
              <w:adjustRightInd/>
              <w:spacing w:after="0" w:line="240" w:lineRule="auto"/>
              <w:ind w:left="0"/>
              <w:rPr>
                <w:rFonts w:ascii="Times New Roman" w:hAnsi="Times New Roman"/>
                <w:sz w:val="16"/>
              </w:rPr>
            </w:pPr>
            <w:r w:rsidRPr="006B2F1C">
              <w:rPr>
                <w:rFonts w:ascii="Times New Roman" w:hAnsi="Times New Roman"/>
                <w:kern w:val="24"/>
                <w:sz w:val="16"/>
              </w:rPr>
              <w:t>TSQM global satisfaction domain, points</w:t>
            </w:r>
          </w:p>
        </w:tc>
        <w:tc>
          <w:tcPr>
            <w:tcW w:w="4521" w:type="dxa"/>
          </w:tcPr>
          <w:p w14:paraId="21E6181E" w14:textId="2229A039" w:rsidR="00DA6D8C" w:rsidRPr="006B2F1C" w:rsidRDefault="00DA6D8C" w:rsidP="001F7C37">
            <w:pPr>
              <w:autoSpaceDE/>
              <w:autoSpaceDN/>
              <w:adjustRightInd/>
              <w:spacing w:after="0" w:line="240" w:lineRule="auto"/>
              <w:ind w:left="0"/>
              <w:jc w:val="center"/>
              <w:rPr>
                <w:rFonts w:ascii="Times New Roman" w:hAnsi="Times New Roman"/>
                <w:kern w:val="24"/>
                <w:sz w:val="16"/>
              </w:rPr>
            </w:pPr>
            <w:r w:rsidRPr="006B2F1C">
              <w:rPr>
                <w:rFonts w:ascii="Times New Roman" w:hAnsi="Times New Roman"/>
                <w:kern w:val="24"/>
                <w:sz w:val="16"/>
              </w:rPr>
              <w:t>5·1 (1·7</w:t>
            </w:r>
            <w:r w:rsidRPr="006B2F1C">
              <w:rPr>
                <w:rFonts w:ascii="Times New Roman" w:eastAsiaTheme="minorEastAsia" w:hAnsi="Times New Roman"/>
                <w:kern w:val="24"/>
                <w:sz w:val="16"/>
                <w:szCs w:val="16"/>
              </w:rPr>
              <w:t xml:space="preserve"> to </w:t>
            </w:r>
            <w:r w:rsidRPr="006B2F1C">
              <w:rPr>
                <w:rFonts w:ascii="Times New Roman" w:hAnsi="Times New Roman"/>
                <w:kern w:val="24"/>
                <w:sz w:val="16"/>
              </w:rPr>
              <w:t>8·4</w:t>
            </w:r>
            <w:r w:rsidR="00307B5E">
              <w:rPr>
                <w:rFonts w:ascii="Times New Roman" w:hAnsi="Times New Roman"/>
                <w:kern w:val="24"/>
                <w:sz w:val="16"/>
              </w:rPr>
              <w:t>; 1</w:t>
            </w:r>
            <w:r w:rsidR="00307B5E" w:rsidRPr="006B2F1C">
              <w:rPr>
                <w:rFonts w:ascii="Times New Roman" w:hAnsi="Times New Roman"/>
                <w:kern w:val="24"/>
                <w:sz w:val="16"/>
              </w:rPr>
              <w:t>·</w:t>
            </w:r>
            <w:r w:rsidR="00307B5E">
              <w:rPr>
                <w:rFonts w:ascii="Times New Roman" w:hAnsi="Times New Roman"/>
                <w:kern w:val="24"/>
                <w:sz w:val="16"/>
              </w:rPr>
              <w:t>7</w:t>
            </w:r>
            <w:r w:rsidRPr="006B2F1C">
              <w:rPr>
                <w:rFonts w:ascii="Times New Roman" w:hAnsi="Times New Roman"/>
                <w:kern w:val="24"/>
                <w:sz w:val="16"/>
              </w:rPr>
              <w:t>)</w:t>
            </w:r>
          </w:p>
        </w:tc>
        <w:tc>
          <w:tcPr>
            <w:tcW w:w="2552" w:type="dxa"/>
            <w:hideMark/>
          </w:tcPr>
          <w:p w14:paraId="1337FCCF" w14:textId="60484981" w:rsidR="00DA6D8C" w:rsidRPr="006B2F1C" w:rsidRDefault="00DA6D8C" w:rsidP="001F7C37">
            <w:pPr>
              <w:autoSpaceDE/>
              <w:autoSpaceDN/>
              <w:adjustRightInd/>
              <w:spacing w:after="0" w:line="240" w:lineRule="auto"/>
              <w:ind w:left="0"/>
              <w:jc w:val="center"/>
              <w:rPr>
                <w:rFonts w:ascii="Times New Roman" w:hAnsi="Times New Roman"/>
                <w:sz w:val="16"/>
              </w:rPr>
            </w:pPr>
            <w:r w:rsidRPr="006B2F1C">
              <w:rPr>
                <w:rFonts w:ascii="Times New Roman" w:hAnsi="Times New Roman"/>
                <w:kern w:val="24"/>
                <w:sz w:val="16"/>
              </w:rPr>
              <w:t xml:space="preserve">3·9 </w:t>
            </w:r>
            <w:r w:rsidRPr="006B2F1C">
              <w:rPr>
                <w:rFonts w:ascii="Times New Roman" w:eastAsiaTheme="minorEastAsia" w:hAnsi="Times New Roman"/>
                <w:kern w:val="24"/>
                <w:sz w:val="16"/>
                <w:szCs w:val="16"/>
              </w:rPr>
              <w:t>(−</w:t>
            </w:r>
            <w:r w:rsidRPr="006B2F1C">
              <w:rPr>
                <w:rFonts w:ascii="Times New Roman" w:hAnsi="Times New Roman"/>
                <w:kern w:val="24"/>
                <w:sz w:val="16"/>
              </w:rPr>
              <w:t>0·6 to 8·5</w:t>
            </w:r>
            <w:r w:rsidR="00307B5E">
              <w:rPr>
                <w:rFonts w:ascii="Times New Roman" w:hAnsi="Times New Roman"/>
                <w:kern w:val="24"/>
                <w:sz w:val="16"/>
              </w:rPr>
              <w:t>; 2</w:t>
            </w:r>
            <w:r w:rsidR="00307B5E" w:rsidRPr="006B2F1C">
              <w:rPr>
                <w:rFonts w:ascii="Times New Roman" w:hAnsi="Times New Roman"/>
                <w:kern w:val="24"/>
                <w:sz w:val="16"/>
              </w:rPr>
              <w:t>·</w:t>
            </w:r>
            <w:r w:rsidR="00307B5E">
              <w:rPr>
                <w:rFonts w:ascii="Times New Roman" w:hAnsi="Times New Roman"/>
                <w:kern w:val="24"/>
                <w:sz w:val="16"/>
              </w:rPr>
              <w:t>3</w:t>
            </w:r>
            <w:r w:rsidRPr="006B2F1C">
              <w:rPr>
                <w:rFonts w:ascii="Times New Roman" w:hAnsi="Times New Roman"/>
                <w:kern w:val="24"/>
                <w:sz w:val="16"/>
              </w:rPr>
              <w:t>)</w:t>
            </w:r>
          </w:p>
        </w:tc>
      </w:tr>
    </w:tbl>
    <w:p w14:paraId="6A0E335A" w14:textId="77777777" w:rsidR="00DA6D8C" w:rsidRPr="006B2F1C" w:rsidRDefault="00DA6D8C" w:rsidP="00DA6D8C">
      <w:pPr>
        <w:pStyle w:val="NoSpacing"/>
        <w:ind w:left="0"/>
        <w:rPr>
          <w:sz w:val="20"/>
        </w:rPr>
      </w:pPr>
      <w:r w:rsidRPr="006B2F1C">
        <w:rPr>
          <w:sz w:val="20"/>
        </w:rPr>
        <w:t>BL, baseline; LCI</w:t>
      </w:r>
      <w:r w:rsidRPr="006B2F1C">
        <w:rPr>
          <w:sz w:val="20"/>
          <w:vertAlign w:val="subscript"/>
        </w:rPr>
        <w:t>5</w:t>
      </w:r>
      <w:r w:rsidRPr="006B2F1C">
        <w:rPr>
          <w:color w:val="3D3D3D"/>
          <w:kern w:val="24"/>
          <w:sz w:val="20"/>
          <w:vertAlign w:val="subscript"/>
        </w:rPr>
        <w:t>·</w:t>
      </w:r>
      <w:r w:rsidRPr="006B2F1C">
        <w:rPr>
          <w:sz w:val="20"/>
          <w:vertAlign w:val="subscript"/>
        </w:rPr>
        <w:t>0</w:t>
      </w:r>
      <w:r w:rsidRPr="006B2F1C">
        <w:rPr>
          <w:sz w:val="20"/>
        </w:rPr>
        <w:t>, lung clearance index (turnovers required to reduce the concentration of tracer gas to 5·0% of its starting concentration); L/I</w:t>
      </w:r>
      <w:r w:rsidRPr="006B2F1C">
        <w:rPr>
          <w:rFonts w:ascii="Wingdings" w:hAnsi="Wingdings"/>
          <w:sz w:val="20"/>
        </w:rPr>
        <w:t></w:t>
      </w:r>
      <w:r w:rsidRPr="006B2F1C">
        <w:rPr>
          <w:sz w:val="20"/>
          <w:szCs w:val="20"/>
        </w:rPr>
        <w:t>L</w:t>
      </w:r>
      <w:r w:rsidRPr="006B2F1C">
        <w:rPr>
          <w:sz w:val="20"/>
        </w:rPr>
        <w:t>/I, lumacaftor/ivacaftor to lumacaftor/ivacaftor group; LS, least squares; P</w:t>
      </w:r>
      <w:r w:rsidRPr="006B2F1C">
        <w:rPr>
          <w:rFonts w:ascii="Wingdings" w:hAnsi="Wingdings"/>
          <w:sz w:val="20"/>
        </w:rPr>
        <w:t></w:t>
      </w:r>
      <w:r w:rsidRPr="006B2F1C">
        <w:rPr>
          <w:sz w:val="20"/>
          <w:szCs w:val="20"/>
        </w:rPr>
        <w:t>L</w:t>
      </w:r>
      <w:r w:rsidRPr="006B2F1C">
        <w:rPr>
          <w:sz w:val="20"/>
        </w:rPr>
        <w:t>/I, placebo to lumacaftor/ivacaftor group; ppFEV</w:t>
      </w:r>
      <w:r w:rsidRPr="006B2F1C">
        <w:rPr>
          <w:sz w:val="20"/>
          <w:vertAlign w:val="subscript"/>
        </w:rPr>
        <w:t>1</w:t>
      </w:r>
      <w:r w:rsidRPr="006B2F1C">
        <w:rPr>
          <w:sz w:val="20"/>
        </w:rPr>
        <w:t>, percent predicted forced expiratory volume in 1 second; TSQM, Treatment Satisfaction Questionnaire for Medication.</w:t>
      </w:r>
    </w:p>
    <w:p w14:paraId="3DD4E15B" w14:textId="77777777" w:rsidR="00DA6D8C" w:rsidRPr="006B2F1C" w:rsidRDefault="00DA6D8C" w:rsidP="00DA6D8C">
      <w:pPr>
        <w:pStyle w:val="NoSpacing"/>
        <w:ind w:left="0"/>
        <w:rPr>
          <w:sz w:val="20"/>
        </w:rPr>
      </w:pPr>
      <w:r w:rsidRPr="006B2F1C">
        <w:rPr>
          <w:sz w:val="20"/>
          <w:vertAlign w:val="superscript"/>
        </w:rPr>
        <w:t xml:space="preserve">a </w:t>
      </w:r>
      <w:r w:rsidRPr="006B2F1C">
        <w:rPr>
          <w:sz w:val="20"/>
        </w:rPr>
        <w:t>Calculated from the children with data available at both time points.</w:t>
      </w:r>
    </w:p>
    <w:p w14:paraId="77C2BADC" w14:textId="023595C3" w:rsidR="00DA6D8C" w:rsidRPr="006B2F1C" w:rsidRDefault="00DA6D8C" w:rsidP="00FD7A92">
      <w:pPr>
        <w:spacing w:after="0" w:line="240" w:lineRule="auto"/>
        <w:ind w:left="0"/>
        <w:rPr>
          <w:rFonts w:ascii="Times New Roman" w:hAnsi="Times New Roman"/>
        </w:rPr>
      </w:pPr>
      <w:r w:rsidRPr="006B2F1C">
        <w:rPr>
          <w:rFonts w:ascii="Times New Roman" w:hAnsi="Times New Roman"/>
          <w:sz w:val="20"/>
          <w:vertAlign w:val="superscript"/>
        </w:rPr>
        <w:t xml:space="preserve">b </w:t>
      </w:r>
      <w:r w:rsidRPr="006B2F1C">
        <w:rPr>
          <w:rFonts w:ascii="Times New Roman" w:hAnsi="Times New Roman"/>
          <w:sz w:val="20"/>
        </w:rPr>
        <w:t>Children evaluable for LCI (</w:t>
      </w:r>
      <w:proofErr w:type="spellStart"/>
      <w:r w:rsidRPr="006B2F1C">
        <w:rPr>
          <w:rFonts w:ascii="Times New Roman" w:hAnsi="Times New Roman"/>
          <w:sz w:val="20"/>
        </w:rPr>
        <w:t>ie</w:t>
      </w:r>
      <w:proofErr w:type="spellEnd"/>
      <w:r w:rsidRPr="006B2F1C">
        <w:rPr>
          <w:rFonts w:ascii="Times New Roman" w:hAnsi="Times New Roman"/>
          <w:sz w:val="20"/>
        </w:rPr>
        <w:t>, LCI set) included 96 children in the P</w:t>
      </w:r>
      <w:r w:rsidRPr="006B2F1C">
        <w:rPr>
          <w:rFonts w:ascii="Wingdings" w:hAnsi="Wingdings"/>
          <w:sz w:val="20"/>
        </w:rPr>
        <w:t></w:t>
      </w:r>
      <w:r w:rsidRPr="006B2F1C">
        <w:rPr>
          <w:rFonts w:ascii="Times New Roman" w:hAnsi="Times New Roman"/>
          <w:sz w:val="20"/>
          <w:szCs w:val="20"/>
        </w:rPr>
        <w:t>L</w:t>
      </w:r>
      <w:r w:rsidRPr="006B2F1C">
        <w:rPr>
          <w:rFonts w:ascii="Times New Roman" w:hAnsi="Times New Roman"/>
          <w:sz w:val="20"/>
        </w:rPr>
        <w:t>/I group and 117 children in the L/I</w:t>
      </w:r>
      <w:r w:rsidRPr="006B2F1C">
        <w:rPr>
          <w:rFonts w:ascii="Wingdings" w:hAnsi="Wingdings"/>
          <w:sz w:val="20"/>
        </w:rPr>
        <w:t></w:t>
      </w:r>
      <w:r w:rsidRPr="006B2F1C">
        <w:rPr>
          <w:rFonts w:ascii="Times New Roman" w:hAnsi="Times New Roman"/>
          <w:sz w:val="20"/>
          <w:szCs w:val="20"/>
        </w:rPr>
        <w:t>L</w:t>
      </w:r>
      <w:r w:rsidRPr="006B2F1C">
        <w:rPr>
          <w:rFonts w:ascii="Times New Roman" w:hAnsi="Times New Roman"/>
          <w:sz w:val="20"/>
        </w:rPr>
        <w:t>/I group.</w:t>
      </w:r>
      <w:r w:rsidRPr="006B2F1C">
        <w:rPr>
          <w:rFonts w:ascii="Times New Roman" w:hAnsi="Times New Roman"/>
        </w:rPr>
        <w:br w:type="page"/>
      </w:r>
    </w:p>
    <w:p w14:paraId="75B468C3" w14:textId="5768D5E1" w:rsidR="001B5E55" w:rsidRDefault="00DA6D8C" w:rsidP="00DA6D8C">
      <w:pPr>
        <w:pStyle w:val="Heading2"/>
        <w:keepNext w:val="0"/>
        <w:spacing w:after="0" w:line="240" w:lineRule="auto"/>
        <w:ind w:left="0"/>
        <w:rPr>
          <w:rFonts w:ascii="Times New Roman" w:hAnsi="Times New Roman"/>
          <w:i w:val="0"/>
          <w:sz w:val="20"/>
        </w:rPr>
      </w:pPr>
      <w:r w:rsidRPr="006B2F1C">
        <w:rPr>
          <w:rFonts w:ascii="Times New Roman" w:hAnsi="Times New Roman"/>
          <w:i w:val="0"/>
          <w:sz w:val="20"/>
        </w:rPr>
        <w:lastRenderedPageBreak/>
        <w:t xml:space="preserve">Figure S1. </w:t>
      </w:r>
      <w:r w:rsidR="001B5E55" w:rsidRPr="001B5E55">
        <w:rPr>
          <w:rFonts w:ascii="Times New Roman" w:hAnsi="Times New Roman"/>
          <w:i w:val="0"/>
          <w:sz w:val="20"/>
        </w:rPr>
        <w:t>Extension study design</w:t>
      </w:r>
    </w:p>
    <w:p w14:paraId="6BE1F38D" w14:textId="06F942C1" w:rsidR="007567DD" w:rsidRPr="00265B61" w:rsidRDefault="007567DD" w:rsidP="00265B61">
      <w:pPr>
        <w:rPr>
          <w:i/>
        </w:rPr>
      </w:pPr>
      <w:r>
        <w:rPr>
          <w:noProof/>
        </w:rPr>
        <w:drawing>
          <wp:inline distT="0" distB="0" distL="0" distR="0" wp14:anchorId="23829B77" wp14:editId="531EE5BE">
            <wp:extent cx="5943600" cy="21945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2194560"/>
                    </a:xfrm>
                    <a:prstGeom prst="rect">
                      <a:avLst/>
                    </a:prstGeom>
                  </pic:spPr>
                </pic:pic>
              </a:graphicData>
            </a:graphic>
          </wp:inline>
        </w:drawing>
      </w:r>
    </w:p>
    <w:p w14:paraId="205F936D" w14:textId="30F5A017" w:rsidR="001B5E55" w:rsidRDefault="001B5E55" w:rsidP="001B5E55"/>
    <w:p w14:paraId="3A9261A6" w14:textId="77777777" w:rsidR="001B5E55" w:rsidRDefault="001B5E55" w:rsidP="001B5E55">
      <w:pPr>
        <w:autoSpaceDE/>
        <w:autoSpaceDN/>
        <w:adjustRightInd/>
        <w:spacing w:after="200"/>
        <w:ind w:left="0"/>
        <w:rPr>
          <w:sz w:val="18"/>
          <w:szCs w:val="18"/>
        </w:rPr>
      </w:pPr>
      <w:r w:rsidRPr="006B2F1C">
        <w:rPr>
          <w:sz w:val="18"/>
          <w:szCs w:val="18"/>
        </w:rPr>
        <w:t xml:space="preserve">IVA, ivacaftor; LUM, lumacaftor; </w:t>
      </w:r>
      <w:r>
        <w:rPr>
          <w:sz w:val="18"/>
          <w:szCs w:val="18"/>
        </w:rPr>
        <w:t xml:space="preserve">OL, open label; </w:t>
      </w:r>
      <w:r w:rsidRPr="006B2F1C">
        <w:rPr>
          <w:sz w:val="18"/>
          <w:szCs w:val="18"/>
        </w:rPr>
        <w:t xml:space="preserve">PBO, placebo; q12h, every 12 hours; </w:t>
      </w:r>
      <w:r>
        <w:rPr>
          <w:sz w:val="18"/>
          <w:szCs w:val="18"/>
        </w:rPr>
        <w:t xml:space="preserve">RCT, randomised controlled trial; </w:t>
      </w:r>
      <w:r w:rsidRPr="006B2F1C">
        <w:rPr>
          <w:sz w:val="18"/>
          <w:szCs w:val="18"/>
        </w:rPr>
        <w:t>w/o, 2-week washout.</w:t>
      </w:r>
      <w:r w:rsidRPr="006B2F1C">
        <w:rPr>
          <w:sz w:val="18"/>
          <w:szCs w:val="18"/>
        </w:rPr>
        <w:br/>
        <w:t xml:space="preserve"> </w:t>
      </w:r>
      <w:proofErr w:type="spellStart"/>
      <w:r w:rsidRPr="006B2F1C">
        <w:rPr>
          <w:sz w:val="18"/>
          <w:szCs w:val="18"/>
          <w:vertAlign w:val="superscript"/>
        </w:rPr>
        <w:t>a</w:t>
      </w:r>
      <w:proofErr w:type="spellEnd"/>
      <w:r w:rsidRPr="006B2F1C">
        <w:rPr>
          <w:sz w:val="18"/>
          <w:szCs w:val="18"/>
          <w:vertAlign w:val="superscript"/>
        </w:rPr>
        <w:t xml:space="preserve"> </w:t>
      </w:r>
      <w:r w:rsidRPr="006B2F1C">
        <w:rPr>
          <w:sz w:val="18"/>
          <w:szCs w:val="18"/>
        </w:rPr>
        <w:t xml:space="preserve">Once children reached age 12, they began receiving LUM 400 mg q12h/IVA 250 mg q12h at the next scheduled visit. </w:t>
      </w:r>
      <w:r w:rsidRPr="006B2F1C">
        <w:rPr>
          <w:sz w:val="18"/>
          <w:szCs w:val="18"/>
        </w:rPr>
        <w:br/>
      </w:r>
      <w:r w:rsidRPr="006B2F1C">
        <w:rPr>
          <w:sz w:val="18"/>
          <w:szCs w:val="18"/>
          <w:vertAlign w:val="superscript"/>
        </w:rPr>
        <w:t xml:space="preserve">b </w:t>
      </w:r>
      <w:r w:rsidRPr="006B2F1C">
        <w:rPr>
          <w:sz w:val="18"/>
          <w:szCs w:val="18"/>
        </w:rPr>
        <w:t>The day 1 visit of Study 110 was the same day as the week 24 visit (last treatment period visit) of the RCT study or the week 26 visit (safety follow-up visit) of the OL study for participants at Study 110 sites that had been activated by the time the Week 24 Visit (RCT study) or the Week 26 Visit (OL study) had been completed. The Day 1 Visit of Study 110 did NOT coincide with the Week 24 Visit (last Treatment Period visit) of the RCT study or the Week 26 Visit (Safety Follow-up Visit) of the OL study for participants at Study 110 sites that had NOT been activated by the time the Week 24 Visit (RCT study) or the Week 26 Visit (OL study) had been completed. Participants at these nonactive sites had to repeat any Study 110 Day 1 assessments (in addition to completing Study 110-specific Day 1 events/assessments) that were specified to be performed at the Week 24 Visit (RCT study) or the Week 26 Visit (OL study).</w:t>
      </w:r>
    </w:p>
    <w:p w14:paraId="7DBD65D1" w14:textId="77777777" w:rsidR="001B5E55" w:rsidRDefault="001B5E55">
      <w:pPr>
        <w:autoSpaceDE/>
        <w:autoSpaceDN/>
        <w:adjustRightInd/>
        <w:spacing w:after="160" w:line="259" w:lineRule="auto"/>
        <w:ind w:left="0"/>
        <w:rPr>
          <w:sz w:val="18"/>
          <w:szCs w:val="18"/>
        </w:rPr>
      </w:pPr>
      <w:r>
        <w:rPr>
          <w:sz w:val="18"/>
          <w:szCs w:val="18"/>
        </w:rPr>
        <w:br w:type="page"/>
      </w:r>
    </w:p>
    <w:p w14:paraId="0487919F" w14:textId="25E77901" w:rsidR="00DA6D8C" w:rsidRPr="006B2F1C" w:rsidRDefault="001B5E55" w:rsidP="00DA6D8C">
      <w:pPr>
        <w:pStyle w:val="Heading2"/>
        <w:keepNext w:val="0"/>
        <w:spacing w:after="0" w:line="240" w:lineRule="auto"/>
        <w:ind w:left="0"/>
        <w:rPr>
          <w:rFonts w:ascii="Times New Roman" w:hAnsi="Times New Roman"/>
          <w:i w:val="0"/>
          <w:sz w:val="20"/>
        </w:rPr>
      </w:pPr>
      <w:r w:rsidRPr="006B2F1C">
        <w:rPr>
          <w:rFonts w:ascii="Times New Roman" w:hAnsi="Times New Roman"/>
          <w:i w:val="0"/>
          <w:sz w:val="20"/>
        </w:rPr>
        <w:lastRenderedPageBreak/>
        <w:t>Figure S</w:t>
      </w:r>
      <w:r>
        <w:rPr>
          <w:rFonts w:ascii="Times New Roman" w:hAnsi="Times New Roman"/>
          <w:i w:val="0"/>
          <w:sz w:val="20"/>
        </w:rPr>
        <w:t xml:space="preserve">2. </w:t>
      </w:r>
      <w:r w:rsidR="00DA6D8C" w:rsidRPr="006B2F1C">
        <w:rPr>
          <w:rFonts w:ascii="Times New Roman" w:hAnsi="Times New Roman"/>
          <w:i w:val="0"/>
          <w:sz w:val="20"/>
        </w:rPr>
        <w:t xml:space="preserve">Study design schematic (including observational cohort and </w:t>
      </w:r>
      <w:r w:rsidR="00DA6D8C" w:rsidRPr="006B2F1C">
        <w:rPr>
          <w:rFonts w:ascii="Times New Roman" w:hAnsi="Times New Roman" w:cs="Times New Roman"/>
          <w:i w:val="0"/>
          <w:iCs/>
          <w:sz w:val="20"/>
          <w:szCs w:val="20"/>
        </w:rPr>
        <w:t>t</w:t>
      </w:r>
      <w:r w:rsidR="00DA6D8C" w:rsidRPr="006B2F1C">
        <w:rPr>
          <w:rFonts w:ascii="Times New Roman" w:hAnsi="Times New Roman"/>
          <w:i w:val="0"/>
          <w:sz w:val="20"/>
        </w:rPr>
        <w:t xml:space="preserve">reatment </w:t>
      </w:r>
      <w:r w:rsidR="00DA6D8C" w:rsidRPr="006B2F1C">
        <w:rPr>
          <w:rFonts w:ascii="Times New Roman" w:hAnsi="Times New Roman" w:cs="Times New Roman"/>
          <w:i w:val="0"/>
          <w:iCs/>
          <w:sz w:val="20"/>
          <w:szCs w:val="20"/>
        </w:rPr>
        <w:t>p</w:t>
      </w:r>
      <w:r w:rsidR="00DA6D8C" w:rsidRPr="006B2F1C">
        <w:rPr>
          <w:rFonts w:ascii="Times New Roman" w:hAnsi="Times New Roman"/>
          <w:i w:val="0"/>
          <w:sz w:val="20"/>
        </w:rPr>
        <w:t>eriod 2)</w:t>
      </w:r>
    </w:p>
    <w:p w14:paraId="5FEA3270" w14:textId="77777777" w:rsidR="00DA6D8C" w:rsidRPr="006B2F1C" w:rsidRDefault="00DA6D8C" w:rsidP="00DA6D8C">
      <w:pPr>
        <w:spacing w:after="0" w:line="240" w:lineRule="auto"/>
        <w:rPr>
          <w:rFonts w:ascii="Times New Roman" w:hAnsi="Times New Roman"/>
          <w:sz w:val="20"/>
          <w:szCs w:val="20"/>
        </w:rPr>
      </w:pPr>
    </w:p>
    <w:p w14:paraId="369DDCF0" w14:textId="77777777" w:rsidR="00DA6D8C" w:rsidRPr="006B2F1C" w:rsidRDefault="00DA6D8C" w:rsidP="00DA6D8C">
      <w:pPr>
        <w:spacing w:after="0" w:line="240" w:lineRule="auto"/>
        <w:rPr>
          <w:rFonts w:ascii="Times New Roman" w:hAnsi="Times New Roman"/>
        </w:rPr>
      </w:pPr>
      <w:r w:rsidRPr="006B2F1C">
        <w:rPr>
          <w:rFonts w:ascii="Times New Roman" w:hAnsi="Times New Roman"/>
          <w:noProof/>
        </w:rPr>
        <w:drawing>
          <wp:inline distT="0" distB="0" distL="0" distR="0" wp14:anchorId="75B046B5" wp14:editId="0695778E">
            <wp:extent cx="5943600" cy="2697078"/>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2697078"/>
                    </a:xfrm>
                    <a:prstGeom prst="rect">
                      <a:avLst/>
                    </a:prstGeom>
                    <a:noFill/>
                  </pic:spPr>
                </pic:pic>
              </a:graphicData>
            </a:graphic>
          </wp:inline>
        </w:drawing>
      </w:r>
    </w:p>
    <w:p w14:paraId="6131AC64" w14:textId="77777777" w:rsidR="00DA6D8C" w:rsidRPr="006B2F1C" w:rsidRDefault="00DA6D8C" w:rsidP="00DA6D8C">
      <w:pPr>
        <w:spacing w:after="0" w:line="240" w:lineRule="auto"/>
        <w:rPr>
          <w:rFonts w:ascii="Times New Roman" w:hAnsi="Times New Roman"/>
          <w:sz w:val="20"/>
          <w:szCs w:val="20"/>
        </w:rPr>
      </w:pPr>
      <w:r w:rsidRPr="006B2F1C">
        <w:rPr>
          <w:rFonts w:ascii="Times New Roman" w:hAnsi="Times New Roman"/>
          <w:sz w:val="20"/>
          <w:szCs w:val="20"/>
        </w:rPr>
        <w:t>IVA, ivacaftor; LUM, lumacaftor; q12h, every 12 hours.</w:t>
      </w:r>
    </w:p>
    <w:p w14:paraId="49AF63ED" w14:textId="77777777" w:rsidR="00DA6D8C" w:rsidRPr="006B2F1C" w:rsidRDefault="00DA6D8C" w:rsidP="00DA6D8C">
      <w:pPr>
        <w:spacing w:after="0" w:line="240" w:lineRule="auto"/>
        <w:rPr>
          <w:rFonts w:ascii="Times New Roman" w:hAnsi="Times New Roman"/>
          <w:sz w:val="20"/>
          <w:szCs w:val="20"/>
        </w:rPr>
      </w:pPr>
      <w:r w:rsidRPr="006B2F1C">
        <w:rPr>
          <w:rFonts w:ascii="Times New Roman" w:hAnsi="Times New Roman"/>
          <w:sz w:val="20"/>
          <w:vertAlign w:val="superscript"/>
        </w:rPr>
        <w:t xml:space="preserve">a </w:t>
      </w:r>
      <w:r w:rsidRPr="006B2F1C">
        <w:rPr>
          <w:rFonts w:ascii="Times New Roman" w:hAnsi="Times New Roman"/>
          <w:sz w:val="20"/>
          <w:szCs w:val="20"/>
        </w:rPr>
        <w:t>Participants who turned 12 years of age in the parent study or on Day 1 of Study 110 began receiving LUM 400 mg/IVA 250 mg on Day 1. Participants who turned 12 years of age after the Day 1 visit of Study 110</w:t>
      </w:r>
    </w:p>
    <w:p w14:paraId="68994EA4" w14:textId="77777777" w:rsidR="00DA6D8C" w:rsidRPr="006B2F1C" w:rsidRDefault="00DA6D8C" w:rsidP="00DA6D8C">
      <w:pPr>
        <w:spacing w:after="0" w:line="240" w:lineRule="auto"/>
        <w:rPr>
          <w:rFonts w:ascii="Times New Roman" w:hAnsi="Times New Roman"/>
          <w:sz w:val="20"/>
          <w:szCs w:val="20"/>
        </w:rPr>
      </w:pPr>
      <w:r w:rsidRPr="006B2F1C">
        <w:rPr>
          <w:rFonts w:ascii="Times New Roman" w:hAnsi="Times New Roman"/>
          <w:sz w:val="20"/>
          <w:szCs w:val="20"/>
        </w:rPr>
        <w:t>began receiving LUM 400 mg/IVA 250 mg at their next scheduled visit.</w:t>
      </w:r>
      <w:r w:rsidRPr="006B2F1C">
        <w:rPr>
          <w:rFonts w:ascii="Times New Roman" w:hAnsi="Times New Roman"/>
          <w:sz w:val="20"/>
        </w:rPr>
        <w:t xml:space="preserve"> </w:t>
      </w:r>
      <w:r w:rsidRPr="006B2F1C">
        <w:rPr>
          <w:rFonts w:ascii="Times New Roman" w:hAnsi="Times New Roman"/>
          <w:sz w:val="20"/>
        </w:rPr>
        <w:br/>
      </w:r>
      <w:r w:rsidRPr="006B2F1C">
        <w:rPr>
          <w:rFonts w:ascii="Times New Roman" w:hAnsi="Times New Roman"/>
          <w:sz w:val="20"/>
          <w:vertAlign w:val="superscript"/>
        </w:rPr>
        <w:t xml:space="preserve">b </w:t>
      </w:r>
      <w:proofErr w:type="gramStart"/>
      <w:r w:rsidRPr="006B2F1C">
        <w:rPr>
          <w:rFonts w:ascii="Times New Roman" w:hAnsi="Times New Roman"/>
          <w:sz w:val="20"/>
        </w:rPr>
        <w:t>At</w:t>
      </w:r>
      <w:proofErr w:type="gramEnd"/>
      <w:r w:rsidRPr="006B2F1C">
        <w:rPr>
          <w:rFonts w:ascii="Times New Roman" w:hAnsi="Times New Roman"/>
          <w:sz w:val="20"/>
        </w:rPr>
        <w:t xml:space="preserve"> selected sites, some participants aged 6 through 11 years in the </w:t>
      </w:r>
      <w:r w:rsidRPr="006B2F1C">
        <w:rPr>
          <w:rFonts w:ascii="Times New Roman" w:hAnsi="Times New Roman"/>
          <w:sz w:val="20"/>
          <w:szCs w:val="20"/>
        </w:rPr>
        <w:t>t</w:t>
      </w:r>
      <w:r w:rsidRPr="006B2F1C">
        <w:rPr>
          <w:rFonts w:ascii="Times New Roman" w:hAnsi="Times New Roman"/>
          <w:sz w:val="20"/>
        </w:rPr>
        <w:t xml:space="preserve">reatment </w:t>
      </w:r>
      <w:r w:rsidRPr="006B2F1C">
        <w:rPr>
          <w:rFonts w:ascii="Times New Roman" w:hAnsi="Times New Roman"/>
          <w:sz w:val="20"/>
          <w:szCs w:val="20"/>
        </w:rPr>
        <w:t>c</w:t>
      </w:r>
      <w:r w:rsidRPr="006B2F1C">
        <w:rPr>
          <w:rFonts w:ascii="Times New Roman" w:hAnsi="Times New Roman"/>
          <w:sz w:val="20"/>
        </w:rPr>
        <w:t xml:space="preserve">ohort who completed </w:t>
      </w:r>
      <w:r w:rsidRPr="006B2F1C">
        <w:rPr>
          <w:rFonts w:ascii="Times New Roman" w:hAnsi="Times New Roman"/>
          <w:sz w:val="20"/>
          <w:szCs w:val="20"/>
        </w:rPr>
        <w:t>t</w:t>
      </w:r>
      <w:r w:rsidRPr="006B2F1C">
        <w:rPr>
          <w:rFonts w:ascii="Times New Roman" w:hAnsi="Times New Roman"/>
          <w:sz w:val="20"/>
        </w:rPr>
        <w:t xml:space="preserve">reatment </w:t>
      </w:r>
      <w:r w:rsidRPr="006B2F1C">
        <w:rPr>
          <w:rFonts w:ascii="Times New Roman" w:hAnsi="Times New Roman"/>
          <w:sz w:val="20"/>
          <w:szCs w:val="20"/>
        </w:rPr>
        <w:t>p</w:t>
      </w:r>
      <w:r w:rsidRPr="006B2F1C">
        <w:rPr>
          <w:rFonts w:ascii="Times New Roman" w:hAnsi="Times New Roman"/>
          <w:sz w:val="20"/>
        </w:rPr>
        <w:t xml:space="preserve">eriod 1 of Study 110 entered </w:t>
      </w:r>
      <w:r w:rsidRPr="006B2F1C">
        <w:rPr>
          <w:rFonts w:ascii="Times New Roman" w:hAnsi="Times New Roman"/>
          <w:sz w:val="20"/>
          <w:szCs w:val="20"/>
        </w:rPr>
        <w:t>t</w:t>
      </w:r>
      <w:r w:rsidRPr="006B2F1C">
        <w:rPr>
          <w:rFonts w:ascii="Times New Roman" w:hAnsi="Times New Roman"/>
          <w:sz w:val="20"/>
        </w:rPr>
        <w:t xml:space="preserve">reatment </w:t>
      </w:r>
      <w:r w:rsidRPr="006B2F1C">
        <w:rPr>
          <w:rFonts w:ascii="Times New Roman" w:hAnsi="Times New Roman"/>
          <w:sz w:val="20"/>
          <w:szCs w:val="20"/>
        </w:rPr>
        <w:t>p</w:t>
      </w:r>
      <w:r w:rsidRPr="006B2F1C">
        <w:rPr>
          <w:rFonts w:ascii="Times New Roman" w:hAnsi="Times New Roman"/>
          <w:sz w:val="20"/>
        </w:rPr>
        <w:t xml:space="preserve">eriod 2. Week 96 of </w:t>
      </w:r>
      <w:r w:rsidRPr="006B2F1C">
        <w:rPr>
          <w:rFonts w:ascii="Times New Roman" w:hAnsi="Times New Roman"/>
          <w:sz w:val="20"/>
          <w:szCs w:val="20"/>
        </w:rPr>
        <w:t>t</w:t>
      </w:r>
      <w:r w:rsidRPr="006B2F1C">
        <w:rPr>
          <w:rFonts w:ascii="Times New Roman" w:hAnsi="Times New Roman"/>
          <w:sz w:val="20"/>
        </w:rPr>
        <w:t xml:space="preserve">reatment </w:t>
      </w:r>
      <w:r w:rsidRPr="006B2F1C">
        <w:rPr>
          <w:rFonts w:ascii="Times New Roman" w:hAnsi="Times New Roman"/>
          <w:sz w:val="20"/>
          <w:szCs w:val="20"/>
        </w:rPr>
        <w:t>p</w:t>
      </w:r>
      <w:r w:rsidRPr="006B2F1C">
        <w:rPr>
          <w:rFonts w:ascii="Times New Roman" w:hAnsi="Times New Roman"/>
          <w:sz w:val="20"/>
        </w:rPr>
        <w:t xml:space="preserve">eriod 1 was the start of </w:t>
      </w:r>
      <w:r w:rsidRPr="006B2F1C">
        <w:rPr>
          <w:rFonts w:ascii="Times New Roman" w:hAnsi="Times New Roman"/>
          <w:sz w:val="20"/>
          <w:szCs w:val="20"/>
        </w:rPr>
        <w:t>t</w:t>
      </w:r>
      <w:r w:rsidRPr="006B2F1C">
        <w:rPr>
          <w:rFonts w:ascii="Times New Roman" w:hAnsi="Times New Roman"/>
          <w:sz w:val="20"/>
        </w:rPr>
        <w:t xml:space="preserve">reatment </w:t>
      </w:r>
      <w:r w:rsidRPr="006B2F1C">
        <w:rPr>
          <w:rFonts w:ascii="Times New Roman" w:hAnsi="Times New Roman"/>
          <w:sz w:val="20"/>
          <w:szCs w:val="20"/>
        </w:rPr>
        <w:t>p</w:t>
      </w:r>
      <w:r w:rsidRPr="006B2F1C">
        <w:rPr>
          <w:rFonts w:ascii="Times New Roman" w:hAnsi="Times New Roman"/>
          <w:sz w:val="20"/>
        </w:rPr>
        <w:t>eriod 2.</w:t>
      </w:r>
      <w:r w:rsidRPr="006B2F1C">
        <w:rPr>
          <w:rFonts w:ascii="Times New Roman" w:hAnsi="Times New Roman"/>
          <w:sz w:val="20"/>
        </w:rPr>
        <w:br/>
      </w:r>
      <w:r w:rsidRPr="006B2F1C">
        <w:rPr>
          <w:rFonts w:ascii="Times New Roman" w:hAnsi="Times New Roman"/>
          <w:sz w:val="20"/>
          <w:vertAlign w:val="superscript"/>
        </w:rPr>
        <w:t xml:space="preserve">c </w:t>
      </w:r>
      <w:r w:rsidRPr="006B2F1C">
        <w:rPr>
          <w:rFonts w:ascii="Times New Roman" w:hAnsi="Times New Roman"/>
          <w:sz w:val="20"/>
        </w:rPr>
        <w:t>A telephone contact was made every 3 to 4 months during the first year and at approximately 2 years (± 4 weeks).</w:t>
      </w:r>
    </w:p>
    <w:p w14:paraId="5C6AD7B9" w14:textId="77777777" w:rsidR="00DA6D8C" w:rsidRPr="006B2F1C" w:rsidRDefault="00DA6D8C" w:rsidP="00DA6D8C">
      <w:pPr>
        <w:autoSpaceDE/>
        <w:autoSpaceDN/>
        <w:adjustRightInd/>
        <w:spacing w:after="200" w:line="276" w:lineRule="auto"/>
        <w:ind w:left="0"/>
        <w:rPr>
          <w:rFonts w:ascii="Times New Roman" w:hAnsi="Times New Roman"/>
        </w:rPr>
      </w:pPr>
      <w:r w:rsidRPr="006B2F1C">
        <w:rPr>
          <w:rFonts w:ascii="Times New Roman" w:hAnsi="Times New Roman"/>
        </w:rPr>
        <w:br w:type="page"/>
      </w:r>
    </w:p>
    <w:p w14:paraId="09E2AE80" w14:textId="77777777" w:rsidR="00DA6D8C" w:rsidRPr="006B2F1C" w:rsidRDefault="00DA6D8C" w:rsidP="00DA6D8C">
      <w:pPr>
        <w:pStyle w:val="Heading2"/>
        <w:spacing w:after="0" w:line="240" w:lineRule="auto"/>
        <w:rPr>
          <w:rFonts w:ascii="Times New Roman" w:hAnsi="Times New Roman"/>
          <w:iCs/>
          <w:sz w:val="20"/>
          <w:szCs w:val="20"/>
        </w:rPr>
      </w:pPr>
      <w:r w:rsidRPr="006B2F1C">
        <w:rPr>
          <w:rFonts w:ascii="Times New Roman" w:hAnsi="Times New Roman" w:cs="Times New Roman"/>
          <w:i w:val="0"/>
          <w:iCs/>
          <w:sz w:val="20"/>
          <w:szCs w:val="20"/>
        </w:rPr>
        <w:lastRenderedPageBreak/>
        <w:t>References</w:t>
      </w:r>
    </w:p>
    <w:p w14:paraId="584D1341" w14:textId="77777777" w:rsidR="00DA6D8C" w:rsidRPr="006B2F1C" w:rsidRDefault="00DA6D8C" w:rsidP="00DA6D8C">
      <w:pPr>
        <w:spacing w:after="0" w:line="240" w:lineRule="auto"/>
        <w:rPr>
          <w:rFonts w:ascii="Times New Roman" w:hAnsi="Times New Roman"/>
        </w:rPr>
      </w:pPr>
    </w:p>
    <w:p w14:paraId="1FE88BA4" w14:textId="77777777" w:rsidR="00DA6D8C" w:rsidRPr="006B2F1C" w:rsidRDefault="00DA6D8C" w:rsidP="00DA6D8C">
      <w:pPr>
        <w:spacing w:after="0" w:line="240" w:lineRule="auto"/>
        <w:ind w:left="360" w:hanging="317"/>
        <w:rPr>
          <w:rFonts w:ascii="Times New Roman" w:hAnsi="Times New Roman"/>
        </w:rPr>
      </w:pPr>
      <w:r w:rsidRPr="006B2F1C">
        <w:rPr>
          <w:rFonts w:ascii="Times New Roman" w:hAnsi="Times New Roman"/>
        </w:rPr>
        <w:t>1</w:t>
      </w:r>
      <w:r w:rsidRPr="006B2F1C">
        <w:rPr>
          <w:rFonts w:ascii="Times New Roman" w:hAnsi="Times New Roman"/>
        </w:rPr>
        <w:tab/>
        <w:t xml:space="preserve">Milla CE, </w:t>
      </w:r>
      <w:proofErr w:type="spellStart"/>
      <w:r w:rsidRPr="006B2F1C">
        <w:rPr>
          <w:rFonts w:ascii="Times New Roman" w:hAnsi="Times New Roman"/>
        </w:rPr>
        <w:t>Ratjen</w:t>
      </w:r>
      <w:proofErr w:type="spellEnd"/>
      <w:r w:rsidRPr="006B2F1C">
        <w:rPr>
          <w:rFonts w:ascii="Times New Roman" w:hAnsi="Times New Roman"/>
        </w:rPr>
        <w:t xml:space="preserve"> F, </w:t>
      </w:r>
      <w:proofErr w:type="spellStart"/>
      <w:r w:rsidRPr="006B2F1C">
        <w:rPr>
          <w:rFonts w:ascii="Times New Roman" w:hAnsi="Times New Roman"/>
        </w:rPr>
        <w:t>Marigowda</w:t>
      </w:r>
      <w:proofErr w:type="spellEnd"/>
      <w:r w:rsidRPr="006B2F1C">
        <w:rPr>
          <w:rFonts w:ascii="Times New Roman" w:hAnsi="Times New Roman"/>
        </w:rPr>
        <w:t xml:space="preserve"> G, et al. Lumacaftor/Ivacaftor in patients aged 6-11 years with cystic fibrosis and homozygous for F508del-CFTR. </w:t>
      </w:r>
      <w:r w:rsidRPr="006B2F1C">
        <w:rPr>
          <w:rFonts w:ascii="Times New Roman" w:hAnsi="Times New Roman"/>
          <w:i/>
          <w:iCs/>
        </w:rPr>
        <w:t>Am J Respir Crit Care Med</w:t>
      </w:r>
      <w:r w:rsidRPr="006B2F1C">
        <w:rPr>
          <w:rFonts w:ascii="Times New Roman" w:hAnsi="Times New Roman"/>
        </w:rPr>
        <w:t xml:space="preserve"> 2017; </w:t>
      </w:r>
      <w:r w:rsidRPr="006B2F1C">
        <w:rPr>
          <w:rFonts w:ascii="Times New Roman" w:hAnsi="Times New Roman"/>
          <w:b/>
          <w:bCs/>
        </w:rPr>
        <w:t>195</w:t>
      </w:r>
      <w:r w:rsidRPr="006B2F1C">
        <w:rPr>
          <w:rFonts w:ascii="Times New Roman" w:hAnsi="Times New Roman"/>
        </w:rPr>
        <w:t>(7): 912-20.</w:t>
      </w:r>
    </w:p>
    <w:p w14:paraId="3741E30D" w14:textId="77777777" w:rsidR="00DA6D8C" w:rsidRPr="006B2F1C" w:rsidRDefault="00DA6D8C" w:rsidP="00DA6D8C">
      <w:pPr>
        <w:spacing w:after="0" w:line="240" w:lineRule="auto"/>
        <w:ind w:left="360" w:hanging="317"/>
        <w:rPr>
          <w:rFonts w:ascii="Times New Roman" w:hAnsi="Times New Roman"/>
        </w:rPr>
      </w:pPr>
      <w:r w:rsidRPr="006B2F1C">
        <w:rPr>
          <w:rFonts w:ascii="Times New Roman" w:hAnsi="Times New Roman"/>
        </w:rPr>
        <w:t>2</w:t>
      </w:r>
      <w:r w:rsidRPr="006B2F1C">
        <w:rPr>
          <w:rFonts w:ascii="Times New Roman" w:hAnsi="Times New Roman"/>
        </w:rPr>
        <w:tab/>
      </w:r>
      <w:proofErr w:type="spellStart"/>
      <w:r w:rsidRPr="006B2F1C">
        <w:rPr>
          <w:rFonts w:ascii="Times New Roman" w:hAnsi="Times New Roman"/>
        </w:rPr>
        <w:t>Ratjen</w:t>
      </w:r>
      <w:proofErr w:type="spellEnd"/>
      <w:r w:rsidRPr="006B2F1C">
        <w:rPr>
          <w:rFonts w:ascii="Times New Roman" w:hAnsi="Times New Roman"/>
        </w:rPr>
        <w:t xml:space="preserve"> F, Hug C, </w:t>
      </w:r>
      <w:proofErr w:type="spellStart"/>
      <w:r w:rsidRPr="006B2F1C">
        <w:rPr>
          <w:rFonts w:ascii="Times New Roman" w:hAnsi="Times New Roman"/>
        </w:rPr>
        <w:t>Marigowda</w:t>
      </w:r>
      <w:proofErr w:type="spellEnd"/>
      <w:r w:rsidRPr="006B2F1C">
        <w:rPr>
          <w:rFonts w:ascii="Times New Roman" w:hAnsi="Times New Roman"/>
        </w:rPr>
        <w:t xml:space="preserve"> G, et al. Efficacy and safety of lumacaftor and ivacaftor in patients aged 6-11 years with cystic fibrosis homozygous for F508del-CFTR: a randomised, placebo-controlled phase 3 trial. </w:t>
      </w:r>
      <w:r w:rsidRPr="006B2F1C">
        <w:rPr>
          <w:rFonts w:ascii="Times New Roman" w:hAnsi="Times New Roman"/>
          <w:i/>
          <w:iCs/>
        </w:rPr>
        <w:t>Lancet Respir Med</w:t>
      </w:r>
      <w:r w:rsidRPr="006B2F1C">
        <w:rPr>
          <w:rFonts w:ascii="Times New Roman" w:hAnsi="Times New Roman"/>
        </w:rPr>
        <w:t xml:space="preserve"> 2017; </w:t>
      </w:r>
      <w:r w:rsidRPr="006B2F1C">
        <w:rPr>
          <w:rFonts w:ascii="Times New Roman" w:hAnsi="Times New Roman"/>
          <w:b/>
          <w:bCs/>
        </w:rPr>
        <w:t>5</w:t>
      </w:r>
      <w:r w:rsidRPr="006B2F1C">
        <w:rPr>
          <w:rFonts w:ascii="Times New Roman" w:hAnsi="Times New Roman"/>
        </w:rPr>
        <w:t>(7): 557-67.</w:t>
      </w:r>
    </w:p>
    <w:p w14:paraId="5CE6EFBD" w14:textId="77777777" w:rsidR="00F7178E" w:rsidRDefault="00F7178E"/>
    <w:sectPr w:rsidR="00F7178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FD2B60" w14:textId="77777777" w:rsidR="003C138F" w:rsidRDefault="003C138F" w:rsidP="009E6228">
      <w:pPr>
        <w:spacing w:after="0" w:line="240" w:lineRule="auto"/>
      </w:pPr>
      <w:r>
        <w:separator/>
      </w:r>
    </w:p>
  </w:endnote>
  <w:endnote w:type="continuationSeparator" w:id="0">
    <w:p w14:paraId="29E7DCBB" w14:textId="77777777" w:rsidR="003C138F" w:rsidRDefault="003C138F" w:rsidP="009E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Shaker 2 Lancet">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3296324"/>
      <w:docPartObj>
        <w:docPartGallery w:val="Page Numbers (Bottom of Page)"/>
        <w:docPartUnique/>
      </w:docPartObj>
    </w:sdtPr>
    <w:sdtEndPr>
      <w:rPr>
        <w:noProof/>
      </w:rPr>
    </w:sdtEndPr>
    <w:sdtContent>
      <w:p w14:paraId="23BFF851" w14:textId="78F88C7F" w:rsidR="009E6228" w:rsidRDefault="009E622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07BC05" w14:textId="77777777" w:rsidR="009E6228" w:rsidRDefault="009E62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C9FF97" w14:textId="77777777" w:rsidR="003C138F" w:rsidRDefault="003C138F" w:rsidP="009E6228">
      <w:pPr>
        <w:spacing w:after="0" w:line="240" w:lineRule="auto"/>
      </w:pPr>
      <w:r>
        <w:separator/>
      </w:r>
    </w:p>
  </w:footnote>
  <w:footnote w:type="continuationSeparator" w:id="0">
    <w:p w14:paraId="23FABEBF" w14:textId="77777777" w:rsidR="003C138F" w:rsidRDefault="003C138F" w:rsidP="009E622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removePersonalInformation/>
  <w:removeDateAndTime/>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D8C"/>
    <w:rsid w:val="00000472"/>
    <w:rsid w:val="000008C7"/>
    <w:rsid w:val="00002CD6"/>
    <w:rsid w:val="000031EB"/>
    <w:rsid w:val="00003230"/>
    <w:rsid w:val="000037B5"/>
    <w:rsid w:val="0000432F"/>
    <w:rsid w:val="000044B5"/>
    <w:rsid w:val="0001285C"/>
    <w:rsid w:val="00013733"/>
    <w:rsid w:val="000172B2"/>
    <w:rsid w:val="000222F6"/>
    <w:rsid w:val="00024DE6"/>
    <w:rsid w:val="0003462A"/>
    <w:rsid w:val="00036342"/>
    <w:rsid w:val="00037756"/>
    <w:rsid w:val="00040B1E"/>
    <w:rsid w:val="00040D7F"/>
    <w:rsid w:val="00041EB8"/>
    <w:rsid w:val="00050FE4"/>
    <w:rsid w:val="000522C6"/>
    <w:rsid w:val="00052B68"/>
    <w:rsid w:val="00052E8D"/>
    <w:rsid w:val="000548AD"/>
    <w:rsid w:val="00060206"/>
    <w:rsid w:val="0006340F"/>
    <w:rsid w:val="00065E1A"/>
    <w:rsid w:val="00067689"/>
    <w:rsid w:val="000740E9"/>
    <w:rsid w:val="000751DE"/>
    <w:rsid w:val="000775CB"/>
    <w:rsid w:val="000826DC"/>
    <w:rsid w:val="00083E56"/>
    <w:rsid w:val="0008519B"/>
    <w:rsid w:val="00085D4D"/>
    <w:rsid w:val="000914C0"/>
    <w:rsid w:val="00094198"/>
    <w:rsid w:val="00096D14"/>
    <w:rsid w:val="00097EAB"/>
    <w:rsid w:val="000A0BAD"/>
    <w:rsid w:val="000A4AFE"/>
    <w:rsid w:val="000B5B86"/>
    <w:rsid w:val="000B63DB"/>
    <w:rsid w:val="000B6803"/>
    <w:rsid w:val="000B69F9"/>
    <w:rsid w:val="000C1612"/>
    <w:rsid w:val="000C3177"/>
    <w:rsid w:val="000C4362"/>
    <w:rsid w:val="000C72F7"/>
    <w:rsid w:val="000D34F3"/>
    <w:rsid w:val="000D351A"/>
    <w:rsid w:val="000D3912"/>
    <w:rsid w:val="000D44E1"/>
    <w:rsid w:val="000D6858"/>
    <w:rsid w:val="000E1F97"/>
    <w:rsid w:val="000E2839"/>
    <w:rsid w:val="000E3876"/>
    <w:rsid w:val="000E3C70"/>
    <w:rsid w:val="000E6015"/>
    <w:rsid w:val="000F2895"/>
    <w:rsid w:val="00101045"/>
    <w:rsid w:val="001016F9"/>
    <w:rsid w:val="001139AC"/>
    <w:rsid w:val="00113EEE"/>
    <w:rsid w:val="001143BD"/>
    <w:rsid w:val="00114E57"/>
    <w:rsid w:val="00116F06"/>
    <w:rsid w:val="00117AA1"/>
    <w:rsid w:val="00120671"/>
    <w:rsid w:val="001254E9"/>
    <w:rsid w:val="0012667C"/>
    <w:rsid w:val="00131C5B"/>
    <w:rsid w:val="00136B8C"/>
    <w:rsid w:val="00137585"/>
    <w:rsid w:val="00144B87"/>
    <w:rsid w:val="0014623D"/>
    <w:rsid w:val="00146853"/>
    <w:rsid w:val="001505CA"/>
    <w:rsid w:val="00150707"/>
    <w:rsid w:val="00151E86"/>
    <w:rsid w:val="00154468"/>
    <w:rsid w:val="00154F5E"/>
    <w:rsid w:val="001564DB"/>
    <w:rsid w:val="00161F9C"/>
    <w:rsid w:val="001674CA"/>
    <w:rsid w:val="00171667"/>
    <w:rsid w:val="00171B8A"/>
    <w:rsid w:val="00172D4F"/>
    <w:rsid w:val="00176704"/>
    <w:rsid w:val="00176C40"/>
    <w:rsid w:val="0018205E"/>
    <w:rsid w:val="001826BE"/>
    <w:rsid w:val="001851F7"/>
    <w:rsid w:val="00187EFA"/>
    <w:rsid w:val="0019363A"/>
    <w:rsid w:val="001955B9"/>
    <w:rsid w:val="001967FA"/>
    <w:rsid w:val="001A0AEE"/>
    <w:rsid w:val="001A2A48"/>
    <w:rsid w:val="001A3CBB"/>
    <w:rsid w:val="001A57F2"/>
    <w:rsid w:val="001A6D03"/>
    <w:rsid w:val="001A7AF7"/>
    <w:rsid w:val="001B3C8D"/>
    <w:rsid w:val="001B5E55"/>
    <w:rsid w:val="001C6069"/>
    <w:rsid w:val="001C77BB"/>
    <w:rsid w:val="001D0636"/>
    <w:rsid w:val="001D477F"/>
    <w:rsid w:val="001D54D4"/>
    <w:rsid w:val="001D5701"/>
    <w:rsid w:val="001E2481"/>
    <w:rsid w:val="001E31DB"/>
    <w:rsid w:val="001E6805"/>
    <w:rsid w:val="001E746B"/>
    <w:rsid w:val="001E79E7"/>
    <w:rsid w:val="001F44DD"/>
    <w:rsid w:val="002002A2"/>
    <w:rsid w:val="00200486"/>
    <w:rsid w:val="00203AA4"/>
    <w:rsid w:val="0020407E"/>
    <w:rsid w:val="00204781"/>
    <w:rsid w:val="00210F0C"/>
    <w:rsid w:val="0021201C"/>
    <w:rsid w:val="00214160"/>
    <w:rsid w:val="00232043"/>
    <w:rsid w:val="00235065"/>
    <w:rsid w:val="00235B95"/>
    <w:rsid w:val="00235D8F"/>
    <w:rsid w:val="0024313C"/>
    <w:rsid w:val="002438CD"/>
    <w:rsid w:val="002439C6"/>
    <w:rsid w:val="00243C35"/>
    <w:rsid w:val="00250B6A"/>
    <w:rsid w:val="0025422C"/>
    <w:rsid w:val="002552A8"/>
    <w:rsid w:val="002621DE"/>
    <w:rsid w:val="00264D3D"/>
    <w:rsid w:val="00265B61"/>
    <w:rsid w:val="00266E11"/>
    <w:rsid w:val="00271026"/>
    <w:rsid w:val="002772F6"/>
    <w:rsid w:val="00286C2A"/>
    <w:rsid w:val="00290464"/>
    <w:rsid w:val="00293167"/>
    <w:rsid w:val="00295032"/>
    <w:rsid w:val="00296096"/>
    <w:rsid w:val="00296149"/>
    <w:rsid w:val="002976DF"/>
    <w:rsid w:val="002A0094"/>
    <w:rsid w:val="002A00BE"/>
    <w:rsid w:val="002A344F"/>
    <w:rsid w:val="002A6B66"/>
    <w:rsid w:val="002B635D"/>
    <w:rsid w:val="002C03F1"/>
    <w:rsid w:val="002C19AB"/>
    <w:rsid w:val="002C554B"/>
    <w:rsid w:val="002D0407"/>
    <w:rsid w:val="002D182A"/>
    <w:rsid w:val="002D2895"/>
    <w:rsid w:val="002D2CC5"/>
    <w:rsid w:val="002D3CED"/>
    <w:rsid w:val="002D41CD"/>
    <w:rsid w:val="002D6C20"/>
    <w:rsid w:val="002E50BF"/>
    <w:rsid w:val="002E6349"/>
    <w:rsid w:val="002F0479"/>
    <w:rsid w:val="002F13C4"/>
    <w:rsid w:val="002F34EC"/>
    <w:rsid w:val="00300549"/>
    <w:rsid w:val="00300747"/>
    <w:rsid w:val="00305E36"/>
    <w:rsid w:val="00306B4C"/>
    <w:rsid w:val="00306CAA"/>
    <w:rsid w:val="00307B5E"/>
    <w:rsid w:val="003103A7"/>
    <w:rsid w:val="00312275"/>
    <w:rsid w:val="0031467D"/>
    <w:rsid w:val="00315932"/>
    <w:rsid w:val="003162E2"/>
    <w:rsid w:val="00317ADA"/>
    <w:rsid w:val="003203F4"/>
    <w:rsid w:val="003228BB"/>
    <w:rsid w:val="00325EF6"/>
    <w:rsid w:val="00330D15"/>
    <w:rsid w:val="00332A64"/>
    <w:rsid w:val="00342078"/>
    <w:rsid w:val="003470CD"/>
    <w:rsid w:val="00350471"/>
    <w:rsid w:val="00352C61"/>
    <w:rsid w:val="00352EE1"/>
    <w:rsid w:val="003558F1"/>
    <w:rsid w:val="003579EC"/>
    <w:rsid w:val="003601B3"/>
    <w:rsid w:val="00362350"/>
    <w:rsid w:val="00364D59"/>
    <w:rsid w:val="00365713"/>
    <w:rsid w:val="00365E43"/>
    <w:rsid w:val="00371942"/>
    <w:rsid w:val="003743A8"/>
    <w:rsid w:val="00375C3F"/>
    <w:rsid w:val="00384ACA"/>
    <w:rsid w:val="0038530B"/>
    <w:rsid w:val="0038702D"/>
    <w:rsid w:val="00393AE3"/>
    <w:rsid w:val="00396ED7"/>
    <w:rsid w:val="003971D3"/>
    <w:rsid w:val="003A00E9"/>
    <w:rsid w:val="003A1657"/>
    <w:rsid w:val="003A66C1"/>
    <w:rsid w:val="003B1786"/>
    <w:rsid w:val="003B3CB3"/>
    <w:rsid w:val="003B66E1"/>
    <w:rsid w:val="003C138F"/>
    <w:rsid w:val="003C567A"/>
    <w:rsid w:val="003C57B3"/>
    <w:rsid w:val="003C75D1"/>
    <w:rsid w:val="003D003B"/>
    <w:rsid w:val="003D1AC7"/>
    <w:rsid w:val="003D5069"/>
    <w:rsid w:val="003D545D"/>
    <w:rsid w:val="003D62FB"/>
    <w:rsid w:val="003D74CE"/>
    <w:rsid w:val="003E4AF6"/>
    <w:rsid w:val="003E5ED0"/>
    <w:rsid w:val="003F021C"/>
    <w:rsid w:val="003F1975"/>
    <w:rsid w:val="003F2477"/>
    <w:rsid w:val="003F2B94"/>
    <w:rsid w:val="003F2F09"/>
    <w:rsid w:val="003F37BF"/>
    <w:rsid w:val="00405A7E"/>
    <w:rsid w:val="00410D5A"/>
    <w:rsid w:val="00411A88"/>
    <w:rsid w:val="004129D8"/>
    <w:rsid w:val="004244A9"/>
    <w:rsid w:val="004266DD"/>
    <w:rsid w:val="0043014A"/>
    <w:rsid w:val="0043379E"/>
    <w:rsid w:val="004401C5"/>
    <w:rsid w:val="00441A94"/>
    <w:rsid w:val="00450A20"/>
    <w:rsid w:val="0045433C"/>
    <w:rsid w:val="00463C1A"/>
    <w:rsid w:val="0046402A"/>
    <w:rsid w:val="00471D93"/>
    <w:rsid w:val="004749E4"/>
    <w:rsid w:val="00474D35"/>
    <w:rsid w:val="00475F12"/>
    <w:rsid w:val="004764AA"/>
    <w:rsid w:val="004856AE"/>
    <w:rsid w:val="004918B4"/>
    <w:rsid w:val="00491BCA"/>
    <w:rsid w:val="00492A4C"/>
    <w:rsid w:val="004A34CA"/>
    <w:rsid w:val="004B3AAE"/>
    <w:rsid w:val="004B42CC"/>
    <w:rsid w:val="004B4636"/>
    <w:rsid w:val="004C0C0B"/>
    <w:rsid w:val="004C56A4"/>
    <w:rsid w:val="004C7811"/>
    <w:rsid w:val="004D22C4"/>
    <w:rsid w:val="004D633C"/>
    <w:rsid w:val="004D64FA"/>
    <w:rsid w:val="004D6A35"/>
    <w:rsid w:val="004D7750"/>
    <w:rsid w:val="004E222B"/>
    <w:rsid w:val="004E40FA"/>
    <w:rsid w:val="004F0464"/>
    <w:rsid w:val="004F7923"/>
    <w:rsid w:val="004F7DE7"/>
    <w:rsid w:val="00500AB4"/>
    <w:rsid w:val="00503679"/>
    <w:rsid w:val="005069E2"/>
    <w:rsid w:val="00511FD8"/>
    <w:rsid w:val="0051380A"/>
    <w:rsid w:val="00514A01"/>
    <w:rsid w:val="005152EF"/>
    <w:rsid w:val="00517283"/>
    <w:rsid w:val="0052008F"/>
    <w:rsid w:val="00520F1D"/>
    <w:rsid w:val="00535F6F"/>
    <w:rsid w:val="00537ECD"/>
    <w:rsid w:val="0054240F"/>
    <w:rsid w:val="005427B7"/>
    <w:rsid w:val="005433E2"/>
    <w:rsid w:val="00547BEB"/>
    <w:rsid w:val="00550189"/>
    <w:rsid w:val="00550385"/>
    <w:rsid w:val="00550F1F"/>
    <w:rsid w:val="0055242C"/>
    <w:rsid w:val="0055455C"/>
    <w:rsid w:val="00554CF1"/>
    <w:rsid w:val="00562091"/>
    <w:rsid w:val="00567845"/>
    <w:rsid w:val="0057055D"/>
    <w:rsid w:val="00572876"/>
    <w:rsid w:val="0057334A"/>
    <w:rsid w:val="0058424F"/>
    <w:rsid w:val="005844B4"/>
    <w:rsid w:val="0058691C"/>
    <w:rsid w:val="00592486"/>
    <w:rsid w:val="00594043"/>
    <w:rsid w:val="0059476E"/>
    <w:rsid w:val="005A1A61"/>
    <w:rsid w:val="005A5072"/>
    <w:rsid w:val="005B0B0B"/>
    <w:rsid w:val="005B63A5"/>
    <w:rsid w:val="005C17FC"/>
    <w:rsid w:val="005C3655"/>
    <w:rsid w:val="005D0DF1"/>
    <w:rsid w:val="005D3216"/>
    <w:rsid w:val="005D34F9"/>
    <w:rsid w:val="005D405A"/>
    <w:rsid w:val="005D558A"/>
    <w:rsid w:val="005D6F32"/>
    <w:rsid w:val="005E7544"/>
    <w:rsid w:val="005F493B"/>
    <w:rsid w:val="00602950"/>
    <w:rsid w:val="00607F70"/>
    <w:rsid w:val="006109DD"/>
    <w:rsid w:val="006235B2"/>
    <w:rsid w:val="00624991"/>
    <w:rsid w:val="00632D0A"/>
    <w:rsid w:val="00633615"/>
    <w:rsid w:val="00636584"/>
    <w:rsid w:val="00643F07"/>
    <w:rsid w:val="00645A86"/>
    <w:rsid w:val="006479BF"/>
    <w:rsid w:val="0065011F"/>
    <w:rsid w:val="00651554"/>
    <w:rsid w:val="006549EB"/>
    <w:rsid w:val="00657A2A"/>
    <w:rsid w:val="006618FE"/>
    <w:rsid w:val="006622E3"/>
    <w:rsid w:val="00665445"/>
    <w:rsid w:val="00666CFA"/>
    <w:rsid w:val="00667914"/>
    <w:rsid w:val="00670047"/>
    <w:rsid w:val="006712BA"/>
    <w:rsid w:val="00672881"/>
    <w:rsid w:val="006740CC"/>
    <w:rsid w:val="00687A05"/>
    <w:rsid w:val="00692E0A"/>
    <w:rsid w:val="00693C51"/>
    <w:rsid w:val="0069536C"/>
    <w:rsid w:val="00696341"/>
    <w:rsid w:val="006A718E"/>
    <w:rsid w:val="006B02AF"/>
    <w:rsid w:val="006B328D"/>
    <w:rsid w:val="006B7E3B"/>
    <w:rsid w:val="006C0E0F"/>
    <w:rsid w:val="006C18D1"/>
    <w:rsid w:val="006C1B9E"/>
    <w:rsid w:val="006C1D0E"/>
    <w:rsid w:val="006C3912"/>
    <w:rsid w:val="006C4D64"/>
    <w:rsid w:val="006C7194"/>
    <w:rsid w:val="006D530D"/>
    <w:rsid w:val="006D594A"/>
    <w:rsid w:val="006E0D52"/>
    <w:rsid w:val="006E22F2"/>
    <w:rsid w:val="006E4CBB"/>
    <w:rsid w:val="006E52DF"/>
    <w:rsid w:val="006E5722"/>
    <w:rsid w:val="006E60AE"/>
    <w:rsid w:val="006E6966"/>
    <w:rsid w:val="006F375F"/>
    <w:rsid w:val="006F3967"/>
    <w:rsid w:val="006F7575"/>
    <w:rsid w:val="00701EC6"/>
    <w:rsid w:val="00705AFE"/>
    <w:rsid w:val="00705CC9"/>
    <w:rsid w:val="007061C1"/>
    <w:rsid w:val="007100CF"/>
    <w:rsid w:val="00716D92"/>
    <w:rsid w:val="0072066B"/>
    <w:rsid w:val="00720F39"/>
    <w:rsid w:val="00721129"/>
    <w:rsid w:val="00723EB7"/>
    <w:rsid w:val="0072690B"/>
    <w:rsid w:val="00727B35"/>
    <w:rsid w:val="00731C15"/>
    <w:rsid w:val="0073446B"/>
    <w:rsid w:val="007362C9"/>
    <w:rsid w:val="0073698D"/>
    <w:rsid w:val="0073791A"/>
    <w:rsid w:val="007402C8"/>
    <w:rsid w:val="00740509"/>
    <w:rsid w:val="00741290"/>
    <w:rsid w:val="00745958"/>
    <w:rsid w:val="00745E27"/>
    <w:rsid w:val="00752FBF"/>
    <w:rsid w:val="0075326E"/>
    <w:rsid w:val="007566C9"/>
    <w:rsid w:val="007567DD"/>
    <w:rsid w:val="00756AE9"/>
    <w:rsid w:val="0075720C"/>
    <w:rsid w:val="00757527"/>
    <w:rsid w:val="007648DB"/>
    <w:rsid w:val="00764AE3"/>
    <w:rsid w:val="00765637"/>
    <w:rsid w:val="007660CA"/>
    <w:rsid w:val="0076697C"/>
    <w:rsid w:val="007813A2"/>
    <w:rsid w:val="00784B81"/>
    <w:rsid w:val="007870FD"/>
    <w:rsid w:val="00787896"/>
    <w:rsid w:val="00790BD4"/>
    <w:rsid w:val="007938D3"/>
    <w:rsid w:val="00793B7C"/>
    <w:rsid w:val="00793D46"/>
    <w:rsid w:val="007A43F1"/>
    <w:rsid w:val="007A449C"/>
    <w:rsid w:val="007A5219"/>
    <w:rsid w:val="007A6A4D"/>
    <w:rsid w:val="007B0C22"/>
    <w:rsid w:val="007B0C2D"/>
    <w:rsid w:val="007B7AA5"/>
    <w:rsid w:val="007C1F8E"/>
    <w:rsid w:val="007C4CAC"/>
    <w:rsid w:val="007C5411"/>
    <w:rsid w:val="007C5931"/>
    <w:rsid w:val="007C7DF9"/>
    <w:rsid w:val="007D018A"/>
    <w:rsid w:val="007D791B"/>
    <w:rsid w:val="007D7C88"/>
    <w:rsid w:val="007E01B6"/>
    <w:rsid w:val="007E1C16"/>
    <w:rsid w:val="007E7867"/>
    <w:rsid w:val="007E7E60"/>
    <w:rsid w:val="007F6F34"/>
    <w:rsid w:val="007F71F9"/>
    <w:rsid w:val="007F781D"/>
    <w:rsid w:val="00805280"/>
    <w:rsid w:val="00805749"/>
    <w:rsid w:val="00805E49"/>
    <w:rsid w:val="00811AA1"/>
    <w:rsid w:val="00811FF6"/>
    <w:rsid w:val="008122D7"/>
    <w:rsid w:val="00815D38"/>
    <w:rsid w:val="00816BA6"/>
    <w:rsid w:val="00821DF1"/>
    <w:rsid w:val="00823A08"/>
    <w:rsid w:val="008254A6"/>
    <w:rsid w:val="008268B4"/>
    <w:rsid w:val="00827A97"/>
    <w:rsid w:val="00830BC5"/>
    <w:rsid w:val="00831475"/>
    <w:rsid w:val="00832221"/>
    <w:rsid w:val="00833563"/>
    <w:rsid w:val="008348EF"/>
    <w:rsid w:val="0084196C"/>
    <w:rsid w:val="00842101"/>
    <w:rsid w:val="00843DEC"/>
    <w:rsid w:val="00847332"/>
    <w:rsid w:val="00850E43"/>
    <w:rsid w:val="0085211D"/>
    <w:rsid w:val="00852A59"/>
    <w:rsid w:val="00856F1B"/>
    <w:rsid w:val="00860E11"/>
    <w:rsid w:val="00861109"/>
    <w:rsid w:val="008633D6"/>
    <w:rsid w:val="008654C8"/>
    <w:rsid w:val="008717EC"/>
    <w:rsid w:val="008724E4"/>
    <w:rsid w:val="008735D0"/>
    <w:rsid w:val="00873EB2"/>
    <w:rsid w:val="00876E0B"/>
    <w:rsid w:val="00877FCB"/>
    <w:rsid w:val="008835FF"/>
    <w:rsid w:val="0088412E"/>
    <w:rsid w:val="0088583F"/>
    <w:rsid w:val="00886C79"/>
    <w:rsid w:val="008872C2"/>
    <w:rsid w:val="0089025D"/>
    <w:rsid w:val="00890955"/>
    <w:rsid w:val="00892C25"/>
    <w:rsid w:val="00892D1C"/>
    <w:rsid w:val="00894459"/>
    <w:rsid w:val="00895388"/>
    <w:rsid w:val="00895A98"/>
    <w:rsid w:val="008A0FDA"/>
    <w:rsid w:val="008B06AF"/>
    <w:rsid w:val="008B3A81"/>
    <w:rsid w:val="008B5CDD"/>
    <w:rsid w:val="008C069D"/>
    <w:rsid w:val="008C25B5"/>
    <w:rsid w:val="008C3532"/>
    <w:rsid w:val="008C4386"/>
    <w:rsid w:val="008C54DD"/>
    <w:rsid w:val="008C5D26"/>
    <w:rsid w:val="008D102B"/>
    <w:rsid w:val="008D1841"/>
    <w:rsid w:val="008D50D2"/>
    <w:rsid w:val="008D691F"/>
    <w:rsid w:val="008F2CB2"/>
    <w:rsid w:val="008F7C6C"/>
    <w:rsid w:val="009009F1"/>
    <w:rsid w:val="009033FD"/>
    <w:rsid w:val="00903C94"/>
    <w:rsid w:val="00903E82"/>
    <w:rsid w:val="009059D2"/>
    <w:rsid w:val="00906042"/>
    <w:rsid w:val="00911433"/>
    <w:rsid w:val="00914DD3"/>
    <w:rsid w:val="0091741F"/>
    <w:rsid w:val="00920153"/>
    <w:rsid w:val="0092058C"/>
    <w:rsid w:val="009206DD"/>
    <w:rsid w:val="00922271"/>
    <w:rsid w:val="00930E54"/>
    <w:rsid w:val="0094296A"/>
    <w:rsid w:val="009443DE"/>
    <w:rsid w:val="0094517A"/>
    <w:rsid w:val="009648A7"/>
    <w:rsid w:val="009654DC"/>
    <w:rsid w:val="0096554D"/>
    <w:rsid w:val="00967C0C"/>
    <w:rsid w:val="00974FEC"/>
    <w:rsid w:val="0097715F"/>
    <w:rsid w:val="00982CD0"/>
    <w:rsid w:val="009841ED"/>
    <w:rsid w:val="0098627E"/>
    <w:rsid w:val="0098640D"/>
    <w:rsid w:val="00990127"/>
    <w:rsid w:val="009902EC"/>
    <w:rsid w:val="00996631"/>
    <w:rsid w:val="009977EA"/>
    <w:rsid w:val="009A1F29"/>
    <w:rsid w:val="009A2EE3"/>
    <w:rsid w:val="009A31E3"/>
    <w:rsid w:val="009A3238"/>
    <w:rsid w:val="009B2A7A"/>
    <w:rsid w:val="009C03D7"/>
    <w:rsid w:val="009C3EEC"/>
    <w:rsid w:val="009C5829"/>
    <w:rsid w:val="009D31B8"/>
    <w:rsid w:val="009D3353"/>
    <w:rsid w:val="009E3C01"/>
    <w:rsid w:val="009E6228"/>
    <w:rsid w:val="009F0EF6"/>
    <w:rsid w:val="009F2D52"/>
    <w:rsid w:val="009F407D"/>
    <w:rsid w:val="009F4ECD"/>
    <w:rsid w:val="009F5072"/>
    <w:rsid w:val="009F5B1C"/>
    <w:rsid w:val="009F72B2"/>
    <w:rsid w:val="00A00444"/>
    <w:rsid w:val="00A02908"/>
    <w:rsid w:val="00A02E82"/>
    <w:rsid w:val="00A10A2C"/>
    <w:rsid w:val="00A13613"/>
    <w:rsid w:val="00A17C30"/>
    <w:rsid w:val="00A209A2"/>
    <w:rsid w:val="00A21B85"/>
    <w:rsid w:val="00A24FAF"/>
    <w:rsid w:val="00A31389"/>
    <w:rsid w:val="00A31612"/>
    <w:rsid w:val="00A325DD"/>
    <w:rsid w:val="00A34898"/>
    <w:rsid w:val="00A41C81"/>
    <w:rsid w:val="00A43530"/>
    <w:rsid w:val="00A44335"/>
    <w:rsid w:val="00A4498A"/>
    <w:rsid w:val="00A47E96"/>
    <w:rsid w:val="00A504B9"/>
    <w:rsid w:val="00A50D18"/>
    <w:rsid w:val="00A52D3F"/>
    <w:rsid w:val="00A52DB4"/>
    <w:rsid w:val="00A53A43"/>
    <w:rsid w:val="00A55430"/>
    <w:rsid w:val="00A60D55"/>
    <w:rsid w:val="00A61A23"/>
    <w:rsid w:val="00A6577A"/>
    <w:rsid w:val="00A65D9F"/>
    <w:rsid w:val="00A67FA5"/>
    <w:rsid w:val="00A713E3"/>
    <w:rsid w:val="00A71F21"/>
    <w:rsid w:val="00A770A0"/>
    <w:rsid w:val="00A77480"/>
    <w:rsid w:val="00A80C31"/>
    <w:rsid w:val="00A8587A"/>
    <w:rsid w:val="00A85E9D"/>
    <w:rsid w:val="00A90B64"/>
    <w:rsid w:val="00A9173A"/>
    <w:rsid w:val="00A961CE"/>
    <w:rsid w:val="00AA7F7B"/>
    <w:rsid w:val="00AB3124"/>
    <w:rsid w:val="00AB5199"/>
    <w:rsid w:val="00AB76E7"/>
    <w:rsid w:val="00AC3AF3"/>
    <w:rsid w:val="00AC40B0"/>
    <w:rsid w:val="00AC4881"/>
    <w:rsid w:val="00AC4F14"/>
    <w:rsid w:val="00AC7497"/>
    <w:rsid w:val="00AC75FD"/>
    <w:rsid w:val="00AC7CF8"/>
    <w:rsid w:val="00AD53F0"/>
    <w:rsid w:val="00AD595C"/>
    <w:rsid w:val="00AE2955"/>
    <w:rsid w:val="00AE2C34"/>
    <w:rsid w:val="00AE75EA"/>
    <w:rsid w:val="00AF1310"/>
    <w:rsid w:val="00AF4C4A"/>
    <w:rsid w:val="00AF7899"/>
    <w:rsid w:val="00B01CBC"/>
    <w:rsid w:val="00B02E05"/>
    <w:rsid w:val="00B03F55"/>
    <w:rsid w:val="00B04AE5"/>
    <w:rsid w:val="00B060E2"/>
    <w:rsid w:val="00B10CD1"/>
    <w:rsid w:val="00B12946"/>
    <w:rsid w:val="00B1413B"/>
    <w:rsid w:val="00B161FF"/>
    <w:rsid w:val="00B20B2E"/>
    <w:rsid w:val="00B20CB4"/>
    <w:rsid w:val="00B2754E"/>
    <w:rsid w:val="00B316B4"/>
    <w:rsid w:val="00B3277F"/>
    <w:rsid w:val="00B37D32"/>
    <w:rsid w:val="00B43E75"/>
    <w:rsid w:val="00B456AB"/>
    <w:rsid w:val="00B521C7"/>
    <w:rsid w:val="00B529E8"/>
    <w:rsid w:val="00B53117"/>
    <w:rsid w:val="00B53898"/>
    <w:rsid w:val="00B60560"/>
    <w:rsid w:val="00B62892"/>
    <w:rsid w:val="00B62920"/>
    <w:rsid w:val="00B64F97"/>
    <w:rsid w:val="00B65928"/>
    <w:rsid w:val="00B65B1E"/>
    <w:rsid w:val="00B66A13"/>
    <w:rsid w:val="00B67D98"/>
    <w:rsid w:val="00B70006"/>
    <w:rsid w:val="00B80902"/>
    <w:rsid w:val="00B844B5"/>
    <w:rsid w:val="00B84BDC"/>
    <w:rsid w:val="00B85F7F"/>
    <w:rsid w:val="00B90D6D"/>
    <w:rsid w:val="00B92515"/>
    <w:rsid w:val="00B967BB"/>
    <w:rsid w:val="00B9742D"/>
    <w:rsid w:val="00B97992"/>
    <w:rsid w:val="00B97ACC"/>
    <w:rsid w:val="00B97D2A"/>
    <w:rsid w:val="00BA092E"/>
    <w:rsid w:val="00BA53D1"/>
    <w:rsid w:val="00BA56AD"/>
    <w:rsid w:val="00BB16A5"/>
    <w:rsid w:val="00BC08DA"/>
    <w:rsid w:val="00BC0DF2"/>
    <w:rsid w:val="00BC4B35"/>
    <w:rsid w:val="00BD058D"/>
    <w:rsid w:val="00BD25E8"/>
    <w:rsid w:val="00BD2AD7"/>
    <w:rsid w:val="00BD3233"/>
    <w:rsid w:val="00BD3627"/>
    <w:rsid w:val="00BD4AA1"/>
    <w:rsid w:val="00BD68D7"/>
    <w:rsid w:val="00BE117C"/>
    <w:rsid w:val="00BE1525"/>
    <w:rsid w:val="00BE350A"/>
    <w:rsid w:val="00BE3855"/>
    <w:rsid w:val="00BE519F"/>
    <w:rsid w:val="00BE7ED6"/>
    <w:rsid w:val="00BF2EEB"/>
    <w:rsid w:val="00BF5B7E"/>
    <w:rsid w:val="00C04604"/>
    <w:rsid w:val="00C07B28"/>
    <w:rsid w:val="00C12339"/>
    <w:rsid w:val="00C12AB6"/>
    <w:rsid w:val="00C12E33"/>
    <w:rsid w:val="00C150C9"/>
    <w:rsid w:val="00C225A2"/>
    <w:rsid w:val="00C236B1"/>
    <w:rsid w:val="00C25528"/>
    <w:rsid w:val="00C25954"/>
    <w:rsid w:val="00C303BE"/>
    <w:rsid w:val="00C303D9"/>
    <w:rsid w:val="00C30980"/>
    <w:rsid w:val="00C30E1A"/>
    <w:rsid w:val="00C33B74"/>
    <w:rsid w:val="00C373B4"/>
    <w:rsid w:val="00C430AF"/>
    <w:rsid w:val="00C4352C"/>
    <w:rsid w:val="00C43906"/>
    <w:rsid w:val="00C46359"/>
    <w:rsid w:val="00C471AF"/>
    <w:rsid w:val="00C51FB6"/>
    <w:rsid w:val="00C52BB6"/>
    <w:rsid w:val="00C534A2"/>
    <w:rsid w:val="00C536EB"/>
    <w:rsid w:val="00C61393"/>
    <w:rsid w:val="00C63A14"/>
    <w:rsid w:val="00C706F1"/>
    <w:rsid w:val="00C7429B"/>
    <w:rsid w:val="00C758AD"/>
    <w:rsid w:val="00C76DE5"/>
    <w:rsid w:val="00C8203F"/>
    <w:rsid w:val="00C85785"/>
    <w:rsid w:val="00C86222"/>
    <w:rsid w:val="00C863D5"/>
    <w:rsid w:val="00C86AFB"/>
    <w:rsid w:val="00C870AE"/>
    <w:rsid w:val="00C87CCF"/>
    <w:rsid w:val="00C970AF"/>
    <w:rsid w:val="00C977C2"/>
    <w:rsid w:val="00C97F41"/>
    <w:rsid w:val="00CA0FCA"/>
    <w:rsid w:val="00CA103C"/>
    <w:rsid w:val="00CA48FE"/>
    <w:rsid w:val="00CA4F22"/>
    <w:rsid w:val="00CA615E"/>
    <w:rsid w:val="00CB0A45"/>
    <w:rsid w:val="00CB3DDB"/>
    <w:rsid w:val="00CB5D94"/>
    <w:rsid w:val="00CB76DC"/>
    <w:rsid w:val="00CC270D"/>
    <w:rsid w:val="00CC54FA"/>
    <w:rsid w:val="00CC6C1B"/>
    <w:rsid w:val="00CC6F72"/>
    <w:rsid w:val="00CD11C8"/>
    <w:rsid w:val="00CD2558"/>
    <w:rsid w:val="00CD42B5"/>
    <w:rsid w:val="00CD4CD4"/>
    <w:rsid w:val="00CD5758"/>
    <w:rsid w:val="00CD5879"/>
    <w:rsid w:val="00CD6C89"/>
    <w:rsid w:val="00CE4705"/>
    <w:rsid w:val="00D01DE5"/>
    <w:rsid w:val="00D01DFF"/>
    <w:rsid w:val="00D0307E"/>
    <w:rsid w:val="00D0366C"/>
    <w:rsid w:val="00D069E3"/>
    <w:rsid w:val="00D07F87"/>
    <w:rsid w:val="00D1024C"/>
    <w:rsid w:val="00D11643"/>
    <w:rsid w:val="00D13E12"/>
    <w:rsid w:val="00D210D3"/>
    <w:rsid w:val="00D228FB"/>
    <w:rsid w:val="00D23D55"/>
    <w:rsid w:val="00D24D7A"/>
    <w:rsid w:val="00D30F8D"/>
    <w:rsid w:val="00D3386A"/>
    <w:rsid w:val="00D3401B"/>
    <w:rsid w:val="00D340D1"/>
    <w:rsid w:val="00D34266"/>
    <w:rsid w:val="00D345DC"/>
    <w:rsid w:val="00D36594"/>
    <w:rsid w:val="00D36BF6"/>
    <w:rsid w:val="00D40636"/>
    <w:rsid w:val="00D429B8"/>
    <w:rsid w:val="00D42B8D"/>
    <w:rsid w:val="00D465C0"/>
    <w:rsid w:val="00D47233"/>
    <w:rsid w:val="00D47698"/>
    <w:rsid w:val="00D5417D"/>
    <w:rsid w:val="00D566EF"/>
    <w:rsid w:val="00D56F3D"/>
    <w:rsid w:val="00D608C9"/>
    <w:rsid w:val="00D644E7"/>
    <w:rsid w:val="00D6768D"/>
    <w:rsid w:val="00D70017"/>
    <w:rsid w:val="00D7136D"/>
    <w:rsid w:val="00D71BD5"/>
    <w:rsid w:val="00D7416A"/>
    <w:rsid w:val="00D7432B"/>
    <w:rsid w:val="00D745D2"/>
    <w:rsid w:val="00D75567"/>
    <w:rsid w:val="00D755A6"/>
    <w:rsid w:val="00D76F4A"/>
    <w:rsid w:val="00D77BB2"/>
    <w:rsid w:val="00D80B57"/>
    <w:rsid w:val="00D8114A"/>
    <w:rsid w:val="00D8567F"/>
    <w:rsid w:val="00D8737F"/>
    <w:rsid w:val="00D9159A"/>
    <w:rsid w:val="00D93318"/>
    <w:rsid w:val="00D93B13"/>
    <w:rsid w:val="00D97A86"/>
    <w:rsid w:val="00D97D0E"/>
    <w:rsid w:val="00D97D6C"/>
    <w:rsid w:val="00DA3688"/>
    <w:rsid w:val="00DA6D8C"/>
    <w:rsid w:val="00DB54B9"/>
    <w:rsid w:val="00DB5FB4"/>
    <w:rsid w:val="00DC1CE4"/>
    <w:rsid w:val="00DD1F9A"/>
    <w:rsid w:val="00DD2257"/>
    <w:rsid w:val="00DD62EC"/>
    <w:rsid w:val="00DD761A"/>
    <w:rsid w:val="00DE35E2"/>
    <w:rsid w:val="00DE3936"/>
    <w:rsid w:val="00DE6F36"/>
    <w:rsid w:val="00DE7984"/>
    <w:rsid w:val="00DE79B1"/>
    <w:rsid w:val="00DF2040"/>
    <w:rsid w:val="00DF3805"/>
    <w:rsid w:val="00E03CDB"/>
    <w:rsid w:val="00E05592"/>
    <w:rsid w:val="00E068E9"/>
    <w:rsid w:val="00E22D94"/>
    <w:rsid w:val="00E27C29"/>
    <w:rsid w:val="00E33ED3"/>
    <w:rsid w:val="00E357D2"/>
    <w:rsid w:val="00E364DB"/>
    <w:rsid w:val="00E36976"/>
    <w:rsid w:val="00E37EE4"/>
    <w:rsid w:val="00E41034"/>
    <w:rsid w:val="00E4180E"/>
    <w:rsid w:val="00E47044"/>
    <w:rsid w:val="00E51846"/>
    <w:rsid w:val="00E54F18"/>
    <w:rsid w:val="00E55F10"/>
    <w:rsid w:val="00E56072"/>
    <w:rsid w:val="00E57E3C"/>
    <w:rsid w:val="00E60533"/>
    <w:rsid w:val="00E6342E"/>
    <w:rsid w:val="00E70EC1"/>
    <w:rsid w:val="00E733BC"/>
    <w:rsid w:val="00E74D07"/>
    <w:rsid w:val="00E802FD"/>
    <w:rsid w:val="00E805FD"/>
    <w:rsid w:val="00E83B94"/>
    <w:rsid w:val="00E908A8"/>
    <w:rsid w:val="00E90C04"/>
    <w:rsid w:val="00E97AFC"/>
    <w:rsid w:val="00EA050C"/>
    <w:rsid w:val="00EA724D"/>
    <w:rsid w:val="00EB07FC"/>
    <w:rsid w:val="00EB12C2"/>
    <w:rsid w:val="00EB3024"/>
    <w:rsid w:val="00EB501D"/>
    <w:rsid w:val="00EB65FC"/>
    <w:rsid w:val="00EC156C"/>
    <w:rsid w:val="00EC26D9"/>
    <w:rsid w:val="00EC7987"/>
    <w:rsid w:val="00ED096E"/>
    <w:rsid w:val="00ED3952"/>
    <w:rsid w:val="00ED540B"/>
    <w:rsid w:val="00ED5FD2"/>
    <w:rsid w:val="00ED7309"/>
    <w:rsid w:val="00EE3595"/>
    <w:rsid w:val="00EE4972"/>
    <w:rsid w:val="00EE72CA"/>
    <w:rsid w:val="00EE7918"/>
    <w:rsid w:val="00EF3EBD"/>
    <w:rsid w:val="00EF48A1"/>
    <w:rsid w:val="00EF5154"/>
    <w:rsid w:val="00EF66CF"/>
    <w:rsid w:val="00F036E0"/>
    <w:rsid w:val="00F03F7E"/>
    <w:rsid w:val="00F042DF"/>
    <w:rsid w:val="00F07CB6"/>
    <w:rsid w:val="00F10F98"/>
    <w:rsid w:val="00F10FB9"/>
    <w:rsid w:val="00F24BEE"/>
    <w:rsid w:val="00F30750"/>
    <w:rsid w:val="00F33EDC"/>
    <w:rsid w:val="00F34A7B"/>
    <w:rsid w:val="00F40013"/>
    <w:rsid w:val="00F41271"/>
    <w:rsid w:val="00F429C5"/>
    <w:rsid w:val="00F46704"/>
    <w:rsid w:val="00F51C0B"/>
    <w:rsid w:val="00F57E3F"/>
    <w:rsid w:val="00F652E6"/>
    <w:rsid w:val="00F7178E"/>
    <w:rsid w:val="00F75891"/>
    <w:rsid w:val="00F7768A"/>
    <w:rsid w:val="00F80912"/>
    <w:rsid w:val="00F82BCA"/>
    <w:rsid w:val="00F866E6"/>
    <w:rsid w:val="00FA030E"/>
    <w:rsid w:val="00FA0BDD"/>
    <w:rsid w:val="00FA13FD"/>
    <w:rsid w:val="00FA19AE"/>
    <w:rsid w:val="00FA3BF7"/>
    <w:rsid w:val="00FB0100"/>
    <w:rsid w:val="00FB1509"/>
    <w:rsid w:val="00FB5BCD"/>
    <w:rsid w:val="00FC4330"/>
    <w:rsid w:val="00FC5C9A"/>
    <w:rsid w:val="00FD0220"/>
    <w:rsid w:val="00FD231F"/>
    <w:rsid w:val="00FD2988"/>
    <w:rsid w:val="00FD2B22"/>
    <w:rsid w:val="00FD4615"/>
    <w:rsid w:val="00FD7A92"/>
    <w:rsid w:val="00FE0D60"/>
    <w:rsid w:val="00FE256D"/>
    <w:rsid w:val="00FE7EEB"/>
    <w:rsid w:val="00FE7FE3"/>
    <w:rsid w:val="00FF2676"/>
    <w:rsid w:val="00FF26A1"/>
    <w:rsid w:val="00FF26D9"/>
    <w:rsid w:val="00FF75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E5B1B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D8C"/>
    <w:pPr>
      <w:autoSpaceDE w:val="0"/>
      <w:autoSpaceDN w:val="0"/>
      <w:adjustRightInd w:val="0"/>
      <w:spacing w:after="240" w:line="360" w:lineRule="auto"/>
      <w:ind w:left="43"/>
    </w:pPr>
    <w:rPr>
      <w:rFonts w:ascii="Arial" w:hAnsi="Arial" w:cs="Times New Roman"/>
      <w:szCs w:val="24"/>
      <w:lang w:val="en-GB"/>
    </w:rPr>
  </w:style>
  <w:style w:type="paragraph" w:styleId="Heading1">
    <w:name w:val="heading 1"/>
    <w:basedOn w:val="Normal"/>
    <w:next w:val="Normal"/>
    <w:link w:val="Heading1Char"/>
    <w:qFormat/>
    <w:rsid w:val="00DA6D8C"/>
    <w:pPr>
      <w:keepNext/>
      <w:tabs>
        <w:tab w:val="left" w:pos="2205"/>
      </w:tabs>
      <w:spacing w:before="240"/>
      <w:outlineLvl w:val="0"/>
    </w:pPr>
    <w:rPr>
      <w:rFonts w:ascii="Arial Bold" w:hAnsi="Arial Bold" w:cs="Shaker 2 Lancet"/>
      <w:b/>
      <w:bCs/>
      <w:color w:val="000000"/>
    </w:rPr>
  </w:style>
  <w:style w:type="paragraph" w:styleId="Heading2">
    <w:name w:val="heading 2"/>
    <w:basedOn w:val="Normal"/>
    <w:next w:val="Normal"/>
    <w:link w:val="Heading2Char"/>
    <w:qFormat/>
    <w:rsid w:val="00DA6D8C"/>
    <w:pPr>
      <w:keepNext/>
      <w:spacing w:after="200"/>
      <w:outlineLvl w:val="1"/>
    </w:pPr>
    <w:rPr>
      <w:rFonts w:cs="Arial"/>
      <w:b/>
      <w:bCs/>
      <w:i/>
      <w:szCs w:val="22"/>
    </w:rPr>
  </w:style>
  <w:style w:type="paragraph" w:styleId="Heading3">
    <w:name w:val="heading 3"/>
    <w:basedOn w:val="Normal"/>
    <w:next w:val="Normal"/>
    <w:link w:val="Heading3Char"/>
    <w:qFormat/>
    <w:rsid w:val="00DA6D8C"/>
    <w:pPr>
      <w:keepNext/>
      <w:spacing w:before="120" w:after="120"/>
      <w:outlineLvl w:val="2"/>
    </w:pPr>
    <w:rPr>
      <w:i/>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A6D8C"/>
    <w:rPr>
      <w:rFonts w:ascii="Arial Bold" w:hAnsi="Arial Bold" w:cs="Shaker 2 Lancet"/>
      <w:b/>
      <w:bCs/>
      <w:color w:val="000000"/>
      <w:szCs w:val="24"/>
      <w:lang w:val="en-GB"/>
    </w:rPr>
  </w:style>
  <w:style w:type="character" w:customStyle="1" w:styleId="Heading2Char">
    <w:name w:val="Heading 2 Char"/>
    <w:basedOn w:val="DefaultParagraphFont"/>
    <w:link w:val="Heading2"/>
    <w:rsid w:val="00DA6D8C"/>
    <w:rPr>
      <w:rFonts w:ascii="Arial" w:hAnsi="Arial" w:cs="Arial"/>
      <w:b/>
      <w:bCs/>
      <w:i/>
      <w:lang w:val="en-GB"/>
    </w:rPr>
  </w:style>
  <w:style w:type="character" w:customStyle="1" w:styleId="Heading3Char">
    <w:name w:val="Heading 3 Char"/>
    <w:basedOn w:val="DefaultParagraphFont"/>
    <w:link w:val="Heading3"/>
    <w:rsid w:val="00DA6D8C"/>
    <w:rPr>
      <w:rFonts w:ascii="Arial" w:hAnsi="Arial" w:cs="Times New Roman"/>
      <w:i/>
      <w:iCs/>
      <w:szCs w:val="26"/>
      <w:lang w:val="en-GB"/>
    </w:rPr>
  </w:style>
  <w:style w:type="paragraph" w:styleId="NoSpacing">
    <w:name w:val="No Spacing"/>
    <w:uiPriority w:val="1"/>
    <w:qFormat/>
    <w:rsid w:val="00DA6D8C"/>
    <w:pPr>
      <w:autoSpaceDE w:val="0"/>
      <w:autoSpaceDN w:val="0"/>
      <w:adjustRightInd w:val="0"/>
      <w:spacing w:after="0" w:line="240" w:lineRule="auto"/>
      <w:ind w:left="43"/>
    </w:pPr>
    <w:rPr>
      <w:rFonts w:ascii="Times New Roman" w:hAnsi="Times New Roman" w:cs="Times New Roman"/>
      <w:sz w:val="24"/>
      <w:szCs w:val="24"/>
      <w:lang w:val="en-GB"/>
    </w:rPr>
  </w:style>
  <w:style w:type="table" w:customStyle="1" w:styleId="PlainTable110">
    <w:name w:val="Plain Table 110"/>
    <w:basedOn w:val="TableNormal"/>
    <w:uiPriority w:val="41"/>
    <w:rsid w:val="00DA6D8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59"/>
    <w:rsid w:val="00DA6D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E62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6228"/>
    <w:rPr>
      <w:rFonts w:ascii="Segoe UI" w:hAnsi="Segoe UI" w:cs="Segoe UI"/>
      <w:sz w:val="18"/>
      <w:szCs w:val="18"/>
      <w:lang w:val="en-GB"/>
    </w:rPr>
  </w:style>
  <w:style w:type="paragraph" w:styleId="Header">
    <w:name w:val="header"/>
    <w:basedOn w:val="Normal"/>
    <w:link w:val="HeaderChar"/>
    <w:uiPriority w:val="99"/>
    <w:unhideWhenUsed/>
    <w:rsid w:val="009E62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6228"/>
    <w:rPr>
      <w:rFonts w:ascii="Arial" w:hAnsi="Arial" w:cs="Times New Roman"/>
      <w:szCs w:val="24"/>
      <w:lang w:val="en-GB"/>
    </w:rPr>
  </w:style>
  <w:style w:type="paragraph" w:styleId="Footer">
    <w:name w:val="footer"/>
    <w:basedOn w:val="Normal"/>
    <w:link w:val="FooterChar"/>
    <w:uiPriority w:val="99"/>
    <w:unhideWhenUsed/>
    <w:rsid w:val="009E62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6228"/>
    <w:rPr>
      <w:rFonts w:ascii="Arial" w:hAnsi="Arial" w:cs="Times New Roman"/>
      <w:szCs w:val="24"/>
      <w:lang w:val="en-GB"/>
    </w:rPr>
  </w:style>
  <w:style w:type="character" w:styleId="CommentReference">
    <w:name w:val="annotation reference"/>
    <w:basedOn w:val="DefaultParagraphFont"/>
    <w:uiPriority w:val="99"/>
    <w:semiHidden/>
    <w:unhideWhenUsed/>
    <w:rsid w:val="008C25B5"/>
    <w:rPr>
      <w:sz w:val="16"/>
      <w:szCs w:val="16"/>
    </w:rPr>
  </w:style>
  <w:style w:type="paragraph" w:styleId="CommentText">
    <w:name w:val="annotation text"/>
    <w:basedOn w:val="Normal"/>
    <w:link w:val="CommentTextChar"/>
    <w:uiPriority w:val="99"/>
    <w:unhideWhenUsed/>
    <w:rsid w:val="008C25B5"/>
    <w:pPr>
      <w:spacing w:line="240" w:lineRule="auto"/>
    </w:pPr>
    <w:rPr>
      <w:sz w:val="20"/>
      <w:szCs w:val="20"/>
    </w:rPr>
  </w:style>
  <w:style w:type="character" w:customStyle="1" w:styleId="CommentTextChar">
    <w:name w:val="Comment Text Char"/>
    <w:basedOn w:val="DefaultParagraphFont"/>
    <w:link w:val="CommentText"/>
    <w:uiPriority w:val="99"/>
    <w:rsid w:val="008C25B5"/>
    <w:rPr>
      <w:rFonts w:ascii="Arial" w:hAnsi="Arial"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8C25B5"/>
    <w:rPr>
      <w:b/>
      <w:bCs/>
    </w:rPr>
  </w:style>
  <w:style w:type="character" w:customStyle="1" w:styleId="CommentSubjectChar">
    <w:name w:val="Comment Subject Char"/>
    <w:basedOn w:val="CommentTextChar"/>
    <w:link w:val="CommentSubject"/>
    <w:uiPriority w:val="99"/>
    <w:semiHidden/>
    <w:rsid w:val="008C25B5"/>
    <w:rPr>
      <w:rFonts w:ascii="Arial" w:hAnsi="Arial"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1401</Words>
  <Characters>7987</Characters>
  <Application>Microsoft Office Word</Application>
  <DocSecurity>0</DocSecurity>
  <Lines>66</Lines>
  <Paragraphs>18</Paragraphs>
  <ScaleCrop>false</ScaleCrop>
  <Company/>
  <LinksUpToDate>false</LinksUpToDate>
  <CharactersWithSpaces>9370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2020-10-19T22:13:00Z</dcterms:created>
  <dcterms:modified xsi:type="dcterms:W3CDTF">2020-10-19T22:14:00Z</dcterms:modified>
</cp:coreProperties>
</file>