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footer2.xml" ContentType="application/vnd.openxmlformats-officedocument.wordprocessingml.footer+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B92" w:rsidRPr="006F67C8" w:rsidRDefault="00A23B92" w:rsidP="00A23B92">
      <w:pPr>
        <w:spacing w:line="480" w:lineRule="auto"/>
        <w:jc w:val="center"/>
        <w:rPr>
          <w:rFonts w:ascii="Times New Roman" w:hAnsi="Times New Roman"/>
          <w:lang w:val="en-GB"/>
        </w:rPr>
      </w:pPr>
      <w:r w:rsidRPr="006F67C8">
        <w:rPr>
          <w:rFonts w:ascii="Times New Roman" w:hAnsi="Times New Roman"/>
        </w:rPr>
        <w:t>Original article</w:t>
      </w:r>
    </w:p>
    <w:p w:rsidR="00A23B92" w:rsidRPr="006F67C8" w:rsidRDefault="00A23B92" w:rsidP="00A23B92">
      <w:pPr>
        <w:spacing w:line="480" w:lineRule="auto"/>
        <w:jc w:val="center"/>
        <w:rPr>
          <w:rFonts w:ascii="Times New Roman" w:hAnsi="Times New Roman"/>
          <w:b/>
          <w:szCs w:val="28"/>
          <w:lang w:val="en-GB"/>
        </w:rPr>
      </w:pPr>
      <w:r w:rsidRPr="006F67C8">
        <w:rPr>
          <w:rFonts w:ascii="Times New Roman" w:hAnsi="Times New Roman"/>
          <w:b/>
          <w:szCs w:val="28"/>
          <w:lang w:val="en-GB"/>
        </w:rPr>
        <w:t>Transanal Total Mesorectal Excision:</w:t>
      </w:r>
    </w:p>
    <w:p w:rsidR="00A23B92" w:rsidRPr="006F67C8" w:rsidRDefault="00A23B92" w:rsidP="00A23B92">
      <w:pPr>
        <w:spacing w:line="480" w:lineRule="auto"/>
        <w:jc w:val="center"/>
        <w:rPr>
          <w:rFonts w:ascii="Times New Roman" w:hAnsi="Times New Roman"/>
          <w:b/>
          <w:szCs w:val="28"/>
          <w:lang w:val="en-GB"/>
        </w:rPr>
      </w:pPr>
      <w:r w:rsidRPr="006F67C8">
        <w:rPr>
          <w:rFonts w:ascii="Times New Roman" w:hAnsi="Times New Roman"/>
          <w:b/>
          <w:szCs w:val="28"/>
          <w:lang w:val="en-GB"/>
        </w:rPr>
        <w:t>International Registry Results of the first 720 cases</w:t>
      </w:r>
    </w:p>
    <w:p w:rsidR="00A23B92" w:rsidRPr="006F67C8" w:rsidRDefault="00A23B92" w:rsidP="00A23B92">
      <w:pPr>
        <w:spacing w:line="480" w:lineRule="auto"/>
        <w:jc w:val="center"/>
        <w:rPr>
          <w:rFonts w:ascii="Times New Roman" w:hAnsi="Times New Roman"/>
          <w:b/>
          <w:lang w:val="en-GB"/>
        </w:rPr>
      </w:pPr>
    </w:p>
    <w:p w:rsidR="00A23B92" w:rsidRPr="006F67C8" w:rsidRDefault="00A23B92" w:rsidP="00A23B92">
      <w:pPr>
        <w:spacing w:line="480" w:lineRule="auto"/>
        <w:jc w:val="center"/>
        <w:rPr>
          <w:rFonts w:ascii="Times New Roman" w:hAnsi="Times New Roman"/>
        </w:rPr>
      </w:pPr>
      <w:r w:rsidRPr="006F67C8">
        <w:rPr>
          <w:rFonts w:ascii="Times New Roman" w:hAnsi="Times New Roman"/>
        </w:rPr>
        <w:t>Marta PENNA MRCS</w:t>
      </w:r>
      <w:r w:rsidRPr="006F67C8">
        <w:rPr>
          <w:rFonts w:ascii="Times New Roman" w:hAnsi="Times New Roman"/>
          <w:vertAlign w:val="superscript"/>
        </w:rPr>
        <w:t>1</w:t>
      </w:r>
      <w:r w:rsidR="00937B9F">
        <w:rPr>
          <w:rFonts w:ascii="Times New Roman" w:hAnsi="Times New Roman"/>
          <w:vertAlign w:val="superscript"/>
        </w:rPr>
        <w:t>,6</w:t>
      </w:r>
      <w:r w:rsidRPr="006F67C8">
        <w:rPr>
          <w:rFonts w:ascii="Times New Roman" w:hAnsi="Times New Roman"/>
        </w:rPr>
        <w:t>, Roel HOMPES MD</w:t>
      </w:r>
      <w:r w:rsidRPr="006F67C8">
        <w:rPr>
          <w:rFonts w:ascii="Times New Roman" w:hAnsi="Times New Roman"/>
          <w:vertAlign w:val="superscript"/>
        </w:rPr>
        <w:t>1</w:t>
      </w:r>
      <w:r w:rsidRPr="006F67C8">
        <w:rPr>
          <w:rFonts w:ascii="Times New Roman" w:hAnsi="Times New Roman"/>
        </w:rPr>
        <w:t>, Steve ARNOLD FRCS</w:t>
      </w:r>
      <w:r w:rsidRPr="006F67C8">
        <w:rPr>
          <w:rFonts w:ascii="Times New Roman" w:hAnsi="Times New Roman"/>
          <w:vertAlign w:val="superscript"/>
        </w:rPr>
        <w:t>2</w:t>
      </w:r>
      <w:r w:rsidRPr="006F67C8">
        <w:rPr>
          <w:rFonts w:ascii="Times New Roman" w:hAnsi="Times New Roman"/>
        </w:rPr>
        <w:t>, Greg WYNN MD</w:t>
      </w:r>
      <w:r w:rsidRPr="006F67C8">
        <w:rPr>
          <w:rFonts w:ascii="Times New Roman" w:hAnsi="Times New Roman"/>
          <w:vertAlign w:val="superscript"/>
        </w:rPr>
        <w:t>3</w:t>
      </w:r>
      <w:r w:rsidRPr="006F67C8">
        <w:rPr>
          <w:rFonts w:ascii="Times New Roman" w:hAnsi="Times New Roman"/>
        </w:rPr>
        <w:t>, Ralph AUSTIN FRCS</w:t>
      </w:r>
      <w:r w:rsidRPr="006F67C8">
        <w:rPr>
          <w:rFonts w:ascii="Times New Roman" w:hAnsi="Times New Roman"/>
          <w:vertAlign w:val="superscript"/>
        </w:rPr>
        <w:t>3</w:t>
      </w:r>
      <w:r w:rsidRPr="006F67C8">
        <w:rPr>
          <w:rFonts w:ascii="Times New Roman" w:hAnsi="Times New Roman"/>
        </w:rPr>
        <w:t>, Janindra WARUSAVITARNE PhD</w:t>
      </w:r>
      <w:r w:rsidRPr="006F67C8">
        <w:rPr>
          <w:rFonts w:ascii="Times New Roman" w:hAnsi="Times New Roman"/>
          <w:vertAlign w:val="superscript"/>
        </w:rPr>
        <w:t>4</w:t>
      </w:r>
      <w:r w:rsidRPr="006F67C8">
        <w:rPr>
          <w:rFonts w:ascii="Times New Roman" w:hAnsi="Times New Roman"/>
        </w:rPr>
        <w:t>,</w:t>
      </w:r>
      <w:r>
        <w:rPr>
          <w:rFonts w:ascii="Times New Roman" w:hAnsi="Times New Roman"/>
        </w:rPr>
        <w:t xml:space="preserve"> Brendan MORAN FRCS</w:t>
      </w:r>
      <w:r w:rsidRPr="006F67C8">
        <w:rPr>
          <w:rFonts w:ascii="Times New Roman" w:hAnsi="Times New Roman"/>
          <w:vertAlign w:val="superscript"/>
        </w:rPr>
        <w:t>2</w:t>
      </w:r>
      <w:r>
        <w:rPr>
          <w:rFonts w:ascii="Times New Roman" w:hAnsi="Times New Roman"/>
        </w:rPr>
        <w:t>,</w:t>
      </w:r>
      <w:r w:rsidRPr="006F67C8">
        <w:rPr>
          <w:rFonts w:ascii="Times New Roman" w:hAnsi="Times New Roman"/>
        </w:rPr>
        <w:t xml:space="preserve"> George B HANNA PhD</w:t>
      </w:r>
      <w:r w:rsidRPr="006F67C8">
        <w:rPr>
          <w:rFonts w:ascii="Times New Roman" w:hAnsi="Times New Roman"/>
          <w:vertAlign w:val="superscript"/>
        </w:rPr>
        <w:t>5</w:t>
      </w:r>
      <w:r w:rsidRPr="006F67C8">
        <w:rPr>
          <w:rFonts w:ascii="Times New Roman" w:hAnsi="Times New Roman"/>
        </w:rPr>
        <w:t>, Neil J</w:t>
      </w:r>
      <w:r>
        <w:rPr>
          <w:rFonts w:ascii="Times New Roman" w:hAnsi="Times New Roman"/>
        </w:rPr>
        <w:t>. MORTENSEN</w:t>
      </w:r>
      <w:r w:rsidR="0005123D">
        <w:rPr>
          <w:rFonts w:ascii="Times New Roman" w:hAnsi="Times New Roman"/>
        </w:rPr>
        <w:t xml:space="preserve"> FRCS</w:t>
      </w:r>
      <w:r w:rsidRPr="006F67C8">
        <w:rPr>
          <w:rFonts w:ascii="Times New Roman" w:hAnsi="Times New Roman"/>
          <w:vertAlign w:val="superscript"/>
        </w:rPr>
        <w:t>1</w:t>
      </w:r>
      <w:r w:rsidRPr="006F67C8">
        <w:rPr>
          <w:rFonts w:ascii="Times New Roman" w:hAnsi="Times New Roman"/>
        </w:rPr>
        <w:t xml:space="preserve">, Paris P. TEKKIS </w:t>
      </w:r>
      <w:r w:rsidR="00937B9F">
        <w:rPr>
          <w:rFonts w:ascii="Times New Roman" w:hAnsi="Times New Roman"/>
        </w:rPr>
        <w:t>FRCS</w:t>
      </w:r>
      <w:r w:rsidRPr="006F67C8">
        <w:rPr>
          <w:rFonts w:ascii="Times New Roman" w:hAnsi="Times New Roman"/>
          <w:vertAlign w:val="superscript"/>
        </w:rPr>
        <w:t>6</w:t>
      </w:r>
    </w:p>
    <w:p w:rsidR="00A23B92" w:rsidRDefault="00A23B92" w:rsidP="00A23B92">
      <w:pPr>
        <w:spacing w:line="480" w:lineRule="auto"/>
        <w:jc w:val="center"/>
        <w:rPr>
          <w:rFonts w:ascii="Times New Roman" w:hAnsi="Times New Roman"/>
          <w:b/>
        </w:rPr>
      </w:pPr>
      <w:r w:rsidRPr="006F67C8">
        <w:rPr>
          <w:rFonts w:ascii="Times New Roman" w:hAnsi="Times New Roman"/>
          <w:b/>
        </w:rPr>
        <w:t>On behalf of the TaTME Registry Collaborative</w:t>
      </w:r>
    </w:p>
    <w:p w:rsidR="00A23B92" w:rsidRPr="006F67C8" w:rsidRDefault="00A23B92" w:rsidP="00A23B92">
      <w:pPr>
        <w:spacing w:line="480" w:lineRule="auto"/>
        <w:jc w:val="center"/>
        <w:rPr>
          <w:rFonts w:ascii="Times New Roman" w:hAnsi="Times New Roman"/>
          <w:b/>
        </w:rPr>
      </w:pPr>
    </w:p>
    <w:p w:rsidR="00A23B92" w:rsidRPr="000361AF" w:rsidRDefault="00A23B92" w:rsidP="00A23B92">
      <w:pPr>
        <w:numPr>
          <w:ilvl w:val="0"/>
          <w:numId w:val="2"/>
        </w:numPr>
        <w:spacing w:line="480" w:lineRule="auto"/>
        <w:rPr>
          <w:rFonts w:ascii="Times New Roman" w:hAnsi="Times New Roman"/>
        </w:rPr>
      </w:pPr>
      <w:r w:rsidRPr="000361AF">
        <w:rPr>
          <w:rFonts w:ascii="Times New Roman" w:hAnsi="Times New Roman"/>
        </w:rPr>
        <w:t>Department of Colorectal Surgery, Churchill Hospital, Oxford University Hospitals, Oxford OX3 7LE, United Kingdom.</w:t>
      </w:r>
    </w:p>
    <w:p w:rsidR="00A23B92" w:rsidRPr="000361AF" w:rsidRDefault="00A23B92" w:rsidP="00A23B92">
      <w:pPr>
        <w:numPr>
          <w:ilvl w:val="0"/>
          <w:numId w:val="2"/>
        </w:numPr>
        <w:spacing w:line="480" w:lineRule="auto"/>
        <w:rPr>
          <w:rFonts w:ascii="Times New Roman" w:hAnsi="Times New Roman"/>
        </w:rPr>
      </w:pPr>
      <w:r w:rsidRPr="000361AF">
        <w:rPr>
          <w:rFonts w:ascii="Times New Roman" w:hAnsi="Times New Roman"/>
        </w:rPr>
        <w:t xml:space="preserve">Department of Colorectal Surgery, Basingstoke and North Hampshire Hospital, Basingstoke, Hampshire </w:t>
      </w:r>
      <w:r w:rsidRPr="000361AF">
        <w:rPr>
          <w:rStyle w:val="xbe"/>
          <w:rFonts w:ascii="Times New Roman" w:hAnsi="Times New Roman"/>
        </w:rPr>
        <w:t>RG24 9NA</w:t>
      </w:r>
      <w:r w:rsidRPr="000361AF">
        <w:rPr>
          <w:rFonts w:ascii="Times New Roman" w:hAnsi="Times New Roman"/>
        </w:rPr>
        <w:t>, United Kingdom</w:t>
      </w:r>
    </w:p>
    <w:p w:rsidR="00A23B92" w:rsidRPr="000361AF" w:rsidRDefault="00A23B92" w:rsidP="00A23B92">
      <w:pPr>
        <w:numPr>
          <w:ilvl w:val="0"/>
          <w:numId w:val="2"/>
        </w:numPr>
        <w:spacing w:line="480" w:lineRule="auto"/>
        <w:rPr>
          <w:rFonts w:ascii="Times New Roman" w:hAnsi="Times New Roman"/>
        </w:rPr>
      </w:pPr>
      <w:r w:rsidRPr="000361AF">
        <w:rPr>
          <w:rFonts w:ascii="Times New Roman" w:hAnsi="Times New Roman"/>
        </w:rPr>
        <w:t xml:space="preserve">Department of Colorectal Surgery, Colchester Hospital University NHS Foundation Trust, </w:t>
      </w:r>
      <w:r w:rsidRPr="000361AF">
        <w:rPr>
          <w:rStyle w:val="xbe"/>
          <w:rFonts w:ascii="Times New Roman" w:hAnsi="Times New Roman"/>
        </w:rPr>
        <w:t>Essex CO3 3NB,</w:t>
      </w:r>
      <w:r w:rsidRPr="000361AF">
        <w:rPr>
          <w:rFonts w:ascii="Times New Roman" w:hAnsi="Times New Roman"/>
        </w:rPr>
        <w:t xml:space="preserve"> United Kingdom.  </w:t>
      </w:r>
    </w:p>
    <w:p w:rsidR="00A23B92" w:rsidRPr="006F67C8" w:rsidRDefault="00A23B92" w:rsidP="00A23B92">
      <w:pPr>
        <w:numPr>
          <w:ilvl w:val="0"/>
          <w:numId w:val="2"/>
        </w:numPr>
        <w:spacing w:line="480" w:lineRule="auto"/>
        <w:rPr>
          <w:rFonts w:ascii="Times New Roman" w:hAnsi="Times New Roman"/>
        </w:rPr>
      </w:pPr>
      <w:r w:rsidRPr="006F67C8">
        <w:rPr>
          <w:rFonts w:ascii="Times New Roman" w:hAnsi="Times New Roman"/>
        </w:rPr>
        <w:t>Department of Colorectal Surgery, St Mark's Hospital, Harrow,</w:t>
      </w:r>
      <w:r>
        <w:rPr>
          <w:rFonts w:ascii="Times New Roman" w:hAnsi="Times New Roman"/>
        </w:rPr>
        <w:t xml:space="preserve"> </w:t>
      </w:r>
      <w:r w:rsidRPr="000361AF">
        <w:rPr>
          <w:rFonts w:ascii="Times New Roman" w:hAnsi="Times New Roman"/>
        </w:rPr>
        <w:t>Middlesex HA1 3UJ</w:t>
      </w:r>
      <w:r>
        <w:rPr>
          <w:rFonts w:ascii="Times New Roman" w:hAnsi="Times New Roman"/>
        </w:rPr>
        <w:t xml:space="preserve">, </w:t>
      </w:r>
      <w:r w:rsidRPr="006F67C8">
        <w:rPr>
          <w:rFonts w:ascii="Times New Roman" w:hAnsi="Times New Roman"/>
        </w:rPr>
        <w:t>United Kingdom</w:t>
      </w:r>
    </w:p>
    <w:p w:rsidR="00A23B92" w:rsidRPr="006F67C8" w:rsidRDefault="00A23B92" w:rsidP="00A23B92">
      <w:pPr>
        <w:numPr>
          <w:ilvl w:val="0"/>
          <w:numId w:val="2"/>
        </w:numPr>
        <w:spacing w:line="480" w:lineRule="auto"/>
        <w:rPr>
          <w:rFonts w:ascii="Times New Roman" w:hAnsi="Times New Roman"/>
        </w:rPr>
      </w:pPr>
      <w:r w:rsidRPr="006F67C8">
        <w:rPr>
          <w:rFonts w:ascii="Times New Roman" w:hAnsi="Times New Roman"/>
        </w:rPr>
        <w:t>Department of Academic Surgery, St. Mary’s hospital, London</w:t>
      </w:r>
      <w:r>
        <w:rPr>
          <w:rFonts w:ascii="Times New Roman" w:hAnsi="Times New Roman"/>
        </w:rPr>
        <w:t xml:space="preserve"> </w:t>
      </w:r>
      <w:r w:rsidRPr="000361AF">
        <w:rPr>
          <w:rFonts w:ascii="Times New Roman" w:hAnsi="Times New Roman"/>
        </w:rPr>
        <w:t>W2 1NY</w:t>
      </w:r>
      <w:r w:rsidRPr="006F67C8">
        <w:rPr>
          <w:rFonts w:ascii="Times New Roman" w:hAnsi="Times New Roman"/>
        </w:rPr>
        <w:t xml:space="preserve">, United Kingdom </w:t>
      </w:r>
    </w:p>
    <w:p w:rsidR="00A23B92" w:rsidRPr="006F67C8" w:rsidRDefault="00A23B92" w:rsidP="00A23B92">
      <w:pPr>
        <w:numPr>
          <w:ilvl w:val="0"/>
          <w:numId w:val="2"/>
        </w:numPr>
        <w:spacing w:line="480" w:lineRule="auto"/>
        <w:rPr>
          <w:rFonts w:ascii="Times New Roman" w:hAnsi="Times New Roman"/>
        </w:rPr>
      </w:pPr>
      <w:r w:rsidRPr="006F67C8">
        <w:rPr>
          <w:rFonts w:ascii="Times New Roman" w:hAnsi="Times New Roman"/>
        </w:rPr>
        <w:t xml:space="preserve">Department of Colorectal Surgery, </w:t>
      </w:r>
      <w:r w:rsidR="00937B9F">
        <w:rPr>
          <w:rFonts w:ascii="Times New Roman" w:hAnsi="Times New Roman"/>
        </w:rPr>
        <w:t xml:space="preserve">The </w:t>
      </w:r>
      <w:r w:rsidRPr="006F67C8">
        <w:rPr>
          <w:rFonts w:ascii="Times New Roman" w:hAnsi="Times New Roman"/>
        </w:rPr>
        <w:t>Royal Marsden Hospital, London</w:t>
      </w:r>
      <w:r>
        <w:rPr>
          <w:rFonts w:ascii="Times New Roman" w:hAnsi="Times New Roman"/>
        </w:rPr>
        <w:t xml:space="preserve"> </w:t>
      </w:r>
      <w:r w:rsidRPr="000361AF">
        <w:rPr>
          <w:rFonts w:ascii="Times New Roman" w:hAnsi="Times New Roman"/>
        </w:rPr>
        <w:t>SW3 6JJ</w:t>
      </w:r>
      <w:r w:rsidRPr="006F67C8">
        <w:rPr>
          <w:rFonts w:ascii="Times New Roman" w:hAnsi="Times New Roman"/>
        </w:rPr>
        <w:t>, United Kingdom</w:t>
      </w:r>
    </w:p>
    <w:p w:rsidR="00A23B92" w:rsidRPr="006F67C8" w:rsidRDefault="00A23B92" w:rsidP="00A23B92">
      <w:pPr>
        <w:spacing w:line="480" w:lineRule="auto"/>
        <w:rPr>
          <w:rFonts w:ascii="Times New Roman" w:hAnsi="Times New Roman"/>
          <w:b/>
        </w:rPr>
      </w:pPr>
    </w:p>
    <w:p w:rsidR="00A23B92" w:rsidRPr="006F67C8" w:rsidRDefault="00A23B92" w:rsidP="00A23B92">
      <w:pPr>
        <w:spacing w:line="480" w:lineRule="auto"/>
        <w:jc w:val="both"/>
        <w:rPr>
          <w:rFonts w:ascii="Times New Roman" w:hAnsi="Times New Roman"/>
          <w:sz w:val="22"/>
        </w:rPr>
      </w:pPr>
      <w:r w:rsidRPr="006F67C8">
        <w:rPr>
          <w:rFonts w:ascii="Times New Roman" w:hAnsi="Times New Roman"/>
          <w:b/>
          <w:sz w:val="22"/>
        </w:rPr>
        <w:t>Collaborators:</w:t>
      </w:r>
      <w:r w:rsidRPr="006F67C8">
        <w:rPr>
          <w:rFonts w:ascii="Times New Roman" w:hAnsi="Times New Roman"/>
          <w:sz w:val="22"/>
        </w:rPr>
        <w:t xml:space="preserve"> Matthew Albert,</w:t>
      </w:r>
      <w:r w:rsidRPr="006F67C8">
        <w:rPr>
          <w:rFonts w:ascii="Times New Roman" w:hAnsi="Times New Roman"/>
          <w:b/>
          <w:sz w:val="22"/>
        </w:rPr>
        <w:t xml:space="preserve"> </w:t>
      </w:r>
      <w:r w:rsidRPr="006F67C8">
        <w:rPr>
          <w:rFonts w:ascii="Times New Roman" w:hAnsi="Times New Roman"/>
          <w:sz w:val="22"/>
        </w:rPr>
        <w:t xml:space="preserve">Hazar Al furajii, Andrew Allison, Alberto Arezzo, Kamal Aryal, Shazad Ashraf, Sam Atallah, Khurrum Baig, Jörg Baral, Willem Bemelman, David Berger, Luigi Boni, Jaap Bonjer, Liliana Bordeianou, Dario Borreca, Nicolas Christian Buchs, Ronan Cahill, Ken Campbell, Gabriella Capolupo, Marco Caricato, Elisa Cassinotti, William Chambers, Edward Douglas Courtney, Christopher Cunningham, Stephan Dalton, Robin Dawson, Paolo Delrio, Eelco de Graaf, Paolo De Paolis, Mathieu D’Hondt, André D'Hoore, Pascal Doornebosch, Jens Ravn Erikson, Lope Estévez-Schwarz, Miroslava Fabryko, Maria Fernández-Hevia, Havard Forsmo, Nader Francis, Veera Garimella, Ethem Gecim, Daniel Geissmann, Kathryn Gill, Markus Glöckler, Michele Grieco, Tomáš Grolich, Richard Guy,  Julian Hayes, Theo-Julian Hoffman, Bert Houben, Masaaki Ito, Finka Jelic, Oliver Jones, Howard Joy, Zdeněk Kala, Mark Katory, Werner Kneist, Joep Knol, Stephan Korsgen, Neil Kukreja, Reiner Kunz, Antonio Lacy, Roshan Lal, Hauke Lang, Vincenzo La Vaccara, Emanuele Lezoche, Meyline Andrade Lima,  Zaman Mamedli, Steve Mansfield, Patrizia Marsanic, Alfredo Mellano, Carlos Ramon Silveira Mendes, Arend Merrie, Anthony Miles, Yevgen Miroshnychenko, Mario Morino, Andrea Muratore, Deborah Nicol, Jae Hwan Oh, Paul O’Loughlin, Steve Pandey, Marius Paraoan, Cherylin Fu Wan Pei, Rodrigo Oliva Perez, Frank Pfeffer, Andrea Picchetto, Peter Pockney, Simon Radley, Arsen Rasulov, Daniela Rega, Federic Ris, Stefan Riss, Parvinder Sains, Sanjeev Samarasinghe, Guilherme Pagin São Julião, Gerald Seitinger, Irshad Shaikh, Colin Sietses, Pierpaolo Sileri, Vicente Simó Fernandez, Stephen Smith, Dae Kyung Sohn, Chris Speakman, Andrew Stevenson, Anton Stift, Patricia Sylla, Pieter Tanis, Enrique Pastor Teso, Jean-Jacques Tuech, Jurriaan Tuynman, Edwin van der Zaag, Peter van Duijvendijk, Yves Van Nieuwenhove, Franky Vansteenkiste, Simone Velthuis, Arcot Venkatsubramaniam, Stephan Vorburger, Eelco Wassenaar, Henk Wegstapel, Albert Wolthuis, Linus Wu  </w:t>
      </w:r>
    </w:p>
    <w:p w:rsidR="00A23B92" w:rsidRPr="006F67C8" w:rsidRDefault="00A23B92" w:rsidP="00A23B92">
      <w:pPr>
        <w:spacing w:line="480" w:lineRule="auto"/>
        <w:rPr>
          <w:rFonts w:ascii="Times New Roman" w:hAnsi="Times New Roman"/>
          <w:b/>
        </w:rPr>
      </w:pPr>
      <w:r w:rsidRPr="006F67C8">
        <w:rPr>
          <w:rFonts w:ascii="Times New Roman" w:hAnsi="Times New Roman"/>
          <w:b/>
        </w:rPr>
        <w:t>Correspondence to:</w:t>
      </w:r>
    </w:p>
    <w:p w:rsidR="00A23B92" w:rsidRPr="006F67C8" w:rsidRDefault="00A23B92" w:rsidP="00A23B92">
      <w:pPr>
        <w:spacing w:line="480" w:lineRule="auto"/>
        <w:rPr>
          <w:rFonts w:ascii="Times New Roman" w:hAnsi="Times New Roman"/>
        </w:rPr>
      </w:pPr>
      <w:r w:rsidRPr="006F67C8">
        <w:rPr>
          <w:rFonts w:ascii="Times New Roman" w:hAnsi="Times New Roman"/>
        </w:rPr>
        <w:t>Roel Hompes, MD</w:t>
      </w:r>
    </w:p>
    <w:p w:rsidR="00A23B92" w:rsidRPr="006F67C8" w:rsidRDefault="00A23B92" w:rsidP="00A23B92">
      <w:pPr>
        <w:spacing w:line="480" w:lineRule="auto"/>
        <w:rPr>
          <w:rFonts w:ascii="Times New Roman" w:hAnsi="Times New Roman"/>
        </w:rPr>
      </w:pPr>
      <w:r w:rsidRPr="006F67C8">
        <w:rPr>
          <w:rFonts w:ascii="Times New Roman" w:hAnsi="Times New Roman"/>
        </w:rPr>
        <w:t>Department of Colorectal Surgery</w:t>
      </w:r>
    </w:p>
    <w:p w:rsidR="00A23B92" w:rsidRPr="006F67C8" w:rsidRDefault="00A23B92" w:rsidP="00A23B92">
      <w:pPr>
        <w:spacing w:line="480" w:lineRule="auto"/>
        <w:rPr>
          <w:rFonts w:ascii="Times New Roman" w:hAnsi="Times New Roman"/>
        </w:rPr>
      </w:pPr>
      <w:r w:rsidRPr="006F67C8">
        <w:rPr>
          <w:rFonts w:ascii="Times New Roman" w:hAnsi="Times New Roman"/>
        </w:rPr>
        <w:t>Churchill Hospital, University Hospitals of Oxford, Old Road, OX3 7LE, Oxford, UK</w:t>
      </w:r>
    </w:p>
    <w:p w:rsidR="00A23B92" w:rsidRPr="006F67C8" w:rsidRDefault="00A23B92" w:rsidP="00A23B92">
      <w:pPr>
        <w:spacing w:line="480" w:lineRule="auto"/>
        <w:rPr>
          <w:rFonts w:ascii="Times New Roman" w:hAnsi="Times New Roman"/>
        </w:rPr>
      </w:pPr>
      <w:r w:rsidRPr="006F67C8">
        <w:rPr>
          <w:rFonts w:ascii="Times New Roman" w:hAnsi="Times New Roman"/>
        </w:rPr>
        <w:t xml:space="preserve">Email: </w:t>
      </w:r>
      <w:hyperlink r:id="rId7" w:history="1">
        <w:r w:rsidRPr="006F67C8">
          <w:rPr>
            <w:rStyle w:val="Hyperlink"/>
            <w:rFonts w:ascii="Times New Roman" w:hAnsi="Times New Roman"/>
          </w:rPr>
          <w:t>roelhompes@gmail.com</w:t>
        </w:r>
      </w:hyperlink>
    </w:p>
    <w:p w:rsidR="00A23B92" w:rsidRPr="0056560A" w:rsidRDefault="00A23B92" w:rsidP="00A23B92">
      <w:pPr>
        <w:spacing w:line="480" w:lineRule="auto"/>
        <w:rPr>
          <w:rFonts w:ascii="Times New Roman" w:hAnsi="Times New Roman"/>
        </w:rPr>
      </w:pPr>
      <w:r w:rsidRPr="006F67C8">
        <w:rPr>
          <w:rFonts w:ascii="Times New Roman" w:hAnsi="Times New Roman"/>
        </w:rPr>
        <w:t>Tel: 01865 235613,  Fax: 01865 235857</w:t>
      </w:r>
    </w:p>
    <w:p w:rsidR="00A23B92" w:rsidRPr="006F67C8" w:rsidRDefault="00A23B92" w:rsidP="00A23B92">
      <w:pPr>
        <w:spacing w:line="480" w:lineRule="auto"/>
        <w:rPr>
          <w:rFonts w:ascii="Times New Roman" w:hAnsi="Times New Roman"/>
          <w:b/>
        </w:rPr>
      </w:pPr>
      <w:r w:rsidRPr="006F67C8">
        <w:rPr>
          <w:rFonts w:ascii="Times New Roman" w:hAnsi="Times New Roman"/>
          <w:b/>
        </w:rPr>
        <w:t>Tables: 1,2,3,4,5,6</w:t>
      </w:r>
    </w:p>
    <w:p w:rsidR="00A23B92" w:rsidRPr="006F67C8" w:rsidRDefault="00176942" w:rsidP="00A23B92">
      <w:pPr>
        <w:spacing w:line="480" w:lineRule="auto"/>
        <w:rPr>
          <w:rFonts w:ascii="Times New Roman" w:hAnsi="Times New Roman"/>
          <w:color w:val="FF0000"/>
        </w:rPr>
      </w:pPr>
      <w:r>
        <w:rPr>
          <w:rFonts w:ascii="Times New Roman" w:hAnsi="Times New Roman"/>
          <w:b/>
        </w:rPr>
        <w:t>Appendixes: 1, 2</w:t>
      </w:r>
    </w:p>
    <w:p w:rsidR="00A23B92" w:rsidRPr="004C49F2" w:rsidRDefault="00A23B92" w:rsidP="00A23B92">
      <w:pPr>
        <w:spacing w:line="480" w:lineRule="auto"/>
        <w:rPr>
          <w:rFonts w:ascii="Times New Roman" w:hAnsi="Times New Roman"/>
          <w:b/>
        </w:rPr>
      </w:pPr>
      <w:r>
        <w:rPr>
          <w:rFonts w:ascii="Times New Roman" w:hAnsi="Times New Roman"/>
          <w:b/>
        </w:rPr>
        <w:t xml:space="preserve">Keywords: </w:t>
      </w:r>
      <w:r w:rsidRPr="0056560A">
        <w:rPr>
          <w:rFonts w:ascii="Times New Roman" w:hAnsi="Times New Roman"/>
        </w:rPr>
        <w:t>Transanal TME,</w:t>
      </w:r>
      <w:r>
        <w:rPr>
          <w:rFonts w:ascii="Times New Roman" w:hAnsi="Times New Roman"/>
        </w:rPr>
        <w:t xml:space="preserve"> Registry, Poor histological outcomes, Risk factors </w:t>
      </w:r>
      <w:r>
        <w:rPr>
          <w:rFonts w:ascii="Times New Roman" w:hAnsi="Times New Roman"/>
          <w:b/>
        </w:rPr>
        <w:t xml:space="preserve"> </w:t>
      </w:r>
    </w:p>
    <w:p w:rsidR="00A23B92" w:rsidRPr="00E961F1" w:rsidRDefault="00A23B92" w:rsidP="00A23B92">
      <w:pPr>
        <w:spacing w:line="480" w:lineRule="auto"/>
        <w:jc w:val="both"/>
        <w:rPr>
          <w:rFonts w:ascii="Times New Roman" w:hAnsi="Times New Roman"/>
        </w:rPr>
      </w:pPr>
      <w:r w:rsidRPr="006F67C8">
        <w:rPr>
          <w:rFonts w:ascii="Times New Roman" w:hAnsi="Times New Roman"/>
          <w:b/>
          <w:lang w:val="en-GB"/>
        </w:rPr>
        <w:t>RESEARCH IN CONTEXT</w:t>
      </w:r>
    </w:p>
    <w:p w:rsidR="00A23B92" w:rsidRDefault="00A23B92" w:rsidP="00A23B92">
      <w:pPr>
        <w:spacing w:line="480" w:lineRule="auto"/>
        <w:jc w:val="both"/>
        <w:rPr>
          <w:rFonts w:ascii="Times New Roman" w:hAnsi="Times New Roman"/>
          <w:b/>
          <w:lang w:val="en-GB"/>
        </w:rPr>
      </w:pPr>
      <w:r w:rsidRPr="006F67C8">
        <w:rPr>
          <w:rFonts w:ascii="Times New Roman" w:hAnsi="Times New Roman"/>
          <w:b/>
          <w:lang w:val="en-GB"/>
        </w:rPr>
        <w:t>Evidence before this study</w:t>
      </w:r>
    </w:p>
    <w:p w:rsidR="00E43F22" w:rsidRDefault="00E43F22" w:rsidP="00A23B92">
      <w:pPr>
        <w:spacing w:line="480" w:lineRule="auto"/>
        <w:jc w:val="both"/>
        <w:rPr>
          <w:rFonts w:ascii="Times New Roman" w:hAnsi="Times New Roman"/>
          <w:lang w:val="en-GB"/>
        </w:rPr>
      </w:pPr>
      <w:r w:rsidRPr="00E43F22">
        <w:rPr>
          <w:rFonts w:ascii="Times New Roman" w:hAnsi="Times New Roman"/>
          <w:lang w:val="en-GB"/>
        </w:rPr>
        <w:t>Transanal total mesorectal excision (TaTME) is the latest minimally invasive transanal technique in evolution, pioneered to improve clinical, oncological and functional outcomes of rectal excision. Outcomes have been published from single institutions, and small cohorts, with promising short term results, particularly relating to oncological resection for low rectal cancer.  TaTME appears to offer an improved visual field in the low rectum allowing more accurate pelvic dissection without constraints on space, a particular problem in obese males with a narrow pelvis.  However, larger series will be more helpful in assessing the safety and efficacy of taTME in the wider surgical population.  Therefore, an international TaTME registry was launched i</w:t>
      </w:r>
      <w:r>
        <w:rPr>
          <w:rFonts w:ascii="Times New Roman" w:hAnsi="Times New Roman"/>
          <w:lang w:val="en-GB"/>
        </w:rPr>
        <w:t>n July 2014 capturing extensive information on</w:t>
      </w:r>
      <w:r w:rsidRPr="00E43F22">
        <w:rPr>
          <w:rFonts w:ascii="Times New Roman" w:hAnsi="Times New Roman"/>
          <w:lang w:val="en-GB"/>
        </w:rPr>
        <w:t xml:space="preserve"> patient care and outcome</w:t>
      </w:r>
      <w:r>
        <w:rPr>
          <w:rFonts w:ascii="Times New Roman" w:hAnsi="Times New Roman"/>
          <w:lang w:val="en-GB"/>
        </w:rPr>
        <w:t>s</w:t>
      </w:r>
      <w:r w:rsidRPr="00E43F22">
        <w:rPr>
          <w:rFonts w:ascii="Times New Roman" w:hAnsi="Times New Roman"/>
          <w:lang w:val="en-GB"/>
        </w:rPr>
        <w:t xml:space="preserve">.  </w:t>
      </w:r>
    </w:p>
    <w:p w:rsidR="00A23B92" w:rsidRPr="006F67C8" w:rsidRDefault="00A23B92" w:rsidP="00A23B92">
      <w:pPr>
        <w:spacing w:line="480" w:lineRule="auto"/>
        <w:jc w:val="both"/>
        <w:rPr>
          <w:rFonts w:ascii="Times New Roman" w:hAnsi="Times New Roman"/>
          <w:b/>
          <w:lang w:val="en-GB"/>
        </w:rPr>
      </w:pPr>
      <w:r>
        <w:rPr>
          <w:rFonts w:ascii="Times New Roman" w:hAnsi="Times New Roman"/>
          <w:b/>
          <w:lang w:val="en-GB"/>
        </w:rPr>
        <w:t>Added value of this study</w:t>
      </w:r>
    </w:p>
    <w:p w:rsidR="00A23B92" w:rsidRPr="00722678" w:rsidRDefault="00A23B92" w:rsidP="00A23B92">
      <w:pPr>
        <w:spacing w:line="480" w:lineRule="auto"/>
        <w:jc w:val="both"/>
        <w:rPr>
          <w:rFonts w:ascii="Times New Roman" w:hAnsi="Times New Roman"/>
          <w:lang w:val="en-GB"/>
        </w:rPr>
      </w:pPr>
      <w:r w:rsidRPr="006F67C8">
        <w:rPr>
          <w:rFonts w:ascii="Times New Roman" w:hAnsi="Times New Roman"/>
          <w:lang w:val="en-GB"/>
        </w:rPr>
        <w:t>The present study reports the short-term outcomes from the international taTME registry for patients with benign and malignant rectal pathology.</w:t>
      </w:r>
      <w:r>
        <w:rPr>
          <w:rFonts w:ascii="Times New Roman" w:hAnsi="Times New Roman"/>
          <w:lang w:val="en-GB"/>
        </w:rPr>
        <w:t xml:space="preserve">  This is the largest taTME series to date from a worldwide surgical community.   </w:t>
      </w:r>
    </w:p>
    <w:p w:rsidR="00A23B92" w:rsidRPr="006F67C8" w:rsidRDefault="00A23B92" w:rsidP="00A23B92">
      <w:pPr>
        <w:spacing w:line="480" w:lineRule="auto"/>
        <w:jc w:val="both"/>
        <w:rPr>
          <w:rFonts w:ascii="Times New Roman" w:hAnsi="Times New Roman"/>
          <w:b/>
          <w:lang w:val="en-GB"/>
        </w:rPr>
      </w:pPr>
      <w:r w:rsidRPr="006F67C8">
        <w:rPr>
          <w:rFonts w:ascii="Times New Roman" w:hAnsi="Times New Roman"/>
          <w:b/>
          <w:lang w:val="en-GB"/>
        </w:rPr>
        <w:t>Implications of all the available evidence</w:t>
      </w:r>
    </w:p>
    <w:p w:rsidR="00A23B92" w:rsidRPr="006F67C8" w:rsidRDefault="00A23B92" w:rsidP="00A23B92">
      <w:pPr>
        <w:spacing w:line="480" w:lineRule="auto"/>
        <w:jc w:val="both"/>
        <w:rPr>
          <w:rFonts w:ascii="Times New Roman" w:hAnsi="Times New Roman"/>
          <w:lang w:val="en-GB"/>
        </w:rPr>
      </w:pPr>
      <w:r>
        <w:rPr>
          <w:rFonts w:ascii="Times New Roman" w:hAnsi="Times New Roman"/>
          <w:lang w:val="en-GB"/>
        </w:rPr>
        <w:t xml:space="preserve">Results suggest that </w:t>
      </w:r>
      <w:r w:rsidRPr="006F67C8">
        <w:rPr>
          <w:rFonts w:ascii="Times New Roman" w:hAnsi="Times New Roman"/>
          <w:lang w:val="en-GB"/>
        </w:rPr>
        <w:t xml:space="preserve">TaTME </w:t>
      </w:r>
      <w:r>
        <w:rPr>
          <w:rFonts w:ascii="Times New Roman" w:hAnsi="Times New Roman"/>
          <w:lang w:val="en-GB"/>
        </w:rPr>
        <w:t>is</w:t>
      </w:r>
      <w:r w:rsidRPr="006F67C8">
        <w:rPr>
          <w:rFonts w:ascii="Times New Roman" w:hAnsi="Times New Roman"/>
          <w:lang w:val="en-GB"/>
        </w:rPr>
        <w:t xml:space="preserve"> a safe and effective technique for mesorectal dissection, particularly in the distal </w:t>
      </w:r>
      <w:r w:rsidR="00937B9F">
        <w:rPr>
          <w:rFonts w:ascii="Times New Roman" w:hAnsi="Times New Roman"/>
          <w:lang w:val="en-GB"/>
        </w:rPr>
        <w:t>rectum</w:t>
      </w:r>
      <w:r w:rsidRPr="006F67C8">
        <w:rPr>
          <w:rFonts w:ascii="Times New Roman" w:hAnsi="Times New Roman"/>
          <w:lang w:val="en-GB"/>
        </w:rPr>
        <w:t xml:space="preserve">, </w:t>
      </w:r>
      <w:r>
        <w:rPr>
          <w:rFonts w:ascii="Times New Roman" w:hAnsi="Times New Roman"/>
          <w:lang w:val="en-GB"/>
        </w:rPr>
        <w:t>with</w:t>
      </w:r>
      <w:r w:rsidRPr="006F67C8">
        <w:rPr>
          <w:rFonts w:ascii="Times New Roman" w:hAnsi="Times New Roman"/>
          <w:lang w:val="en-GB"/>
        </w:rPr>
        <w:t xml:space="preserve"> acceptable short-term patient outcomes and specimen quality. Continued efforts are required to provide structured training for this new technique and well-designed trials are needed to assess short and longer term outcomes of taTME compared with laparoscopic, robotic and open TME surgery.</w:t>
      </w:r>
    </w:p>
    <w:p w:rsidR="00A23B92" w:rsidRPr="006F67C8" w:rsidRDefault="00A23B92" w:rsidP="00A23B92">
      <w:pPr>
        <w:spacing w:line="480" w:lineRule="auto"/>
        <w:jc w:val="both"/>
        <w:rPr>
          <w:rFonts w:ascii="Times New Roman" w:hAnsi="Times New Roman"/>
          <w:b/>
          <w:lang w:val="en-GB"/>
        </w:rPr>
      </w:pPr>
    </w:p>
    <w:p w:rsidR="00A23B92" w:rsidRDefault="00A23B92" w:rsidP="00A23B92">
      <w:pPr>
        <w:spacing w:line="480" w:lineRule="auto"/>
        <w:jc w:val="both"/>
        <w:rPr>
          <w:rFonts w:ascii="Times New Roman" w:hAnsi="Times New Roman"/>
          <w:b/>
          <w:lang w:val="en-GB"/>
        </w:rPr>
      </w:pPr>
    </w:p>
    <w:p w:rsidR="00A23B92" w:rsidRDefault="00A23B92" w:rsidP="00A23B92">
      <w:pPr>
        <w:spacing w:line="480" w:lineRule="auto"/>
        <w:jc w:val="both"/>
        <w:rPr>
          <w:rFonts w:ascii="Times New Roman" w:hAnsi="Times New Roman"/>
          <w:b/>
          <w:lang w:val="en-GB"/>
        </w:rPr>
      </w:pPr>
    </w:p>
    <w:p w:rsidR="00A23B92" w:rsidRPr="006F67C8" w:rsidRDefault="00A23B92" w:rsidP="00A23B92">
      <w:pPr>
        <w:spacing w:line="480" w:lineRule="auto"/>
        <w:jc w:val="both"/>
        <w:rPr>
          <w:rFonts w:ascii="Times New Roman" w:hAnsi="Times New Roman"/>
          <w:color w:val="FF0000"/>
          <w:lang w:val="en-GB"/>
        </w:rPr>
      </w:pPr>
      <w:r w:rsidRPr="006F67C8">
        <w:rPr>
          <w:rFonts w:ascii="Times New Roman" w:hAnsi="Times New Roman"/>
          <w:b/>
          <w:lang w:val="en-GB"/>
        </w:rPr>
        <w:t xml:space="preserve">ABSTRACT </w:t>
      </w:r>
    </w:p>
    <w:p w:rsidR="00A23B92" w:rsidRDefault="00A23B92" w:rsidP="00A23B92">
      <w:pPr>
        <w:spacing w:line="480" w:lineRule="auto"/>
        <w:jc w:val="both"/>
        <w:rPr>
          <w:rFonts w:ascii="Times New Roman" w:hAnsi="Times New Roman"/>
          <w:b/>
          <w:lang w:val="en-GB"/>
        </w:rPr>
      </w:pPr>
      <w:r w:rsidRPr="006F67C8">
        <w:rPr>
          <w:rFonts w:ascii="Times New Roman" w:hAnsi="Times New Roman"/>
          <w:b/>
          <w:lang w:val="en-GB"/>
        </w:rPr>
        <w:t>Background</w:t>
      </w:r>
    </w:p>
    <w:p w:rsidR="00A23B92" w:rsidRPr="006F67C8" w:rsidRDefault="00A23B92" w:rsidP="00A23B92">
      <w:pPr>
        <w:spacing w:line="480" w:lineRule="auto"/>
        <w:jc w:val="both"/>
        <w:rPr>
          <w:rFonts w:ascii="Times New Roman" w:hAnsi="Times New Roman"/>
          <w:b/>
          <w:lang w:val="en-GB"/>
        </w:rPr>
      </w:pPr>
      <w:r w:rsidRPr="006F67C8">
        <w:rPr>
          <w:rFonts w:ascii="Times New Roman" w:hAnsi="Times New Roman"/>
          <w:lang w:val="en-GB"/>
        </w:rPr>
        <w:t>Transanal total mesorectal excision (TaTME) is the latest minimally invasive transanal technique</w:t>
      </w:r>
      <w:r w:rsidR="00AE74D1">
        <w:rPr>
          <w:rFonts w:ascii="Times New Roman" w:hAnsi="Times New Roman"/>
          <w:lang w:val="en-GB"/>
        </w:rPr>
        <w:t>, currently in evolution, and</w:t>
      </w:r>
      <w:r w:rsidRPr="006F67C8">
        <w:rPr>
          <w:rFonts w:ascii="Times New Roman" w:hAnsi="Times New Roman"/>
          <w:lang w:val="en-GB"/>
        </w:rPr>
        <w:t xml:space="preserve"> pioneered to </w:t>
      </w:r>
      <w:r w:rsidR="00AE74D1">
        <w:rPr>
          <w:rFonts w:ascii="Times New Roman" w:hAnsi="Times New Roman"/>
          <w:lang w:val="en-GB"/>
        </w:rPr>
        <w:t>facilitate</w:t>
      </w:r>
      <w:r w:rsidRPr="006F67C8">
        <w:rPr>
          <w:rFonts w:ascii="Times New Roman" w:hAnsi="Times New Roman"/>
          <w:lang w:val="en-GB"/>
        </w:rPr>
        <w:t xml:space="preserve"> difficult pelvic dissections in rectal surgery. Outcomes have been published from single institutions and small cohorts; however, larger series will be more helpful in assessing the safety and efficacy of taTME in the wider surgical population.  The present study reports the short-term outcomes from the international taTME registry for patients with benign and malignant rectal pathology.</w:t>
      </w:r>
    </w:p>
    <w:p w:rsidR="00A23B92" w:rsidRPr="006F67C8" w:rsidRDefault="00A23B92" w:rsidP="00A23B92">
      <w:pPr>
        <w:spacing w:line="480" w:lineRule="auto"/>
        <w:jc w:val="both"/>
        <w:rPr>
          <w:rFonts w:ascii="Times New Roman" w:hAnsi="Times New Roman"/>
          <w:b/>
          <w:lang w:val="en-GB"/>
        </w:rPr>
      </w:pPr>
      <w:r w:rsidRPr="006F67C8">
        <w:rPr>
          <w:rFonts w:ascii="Times New Roman" w:hAnsi="Times New Roman"/>
          <w:b/>
          <w:lang w:val="en-GB"/>
        </w:rPr>
        <w:t>Methods</w:t>
      </w:r>
    </w:p>
    <w:p w:rsidR="00AE74D1" w:rsidRPr="006F67C8" w:rsidRDefault="00AE74D1" w:rsidP="00AE74D1">
      <w:pPr>
        <w:spacing w:line="480" w:lineRule="auto"/>
        <w:jc w:val="both"/>
        <w:rPr>
          <w:rFonts w:ascii="Times New Roman" w:hAnsi="Times New Roman"/>
          <w:lang w:val="en-GB"/>
        </w:rPr>
      </w:pPr>
      <w:r w:rsidRPr="006F67C8">
        <w:rPr>
          <w:rFonts w:ascii="Times New Roman" w:hAnsi="Times New Roman"/>
          <w:lang w:val="en-GB"/>
        </w:rPr>
        <w:t xml:space="preserve">Data </w:t>
      </w:r>
      <w:r>
        <w:rPr>
          <w:rFonts w:ascii="Times New Roman" w:hAnsi="Times New Roman"/>
          <w:lang w:val="en-GB"/>
        </w:rPr>
        <w:t>was analysed from 66 registered units (commencing from July 2014) in 23 countries</w:t>
      </w:r>
      <w:r w:rsidRPr="006F67C8">
        <w:rPr>
          <w:rFonts w:ascii="Times New Roman" w:hAnsi="Times New Roman"/>
          <w:lang w:val="en-GB"/>
        </w:rPr>
        <w:t>. The primary endpoint was “good-quality TME surgery”</w:t>
      </w:r>
      <w:r>
        <w:rPr>
          <w:rFonts w:ascii="Times New Roman" w:hAnsi="Times New Roman"/>
          <w:lang w:val="en-GB"/>
        </w:rPr>
        <w:t>. S</w:t>
      </w:r>
      <w:r w:rsidRPr="006F67C8">
        <w:rPr>
          <w:rFonts w:ascii="Times New Roman" w:hAnsi="Times New Roman"/>
          <w:lang w:val="en-GB"/>
        </w:rPr>
        <w:t>econdary endpoints were short-term patient</w:t>
      </w:r>
      <w:r>
        <w:rPr>
          <w:rFonts w:ascii="Times New Roman" w:hAnsi="Times New Roman"/>
          <w:lang w:val="en-GB"/>
        </w:rPr>
        <w:t>,</w:t>
      </w:r>
      <w:r w:rsidRPr="006F67C8">
        <w:rPr>
          <w:rFonts w:ascii="Times New Roman" w:hAnsi="Times New Roman"/>
          <w:lang w:val="en-GB"/>
        </w:rPr>
        <w:t xml:space="preserve"> and procedure related</w:t>
      </w:r>
      <w:r>
        <w:rPr>
          <w:rFonts w:ascii="Times New Roman" w:hAnsi="Times New Roman"/>
          <w:lang w:val="en-GB"/>
        </w:rPr>
        <w:t>,</w:t>
      </w:r>
      <w:r w:rsidRPr="006F67C8">
        <w:rPr>
          <w:rFonts w:ascii="Times New Roman" w:hAnsi="Times New Roman"/>
          <w:lang w:val="en-GB"/>
        </w:rPr>
        <w:t xml:space="preserve"> adverse events. Univariate and multivariate logistic binary regression analysis was used to identify independent predictors of poor </w:t>
      </w:r>
      <w:r>
        <w:rPr>
          <w:rFonts w:ascii="Times New Roman" w:hAnsi="Times New Roman"/>
          <w:lang w:val="en-GB"/>
        </w:rPr>
        <w:t>specimen</w:t>
      </w:r>
      <w:r w:rsidRPr="006F67C8">
        <w:rPr>
          <w:rFonts w:ascii="Times New Roman" w:hAnsi="Times New Roman"/>
          <w:lang w:val="en-GB"/>
        </w:rPr>
        <w:t xml:space="preserve"> outcome.</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b/>
          <w:lang w:val="en-GB"/>
        </w:rPr>
        <w:t>Findings</w:t>
      </w:r>
    </w:p>
    <w:p w:rsidR="00AE74D1" w:rsidRPr="006F67C8" w:rsidRDefault="00AE74D1" w:rsidP="00AE74D1">
      <w:pPr>
        <w:spacing w:line="480" w:lineRule="auto"/>
        <w:jc w:val="both"/>
        <w:rPr>
          <w:rFonts w:ascii="Times New Roman" w:hAnsi="Times New Roman"/>
          <w:lang w:val="en-GB"/>
        </w:rPr>
      </w:pPr>
      <w:r>
        <w:rPr>
          <w:rFonts w:ascii="Times New Roman" w:hAnsi="Times New Roman"/>
          <w:lang w:val="en-GB"/>
        </w:rPr>
        <w:t xml:space="preserve">Overall </w:t>
      </w:r>
      <w:r w:rsidRPr="006F67C8">
        <w:rPr>
          <w:rFonts w:ascii="Times New Roman" w:hAnsi="Times New Roman"/>
          <w:lang w:val="en-GB"/>
        </w:rPr>
        <w:t xml:space="preserve">720 consecutively registered cases were analysed </w:t>
      </w:r>
      <w:r>
        <w:rPr>
          <w:rFonts w:ascii="Times New Roman" w:hAnsi="Times New Roman"/>
          <w:lang w:val="en-GB"/>
        </w:rPr>
        <w:t>comprising</w:t>
      </w:r>
      <w:r w:rsidRPr="006F67C8">
        <w:rPr>
          <w:rFonts w:ascii="Times New Roman" w:hAnsi="Times New Roman"/>
          <w:lang w:val="en-GB"/>
        </w:rPr>
        <w:t xml:space="preserve"> 634 </w:t>
      </w:r>
      <w:r>
        <w:rPr>
          <w:rFonts w:ascii="Times New Roman" w:hAnsi="Times New Roman"/>
          <w:lang w:val="en-GB"/>
        </w:rPr>
        <w:t xml:space="preserve">patients with </w:t>
      </w:r>
      <w:r w:rsidRPr="006F67C8">
        <w:rPr>
          <w:rFonts w:ascii="Times New Roman" w:hAnsi="Times New Roman"/>
          <w:lang w:val="en-GB"/>
        </w:rPr>
        <w:t>rectal cancer</w:t>
      </w:r>
      <w:r>
        <w:rPr>
          <w:rFonts w:ascii="Times New Roman" w:hAnsi="Times New Roman"/>
          <w:lang w:val="en-GB"/>
        </w:rPr>
        <w:t xml:space="preserve"> and 86 with benign pathology. </w:t>
      </w:r>
      <w:r w:rsidRPr="006F67C8">
        <w:rPr>
          <w:rFonts w:ascii="Times New Roman" w:hAnsi="Times New Roman"/>
          <w:lang w:val="en-GB"/>
        </w:rPr>
        <w:t>67% of patients were male with a mean BMI of 26·5 kg/m</w:t>
      </w:r>
      <w:r w:rsidRPr="006F67C8">
        <w:rPr>
          <w:rFonts w:ascii="Times New Roman" w:hAnsi="Times New Roman"/>
          <w:vertAlign w:val="superscript"/>
          <w:lang w:val="en-GB"/>
        </w:rPr>
        <w:t>2</w:t>
      </w:r>
      <w:r w:rsidRPr="006F67C8">
        <w:rPr>
          <w:rFonts w:ascii="Times New Roman" w:hAnsi="Times New Roman"/>
          <w:lang w:val="en-GB"/>
        </w:rPr>
        <w:t xml:space="preserve">. Abdominal or perineal conversion was 6·3% and 2·8% respectively. An intact TME specimen was achieved in 85% of cases, with minor defects in 11% and major defects in 4%.  </w:t>
      </w:r>
      <w:r>
        <w:rPr>
          <w:rFonts w:ascii="Times New Roman" w:hAnsi="Times New Roman"/>
          <w:lang w:val="en-GB"/>
        </w:rPr>
        <w:t xml:space="preserve">The </w:t>
      </w:r>
      <w:r w:rsidRPr="006F67C8">
        <w:rPr>
          <w:rFonts w:ascii="Times New Roman" w:hAnsi="Times New Roman"/>
          <w:lang w:val="en-GB"/>
        </w:rPr>
        <w:t>R1 resection rate was 2·7%. Post-operative mortality and morbidity w</w:t>
      </w:r>
      <w:r>
        <w:rPr>
          <w:rFonts w:ascii="Times New Roman" w:hAnsi="Times New Roman"/>
          <w:lang w:val="en-GB"/>
        </w:rPr>
        <w:t>ere</w:t>
      </w:r>
      <w:r w:rsidRPr="006F67C8">
        <w:rPr>
          <w:rFonts w:ascii="Times New Roman" w:hAnsi="Times New Roman"/>
          <w:lang w:val="en-GB"/>
        </w:rPr>
        <w:t xml:space="preserve"> 0·5% and 32·6% respectively.   Multivariate analysis of poor </w:t>
      </w:r>
      <w:r>
        <w:rPr>
          <w:rFonts w:ascii="Times New Roman" w:hAnsi="Times New Roman"/>
          <w:lang w:val="en-GB"/>
        </w:rPr>
        <w:t xml:space="preserve">specimen </w:t>
      </w:r>
      <w:r w:rsidRPr="006F67C8">
        <w:rPr>
          <w:rFonts w:ascii="Times New Roman" w:hAnsi="Times New Roman"/>
          <w:lang w:val="en-GB"/>
        </w:rPr>
        <w:t>outcome (</w:t>
      </w:r>
      <w:r>
        <w:rPr>
          <w:rFonts w:ascii="Times New Roman" w:hAnsi="Times New Roman"/>
          <w:lang w:val="en-GB"/>
        </w:rPr>
        <w:t xml:space="preserve">sub-optimal </w:t>
      </w:r>
      <w:r w:rsidRPr="006F67C8">
        <w:rPr>
          <w:rFonts w:ascii="Times New Roman" w:hAnsi="Times New Roman"/>
          <w:lang w:val="en-GB"/>
        </w:rPr>
        <w:t>TME specimen, perforation and/or R1 resection) were: positive CRM on staging MR</w:t>
      </w:r>
      <w:r>
        <w:rPr>
          <w:rFonts w:ascii="Times New Roman" w:hAnsi="Times New Roman"/>
          <w:lang w:val="en-GB"/>
        </w:rPr>
        <w:t>I, low rectal tumour &lt;2cm from</w:t>
      </w:r>
      <w:r w:rsidRPr="006F67C8">
        <w:rPr>
          <w:rFonts w:ascii="Times New Roman" w:hAnsi="Times New Roman"/>
          <w:lang w:val="en-GB"/>
        </w:rPr>
        <w:t xml:space="preserve"> anorectal junction and laparoscopic transabdomin</w:t>
      </w:r>
      <w:r>
        <w:rPr>
          <w:rFonts w:ascii="Times New Roman" w:hAnsi="Times New Roman"/>
          <w:lang w:val="en-GB"/>
        </w:rPr>
        <w:t>al posterior dissection to below 4cm from</w:t>
      </w:r>
      <w:r w:rsidRPr="006F67C8">
        <w:rPr>
          <w:rFonts w:ascii="Times New Roman" w:hAnsi="Times New Roman"/>
          <w:lang w:val="en-GB"/>
        </w:rPr>
        <w:t xml:space="preserve"> anal verge.     </w:t>
      </w:r>
    </w:p>
    <w:p w:rsidR="00A23B92" w:rsidRPr="006F67C8" w:rsidRDefault="00A23B92" w:rsidP="00A23B92">
      <w:pPr>
        <w:spacing w:line="480" w:lineRule="auto"/>
        <w:jc w:val="both"/>
        <w:rPr>
          <w:rFonts w:ascii="Times New Roman" w:hAnsi="Times New Roman"/>
          <w:b/>
          <w:lang w:val="en-GB"/>
        </w:rPr>
      </w:pPr>
      <w:r w:rsidRPr="006F67C8">
        <w:rPr>
          <w:rFonts w:ascii="Times New Roman" w:hAnsi="Times New Roman"/>
          <w:b/>
          <w:lang w:val="en-GB"/>
        </w:rPr>
        <w:t>Interpretation</w:t>
      </w:r>
    </w:p>
    <w:p w:rsidR="00AE74D1" w:rsidRPr="006F67C8" w:rsidRDefault="00AE74D1" w:rsidP="00AE74D1">
      <w:pPr>
        <w:spacing w:line="480" w:lineRule="auto"/>
        <w:jc w:val="both"/>
        <w:rPr>
          <w:rFonts w:ascii="Times New Roman" w:hAnsi="Times New Roman"/>
          <w:lang w:val="en-GB"/>
        </w:rPr>
      </w:pPr>
      <w:r w:rsidRPr="006F67C8">
        <w:rPr>
          <w:rFonts w:ascii="Times New Roman" w:hAnsi="Times New Roman"/>
          <w:lang w:val="en-GB"/>
        </w:rPr>
        <w:t>TaTME appears to be a</w:t>
      </w:r>
      <w:r>
        <w:rPr>
          <w:rFonts w:ascii="Times New Roman" w:hAnsi="Times New Roman"/>
          <w:lang w:val="en-GB"/>
        </w:rPr>
        <w:t xml:space="preserve">n oncologically </w:t>
      </w:r>
      <w:r w:rsidRPr="006F67C8">
        <w:rPr>
          <w:rFonts w:ascii="Times New Roman" w:hAnsi="Times New Roman"/>
          <w:lang w:val="en-GB"/>
        </w:rPr>
        <w:t>safe and effective technique for mesorectal dissection</w:t>
      </w:r>
      <w:r>
        <w:rPr>
          <w:rFonts w:ascii="Times New Roman" w:hAnsi="Times New Roman"/>
          <w:lang w:val="en-GB"/>
        </w:rPr>
        <w:t xml:space="preserve"> in selected cases</w:t>
      </w:r>
      <w:r w:rsidRPr="006F67C8">
        <w:rPr>
          <w:rFonts w:ascii="Times New Roman" w:hAnsi="Times New Roman"/>
          <w:lang w:val="en-GB"/>
        </w:rPr>
        <w:t xml:space="preserve">, particularly </w:t>
      </w:r>
      <w:r>
        <w:rPr>
          <w:rFonts w:ascii="Times New Roman" w:hAnsi="Times New Roman"/>
          <w:lang w:val="en-GB"/>
        </w:rPr>
        <w:t>for distal dissection</w:t>
      </w:r>
      <w:r w:rsidRPr="006F67C8">
        <w:rPr>
          <w:rFonts w:ascii="Times New Roman" w:hAnsi="Times New Roman"/>
          <w:lang w:val="en-GB"/>
        </w:rPr>
        <w:t xml:space="preserve">, </w:t>
      </w:r>
      <w:r>
        <w:rPr>
          <w:rFonts w:ascii="Times New Roman" w:hAnsi="Times New Roman"/>
          <w:lang w:val="en-GB"/>
        </w:rPr>
        <w:t>with excellent</w:t>
      </w:r>
      <w:r w:rsidRPr="006F67C8">
        <w:rPr>
          <w:rFonts w:ascii="Times New Roman" w:hAnsi="Times New Roman"/>
          <w:lang w:val="en-GB"/>
        </w:rPr>
        <w:t xml:space="preserve"> short-term patient outcomes and </w:t>
      </w:r>
      <w:r>
        <w:rPr>
          <w:rFonts w:ascii="Times New Roman" w:hAnsi="Times New Roman"/>
          <w:lang w:val="en-GB"/>
        </w:rPr>
        <w:t xml:space="preserve">good </w:t>
      </w:r>
      <w:r w:rsidRPr="006F67C8">
        <w:rPr>
          <w:rFonts w:ascii="Times New Roman" w:hAnsi="Times New Roman"/>
          <w:lang w:val="en-GB"/>
        </w:rPr>
        <w:t xml:space="preserve">specimen quality. Continued efforts are required to provide structured training </w:t>
      </w:r>
      <w:r>
        <w:rPr>
          <w:rFonts w:ascii="Times New Roman" w:hAnsi="Times New Roman"/>
          <w:lang w:val="en-GB"/>
        </w:rPr>
        <w:t>in</w:t>
      </w:r>
      <w:r w:rsidRPr="006F67C8">
        <w:rPr>
          <w:rFonts w:ascii="Times New Roman" w:hAnsi="Times New Roman"/>
          <w:lang w:val="en-GB"/>
        </w:rPr>
        <w:t xml:space="preserve"> this new technique and well-designed trials are needed to assess short and longer term outcomes of taTME compared with laparoscopic, robotic and open TME surgery.</w:t>
      </w:r>
    </w:p>
    <w:p w:rsidR="00937B9F" w:rsidRDefault="00937B9F" w:rsidP="00A23B92">
      <w:pPr>
        <w:spacing w:line="480" w:lineRule="auto"/>
        <w:jc w:val="both"/>
        <w:rPr>
          <w:rFonts w:ascii="Times New Roman" w:hAnsi="Times New Roman"/>
          <w:b/>
          <w:lang w:val="en-GB"/>
        </w:rPr>
      </w:pPr>
    </w:p>
    <w:p w:rsidR="00A23B92" w:rsidRPr="006F67C8" w:rsidRDefault="00A23B92" w:rsidP="00A23B92">
      <w:pPr>
        <w:spacing w:line="480" w:lineRule="auto"/>
        <w:jc w:val="both"/>
        <w:rPr>
          <w:rFonts w:ascii="Times New Roman" w:hAnsi="Times New Roman"/>
          <w:b/>
          <w:lang w:val="en-GB"/>
        </w:rPr>
      </w:pPr>
      <w:r w:rsidRPr="006F67C8">
        <w:rPr>
          <w:rFonts w:ascii="Times New Roman" w:hAnsi="Times New Roman"/>
          <w:b/>
          <w:lang w:val="en-GB"/>
        </w:rPr>
        <w:t xml:space="preserve">Funding </w:t>
      </w:r>
    </w:p>
    <w:p w:rsidR="00A23B92" w:rsidRDefault="00A23B92" w:rsidP="00A23B92">
      <w:pPr>
        <w:spacing w:line="480" w:lineRule="auto"/>
        <w:jc w:val="both"/>
        <w:rPr>
          <w:rFonts w:ascii="Times New Roman" w:hAnsi="Times New Roman"/>
        </w:rPr>
      </w:pPr>
      <w:r w:rsidRPr="006F67C8">
        <w:rPr>
          <w:rFonts w:ascii="Times New Roman" w:hAnsi="Times New Roman"/>
        </w:rPr>
        <w:t>The TaTME registry was funded by the Pelican</w:t>
      </w:r>
      <w:r w:rsidRPr="006F67C8">
        <w:rPr>
          <w:rFonts w:ascii="Times New Roman" w:hAnsi="Times New Roman"/>
          <w:b/>
        </w:rPr>
        <w:t xml:space="preserve"> </w:t>
      </w:r>
      <w:r w:rsidRPr="006F67C8">
        <w:rPr>
          <w:rFonts w:ascii="Times New Roman" w:hAnsi="Times New Roman"/>
        </w:rPr>
        <w:t>Cancer Foundation, UK</w:t>
      </w:r>
      <w:r w:rsidR="00937B9F">
        <w:rPr>
          <w:rFonts w:ascii="Times New Roman" w:hAnsi="Times New Roman"/>
        </w:rPr>
        <w:t xml:space="preserve"> and supported by The Royal Marsden and Imperial College London Biomedical Research Centres.</w:t>
      </w:r>
    </w:p>
    <w:p w:rsidR="00A23B92" w:rsidRPr="006F67C8" w:rsidRDefault="00A23B92" w:rsidP="00A23B92">
      <w:pPr>
        <w:spacing w:line="480" w:lineRule="auto"/>
        <w:jc w:val="both"/>
        <w:rPr>
          <w:rFonts w:ascii="Times New Roman" w:hAnsi="Times New Roman"/>
          <w:b/>
        </w:rPr>
      </w:pPr>
    </w:p>
    <w:p w:rsidR="00A23B92" w:rsidRPr="006F67C8" w:rsidRDefault="00A23B92" w:rsidP="00A23B92">
      <w:pPr>
        <w:spacing w:line="480" w:lineRule="auto"/>
        <w:jc w:val="both"/>
        <w:rPr>
          <w:rFonts w:ascii="Times New Roman" w:hAnsi="Times New Roman"/>
          <w:b/>
        </w:rPr>
      </w:pPr>
    </w:p>
    <w:p w:rsidR="00A23B92" w:rsidRPr="006F67C8" w:rsidRDefault="00A23B92" w:rsidP="00A23B92">
      <w:pPr>
        <w:spacing w:line="480" w:lineRule="auto"/>
        <w:jc w:val="both"/>
        <w:rPr>
          <w:rFonts w:ascii="Times New Roman" w:hAnsi="Times New Roman"/>
          <w:b/>
        </w:rPr>
      </w:pPr>
    </w:p>
    <w:p w:rsidR="00A23B92" w:rsidRPr="006F67C8" w:rsidRDefault="00A23B92" w:rsidP="00A23B92">
      <w:pPr>
        <w:spacing w:line="480" w:lineRule="auto"/>
        <w:jc w:val="both"/>
        <w:rPr>
          <w:rFonts w:ascii="Times New Roman" w:hAnsi="Times New Roman"/>
          <w:b/>
        </w:rPr>
      </w:pPr>
    </w:p>
    <w:p w:rsidR="00A23B92" w:rsidRDefault="00A23B92" w:rsidP="00A23B92">
      <w:pPr>
        <w:spacing w:line="480" w:lineRule="auto"/>
        <w:jc w:val="both"/>
        <w:rPr>
          <w:rFonts w:ascii="Times New Roman" w:hAnsi="Times New Roman"/>
          <w:b/>
        </w:rPr>
      </w:pPr>
    </w:p>
    <w:p w:rsidR="00A23B92" w:rsidRDefault="00A23B92" w:rsidP="00A23B92">
      <w:pPr>
        <w:spacing w:line="480" w:lineRule="auto"/>
        <w:jc w:val="both"/>
        <w:rPr>
          <w:rFonts w:ascii="Times New Roman" w:hAnsi="Times New Roman"/>
          <w:b/>
        </w:rPr>
      </w:pPr>
    </w:p>
    <w:p w:rsidR="00A23B92" w:rsidRDefault="00A23B92" w:rsidP="00A23B92">
      <w:pPr>
        <w:spacing w:line="480" w:lineRule="auto"/>
        <w:jc w:val="both"/>
        <w:rPr>
          <w:rFonts w:ascii="Times New Roman" w:hAnsi="Times New Roman"/>
          <w:b/>
        </w:rPr>
      </w:pPr>
    </w:p>
    <w:p w:rsidR="00A23B92" w:rsidRDefault="00A23B92" w:rsidP="00A23B92">
      <w:pPr>
        <w:spacing w:line="480" w:lineRule="auto"/>
        <w:jc w:val="both"/>
        <w:rPr>
          <w:rFonts w:ascii="Times New Roman" w:hAnsi="Times New Roman"/>
          <w:b/>
        </w:rPr>
      </w:pPr>
    </w:p>
    <w:p w:rsidR="00A23B92" w:rsidRDefault="00A23B92" w:rsidP="00A23B92">
      <w:pPr>
        <w:spacing w:line="480" w:lineRule="auto"/>
        <w:jc w:val="both"/>
        <w:rPr>
          <w:rFonts w:ascii="Times New Roman" w:hAnsi="Times New Roman"/>
          <w:b/>
        </w:rPr>
      </w:pPr>
    </w:p>
    <w:p w:rsidR="00A23B92" w:rsidRDefault="00A23B92" w:rsidP="00A23B92">
      <w:pPr>
        <w:spacing w:line="480" w:lineRule="auto"/>
        <w:jc w:val="both"/>
        <w:rPr>
          <w:rFonts w:ascii="Times New Roman" w:hAnsi="Times New Roman"/>
          <w:b/>
        </w:rPr>
      </w:pPr>
    </w:p>
    <w:p w:rsidR="00A23B92" w:rsidRDefault="00A23B92" w:rsidP="00A23B92">
      <w:pPr>
        <w:spacing w:line="480" w:lineRule="auto"/>
        <w:jc w:val="both"/>
        <w:rPr>
          <w:rFonts w:ascii="Times New Roman" w:hAnsi="Times New Roman"/>
          <w:b/>
        </w:rPr>
      </w:pPr>
    </w:p>
    <w:p w:rsidR="00A23B92" w:rsidRDefault="00A23B92" w:rsidP="00A23B92">
      <w:pPr>
        <w:spacing w:line="480" w:lineRule="auto"/>
        <w:jc w:val="both"/>
        <w:rPr>
          <w:rFonts w:ascii="Times New Roman" w:hAnsi="Times New Roman"/>
          <w:b/>
        </w:rPr>
      </w:pPr>
    </w:p>
    <w:p w:rsidR="00A23B92" w:rsidRDefault="00A23B92" w:rsidP="00A23B92">
      <w:pPr>
        <w:spacing w:line="480" w:lineRule="auto"/>
        <w:jc w:val="both"/>
        <w:rPr>
          <w:rFonts w:ascii="Times New Roman" w:hAnsi="Times New Roman"/>
          <w:b/>
        </w:rPr>
      </w:pPr>
    </w:p>
    <w:p w:rsidR="00A23B92" w:rsidRDefault="00A23B92" w:rsidP="00A23B92">
      <w:pPr>
        <w:spacing w:line="480" w:lineRule="auto"/>
        <w:jc w:val="both"/>
        <w:rPr>
          <w:rFonts w:ascii="Times New Roman" w:hAnsi="Times New Roman"/>
          <w:b/>
        </w:rPr>
      </w:pPr>
    </w:p>
    <w:p w:rsidR="00A23B92" w:rsidRDefault="00A23B92" w:rsidP="00A23B92">
      <w:pPr>
        <w:spacing w:line="480" w:lineRule="auto"/>
        <w:jc w:val="both"/>
        <w:rPr>
          <w:rFonts w:ascii="Times New Roman" w:hAnsi="Times New Roman"/>
          <w:b/>
        </w:rPr>
      </w:pPr>
    </w:p>
    <w:p w:rsidR="00174B19" w:rsidDel="00174B19" w:rsidRDefault="00174B19" w:rsidP="00A23B92">
      <w:pPr>
        <w:spacing w:line="480" w:lineRule="auto"/>
        <w:jc w:val="both"/>
        <w:rPr>
          <w:rFonts w:ascii="Times New Roman" w:hAnsi="Times New Roman"/>
          <w:b/>
        </w:rPr>
      </w:pPr>
    </w:p>
    <w:p w:rsidR="00A23B92" w:rsidRPr="006F67C8" w:rsidRDefault="00A23B92" w:rsidP="00A23B92">
      <w:pPr>
        <w:spacing w:line="480" w:lineRule="auto"/>
        <w:jc w:val="both"/>
        <w:rPr>
          <w:rFonts w:ascii="Times New Roman" w:hAnsi="Times New Roman"/>
          <w:b/>
        </w:rPr>
      </w:pPr>
      <w:r w:rsidRPr="006F67C8">
        <w:rPr>
          <w:rFonts w:ascii="Times New Roman" w:hAnsi="Times New Roman"/>
          <w:b/>
          <w:sz w:val="28"/>
          <w:lang w:val="en-GB"/>
        </w:rPr>
        <w:t>Introduction</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Colorectal cancer is the third most common cancer in the world, with nearly 1·4 million new cases diagnosed in 2012.</w:t>
      </w:r>
      <w:r w:rsidRPr="006F67C8">
        <w:rPr>
          <w:rFonts w:ascii="Times New Roman" w:hAnsi="Times New Roman"/>
          <w:vertAlign w:val="superscript"/>
        </w:rPr>
        <w:t xml:space="preserve">1 </w:t>
      </w:r>
      <w:r w:rsidRPr="006F67C8">
        <w:rPr>
          <w:rFonts w:ascii="Times New Roman" w:hAnsi="Times New Roman"/>
          <w:lang w:val="en-GB"/>
        </w:rPr>
        <w:t xml:space="preserve">Treatment of rectal cancer in particular poses unique challenges and has seen major changes over the last </w:t>
      </w:r>
      <w:r w:rsidR="008C0F87">
        <w:rPr>
          <w:rFonts w:ascii="Times New Roman" w:hAnsi="Times New Roman"/>
          <w:lang w:val="en-GB"/>
        </w:rPr>
        <w:t xml:space="preserve">few </w:t>
      </w:r>
      <w:r w:rsidRPr="006F67C8">
        <w:rPr>
          <w:rFonts w:ascii="Times New Roman" w:hAnsi="Times New Roman"/>
          <w:lang w:val="en-GB"/>
        </w:rPr>
        <w:t>decade</w:t>
      </w:r>
      <w:r w:rsidR="008C0F87">
        <w:rPr>
          <w:rFonts w:ascii="Times New Roman" w:hAnsi="Times New Roman"/>
          <w:lang w:val="en-GB"/>
        </w:rPr>
        <w:t>s</w:t>
      </w:r>
      <w:r w:rsidRPr="006F67C8">
        <w:rPr>
          <w:rFonts w:ascii="Times New Roman" w:hAnsi="Times New Roman"/>
          <w:lang w:val="en-GB"/>
        </w:rPr>
        <w:t>.  The gold standard approach to rectal cancer surgery is total mesorectal excision (TME) as popularised by Heald in 1979.</w:t>
      </w:r>
      <w:r w:rsidRPr="006F67C8">
        <w:rPr>
          <w:rFonts w:ascii="Times New Roman" w:hAnsi="Times New Roman"/>
          <w:vertAlign w:val="superscript"/>
        </w:rPr>
        <w:t>2</w:t>
      </w:r>
      <w:r w:rsidRPr="006F67C8">
        <w:rPr>
          <w:rFonts w:ascii="Times New Roman" w:hAnsi="Times New Roman"/>
          <w:lang w:val="en-GB"/>
        </w:rPr>
        <w:t xml:space="preserve"> Following preoperative staging MRI to determine the need for neoadjuvant therapy,</w:t>
      </w:r>
      <w:r w:rsidRPr="006F67C8">
        <w:rPr>
          <w:rFonts w:ascii="Times New Roman" w:hAnsi="Times New Roman"/>
          <w:vertAlign w:val="superscript"/>
        </w:rPr>
        <w:t>3</w:t>
      </w:r>
      <w:r w:rsidR="00786B7C">
        <w:rPr>
          <w:rFonts w:ascii="Times New Roman" w:hAnsi="Times New Roman"/>
          <w:vertAlign w:val="superscript"/>
        </w:rPr>
        <w:t xml:space="preserve"> </w:t>
      </w:r>
      <w:r w:rsidRPr="006F67C8">
        <w:rPr>
          <w:rFonts w:ascii="Times New Roman" w:hAnsi="Times New Roman"/>
          <w:lang w:val="en-GB"/>
        </w:rPr>
        <w:t>accurate dissection along the fascia propria can potentially obtain an intact mesorectum with negative distal (DRM) and circumferential resection margins (CRM), which in turn ha</w:t>
      </w:r>
      <w:r w:rsidR="00786B7C">
        <w:rPr>
          <w:rFonts w:ascii="Times New Roman" w:hAnsi="Times New Roman"/>
          <w:lang w:val="en-GB"/>
        </w:rPr>
        <w:t>ve</w:t>
      </w:r>
      <w:r w:rsidRPr="006F67C8">
        <w:rPr>
          <w:rFonts w:ascii="Times New Roman" w:hAnsi="Times New Roman"/>
          <w:lang w:val="en-GB"/>
        </w:rPr>
        <w:t xml:space="preserve"> been shown to improve local recurrence rate and cancer-free survival.</w:t>
      </w:r>
      <w:r w:rsidRPr="006F67C8">
        <w:rPr>
          <w:rFonts w:ascii="Times New Roman" w:hAnsi="Times New Roman"/>
          <w:vertAlign w:val="superscript"/>
        </w:rPr>
        <w:t>4,5</w:t>
      </w:r>
      <w:r w:rsidRPr="006F67C8">
        <w:rPr>
          <w:rFonts w:ascii="Times New Roman" w:hAnsi="Times New Roman"/>
          <w:lang w:val="en-GB"/>
        </w:rPr>
        <w:t xml:space="preserve">  The improved long-term survival of colorectal cancer patients and better understanding of pelvic anatomy have also drawn the attention to sphincter preservation and protection of the splanchnic pelvic nerves in order to provide better long-term functional outcomes.   </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The oncological benefits of a good mesorectal specimen were originally shown with open surgery</w:t>
      </w:r>
      <w:r w:rsidR="00786B7C">
        <w:rPr>
          <w:rFonts w:ascii="Times New Roman" w:hAnsi="Times New Roman"/>
          <w:lang w:val="en-GB"/>
        </w:rPr>
        <w:t>. F</w:t>
      </w:r>
      <w:r w:rsidRPr="006F67C8">
        <w:rPr>
          <w:rFonts w:ascii="Times New Roman" w:hAnsi="Times New Roman"/>
          <w:lang w:val="en-GB"/>
        </w:rPr>
        <w:t>ollowing the increasing adoption of laparoscopy, randomised controlled trials (RCT) comparing the two techniques showed largely equivalent outcomes.</w:t>
      </w:r>
      <w:r w:rsidRPr="006F67C8">
        <w:rPr>
          <w:rFonts w:ascii="Times New Roman" w:hAnsi="Times New Roman"/>
          <w:vertAlign w:val="superscript"/>
        </w:rPr>
        <w:t>6,7</w:t>
      </w:r>
      <w:r w:rsidRPr="006F67C8">
        <w:rPr>
          <w:rFonts w:ascii="Times New Roman" w:hAnsi="Times New Roman"/>
          <w:lang w:val="en-GB"/>
        </w:rPr>
        <w:t xml:space="preserve">  However, two more recent RCTs, ACOSOG Z6051</w:t>
      </w:r>
      <w:r w:rsidRPr="006F67C8">
        <w:rPr>
          <w:rFonts w:ascii="Times New Roman" w:hAnsi="Times New Roman"/>
          <w:vertAlign w:val="superscript"/>
        </w:rPr>
        <w:t>8</w:t>
      </w:r>
      <w:r w:rsidRPr="006F67C8">
        <w:rPr>
          <w:rFonts w:ascii="Times New Roman" w:hAnsi="Times New Roman"/>
          <w:lang w:val="en-GB"/>
        </w:rPr>
        <w:t xml:space="preserve"> and ALaCaRT,</w:t>
      </w:r>
      <w:r w:rsidRPr="006F67C8">
        <w:rPr>
          <w:rFonts w:ascii="Times New Roman" w:hAnsi="Times New Roman"/>
          <w:vertAlign w:val="superscript"/>
        </w:rPr>
        <w:t>9</w:t>
      </w:r>
      <w:r w:rsidRPr="006F67C8">
        <w:rPr>
          <w:rFonts w:ascii="Times New Roman" w:hAnsi="Times New Roman"/>
          <w:lang w:val="en-GB"/>
        </w:rPr>
        <w:t xml:space="preserve"> failed to show non-inferiority of the laparoscopic TME technique compared to open surgery for oncological outcomes.  Patient-related factors that predict intra-operative difficulty and can potentially increase the risk of local recurrence include male gender, high body mass index (BMI), visceral obesity and a narrow pelvis.</w:t>
      </w:r>
      <w:r w:rsidRPr="006F67C8">
        <w:rPr>
          <w:rFonts w:ascii="Times New Roman" w:hAnsi="Times New Roman"/>
          <w:vertAlign w:val="superscript"/>
        </w:rPr>
        <w:t>10</w:t>
      </w:r>
      <w:r w:rsidRPr="006F67C8">
        <w:rPr>
          <w:rFonts w:ascii="Times New Roman" w:hAnsi="Times New Roman"/>
          <w:lang w:val="en-GB"/>
        </w:rPr>
        <w:t xml:space="preserve"> Bulky tumours and advanced T stage have also been identified as risk factors for a positive CRM.</w:t>
      </w:r>
      <w:r w:rsidRPr="006F67C8">
        <w:rPr>
          <w:rFonts w:ascii="Times New Roman" w:hAnsi="Times New Roman"/>
          <w:vertAlign w:val="superscript"/>
        </w:rPr>
        <w:t>11</w:t>
      </w:r>
      <w:r w:rsidRPr="006F67C8">
        <w:rPr>
          <w:rFonts w:ascii="Times New Roman" w:hAnsi="Times New Roman"/>
          <w:lang w:val="en-GB"/>
        </w:rPr>
        <w:t xml:space="preserve"> These anatomical features pose technical challenges during both laparoscopic and open surgery, with poor visualisation of the mesorectal plane and difficult introduction of instruments into a narrow pelvis; all of which increase the risk of an incomplete mesorectal excision and poor oncological outcomes.  High conversion rates from laparoscopic to open surgery have also been reported with 16% and 11·3% occurring in COLOR II</w:t>
      </w:r>
      <w:r w:rsidRPr="006F67C8">
        <w:rPr>
          <w:rFonts w:ascii="Times New Roman" w:hAnsi="Times New Roman"/>
          <w:vertAlign w:val="superscript"/>
        </w:rPr>
        <w:t xml:space="preserve">7 </w:t>
      </w:r>
      <w:r w:rsidRPr="006F67C8">
        <w:rPr>
          <w:rFonts w:ascii="Times New Roman" w:hAnsi="Times New Roman"/>
          <w:lang w:val="en-GB"/>
        </w:rPr>
        <w:t>and ACOSOG Z6051</w:t>
      </w:r>
      <w:r w:rsidRPr="006F67C8">
        <w:rPr>
          <w:rFonts w:ascii="Times New Roman" w:hAnsi="Times New Roman"/>
          <w:vertAlign w:val="superscript"/>
        </w:rPr>
        <w:t xml:space="preserve">8 </w:t>
      </w:r>
      <w:r w:rsidRPr="006F67C8">
        <w:rPr>
          <w:rFonts w:ascii="Times New Roman" w:hAnsi="Times New Roman"/>
          <w:lang w:val="en-GB"/>
        </w:rPr>
        <w:t xml:space="preserve">trials, respectively, indicating the technical challenges of achieving a successful laparoscopic TME.                        </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The transanal approach to pelvic dissection has recently attracted attention with an expectation that it may improve clinical, oncological and functional outcomes by providing better visualisation of pelvic anatomy and a more accurate distal TME dissection.  Transanal TME (taTME) is not a completely new concept, but rather, an amalgamation of important surgical techniques and advances in transanal approaches; namely transanal endoscopy microsurgery (TEM),</w:t>
      </w:r>
      <w:r w:rsidRPr="006F67C8">
        <w:rPr>
          <w:rFonts w:ascii="Times New Roman" w:hAnsi="Times New Roman"/>
          <w:vertAlign w:val="superscript"/>
        </w:rPr>
        <w:t>12</w:t>
      </w:r>
      <w:r>
        <w:rPr>
          <w:rFonts w:ascii="Times New Roman" w:hAnsi="Times New Roman"/>
          <w:vertAlign w:val="superscript"/>
        </w:rPr>
        <w:t xml:space="preserve"> </w:t>
      </w:r>
      <w:r w:rsidRPr="006F67C8">
        <w:rPr>
          <w:rFonts w:ascii="Times New Roman" w:hAnsi="Times New Roman"/>
          <w:lang w:val="en-GB"/>
        </w:rPr>
        <w:t>the transabdominal transanal (TATA) approach</w:t>
      </w:r>
      <w:r w:rsidRPr="006F67C8">
        <w:rPr>
          <w:rFonts w:ascii="Times New Roman" w:hAnsi="Times New Roman"/>
          <w:vertAlign w:val="superscript"/>
        </w:rPr>
        <w:t xml:space="preserve">13 </w:t>
      </w:r>
      <w:r w:rsidRPr="006F67C8">
        <w:rPr>
          <w:rFonts w:ascii="Times New Roman" w:hAnsi="Times New Roman"/>
          <w:lang w:val="en-GB"/>
        </w:rPr>
        <w:t>and transanal minimally invasive surgery (TAMIS).</w:t>
      </w:r>
      <w:r w:rsidRPr="006F67C8">
        <w:rPr>
          <w:rFonts w:ascii="Times New Roman" w:hAnsi="Times New Roman"/>
          <w:vertAlign w:val="superscript"/>
        </w:rPr>
        <w:t>14</w:t>
      </w:r>
      <w:r w:rsidRPr="006F67C8">
        <w:rPr>
          <w:rFonts w:ascii="Times New Roman" w:hAnsi="Times New Roman"/>
          <w:lang w:val="en-GB"/>
        </w:rPr>
        <w:t xml:space="preserve">  Since Sylla and Lacy reported their early experience of human hybrid laparoscopic-taTME proctectomy in 2010,</w:t>
      </w:r>
      <w:r w:rsidRPr="006F67C8">
        <w:rPr>
          <w:rFonts w:ascii="Times New Roman" w:hAnsi="Times New Roman"/>
          <w:vertAlign w:val="superscript"/>
        </w:rPr>
        <w:t>15</w:t>
      </w:r>
      <w:r w:rsidRPr="006F67C8">
        <w:rPr>
          <w:rFonts w:ascii="Times New Roman" w:hAnsi="Times New Roman"/>
          <w:color w:val="3366FF"/>
          <w:lang w:val="en-GB"/>
        </w:rPr>
        <w:t xml:space="preserve"> </w:t>
      </w:r>
      <w:r w:rsidRPr="006F67C8">
        <w:rPr>
          <w:rFonts w:ascii="Times New Roman" w:hAnsi="Times New Roman"/>
          <w:lang w:val="en-GB"/>
        </w:rPr>
        <w:t>numerous case series for both benign and malignant cases have been published, many showing encouraging results in terms of safety and efficacy of taTME.</w:t>
      </w:r>
      <w:r w:rsidRPr="006F67C8">
        <w:rPr>
          <w:rFonts w:ascii="Times New Roman" w:hAnsi="Times New Roman"/>
          <w:vertAlign w:val="superscript"/>
        </w:rPr>
        <w:t>16-18</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 xml:space="preserve">    </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 xml:space="preserve">The aim of the present study is to report the short-term outcomes of the </w:t>
      </w:r>
      <w:r w:rsidR="00786B7C">
        <w:rPr>
          <w:rFonts w:ascii="Times New Roman" w:hAnsi="Times New Roman"/>
          <w:lang w:val="en-GB"/>
        </w:rPr>
        <w:t>initial</w:t>
      </w:r>
      <w:r w:rsidRPr="006F67C8">
        <w:rPr>
          <w:rFonts w:ascii="Times New Roman" w:hAnsi="Times New Roman"/>
          <w:lang w:val="en-GB"/>
        </w:rPr>
        <w:t xml:space="preserve"> cases reported on the international taTME registry.</w:t>
      </w:r>
      <w:r w:rsidRPr="006F67C8">
        <w:rPr>
          <w:rFonts w:ascii="Times New Roman" w:hAnsi="Times New Roman"/>
          <w:vertAlign w:val="superscript"/>
        </w:rPr>
        <w:t>19</w:t>
      </w:r>
      <w:r>
        <w:rPr>
          <w:rFonts w:ascii="Times New Roman" w:hAnsi="Times New Roman"/>
          <w:lang w:val="en-GB"/>
        </w:rPr>
        <w:t xml:space="preserve"> </w:t>
      </w:r>
      <w:r w:rsidRPr="006F67C8">
        <w:rPr>
          <w:rFonts w:ascii="Times New Roman" w:hAnsi="Times New Roman"/>
          <w:lang w:val="en-GB"/>
        </w:rPr>
        <w:t xml:space="preserve">These data give insight into the experience with this new technique in everyday practice from a wide community of rectal surgeons from across the globe. </w:t>
      </w:r>
    </w:p>
    <w:p w:rsidR="00A23B92" w:rsidRPr="006F67C8" w:rsidRDefault="00A23B92" w:rsidP="00A23B92">
      <w:pPr>
        <w:spacing w:line="480" w:lineRule="auto"/>
        <w:jc w:val="both"/>
        <w:rPr>
          <w:rFonts w:ascii="Times New Roman" w:hAnsi="Times New Roman"/>
          <w:lang w:val="en-GB"/>
        </w:rPr>
      </w:pPr>
    </w:p>
    <w:p w:rsidR="00A23B92" w:rsidRPr="006F67C8" w:rsidRDefault="00A23B92" w:rsidP="00A23B92">
      <w:pPr>
        <w:widowControl w:val="0"/>
        <w:autoSpaceDE w:val="0"/>
        <w:autoSpaceDN w:val="0"/>
        <w:adjustRightInd w:val="0"/>
        <w:spacing w:line="480" w:lineRule="auto"/>
        <w:rPr>
          <w:rFonts w:ascii="Times New Roman" w:hAnsi="Times New Roman"/>
          <w:lang w:val="en-GB"/>
        </w:rPr>
      </w:pPr>
    </w:p>
    <w:p w:rsidR="00A23B92" w:rsidRPr="006F67C8" w:rsidRDefault="00A23B92" w:rsidP="00A23B92">
      <w:pPr>
        <w:widowControl w:val="0"/>
        <w:autoSpaceDE w:val="0"/>
        <w:autoSpaceDN w:val="0"/>
        <w:adjustRightInd w:val="0"/>
        <w:spacing w:line="480" w:lineRule="auto"/>
        <w:rPr>
          <w:rFonts w:ascii="Times New Roman" w:hAnsi="Times New Roman"/>
          <w:lang w:val="en-GB"/>
        </w:rPr>
      </w:pPr>
    </w:p>
    <w:p w:rsidR="00A23B92" w:rsidRPr="006F67C8" w:rsidRDefault="00A23B92" w:rsidP="00A23B92">
      <w:pPr>
        <w:widowControl w:val="0"/>
        <w:autoSpaceDE w:val="0"/>
        <w:autoSpaceDN w:val="0"/>
        <w:adjustRightInd w:val="0"/>
        <w:spacing w:line="480" w:lineRule="auto"/>
        <w:rPr>
          <w:rFonts w:ascii="Times New Roman" w:hAnsi="Times New Roman"/>
          <w:lang w:val="en-GB"/>
        </w:rPr>
      </w:pPr>
    </w:p>
    <w:p w:rsidR="00A23B92" w:rsidRPr="006F67C8" w:rsidRDefault="00A23B92" w:rsidP="00A23B92">
      <w:pPr>
        <w:widowControl w:val="0"/>
        <w:autoSpaceDE w:val="0"/>
        <w:autoSpaceDN w:val="0"/>
        <w:adjustRightInd w:val="0"/>
        <w:spacing w:line="480" w:lineRule="auto"/>
        <w:rPr>
          <w:rFonts w:ascii="Times New Roman" w:hAnsi="Times New Roman"/>
          <w:lang w:val="en-GB"/>
        </w:rPr>
      </w:pPr>
    </w:p>
    <w:p w:rsidR="00A23B92" w:rsidRDefault="00A23B92" w:rsidP="00A23B92">
      <w:pPr>
        <w:widowControl w:val="0"/>
        <w:autoSpaceDE w:val="0"/>
        <w:autoSpaceDN w:val="0"/>
        <w:adjustRightInd w:val="0"/>
        <w:spacing w:line="480" w:lineRule="auto"/>
        <w:rPr>
          <w:rFonts w:ascii="Times New Roman" w:hAnsi="Times New Roman"/>
          <w:lang w:val="en-GB"/>
        </w:rPr>
      </w:pPr>
    </w:p>
    <w:p w:rsidR="00A23B92" w:rsidRPr="006F67C8" w:rsidRDefault="00A23B92" w:rsidP="00A23B92">
      <w:pPr>
        <w:widowControl w:val="0"/>
        <w:autoSpaceDE w:val="0"/>
        <w:autoSpaceDN w:val="0"/>
        <w:adjustRightInd w:val="0"/>
        <w:spacing w:line="480" w:lineRule="auto"/>
        <w:rPr>
          <w:rFonts w:ascii="Times New Roman" w:hAnsi="Times New Roman"/>
          <w:lang w:val="en-GB"/>
        </w:rPr>
      </w:pPr>
    </w:p>
    <w:p w:rsidR="00A23B92" w:rsidRPr="006F67C8" w:rsidRDefault="00A23B92" w:rsidP="00A23B92">
      <w:pPr>
        <w:spacing w:line="480" w:lineRule="auto"/>
        <w:rPr>
          <w:rFonts w:ascii="Times New Roman" w:hAnsi="Times New Roman"/>
          <w:b/>
          <w:sz w:val="28"/>
          <w:lang w:val="en-GB"/>
        </w:rPr>
      </w:pPr>
    </w:p>
    <w:p w:rsidR="00786B7C" w:rsidRDefault="00786B7C">
      <w:pPr>
        <w:rPr>
          <w:rFonts w:ascii="Times New Roman" w:hAnsi="Times New Roman"/>
          <w:b/>
          <w:sz w:val="28"/>
          <w:lang w:val="en-GB"/>
        </w:rPr>
      </w:pPr>
      <w:r>
        <w:rPr>
          <w:rFonts w:ascii="Times New Roman" w:hAnsi="Times New Roman"/>
          <w:b/>
          <w:sz w:val="28"/>
          <w:lang w:val="en-GB"/>
        </w:rPr>
        <w:br w:type="page"/>
      </w:r>
    </w:p>
    <w:p w:rsidR="00A23B92" w:rsidRPr="006F67C8" w:rsidRDefault="00A23B92" w:rsidP="00A23B92">
      <w:pPr>
        <w:spacing w:line="480" w:lineRule="auto"/>
        <w:jc w:val="both"/>
        <w:rPr>
          <w:rFonts w:ascii="Times New Roman" w:hAnsi="Times New Roman"/>
          <w:b/>
          <w:sz w:val="28"/>
          <w:lang w:val="en-GB"/>
        </w:rPr>
      </w:pPr>
      <w:r w:rsidRPr="006F67C8">
        <w:rPr>
          <w:rFonts w:ascii="Times New Roman" w:hAnsi="Times New Roman"/>
          <w:b/>
          <w:sz w:val="28"/>
          <w:lang w:val="en-GB"/>
        </w:rPr>
        <w:t>Methods</w:t>
      </w:r>
    </w:p>
    <w:p w:rsidR="00A23B92" w:rsidRPr="006F67C8" w:rsidRDefault="00A23B92" w:rsidP="00A23B92">
      <w:pPr>
        <w:spacing w:line="480" w:lineRule="auto"/>
        <w:jc w:val="both"/>
        <w:rPr>
          <w:rFonts w:ascii="Times New Roman" w:hAnsi="Times New Roman"/>
          <w:b/>
          <w:lang w:val="en-GB"/>
        </w:rPr>
      </w:pPr>
      <w:r w:rsidRPr="006F67C8">
        <w:rPr>
          <w:rFonts w:ascii="Times New Roman" w:hAnsi="Times New Roman"/>
          <w:b/>
          <w:lang w:val="en-GB"/>
        </w:rPr>
        <w:t xml:space="preserve">The taTME registry </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The taTME registry is a secure online database developed in the United Kingdom (UK) and funded by the Pelican Cancer Foundation.</w:t>
      </w:r>
      <w:r w:rsidRPr="006F67C8">
        <w:rPr>
          <w:rFonts w:ascii="Times New Roman" w:hAnsi="Times New Roman"/>
          <w:vertAlign w:val="superscript"/>
        </w:rPr>
        <w:t>19</w:t>
      </w:r>
      <w:r w:rsidRPr="006F67C8">
        <w:rPr>
          <w:rFonts w:ascii="Times New Roman" w:hAnsi="Times New Roman"/>
          <w:lang w:val="en-GB"/>
        </w:rPr>
        <w:t xml:space="preserve"> It was launched in July 2014 and can be accessed via the Low Rectal Cancer Development (LOREC) website (</w:t>
      </w:r>
      <w:hyperlink r:id="rId8" w:history="1">
        <w:r w:rsidRPr="006F67C8">
          <w:rPr>
            <w:rStyle w:val="Hyperlink"/>
            <w:rFonts w:ascii="Times New Roman" w:hAnsi="Times New Roman"/>
            <w:lang w:val="en-GB"/>
          </w:rPr>
          <w:t>http://www.lorec.nhs.uk</w:t>
        </w:r>
      </w:hyperlink>
      <w:r w:rsidRPr="006F67C8">
        <w:rPr>
          <w:rFonts w:ascii="Times New Roman" w:hAnsi="Times New Roman"/>
          <w:lang w:val="en-GB"/>
        </w:rPr>
        <w:t xml:space="preserve">).  Registration is voluntary and all surgeons performing taTME worldwide are invited to join.  The dataset collected consists of nine sections: patient demographics, pre-operative staging and neoadjuvant treatment, operative details, post-operative clinical and histological outcomes, readmissions details, late morbidity and long-term oncologic follow-up. Ethical approval for the taTME registry and publication of its results was obtained from the UK Health Research Authority (REC reference 15/LO/0499, IRAS project ID 156930).   </w:t>
      </w:r>
    </w:p>
    <w:p w:rsidR="00A23B92" w:rsidRPr="006F67C8" w:rsidRDefault="00A23B92" w:rsidP="00A23B92">
      <w:pPr>
        <w:spacing w:line="480" w:lineRule="auto"/>
        <w:jc w:val="both"/>
        <w:rPr>
          <w:rFonts w:ascii="Times New Roman" w:hAnsi="Times New Roman"/>
          <w:lang w:val="en-GB"/>
        </w:rPr>
      </w:pPr>
    </w:p>
    <w:p w:rsidR="00A23B92" w:rsidRPr="006F67C8" w:rsidRDefault="00A23B92" w:rsidP="00A23B92">
      <w:pPr>
        <w:spacing w:line="480" w:lineRule="auto"/>
        <w:jc w:val="both"/>
        <w:rPr>
          <w:rFonts w:ascii="Times New Roman" w:hAnsi="Times New Roman"/>
          <w:b/>
          <w:lang w:val="en-GB"/>
        </w:rPr>
      </w:pPr>
      <w:r w:rsidRPr="006F67C8">
        <w:rPr>
          <w:rFonts w:ascii="Times New Roman" w:hAnsi="Times New Roman"/>
          <w:b/>
          <w:lang w:val="en-GB"/>
        </w:rPr>
        <w:t>Study design and patient population</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Cases registered between July 2014 and December 2015 were analysed. These results were recorded in 66 surgical units from 23 different countries worldwide (Appendix 1).  Three months prior to data analysis, all registered surgeons were invited via email to update their records with two subsequent reminders in order to minimise missing data.  Surgeons were also individually contacted to clarify any unexpected or possibly erroneous results that may have been entered incorrectly. Data were gathered on patients with rectal cancer and benign pathology that underwent taTME.</w:t>
      </w:r>
      <w:r w:rsidRPr="006F67C8">
        <w:rPr>
          <w:rFonts w:ascii="Times New Roman" w:hAnsi="Times New Roman"/>
          <w:color w:val="3366FF"/>
          <w:lang w:val="en-GB"/>
        </w:rPr>
        <w:t xml:space="preserve"> </w:t>
      </w:r>
      <w:r w:rsidRPr="006F67C8">
        <w:rPr>
          <w:rFonts w:ascii="Times New Roman" w:hAnsi="Times New Roman"/>
          <w:lang w:val="en-GB"/>
        </w:rPr>
        <w:t>Data from cancer cases focused on pre-operative staging, neoadjuvant treatment and histopathological results.  Definitions of variables and outcomes are outlined in Appendix 2.  Missing data did not exceed 15% for each variable</w:t>
      </w:r>
      <w:r>
        <w:rPr>
          <w:rFonts w:ascii="Times New Roman" w:hAnsi="Times New Roman"/>
          <w:lang w:val="en-GB"/>
        </w:rPr>
        <w:t xml:space="preserve"> and percentages shown take into account missing values</w:t>
      </w:r>
      <w:r w:rsidRPr="006F67C8">
        <w:rPr>
          <w:rFonts w:ascii="Times New Roman" w:hAnsi="Times New Roman"/>
          <w:lang w:val="en-GB"/>
        </w:rPr>
        <w:t>.  The primary endpoint of the study was “good-quality TME surgery” defined as a TME dissection that was classed as intact or with minor defects resulting in clear CRM and DRM (R0 resection). The quality of the TME specimen was categorised using the descriptions published by Quirke et al.</w:t>
      </w:r>
      <w:r w:rsidRPr="006F67C8">
        <w:rPr>
          <w:rFonts w:ascii="Times New Roman" w:hAnsi="Times New Roman"/>
          <w:vertAlign w:val="superscript"/>
        </w:rPr>
        <w:t>20</w:t>
      </w:r>
      <w:r w:rsidRPr="006F67C8">
        <w:rPr>
          <w:rFonts w:ascii="Times New Roman" w:hAnsi="Times New Roman"/>
          <w:lang w:val="en-GB"/>
        </w:rPr>
        <w:t xml:space="preserve"> Secondary endpoints include short-term patient and procedure related adverse events. </w:t>
      </w:r>
    </w:p>
    <w:p w:rsidR="00A23B92" w:rsidRPr="006F67C8" w:rsidRDefault="00A23B92" w:rsidP="00A23B92">
      <w:pPr>
        <w:spacing w:line="480" w:lineRule="auto"/>
        <w:jc w:val="both"/>
        <w:rPr>
          <w:rFonts w:ascii="Times New Roman" w:hAnsi="Times New Roman"/>
          <w:b/>
          <w:lang w:val="en-GB"/>
        </w:rPr>
      </w:pPr>
    </w:p>
    <w:p w:rsidR="00A23B92" w:rsidRPr="006F67C8" w:rsidRDefault="00A23B92" w:rsidP="00A23B92">
      <w:pPr>
        <w:spacing w:line="480" w:lineRule="auto"/>
        <w:jc w:val="both"/>
        <w:rPr>
          <w:rFonts w:ascii="Times New Roman" w:hAnsi="Times New Roman"/>
          <w:b/>
          <w:lang w:val="en-GB"/>
        </w:rPr>
      </w:pPr>
      <w:r w:rsidRPr="006F67C8">
        <w:rPr>
          <w:rFonts w:ascii="Times New Roman" w:hAnsi="Times New Roman"/>
          <w:b/>
          <w:lang w:val="en-GB"/>
        </w:rPr>
        <w:t>Statistical analysis</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All categorical data are presented as number of cases and percentages, whilst continuous data are shown as either mean ± standard deviation (range) or median with range.  Univariate and multivariate analyses were performed to identify possible risk factors associated with poor histological features (a composite of R1 resection and poor TME / perforated specimen).  The dependent variables were subdivided into patient-related, tumour-related and technical risk factors.  Univariate analysis comparing categorical variables was performed using the Pearson Chi</w:t>
      </w:r>
      <w:r w:rsidRPr="006F67C8">
        <w:rPr>
          <w:rFonts w:ascii="Times New Roman" w:hAnsi="Times New Roman"/>
          <w:vertAlign w:val="superscript"/>
          <w:lang w:val="en-GB"/>
        </w:rPr>
        <w:t>2</w:t>
      </w:r>
      <w:r w:rsidRPr="006F67C8">
        <w:rPr>
          <w:rFonts w:ascii="Times New Roman" w:hAnsi="Times New Roman"/>
          <w:lang w:val="en-GB"/>
        </w:rPr>
        <w:t xml:space="preserve"> test, and continuous variables were analysed using Mann Whitney U test.  Multivariate analysis was subsequently performed using logistic binary regression for variables that achieved a p-value of ≤ 0·100 on univariate analysis. On multivariate analysis, a p-value &lt;0·05 was considered statistically significant.   The Statistical Package for Social Sciences (SPSS) of IBM Statistics, version 20, was used for the statistical analysis.</w:t>
      </w:r>
    </w:p>
    <w:p w:rsidR="00A23B92" w:rsidRPr="006F67C8" w:rsidRDefault="00A23B92" w:rsidP="00A23B92">
      <w:pPr>
        <w:spacing w:line="480" w:lineRule="auto"/>
        <w:jc w:val="both"/>
        <w:rPr>
          <w:rFonts w:ascii="Times New Roman" w:hAnsi="Times New Roman"/>
          <w:b/>
          <w:sz w:val="28"/>
          <w:lang w:val="en-GB"/>
        </w:rPr>
      </w:pPr>
    </w:p>
    <w:p w:rsidR="00A23B92" w:rsidRPr="006F67C8" w:rsidRDefault="00A23B92" w:rsidP="00A23B92">
      <w:pPr>
        <w:spacing w:line="480" w:lineRule="auto"/>
        <w:jc w:val="both"/>
        <w:rPr>
          <w:rFonts w:ascii="Times New Roman" w:hAnsi="Times New Roman"/>
          <w:b/>
          <w:lang w:val="en-GB"/>
        </w:rPr>
      </w:pPr>
      <w:r w:rsidRPr="006F67C8">
        <w:rPr>
          <w:rFonts w:ascii="Times New Roman" w:hAnsi="Times New Roman"/>
          <w:b/>
          <w:lang w:val="en-GB"/>
        </w:rPr>
        <w:t>Role of funding source</w:t>
      </w:r>
    </w:p>
    <w:p w:rsidR="00A23B92" w:rsidRPr="006F67C8" w:rsidRDefault="00A23B92" w:rsidP="00A23B92">
      <w:pPr>
        <w:spacing w:line="480" w:lineRule="auto"/>
        <w:rPr>
          <w:rFonts w:ascii="Times New Roman" w:hAnsi="Times New Roman"/>
          <w:b/>
          <w:sz w:val="28"/>
          <w:lang w:val="en-GB"/>
        </w:rPr>
      </w:pPr>
      <w:r w:rsidRPr="006F67C8">
        <w:rPr>
          <w:rFonts w:ascii="Times New Roman" w:hAnsi="Times New Roman"/>
        </w:rPr>
        <w:t>The TaTME registry was funded by the Pelican</w:t>
      </w:r>
      <w:r w:rsidRPr="006F67C8">
        <w:rPr>
          <w:rFonts w:ascii="Times New Roman" w:hAnsi="Times New Roman"/>
          <w:b/>
        </w:rPr>
        <w:t xml:space="preserve"> </w:t>
      </w:r>
      <w:r w:rsidRPr="006F67C8">
        <w:rPr>
          <w:rFonts w:ascii="Times New Roman" w:hAnsi="Times New Roman"/>
        </w:rPr>
        <w:t>Cancer Foundation, U</w:t>
      </w:r>
      <w:r>
        <w:rPr>
          <w:rFonts w:ascii="Times New Roman" w:hAnsi="Times New Roman"/>
        </w:rPr>
        <w:t xml:space="preserve">nited </w:t>
      </w:r>
      <w:r w:rsidRPr="006F67C8">
        <w:rPr>
          <w:rFonts w:ascii="Times New Roman" w:hAnsi="Times New Roman"/>
        </w:rPr>
        <w:t>K</w:t>
      </w:r>
      <w:r>
        <w:rPr>
          <w:rFonts w:ascii="Times New Roman" w:hAnsi="Times New Roman"/>
        </w:rPr>
        <w:t>ingdom</w:t>
      </w:r>
      <w:r w:rsidRPr="006F67C8">
        <w:rPr>
          <w:rFonts w:ascii="Times New Roman" w:hAnsi="Times New Roman"/>
        </w:rPr>
        <w:t>.</w:t>
      </w:r>
      <w:r>
        <w:rPr>
          <w:rFonts w:ascii="Times New Roman" w:hAnsi="Times New Roman"/>
        </w:rPr>
        <w:t xml:space="preserve">  </w:t>
      </w:r>
    </w:p>
    <w:p w:rsidR="00A23B92" w:rsidRPr="006F67C8" w:rsidRDefault="00A23B92" w:rsidP="00A23B92">
      <w:pPr>
        <w:spacing w:line="480" w:lineRule="auto"/>
        <w:rPr>
          <w:rFonts w:ascii="Times New Roman" w:hAnsi="Times New Roman"/>
          <w:b/>
          <w:sz w:val="28"/>
          <w:lang w:val="en-GB"/>
        </w:rPr>
      </w:pPr>
    </w:p>
    <w:p w:rsidR="00A23B92" w:rsidRPr="006F67C8" w:rsidRDefault="00A23B92" w:rsidP="00A23B92">
      <w:pPr>
        <w:spacing w:line="480" w:lineRule="auto"/>
        <w:rPr>
          <w:rFonts w:ascii="Times New Roman" w:hAnsi="Times New Roman"/>
          <w:b/>
          <w:sz w:val="28"/>
          <w:lang w:val="en-GB"/>
        </w:rPr>
      </w:pPr>
    </w:p>
    <w:p w:rsidR="00A23B92" w:rsidRPr="006F67C8" w:rsidRDefault="00A23B92" w:rsidP="00A23B92">
      <w:pPr>
        <w:spacing w:line="480" w:lineRule="auto"/>
        <w:rPr>
          <w:rFonts w:ascii="Times New Roman" w:hAnsi="Times New Roman"/>
          <w:b/>
          <w:sz w:val="28"/>
          <w:lang w:val="en-GB"/>
        </w:rPr>
      </w:pPr>
    </w:p>
    <w:p w:rsidR="00A23B92" w:rsidRPr="006F67C8" w:rsidRDefault="00A23B92" w:rsidP="00A23B92">
      <w:pPr>
        <w:spacing w:line="480" w:lineRule="auto"/>
        <w:rPr>
          <w:rFonts w:ascii="Times New Roman" w:hAnsi="Times New Roman"/>
          <w:b/>
          <w:sz w:val="28"/>
          <w:lang w:val="en-GB"/>
        </w:rPr>
      </w:pPr>
    </w:p>
    <w:p w:rsidR="000347DD" w:rsidRDefault="000347DD" w:rsidP="00A23B92">
      <w:pPr>
        <w:spacing w:line="480" w:lineRule="auto"/>
        <w:jc w:val="both"/>
        <w:rPr>
          <w:rFonts w:ascii="Times New Roman" w:hAnsi="Times New Roman"/>
          <w:b/>
          <w:sz w:val="28"/>
          <w:lang w:val="en-GB"/>
        </w:rPr>
      </w:pPr>
    </w:p>
    <w:p w:rsidR="000347DD" w:rsidRDefault="000347DD" w:rsidP="00A23B92">
      <w:pPr>
        <w:spacing w:line="480" w:lineRule="auto"/>
        <w:jc w:val="both"/>
        <w:rPr>
          <w:rFonts w:ascii="Times New Roman" w:hAnsi="Times New Roman"/>
          <w:b/>
          <w:sz w:val="28"/>
          <w:lang w:val="en-GB"/>
        </w:rPr>
      </w:pP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b/>
          <w:sz w:val="28"/>
          <w:lang w:val="en-GB"/>
        </w:rPr>
        <w:t>Results</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A total of 720 cases were recorded on the taTME registry during an 18-month period.  The caseload distribution was as follows: 0–5, 6–10, 11–20 and &gt;20 cases in 33 (50%), 12 (18%), 8 (12%) and 13 (20%) units respectively.  The indication for surgery was rectal cancer in 634 cases (88·1%), whilst 86 patients (11·9%) had benign pathology.  Patients’ characteristics are outlined in table 1.</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b/>
          <w:lang w:val="en-GB"/>
        </w:rPr>
        <w:t>Cancer cases: Pre-operative staging and neoadjuvant therapy</w:t>
      </w:r>
    </w:p>
    <w:p w:rsidR="00A23B92" w:rsidRPr="006F67C8" w:rsidRDefault="00A23B92" w:rsidP="00A23B92">
      <w:pPr>
        <w:spacing w:line="480" w:lineRule="auto"/>
        <w:jc w:val="both"/>
        <w:rPr>
          <w:rFonts w:ascii="Times New Roman" w:hAnsi="Times New Roman"/>
          <w:strike/>
          <w:lang w:val="en-GB"/>
        </w:rPr>
      </w:pPr>
      <w:r w:rsidRPr="006F67C8">
        <w:rPr>
          <w:rFonts w:ascii="Times New Roman" w:hAnsi="Times New Roman"/>
          <w:lang w:val="en-GB"/>
        </w:rPr>
        <w:t xml:space="preserve">Pre-operative tumour characteristics and neoadjuvant therapy are outlined in table 2.  Low rectal cancer, ≤6cm from anal verge, accounted for 62% of cases.  Mid (7 to 10cm) </w:t>
      </w:r>
      <w:r w:rsidR="0060576D">
        <w:rPr>
          <w:rFonts w:ascii="Times New Roman" w:hAnsi="Times New Roman"/>
          <w:lang w:val="en-GB"/>
        </w:rPr>
        <w:t>or</w:t>
      </w:r>
      <w:r w:rsidRPr="006F67C8">
        <w:rPr>
          <w:rFonts w:ascii="Times New Roman" w:hAnsi="Times New Roman"/>
          <w:lang w:val="en-GB"/>
        </w:rPr>
        <w:t xml:space="preserve"> high (&gt;10cm) rectal </w:t>
      </w:r>
      <w:r w:rsidR="0060576D">
        <w:rPr>
          <w:rFonts w:ascii="Times New Roman" w:hAnsi="Times New Roman"/>
          <w:lang w:val="en-GB"/>
        </w:rPr>
        <w:t>cancer</w:t>
      </w:r>
      <w:r w:rsidRPr="006F67C8">
        <w:rPr>
          <w:rFonts w:ascii="Times New Roman" w:hAnsi="Times New Roman"/>
          <w:lang w:val="en-GB"/>
        </w:rPr>
        <w:t xml:space="preserve"> w</w:t>
      </w:r>
      <w:r w:rsidR="0060576D">
        <w:rPr>
          <w:rFonts w:ascii="Times New Roman" w:hAnsi="Times New Roman"/>
          <w:lang w:val="en-GB"/>
        </w:rPr>
        <w:t>as</w:t>
      </w:r>
      <w:r w:rsidRPr="006F67C8">
        <w:rPr>
          <w:rFonts w:ascii="Times New Roman" w:hAnsi="Times New Roman"/>
          <w:lang w:val="en-GB"/>
        </w:rPr>
        <w:t xml:space="preserve"> present in 37% and 1% </w:t>
      </w:r>
      <w:r w:rsidR="0060576D">
        <w:rPr>
          <w:rFonts w:ascii="Times New Roman" w:hAnsi="Times New Roman"/>
          <w:lang w:val="en-GB"/>
        </w:rPr>
        <w:t xml:space="preserve">of cases </w:t>
      </w:r>
      <w:r w:rsidRPr="006F67C8">
        <w:rPr>
          <w:rFonts w:ascii="Times New Roman" w:hAnsi="Times New Roman"/>
          <w:lang w:val="en-GB"/>
        </w:rPr>
        <w:t xml:space="preserve">respectively.  Pre-operative MRI revealed a threatened circumferential resection margin (CRM) in 115 cases (21·1%), of which 8·3% showed nodal involvement, 11% tumour involvement and 1.8% both nodal and tumour involvement.  Baseline MRI staged 185 (33·1%) as T1–T2 rectal </w:t>
      </w:r>
      <w:r w:rsidR="0060576D">
        <w:rPr>
          <w:rFonts w:ascii="Times New Roman" w:hAnsi="Times New Roman"/>
          <w:lang w:val="en-GB"/>
        </w:rPr>
        <w:t>cancer</w:t>
      </w:r>
      <w:r w:rsidRPr="006F67C8">
        <w:rPr>
          <w:rFonts w:ascii="Times New Roman" w:hAnsi="Times New Roman"/>
          <w:lang w:val="en-GB"/>
        </w:rPr>
        <w:t xml:space="preserve">, 343 (61·4%) T3 and 31 (5·5%) T4 </w:t>
      </w:r>
      <w:r w:rsidR="0060576D">
        <w:rPr>
          <w:rFonts w:ascii="Times New Roman" w:hAnsi="Times New Roman"/>
          <w:lang w:val="en-GB"/>
        </w:rPr>
        <w:t>cancer</w:t>
      </w:r>
      <w:r w:rsidRPr="006F67C8">
        <w:rPr>
          <w:rFonts w:ascii="Times New Roman" w:hAnsi="Times New Roman"/>
          <w:lang w:val="en-GB"/>
        </w:rPr>
        <w:t xml:space="preserve">.  Nodal status was reported as N0, N1 and N2 in 232 (41·8%), 221 (29·8%) and 102 (18·4%) cases respectively.  Synchronous metastatic disease was present in 40 patients (6·6%).  Neoadjuvant treatment was administered to 355 (57%) patients with the majority receiving long course chemoradiotherapy (72%).                    </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 xml:space="preserve">     </w:t>
      </w:r>
    </w:p>
    <w:p w:rsidR="00A23B92" w:rsidRPr="006F67C8" w:rsidRDefault="00A23B92" w:rsidP="00A23B92">
      <w:pPr>
        <w:spacing w:line="480" w:lineRule="auto"/>
        <w:jc w:val="both"/>
        <w:rPr>
          <w:rFonts w:ascii="Times New Roman" w:hAnsi="Times New Roman"/>
          <w:b/>
          <w:lang w:val="en-GB"/>
        </w:rPr>
      </w:pPr>
      <w:r w:rsidRPr="006F67C8">
        <w:rPr>
          <w:rFonts w:ascii="Times New Roman" w:hAnsi="Times New Roman"/>
          <w:b/>
          <w:lang w:val="en-GB"/>
        </w:rPr>
        <w:t xml:space="preserve">Operative details </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 xml:space="preserve">A total of 634 cancer and 86 benign taTME operations were performed.  A break down of the operative features is outlined in table 3.  Simultaneous abdominal and transanal surgery was performed in 227 cases (32·3%).  </w:t>
      </w:r>
    </w:p>
    <w:p w:rsidR="00A23B92" w:rsidRPr="006F67C8" w:rsidRDefault="00A23B92" w:rsidP="00A23B92">
      <w:pPr>
        <w:spacing w:line="480" w:lineRule="auto"/>
        <w:jc w:val="both"/>
        <w:rPr>
          <w:rFonts w:ascii="Times New Roman" w:hAnsi="Times New Roman"/>
          <w:u w:val="single"/>
          <w:lang w:val="en-GB"/>
        </w:rPr>
      </w:pPr>
      <w:r w:rsidRPr="006F67C8">
        <w:rPr>
          <w:rFonts w:ascii="Times New Roman" w:hAnsi="Times New Roman"/>
          <w:u w:val="single"/>
          <w:lang w:val="en-GB"/>
        </w:rPr>
        <w:t>Abdominal phase</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 xml:space="preserve">A minimally invasive approach was adopted for the abdominal phase in 650 (96·9%) patients, with splenic flexure mobilisation performed in 72% of cases.  In cancer resections, the anterior extent of pelvic dissection in males reached the pouch of Douglas (POD), seminal vesicles and prostate in 53%, 38% and 9% respectively.  In female cancer patients, most surgeons (67%) terminated the anterior dissection at the POD, whilst the lowest level reached was the mid-vagina in 7·1% of cases.  The posterior TME dissection performed transabdominally in cancer cases reached a level of 8–10cm, 5–7cm and &lt;5cm from the anal verge in 56%, 31% and 13% respectively.  In benign cases, pelvic dissection was continued to a lower level more frequently than in cancer cases: 42% to POD, 53% seminal vesicles and 5·6% down to </w:t>
      </w:r>
      <w:r w:rsidR="0060576D">
        <w:rPr>
          <w:rFonts w:ascii="Times New Roman" w:hAnsi="Times New Roman"/>
          <w:lang w:val="en-GB"/>
        </w:rPr>
        <w:t xml:space="preserve">the </w:t>
      </w:r>
      <w:r w:rsidRPr="006F67C8">
        <w:rPr>
          <w:rFonts w:ascii="Times New Roman" w:hAnsi="Times New Roman"/>
          <w:lang w:val="en-GB"/>
        </w:rPr>
        <w:t>prostate</w:t>
      </w:r>
      <w:r w:rsidR="0060576D">
        <w:rPr>
          <w:rFonts w:ascii="Times New Roman" w:hAnsi="Times New Roman"/>
          <w:lang w:val="en-GB"/>
        </w:rPr>
        <w:t xml:space="preserve"> level</w:t>
      </w:r>
      <w:r w:rsidRPr="006F67C8">
        <w:rPr>
          <w:rFonts w:ascii="Times New Roman" w:hAnsi="Times New Roman"/>
          <w:lang w:val="en-GB"/>
        </w:rPr>
        <w:t xml:space="preserve">.  Female anterior dissection reached the mid-vagina in 8%, but most surgeons (68%) stopped at the POD.  Posterior dissection reached 8–10cm, 5–7cm and &lt;5cm from the anal verge in 44%, 36% and 20% of cases respectively.    A pelvic drain was inserted in 65% of cases and </w:t>
      </w:r>
      <w:r w:rsidR="0060576D">
        <w:rPr>
          <w:rFonts w:ascii="Times New Roman" w:hAnsi="Times New Roman"/>
          <w:lang w:val="en-GB"/>
        </w:rPr>
        <w:t xml:space="preserve">a proximal </w:t>
      </w:r>
      <w:r w:rsidRPr="006F67C8">
        <w:rPr>
          <w:rFonts w:ascii="Times New Roman" w:hAnsi="Times New Roman"/>
          <w:lang w:val="en-GB"/>
        </w:rPr>
        <w:t xml:space="preserve">defunctioning stoma created in 538 patients (91%) who underwent anterior resection with primary anastomosis.  </w:t>
      </w:r>
    </w:p>
    <w:p w:rsidR="00A23B92" w:rsidRPr="006F67C8" w:rsidRDefault="00A23B92" w:rsidP="00A23B92">
      <w:pPr>
        <w:spacing w:line="480" w:lineRule="auto"/>
        <w:jc w:val="both"/>
        <w:rPr>
          <w:rFonts w:ascii="Times New Roman" w:hAnsi="Times New Roman"/>
          <w:u w:val="single"/>
          <w:lang w:val="en-GB"/>
        </w:rPr>
      </w:pPr>
      <w:r w:rsidRPr="006F67C8">
        <w:rPr>
          <w:rFonts w:ascii="Times New Roman" w:hAnsi="Times New Roman"/>
          <w:u w:val="single"/>
          <w:lang w:val="en-GB"/>
        </w:rPr>
        <w:t>Perineal phase</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Rigid and flexible transanal access platforms were used in 14·4% and 85·6% respectively.  Most surgeons (77·8%) used primarily monopolar energy for perineal dissection.  A rectal purse string technique was adopted prior to a full rectotomy in the majority of cancer and benign cases; 62·5% and 52·6% respectively.  The median purse string height from the anorectal junction was 4·0 (range=0–9) in cancer cases and 4·0 (range=0</w:t>
      </w:r>
      <w:r w:rsidRPr="006F67C8">
        <w:rPr>
          <w:rFonts w:ascii="Times New Roman" w:hAnsi="Times New Roman"/>
          <w:lang w:val="en-GB"/>
        </w:rPr>
        <w:softHyphen/>
        <w:t xml:space="preserve">–7) in benign cases.  The anterior dissection in men was performed anterior to Denonvilliers fascia in 66·7% of patients with an anterior tumour.  </w:t>
      </w:r>
    </w:p>
    <w:p w:rsidR="00A23B92" w:rsidRDefault="00A23B92" w:rsidP="00A23B92">
      <w:pPr>
        <w:spacing w:line="480" w:lineRule="auto"/>
        <w:jc w:val="both"/>
        <w:rPr>
          <w:rFonts w:ascii="Times New Roman" w:hAnsi="Times New Roman"/>
          <w:lang w:val="en-GB"/>
        </w:rPr>
      </w:pPr>
      <w:r w:rsidRPr="006F67C8">
        <w:rPr>
          <w:rFonts w:ascii="Times New Roman" w:hAnsi="Times New Roman"/>
          <w:lang w:val="en-GB"/>
        </w:rPr>
        <w:t xml:space="preserve">Bowel anastomosis was performed manually in 252 cases (43·6%) and stapled in 327 (56·5%) overall.  In cancer cases with a stapled anastomosis, the configuration was side-to-end, end-to-end, colonic-J-pouch and ileal pouch-anal anastomosis (IPAA) in 49·2%, 46·9%, 3·3% and 0·7% of cases respectively.  The stapler diameters used were 28/29mm in 30·6%, 31mm in 12·4% and 33mm in 57% of cases.  For manual anastomoses in cancer patients, the configurations performed included end-to-end, side-to-end, colonic-J-pouch and IPAA in 67·9%, 27·3%, 4·4% and 0·4% respectively.  In benign cases, a side-to-end or IPAA was performed in 10·5% and 89·5% cases of stapled anastomoses respectively.  Three different stapler diameters were used: 28mm (5·3% cases), 29mm (73·7%) and 31mm (21·1%).  The manual anastomosis configuration recorded for three benign cases was end-to-end and IPAA in 1 and 2 cases respectively.      </w:t>
      </w:r>
    </w:p>
    <w:p w:rsidR="00A23B92" w:rsidRPr="006F67C8" w:rsidRDefault="00A23B92" w:rsidP="00A23B92">
      <w:pPr>
        <w:spacing w:line="480" w:lineRule="auto"/>
        <w:jc w:val="both"/>
        <w:rPr>
          <w:rFonts w:ascii="Times New Roman" w:hAnsi="Times New Roman"/>
          <w:lang w:val="en-GB"/>
        </w:rPr>
      </w:pPr>
    </w:p>
    <w:p w:rsidR="00A23B92" w:rsidRPr="006F67C8" w:rsidRDefault="00A23B92" w:rsidP="00A23B92">
      <w:pPr>
        <w:spacing w:line="480" w:lineRule="auto"/>
        <w:jc w:val="both"/>
        <w:rPr>
          <w:rFonts w:ascii="Times New Roman" w:hAnsi="Times New Roman"/>
          <w:b/>
          <w:lang w:val="en-GB"/>
        </w:rPr>
      </w:pPr>
      <w:r w:rsidRPr="006F67C8">
        <w:rPr>
          <w:rFonts w:ascii="Times New Roman" w:hAnsi="Times New Roman"/>
          <w:b/>
          <w:lang w:val="en-GB"/>
        </w:rPr>
        <w:t>Adverse events</w:t>
      </w:r>
    </w:p>
    <w:p w:rsidR="00A23B92" w:rsidRPr="006F67C8" w:rsidRDefault="00A23B92" w:rsidP="00A23B92">
      <w:pPr>
        <w:spacing w:line="480" w:lineRule="auto"/>
        <w:jc w:val="both"/>
        <w:rPr>
          <w:rFonts w:ascii="Times New Roman" w:hAnsi="Times New Roman"/>
          <w:u w:val="single"/>
          <w:lang w:val="en-GB"/>
        </w:rPr>
      </w:pPr>
      <w:r w:rsidRPr="006F67C8">
        <w:rPr>
          <w:rFonts w:ascii="Times New Roman" w:hAnsi="Times New Roman"/>
          <w:u w:val="single"/>
          <w:lang w:val="en-GB"/>
        </w:rPr>
        <w:t>Intra-operative difficulties and complications</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 xml:space="preserve">Abdominal conversion (Appendix 2) occurred in 40 cases (6·3%): strategic conversion in 31 cases and reactive in 9 cases.  Significant adverse events reported during the abdominal phase of the operation included two ureteric transections, iatrogenic enterotomy on insertion of a laparoscopic instrument, splenic injury with haemorrhage, and bladder injury during a simultaneous laparoscopic hysterectomy for myomatosis.  </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 xml:space="preserve">Perineal conversion (Appendix 2) to a more extensive abdominal top-down approach was required in 20 cases (2·8%): strategic and reactive conversions in 11 and 9 cases respectively.  Problems encountered during the perineal dissection included difficulty maintaining a stable pneumopelvis (15·6% of cases), excessive smoke obscuring the view (21·9%), dissection in the incorrect plane (7·8%) and problematic pelvic bleeding that was difficult to control (6·9%).  Visceral injuries that occurred during perineal dissection included five urethral injuries (0·7%), two bladder injuries (0·3%), one vaginal perforation (0·1%), one unilateral resection of hypogastric nerves (0·1%) and two macroscopically identified rectal tube perforations (0·3%).  Minimal intra-operative blood loss of &lt;100mls occurred in the majority of patients (61·2%), with only 6 cases (1%) losing more than one litre.    </w:t>
      </w:r>
    </w:p>
    <w:p w:rsidR="00A23B92" w:rsidRPr="006F67C8" w:rsidRDefault="00A23B92" w:rsidP="00A23B92">
      <w:pPr>
        <w:spacing w:line="480" w:lineRule="auto"/>
        <w:jc w:val="both"/>
        <w:rPr>
          <w:rFonts w:ascii="Times New Roman" w:hAnsi="Times New Roman"/>
          <w:lang w:val="en-GB"/>
        </w:rPr>
      </w:pPr>
    </w:p>
    <w:p w:rsidR="00A23B92" w:rsidRPr="006F67C8" w:rsidRDefault="00A23B92" w:rsidP="00A23B92">
      <w:pPr>
        <w:spacing w:line="480" w:lineRule="auto"/>
        <w:jc w:val="both"/>
        <w:rPr>
          <w:rFonts w:ascii="Times New Roman" w:hAnsi="Times New Roman"/>
          <w:u w:val="single"/>
          <w:lang w:val="en-GB"/>
        </w:rPr>
      </w:pPr>
      <w:r w:rsidRPr="006F67C8">
        <w:rPr>
          <w:rFonts w:ascii="Times New Roman" w:hAnsi="Times New Roman"/>
          <w:u w:val="single"/>
          <w:lang w:val="en-GB"/>
        </w:rPr>
        <w:t>Post-operative clinical outcomes</w:t>
      </w:r>
    </w:p>
    <w:p w:rsidR="00A23B92" w:rsidRPr="006F67C8" w:rsidRDefault="00A23B92" w:rsidP="00A23B92">
      <w:pPr>
        <w:spacing w:line="480" w:lineRule="auto"/>
        <w:jc w:val="both"/>
        <w:rPr>
          <w:rFonts w:ascii="Times New Roman" w:hAnsi="Times New Roman"/>
          <w:color w:val="660066"/>
          <w:lang w:val="en-GB"/>
        </w:rPr>
      </w:pPr>
      <w:r w:rsidRPr="006F67C8">
        <w:rPr>
          <w:rFonts w:ascii="Times New Roman" w:hAnsi="Times New Roman"/>
          <w:lang w:val="en-GB"/>
        </w:rPr>
        <w:t xml:space="preserve">Table 4 outlines the short-term clinical outcomes with a reported overall post-operative mortality rate of 2·4% (n=17) and post-operative morbidity rate of 32·6% (n=213).  All deaths occurred in cancer patients; three of which occurred during the index admission.  The median time of death following surgery was 248 days (range 4 to 1857).  Specific causes of death were not recorded in the registry, but were categorised as cancer-related (six cases), not cancer related (five), post-operative (three) or unknown (one), with 2 missing results.    </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Anastomotic leaks were reco</w:t>
      </w:r>
      <w:r w:rsidR="00E702FF">
        <w:rPr>
          <w:rFonts w:ascii="Times New Roman" w:hAnsi="Times New Roman"/>
          <w:lang w:val="en-GB"/>
        </w:rPr>
        <w:t>rded in a total of 40 cases (6·7</w:t>
      </w:r>
      <w:r w:rsidRPr="006F67C8">
        <w:rPr>
          <w:rFonts w:ascii="Times New Roman" w:hAnsi="Times New Roman"/>
          <w:lang w:val="en-GB"/>
        </w:rPr>
        <w:t>%); 32 (5</w:t>
      </w:r>
      <w:r w:rsidR="00E702FF">
        <w:rPr>
          <w:rFonts w:ascii="Times New Roman" w:hAnsi="Times New Roman"/>
          <w:lang w:val="en-GB"/>
        </w:rPr>
        <w:t>.4</w:t>
      </w:r>
      <w:r w:rsidRPr="006F67C8">
        <w:rPr>
          <w:rFonts w:ascii="Times New Roman" w:hAnsi="Times New Roman"/>
          <w:lang w:val="en-GB"/>
        </w:rPr>
        <w:t xml:space="preserve">%) were identified early, with the remaining eight identified at a later stage (&gt;30 days).  Surgical or radiological re-intervention was required in 14 (44%) of the 32 patients, and 10 (31%) of these patients required an unplanned re-admission.  An abdominal or pelvic abscess was recorded in an additional 17 patients without evidence of anastomotic leak.  </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 xml:space="preserve">An unplanned surgical or radiological intervention was required in 66 (10·1%) patients overall.  Re-operations reported on the registry during the index admission included three laparotomies for ischaemic left colon, one laparotomy for faecal peritonitis, three examinations under anaesthesia for anastomotic leak, two evacuations of haematoma, one negative laparotomy for severe sepsis on day 1 post resection, one incarcerated hernia repair and one case requiring bilateral fasciotomies for compartment syndrome.  </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 xml:space="preserve">Fifty patients (6·9%) had an unplanned re-admission into hospital. Thirty (60%) of the readmitted patients were treated either conservatively or medically for general malaise, abdominal pain, high stoma output with acute kidney injury, pulmonary embolism, prolonged ileus and delayed anastomotic leak diagnosed during chemotherapy.  Fifteen patients underwent a surgical intervention during their re-admission: one laparotomy for small bowel obstruction requiring small bowel resection, one laparotomy for a coloplasty leak one parastomal hernia repair, one drainage of a perineal abscess, one abdominal wound debridement, one pull-through procedure for anastomotic leak and nine examinations under anaesthesia; with re-suturing of partial anastomotic dehiscence (3 cases), re-do of coloanal anastomosis (1 case), dilatation of a strictured handsewn anastomosis (1 case), placement of endo-VAC therapy (2 cases) for a pelvic abscess and chronic presacral sinus, transanal lavage of the presacral collection following anastomotic dehiscence (1 case) or no further action (1 case).  The remaining five re-admitted patients underwent radiologically guided drainage of pelvic collections.       </w:t>
      </w:r>
    </w:p>
    <w:p w:rsidR="00A23B92" w:rsidRPr="006F67C8" w:rsidRDefault="00A23B92" w:rsidP="00A23B92">
      <w:pPr>
        <w:spacing w:line="480" w:lineRule="auto"/>
        <w:jc w:val="both"/>
        <w:rPr>
          <w:rFonts w:ascii="Times New Roman" w:hAnsi="Times New Roman"/>
          <w:lang w:val="en-GB"/>
        </w:rPr>
      </w:pPr>
    </w:p>
    <w:p w:rsidR="00A23B92" w:rsidRPr="006F67C8" w:rsidRDefault="00A23B92" w:rsidP="00A23B92">
      <w:pPr>
        <w:spacing w:line="480" w:lineRule="auto"/>
        <w:jc w:val="both"/>
        <w:rPr>
          <w:rFonts w:ascii="Times New Roman" w:hAnsi="Times New Roman"/>
          <w:b/>
          <w:lang w:val="en-GB"/>
        </w:rPr>
      </w:pPr>
      <w:r w:rsidRPr="006F67C8">
        <w:rPr>
          <w:rFonts w:ascii="Times New Roman" w:hAnsi="Times New Roman"/>
          <w:b/>
          <w:lang w:val="en-GB"/>
        </w:rPr>
        <w:t>Histopathological results</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A total of 634 (88%) cancer cases were analysed.  Key pathological outcomes have been outlined in table 5.  An R0 resection was obtained in 97·3% of cases.  Sixteen cases (2·7%) were reported as R1 and due to a positive DRM, positive CRM by tumour and positive CRM by an adjacent malignant lymph node in 2 (0·3%), 10 (1·7%) and 4 (0·7%) cases respectively.  A poor TME specimen with major defects in the mesorectum reaching down to rectal wall was reported in 24 (4·1%) cases.  Twelve specimens were found to have a rectal tube perforation but only 6 of these were recorded as a poor TME specimen on the registry.  Although the perforation was not necessarily at the tumour site or through the mesorectum, we have included all rectal perforations into the ‘poor TME specimen’ category for further analysis.</w:t>
      </w:r>
    </w:p>
    <w:p w:rsidR="00A23B92" w:rsidRPr="006F67C8" w:rsidRDefault="00A23B92" w:rsidP="00A23B92">
      <w:pPr>
        <w:spacing w:line="480" w:lineRule="auto"/>
        <w:jc w:val="both"/>
        <w:rPr>
          <w:rFonts w:ascii="Times New Roman" w:hAnsi="Times New Roman"/>
          <w:lang w:val="en-GB"/>
        </w:rPr>
      </w:pPr>
    </w:p>
    <w:p w:rsidR="00A23B92" w:rsidRPr="006F67C8" w:rsidRDefault="00A23B92" w:rsidP="00A23B92">
      <w:pPr>
        <w:spacing w:line="480" w:lineRule="auto"/>
        <w:jc w:val="both"/>
        <w:rPr>
          <w:rFonts w:ascii="Times New Roman" w:hAnsi="Times New Roman"/>
          <w:b/>
          <w:lang w:val="en-GB"/>
        </w:rPr>
      </w:pPr>
      <w:r w:rsidRPr="006F67C8">
        <w:rPr>
          <w:rFonts w:ascii="Times New Roman" w:hAnsi="Times New Roman"/>
          <w:b/>
          <w:lang w:val="en-GB"/>
        </w:rPr>
        <w:t xml:space="preserve">Risk factors for a poor pathological composite outcome: Univariate and Multivariate analysis </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 xml:space="preserve">Cases with a R1 resection were combined to those with a poor TME specimen (including all rectal perforations) to form a composite endpoint of poor pathological features.  This included a total of 44 cases (7·4%).  Possible risk factors leading to poor pathological features were divided into patient related, tumour related and technical variables.  On univariate analysis the following factors achieved a p-value of ≤ 0·100: </w:t>
      </w:r>
      <w:r w:rsidRPr="006F67C8">
        <w:rPr>
          <w:rFonts w:ascii="Times New Roman" w:hAnsi="Times New Roman"/>
          <w:u w:val="single"/>
          <w:lang w:val="en-GB"/>
        </w:rPr>
        <w:t>Patient related factors</w:t>
      </w:r>
      <w:r w:rsidRPr="006F67C8">
        <w:rPr>
          <w:rFonts w:ascii="Times New Roman" w:hAnsi="Times New Roman"/>
          <w:lang w:val="en-GB"/>
        </w:rPr>
        <w:t xml:space="preserve">: None; </w:t>
      </w:r>
      <w:r w:rsidRPr="006F67C8">
        <w:rPr>
          <w:rFonts w:ascii="Times New Roman" w:hAnsi="Times New Roman"/>
          <w:u w:val="single"/>
          <w:lang w:val="en-GB"/>
        </w:rPr>
        <w:t>Tumour related factors</w:t>
      </w:r>
      <w:r w:rsidRPr="006F67C8">
        <w:rPr>
          <w:rFonts w:ascii="Times New Roman" w:hAnsi="Times New Roman"/>
          <w:lang w:val="en-GB"/>
        </w:rPr>
        <w:t xml:space="preserve">: (1) tumour height from anorectal junction, (2) tumour location, (3) pre-operative T-staging on MRI, (4) positive CRM on pre-operative MRI, (5) metastatic disease on staging CT, (6) neoadjuvant long course radiotherapy; </w:t>
      </w:r>
      <w:r w:rsidRPr="006F67C8">
        <w:rPr>
          <w:rFonts w:ascii="Times New Roman" w:hAnsi="Times New Roman"/>
          <w:u w:val="single"/>
          <w:lang w:val="en-GB"/>
        </w:rPr>
        <w:t>Technical factors</w:t>
      </w:r>
      <w:r w:rsidRPr="006F67C8">
        <w:rPr>
          <w:rFonts w:ascii="Times New Roman" w:hAnsi="Times New Roman"/>
          <w:lang w:val="en-GB"/>
        </w:rPr>
        <w:t xml:space="preserve">: (1) simultaneous abdomino-perineal operating, (2) anterior resection vs. abdomino-perineal excision (APE), (3) abdominal and perineal conversion, (4) blood loss over 1L, (5) extent of posterior pelvic dissection abdominally, (6) total transanal operative time.         </w:t>
      </w:r>
    </w:p>
    <w:p w:rsidR="00A23B92" w:rsidRPr="006F67C8" w:rsidRDefault="00A23B92" w:rsidP="00A23B92">
      <w:pPr>
        <w:spacing w:line="480" w:lineRule="auto"/>
        <w:rPr>
          <w:rFonts w:ascii="Times New Roman" w:hAnsi="Times New Roman"/>
          <w:lang w:val="en-GB"/>
        </w:rPr>
      </w:pPr>
      <w:r w:rsidRPr="006F67C8">
        <w:rPr>
          <w:rFonts w:ascii="Times New Roman" w:hAnsi="Times New Roman"/>
          <w:lang w:val="en-GB"/>
        </w:rPr>
        <w:t xml:space="preserve">Multivariate analysis identified three statistically significant risk factors as shown in table 6.  The results suggest that poor pathological features are more likely to occur when the posterior pelvic dissection performed by the abdominal ‘top-down’ approach extends to less than 4cm from the anal verge.  Lower tumours, with a tumour height of ≤ 2cm from the anorectal junction, and pre-operative positive CRM on staging MRI also significantly increase the risk of obtaining a poor histological outcome.      </w:t>
      </w:r>
    </w:p>
    <w:p w:rsidR="00A23B92" w:rsidRPr="006F67C8" w:rsidRDefault="00A23B92" w:rsidP="00A23B92">
      <w:pPr>
        <w:spacing w:line="480" w:lineRule="auto"/>
        <w:rPr>
          <w:rFonts w:ascii="Times New Roman" w:hAnsi="Times New Roman"/>
          <w:lang w:val="en-GB"/>
        </w:rPr>
      </w:pPr>
      <w:r w:rsidRPr="006F67C8">
        <w:rPr>
          <w:rFonts w:ascii="Times New Roman" w:hAnsi="Times New Roman"/>
          <w:lang w:val="en-GB"/>
        </w:rPr>
        <w:t xml:space="preserve">                                                  </w:t>
      </w:r>
    </w:p>
    <w:p w:rsidR="00A23B92" w:rsidRPr="006F67C8" w:rsidRDefault="00A23B92" w:rsidP="00A23B92">
      <w:pPr>
        <w:spacing w:line="480" w:lineRule="auto"/>
        <w:rPr>
          <w:rFonts w:ascii="Times New Roman" w:hAnsi="Times New Roman" w:cs="Arial"/>
          <w:b/>
          <w:sz w:val="28"/>
        </w:rPr>
      </w:pPr>
    </w:p>
    <w:p w:rsidR="00A23B92" w:rsidRPr="006F67C8" w:rsidRDefault="00A23B92" w:rsidP="00A23B92">
      <w:pPr>
        <w:spacing w:line="480" w:lineRule="auto"/>
        <w:rPr>
          <w:rFonts w:ascii="Times New Roman" w:hAnsi="Times New Roman" w:cs="Arial"/>
          <w:b/>
          <w:sz w:val="28"/>
        </w:rPr>
      </w:pPr>
    </w:p>
    <w:p w:rsidR="00A23B92" w:rsidRPr="006F67C8" w:rsidRDefault="00A23B92" w:rsidP="00A23B92">
      <w:pPr>
        <w:spacing w:line="480" w:lineRule="auto"/>
        <w:rPr>
          <w:rFonts w:ascii="Times New Roman" w:hAnsi="Times New Roman" w:cs="Arial"/>
          <w:b/>
          <w:sz w:val="28"/>
        </w:rPr>
      </w:pPr>
    </w:p>
    <w:p w:rsidR="00A23B92" w:rsidRPr="006F67C8" w:rsidRDefault="00A23B92" w:rsidP="00A23B92">
      <w:pPr>
        <w:spacing w:line="480" w:lineRule="auto"/>
        <w:rPr>
          <w:rFonts w:ascii="Times New Roman" w:hAnsi="Times New Roman" w:cs="Arial"/>
          <w:b/>
          <w:sz w:val="28"/>
        </w:rPr>
      </w:pPr>
    </w:p>
    <w:p w:rsidR="00A23B92" w:rsidRPr="006F67C8" w:rsidRDefault="00A23B92" w:rsidP="00A23B92">
      <w:pPr>
        <w:spacing w:line="480" w:lineRule="auto"/>
        <w:rPr>
          <w:rFonts w:ascii="Times New Roman" w:hAnsi="Times New Roman" w:cs="Arial"/>
          <w:b/>
          <w:sz w:val="28"/>
        </w:rPr>
      </w:pPr>
    </w:p>
    <w:p w:rsidR="00A23B92" w:rsidRPr="006F67C8" w:rsidRDefault="00A23B92" w:rsidP="00A23B92">
      <w:pPr>
        <w:spacing w:line="480" w:lineRule="auto"/>
        <w:rPr>
          <w:rFonts w:ascii="Times New Roman" w:hAnsi="Times New Roman" w:cs="Arial"/>
          <w:b/>
          <w:sz w:val="28"/>
        </w:rPr>
      </w:pPr>
    </w:p>
    <w:p w:rsidR="00174B19" w:rsidRDefault="00174B19" w:rsidP="00174B19">
      <w:pPr>
        <w:rPr>
          <w:rFonts w:ascii="Times New Roman" w:hAnsi="Times New Roman" w:cs="Arial"/>
          <w:b/>
          <w:sz w:val="28"/>
        </w:rPr>
      </w:pPr>
    </w:p>
    <w:p w:rsidR="00174B19" w:rsidRDefault="00174B19" w:rsidP="00174B19">
      <w:pPr>
        <w:rPr>
          <w:rFonts w:ascii="Times New Roman" w:hAnsi="Times New Roman" w:cs="Arial"/>
          <w:b/>
          <w:sz w:val="28"/>
        </w:rPr>
      </w:pPr>
    </w:p>
    <w:p w:rsidR="00174B19" w:rsidRDefault="00174B19" w:rsidP="00174B19">
      <w:pPr>
        <w:rPr>
          <w:rFonts w:ascii="Times New Roman" w:hAnsi="Times New Roman" w:cs="Arial"/>
          <w:b/>
          <w:sz w:val="28"/>
        </w:rPr>
      </w:pPr>
    </w:p>
    <w:p w:rsidR="00174B19" w:rsidRDefault="00174B19" w:rsidP="00174B19">
      <w:pPr>
        <w:rPr>
          <w:rFonts w:ascii="Times New Roman" w:hAnsi="Times New Roman" w:cs="Arial"/>
          <w:b/>
          <w:sz w:val="28"/>
        </w:rPr>
      </w:pPr>
    </w:p>
    <w:p w:rsidR="00174B19" w:rsidRDefault="00174B19" w:rsidP="00174B19">
      <w:pPr>
        <w:rPr>
          <w:rFonts w:ascii="Times New Roman" w:hAnsi="Times New Roman" w:cs="Arial"/>
          <w:b/>
          <w:sz w:val="28"/>
        </w:rPr>
      </w:pPr>
    </w:p>
    <w:p w:rsidR="00174B19" w:rsidRDefault="00A23B92" w:rsidP="00174B19">
      <w:pPr>
        <w:rPr>
          <w:rFonts w:ascii="Times New Roman" w:hAnsi="Times New Roman" w:cs="Arial"/>
          <w:b/>
          <w:sz w:val="28"/>
        </w:rPr>
      </w:pPr>
      <w:r w:rsidRPr="006F67C8">
        <w:rPr>
          <w:rFonts w:ascii="Times New Roman" w:hAnsi="Times New Roman" w:cs="Arial"/>
          <w:b/>
          <w:sz w:val="28"/>
        </w:rPr>
        <w:t>Discussion</w:t>
      </w:r>
    </w:p>
    <w:p w:rsidR="00A23B92" w:rsidRPr="006F67C8" w:rsidRDefault="00A23B92" w:rsidP="00174B19">
      <w:pPr>
        <w:rPr>
          <w:rFonts w:ascii="Times New Roman" w:hAnsi="Times New Roman" w:cs="Arial"/>
          <w:b/>
          <w:sz w:val="28"/>
        </w:rPr>
      </w:pPr>
    </w:p>
    <w:p w:rsidR="00A23B92" w:rsidRDefault="00A23B92" w:rsidP="00A23B92">
      <w:pPr>
        <w:spacing w:line="480" w:lineRule="auto"/>
        <w:jc w:val="both"/>
        <w:rPr>
          <w:rFonts w:ascii="Times New Roman" w:hAnsi="Times New Roman"/>
          <w:lang w:val="en-GB"/>
        </w:rPr>
      </w:pPr>
      <w:r w:rsidRPr="006F67C8">
        <w:rPr>
          <w:rFonts w:ascii="Times New Roman" w:hAnsi="Times New Roman"/>
          <w:lang w:val="en-GB"/>
        </w:rPr>
        <w:t xml:space="preserve">The taTME registry is an international database with strong collaboration between 66 surgical units in 23 different countries.  The present study reports the initial 720 taTME cases recorded, which represent the largest patient cohort published to date.  Low anterior resection was performed in </w:t>
      </w:r>
      <w:r w:rsidR="00F71F76">
        <w:rPr>
          <w:rFonts w:ascii="Times New Roman" w:hAnsi="Times New Roman"/>
          <w:lang w:val="en-GB"/>
        </w:rPr>
        <w:t>77</w:t>
      </w:r>
      <w:r w:rsidRPr="006F67C8">
        <w:rPr>
          <w:rFonts w:ascii="Times New Roman" w:hAnsi="Times New Roman"/>
          <w:lang w:val="en-GB"/>
        </w:rPr>
        <w:t>% of cases with most surgeons adopting a laparoscopic approach for the abdominal phase.  The conversion rate from laparoscopic to open or transanal was 6·3%</w:t>
      </w:r>
      <w:r w:rsidR="00F71F76">
        <w:rPr>
          <w:rFonts w:ascii="Times New Roman" w:hAnsi="Times New Roman"/>
          <w:lang w:val="en-GB"/>
        </w:rPr>
        <w:t xml:space="preserve"> with an even lower perineal conversion rate of 2.8%</w:t>
      </w:r>
      <w:r w:rsidRPr="006F67C8">
        <w:rPr>
          <w:rFonts w:ascii="Times New Roman" w:hAnsi="Times New Roman"/>
          <w:lang w:val="en-GB"/>
        </w:rPr>
        <w:t>, which compares favourably to 16% reported in COLOR II,</w:t>
      </w:r>
      <w:r w:rsidRPr="006F67C8">
        <w:rPr>
          <w:rFonts w:ascii="Times New Roman" w:hAnsi="Times New Roman"/>
          <w:vertAlign w:val="superscript"/>
        </w:rPr>
        <w:t xml:space="preserve">7 </w:t>
      </w:r>
      <w:r w:rsidRPr="006F67C8">
        <w:rPr>
          <w:rFonts w:ascii="Times New Roman" w:hAnsi="Times New Roman"/>
          <w:lang w:val="en-GB"/>
        </w:rPr>
        <w:t>11·3% in ACOSOG Z6051</w:t>
      </w:r>
      <w:r w:rsidRPr="006F67C8">
        <w:rPr>
          <w:rFonts w:ascii="Times New Roman" w:hAnsi="Times New Roman"/>
          <w:vertAlign w:val="superscript"/>
        </w:rPr>
        <w:t xml:space="preserve">8 </w:t>
      </w:r>
      <w:r w:rsidRPr="006F67C8">
        <w:rPr>
          <w:rFonts w:ascii="Times New Roman" w:hAnsi="Times New Roman"/>
          <w:lang w:val="en-GB"/>
        </w:rPr>
        <w:t>and up to 30% in earlier studies.</w:t>
      </w:r>
      <w:r w:rsidRPr="006F67C8">
        <w:rPr>
          <w:rFonts w:ascii="Times New Roman" w:hAnsi="Times New Roman"/>
          <w:vertAlign w:val="superscript"/>
        </w:rPr>
        <w:t xml:space="preserve">21,22 </w:t>
      </w:r>
      <w:r w:rsidRPr="006F67C8">
        <w:rPr>
          <w:rFonts w:ascii="Times New Roman" w:hAnsi="Times New Roman"/>
          <w:lang w:val="en-GB"/>
        </w:rPr>
        <w:t>This may be due to increased experience in laparoscopic surgery compared to previous years.  However, the three commonest reasons for conversion in the COLOR II trial were a narrow pelvis (22%), obesity (10%) and tumour fixation (9%).  Similar risk factors for conversion were also apparent in the more recently conducted international ROLARR (RObotic versus LAparoscopic Resection for Rectal Cancer) trial</w:t>
      </w:r>
      <w:r w:rsidRPr="006F67C8">
        <w:rPr>
          <w:rFonts w:ascii="Times New Roman" w:hAnsi="Times New Roman"/>
          <w:vertAlign w:val="superscript"/>
        </w:rPr>
        <w:t>23</w:t>
      </w:r>
      <w:r w:rsidRPr="006F67C8">
        <w:rPr>
          <w:rFonts w:ascii="Times New Roman" w:hAnsi="Times New Roman"/>
          <w:lang w:val="en-GB"/>
        </w:rPr>
        <w:t xml:space="preserve"> involving 29 hospitals with 471 patients randomised to either laparoscopy (234) or robotic (237) TME for rectal carcinoma.  The overall conversion rates were 12·2% and 8·1% for laparoscopic and robotic TME surgery respectively.  However, up to 27·8% of obese patients undergoing laparoscopic TME and 18·9% in the robotic arm required conversion.  Lower </w:t>
      </w:r>
      <w:r w:rsidR="004B59C8">
        <w:rPr>
          <w:rFonts w:ascii="Times New Roman" w:hAnsi="Times New Roman"/>
          <w:lang w:val="en-GB"/>
        </w:rPr>
        <w:t>rectal cancer</w:t>
      </w:r>
      <w:r w:rsidRPr="006F67C8">
        <w:rPr>
          <w:rFonts w:ascii="Times New Roman" w:hAnsi="Times New Roman"/>
          <w:lang w:val="en-GB"/>
        </w:rPr>
        <w:t xml:space="preserve"> and male gender were also associated with increased rates of conversion.  These risk factors </w:t>
      </w:r>
      <w:r w:rsidR="004B59C8">
        <w:rPr>
          <w:rFonts w:ascii="Times New Roman" w:hAnsi="Times New Roman"/>
          <w:lang w:val="en-GB"/>
        </w:rPr>
        <w:t>can be</w:t>
      </w:r>
      <w:r w:rsidRPr="006F67C8">
        <w:rPr>
          <w:rFonts w:ascii="Times New Roman" w:hAnsi="Times New Roman"/>
          <w:lang w:val="en-GB"/>
        </w:rPr>
        <w:t xml:space="preserve"> potentially </w:t>
      </w:r>
      <w:r w:rsidR="004B59C8" w:rsidRPr="006F67C8">
        <w:rPr>
          <w:rFonts w:ascii="Times New Roman" w:hAnsi="Times New Roman"/>
          <w:lang w:val="en-GB"/>
        </w:rPr>
        <w:t>overcome</w:t>
      </w:r>
      <w:r w:rsidRPr="006F67C8">
        <w:rPr>
          <w:rFonts w:ascii="Times New Roman" w:hAnsi="Times New Roman"/>
          <w:lang w:val="en-GB"/>
        </w:rPr>
        <w:t xml:space="preserve"> by </w:t>
      </w:r>
      <w:r w:rsidR="004B59C8">
        <w:rPr>
          <w:rFonts w:ascii="Times New Roman" w:hAnsi="Times New Roman"/>
          <w:lang w:val="en-GB"/>
        </w:rPr>
        <w:t>the</w:t>
      </w:r>
      <w:r w:rsidRPr="006F67C8">
        <w:rPr>
          <w:rFonts w:ascii="Times New Roman" w:hAnsi="Times New Roman"/>
          <w:lang w:val="en-GB"/>
        </w:rPr>
        <w:t xml:space="preserve"> transanal approach as the constraints and challenges posed by these anatomical features are often reduced when approached from below.  Veltcamp Helbach et al.</w:t>
      </w:r>
      <w:r w:rsidRPr="006F67C8">
        <w:rPr>
          <w:rFonts w:ascii="Times New Roman" w:hAnsi="Times New Roman"/>
          <w:vertAlign w:val="superscript"/>
        </w:rPr>
        <w:t xml:space="preserve">24 </w:t>
      </w:r>
      <w:r w:rsidRPr="006F67C8">
        <w:rPr>
          <w:rFonts w:ascii="Times New Roman" w:hAnsi="Times New Roman"/>
          <w:lang w:val="en-GB"/>
        </w:rPr>
        <w:t>reported on 80 patients who underwent taTME in two Dutch institutes and reported a conversion rate of 5%; unlike Lacy’s group who had no conversions in 140 cases.</w:t>
      </w:r>
      <w:r w:rsidRPr="006F67C8">
        <w:rPr>
          <w:rFonts w:ascii="Times New Roman" w:hAnsi="Times New Roman"/>
          <w:vertAlign w:val="superscript"/>
        </w:rPr>
        <w:t>16</w:t>
      </w:r>
      <w:r w:rsidRPr="006F67C8">
        <w:rPr>
          <w:rFonts w:ascii="Times New Roman" w:hAnsi="Times New Roman"/>
          <w:lang w:val="en-GB"/>
        </w:rPr>
        <w:t xml:space="preserve"> The conversion rate from a transanal to abdominal approach in the registry data was only 2·8% despite surgeons being at the early stages of their learning curve with 50% of centres having done ≤5 cases.  </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The most frequently reported intra-operative problems during the transanal phase were an unstable pneumopelvis and poor smoke evacuation.  In these cases conventional laparoscopic insufflation devices were used which are unable to evacuate smoke effectively and prevent bellowing.  This emphasizes the importance of using optimal equipment specifically available for the technique.</w:t>
      </w:r>
      <w:r w:rsidRPr="006F67C8">
        <w:rPr>
          <w:rFonts w:ascii="Times New Roman" w:hAnsi="Times New Roman"/>
          <w:vertAlign w:val="superscript"/>
        </w:rPr>
        <w:t>25</w:t>
      </w:r>
      <w:r w:rsidRPr="006F67C8">
        <w:rPr>
          <w:rFonts w:ascii="Times New Roman" w:hAnsi="Times New Roman"/>
          <w:lang w:val="en-GB"/>
        </w:rPr>
        <w:t xml:space="preserve">   </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Eleven visceral injuries, including three urethral injuries during taTME alone were recorded (two low anterior resections and one APE).  Two further urethral injuries occurred during combined rectal and partial prostatic resections (both low anterior resections).  Urethral injury was not previously seen with the abdominal approach to anterior resections, which highlights how each technique has a unique risk profile.  Adequate training in the procedure as well as learning the pelvic anatomy from a different viewpoint is therefore crucial in order to prevent severe intra-operative complications.</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Post-operative morbidity and mortality rates at 30 days, 32·6% and 0·5% respectively, were similar to those reported in previous rectal surgery trials</w:t>
      </w:r>
      <w:r w:rsidRPr="006F67C8">
        <w:rPr>
          <w:rFonts w:ascii="Times New Roman" w:hAnsi="Times New Roman"/>
          <w:vertAlign w:val="superscript"/>
        </w:rPr>
        <w:t xml:space="preserve">7,21 </w:t>
      </w:r>
      <w:r w:rsidRPr="006F67C8">
        <w:rPr>
          <w:rFonts w:ascii="Times New Roman" w:hAnsi="Times New Roman"/>
          <w:lang w:val="en-GB"/>
        </w:rPr>
        <w:t>and</w:t>
      </w:r>
      <w:r w:rsidRPr="006F67C8">
        <w:rPr>
          <w:rFonts w:ascii="Times New Roman" w:hAnsi="Times New Roman"/>
          <w:color w:val="548DD4"/>
          <w:lang w:val="en-GB"/>
        </w:rPr>
        <w:t xml:space="preserve"> </w:t>
      </w:r>
      <w:r w:rsidRPr="006F67C8">
        <w:rPr>
          <w:rFonts w:ascii="Times New Roman" w:hAnsi="Times New Roman"/>
          <w:lang w:val="en-GB"/>
        </w:rPr>
        <w:t>to taTME series with 34·2% morbidity in Lacy’s study</w:t>
      </w:r>
      <w:r w:rsidRPr="006F67C8">
        <w:rPr>
          <w:rFonts w:ascii="Times New Roman" w:hAnsi="Times New Roman"/>
          <w:vertAlign w:val="superscript"/>
        </w:rPr>
        <w:t>16</w:t>
      </w:r>
      <w:r w:rsidRPr="006F67C8">
        <w:rPr>
          <w:rFonts w:ascii="Times New Roman" w:hAnsi="Times New Roman"/>
          <w:lang w:val="en-GB"/>
        </w:rPr>
        <w:t xml:space="preserve"> and 36% in Atallah’s series</w:t>
      </w:r>
      <w:r w:rsidRPr="006F67C8">
        <w:rPr>
          <w:rFonts w:ascii="Times New Roman" w:hAnsi="Times New Roman"/>
          <w:vertAlign w:val="superscript"/>
        </w:rPr>
        <w:t xml:space="preserve">26 </w:t>
      </w:r>
      <w:r w:rsidRPr="006F67C8">
        <w:rPr>
          <w:rFonts w:ascii="Times New Roman" w:hAnsi="Times New Roman"/>
          <w:lang w:val="en-GB"/>
        </w:rPr>
        <w:t>of 50 patients.  The 6·3% overall anastomotic leakage rate compares favourably to the rate observed in other series especially given that the anastomoses were lower in the registry cases (7% in CLASICC,</w:t>
      </w:r>
      <w:r w:rsidRPr="006F67C8">
        <w:rPr>
          <w:rFonts w:ascii="Times New Roman" w:hAnsi="Times New Roman"/>
          <w:vertAlign w:val="superscript"/>
        </w:rPr>
        <w:t xml:space="preserve">21 </w:t>
      </w:r>
      <w:r w:rsidRPr="006F67C8">
        <w:rPr>
          <w:rFonts w:ascii="Times New Roman" w:hAnsi="Times New Roman"/>
          <w:lang w:val="en-GB"/>
        </w:rPr>
        <w:t>13% in COLOR II,</w:t>
      </w:r>
      <w:r w:rsidRPr="006F67C8">
        <w:rPr>
          <w:rFonts w:ascii="Times New Roman" w:hAnsi="Times New Roman"/>
          <w:vertAlign w:val="superscript"/>
        </w:rPr>
        <w:t>7</w:t>
      </w:r>
      <w:r w:rsidRPr="006F67C8">
        <w:rPr>
          <w:rFonts w:ascii="Times New Roman" w:hAnsi="Times New Roman"/>
          <w:lang w:val="en-GB"/>
        </w:rPr>
        <w:t xml:space="preserve"> 8·6% in Lacy’s series</w:t>
      </w:r>
      <w:r w:rsidRPr="006F67C8">
        <w:rPr>
          <w:rFonts w:ascii="Times New Roman" w:hAnsi="Times New Roman"/>
          <w:vertAlign w:val="superscript"/>
        </w:rPr>
        <w:t>16</w:t>
      </w:r>
      <w:r w:rsidRPr="006F67C8">
        <w:rPr>
          <w:rFonts w:ascii="Times New Roman" w:hAnsi="Times New Roman"/>
          <w:lang w:val="en-GB"/>
        </w:rPr>
        <w:t xml:space="preserve">).  A hospital stay of 8 days is acceptable, although the use of enhanced recovery protocols was not recorded.      </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Histopathological results from the study were comparable to the best published literature, with an incomplete TME specimen in only 4·1% and an R1 resection in 2·7% (16 cases).  R1 was secondary to a positive CRM in 14 of the 16 cases.  In COLOR II,</w:t>
      </w:r>
      <w:r w:rsidRPr="006F67C8">
        <w:rPr>
          <w:rFonts w:ascii="Times New Roman" w:hAnsi="Times New Roman"/>
          <w:vertAlign w:val="superscript"/>
        </w:rPr>
        <w:t>7</w:t>
      </w:r>
      <w:r w:rsidRPr="006F67C8">
        <w:rPr>
          <w:rFonts w:ascii="Times New Roman" w:hAnsi="Times New Roman"/>
          <w:lang w:val="en-GB"/>
        </w:rPr>
        <w:t>using the limit of 1 mm for comparison, positive margins were seen in 7% of laparoscopic and 9% of open resections; most of which were cases with more proximal tumours.  The more recent ROLARR trial</w:t>
      </w:r>
      <w:r w:rsidRPr="006F67C8">
        <w:rPr>
          <w:rFonts w:ascii="Times New Roman" w:hAnsi="Times New Roman"/>
          <w:vertAlign w:val="superscript"/>
        </w:rPr>
        <w:t xml:space="preserve">23 </w:t>
      </w:r>
      <w:r w:rsidRPr="006F67C8">
        <w:rPr>
          <w:rFonts w:ascii="Times New Roman" w:hAnsi="Times New Roman"/>
          <w:lang w:val="en-GB"/>
        </w:rPr>
        <w:t>found no statistically significant oncologic or clinical advantage to robotic over laparoscopic TME surgery, with positive CRM rates of 5·1% and 6·3% respectively.  In taTME series by Lacy,</w:t>
      </w:r>
      <w:r w:rsidRPr="006F67C8">
        <w:rPr>
          <w:rFonts w:ascii="Times New Roman" w:hAnsi="Times New Roman"/>
          <w:vertAlign w:val="superscript"/>
        </w:rPr>
        <w:t xml:space="preserve">16 </w:t>
      </w:r>
      <w:r w:rsidRPr="006F67C8">
        <w:rPr>
          <w:rFonts w:ascii="Times New Roman" w:hAnsi="Times New Roman"/>
          <w:lang w:val="en-GB"/>
        </w:rPr>
        <w:t>Burke</w:t>
      </w:r>
      <w:r w:rsidRPr="006F67C8">
        <w:rPr>
          <w:rFonts w:ascii="Times New Roman" w:hAnsi="Times New Roman"/>
          <w:vertAlign w:val="superscript"/>
        </w:rPr>
        <w:t xml:space="preserve">26 </w:t>
      </w:r>
      <w:r w:rsidRPr="006F67C8">
        <w:rPr>
          <w:rFonts w:ascii="Times New Roman" w:hAnsi="Times New Roman"/>
          <w:lang w:val="en-GB"/>
        </w:rPr>
        <w:t>and Veltcamp Helbach</w:t>
      </w:r>
      <w:r w:rsidRPr="006F67C8">
        <w:rPr>
          <w:rFonts w:ascii="Times New Roman" w:hAnsi="Times New Roman"/>
          <w:vertAlign w:val="superscript"/>
        </w:rPr>
        <w:t xml:space="preserve">24 </w:t>
      </w:r>
      <w:r w:rsidRPr="006F67C8">
        <w:rPr>
          <w:rFonts w:ascii="Times New Roman" w:hAnsi="Times New Roman"/>
          <w:lang w:val="en-GB"/>
        </w:rPr>
        <w:t>the CRM positivity rate was 6·4%, 4% and 2·5% respectively.  Small cohorts and registry data do have limitations regarding data reporting as outlined below, and caution should be exercised when comparisons are made to well stratified RCTs.  Rullier’s group</w:t>
      </w:r>
      <w:r w:rsidRPr="006F67C8">
        <w:rPr>
          <w:rFonts w:ascii="Times New Roman" w:hAnsi="Times New Roman"/>
          <w:vertAlign w:val="superscript"/>
        </w:rPr>
        <w:t>27</w:t>
      </w:r>
      <w:r w:rsidRPr="006F67C8">
        <w:rPr>
          <w:rFonts w:ascii="Times New Roman" w:hAnsi="Times New Roman"/>
          <w:lang w:val="en-GB"/>
        </w:rPr>
        <w:t>did perform a randomised trial comparing laparoscopic TME to hybrid-taTME in 100 patients with low rectal cancer.  Results showed significantly lower positive CRM rates (18% versus 4%, p=0·025), with similar surgical morbidity (14% vs. 12%, p=0·766).  It is important to note that most surgeons performing taTME are still at the early stage of their learning curve and despite this the results are very promising.  Also, most registry patients had risk factors for difficult pelvic dissections,</w:t>
      </w:r>
      <w:r w:rsidRPr="006F67C8">
        <w:rPr>
          <w:rFonts w:ascii="Times New Roman" w:hAnsi="Times New Roman"/>
          <w:vertAlign w:val="superscript"/>
        </w:rPr>
        <w:t>28</w:t>
      </w:r>
      <w:r w:rsidRPr="006F67C8">
        <w:rPr>
          <w:rFonts w:ascii="Times New Roman" w:hAnsi="Times New Roman"/>
          <w:lang w:val="en-GB"/>
        </w:rPr>
        <w:t xml:space="preserve">as they were predominantly overweight males with low rectal tumours who received neoadjuvant long course chemoradiotherapy.          </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Interestingly, none of the patient characteristics, including increased BMI or male gender, were significant risk factors for a poor histological result.  This suggests that the transanal approach may overcome the patient characteristics that traditionally created a difficult pelvic dissection from the abdominal approach.  On multivariate analysis, three risk factors for poor histological features were significant: positive CRM identified on staging MRI, tumour height less than 2cm from the anorectal junction and a posterior TME dissection to less than 4cm from the anal verge performed transabdominally.  The first two of these findings agree with results from the observational, multicentre MERCURY II study that accurately predicted a positive pathological CRM by anteriorly located tumours, presence of extra-mural venous invasion, tumours either within 4 cm of anal verge or 1mm from the CRM.</w:t>
      </w:r>
      <w:r w:rsidRPr="006F67C8">
        <w:rPr>
          <w:rFonts w:ascii="Times New Roman" w:hAnsi="Times New Roman"/>
          <w:vertAlign w:val="superscript"/>
        </w:rPr>
        <w:t>3,29</w:t>
      </w:r>
      <w:r w:rsidRPr="006F67C8">
        <w:rPr>
          <w:rFonts w:ascii="Times New Roman" w:hAnsi="Times New Roman"/>
          <w:lang w:val="en-GB"/>
        </w:rPr>
        <w:t xml:space="preserve"> Preoperative</w:t>
      </w:r>
      <w:r w:rsidRPr="006F67C8" w:rsidDel="00E37A5D">
        <w:rPr>
          <w:rFonts w:ascii="Times New Roman" w:hAnsi="Times New Roman"/>
          <w:lang w:val="en-GB"/>
        </w:rPr>
        <w:t xml:space="preserve"> </w:t>
      </w:r>
      <w:r w:rsidRPr="006F67C8">
        <w:rPr>
          <w:rFonts w:ascii="Times New Roman" w:hAnsi="Times New Roman"/>
          <w:lang w:val="en-GB"/>
        </w:rPr>
        <w:t>high-resolution MRI can also assess the risk of local recurrence, disease-free survival and overall survival based on prediction of CRM positivity.</w:t>
      </w:r>
      <w:r w:rsidRPr="006F67C8">
        <w:rPr>
          <w:rFonts w:ascii="Times New Roman" w:hAnsi="Times New Roman"/>
          <w:vertAlign w:val="superscript"/>
        </w:rPr>
        <w:t>30</w:t>
      </w:r>
      <w:r w:rsidRPr="006F67C8">
        <w:rPr>
          <w:rFonts w:ascii="Times New Roman" w:hAnsi="Times New Roman"/>
          <w:lang w:val="en-GB"/>
        </w:rPr>
        <w:t xml:space="preserve"> Further analysis of registry data will be performed once 3- and 5- year follow up data is available to assess recurrence and survival rates.     </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 xml:space="preserve">The only technical risk factor for a poor quality specimen identified on multivariate analysis was trans-abdominal dissection low into the pelvis and the chances of obtaining a worse specimen is six times greater than if the dissection is performed transanally for the lower 4 cm of the rectum.  The extent of transanal dissection did not increase the risk of a poor histological outcome, suggesting that a better oncological resection is likely to be achieved for low rectal tumours via the transanal approach.  </w:t>
      </w: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lang w:val="en-GB"/>
        </w:rPr>
        <w:t xml:space="preserve">Limitations of registry data include the potential for selection bias and relying on surgeons’ integrity to input all taTME cases, regardless of outcome.  Inadvertent errors whilst inputting data can also occur and a formal validation process will need to be carried out.  Recording data is also time consuming and needs to be inputted at different intervals following the patient’s progress.  Perioperative outcomes may therefore be under-reported but, at present, the registry is the largest available data source there is.    Key results, especially those relating to the histopathological features, were verified by contacting contributing surgeons individually via email to double check the data recorded.  Overall, there were no more than 15% of missing values for a small number of outcomes.  The advantages of an international registry are that it assesses the therapeutic effectiveness and safety of taTME in the ‘real world’, with surgeons at different stages in their learning curve.  It also offers a rapid evaluation of new technologies with data from a large number of patients.  Furthermore, an open and transparent collaborative is formed amongst the contributing centres that are able to share experiences and advice.  </w:t>
      </w:r>
    </w:p>
    <w:p w:rsidR="004B59C8" w:rsidRDefault="00A23B92" w:rsidP="00A23B92">
      <w:pPr>
        <w:spacing w:line="480" w:lineRule="auto"/>
        <w:jc w:val="both"/>
        <w:rPr>
          <w:rFonts w:ascii="Times New Roman" w:hAnsi="Times New Roman"/>
          <w:lang w:val="en-GB"/>
        </w:rPr>
      </w:pPr>
      <w:r w:rsidRPr="006F67C8">
        <w:rPr>
          <w:rFonts w:ascii="Times New Roman" w:hAnsi="Times New Roman"/>
          <w:lang w:val="en-GB"/>
        </w:rPr>
        <w:t>Further analysis of registry data will form a prognostic model for key pathological outcomes, pelvic sepsis and other major complications. Once short-term clinical and oncological safety has been confirmed further with randomised controlled trials, the focus will shift to the long-term oncological results as well as functional outcomes and quality of life after taTME.  The online registry continues to record these long-term outcomes and will be reported at three years follow up.  The opportunity to record quality of life and functional survey data will also be available shortly.  As the interest and uptake in taTME continues to grow, monitoring of outcomes remains vitally important in order to provide patients with the best possible care.</w:t>
      </w:r>
    </w:p>
    <w:p w:rsidR="004B59C8" w:rsidRDefault="004B59C8" w:rsidP="00A23B92">
      <w:pPr>
        <w:spacing w:line="480" w:lineRule="auto"/>
        <w:jc w:val="both"/>
        <w:rPr>
          <w:rFonts w:ascii="Times New Roman" w:hAnsi="Times New Roman"/>
          <w:lang w:val="en-GB"/>
        </w:rPr>
      </w:pPr>
    </w:p>
    <w:p w:rsidR="00A23B92" w:rsidRPr="00F45637" w:rsidRDefault="004B59C8" w:rsidP="00A23B92">
      <w:pPr>
        <w:spacing w:line="480" w:lineRule="auto"/>
        <w:jc w:val="both"/>
        <w:rPr>
          <w:rFonts w:ascii="Times New Roman" w:hAnsi="Times New Roman"/>
          <w:lang w:val="en-GB"/>
        </w:rPr>
      </w:pPr>
      <w:r>
        <w:rPr>
          <w:rFonts w:ascii="Times New Roman" w:hAnsi="Times New Roman"/>
          <w:lang w:val="en-GB"/>
        </w:rPr>
        <w:t xml:space="preserve">In conclusion, the initial results of the international TaTME </w:t>
      </w:r>
      <w:r w:rsidR="00F71F76">
        <w:rPr>
          <w:rFonts w:ascii="Times New Roman" w:hAnsi="Times New Roman"/>
          <w:lang w:val="en-GB"/>
        </w:rPr>
        <w:t>Registry</w:t>
      </w:r>
      <w:r>
        <w:rPr>
          <w:rFonts w:ascii="Times New Roman" w:hAnsi="Times New Roman"/>
          <w:lang w:val="en-GB"/>
        </w:rPr>
        <w:t xml:space="preserve"> suggest that TaTME can</w:t>
      </w:r>
      <w:r w:rsidRPr="006F67C8">
        <w:rPr>
          <w:rFonts w:ascii="Times New Roman" w:hAnsi="Times New Roman"/>
          <w:lang w:val="en-GB"/>
        </w:rPr>
        <w:t xml:space="preserve"> be a safe and effective technique for mesorectal dissection, particularly in the distal </w:t>
      </w:r>
      <w:r>
        <w:rPr>
          <w:rFonts w:ascii="Times New Roman" w:hAnsi="Times New Roman"/>
          <w:lang w:val="en-GB"/>
        </w:rPr>
        <w:t>rectum</w:t>
      </w:r>
      <w:r w:rsidRPr="006F67C8">
        <w:rPr>
          <w:rFonts w:ascii="Times New Roman" w:hAnsi="Times New Roman"/>
          <w:lang w:val="en-GB"/>
        </w:rPr>
        <w:t>, reporting acceptable short-term patient outcomes a</w:t>
      </w:r>
      <w:r>
        <w:rPr>
          <w:rFonts w:ascii="Times New Roman" w:hAnsi="Times New Roman"/>
          <w:lang w:val="en-GB"/>
        </w:rPr>
        <w:t>nd specimen quality. S</w:t>
      </w:r>
      <w:r w:rsidRPr="006F67C8">
        <w:rPr>
          <w:rFonts w:ascii="Times New Roman" w:hAnsi="Times New Roman"/>
          <w:lang w:val="en-GB"/>
        </w:rPr>
        <w:t xml:space="preserve">tructured training </w:t>
      </w:r>
      <w:r>
        <w:rPr>
          <w:rFonts w:ascii="Times New Roman" w:hAnsi="Times New Roman"/>
          <w:lang w:val="en-GB"/>
        </w:rPr>
        <w:t>and standardization of the technique is necessary. W</w:t>
      </w:r>
      <w:r w:rsidRPr="006F67C8">
        <w:rPr>
          <w:rFonts w:ascii="Times New Roman" w:hAnsi="Times New Roman"/>
          <w:lang w:val="en-GB"/>
        </w:rPr>
        <w:t>ell-designed trials are needed to asses</w:t>
      </w:r>
      <w:r>
        <w:rPr>
          <w:rFonts w:ascii="Times New Roman" w:hAnsi="Times New Roman"/>
          <w:lang w:val="en-GB"/>
        </w:rPr>
        <w:t>s the efficacy</w:t>
      </w:r>
      <w:r w:rsidRPr="006F67C8">
        <w:rPr>
          <w:rFonts w:ascii="Times New Roman" w:hAnsi="Times New Roman"/>
          <w:lang w:val="en-GB"/>
        </w:rPr>
        <w:t xml:space="preserve"> of taTME compared with laparoscopic, robotic and open TME surgery</w:t>
      </w:r>
      <w:r>
        <w:rPr>
          <w:rFonts w:ascii="Times New Roman" w:hAnsi="Times New Roman"/>
          <w:lang w:val="en-GB"/>
        </w:rPr>
        <w:t>.</w:t>
      </w:r>
      <w:bookmarkStart w:id="0" w:name="_GoBack"/>
      <w:bookmarkEnd w:id="0"/>
    </w:p>
    <w:p w:rsidR="000D00DC" w:rsidRDefault="000D00DC" w:rsidP="00A23B92">
      <w:pPr>
        <w:spacing w:line="480" w:lineRule="auto"/>
        <w:jc w:val="both"/>
        <w:rPr>
          <w:rFonts w:ascii="Times New Roman" w:hAnsi="Times New Roman" w:cs="Arial"/>
          <w:b/>
        </w:rPr>
      </w:pPr>
    </w:p>
    <w:p w:rsidR="000D00DC" w:rsidRDefault="000D00DC" w:rsidP="00A23B92">
      <w:pPr>
        <w:spacing w:line="480" w:lineRule="auto"/>
        <w:jc w:val="both"/>
        <w:rPr>
          <w:rFonts w:ascii="Times New Roman" w:hAnsi="Times New Roman" w:cs="Arial"/>
          <w:b/>
        </w:rPr>
      </w:pPr>
    </w:p>
    <w:p w:rsidR="00A23B92" w:rsidRPr="006F67C8" w:rsidRDefault="00A23B92" w:rsidP="00A23B92">
      <w:pPr>
        <w:spacing w:line="480" w:lineRule="auto"/>
        <w:jc w:val="both"/>
        <w:rPr>
          <w:rFonts w:ascii="Times New Roman" w:hAnsi="Times New Roman"/>
          <w:lang w:val="en-GB"/>
        </w:rPr>
      </w:pPr>
      <w:r w:rsidRPr="006F67C8">
        <w:rPr>
          <w:rFonts w:ascii="Times New Roman" w:hAnsi="Times New Roman" w:cs="Arial"/>
          <w:b/>
        </w:rPr>
        <w:t xml:space="preserve">Acknowledgements </w:t>
      </w:r>
    </w:p>
    <w:p w:rsidR="00A23B92" w:rsidRDefault="00A23B92" w:rsidP="00A23B92">
      <w:pPr>
        <w:spacing w:line="480" w:lineRule="auto"/>
        <w:jc w:val="both"/>
        <w:rPr>
          <w:rFonts w:ascii="Times New Roman" w:hAnsi="Times New Roman" w:cs="Arial"/>
        </w:rPr>
      </w:pPr>
      <w:r w:rsidRPr="006F67C8">
        <w:rPr>
          <w:rFonts w:ascii="Times New Roman" w:hAnsi="Times New Roman" w:cs="Arial"/>
        </w:rPr>
        <w:t xml:space="preserve">We thank all participating centers registered on the TaTME registry for inputting and updating their data.  We thank the Pelican Cancer Foundation for funding the registry.  Marta Penna is supported by OCCTOPUS – Oxford Colorectal Cancer Trust.    </w:t>
      </w:r>
    </w:p>
    <w:p w:rsidR="00F71F76" w:rsidRDefault="00F71F76" w:rsidP="00A23B92">
      <w:pPr>
        <w:spacing w:line="480" w:lineRule="auto"/>
        <w:rPr>
          <w:rFonts w:ascii="Times New Roman" w:hAnsi="Times New Roman"/>
          <w:b/>
        </w:rPr>
      </w:pPr>
    </w:p>
    <w:p w:rsidR="00A23B92" w:rsidRDefault="00A23B92" w:rsidP="00A23B92">
      <w:pPr>
        <w:spacing w:line="480" w:lineRule="auto"/>
        <w:rPr>
          <w:rFonts w:ascii="Times New Roman" w:hAnsi="Times New Roman"/>
          <w:b/>
        </w:rPr>
      </w:pPr>
      <w:r>
        <w:rPr>
          <w:rFonts w:ascii="Times New Roman" w:hAnsi="Times New Roman"/>
          <w:b/>
        </w:rPr>
        <w:t>Conflicts of</w:t>
      </w:r>
      <w:r w:rsidRPr="006F67C8">
        <w:rPr>
          <w:rFonts w:ascii="Times New Roman" w:hAnsi="Times New Roman"/>
          <w:b/>
        </w:rPr>
        <w:t xml:space="preserve"> Interests</w:t>
      </w:r>
      <w:r>
        <w:rPr>
          <w:rFonts w:ascii="Times New Roman" w:hAnsi="Times New Roman"/>
          <w:b/>
        </w:rPr>
        <w:t xml:space="preserve"> declaration</w:t>
      </w:r>
    </w:p>
    <w:p w:rsidR="00A23B92" w:rsidRDefault="00A23B92" w:rsidP="00A23B92">
      <w:pPr>
        <w:spacing w:line="480" w:lineRule="auto"/>
        <w:rPr>
          <w:rFonts w:ascii="Times New Roman" w:hAnsi="Times New Roman"/>
          <w:b/>
        </w:rPr>
      </w:pPr>
      <w:r w:rsidRPr="0056560A">
        <w:rPr>
          <w:rFonts w:ascii="Times New Roman" w:hAnsi="Times New Roman"/>
        </w:rPr>
        <w:t>None to declare</w:t>
      </w:r>
    </w:p>
    <w:p w:rsidR="00F71F76" w:rsidRDefault="00F71F76" w:rsidP="00A23B92">
      <w:pPr>
        <w:spacing w:line="480" w:lineRule="auto"/>
        <w:jc w:val="both"/>
        <w:rPr>
          <w:rFonts w:ascii="Times New Roman" w:hAnsi="Times New Roman"/>
          <w:b/>
        </w:rPr>
      </w:pPr>
    </w:p>
    <w:p w:rsidR="00A23B92" w:rsidRPr="0056560A" w:rsidRDefault="00A23B92" w:rsidP="00A23B92">
      <w:pPr>
        <w:spacing w:line="480" w:lineRule="auto"/>
        <w:jc w:val="both"/>
        <w:rPr>
          <w:rFonts w:ascii="Times New Roman" w:hAnsi="Times New Roman"/>
          <w:b/>
        </w:rPr>
      </w:pPr>
      <w:r w:rsidRPr="0056560A">
        <w:rPr>
          <w:rFonts w:ascii="Times New Roman" w:hAnsi="Times New Roman"/>
          <w:b/>
        </w:rPr>
        <w:t>Ethical Approval</w:t>
      </w:r>
    </w:p>
    <w:p w:rsidR="00A23B92" w:rsidRPr="006F67C8" w:rsidRDefault="00A23B92" w:rsidP="00A23B92">
      <w:pPr>
        <w:spacing w:line="480" w:lineRule="auto"/>
        <w:jc w:val="both"/>
        <w:rPr>
          <w:rFonts w:ascii="Times New Roman" w:hAnsi="Times New Roman"/>
          <w:b/>
        </w:rPr>
      </w:pPr>
      <w:r w:rsidRPr="006F67C8">
        <w:rPr>
          <w:rFonts w:ascii="Times New Roman" w:hAnsi="Times New Roman"/>
          <w:lang w:val="en-GB"/>
        </w:rPr>
        <w:t xml:space="preserve">Ethical approval for the taTME registry and publication of its results was obtained from the UK Health Research Authority (REC reference 15/LO/0499, IRAS project ID 156930).   </w:t>
      </w:r>
    </w:p>
    <w:p w:rsidR="00F71F76" w:rsidRDefault="00F71F76" w:rsidP="00A23B92">
      <w:pPr>
        <w:spacing w:line="480" w:lineRule="auto"/>
        <w:rPr>
          <w:rFonts w:ascii="Times New Roman" w:hAnsi="Times New Roman"/>
          <w:b/>
        </w:rPr>
      </w:pPr>
    </w:p>
    <w:p w:rsidR="00A23B92" w:rsidRDefault="00A23B92" w:rsidP="00A23B92">
      <w:pPr>
        <w:spacing w:line="480" w:lineRule="auto"/>
        <w:rPr>
          <w:rFonts w:ascii="Times New Roman" w:hAnsi="Times New Roman"/>
          <w:b/>
        </w:rPr>
      </w:pPr>
      <w:r>
        <w:rPr>
          <w:rFonts w:ascii="Times New Roman" w:hAnsi="Times New Roman"/>
          <w:b/>
        </w:rPr>
        <w:t>Author Contributions</w:t>
      </w:r>
    </w:p>
    <w:p w:rsidR="00A23B92" w:rsidRPr="00F45637" w:rsidRDefault="00A23B92" w:rsidP="00A23B92">
      <w:pPr>
        <w:spacing w:line="480" w:lineRule="auto"/>
        <w:jc w:val="both"/>
        <w:rPr>
          <w:rFonts w:ascii="Times New Roman" w:hAnsi="Times New Roman" w:cs="Arial"/>
        </w:rPr>
      </w:pPr>
      <w:r w:rsidRPr="00F45637">
        <w:rPr>
          <w:rFonts w:ascii="Times New Roman" w:hAnsi="Times New Roman" w:cs="Arial"/>
        </w:rPr>
        <w:t>Marta Penna – Data analysis and interpretation, manuscript writing.</w:t>
      </w:r>
    </w:p>
    <w:p w:rsidR="00A23B92" w:rsidRPr="00F45637" w:rsidRDefault="00A23B92" w:rsidP="00A23B92">
      <w:pPr>
        <w:spacing w:line="480" w:lineRule="auto"/>
        <w:jc w:val="both"/>
        <w:rPr>
          <w:rFonts w:ascii="Times New Roman" w:hAnsi="Times New Roman" w:cs="Arial"/>
        </w:rPr>
      </w:pPr>
      <w:r w:rsidRPr="00F45637">
        <w:rPr>
          <w:rFonts w:ascii="Times New Roman" w:hAnsi="Times New Roman" w:cs="Arial"/>
        </w:rPr>
        <w:t>Roel Hompes – Study design, data interpretation, manuscript writing and editing, TaTME</w:t>
      </w:r>
    </w:p>
    <w:p w:rsidR="00A23B92" w:rsidRPr="00F45637" w:rsidRDefault="00A23B92" w:rsidP="00A23B92">
      <w:pPr>
        <w:spacing w:line="480" w:lineRule="auto"/>
        <w:jc w:val="both"/>
        <w:rPr>
          <w:rFonts w:ascii="Times New Roman" w:hAnsi="Times New Roman" w:cs="Arial"/>
        </w:rPr>
      </w:pPr>
      <w:r w:rsidRPr="00F45637">
        <w:rPr>
          <w:rFonts w:ascii="Times New Roman" w:hAnsi="Times New Roman" w:cs="Arial"/>
        </w:rPr>
        <w:t>Registry steering committee member.</w:t>
      </w:r>
    </w:p>
    <w:p w:rsidR="00A23B92" w:rsidRPr="00F45637" w:rsidRDefault="00A23B92" w:rsidP="00A23B92">
      <w:pPr>
        <w:spacing w:line="480" w:lineRule="auto"/>
        <w:jc w:val="both"/>
        <w:rPr>
          <w:rFonts w:ascii="Times New Roman" w:hAnsi="Times New Roman" w:cs="Arial"/>
        </w:rPr>
      </w:pPr>
      <w:r w:rsidRPr="00F45637">
        <w:rPr>
          <w:rFonts w:ascii="Times New Roman" w:hAnsi="Times New Roman" w:cs="Arial"/>
        </w:rPr>
        <w:t>Steve Arnold/Greg Wynn/Ralph Austin/Janindra Warusavitarne – Data collection, revision of</w:t>
      </w:r>
    </w:p>
    <w:p w:rsidR="00A23B92" w:rsidRPr="00F45637" w:rsidRDefault="00A23B92" w:rsidP="00A23B92">
      <w:pPr>
        <w:spacing w:line="480" w:lineRule="auto"/>
        <w:jc w:val="both"/>
        <w:rPr>
          <w:rFonts w:ascii="Times New Roman" w:hAnsi="Times New Roman" w:cs="Arial"/>
        </w:rPr>
      </w:pPr>
      <w:r w:rsidRPr="00F45637">
        <w:rPr>
          <w:rFonts w:ascii="Times New Roman" w:hAnsi="Times New Roman" w:cs="Arial"/>
        </w:rPr>
        <w:t>manuscript, TaTME Registry steering committee members.</w:t>
      </w:r>
    </w:p>
    <w:p w:rsidR="00A23B92" w:rsidRPr="00F45637" w:rsidRDefault="00A23B92" w:rsidP="00A23B92">
      <w:pPr>
        <w:spacing w:line="480" w:lineRule="auto"/>
        <w:jc w:val="both"/>
        <w:rPr>
          <w:rFonts w:ascii="Times New Roman" w:hAnsi="Times New Roman" w:cs="Arial"/>
        </w:rPr>
      </w:pPr>
      <w:r w:rsidRPr="00F45637">
        <w:rPr>
          <w:rFonts w:ascii="Times New Roman" w:hAnsi="Times New Roman" w:cs="Arial"/>
        </w:rPr>
        <w:t>Brendan Moran - Revision of manuscript and data controller of TaTME registry.</w:t>
      </w:r>
    </w:p>
    <w:p w:rsidR="00A23B92" w:rsidRPr="00F45637" w:rsidRDefault="00A23B92" w:rsidP="00A23B92">
      <w:pPr>
        <w:spacing w:line="480" w:lineRule="auto"/>
        <w:jc w:val="both"/>
        <w:rPr>
          <w:rFonts w:ascii="Times New Roman" w:hAnsi="Times New Roman" w:cs="Arial"/>
        </w:rPr>
      </w:pPr>
      <w:r w:rsidRPr="00F45637">
        <w:rPr>
          <w:rFonts w:ascii="Times New Roman" w:hAnsi="Times New Roman" w:cs="Arial"/>
        </w:rPr>
        <w:t>George Hanna/Neil Mortensen – Revision of manuscript.</w:t>
      </w:r>
    </w:p>
    <w:p w:rsidR="00A23B92" w:rsidRPr="00F45637" w:rsidRDefault="00A23B92" w:rsidP="00A23B92">
      <w:pPr>
        <w:spacing w:line="480" w:lineRule="auto"/>
        <w:jc w:val="both"/>
        <w:rPr>
          <w:rFonts w:ascii="Times New Roman" w:hAnsi="Times New Roman" w:cs="Arial"/>
        </w:rPr>
      </w:pPr>
      <w:r w:rsidRPr="00F45637">
        <w:rPr>
          <w:rFonts w:ascii="Times New Roman" w:hAnsi="Times New Roman" w:cs="Arial"/>
        </w:rPr>
        <w:t>Paris Tekkis – Study design, data analysis and interpretation, manuscript writing and editing.</w:t>
      </w:r>
    </w:p>
    <w:p w:rsidR="00A23B92" w:rsidRDefault="00A23B92" w:rsidP="00A23B92">
      <w:pPr>
        <w:spacing w:line="480" w:lineRule="auto"/>
        <w:jc w:val="both"/>
        <w:rPr>
          <w:rFonts w:ascii="Times New Roman" w:hAnsi="Times New Roman" w:cs="Arial"/>
        </w:rPr>
      </w:pPr>
      <w:r w:rsidRPr="00F45637">
        <w:rPr>
          <w:rFonts w:ascii="Times New Roman" w:hAnsi="Times New Roman" w:cs="Arial"/>
        </w:rPr>
        <w:t>TaTME Registry Collaborative collaborators – Data collection.</w:t>
      </w: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F71F76" w:rsidP="00F71F76">
      <w:pPr>
        <w:rPr>
          <w:rFonts w:ascii="Times New Roman" w:hAnsi="Times New Roman"/>
          <w:b/>
        </w:rPr>
      </w:pPr>
    </w:p>
    <w:p w:rsidR="00F71F76" w:rsidRDefault="00A23B92" w:rsidP="00F71F76">
      <w:pPr>
        <w:rPr>
          <w:rFonts w:ascii="Times New Roman" w:hAnsi="Times New Roman"/>
          <w:b/>
        </w:rPr>
      </w:pPr>
      <w:r w:rsidRPr="006F67C8">
        <w:rPr>
          <w:rFonts w:ascii="Times New Roman" w:hAnsi="Times New Roman"/>
          <w:b/>
        </w:rPr>
        <w:t>R</w:t>
      </w:r>
      <w:r>
        <w:rPr>
          <w:rFonts w:ascii="Times New Roman" w:hAnsi="Times New Roman"/>
          <w:b/>
        </w:rPr>
        <w:t>eferences</w:t>
      </w:r>
    </w:p>
    <w:p w:rsidR="00A23B92" w:rsidRPr="00F71F76" w:rsidRDefault="00A23B92" w:rsidP="00F71F76">
      <w:pPr>
        <w:rPr>
          <w:rFonts w:ascii="Times New Roman" w:hAnsi="Times New Roman"/>
          <w:b/>
        </w:rPr>
      </w:pP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rPr>
      </w:pPr>
      <w:r w:rsidRPr="006F67C8">
        <w:rPr>
          <w:rFonts w:ascii="Times New Roman" w:hAnsi="Times New Roman"/>
        </w:rPr>
        <w:t xml:space="preserve">World Cancer Research Fund. Colorectal Cancer Statistics. </w:t>
      </w:r>
      <w:hyperlink r:id="rId9" w:history="1">
        <w:r w:rsidRPr="006F67C8">
          <w:rPr>
            <w:rStyle w:val="Hyperlink"/>
            <w:rFonts w:ascii="Times New Roman" w:hAnsi="Times New Roman"/>
          </w:rPr>
          <w:t>http://www.wcrf.org/int/cancer-facts-figures/data-specific-cancers/colorectal-cancer-statistics</w:t>
        </w:r>
      </w:hyperlink>
      <w:r w:rsidRPr="006F67C8">
        <w:rPr>
          <w:rFonts w:ascii="Times New Roman" w:hAnsi="Times New Roman"/>
        </w:rPr>
        <w:t>. Accessed 02/03/2016.</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rPr>
      </w:pPr>
      <w:r w:rsidRPr="006F67C8">
        <w:rPr>
          <w:rFonts w:ascii="Times New Roman" w:hAnsi="Times New Roman"/>
        </w:rPr>
        <w:t xml:space="preserve">Heald RJ. A new approach to rectal cancer. </w:t>
      </w:r>
      <w:r w:rsidRPr="006F67C8">
        <w:rPr>
          <w:rFonts w:ascii="Times New Roman" w:hAnsi="Times New Roman"/>
          <w:i/>
        </w:rPr>
        <w:t>Br J Hosp Med</w:t>
      </w:r>
      <w:r w:rsidRPr="006F67C8">
        <w:rPr>
          <w:rFonts w:ascii="Times New Roman" w:hAnsi="Times New Roman"/>
        </w:rPr>
        <w:t xml:space="preserve"> 1979;22:2</w:t>
      </w:r>
      <w:r w:rsidR="00F71F76">
        <w:rPr>
          <w:rFonts w:ascii="Times New Roman" w:hAnsi="Times New Roman"/>
        </w:rPr>
        <w:t>77–</w:t>
      </w:r>
      <w:r w:rsidRPr="006F67C8">
        <w:rPr>
          <w:rFonts w:ascii="Times New Roman" w:hAnsi="Times New Roman"/>
        </w:rPr>
        <w:t>281.</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rPr>
      </w:pPr>
      <w:r w:rsidRPr="006F67C8">
        <w:rPr>
          <w:rFonts w:ascii="Times New Roman" w:hAnsi="Times New Roman"/>
        </w:rPr>
        <w:t xml:space="preserve">MERCURY Study Group. Diagnostic accuracy of preoperative magnetic resonance imaging in predicting curative resection of rectal cancer: Prospective observational study. </w:t>
      </w:r>
      <w:r w:rsidRPr="006F67C8">
        <w:rPr>
          <w:rFonts w:ascii="Times New Roman" w:hAnsi="Times New Roman"/>
          <w:i/>
        </w:rPr>
        <w:t>BMJ</w:t>
      </w:r>
      <w:r w:rsidRPr="006F67C8">
        <w:rPr>
          <w:rFonts w:ascii="Times New Roman" w:hAnsi="Times New Roman"/>
        </w:rPr>
        <w:t xml:space="preserve"> 2006;333(7572):779.</w:t>
      </w:r>
      <w:r w:rsidR="004150C0">
        <w:rPr>
          <w:rFonts w:ascii="Times New Roman" w:hAnsi="Times New Roman"/>
        </w:rPr>
        <w:t xml:space="preserve"> D</w:t>
      </w:r>
      <w:r w:rsidR="004150C0" w:rsidRPr="004150C0">
        <w:rPr>
          <w:rFonts w:ascii="Times New Roman" w:hAnsi="Times New Roman"/>
        </w:rPr>
        <w:t xml:space="preserve">oi:10.1136/bmj.38937.646400.55 </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rPr>
      </w:pPr>
      <w:r w:rsidRPr="006F67C8">
        <w:rPr>
          <w:rFonts w:ascii="Times New Roman" w:hAnsi="Times New Roman"/>
        </w:rPr>
        <w:t xml:space="preserve">Birbeck KF, Macklin CP, Tiffin NJ et al. Rates of circumferential resection margin involvement vary between surgeons and predict outcomes in rectal cancer surgery. </w:t>
      </w:r>
      <w:r w:rsidRPr="006F67C8">
        <w:rPr>
          <w:rFonts w:ascii="Times New Roman" w:hAnsi="Times New Roman"/>
          <w:i/>
        </w:rPr>
        <w:t>Ann Surg</w:t>
      </w:r>
      <w:r w:rsidRPr="006F67C8">
        <w:rPr>
          <w:rFonts w:ascii="Times New Roman" w:hAnsi="Times New Roman"/>
        </w:rPr>
        <w:t xml:space="preserve"> 2002;235(4):449–57.   </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rPr>
      </w:pPr>
      <w:r w:rsidRPr="006F67C8">
        <w:rPr>
          <w:rFonts w:ascii="Times New Roman" w:hAnsi="Times New Roman"/>
        </w:rPr>
        <w:t>Martling A, Singnomklao T, Holm T, Rutqvist LE, Cedermark B. Prognostic significance of both surgical and pathological assessment of curative resection for rectal cancer.</w:t>
      </w:r>
      <w:r w:rsidRPr="006F67C8">
        <w:rPr>
          <w:rFonts w:ascii="Times New Roman" w:hAnsi="Times New Roman"/>
          <w:i/>
        </w:rPr>
        <w:t xml:space="preserve"> Br J Surg </w:t>
      </w:r>
      <w:r w:rsidRPr="006F67C8">
        <w:rPr>
          <w:rFonts w:ascii="Times New Roman" w:hAnsi="Times New Roman"/>
        </w:rPr>
        <w:t>2004;91(8):1040–5.</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rPr>
      </w:pPr>
      <w:r w:rsidRPr="006F67C8">
        <w:rPr>
          <w:rFonts w:ascii="Times New Roman" w:hAnsi="Times New Roman"/>
        </w:rPr>
        <w:t xml:space="preserve">Jeong SY, Park JW, Nam BH et al. Open versus laparoscopic surgery for mid-rectal or low-rectal cancer after neoadjuvant chemoradiotherapy (COREAN trial): survival outcomes of an open-label, non-inferiority, randomized controlled trial. </w:t>
      </w:r>
      <w:r w:rsidRPr="006F67C8">
        <w:rPr>
          <w:rFonts w:ascii="Times New Roman" w:hAnsi="Times New Roman"/>
          <w:i/>
        </w:rPr>
        <w:t>Lancet Oncol</w:t>
      </w:r>
      <w:r w:rsidRPr="006F67C8">
        <w:rPr>
          <w:rFonts w:ascii="Times New Roman" w:hAnsi="Times New Roman"/>
        </w:rPr>
        <w:t xml:space="preserve"> 2014; 15:767–774.</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r w:rsidRPr="006F67C8">
        <w:rPr>
          <w:rFonts w:ascii="Times New Roman" w:hAnsi="Times New Roman"/>
          <w:szCs w:val="16"/>
        </w:rPr>
        <w:t xml:space="preserve">van der Pas MHGM, Haglind E, Cuesta MA et al. Laparoscopic versus open surgery for rectal cancer (COLOR II): short-term outcomes of a randomised, phase 3 trial. </w:t>
      </w:r>
      <w:r w:rsidRPr="006F67C8">
        <w:rPr>
          <w:rFonts w:ascii="Times New Roman" w:hAnsi="Times New Roman"/>
          <w:i/>
          <w:szCs w:val="16"/>
        </w:rPr>
        <w:t xml:space="preserve">Lancet Oncol </w:t>
      </w:r>
      <w:r w:rsidRPr="006F67C8">
        <w:rPr>
          <w:rFonts w:ascii="Times New Roman" w:hAnsi="Times New Roman"/>
          <w:szCs w:val="16"/>
        </w:rPr>
        <w:t>2013;14:210</w:t>
      </w:r>
      <w:r w:rsidRPr="006F67C8">
        <w:rPr>
          <w:rFonts w:ascii="Times New Roman" w:hAnsi="Times New Roman"/>
          <w:b/>
          <w:bCs/>
          <w:szCs w:val="16"/>
        </w:rPr>
        <w:t>–</w:t>
      </w:r>
      <w:r w:rsidRPr="006F67C8">
        <w:rPr>
          <w:rFonts w:ascii="Times New Roman" w:hAnsi="Times New Roman"/>
          <w:szCs w:val="16"/>
        </w:rPr>
        <w:t>8.</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r w:rsidRPr="006F67C8">
        <w:rPr>
          <w:rFonts w:ascii="Times New Roman" w:hAnsi="Times New Roman"/>
          <w:szCs w:val="16"/>
        </w:rPr>
        <w:t xml:space="preserve">Fleshman J, Branda M, Sargent DJ et al. Effect of Laparoscopic-Assisted Resection vs Open Resection of Stage II or III Rectal Cancer on Pathologic Outcomes: The ACOSOG Z6051 Randomized Clinical Trial. </w:t>
      </w:r>
      <w:r w:rsidRPr="006F67C8">
        <w:rPr>
          <w:rFonts w:ascii="Times New Roman" w:hAnsi="Times New Roman"/>
          <w:i/>
          <w:szCs w:val="16"/>
        </w:rPr>
        <w:t>JAMA</w:t>
      </w:r>
      <w:r w:rsidRPr="006F67C8">
        <w:rPr>
          <w:rFonts w:ascii="Times New Roman" w:hAnsi="Times New Roman"/>
          <w:szCs w:val="16"/>
        </w:rPr>
        <w:t xml:space="preserve"> 2015;314(13):1346–55.</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r w:rsidRPr="006F67C8">
        <w:rPr>
          <w:rFonts w:ascii="Times New Roman" w:hAnsi="Times New Roman"/>
          <w:szCs w:val="16"/>
        </w:rPr>
        <w:t xml:space="preserve">Stevenson AR, Solomon MJ, Lumley JW et al. Effect of Laparoscopic-Assisted Resection vs Open Resection on Pathological Outcomes in Rectal Cancer: The ALaCaRT Randomized Clinical Trial. </w:t>
      </w:r>
      <w:r w:rsidRPr="006F67C8">
        <w:rPr>
          <w:rFonts w:ascii="Times New Roman" w:hAnsi="Times New Roman"/>
          <w:i/>
          <w:szCs w:val="16"/>
        </w:rPr>
        <w:t>JAMA</w:t>
      </w:r>
      <w:r w:rsidRPr="006F67C8">
        <w:rPr>
          <w:rFonts w:ascii="Times New Roman" w:hAnsi="Times New Roman"/>
          <w:szCs w:val="16"/>
        </w:rPr>
        <w:t xml:space="preserve"> 2015;314(13):1356–63.</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r w:rsidRPr="006F67C8">
        <w:rPr>
          <w:rFonts w:ascii="Times New Roman" w:hAnsi="Times New Roman"/>
          <w:szCs w:val="16"/>
        </w:rPr>
        <w:t xml:space="preserve">Targarona EM, Balague C, Pernas JC et al. Can we predict immediate outcome after laparoscopic rectal surgery? Multivariate analysis of clinical, anatomic, and pathologic features after 3-dimensional reconstruction of the pelvic anatomy. </w:t>
      </w:r>
      <w:r w:rsidRPr="006F67C8">
        <w:rPr>
          <w:rFonts w:ascii="Times New Roman" w:hAnsi="Times New Roman"/>
          <w:i/>
          <w:szCs w:val="16"/>
        </w:rPr>
        <w:t>Ann Surg</w:t>
      </w:r>
      <w:r w:rsidRPr="006F67C8">
        <w:rPr>
          <w:rFonts w:ascii="Times New Roman" w:hAnsi="Times New Roman"/>
          <w:szCs w:val="16"/>
        </w:rPr>
        <w:t xml:space="preserve"> 2008;247(4):642–9.  </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r w:rsidRPr="006F67C8">
        <w:rPr>
          <w:rFonts w:ascii="Times New Roman" w:hAnsi="Times New Roman"/>
          <w:szCs w:val="16"/>
        </w:rPr>
        <w:t xml:space="preserve">Oh SJ, Shin JY. Risk factors of circumferential resection margin involvement in the patients with extraperitoneal rectal cancer. </w:t>
      </w:r>
      <w:r w:rsidRPr="006F67C8">
        <w:rPr>
          <w:rFonts w:ascii="Times New Roman" w:hAnsi="Times New Roman"/>
          <w:i/>
          <w:szCs w:val="16"/>
        </w:rPr>
        <w:t>J Korean Surg Soc</w:t>
      </w:r>
      <w:r w:rsidRPr="006F67C8">
        <w:rPr>
          <w:rFonts w:ascii="Times New Roman" w:hAnsi="Times New Roman"/>
          <w:szCs w:val="16"/>
        </w:rPr>
        <w:t xml:space="preserve"> 2012;82(3):165–71.</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r w:rsidRPr="006F67C8">
        <w:rPr>
          <w:rFonts w:ascii="Times New Roman" w:hAnsi="Times New Roman"/>
          <w:szCs w:val="16"/>
        </w:rPr>
        <w:t xml:space="preserve">Buess G, Theiss R, Hutterer F et al. Transanal endoscopic surgery of the rectum: testing a new method in animal experiments. </w:t>
      </w:r>
      <w:r w:rsidRPr="006F67C8">
        <w:rPr>
          <w:rFonts w:ascii="Times New Roman" w:hAnsi="Times New Roman"/>
          <w:i/>
          <w:szCs w:val="16"/>
        </w:rPr>
        <w:t>Leber Magen Darm</w:t>
      </w:r>
      <w:r w:rsidRPr="006F67C8">
        <w:rPr>
          <w:rFonts w:ascii="Times New Roman" w:hAnsi="Times New Roman"/>
          <w:szCs w:val="16"/>
        </w:rPr>
        <w:t xml:space="preserve"> 1983;13:73–77.</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r w:rsidRPr="006F67C8">
        <w:rPr>
          <w:rFonts w:ascii="Times New Roman" w:hAnsi="Times New Roman"/>
          <w:szCs w:val="16"/>
        </w:rPr>
        <w:t xml:space="preserve">Marks JH, Frenkel JL, D’Andrea AP, Greenleaf CE. Maximizing rectal cancer results: TEM and TATA techniques to expand sphincter preservation. </w:t>
      </w:r>
      <w:r w:rsidRPr="006F67C8">
        <w:rPr>
          <w:rFonts w:ascii="Times New Roman" w:hAnsi="Times New Roman"/>
          <w:i/>
          <w:szCs w:val="16"/>
        </w:rPr>
        <w:t>Surg Oncol Clin N Am</w:t>
      </w:r>
      <w:r w:rsidRPr="006F67C8">
        <w:rPr>
          <w:rFonts w:ascii="Times New Roman" w:hAnsi="Times New Roman"/>
          <w:szCs w:val="16"/>
        </w:rPr>
        <w:t xml:space="preserve"> 2011;20:501–520.</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r w:rsidRPr="006F67C8">
        <w:rPr>
          <w:rFonts w:ascii="Times New Roman" w:hAnsi="Times New Roman"/>
          <w:szCs w:val="16"/>
        </w:rPr>
        <w:t xml:space="preserve">Atallah S, Albert M, Larach S Transanal minimally invasive surgery: a giant leap forward. </w:t>
      </w:r>
      <w:r w:rsidRPr="006F67C8">
        <w:rPr>
          <w:rFonts w:ascii="Times New Roman" w:hAnsi="Times New Roman"/>
          <w:i/>
          <w:szCs w:val="16"/>
        </w:rPr>
        <w:t>Surg Endosc</w:t>
      </w:r>
      <w:r w:rsidR="004150C0">
        <w:rPr>
          <w:rFonts w:ascii="Times New Roman" w:hAnsi="Times New Roman"/>
          <w:szCs w:val="16"/>
        </w:rPr>
        <w:t xml:space="preserve"> 2010;24:2200–</w:t>
      </w:r>
      <w:r w:rsidRPr="006F67C8">
        <w:rPr>
          <w:rFonts w:ascii="Times New Roman" w:hAnsi="Times New Roman"/>
          <w:szCs w:val="16"/>
        </w:rPr>
        <w:t>5.</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r w:rsidRPr="006F67C8">
        <w:rPr>
          <w:rFonts w:ascii="Times New Roman" w:hAnsi="Times New Roman"/>
          <w:szCs w:val="16"/>
        </w:rPr>
        <w:t xml:space="preserve">Sylla P, Rattner DW, Delgado S, Lacy AM. NOTES transanal rectal cancer resection using trans-anal endoscopic microsurgery and laparoscopic assistance. </w:t>
      </w:r>
      <w:r w:rsidRPr="006F67C8">
        <w:rPr>
          <w:rFonts w:ascii="Times New Roman" w:hAnsi="Times New Roman"/>
          <w:i/>
          <w:szCs w:val="16"/>
        </w:rPr>
        <w:t>Surg Endosc</w:t>
      </w:r>
      <w:r w:rsidR="004150C0">
        <w:rPr>
          <w:rFonts w:ascii="Times New Roman" w:hAnsi="Times New Roman"/>
          <w:szCs w:val="16"/>
        </w:rPr>
        <w:t xml:space="preserve"> 2010;24:</w:t>
      </w:r>
      <w:r w:rsidRPr="006F67C8">
        <w:rPr>
          <w:rFonts w:ascii="Times New Roman" w:hAnsi="Times New Roman"/>
          <w:szCs w:val="16"/>
        </w:rPr>
        <w:t>1205–10.</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r w:rsidRPr="006F67C8">
        <w:rPr>
          <w:rFonts w:ascii="Times New Roman" w:hAnsi="Times New Roman"/>
          <w:szCs w:val="16"/>
        </w:rPr>
        <w:t xml:space="preserve">Lacy AM, Tasende MM, Delgado S et al. Transanal Total Mesorectal Excision for Rectal Cancer: Outcomes after 140 Patients. </w:t>
      </w:r>
      <w:r w:rsidRPr="006F67C8">
        <w:rPr>
          <w:rFonts w:ascii="Times New Roman" w:hAnsi="Times New Roman"/>
          <w:i/>
          <w:szCs w:val="16"/>
        </w:rPr>
        <w:t>J Am Coll Surg</w:t>
      </w:r>
      <w:r w:rsidRPr="006F67C8">
        <w:rPr>
          <w:rFonts w:ascii="Times New Roman" w:hAnsi="Times New Roman"/>
          <w:szCs w:val="16"/>
        </w:rPr>
        <w:t xml:space="preserve"> 2015;221(2):415–23.</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r w:rsidRPr="006F67C8">
        <w:rPr>
          <w:rFonts w:ascii="Times New Roman" w:hAnsi="Times New Roman"/>
          <w:szCs w:val="16"/>
        </w:rPr>
        <w:t xml:space="preserve">Tuech JJ, Karoui M, Lelong B et al. A Step Toward NOTES Total Mesorectal Excision for Rectal Cancer: Endoscopic Transanal Proctectomy. </w:t>
      </w:r>
      <w:r w:rsidRPr="006F67C8">
        <w:rPr>
          <w:rFonts w:ascii="Times New Roman" w:hAnsi="Times New Roman"/>
          <w:i/>
          <w:szCs w:val="16"/>
        </w:rPr>
        <w:t>Ann Surg</w:t>
      </w:r>
      <w:r w:rsidRPr="006F67C8">
        <w:rPr>
          <w:rFonts w:ascii="Times New Roman" w:hAnsi="Times New Roman"/>
          <w:szCs w:val="16"/>
        </w:rPr>
        <w:t xml:space="preserve"> 2015;261(2):228–33.  </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r w:rsidRPr="006F67C8">
        <w:rPr>
          <w:rFonts w:ascii="Times New Roman" w:hAnsi="Times New Roman"/>
          <w:szCs w:val="16"/>
        </w:rPr>
        <w:t xml:space="preserve">Muratore A, Mellano A, Marsanic P, De Simone M. Transanal total mesorectal exicision (taTME) for cancer located in the lower rectum: short- and mid-term results. </w:t>
      </w:r>
      <w:r w:rsidRPr="006F67C8">
        <w:rPr>
          <w:rFonts w:ascii="Times New Roman" w:hAnsi="Times New Roman"/>
          <w:i/>
          <w:szCs w:val="16"/>
        </w:rPr>
        <w:t>Eur J Surg Oncol</w:t>
      </w:r>
      <w:r w:rsidRPr="006F67C8">
        <w:rPr>
          <w:rFonts w:ascii="Times New Roman" w:hAnsi="Times New Roman"/>
          <w:szCs w:val="16"/>
        </w:rPr>
        <w:t xml:space="preserve"> 2015;41(4):478–83.</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r w:rsidRPr="006F67C8">
        <w:rPr>
          <w:rFonts w:ascii="Times New Roman" w:hAnsi="Times New Roman"/>
          <w:szCs w:val="16"/>
        </w:rPr>
        <w:t xml:space="preserve">Hompes R, Arnold S, Warusavitarne J. Towards the safe introduction of transanal total mesorectal excision: the role of a clinical registry. </w:t>
      </w:r>
      <w:r w:rsidRPr="006F67C8">
        <w:rPr>
          <w:rFonts w:ascii="Times New Roman" w:hAnsi="Times New Roman"/>
          <w:i/>
          <w:szCs w:val="16"/>
        </w:rPr>
        <w:t>Colorectal Dis</w:t>
      </w:r>
      <w:r w:rsidRPr="006F67C8">
        <w:rPr>
          <w:rFonts w:ascii="Times New Roman" w:hAnsi="Times New Roman"/>
          <w:szCs w:val="16"/>
        </w:rPr>
        <w:t xml:space="preserve"> 2014;16:498–501.</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r w:rsidRPr="006F67C8">
        <w:rPr>
          <w:rFonts w:ascii="Times New Roman" w:hAnsi="Times New Roman"/>
          <w:szCs w:val="16"/>
        </w:rPr>
        <w:t xml:space="preserve">Quirke P, Durdey P, Dixon MF, Williams NS. Local recurrence of rectal adenocarcinoma due to inadequate surgical resection. Histopathological study of lateral tumour spread and surgical excision. </w:t>
      </w:r>
      <w:r w:rsidRPr="006F67C8">
        <w:rPr>
          <w:rFonts w:ascii="Times New Roman" w:hAnsi="Times New Roman"/>
          <w:i/>
          <w:szCs w:val="16"/>
        </w:rPr>
        <w:t>Lancet</w:t>
      </w:r>
      <w:r w:rsidRPr="006F67C8">
        <w:rPr>
          <w:rFonts w:ascii="Times New Roman" w:hAnsi="Times New Roman"/>
          <w:szCs w:val="16"/>
        </w:rPr>
        <w:t>. 1986;2(8514):996–9.</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rPr>
      </w:pPr>
      <w:r w:rsidRPr="006F67C8">
        <w:rPr>
          <w:rFonts w:ascii="Times New Roman" w:hAnsi="Times New Roman"/>
        </w:rPr>
        <w:t xml:space="preserve">Jayne DG, Guillou PJ, Thorpe H, et al. Randomized trial of laparoscopic-assisted resection of colorectal carcinoma: 3-year results of the UK MRC CLASICC trial Group. </w:t>
      </w:r>
      <w:r w:rsidRPr="006F67C8">
        <w:rPr>
          <w:rFonts w:ascii="Times New Roman" w:hAnsi="Times New Roman"/>
          <w:i/>
        </w:rPr>
        <w:t>J Clin Oncol</w:t>
      </w:r>
      <w:r w:rsidRPr="006F67C8">
        <w:rPr>
          <w:rFonts w:ascii="Times New Roman" w:hAnsi="Times New Roman"/>
        </w:rPr>
        <w:t xml:space="preserve"> 2007; 25:3061–3068.  </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rPr>
      </w:pPr>
      <w:r w:rsidRPr="006F67C8">
        <w:rPr>
          <w:rFonts w:ascii="Times New Roman" w:hAnsi="Times New Roman"/>
        </w:rPr>
        <w:t xml:space="preserve">Ng SS, Leung KL, Lee JF et al. Laparoscopic-assisted versus open abdominoperineal resection for low rectal cancer: a prospective randomized trial. </w:t>
      </w:r>
      <w:r w:rsidRPr="006F67C8">
        <w:rPr>
          <w:rFonts w:ascii="Times New Roman" w:hAnsi="Times New Roman"/>
          <w:i/>
        </w:rPr>
        <w:t>Ann Surg Oncol</w:t>
      </w:r>
      <w:r w:rsidRPr="006F67C8">
        <w:rPr>
          <w:rFonts w:ascii="Times New Roman" w:hAnsi="Times New Roman"/>
        </w:rPr>
        <w:t xml:space="preserve"> 2008;15:2418–25.</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rPr>
      </w:pPr>
      <w:r w:rsidRPr="006F67C8">
        <w:rPr>
          <w:rFonts w:ascii="Times New Roman" w:hAnsi="Times New Roman"/>
          <w:szCs w:val="16"/>
        </w:rPr>
        <w:t xml:space="preserve">RObotic Versus LAparoscopic Resection for Rectal Cancer (ROLARR) trial. (ClinicalTrials.gov ID: NCT01736072) </w:t>
      </w:r>
      <w:hyperlink r:id="rId10" w:history="1">
        <w:r w:rsidRPr="006F67C8">
          <w:rPr>
            <w:rStyle w:val="Hyperlink"/>
            <w:rFonts w:ascii="Times New Roman" w:hAnsi="Times New Roman"/>
            <w:szCs w:val="16"/>
          </w:rPr>
          <w:t>https://www.fascrs.org/video/robotic-vs-laparoscopic-resection-rectal-cancer-rolarr-trial</w:t>
        </w:r>
      </w:hyperlink>
      <w:r w:rsidRPr="006F67C8">
        <w:rPr>
          <w:rFonts w:ascii="Times New Roman" w:hAnsi="Times New Roman"/>
          <w:szCs w:val="16"/>
        </w:rPr>
        <w:t xml:space="preserve"> Accessed 01/04/2016. </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r w:rsidRPr="006F67C8">
        <w:rPr>
          <w:rFonts w:ascii="Times New Roman" w:hAnsi="Times New Roman"/>
          <w:szCs w:val="16"/>
        </w:rPr>
        <w:t xml:space="preserve">Veltcamp Helbach M, Deijen CL, Velthuis S, Bonjer HJ, Tuynman JB, Sietses C. Transanal total mesorectal excision for rectal carcinoma: short-term outcomes and experience after 80 cases. </w:t>
      </w:r>
      <w:r w:rsidRPr="006F67C8">
        <w:rPr>
          <w:rFonts w:ascii="Times New Roman" w:hAnsi="Times New Roman"/>
          <w:i/>
          <w:szCs w:val="16"/>
        </w:rPr>
        <w:t>Surg Endosc</w:t>
      </w:r>
      <w:r w:rsidRPr="006F67C8">
        <w:rPr>
          <w:rFonts w:ascii="Times New Roman" w:hAnsi="Times New Roman"/>
          <w:szCs w:val="16"/>
        </w:rPr>
        <w:t xml:space="preserve"> 2016;30(2):464–70.</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r w:rsidRPr="006F67C8">
        <w:rPr>
          <w:rFonts w:ascii="Times New Roman" w:hAnsi="Times New Roman"/>
          <w:szCs w:val="16"/>
        </w:rPr>
        <w:t xml:space="preserve">Nicholson G, Knol J, Houben B, Cunningham C, Ashraf S, Hompes R. Optimal dissection for transanal total mesorectal excision using modified CO2 insufflation and smoke extraction. </w:t>
      </w:r>
      <w:r w:rsidRPr="006F67C8">
        <w:rPr>
          <w:rFonts w:ascii="Times New Roman" w:hAnsi="Times New Roman"/>
          <w:i/>
          <w:szCs w:val="16"/>
        </w:rPr>
        <w:t>Colorectal Dis</w:t>
      </w:r>
      <w:r w:rsidRPr="006F67C8">
        <w:rPr>
          <w:rFonts w:ascii="Times New Roman" w:hAnsi="Times New Roman"/>
          <w:szCs w:val="16"/>
        </w:rPr>
        <w:t xml:space="preserve"> 2015;17(11):O265–7.</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r w:rsidRPr="006F67C8">
        <w:rPr>
          <w:rFonts w:ascii="Times New Roman" w:hAnsi="Times New Roman"/>
          <w:szCs w:val="16"/>
        </w:rPr>
        <w:t xml:space="preserve">Burke JP, Martin-Perez B, Khan A et al. Transanal Total Mesorectal Excision for Rectal Cancer: early outcomes in consecutive patients. </w:t>
      </w:r>
      <w:r w:rsidRPr="006F67C8">
        <w:rPr>
          <w:rFonts w:ascii="Times New Roman" w:hAnsi="Times New Roman"/>
          <w:i/>
          <w:szCs w:val="16"/>
        </w:rPr>
        <w:t>Colorectal Dis</w:t>
      </w:r>
      <w:r w:rsidRPr="006F67C8">
        <w:rPr>
          <w:rFonts w:ascii="Times New Roman" w:hAnsi="Times New Roman"/>
          <w:szCs w:val="16"/>
        </w:rPr>
        <w:t xml:space="preserve"> 2016 Jan 8. doi: 10.1111/codi.13263. [Epub ahead of print] </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rPr>
      </w:pPr>
      <w:r w:rsidRPr="006F67C8">
        <w:rPr>
          <w:rFonts w:ascii="Times New Roman" w:hAnsi="Times New Roman"/>
        </w:rPr>
        <w:t xml:space="preserve">Denost Q, Adam JP, Rullier A, Buscail E, Laurent C, Rullier E. Perineal transanal approach: a new standard for laparoscopic sphincter-saving resection in low rectal cancer, a randomized trial. </w:t>
      </w:r>
      <w:r w:rsidRPr="006F67C8">
        <w:rPr>
          <w:rFonts w:ascii="Times New Roman" w:hAnsi="Times New Roman"/>
          <w:i/>
        </w:rPr>
        <w:t>Ann Surg</w:t>
      </w:r>
      <w:r w:rsidRPr="006F67C8">
        <w:rPr>
          <w:rFonts w:ascii="Times New Roman" w:hAnsi="Times New Roman"/>
        </w:rPr>
        <w:t xml:space="preserve"> 2014;260(6):993–9.</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szCs w:val="16"/>
        </w:rPr>
      </w:pPr>
      <w:r w:rsidRPr="006F67C8">
        <w:rPr>
          <w:rFonts w:ascii="Times New Roman" w:hAnsi="Times New Roman"/>
          <w:szCs w:val="16"/>
        </w:rPr>
        <w:t xml:space="preserve">Cecil TD, Taffinder N, Gudgeon AM. A personal view on laparoscopic rectal cancer surgery. </w:t>
      </w:r>
      <w:r w:rsidRPr="006F67C8">
        <w:rPr>
          <w:rFonts w:ascii="Times New Roman" w:hAnsi="Times New Roman"/>
          <w:i/>
          <w:szCs w:val="16"/>
        </w:rPr>
        <w:t>Colorectal Dis.</w:t>
      </w:r>
      <w:r w:rsidRPr="006F67C8">
        <w:rPr>
          <w:rFonts w:ascii="Times New Roman" w:hAnsi="Times New Roman"/>
          <w:szCs w:val="16"/>
        </w:rPr>
        <w:t xml:space="preserve"> 206;8:30–2.</w:t>
      </w:r>
    </w:p>
    <w:p w:rsidR="00A23B92" w:rsidRPr="00D55DBD"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rPr>
      </w:pPr>
      <w:r w:rsidRPr="006F67C8">
        <w:rPr>
          <w:rFonts w:ascii="Times New Roman" w:hAnsi="Times New Roman"/>
        </w:rPr>
        <w:t xml:space="preserve">Battersby NJ, How P, Moran B et al. Prospective Validation of a Low Rectal Cancer Magnetic Resonance Imaging Staging System and Development of a Local Recurrence Risk Stratification Model, The MERCURY Study. </w:t>
      </w:r>
      <w:r w:rsidRPr="006F67C8">
        <w:rPr>
          <w:rFonts w:ascii="Times New Roman" w:hAnsi="Times New Roman"/>
          <w:i/>
        </w:rPr>
        <w:t>Ann Surg</w:t>
      </w:r>
      <w:r w:rsidRPr="006F67C8">
        <w:rPr>
          <w:rFonts w:ascii="Times New Roman" w:hAnsi="Times New Roman"/>
        </w:rPr>
        <w:t xml:space="preserve"> 2016;263(4):751–60.</w:t>
      </w:r>
    </w:p>
    <w:p w:rsidR="00A23B92" w:rsidRPr="006F67C8" w:rsidRDefault="00A23B92" w:rsidP="00A23B92">
      <w:pPr>
        <w:pStyle w:val="ColorfulList-Accent11"/>
        <w:widowControl w:val="0"/>
        <w:numPr>
          <w:ilvl w:val="0"/>
          <w:numId w:val="32"/>
        </w:numPr>
        <w:autoSpaceDE w:val="0"/>
        <w:autoSpaceDN w:val="0"/>
        <w:adjustRightInd w:val="0"/>
        <w:spacing w:line="480" w:lineRule="auto"/>
        <w:jc w:val="both"/>
        <w:rPr>
          <w:rFonts w:ascii="Times New Roman" w:hAnsi="Times New Roman"/>
        </w:rPr>
      </w:pPr>
      <w:r w:rsidRPr="006F67C8">
        <w:rPr>
          <w:rFonts w:ascii="Times New Roman" w:hAnsi="Times New Roman"/>
        </w:rPr>
        <w:t xml:space="preserve">Taylor FG, Quirke P, Heald RJ et al. Preoperative Magnetic Resonance Imaging Assessment of Circumferential Resection Margin Predicts Disease-Free Survival and Local Recurrence: 5-Year Follow Up Results of the MERCURY Study. </w:t>
      </w:r>
      <w:r w:rsidRPr="006F67C8">
        <w:rPr>
          <w:rFonts w:ascii="Times New Roman" w:hAnsi="Times New Roman"/>
          <w:i/>
        </w:rPr>
        <w:t>J Clin Oncol</w:t>
      </w:r>
      <w:r w:rsidRPr="006F67C8">
        <w:rPr>
          <w:rFonts w:ascii="Times New Roman" w:hAnsi="Times New Roman"/>
        </w:rPr>
        <w:t xml:space="preserve"> 2014;32:34–43.</w:t>
      </w:r>
    </w:p>
    <w:p w:rsidR="00A23B92" w:rsidRDefault="00A23B92" w:rsidP="00A23B92">
      <w:pPr>
        <w:spacing w:line="480" w:lineRule="auto"/>
        <w:jc w:val="both"/>
        <w:rPr>
          <w:rFonts w:ascii="Times New Roman" w:hAnsi="Times New Roman" w:cs="Arial"/>
          <w:b/>
          <w:sz w:val="20"/>
        </w:rPr>
      </w:pPr>
    </w:p>
    <w:p w:rsidR="00A23B92" w:rsidRDefault="00A23B92" w:rsidP="00A23B92">
      <w:pPr>
        <w:spacing w:line="480" w:lineRule="auto"/>
        <w:jc w:val="both"/>
        <w:rPr>
          <w:rFonts w:ascii="Times New Roman" w:hAnsi="Times New Roman" w:cs="Arial"/>
          <w:b/>
          <w:sz w:val="20"/>
        </w:rPr>
      </w:pPr>
    </w:p>
    <w:p w:rsidR="00A23B92" w:rsidRDefault="00A23B92" w:rsidP="00A23B92">
      <w:pPr>
        <w:spacing w:line="480" w:lineRule="auto"/>
        <w:jc w:val="both"/>
        <w:rPr>
          <w:rFonts w:ascii="Times New Roman" w:hAnsi="Times New Roman" w:cs="Arial"/>
          <w:b/>
          <w:sz w:val="20"/>
        </w:rPr>
      </w:pPr>
    </w:p>
    <w:p w:rsidR="00A23B92" w:rsidRDefault="00A23B92" w:rsidP="00A23B92">
      <w:pPr>
        <w:spacing w:line="480" w:lineRule="auto"/>
        <w:jc w:val="both"/>
        <w:rPr>
          <w:rFonts w:ascii="Times New Roman" w:hAnsi="Times New Roman" w:cs="Arial"/>
          <w:b/>
          <w:sz w:val="20"/>
        </w:rPr>
      </w:pPr>
    </w:p>
    <w:p w:rsidR="00A23B92" w:rsidRDefault="00A23B92" w:rsidP="00A23B92">
      <w:pPr>
        <w:spacing w:line="480" w:lineRule="auto"/>
        <w:jc w:val="both"/>
        <w:rPr>
          <w:rFonts w:ascii="Times New Roman" w:hAnsi="Times New Roman" w:cs="Arial"/>
          <w:b/>
          <w:sz w:val="20"/>
        </w:rPr>
      </w:pPr>
    </w:p>
    <w:p w:rsidR="00A23B92" w:rsidRDefault="00A23B92" w:rsidP="00A23B92">
      <w:pPr>
        <w:spacing w:line="480" w:lineRule="auto"/>
        <w:jc w:val="both"/>
        <w:rPr>
          <w:rFonts w:ascii="Times New Roman" w:hAnsi="Times New Roman" w:cs="Arial"/>
          <w:b/>
          <w:sz w:val="20"/>
        </w:rPr>
      </w:pPr>
    </w:p>
    <w:p w:rsidR="00A23B92" w:rsidRDefault="00A23B92" w:rsidP="00A23B92">
      <w:pPr>
        <w:spacing w:line="480" w:lineRule="auto"/>
        <w:jc w:val="both"/>
        <w:rPr>
          <w:rFonts w:ascii="Times New Roman" w:hAnsi="Times New Roman" w:cs="Arial"/>
          <w:b/>
          <w:sz w:val="20"/>
        </w:rPr>
      </w:pPr>
    </w:p>
    <w:p w:rsidR="00A23B92" w:rsidRDefault="00A23B92" w:rsidP="00A23B92">
      <w:pPr>
        <w:spacing w:line="480" w:lineRule="auto"/>
        <w:jc w:val="both"/>
        <w:rPr>
          <w:rFonts w:ascii="Times New Roman" w:hAnsi="Times New Roman" w:cs="Arial"/>
          <w:b/>
          <w:sz w:val="20"/>
        </w:rPr>
      </w:pPr>
    </w:p>
    <w:p w:rsidR="00A23B92" w:rsidRDefault="00A23B92" w:rsidP="00A23B92">
      <w:pPr>
        <w:spacing w:line="480" w:lineRule="auto"/>
        <w:jc w:val="both"/>
        <w:rPr>
          <w:rFonts w:ascii="Times New Roman" w:hAnsi="Times New Roman" w:cs="Arial"/>
          <w:b/>
          <w:sz w:val="20"/>
        </w:rPr>
      </w:pPr>
    </w:p>
    <w:p w:rsidR="00A23B92" w:rsidRDefault="00A23B92" w:rsidP="00A23B92">
      <w:pPr>
        <w:spacing w:line="480" w:lineRule="auto"/>
        <w:jc w:val="both"/>
        <w:rPr>
          <w:rFonts w:ascii="Times New Roman" w:hAnsi="Times New Roman" w:cs="Arial"/>
          <w:b/>
          <w:sz w:val="20"/>
        </w:rPr>
      </w:pPr>
    </w:p>
    <w:p w:rsidR="00A23B92" w:rsidRDefault="00A23B92" w:rsidP="00A23B92">
      <w:pPr>
        <w:spacing w:line="480" w:lineRule="auto"/>
        <w:jc w:val="both"/>
        <w:rPr>
          <w:rFonts w:ascii="Times New Roman" w:hAnsi="Times New Roman" w:cs="Arial"/>
          <w:b/>
          <w:sz w:val="20"/>
        </w:rPr>
      </w:pPr>
    </w:p>
    <w:p w:rsidR="00A23B92" w:rsidRDefault="00A23B92" w:rsidP="00A23B92">
      <w:pPr>
        <w:spacing w:line="480" w:lineRule="auto"/>
        <w:jc w:val="both"/>
        <w:rPr>
          <w:rFonts w:ascii="Times New Roman" w:hAnsi="Times New Roman" w:cs="Arial"/>
          <w:b/>
          <w:sz w:val="20"/>
        </w:rPr>
      </w:pPr>
    </w:p>
    <w:p w:rsidR="00D05299" w:rsidRDefault="00D05299">
      <w:pPr>
        <w:rPr>
          <w:rFonts w:ascii="Times New Roman" w:hAnsi="Times New Roman" w:cs="Arial"/>
          <w:b/>
          <w:sz w:val="20"/>
        </w:rPr>
      </w:pPr>
      <w:r>
        <w:rPr>
          <w:rFonts w:ascii="Times New Roman" w:hAnsi="Times New Roman" w:cs="Arial"/>
          <w:b/>
          <w:sz w:val="20"/>
        </w:rPr>
        <w:br w:type="page"/>
      </w:r>
    </w:p>
    <w:p w:rsidR="00A23B92" w:rsidRPr="006F67C8" w:rsidRDefault="00A23B92" w:rsidP="00A23B92">
      <w:pPr>
        <w:spacing w:line="480" w:lineRule="auto"/>
        <w:jc w:val="both"/>
        <w:rPr>
          <w:rFonts w:ascii="Times New Roman" w:hAnsi="Times New Roman" w:cs="Arial"/>
          <w:b/>
          <w:sz w:val="20"/>
        </w:rPr>
      </w:pPr>
      <w:r w:rsidRPr="006F67C8">
        <w:rPr>
          <w:rFonts w:ascii="Times New Roman" w:hAnsi="Times New Roman" w:cs="Arial"/>
          <w:b/>
          <w:sz w:val="20"/>
        </w:rPr>
        <w:t>FIGURES and TABLES</w:t>
      </w:r>
    </w:p>
    <w:p w:rsidR="00A23B92" w:rsidRDefault="00A23B92" w:rsidP="00A23B92">
      <w:pPr>
        <w:spacing w:line="480" w:lineRule="auto"/>
        <w:jc w:val="both"/>
        <w:rPr>
          <w:rFonts w:ascii="Times New Roman" w:hAnsi="Times New Roman"/>
          <w:b/>
          <w:sz w:val="20"/>
          <w:lang w:val="en-GB"/>
        </w:rPr>
      </w:pPr>
      <w:r w:rsidRPr="006F67C8">
        <w:rPr>
          <w:rFonts w:ascii="Times New Roman" w:hAnsi="Times New Roman"/>
          <w:b/>
          <w:sz w:val="20"/>
          <w:lang w:val="en-GB"/>
        </w:rPr>
        <w:t xml:space="preserve">Table 1: </w:t>
      </w:r>
      <w:r w:rsidRPr="006F67C8">
        <w:rPr>
          <w:rFonts w:ascii="Times New Roman" w:hAnsi="Times New Roman"/>
          <w:sz w:val="20"/>
          <w:lang w:val="en-GB"/>
        </w:rPr>
        <w:t>Patient characteristics</w:t>
      </w:r>
      <w:r w:rsidRPr="006F67C8">
        <w:rPr>
          <w:rFonts w:ascii="Times New Roman" w:hAnsi="Times New Roman"/>
          <w:b/>
          <w:sz w:val="20"/>
          <w:lang w:val="en-GB"/>
        </w:rPr>
        <w:t xml:space="preserve">  </w:t>
      </w:r>
    </w:p>
    <w:tbl>
      <w:tblPr>
        <w:tblW w:w="9306" w:type="dxa"/>
        <w:jc w:val="center"/>
        <w:tblBorders>
          <w:top w:val="single" w:sz="12" w:space="0" w:color="008000"/>
          <w:left w:val="nil"/>
          <w:bottom w:val="single" w:sz="12" w:space="0" w:color="008000"/>
          <w:right w:val="nil"/>
          <w:insideH w:val="nil"/>
          <w:insideV w:val="nil"/>
        </w:tblBorders>
        <w:tblLayout w:type="fixed"/>
        <w:tblLook w:val="00A0"/>
      </w:tblPr>
      <w:tblGrid>
        <w:gridCol w:w="5650"/>
        <w:gridCol w:w="3656"/>
      </w:tblGrid>
      <w:tr w:rsidR="00A23B92" w:rsidRPr="006F67C8">
        <w:trPr>
          <w:jc w:val="center"/>
        </w:trPr>
        <w:tc>
          <w:tcPr>
            <w:tcW w:w="5650" w:type="dxa"/>
            <w:tcBorders>
              <w:top w:val="single" w:sz="18" w:space="0" w:color="auto"/>
              <w:left w:val="nil"/>
              <w:bottom w:val="single" w:sz="18" w:space="0" w:color="auto"/>
              <w:right w:val="nil"/>
            </w:tcBorders>
            <w:vAlign w:val="center"/>
          </w:tcPr>
          <w:p w:rsidR="00A23B92" w:rsidRPr="006F67C8" w:rsidRDefault="00A23B92">
            <w:pPr>
              <w:spacing w:before="60"/>
              <w:rPr>
                <w:rFonts w:ascii="Times New Roman" w:hAnsi="Times New Roman"/>
                <w:b/>
                <w:sz w:val="20"/>
              </w:rPr>
            </w:pPr>
            <w:r>
              <w:rPr>
                <w:rFonts w:ascii="Times New Roman" w:hAnsi="Times New Roman"/>
                <w:b/>
                <w:sz w:val="20"/>
              </w:rPr>
              <w:t>PATIENT CHARACTERISTIC</w:t>
            </w:r>
          </w:p>
          <w:p w:rsidR="00A23B92" w:rsidRPr="006F67C8" w:rsidRDefault="00A23B92">
            <w:pPr>
              <w:spacing w:before="60"/>
              <w:rPr>
                <w:rFonts w:ascii="Times New Roman" w:hAnsi="Times New Roman"/>
                <w:sz w:val="20"/>
              </w:rPr>
            </w:pPr>
            <w:r w:rsidRPr="006F67C8">
              <w:rPr>
                <w:rFonts w:ascii="Times New Roman" w:hAnsi="Times New Roman"/>
                <w:sz w:val="20"/>
              </w:rPr>
              <w:t>Factor</w:t>
            </w:r>
          </w:p>
          <w:p w:rsidR="00A23B92" w:rsidRPr="00B22710" w:rsidRDefault="00A23B92" w:rsidP="00A23B92">
            <w:pPr>
              <w:numPr>
                <w:ilvl w:val="0"/>
                <w:numId w:val="25"/>
              </w:numPr>
              <w:tabs>
                <w:tab w:val="clear" w:pos="720"/>
                <w:tab w:val="num" w:pos="252"/>
              </w:tabs>
              <w:spacing w:before="60"/>
              <w:ind w:hanging="720"/>
              <w:rPr>
                <w:rFonts w:ascii="Times New Roman" w:hAnsi="Times New Roman"/>
                <w:sz w:val="20"/>
              </w:rPr>
            </w:pPr>
            <w:r w:rsidRPr="006F67C8">
              <w:rPr>
                <w:rFonts w:ascii="Times New Roman" w:hAnsi="Times New Roman"/>
                <w:sz w:val="20"/>
              </w:rPr>
              <w:t>Category</w:t>
            </w:r>
          </w:p>
        </w:tc>
        <w:tc>
          <w:tcPr>
            <w:tcW w:w="3656" w:type="dxa"/>
            <w:tcBorders>
              <w:top w:val="single" w:sz="18" w:space="0" w:color="auto"/>
              <w:left w:val="nil"/>
              <w:bottom w:val="single" w:sz="18" w:space="0" w:color="auto"/>
              <w:right w:val="nil"/>
            </w:tcBorders>
          </w:tcPr>
          <w:p w:rsidR="00A23B92" w:rsidRPr="00B22710" w:rsidRDefault="00A23B92" w:rsidP="00A23B92">
            <w:pPr>
              <w:spacing w:before="60"/>
              <w:jc w:val="center"/>
              <w:rPr>
                <w:rFonts w:ascii="Times New Roman" w:hAnsi="Times New Roman"/>
                <w:sz w:val="20"/>
              </w:rPr>
            </w:pPr>
            <w:r w:rsidRPr="006F67C8">
              <w:rPr>
                <w:rFonts w:ascii="Times New Roman" w:hAnsi="Times New Roman"/>
                <w:sz w:val="20"/>
              </w:rPr>
              <w:t xml:space="preserve"> </w:t>
            </w:r>
            <w:r w:rsidRPr="006F67C8">
              <w:rPr>
                <w:rFonts w:ascii="Times New Roman" w:eastAsia="MS Gothic" w:hAnsi="Times New Roman"/>
                <w:b/>
                <w:bCs/>
                <w:sz w:val="20"/>
                <w:szCs w:val="22"/>
              </w:rPr>
              <w:t>TaTME registry data results</w:t>
            </w:r>
          </w:p>
          <w:p w:rsidR="00A23B92" w:rsidRPr="00B22710" w:rsidRDefault="00A23B92" w:rsidP="00A23B92">
            <w:pPr>
              <w:spacing w:before="60"/>
              <w:jc w:val="center"/>
              <w:rPr>
                <w:rFonts w:ascii="Times New Roman" w:hAnsi="Times New Roman"/>
                <w:sz w:val="20"/>
              </w:rPr>
            </w:pPr>
            <w:r w:rsidRPr="00B22710">
              <w:rPr>
                <w:rFonts w:ascii="Times New Roman" w:eastAsia="MS Gothic" w:hAnsi="Times New Roman"/>
                <w:bCs/>
                <w:sz w:val="20"/>
                <w:szCs w:val="22"/>
              </w:rPr>
              <w:t>Total: 720 cases</w:t>
            </w:r>
          </w:p>
        </w:tc>
      </w:tr>
      <w:tr w:rsidR="00A23B92" w:rsidRPr="006F67C8">
        <w:trPr>
          <w:jc w:val="center"/>
        </w:trPr>
        <w:tc>
          <w:tcPr>
            <w:tcW w:w="5650" w:type="dxa"/>
            <w:tcBorders>
              <w:top w:val="single" w:sz="18" w:space="0" w:color="auto"/>
              <w:left w:val="nil"/>
              <w:bottom w:val="nil"/>
              <w:right w:val="nil"/>
            </w:tcBorders>
            <w:vAlign w:val="bottom"/>
          </w:tcPr>
          <w:p w:rsidR="00A23B92" w:rsidRPr="0040393C" w:rsidRDefault="00A23B92" w:rsidP="00A23B92">
            <w:pPr>
              <w:spacing w:before="60"/>
              <w:rPr>
                <w:rFonts w:ascii="Times New Roman" w:hAnsi="Times New Roman"/>
                <w:b/>
                <w:sz w:val="20"/>
              </w:rPr>
            </w:pPr>
            <w:r w:rsidRPr="0040393C">
              <w:rPr>
                <w:rFonts w:ascii="Times New Roman" w:hAnsi="Times New Roman"/>
                <w:b/>
                <w:sz w:val="20"/>
              </w:rPr>
              <w:t xml:space="preserve">Gender, n (%) </w:t>
            </w:r>
          </w:p>
        </w:tc>
        <w:tc>
          <w:tcPr>
            <w:tcW w:w="3656" w:type="dxa"/>
            <w:tcBorders>
              <w:top w:val="single" w:sz="18" w:space="0" w:color="auto"/>
              <w:left w:val="nil"/>
              <w:bottom w:val="nil"/>
              <w:right w:val="nil"/>
            </w:tcBorders>
          </w:tcPr>
          <w:p w:rsidR="00A23B92" w:rsidRPr="0040393C" w:rsidRDefault="00A23B92" w:rsidP="00A23B92">
            <w:pPr>
              <w:spacing w:before="60"/>
              <w:jc w:val="center"/>
              <w:rPr>
                <w:rFonts w:ascii="Times New Roman" w:hAnsi="Times New Roman"/>
                <w:sz w:val="20"/>
              </w:rPr>
            </w:pPr>
          </w:p>
        </w:tc>
      </w:tr>
      <w:tr w:rsidR="00A23B92" w:rsidRPr="006F67C8">
        <w:trPr>
          <w:jc w:val="center"/>
        </w:trPr>
        <w:tc>
          <w:tcPr>
            <w:tcW w:w="5650" w:type="dxa"/>
            <w:tcBorders>
              <w:top w:val="nil"/>
              <w:left w:val="nil"/>
              <w:bottom w:val="nil"/>
              <w:right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sidRPr="0040393C">
              <w:rPr>
                <w:rFonts w:ascii="Times New Roman" w:hAnsi="Times New Roman"/>
                <w:sz w:val="20"/>
              </w:rPr>
              <w:t>Male</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489 (67·9)</w:t>
            </w:r>
          </w:p>
        </w:tc>
      </w:tr>
      <w:tr w:rsidR="00A23B92" w:rsidRPr="006F67C8">
        <w:trPr>
          <w:jc w:val="center"/>
        </w:trPr>
        <w:tc>
          <w:tcPr>
            <w:tcW w:w="5650" w:type="dxa"/>
            <w:tcBorders>
              <w:top w:val="nil"/>
              <w:left w:val="nil"/>
              <w:bottom w:val="nil"/>
              <w:right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sidRPr="0040393C">
              <w:rPr>
                <w:rFonts w:ascii="Times New Roman" w:eastAsia="MS Gothic" w:hAnsi="Times New Roman" w:cs="Arial"/>
                <w:bCs/>
                <w:sz w:val="20"/>
                <w:szCs w:val="22"/>
              </w:rPr>
              <w:t>Female</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sidRPr="006F67C8">
              <w:rPr>
                <w:rFonts w:ascii="Times New Roman" w:hAnsi="Times New Roman"/>
                <w:sz w:val="20"/>
              </w:rPr>
              <w:t xml:space="preserve"> </w:t>
            </w:r>
            <w:r>
              <w:rPr>
                <w:rFonts w:ascii="Times New Roman" w:hAnsi="Times New Roman"/>
                <w:sz w:val="20"/>
              </w:rPr>
              <w:t>231 (32·1)</w:t>
            </w:r>
          </w:p>
        </w:tc>
      </w:tr>
      <w:tr w:rsidR="00A23B92" w:rsidRPr="006F67C8">
        <w:trPr>
          <w:jc w:val="center"/>
        </w:trPr>
        <w:tc>
          <w:tcPr>
            <w:tcW w:w="5650" w:type="dxa"/>
            <w:tcBorders>
              <w:top w:val="nil"/>
              <w:left w:val="nil"/>
              <w:bottom w:val="nil"/>
              <w:right w:val="nil"/>
            </w:tcBorders>
            <w:vAlign w:val="bottom"/>
          </w:tcPr>
          <w:p w:rsidR="00A23B92" w:rsidRPr="006F67C8" w:rsidRDefault="00A23B92">
            <w:pPr>
              <w:spacing w:before="60"/>
              <w:rPr>
                <w:rFonts w:ascii="Times New Roman" w:hAnsi="Times New Roman"/>
                <w:b/>
                <w:sz w:val="20"/>
              </w:rPr>
            </w:pPr>
            <w:r w:rsidRPr="006F67C8">
              <w:rPr>
                <w:rFonts w:ascii="Times New Roman" w:eastAsia="MS Gothic" w:hAnsi="Times New Roman"/>
                <w:b/>
                <w:bCs/>
                <w:sz w:val="20"/>
                <w:szCs w:val="22"/>
              </w:rPr>
              <w:t>Age in years, mean ± SD (range)</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62·4 ± 13·0 (18–91)</w:t>
            </w:r>
          </w:p>
        </w:tc>
      </w:tr>
      <w:tr w:rsidR="00A23B92" w:rsidRPr="006F67C8">
        <w:trPr>
          <w:jc w:val="center"/>
        </w:trPr>
        <w:tc>
          <w:tcPr>
            <w:tcW w:w="5650" w:type="dxa"/>
            <w:tcBorders>
              <w:top w:val="nil"/>
              <w:left w:val="nil"/>
              <w:bottom w:val="nil"/>
              <w:right w:val="nil"/>
            </w:tcBorders>
            <w:vAlign w:val="bottom"/>
          </w:tcPr>
          <w:p w:rsidR="00A23B92" w:rsidRPr="006F67C8" w:rsidRDefault="00A23B92">
            <w:pPr>
              <w:spacing w:before="60"/>
              <w:rPr>
                <w:rFonts w:ascii="Times New Roman" w:eastAsia="MS Gothic" w:hAnsi="Times New Roman"/>
                <w:b/>
                <w:bCs/>
                <w:sz w:val="20"/>
                <w:szCs w:val="22"/>
              </w:rPr>
            </w:pPr>
            <w:r w:rsidRPr="006F67C8">
              <w:rPr>
                <w:rFonts w:ascii="Times New Roman" w:eastAsia="MS Gothic" w:hAnsi="Times New Roman"/>
                <w:b/>
                <w:bCs/>
                <w:sz w:val="20"/>
                <w:szCs w:val="22"/>
              </w:rPr>
              <w:t>ASA score, median (range)</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2·0 (1–4)</w:t>
            </w:r>
          </w:p>
        </w:tc>
      </w:tr>
      <w:tr w:rsidR="00A23B92" w:rsidRPr="006F67C8">
        <w:trPr>
          <w:jc w:val="center"/>
        </w:trPr>
        <w:tc>
          <w:tcPr>
            <w:tcW w:w="5650" w:type="dxa"/>
            <w:tcBorders>
              <w:top w:val="nil"/>
              <w:left w:val="nil"/>
              <w:bottom w:val="nil"/>
              <w:right w:val="nil"/>
            </w:tcBorders>
            <w:vAlign w:val="bottom"/>
          </w:tcPr>
          <w:p w:rsidR="00A23B92" w:rsidRPr="006F67C8" w:rsidRDefault="00A23B92">
            <w:pPr>
              <w:spacing w:before="60"/>
              <w:rPr>
                <w:rFonts w:ascii="Times New Roman" w:eastAsia="MS Gothic" w:hAnsi="Times New Roman"/>
                <w:b/>
                <w:bCs/>
                <w:sz w:val="20"/>
                <w:szCs w:val="22"/>
              </w:rPr>
            </w:pPr>
            <w:r w:rsidRPr="006F67C8">
              <w:rPr>
                <w:rFonts w:ascii="Times New Roman" w:eastAsia="MS Gothic" w:hAnsi="Times New Roman"/>
                <w:b/>
                <w:bCs/>
                <w:sz w:val="20"/>
                <w:szCs w:val="22"/>
              </w:rPr>
              <w:t>BMI in kg/m</w:t>
            </w:r>
            <w:r w:rsidRPr="006F67C8">
              <w:rPr>
                <w:rFonts w:ascii="Times New Roman" w:eastAsia="MS Gothic" w:hAnsi="Times New Roman"/>
                <w:b/>
                <w:bCs/>
                <w:sz w:val="20"/>
                <w:szCs w:val="22"/>
                <w:vertAlign w:val="superscript"/>
              </w:rPr>
              <w:t>2</w:t>
            </w:r>
            <w:r w:rsidRPr="006F67C8">
              <w:rPr>
                <w:rFonts w:ascii="Times New Roman" w:eastAsia="MS Gothic" w:hAnsi="Times New Roman"/>
                <w:b/>
                <w:bCs/>
                <w:sz w:val="20"/>
                <w:szCs w:val="22"/>
              </w:rPr>
              <w:t>, mean ± SD (range)</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sidRPr="006F67C8">
              <w:rPr>
                <w:rFonts w:ascii="Times New Roman" w:hAnsi="Times New Roman"/>
                <w:sz w:val="20"/>
                <w:szCs w:val="22"/>
              </w:rPr>
              <w:t>26</w:t>
            </w:r>
            <w:r w:rsidRPr="006F67C8">
              <w:rPr>
                <w:rFonts w:ascii="Times New Roman" w:hAnsi="Times New Roman"/>
                <w:sz w:val="20"/>
                <w:szCs w:val="22"/>
                <w:lang w:val="en-GB"/>
              </w:rPr>
              <w:t>·</w:t>
            </w:r>
            <w:r w:rsidRPr="006F67C8">
              <w:rPr>
                <w:rFonts w:ascii="Times New Roman" w:hAnsi="Times New Roman"/>
                <w:sz w:val="20"/>
                <w:szCs w:val="22"/>
              </w:rPr>
              <w:t>5 ± 4</w:t>
            </w:r>
            <w:r w:rsidRPr="006F67C8">
              <w:rPr>
                <w:rFonts w:ascii="Times New Roman" w:hAnsi="Times New Roman"/>
                <w:sz w:val="20"/>
                <w:szCs w:val="22"/>
                <w:lang w:val="en-GB"/>
              </w:rPr>
              <w:t>·</w:t>
            </w:r>
            <w:r w:rsidRPr="006F67C8">
              <w:rPr>
                <w:rFonts w:ascii="Times New Roman" w:hAnsi="Times New Roman"/>
                <w:sz w:val="20"/>
                <w:szCs w:val="22"/>
              </w:rPr>
              <w:t>3 (16</w:t>
            </w:r>
            <w:r w:rsidRPr="006F67C8">
              <w:rPr>
                <w:rFonts w:ascii="Times New Roman" w:hAnsi="Times New Roman"/>
                <w:sz w:val="20"/>
                <w:szCs w:val="22"/>
                <w:lang w:val="en-GB"/>
              </w:rPr>
              <w:t>·</w:t>
            </w:r>
            <w:r>
              <w:rPr>
                <w:rFonts w:ascii="Times New Roman" w:hAnsi="Times New Roman"/>
                <w:sz w:val="20"/>
                <w:szCs w:val="22"/>
              </w:rPr>
              <w:t>5–</w:t>
            </w:r>
            <w:r w:rsidRPr="006F67C8">
              <w:rPr>
                <w:rFonts w:ascii="Times New Roman" w:hAnsi="Times New Roman"/>
                <w:sz w:val="20"/>
                <w:szCs w:val="22"/>
              </w:rPr>
              <w:t>42</w:t>
            </w:r>
            <w:r w:rsidRPr="006F67C8">
              <w:rPr>
                <w:rFonts w:ascii="Times New Roman" w:hAnsi="Times New Roman"/>
                <w:sz w:val="20"/>
                <w:szCs w:val="22"/>
                <w:lang w:val="en-GB"/>
              </w:rPr>
              <w:t>·</w:t>
            </w:r>
            <w:r w:rsidRPr="006F67C8">
              <w:rPr>
                <w:rFonts w:ascii="Times New Roman" w:hAnsi="Times New Roman"/>
                <w:sz w:val="20"/>
                <w:szCs w:val="22"/>
              </w:rPr>
              <w:t>7)</w:t>
            </w:r>
          </w:p>
        </w:tc>
      </w:tr>
      <w:tr w:rsidR="00A23B92" w:rsidRPr="006F67C8">
        <w:trPr>
          <w:jc w:val="center"/>
        </w:trPr>
        <w:tc>
          <w:tcPr>
            <w:tcW w:w="5650" w:type="dxa"/>
            <w:tcBorders>
              <w:top w:val="nil"/>
              <w:left w:val="nil"/>
              <w:bottom w:val="nil"/>
              <w:right w:val="nil"/>
            </w:tcBorders>
            <w:vAlign w:val="bottom"/>
          </w:tcPr>
          <w:p w:rsidR="00A23B92" w:rsidRPr="0040393C" w:rsidRDefault="00A23B92" w:rsidP="00A23B92">
            <w:pPr>
              <w:spacing w:before="60"/>
              <w:rPr>
                <w:rFonts w:ascii="Times New Roman" w:hAnsi="Times New Roman"/>
                <w:b/>
                <w:sz w:val="20"/>
              </w:rPr>
            </w:pPr>
            <w:r>
              <w:rPr>
                <w:rFonts w:ascii="Times New Roman" w:hAnsi="Times New Roman"/>
                <w:b/>
                <w:sz w:val="20"/>
              </w:rPr>
              <w:t>Smoking</w:t>
            </w:r>
            <w:r w:rsidRPr="0040393C">
              <w:rPr>
                <w:rFonts w:ascii="Times New Roman" w:hAnsi="Times New Roman"/>
                <w:b/>
                <w:sz w:val="20"/>
              </w:rPr>
              <w:t xml:space="preserve">, n (%) </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p>
        </w:tc>
      </w:tr>
      <w:tr w:rsidR="00A23B92" w:rsidRPr="006F67C8">
        <w:trPr>
          <w:jc w:val="center"/>
        </w:trPr>
        <w:tc>
          <w:tcPr>
            <w:tcW w:w="5650" w:type="dxa"/>
            <w:tcBorders>
              <w:top w:val="nil"/>
              <w:left w:val="nil"/>
              <w:bottom w:val="nil"/>
              <w:right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Smoker</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szCs w:val="22"/>
              </w:rPr>
              <w:t>90 (12·5)</w:t>
            </w:r>
          </w:p>
        </w:tc>
      </w:tr>
      <w:tr w:rsidR="00A23B92" w:rsidRPr="006F67C8">
        <w:trPr>
          <w:jc w:val="center"/>
        </w:trPr>
        <w:tc>
          <w:tcPr>
            <w:tcW w:w="5650" w:type="dxa"/>
            <w:tcBorders>
              <w:top w:val="nil"/>
              <w:left w:val="nil"/>
              <w:bottom w:val="nil"/>
              <w:right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eastAsia="MS Gothic" w:hAnsi="Times New Roman" w:cs="Arial"/>
                <w:bCs/>
                <w:sz w:val="20"/>
                <w:szCs w:val="22"/>
              </w:rPr>
              <w:t>Non-smoker</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630 (87·5)</w:t>
            </w:r>
          </w:p>
        </w:tc>
      </w:tr>
      <w:tr w:rsidR="00A23B92" w:rsidRPr="006F67C8">
        <w:trPr>
          <w:jc w:val="center"/>
        </w:trPr>
        <w:tc>
          <w:tcPr>
            <w:tcW w:w="5650" w:type="dxa"/>
            <w:tcBorders>
              <w:top w:val="nil"/>
              <w:left w:val="nil"/>
              <w:bottom w:val="nil"/>
              <w:right w:val="nil"/>
            </w:tcBorders>
            <w:vAlign w:val="bottom"/>
          </w:tcPr>
          <w:p w:rsidR="00A23B92" w:rsidRPr="0040393C" w:rsidRDefault="00A23B92" w:rsidP="00A23B92">
            <w:pPr>
              <w:spacing w:before="60"/>
              <w:rPr>
                <w:rFonts w:ascii="Times New Roman" w:hAnsi="Times New Roman"/>
                <w:b/>
                <w:sz w:val="20"/>
              </w:rPr>
            </w:pPr>
            <w:r>
              <w:rPr>
                <w:rFonts w:ascii="Times New Roman" w:hAnsi="Times New Roman"/>
                <w:b/>
                <w:sz w:val="20"/>
              </w:rPr>
              <w:t>Presence of co-morbidities</w:t>
            </w:r>
            <w:r w:rsidRPr="0040393C">
              <w:rPr>
                <w:rFonts w:ascii="Times New Roman" w:hAnsi="Times New Roman"/>
                <w:b/>
                <w:sz w:val="20"/>
              </w:rPr>
              <w:t xml:space="preserve">, n (%) </w:t>
            </w:r>
          </w:p>
        </w:tc>
        <w:tc>
          <w:tcPr>
            <w:tcW w:w="3656" w:type="dxa"/>
            <w:tcBorders>
              <w:top w:val="nil"/>
              <w:left w:val="nil"/>
              <w:bottom w:val="nil"/>
              <w:right w:val="nil"/>
            </w:tcBorders>
          </w:tcPr>
          <w:p w:rsidR="00A23B92" w:rsidRDefault="00A23B92" w:rsidP="00A23B92">
            <w:pPr>
              <w:spacing w:before="60"/>
              <w:jc w:val="center"/>
              <w:rPr>
                <w:rFonts w:ascii="Times New Roman" w:hAnsi="Times New Roman"/>
                <w:sz w:val="20"/>
              </w:rPr>
            </w:pPr>
          </w:p>
        </w:tc>
      </w:tr>
      <w:tr w:rsidR="00A23B92" w:rsidRPr="006F67C8">
        <w:trPr>
          <w:jc w:val="center"/>
        </w:trPr>
        <w:tc>
          <w:tcPr>
            <w:tcW w:w="5650" w:type="dxa"/>
            <w:tcBorders>
              <w:top w:val="nil"/>
              <w:left w:val="nil"/>
              <w:bottom w:val="nil"/>
              <w:right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Diabetes mellitus</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85 (11·8)</w:t>
            </w:r>
          </w:p>
        </w:tc>
      </w:tr>
      <w:tr w:rsidR="00A23B92" w:rsidRPr="006F67C8">
        <w:trPr>
          <w:jc w:val="center"/>
        </w:trPr>
        <w:tc>
          <w:tcPr>
            <w:tcW w:w="5650" w:type="dxa"/>
            <w:tcBorders>
              <w:top w:val="nil"/>
              <w:bottom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eastAsia="MS Gothic" w:hAnsi="Times New Roman" w:cs="Arial"/>
                <w:bCs/>
                <w:sz w:val="20"/>
                <w:szCs w:val="22"/>
              </w:rPr>
              <w:t>Ischaemic Heart Disease</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97 (13·5)</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eastAsia="MS Gothic" w:hAnsi="Times New Roman" w:cs="Arial"/>
                <w:bCs/>
                <w:sz w:val="20"/>
                <w:szCs w:val="22"/>
              </w:rPr>
            </w:pPr>
            <w:r>
              <w:rPr>
                <w:rFonts w:ascii="Times New Roman" w:eastAsia="MS Gothic" w:hAnsi="Times New Roman" w:cs="Arial"/>
                <w:bCs/>
                <w:sz w:val="20"/>
                <w:szCs w:val="22"/>
              </w:rPr>
              <w:t>Active Inflammatory bowel disease</w:t>
            </w:r>
          </w:p>
          <w:p w:rsidR="00A23B92" w:rsidRDefault="00A23B92" w:rsidP="00A23B92">
            <w:pPr>
              <w:numPr>
                <w:ilvl w:val="0"/>
                <w:numId w:val="25"/>
              </w:numPr>
              <w:tabs>
                <w:tab w:val="clear" w:pos="720"/>
                <w:tab w:val="num" w:pos="252"/>
              </w:tabs>
              <w:spacing w:before="60"/>
              <w:ind w:hanging="720"/>
              <w:rPr>
                <w:rFonts w:ascii="Times New Roman" w:eastAsia="MS Gothic" w:hAnsi="Times New Roman" w:cs="Arial"/>
                <w:bCs/>
                <w:sz w:val="20"/>
                <w:szCs w:val="22"/>
              </w:rPr>
            </w:pPr>
            <w:r>
              <w:rPr>
                <w:rFonts w:ascii="Times New Roman" w:eastAsia="MS Gothic" w:hAnsi="Times New Roman" w:cs="Arial"/>
                <w:bCs/>
                <w:sz w:val="20"/>
                <w:szCs w:val="22"/>
              </w:rPr>
              <w:t>Steroid use at time of surgery</w:t>
            </w:r>
          </w:p>
        </w:tc>
        <w:tc>
          <w:tcPr>
            <w:tcW w:w="3656" w:type="dxa"/>
            <w:tcBorders>
              <w:top w:val="nil"/>
              <w:bottom w:val="nil"/>
            </w:tcBorders>
          </w:tcPr>
          <w:p w:rsidR="00A23B92" w:rsidRDefault="00A23B92" w:rsidP="00A23B92">
            <w:pPr>
              <w:spacing w:before="60"/>
              <w:jc w:val="center"/>
              <w:rPr>
                <w:rFonts w:ascii="Times New Roman" w:hAnsi="Times New Roman"/>
                <w:sz w:val="20"/>
              </w:rPr>
            </w:pPr>
            <w:r>
              <w:rPr>
                <w:rFonts w:ascii="Times New Roman" w:hAnsi="Times New Roman"/>
                <w:sz w:val="20"/>
              </w:rPr>
              <w:t>42 (5·8)</w:t>
            </w:r>
          </w:p>
          <w:p w:rsidR="00A23B92" w:rsidRPr="006F67C8" w:rsidRDefault="00A23B92" w:rsidP="00A23B92">
            <w:pPr>
              <w:spacing w:before="60"/>
              <w:jc w:val="center"/>
              <w:rPr>
                <w:rFonts w:ascii="Times New Roman" w:hAnsi="Times New Roman"/>
                <w:sz w:val="20"/>
              </w:rPr>
            </w:pPr>
            <w:r>
              <w:rPr>
                <w:rFonts w:ascii="Times New Roman" w:hAnsi="Times New Roman"/>
                <w:sz w:val="20"/>
              </w:rPr>
              <w:t>13 (1·8)</w:t>
            </w:r>
          </w:p>
        </w:tc>
      </w:tr>
      <w:tr w:rsidR="00A23B92" w:rsidRPr="006F67C8">
        <w:trPr>
          <w:jc w:val="center"/>
        </w:trPr>
        <w:tc>
          <w:tcPr>
            <w:tcW w:w="5650" w:type="dxa"/>
            <w:tcBorders>
              <w:top w:val="nil"/>
              <w:bottom w:val="nil"/>
            </w:tcBorders>
            <w:vAlign w:val="bottom"/>
          </w:tcPr>
          <w:p w:rsidR="00A23B92" w:rsidRPr="0040393C" w:rsidRDefault="00A23B92" w:rsidP="00A23B92">
            <w:pPr>
              <w:spacing w:before="60"/>
              <w:rPr>
                <w:rFonts w:ascii="Times New Roman" w:hAnsi="Times New Roman"/>
                <w:b/>
                <w:sz w:val="20"/>
              </w:rPr>
            </w:pPr>
            <w:r>
              <w:rPr>
                <w:rFonts w:ascii="Times New Roman" w:hAnsi="Times New Roman"/>
                <w:b/>
                <w:sz w:val="20"/>
              </w:rPr>
              <w:t>Previous abdominal surgery</w:t>
            </w:r>
            <w:r w:rsidRPr="0040393C">
              <w:rPr>
                <w:rFonts w:ascii="Times New Roman" w:hAnsi="Times New Roman"/>
                <w:b/>
                <w:sz w:val="20"/>
              </w:rPr>
              <w:t xml:space="preserve">, n (%) </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p>
        </w:tc>
      </w:tr>
      <w:tr w:rsidR="00A23B92" w:rsidRPr="006F67C8">
        <w:trPr>
          <w:jc w:val="center"/>
        </w:trPr>
        <w:tc>
          <w:tcPr>
            <w:tcW w:w="5650" w:type="dxa"/>
            <w:tcBorders>
              <w:top w:val="nil"/>
              <w:bottom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Non-cancer related surgery</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134 (19·0)</w:t>
            </w:r>
          </w:p>
        </w:tc>
      </w:tr>
      <w:tr w:rsidR="00A23B92" w:rsidRPr="006F67C8">
        <w:trPr>
          <w:jc w:val="center"/>
        </w:trPr>
        <w:tc>
          <w:tcPr>
            <w:tcW w:w="5650" w:type="dxa"/>
            <w:tcBorders>
              <w:top w:val="nil"/>
              <w:bottom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eastAsia="MS Gothic" w:hAnsi="Times New Roman" w:cs="Arial"/>
                <w:bCs/>
                <w:sz w:val="20"/>
                <w:szCs w:val="22"/>
              </w:rPr>
              <w:t>Hysterectomy</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23 (3·2)</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eastAsia="MS Gothic" w:hAnsi="Times New Roman" w:cs="Arial"/>
                <w:bCs/>
                <w:sz w:val="20"/>
                <w:szCs w:val="22"/>
              </w:rPr>
            </w:pPr>
            <w:r>
              <w:rPr>
                <w:rFonts w:ascii="Times New Roman" w:eastAsia="MS Gothic" w:hAnsi="Times New Roman" w:cs="Arial"/>
                <w:bCs/>
                <w:sz w:val="20"/>
                <w:szCs w:val="22"/>
              </w:rPr>
              <w:t>Prostatectomy</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12 (1·7)</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eastAsia="MS Gothic" w:hAnsi="Times New Roman" w:cs="Arial"/>
                <w:bCs/>
                <w:sz w:val="20"/>
                <w:szCs w:val="22"/>
              </w:rPr>
            </w:pPr>
            <w:r>
              <w:rPr>
                <w:rFonts w:ascii="Times New Roman" w:eastAsia="MS Gothic" w:hAnsi="Times New Roman" w:cs="Arial"/>
                <w:bCs/>
                <w:sz w:val="20"/>
                <w:szCs w:val="22"/>
              </w:rPr>
              <w:t>Laparoscopic ventral mesh rectopexy</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1 (0·1)</w:t>
            </w:r>
          </w:p>
        </w:tc>
      </w:tr>
      <w:tr w:rsidR="00A23B92" w:rsidRPr="006F67C8">
        <w:trPr>
          <w:jc w:val="center"/>
        </w:trPr>
        <w:tc>
          <w:tcPr>
            <w:tcW w:w="5650" w:type="dxa"/>
            <w:tcBorders>
              <w:top w:val="nil"/>
              <w:bottom w:val="single" w:sz="18" w:space="0" w:color="auto"/>
            </w:tcBorders>
            <w:vAlign w:val="bottom"/>
          </w:tcPr>
          <w:p w:rsidR="00A23B92" w:rsidRDefault="00A23B92" w:rsidP="00A23B92">
            <w:pPr>
              <w:spacing w:before="60"/>
              <w:rPr>
                <w:rFonts w:ascii="Times New Roman" w:eastAsia="MS Gothic" w:hAnsi="Times New Roman" w:cs="Arial"/>
                <w:bCs/>
                <w:sz w:val="20"/>
                <w:szCs w:val="22"/>
              </w:rPr>
            </w:pPr>
            <w:r>
              <w:rPr>
                <w:rFonts w:ascii="Times New Roman" w:hAnsi="Times New Roman"/>
                <w:b/>
                <w:sz w:val="20"/>
              </w:rPr>
              <w:t>Previous pelvic radiation therapy</w:t>
            </w:r>
            <w:r w:rsidRPr="0040393C">
              <w:rPr>
                <w:rFonts w:ascii="Times New Roman" w:hAnsi="Times New Roman"/>
                <w:b/>
                <w:sz w:val="20"/>
              </w:rPr>
              <w:t>, n</w:t>
            </w:r>
            <w:r>
              <w:rPr>
                <w:rFonts w:ascii="Times New Roman" w:hAnsi="Times New Roman"/>
                <w:b/>
                <w:sz w:val="20"/>
              </w:rPr>
              <w:t xml:space="preserve"> (%)</w:t>
            </w:r>
          </w:p>
        </w:tc>
        <w:tc>
          <w:tcPr>
            <w:tcW w:w="3656" w:type="dxa"/>
            <w:tcBorders>
              <w:top w:val="nil"/>
              <w:bottom w:val="single" w:sz="18" w:space="0" w:color="auto"/>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15 (2·1)</w:t>
            </w:r>
          </w:p>
        </w:tc>
      </w:tr>
    </w:tbl>
    <w:p w:rsidR="00A23B92" w:rsidRPr="006F67C8" w:rsidRDefault="00A23B92" w:rsidP="00A23B92">
      <w:pPr>
        <w:jc w:val="both"/>
        <w:rPr>
          <w:rFonts w:ascii="Times New Roman" w:hAnsi="Times New Roman"/>
          <w:sz w:val="20"/>
          <w:lang w:val="en-GB"/>
        </w:rPr>
      </w:pPr>
      <w:r w:rsidRPr="006F67C8">
        <w:rPr>
          <w:rFonts w:ascii="Times New Roman" w:hAnsi="Times New Roman"/>
          <w:sz w:val="20"/>
          <w:lang w:val="en-GB"/>
        </w:rPr>
        <w:t xml:space="preserve">SD: standard deviation. ASA: American Society of Anesthesiologists. BMI: Body Mass Index. </w:t>
      </w:r>
    </w:p>
    <w:p w:rsidR="00A23B92" w:rsidRPr="006F67C8" w:rsidRDefault="00A23B92" w:rsidP="00A23B92">
      <w:pPr>
        <w:spacing w:line="480" w:lineRule="auto"/>
        <w:jc w:val="both"/>
        <w:rPr>
          <w:rFonts w:ascii="Times New Roman" w:hAnsi="Times New Roman"/>
          <w:sz w:val="20"/>
          <w:lang w:val="en-GB"/>
        </w:rPr>
      </w:pPr>
    </w:p>
    <w:p w:rsidR="00A23B92" w:rsidRPr="006F67C8" w:rsidRDefault="00A23B92" w:rsidP="00A23B92">
      <w:pPr>
        <w:spacing w:line="480" w:lineRule="auto"/>
        <w:jc w:val="both"/>
        <w:rPr>
          <w:rFonts w:ascii="Times New Roman" w:hAnsi="Times New Roman"/>
          <w:sz w:val="20"/>
          <w:lang w:val="en-GB"/>
        </w:rPr>
      </w:pPr>
    </w:p>
    <w:p w:rsidR="00A23B92" w:rsidRPr="006F67C8" w:rsidRDefault="00A23B92">
      <w:pPr>
        <w:rPr>
          <w:rFonts w:ascii="Times New Roman" w:hAnsi="Times New Roman"/>
          <w:b/>
          <w:sz w:val="20"/>
          <w:lang w:val="en-GB"/>
        </w:rPr>
      </w:pPr>
    </w:p>
    <w:p w:rsidR="00A23B92" w:rsidRPr="006F67C8" w:rsidRDefault="00A23B92">
      <w:pPr>
        <w:rPr>
          <w:rFonts w:ascii="Times New Roman" w:hAnsi="Times New Roman"/>
          <w:b/>
          <w:sz w:val="20"/>
          <w:lang w:val="en-GB"/>
        </w:rPr>
      </w:pPr>
    </w:p>
    <w:p w:rsidR="00A23B92" w:rsidRPr="006F67C8" w:rsidRDefault="00A23B92">
      <w:pPr>
        <w:rPr>
          <w:rFonts w:ascii="Times New Roman" w:hAnsi="Times New Roman"/>
          <w:b/>
          <w:sz w:val="20"/>
          <w:lang w:val="en-GB"/>
        </w:rPr>
      </w:pPr>
    </w:p>
    <w:p w:rsidR="00A23B92" w:rsidRPr="006F67C8" w:rsidRDefault="00A23B92">
      <w:pPr>
        <w:rPr>
          <w:rFonts w:ascii="Times New Roman" w:hAnsi="Times New Roman"/>
          <w:b/>
          <w:sz w:val="20"/>
          <w:lang w:val="en-GB"/>
        </w:rPr>
      </w:pPr>
    </w:p>
    <w:p w:rsidR="00A23B92" w:rsidRDefault="00A23B92">
      <w:pPr>
        <w:rPr>
          <w:rFonts w:ascii="Times New Roman" w:hAnsi="Times New Roman"/>
          <w:b/>
          <w:sz w:val="20"/>
          <w:lang w:val="en-GB"/>
        </w:rPr>
      </w:pPr>
    </w:p>
    <w:p w:rsidR="00A23B92" w:rsidRDefault="00A23B92">
      <w:pPr>
        <w:rPr>
          <w:rFonts w:ascii="Times New Roman" w:hAnsi="Times New Roman"/>
          <w:b/>
          <w:sz w:val="20"/>
          <w:lang w:val="en-GB"/>
        </w:rPr>
      </w:pPr>
    </w:p>
    <w:p w:rsidR="00A23B92" w:rsidRDefault="00A23B92">
      <w:pPr>
        <w:rPr>
          <w:rFonts w:ascii="Times New Roman" w:hAnsi="Times New Roman"/>
          <w:b/>
          <w:sz w:val="20"/>
          <w:lang w:val="en-GB"/>
        </w:rPr>
      </w:pPr>
    </w:p>
    <w:p w:rsidR="00A23B92" w:rsidRDefault="00A23B92">
      <w:pPr>
        <w:rPr>
          <w:rFonts w:ascii="Times New Roman" w:hAnsi="Times New Roman"/>
          <w:b/>
          <w:sz w:val="20"/>
          <w:lang w:val="en-GB"/>
        </w:rPr>
      </w:pPr>
    </w:p>
    <w:p w:rsidR="00A23B92" w:rsidRDefault="00A23B92">
      <w:pPr>
        <w:rPr>
          <w:rFonts w:ascii="Times New Roman" w:hAnsi="Times New Roman"/>
          <w:b/>
          <w:sz w:val="20"/>
          <w:lang w:val="en-GB"/>
        </w:rPr>
      </w:pPr>
    </w:p>
    <w:p w:rsidR="00A23B92" w:rsidRDefault="00A23B92">
      <w:pPr>
        <w:rPr>
          <w:rFonts w:ascii="Times New Roman" w:hAnsi="Times New Roman"/>
          <w:b/>
          <w:sz w:val="20"/>
          <w:lang w:val="en-GB"/>
        </w:rPr>
      </w:pPr>
    </w:p>
    <w:p w:rsidR="00A23B92" w:rsidRDefault="00A23B92">
      <w:pPr>
        <w:rPr>
          <w:rFonts w:ascii="Times New Roman" w:hAnsi="Times New Roman"/>
          <w:b/>
          <w:sz w:val="20"/>
          <w:lang w:val="en-GB"/>
        </w:rPr>
      </w:pPr>
    </w:p>
    <w:p w:rsidR="00A23B92" w:rsidRDefault="00A23B92">
      <w:pPr>
        <w:rPr>
          <w:rFonts w:ascii="Times New Roman" w:hAnsi="Times New Roman"/>
          <w:b/>
          <w:sz w:val="20"/>
          <w:lang w:val="en-GB"/>
        </w:rPr>
      </w:pPr>
    </w:p>
    <w:p w:rsidR="00A23B92" w:rsidRDefault="00A23B92">
      <w:pPr>
        <w:rPr>
          <w:rFonts w:ascii="Times New Roman" w:hAnsi="Times New Roman"/>
          <w:b/>
          <w:sz w:val="20"/>
          <w:lang w:val="en-GB"/>
        </w:rPr>
      </w:pPr>
    </w:p>
    <w:p w:rsidR="00A23B92" w:rsidRDefault="00A23B92">
      <w:pPr>
        <w:rPr>
          <w:rFonts w:ascii="Times New Roman" w:hAnsi="Times New Roman"/>
          <w:b/>
          <w:sz w:val="20"/>
          <w:lang w:val="en-GB"/>
        </w:rPr>
      </w:pPr>
    </w:p>
    <w:p w:rsidR="00A23B92" w:rsidRDefault="00A23B92">
      <w:pPr>
        <w:rPr>
          <w:rFonts w:ascii="Times New Roman" w:hAnsi="Times New Roman"/>
          <w:b/>
          <w:sz w:val="20"/>
          <w:lang w:val="en-GB"/>
        </w:rPr>
      </w:pPr>
    </w:p>
    <w:p w:rsidR="00A23B92" w:rsidRDefault="00A23B92">
      <w:pPr>
        <w:rPr>
          <w:rFonts w:ascii="Times New Roman" w:hAnsi="Times New Roman"/>
          <w:b/>
          <w:sz w:val="20"/>
          <w:lang w:val="en-GB"/>
        </w:rPr>
      </w:pPr>
    </w:p>
    <w:p w:rsidR="00A23B92" w:rsidRDefault="00A23B92">
      <w:pPr>
        <w:rPr>
          <w:rFonts w:ascii="Times New Roman" w:hAnsi="Times New Roman"/>
          <w:b/>
          <w:sz w:val="20"/>
          <w:lang w:val="en-GB"/>
        </w:rPr>
      </w:pPr>
    </w:p>
    <w:p w:rsidR="00A23B92" w:rsidRDefault="00A23B92">
      <w:pPr>
        <w:rPr>
          <w:rFonts w:ascii="Times New Roman" w:hAnsi="Times New Roman"/>
          <w:b/>
          <w:sz w:val="20"/>
          <w:lang w:val="en-GB"/>
        </w:rPr>
      </w:pPr>
    </w:p>
    <w:p w:rsidR="00A23B92" w:rsidRPr="006F67C8" w:rsidRDefault="00A23B92">
      <w:pPr>
        <w:rPr>
          <w:rFonts w:ascii="Times New Roman" w:hAnsi="Times New Roman"/>
          <w:b/>
          <w:sz w:val="20"/>
          <w:lang w:val="en-GB"/>
        </w:rPr>
      </w:pPr>
    </w:p>
    <w:p w:rsidR="00A23B92" w:rsidRPr="006F67C8" w:rsidRDefault="00A23B92">
      <w:pPr>
        <w:rPr>
          <w:rFonts w:ascii="Times New Roman" w:hAnsi="Times New Roman"/>
          <w:b/>
          <w:sz w:val="20"/>
          <w:lang w:val="en-GB"/>
        </w:rPr>
      </w:pPr>
    </w:p>
    <w:p w:rsidR="00A23B92" w:rsidRPr="006F67C8" w:rsidRDefault="00A23B92">
      <w:pPr>
        <w:rPr>
          <w:rFonts w:ascii="Times New Roman" w:hAnsi="Times New Roman"/>
          <w:b/>
          <w:sz w:val="20"/>
          <w:lang w:val="en-GB"/>
        </w:rPr>
      </w:pPr>
    </w:p>
    <w:p w:rsidR="00A23B92" w:rsidRDefault="00A23B92" w:rsidP="00A23B92">
      <w:pPr>
        <w:spacing w:line="480" w:lineRule="auto"/>
        <w:jc w:val="both"/>
        <w:rPr>
          <w:rFonts w:ascii="Times New Roman" w:hAnsi="Times New Roman"/>
          <w:sz w:val="20"/>
          <w:lang w:val="en-GB"/>
        </w:rPr>
      </w:pPr>
      <w:r w:rsidRPr="006F67C8">
        <w:rPr>
          <w:rFonts w:ascii="Times New Roman" w:hAnsi="Times New Roman"/>
          <w:b/>
          <w:sz w:val="20"/>
          <w:lang w:val="en-GB"/>
        </w:rPr>
        <w:t xml:space="preserve">Table 2: </w:t>
      </w:r>
      <w:r w:rsidRPr="006F67C8">
        <w:rPr>
          <w:rFonts w:ascii="Times New Roman" w:hAnsi="Times New Roman"/>
          <w:sz w:val="20"/>
          <w:lang w:val="en-GB"/>
        </w:rPr>
        <w:t xml:space="preserve">Cancer cases: Pre-operative staging and neoadjuvant therapy.  </w:t>
      </w:r>
    </w:p>
    <w:tbl>
      <w:tblPr>
        <w:tblW w:w="9306" w:type="dxa"/>
        <w:jc w:val="center"/>
        <w:tblBorders>
          <w:top w:val="single" w:sz="12" w:space="0" w:color="008000"/>
          <w:left w:val="nil"/>
          <w:bottom w:val="single" w:sz="12" w:space="0" w:color="008000"/>
          <w:right w:val="nil"/>
          <w:insideH w:val="nil"/>
          <w:insideV w:val="nil"/>
        </w:tblBorders>
        <w:tblLayout w:type="fixed"/>
        <w:tblLook w:val="00A0"/>
      </w:tblPr>
      <w:tblGrid>
        <w:gridCol w:w="5650"/>
        <w:gridCol w:w="3656"/>
      </w:tblGrid>
      <w:tr w:rsidR="00A23B92" w:rsidRPr="00B22710">
        <w:trPr>
          <w:jc w:val="center"/>
        </w:trPr>
        <w:tc>
          <w:tcPr>
            <w:tcW w:w="5650" w:type="dxa"/>
            <w:tcBorders>
              <w:top w:val="single" w:sz="18" w:space="0" w:color="auto"/>
              <w:left w:val="nil"/>
              <w:bottom w:val="single" w:sz="18" w:space="0" w:color="auto"/>
              <w:right w:val="nil"/>
            </w:tcBorders>
            <w:vAlign w:val="center"/>
          </w:tcPr>
          <w:p w:rsidR="00A23B92" w:rsidRPr="006F67C8" w:rsidRDefault="00A23B92">
            <w:pPr>
              <w:spacing w:before="60"/>
              <w:rPr>
                <w:rFonts w:ascii="Times New Roman" w:hAnsi="Times New Roman"/>
                <w:b/>
                <w:sz w:val="20"/>
              </w:rPr>
            </w:pPr>
            <w:r>
              <w:rPr>
                <w:rFonts w:ascii="Times New Roman" w:hAnsi="Times New Roman"/>
                <w:b/>
                <w:sz w:val="20"/>
              </w:rPr>
              <w:t>PRE-OPERATIVE STAGING</w:t>
            </w:r>
          </w:p>
          <w:p w:rsidR="00A23B92" w:rsidRPr="006F67C8" w:rsidRDefault="00A23B92">
            <w:pPr>
              <w:spacing w:before="60"/>
              <w:rPr>
                <w:rFonts w:ascii="Times New Roman" w:hAnsi="Times New Roman"/>
                <w:sz w:val="20"/>
              </w:rPr>
            </w:pPr>
            <w:r w:rsidRPr="006F67C8">
              <w:rPr>
                <w:rFonts w:ascii="Times New Roman" w:hAnsi="Times New Roman"/>
                <w:sz w:val="20"/>
              </w:rPr>
              <w:t>Factor</w:t>
            </w:r>
          </w:p>
          <w:p w:rsidR="00A23B92" w:rsidRPr="00B22710" w:rsidRDefault="00A23B92" w:rsidP="00A23B92">
            <w:pPr>
              <w:numPr>
                <w:ilvl w:val="0"/>
                <w:numId w:val="25"/>
              </w:numPr>
              <w:tabs>
                <w:tab w:val="clear" w:pos="720"/>
                <w:tab w:val="num" w:pos="252"/>
              </w:tabs>
              <w:spacing w:before="60"/>
              <w:ind w:hanging="720"/>
              <w:rPr>
                <w:rFonts w:ascii="Times New Roman" w:hAnsi="Times New Roman"/>
                <w:sz w:val="20"/>
              </w:rPr>
            </w:pPr>
            <w:r w:rsidRPr="006F67C8">
              <w:rPr>
                <w:rFonts w:ascii="Times New Roman" w:hAnsi="Times New Roman"/>
                <w:sz w:val="20"/>
              </w:rPr>
              <w:t>Category</w:t>
            </w:r>
          </w:p>
        </w:tc>
        <w:tc>
          <w:tcPr>
            <w:tcW w:w="3656" w:type="dxa"/>
            <w:tcBorders>
              <w:top w:val="single" w:sz="18" w:space="0" w:color="auto"/>
              <w:left w:val="nil"/>
              <w:bottom w:val="single" w:sz="18" w:space="0" w:color="auto"/>
              <w:right w:val="nil"/>
            </w:tcBorders>
          </w:tcPr>
          <w:p w:rsidR="00A23B92" w:rsidRPr="00B22710" w:rsidRDefault="00A23B92" w:rsidP="00A23B92">
            <w:pPr>
              <w:spacing w:before="60"/>
              <w:jc w:val="center"/>
              <w:rPr>
                <w:rFonts w:ascii="Times New Roman" w:hAnsi="Times New Roman"/>
                <w:sz w:val="20"/>
              </w:rPr>
            </w:pPr>
            <w:r w:rsidRPr="006F67C8">
              <w:rPr>
                <w:rFonts w:ascii="Times New Roman" w:hAnsi="Times New Roman"/>
                <w:sz w:val="20"/>
              </w:rPr>
              <w:t xml:space="preserve"> </w:t>
            </w:r>
            <w:r w:rsidRPr="006F67C8">
              <w:rPr>
                <w:rFonts w:ascii="Times New Roman" w:eastAsia="MS Gothic" w:hAnsi="Times New Roman"/>
                <w:b/>
                <w:bCs/>
                <w:sz w:val="20"/>
                <w:szCs w:val="22"/>
              </w:rPr>
              <w:t>TaTME registry data results</w:t>
            </w:r>
          </w:p>
          <w:p w:rsidR="00A23B92" w:rsidRPr="00B22710" w:rsidRDefault="00A23B92" w:rsidP="00A23B92">
            <w:pPr>
              <w:spacing w:before="60"/>
              <w:jc w:val="center"/>
              <w:rPr>
                <w:rFonts w:ascii="Times New Roman" w:hAnsi="Times New Roman"/>
                <w:sz w:val="20"/>
              </w:rPr>
            </w:pPr>
            <w:r>
              <w:rPr>
                <w:rFonts w:ascii="Times New Roman" w:eastAsia="MS Gothic" w:hAnsi="Times New Roman"/>
                <w:bCs/>
                <w:sz w:val="20"/>
                <w:szCs w:val="22"/>
              </w:rPr>
              <w:t>Total: 634 cancer</w:t>
            </w:r>
            <w:r w:rsidRPr="00B22710">
              <w:rPr>
                <w:rFonts w:ascii="Times New Roman" w:eastAsia="MS Gothic" w:hAnsi="Times New Roman"/>
                <w:bCs/>
                <w:sz w:val="20"/>
                <w:szCs w:val="22"/>
              </w:rPr>
              <w:t xml:space="preserve"> cases</w:t>
            </w:r>
          </w:p>
        </w:tc>
      </w:tr>
      <w:tr w:rsidR="00A23B92" w:rsidRPr="0040393C">
        <w:trPr>
          <w:jc w:val="center"/>
        </w:trPr>
        <w:tc>
          <w:tcPr>
            <w:tcW w:w="5650" w:type="dxa"/>
            <w:tcBorders>
              <w:top w:val="single" w:sz="18" w:space="0" w:color="auto"/>
              <w:left w:val="nil"/>
              <w:bottom w:val="nil"/>
              <w:right w:val="nil"/>
            </w:tcBorders>
            <w:vAlign w:val="bottom"/>
          </w:tcPr>
          <w:p w:rsidR="00A23B92" w:rsidRPr="0040393C" w:rsidRDefault="00A23B92" w:rsidP="00A23B92">
            <w:pPr>
              <w:spacing w:before="60"/>
              <w:rPr>
                <w:rFonts w:ascii="Times New Roman" w:hAnsi="Times New Roman"/>
                <w:b/>
                <w:sz w:val="20"/>
              </w:rPr>
            </w:pPr>
            <w:r>
              <w:rPr>
                <w:rFonts w:ascii="Times New Roman" w:hAnsi="Times New Roman"/>
                <w:b/>
                <w:sz w:val="20"/>
              </w:rPr>
              <w:t>Clinical tumour height from anal verge on rigid sigmoidoscopy in cm, median (range)</w:t>
            </w:r>
            <w:r w:rsidRPr="0040393C">
              <w:rPr>
                <w:rFonts w:ascii="Times New Roman" w:hAnsi="Times New Roman"/>
                <w:b/>
                <w:sz w:val="20"/>
              </w:rPr>
              <w:t xml:space="preserve"> </w:t>
            </w:r>
          </w:p>
        </w:tc>
        <w:tc>
          <w:tcPr>
            <w:tcW w:w="3656" w:type="dxa"/>
            <w:tcBorders>
              <w:top w:val="single" w:sz="18" w:space="0" w:color="auto"/>
              <w:left w:val="nil"/>
              <w:bottom w:val="nil"/>
              <w:right w:val="nil"/>
            </w:tcBorders>
          </w:tcPr>
          <w:p w:rsidR="00A23B92" w:rsidRPr="0040393C" w:rsidRDefault="00A23B92" w:rsidP="00A23B92">
            <w:pPr>
              <w:spacing w:before="60"/>
              <w:jc w:val="center"/>
              <w:rPr>
                <w:rFonts w:ascii="Times New Roman" w:hAnsi="Times New Roman"/>
                <w:sz w:val="20"/>
              </w:rPr>
            </w:pPr>
            <w:r>
              <w:rPr>
                <w:rFonts w:ascii="Times New Roman" w:hAnsi="Times New Roman"/>
                <w:sz w:val="20"/>
              </w:rPr>
              <w:t>6·0 (0–13)</w:t>
            </w:r>
          </w:p>
        </w:tc>
      </w:tr>
      <w:tr w:rsidR="00A23B92" w:rsidRPr="006F67C8">
        <w:trPr>
          <w:jc w:val="center"/>
        </w:trPr>
        <w:tc>
          <w:tcPr>
            <w:tcW w:w="5650" w:type="dxa"/>
            <w:tcBorders>
              <w:top w:val="nil"/>
              <w:left w:val="nil"/>
              <w:bottom w:val="nil"/>
              <w:right w:val="nil"/>
            </w:tcBorders>
            <w:vAlign w:val="bottom"/>
          </w:tcPr>
          <w:p w:rsidR="00A23B92" w:rsidRPr="006F67C8" w:rsidRDefault="00A23B92">
            <w:pPr>
              <w:spacing w:before="60"/>
              <w:rPr>
                <w:rFonts w:ascii="Times New Roman" w:hAnsi="Times New Roman"/>
                <w:b/>
                <w:sz w:val="20"/>
              </w:rPr>
            </w:pPr>
            <w:r>
              <w:rPr>
                <w:rFonts w:ascii="Times New Roman" w:eastAsia="MS Gothic" w:hAnsi="Times New Roman"/>
                <w:b/>
                <w:bCs/>
                <w:sz w:val="20"/>
                <w:szCs w:val="22"/>
              </w:rPr>
              <w:t>Tumour height from anorectal junction on MRI in cm, median (range)</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3·0 (0–11)</w:t>
            </w:r>
          </w:p>
        </w:tc>
      </w:tr>
      <w:tr w:rsidR="00A23B92" w:rsidRPr="006F67C8">
        <w:trPr>
          <w:jc w:val="center"/>
        </w:trPr>
        <w:tc>
          <w:tcPr>
            <w:tcW w:w="5650" w:type="dxa"/>
            <w:tcBorders>
              <w:top w:val="nil"/>
              <w:left w:val="nil"/>
              <w:bottom w:val="nil"/>
              <w:right w:val="nil"/>
            </w:tcBorders>
            <w:vAlign w:val="bottom"/>
          </w:tcPr>
          <w:p w:rsidR="00A23B92" w:rsidRPr="006F67C8" w:rsidRDefault="00A23B92">
            <w:pPr>
              <w:spacing w:before="60"/>
              <w:rPr>
                <w:rFonts w:ascii="Times New Roman" w:eastAsia="MS Gothic" w:hAnsi="Times New Roman"/>
                <w:b/>
                <w:bCs/>
                <w:sz w:val="20"/>
                <w:szCs w:val="22"/>
              </w:rPr>
            </w:pPr>
            <w:r>
              <w:rPr>
                <w:rFonts w:ascii="Times New Roman" w:eastAsia="MS Gothic" w:hAnsi="Times New Roman"/>
                <w:b/>
                <w:bCs/>
                <w:sz w:val="20"/>
                <w:szCs w:val="22"/>
              </w:rPr>
              <w:t>Predominant tumour location, n (%)</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p>
        </w:tc>
      </w:tr>
      <w:tr w:rsidR="00A23B92" w:rsidRPr="006F67C8">
        <w:trPr>
          <w:jc w:val="center"/>
        </w:trPr>
        <w:tc>
          <w:tcPr>
            <w:tcW w:w="5650" w:type="dxa"/>
            <w:tcBorders>
              <w:top w:val="nil"/>
              <w:left w:val="nil"/>
              <w:bottom w:val="nil"/>
              <w:right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Anterior</w:t>
            </w:r>
          </w:p>
        </w:tc>
        <w:tc>
          <w:tcPr>
            <w:tcW w:w="3656" w:type="dxa"/>
            <w:tcBorders>
              <w:top w:val="nil"/>
              <w:left w:val="nil"/>
              <w:bottom w:val="nil"/>
              <w:right w:val="nil"/>
            </w:tcBorders>
          </w:tcPr>
          <w:p w:rsidR="00A23B92" w:rsidRPr="006F67C8" w:rsidRDefault="00335AA0" w:rsidP="00A23B92">
            <w:pPr>
              <w:spacing w:before="60"/>
              <w:jc w:val="center"/>
              <w:rPr>
                <w:rFonts w:ascii="Times New Roman" w:hAnsi="Times New Roman"/>
                <w:sz w:val="20"/>
              </w:rPr>
            </w:pPr>
            <w:r>
              <w:rPr>
                <w:rFonts w:ascii="Times New Roman" w:hAnsi="Times New Roman"/>
                <w:sz w:val="20"/>
              </w:rPr>
              <w:t>243 (43·3</w:t>
            </w:r>
            <w:r w:rsidR="00A23B92">
              <w:rPr>
                <w:rFonts w:ascii="Times New Roman" w:hAnsi="Times New Roman"/>
                <w:sz w:val="20"/>
              </w:rPr>
              <w:t>)</w:t>
            </w:r>
          </w:p>
        </w:tc>
      </w:tr>
      <w:tr w:rsidR="00A23B92" w:rsidRPr="006F67C8">
        <w:trPr>
          <w:jc w:val="center"/>
        </w:trPr>
        <w:tc>
          <w:tcPr>
            <w:tcW w:w="5650" w:type="dxa"/>
            <w:tcBorders>
              <w:top w:val="nil"/>
              <w:left w:val="nil"/>
              <w:bottom w:val="nil"/>
              <w:right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Posterior</w:t>
            </w:r>
          </w:p>
        </w:tc>
        <w:tc>
          <w:tcPr>
            <w:tcW w:w="3656" w:type="dxa"/>
            <w:tcBorders>
              <w:top w:val="nil"/>
              <w:left w:val="nil"/>
              <w:bottom w:val="nil"/>
              <w:right w:val="nil"/>
            </w:tcBorders>
          </w:tcPr>
          <w:p w:rsidR="00A23B92" w:rsidRPr="006F67C8" w:rsidRDefault="00335AA0" w:rsidP="00A23B92">
            <w:pPr>
              <w:spacing w:before="60"/>
              <w:jc w:val="center"/>
              <w:rPr>
                <w:rFonts w:ascii="Times New Roman" w:hAnsi="Times New Roman"/>
                <w:sz w:val="20"/>
              </w:rPr>
            </w:pPr>
            <w:r>
              <w:rPr>
                <w:rFonts w:ascii="Times New Roman" w:hAnsi="Times New Roman"/>
                <w:sz w:val="20"/>
              </w:rPr>
              <w:t>233 (41·5</w:t>
            </w:r>
            <w:r w:rsidR="00A23B92">
              <w:rPr>
                <w:rFonts w:ascii="Times New Roman" w:hAnsi="Times New Roman"/>
                <w:sz w:val="20"/>
              </w:rPr>
              <w:t>)</w:t>
            </w:r>
          </w:p>
        </w:tc>
      </w:tr>
      <w:tr w:rsidR="00A23B92" w:rsidRPr="006F67C8">
        <w:trPr>
          <w:jc w:val="center"/>
        </w:trPr>
        <w:tc>
          <w:tcPr>
            <w:tcW w:w="5650" w:type="dxa"/>
            <w:tcBorders>
              <w:top w:val="nil"/>
              <w:left w:val="nil"/>
              <w:bottom w:val="nil"/>
              <w:right w:val="nil"/>
            </w:tcBorders>
            <w:vAlign w:val="bottom"/>
          </w:tcPr>
          <w:p w:rsidR="001844A5" w:rsidRPr="001844A5"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eastAsia="MS Gothic" w:hAnsi="Times New Roman" w:cs="Arial"/>
                <w:bCs/>
                <w:sz w:val="20"/>
                <w:szCs w:val="22"/>
              </w:rPr>
              <w:t>Lateral</w:t>
            </w:r>
          </w:p>
          <w:p w:rsidR="00A23B92" w:rsidRPr="0040393C" w:rsidRDefault="001844A5" w:rsidP="00A23B92">
            <w:pPr>
              <w:numPr>
                <w:ilvl w:val="0"/>
                <w:numId w:val="25"/>
              </w:numPr>
              <w:tabs>
                <w:tab w:val="clear" w:pos="720"/>
                <w:tab w:val="num" w:pos="252"/>
              </w:tabs>
              <w:spacing w:before="60"/>
              <w:ind w:hanging="720"/>
              <w:rPr>
                <w:rFonts w:ascii="Times New Roman" w:hAnsi="Times New Roman"/>
                <w:sz w:val="20"/>
              </w:rPr>
            </w:pPr>
            <w:r w:rsidRPr="00335AA0">
              <w:rPr>
                <w:rFonts w:ascii="Times New Roman" w:eastAsia="MS Gothic" w:hAnsi="Times New Roman" w:cs="Arial"/>
                <w:bCs/>
                <w:sz w:val="20"/>
                <w:szCs w:val="22"/>
                <w:highlight w:val="cyan"/>
              </w:rPr>
              <w:t>Missing</w:t>
            </w:r>
          </w:p>
        </w:tc>
        <w:tc>
          <w:tcPr>
            <w:tcW w:w="3656" w:type="dxa"/>
            <w:tcBorders>
              <w:top w:val="nil"/>
              <w:left w:val="nil"/>
              <w:bottom w:val="nil"/>
              <w:right w:val="nil"/>
            </w:tcBorders>
          </w:tcPr>
          <w:p w:rsidR="001844A5" w:rsidRDefault="00A23B92" w:rsidP="00A23B92">
            <w:pPr>
              <w:spacing w:before="60"/>
              <w:jc w:val="center"/>
              <w:rPr>
                <w:rFonts w:ascii="Times New Roman" w:hAnsi="Times New Roman"/>
                <w:sz w:val="20"/>
              </w:rPr>
            </w:pPr>
            <w:r>
              <w:rPr>
                <w:rFonts w:ascii="Times New Roman" w:hAnsi="Times New Roman"/>
                <w:sz w:val="20"/>
              </w:rPr>
              <w:t>85 (15·2)</w:t>
            </w:r>
          </w:p>
          <w:p w:rsidR="00A23B92" w:rsidRPr="006F67C8" w:rsidRDefault="001844A5" w:rsidP="00A23B92">
            <w:pPr>
              <w:spacing w:before="60"/>
              <w:jc w:val="center"/>
              <w:rPr>
                <w:rFonts w:ascii="Times New Roman" w:hAnsi="Times New Roman"/>
                <w:sz w:val="20"/>
              </w:rPr>
            </w:pPr>
            <w:r w:rsidRPr="00335AA0">
              <w:rPr>
                <w:rFonts w:ascii="Times New Roman" w:hAnsi="Times New Roman"/>
                <w:sz w:val="20"/>
                <w:highlight w:val="cyan"/>
              </w:rPr>
              <w:t>73 (11.5)</w:t>
            </w:r>
          </w:p>
        </w:tc>
      </w:tr>
      <w:tr w:rsidR="00A23B92">
        <w:trPr>
          <w:jc w:val="center"/>
        </w:trPr>
        <w:tc>
          <w:tcPr>
            <w:tcW w:w="5650" w:type="dxa"/>
            <w:tcBorders>
              <w:top w:val="nil"/>
              <w:left w:val="nil"/>
              <w:bottom w:val="nil"/>
              <w:right w:val="nil"/>
            </w:tcBorders>
            <w:vAlign w:val="bottom"/>
          </w:tcPr>
          <w:p w:rsidR="00A23B92" w:rsidRPr="0040393C" w:rsidRDefault="00A23B92" w:rsidP="00A23B92">
            <w:pPr>
              <w:spacing w:before="60"/>
              <w:rPr>
                <w:rFonts w:ascii="Times New Roman" w:hAnsi="Times New Roman"/>
                <w:b/>
                <w:sz w:val="20"/>
              </w:rPr>
            </w:pPr>
            <w:r>
              <w:rPr>
                <w:rFonts w:ascii="Times New Roman" w:hAnsi="Times New Roman"/>
                <w:b/>
                <w:sz w:val="20"/>
              </w:rPr>
              <w:t>Circumferential extent of tumour, n (%)</w:t>
            </w:r>
            <w:r w:rsidRPr="0040393C">
              <w:rPr>
                <w:rFonts w:ascii="Times New Roman" w:hAnsi="Times New Roman"/>
                <w:b/>
                <w:sz w:val="20"/>
              </w:rPr>
              <w:t xml:space="preserve"> </w:t>
            </w:r>
          </w:p>
        </w:tc>
        <w:tc>
          <w:tcPr>
            <w:tcW w:w="3656" w:type="dxa"/>
            <w:tcBorders>
              <w:top w:val="nil"/>
              <w:left w:val="nil"/>
              <w:bottom w:val="nil"/>
              <w:right w:val="nil"/>
            </w:tcBorders>
          </w:tcPr>
          <w:p w:rsidR="00A23B92" w:rsidRDefault="00A23B92" w:rsidP="00A23B92">
            <w:pPr>
              <w:spacing w:before="60"/>
              <w:jc w:val="center"/>
              <w:rPr>
                <w:rFonts w:ascii="Times New Roman" w:hAnsi="Times New Roman"/>
                <w:sz w:val="20"/>
              </w:rPr>
            </w:pPr>
          </w:p>
        </w:tc>
      </w:tr>
      <w:tr w:rsidR="00A23B92" w:rsidRPr="006F67C8">
        <w:trPr>
          <w:jc w:val="center"/>
        </w:trPr>
        <w:tc>
          <w:tcPr>
            <w:tcW w:w="5650" w:type="dxa"/>
            <w:tcBorders>
              <w:top w:val="nil"/>
              <w:left w:val="nil"/>
              <w:bottom w:val="nil"/>
              <w:right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1 to 2 quadrants</w:t>
            </w:r>
          </w:p>
        </w:tc>
        <w:tc>
          <w:tcPr>
            <w:tcW w:w="3656" w:type="dxa"/>
            <w:tcBorders>
              <w:top w:val="nil"/>
              <w:left w:val="nil"/>
              <w:bottom w:val="nil"/>
              <w:right w:val="nil"/>
            </w:tcBorders>
          </w:tcPr>
          <w:p w:rsidR="00A23B92" w:rsidRPr="006F67C8" w:rsidRDefault="00335AA0" w:rsidP="00A23B92">
            <w:pPr>
              <w:spacing w:before="60"/>
              <w:jc w:val="center"/>
              <w:rPr>
                <w:rFonts w:ascii="Times New Roman" w:hAnsi="Times New Roman"/>
                <w:sz w:val="20"/>
              </w:rPr>
            </w:pPr>
            <w:r>
              <w:rPr>
                <w:rFonts w:ascii="Times New Roman" w:hAnsi="Times New Roman"/>
                <w:sz w:val="20"/>
              </w:rPr>
              <w:t>399</w:t>
            </w:r>
            <w:r w:rsidR="00A23B92">
              <w:rPr>
                <w:rFonts w:ascii="Times New Roman" w:hAnsi="Times New Roman"/>
                <w:sz w:val="20"/>
              </w:rPr>
              <w:t xml:space="preserve"> (70·1)</w:t>
            </w:r>
          </w:p>
        </w:tc>
      </w:tr>
      <w:tr w:rsidR="00A23B92" w:rsidRPr="006F67C8">
        <w:trPr>
          <w:jc w:val="center"/>
        </w:trPr>
        <w:tc>
          <w:tcPr>
            <w:tcW w:w="5650" w:type="dxa"/>
            <w:tcBorders>
              <w:top w:val="nil"/>
              <w:bottom w:val="nil"/>
            </w:tcBorders>
            <w:vAlign w:val="bottom"/>
          </w:tcPr>
          <w:p w:rsidR="001844A5" w:rsidRPr="001844A5"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eastAsia="MS Gothic" w:hAnsi="Times New Roman" w:cs="Arial"/>
                <w:bCs/>
                <w:sz w:val="20"/>
                <w:szCs w:val="22"/>
              </w:rPr>
              <w:t>3 to 4 quadrants</w:t>
            </w:r>
          </w:p>
          <w:p w:rsidR="00A23B92" w:rsidRPr="0040393C" w:rsidRDefault="001844A5" w:rsidP="00A23B92">
            <w:pPr>
              <w:numPr>
                <w:ilvl w:val="0"/>
                <w:numId w:val="25"/>
              </w:numPr>
              <w:tabs>
                <w:tab w:val="clear" w:pos="720"/>
                <w:tab w:val="num" w:pos="252"/>
              </w:tabs>
              <w:spacing w:before="60"/>
              <w:ind w:hanging="720"/>
              <w:rPr>
                <w:rFonts w:ascii="Times New Roman" w:hAnsi="Times New Roman"/>
                <w:sz w:val="20"/>
              </w:rPr>
            </w:pPr>
            <w:r w:rsidRPr="00335AA0">
              <w:rPr>
                <w:rFonts w:ascii="Times New Roman" w:eastAsia="MS Gothic" w:hAnsi="Times New Roman" w:cs="Arial"/>
                <w:bCs/>
                <w:sz w:val="20"/>
                <w:szCs w:val="22"/>
                <w:highlight w:val="cyan"/>
              </w:rPr>
              <w:t>Missing</w:t>
            </w:r>
            <w:r>
              <w:rPr>
                <w:rFonts w:ascii="Times New Roman" w:eastAsia="MS Gothic" w:hAnsi="Times New Roman" w:cs="Arial"/>
                <w:bCs/>
                <w:sz w:val="20"/>
                <w:szCs w:val="22"/>
              </w:rPr>
              <w:t xml:space="preserve"> </w:t>
            </w:r>
          </w:p>
        </w:tc>
        <w:tc>
          <w:tcPr>
            <w:tcW w:w="3656" w:type="dxa"/>
            <w:tcBorders>
              <w:top w:val="nil"/>
              <w:bottom w:val="nil"/>
            </w:tcBorders>
          </w:tcPr>
          <w:p w:rsidR="001844A5" w:rsidRDefault="00A23B92" w:rsidP="00A23B92">
            <w:pPr>
              <w:spacing w:before="60"/>
              <w:jc w:val="center"/>
              <w:rPr>
                <w:rFonts w:ascii="Times New Roman" w:hAnsi="Times New Roman"/>
                <w:sz w:val="20"/>
              </w:rPr>
            </w:pPr>
            <w:r>
              <w:rPr>
                <w:rFonts w:ascii="Times New Roman" w:hAnsi="Times New Roman"/>
                <w:sz w:val="20"/>
              </w:rPr>
              <w:t>170 (29·9)</w:t>
            </w:r>
          </w:p>
          <w:p w:rsidR="00A23B92" w:rsidRPr="006F67C8" w:rsidRDefault="001844A5" w:rsidP="00A23B92">
            <w:pPr>
              <w:spacing w:before="60"/>
              <w:jc w:val="center"/>
              <w:rPr>
                <w:rFonts w:ascii="Times New Roman" w:hAnsi="Times New Roman"/>
                <w:sz w:val="20"/>
              </w:rPr>
            </w:pPr>
            <w:r w:rsidRPr="00335AA0">
              <w:rPr>
                <w:rFonts w:ascii="Times New Roman" w:hAnsi="Times New Roman"/>
                <w:sz w:val="20"/>
                <w:highlight w:val="cyan"/>
              </w:rPr>
              <w:t>65 (10.3)</w:t>
            </w:r>
          </w:p>
        </w:tc>
      </w:tr>
      <w:tr w:rsidR="00A23B92" w:rsidRPr="006F67C8">
        <w:trPr>
          <w:jc w:val="center"/>
        </w:trPr>
        <w:tc>
          <w:tcPr>
            <w:tcW w:w="5650" w:type="dxa"/>
            <w:tcBorders>
              <w:top w:val="nil"/>
              <w:bottom w:val="nil"/>
            </w:tcBorders>
            <w:vAlign w:val="bottom"/>
          </w:tcPr>
          <w:p w:rsidR="00A23B92" w:rsidRPr="0040393C" w:rsidRDefault="00A23B92" w:rsidP="00A23B92">
            <w:pPr>
              <w:spacing w:before="60"/>
              <w:rPr>
                <w:rFonts w:ascii="Times New Roman" w:hAnsi="Times New Roman"/>
                <w:b/>
                <w:sz w:val="20"/>
              </w:rPr>
            </w:pPr>
            <w:r>
              <w:rPr>
                <w:rFonts w:ascii="Times New Roman" w:hAnsi="Times New Roman"/>
                <w:b/>
                <w:sz w:val="20"/>
              </w:rPr>
              <w:t>Pre-operative MRI staging, n (%)</w:t>
            </w:r>
            <w:r w:rsidRPr="0040393C">
              <w:rPr>
                <w:rFonts w:ascii="Times New Roman" w:hAnsi="Times New Roman"/>
                <w:b/>
                <w:sz w:val="20"/>
              </w:rPr>
              <w:t xml:space="preserve"> </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p>
        </w:tc>
      </w:tr>
      <w:tr w:rsidR="00A23B92" w:rsidRPr="006F67C8">
        <w:trPr>
          <w:jc w:val="center"/>
        </w:trPr>
        <w:tc>
          <w:tcPr>
            <w:tcW w:w="5650" w:type="dxa"/>
            <w:tcBorders>
              <w:top w:val="nil"/>
              <w:bottom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≥3</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374 (66·9)</w:t>
            </w:r>
          </w:p>
        </w:tc>
      </w:tr>
      <w:tr w:rsidR="00A23B92" w:rsidRPr="006F67C8">
        <w:trPr>
          <w:jc w:val="center"/>
        </w:trPr>
        <w:tc>
          <w:tcPr>
            <w:tcW w:w="5650" w:type="dxa"/>
            <w:tcBorders>
              <w:top w:val="nil"/>
              <w:bottom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eastAsia="MS Gothic" w:hAnsi="Times New Roman" w:cs="Arial"/>
                <w:bCs/>
                <w:sz w:val="20"/>
                <w:szCs w:val="22"/>
              </w:rPr>
              <w:t>N+</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323 (58·2)</w:t>
            </w:r>
          </w:p>
        </w:tc>
      </w:tr>
      <w:tr w:rsidR="00A23B92" w:rsidRPr="006F67C8">
        <w:trPr>
          <w:jc w:val="center"/>
        </w:trPr>
        <w:tc>
          <w:tcPr>
            <w:tcW w:w="5650" w:type="dxa"/>
            <w:tcBorders>
              <w:top w:val="nil"/>
              <w:bottom w:val="dashSmallGap" w:sz="4" w:space="0" w:color="auto"/>
            </w:tcBorders>
            <w:vAlign w:val="bottom"/>
          </w:tcPr>
          <w:p w:rsidR="00A23B92" w:rsidRPr="00335AA0" w:rsidRDefault="00A23B92" w:rsidP="00335AA0">
            <w:pPr>
              <w:spacing w:before="60"/>
              <w:rPr>
                <w:rFonts w:ascii="Times New Roman" w:hAnsi="Times New Roman"/>
                <w:b/>
                <w:sz w:val="20"/>
              </w:rPr>
            </w:pPr>
            <w:r>
              <w:rPr>
                <w:rFonts w:ascii="Times New Roman" w:hAnsi="Times New Roman"/>
                <w:b/>
                <w:sz w:val="20"/>
              </w:rPr>
              <w:t>Pre-operative CRM involvement on MRI, n (%)</w:t>
            </w:r>
            <w:r w:rsidRPr="0040393C">
              <w:rPr>
                <w:rFonts w:ascii="Times New Roman" w:hAnsi="Times New Roman"/>
                <w:b/>
                <w:sz w:val="20"/>
              </w:rPr>
              <w:t xml:space="preserve"> </w:t>
            </w:r>
            <w:r w:rsidR="00335AA0" w:rsidRPr="00335AA0">
              <w:rPr>
                <w:rFonts w:ascii="Times New Roman" w:eastAsia="MS Gothic" w:hAnsi="Times New Roman" w:cs="Arial"/>
                <w:bCs/>
                <w:sz w:val="20"/>
                <w:szCs w:val="22"/>
              </w:rPr>
              <w:t xml:space="preserve"> </w:t>
            </w:r>
          </w:p>
        </w:tc>
        <w:tc>
          <w:tcPr>
            <w:tcW w:w="3656" w:type="dxa"/>
            <w:tcBorders>
              <w:top w:val="nil"/>
              <w:bottom w:val="dashSmallGap" w:sz="4" w:space="0" w:color="auto"/>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115 (21·1)</w:t>
            </w:r>
          </w:p>
        </w:tc>
      </w:tr>
      <w:tr w:rsidR="00A23B92" w:rsidRPr="006F67C8">
        <w:trPr>
          <w:jc w:val="center"/>
        </w:trPr>
        <w:tc>
          <w:tcPr>
            <w:tcW w:w="5650" w:type="dxa"/>
            <w:tcBorders>
              <w:top w:val="dashSmallGap" w:sz="4" w:space="0" w:color="auto"/>
              <w:left w:val="nil"/>
              <w:bottom w:val="dashSmallGap" w:sz="4" w:space="0" w:color="auto"/>
              <w:right w:val="nil"/>
            </w:tcBorders>
            <w:vAlign w:val="bottom"/>
          </w:tcPr>
          <w:p w:rsidR="00A23B92" w:rsidRPr="003D1D18" w:rsidRDefault="00A23B92" w:rsidP="00A23B92">
            <w:pPr>
              <w:spacing w:before="60"/>
              <w:rPr>
                <w:rFonts w:ascii="Times New Roman" w:hAnsi="Times New Roman"/>
                <w:b/>
                <w:sz w:val="20"/>
              </w:rPr>
            </w:pPr>
            <w:r w:rsidRPr="003D1D18">
              <w:rPr>
                <w:rFonts w:ascii="Times New Roman" w:hAnsi="Times New Roman"/>
                <w:b/>
                <w:sz w:val="20"/>
              </w:rPr>
              <w:t>NEOADJUVANT THERAPY</w:t>
            </w:r>
          </w:p>
        </w:tc>
        <w:tc>
          <w:tcPr>
            <w:tcW w:w="3656" w:type="dxa"/>
            <w:tcBorders>
              <w:top w:val="dashSmallGap" w:sz="4" w:space="0" w:color="auto"/>
              <w:left w:val="nil"/>
              <w:bottom w:val="dashSmallGap" w:sz="4" w:space="0" w:color="auto"/>
              <w:right w:val="nil"/>
            </w:tcBorders>
          </w:tcPr>
          <w:p w:rsidR="00A23B92" w:rsidRPr="006F67C8" w:rsidRDefault="00A23B92" w:rsidP="00A23B92">
            <w:pPr>
              <w:spacing w:before="60"/>
              <w:jc w:val="center"/>
              <w:rPr>
                <w:rFonts w:ascii="Times New Roman" w:hAnsi="Times New Roman"/>
                <w:sz w:val="20"/>
              </w:rPr>
            </w:pPr>
          </w:p>
        </w:tc>
      </w:tr>
      <w:tr w:rsidR="00A23B92" w:rsidRPr="006F67C8">
        <w:trPr>
          <w:jc w:val="center"/>
        </w:trPr>
        <w:tc>
          <w:tcPr>
            <w:tcW w:w="5650" w:type="dxa"/>
            <w:tcBorders>
              <w:top w:val="dashSmallGap" w:sz="4" w:space="0" w:color="auto"/>
              <w:bottom w:val="nil"/>
            </w:tcBorders>
            <w:vAlign w:val="bottom"/>
          </w:tcPr>
          <w:p w:rsidR="00A23B92" w:rsidRPr="0040393C" w:rsidRDefault="00A23B92" w:rsidP="00A23B92">
            <w:pPr>
              <w:spacing w:before="60"/>
              <w:rPr>
                <w:rFonts w:ascii="Times New Roman" w:hAnsi="Times New Roman"/>
                <w:b/>
                <w:sz w:val="20"/>
              </w:rPr>
            </w:pPr>
            <w:r>
              <w:rPr>
                <w:rFonts w:ascii="Times New Roman" w:hAnsi="Times New Roman"/>
                <w:b/>
                <w:sz w:val="20"/>
              </w:rPr>
              <w:t>Received neoadjuvant therapy, n (%)</w:t>
            </w:r>
            <w:r w:rsidRPr="0040393C">
              <w:rPr>
                <w:rFonts w:ascii="Times New Roman" w:hAnsi="Times New Roman"/>
                <w:b/>
                <w:sz w:val="20"/>
              </w:rPr>
              <w:t xml:space="preserve"> </w:t>
            </w:r>
          </w:p>
        </w:tc>
        <w:tc>
          <w:tcPr>
            <w:tcW w:w="3656" w:type="dxa"/>
            <w:tcBorders>
              <w:top w:val="dashSmallGap" w:sz="4" w:space="0" w:color="auto"/>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355 (57·1)</w:t>
            </w:r>
          </w:p>
        </w:tc>
      </w:tr>
      <w:tr w:rsidR="00A23B92" w:rsidRPr="006F67C8">
        <w:trPr>
          <w:jc w:val="center"/>
        </w:trPr>
        <w:tc>
          <w:tcPr>
            <w:tcW w:w="5650" w:type="dxa"/>
            <w:tcBorders>
              <w:top w:val="nil"/>
              <w:bottom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Short course radiotherapy</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56 (15·8)</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Long course chemoradiotherapy</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255 (71·8)</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Long course radiotherapy alone</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27 (7·6)</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Chemotherapy alone</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48(13·5)</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Contact radiotherapy</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1 (0·3)</w:t>
            </w:r>
          </w:p>
        </w:tc>
      </w:tr>
      <w:tr w:rsidR="00A23B92" w:rsidRPr="006F67C8">
        <w:trPr>
          <w:jc w:val="center"/>
        </w:trPr>
        <w:tc>
          <w:tcPr>
            <w:tcW w:w="5650" w:type="dxa"/>
            <w:tcBorders>
              <w:top w:val="nil"/>
              <w:bottom w:val="nil"/>
            </w:tcBorders>
            <w:vAlign w:val="bottom"/>
          </w:tcPr>
          <w:p w:rsidR="00A23B92" w:rsidRPr="0040393C" w:rsidRDefault="00A23B92" w:rsidP="00A23B92">
            <w:pPr>
              <w:spacing w:before="60"/>
              <w:rPr>
                <w:rFonts w:ascii="Times New Roman" w:hAnsi="Times New Roman"/>
                <w:b/>
                <w:sz w:val="20"/>
              </w:rPr>
            </w:pPr>
            <w:r>
              <w:rPr>
                <w:rFonts w:ascii="Times New Roman" w:hAnsi="Times New Roman"/>
                <w:b/>
                <w:sz w:val="20"/>
              </w:rPr>
              <w:t>TRG response post neoadjuvant therapy, n (%)</w:t>
            </w:r>
            <w:r w:rsidRPr="0040393C">
              <w:rPr>
                <w:rFonts w:ascii="Times New Roman" w:hAnsi="Times New Roman"/>
                <w:b/>
                <w:sz w:val="20"/>
              </w:rPr>
              <w:t xml:space="preserve"> </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p>
        </w:tc>
      </w:tr>
      <w:tr w:rsidR="00A23B92" w:rsidRPr="006F67C8">
        <w:trPr>
          <w:jc w:val="center"/>
        </w:trPr>
        <w:tc>
          <w:tcPr>
            <w:tcW w:w="5650" w:type="dxa"/>
            <w:tcBorders>
              <w:top w:val="nil"/>
              <w:bottom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mTRG 1 &amp; 2 (No or small residual tumour)</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136 (38·3)</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mTRG 3 (Mixed fibrosis and tumour)</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103 (29·0)</w:t>
            </w:r>
          </w:p>
        </w:tc>
      </w:tr>
      <w:tr w:rsidR="00A23B92" w:rsidRPr="006F67C8">
        <w:trPr>
          <w:jc w:val="center"/>
        </w:trPr>
        <w:tc>
          <w:tcPr>
            <w:tcW w:w="5650" w:type="dxa"/>
            <w:tcBorders>
              <w:top w:val="nil"/>
              <w:left w:val="nil"/>
              <w:bottom w:val="single" w:sz="18" w:space="0" w:color="auto"/>
              <w:right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mTRG 4 &amp; 5 (Mainly or only tumour)</w:t>
            </w:r>
          </w:p>
        </w:tc>
        <w:tc>
          <w:tcPr>
            <w:tcW w:w="3656" w:type="dxa"/>
            <w:tcBorders>
              <w:top w:val="nil"/>
              <w:left w:val="nil"/>
              <w:bottom w:val="single" w:sz="18" w:space="0" w:color="auto"/>
              <w:right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116 (32·7)</w:t>
            </w:r>
          </w:p>
        </w:tc>
      </w:tr>
    </w:tbl>
    <w:p w:rsidR="00A23B92" w:rsidRPr="006F67C8" w:rsidRDefault="00A23B92" w:rsidP="00A23B92">
      <w:pPr>
        <w:jc w:val="both"/>
        <w:rPr>
          <w:rFonts w:ascii="Times New Roman" w:hAnsi="Times New Roman"/>
          <w:sz w:val="20"/>
          <w:lang w:val="en-GB"/>
        </w:rPr>
      </w:pPr>
      <w:r w:rsidRPr="006F67C8">
        <w:rPr>
          <w:rFonts w:ascii="Times New Roman" w:hAnsi="Times New Roman"/>
          <w:sz w:val="20"/>
          <w:lang w:val="en-GB"/>
        </w:rPr>
        <w:t>MRI: Magnetic Resonance Imaging. CRM: Circumferential Resection Margin. N+: Positive nodal status (N1 or N2). TRG: Tumour regression grading on MRI</w:t>
      </w:r>
    </w:p>
    <w:p w:rsidR="00A23B92" w:rsidRDefault="00A23B92" w:rsidP="00A23B92">
      <w:pPr>
        <w:spacing w:line="480" w:lineRule="auto"/>
        <w:jc w:val="both"/>
        <w:rPr>
          <w:rFonts w:ascii="Times New Roman" w:hAnsi="Times New Roman"/>
          <w:sz w:val="20"/>
          <w:lang w:val="en-GB"/>
        </w:rPr>
      </w:pPr>
    </w:p>
    <w:p w:rsidR="00A23B92" w:rsidRDefault="00A23B92" w:rsidP="00A23B92">
      <w:pPr>
        <w:spacing w:line="480" w:lineRule="auto"/>
        <w:jc w:val="both"/>
        <w:rPr>
          <w:rFonts w:ascii="Times New Roman" w:hAnsi="Times New Roman"/>
          <w:sz w:val="20"/>
          <w:lang w:val="en-GB"/>
        </w:rPr>
      </w:pPr>
    </w:p>
    <w:p w:rsidR="00A23B92" w:rsidRDefault="00A23B92" w:rsidP="00A23B92">
      <w:pPr>
        <w:spacing w:line="480" w:lineRule="auto"/>
        <w:jc w:val="both"/>
        <w:rPr>
          <w:rFonts w:ascii="Times New Roman" w:hAnsi="Times New Roman"/>
          <w:b/>
          <w:sz w:val="20"/>
          <w:lang w:val="en-GB"/>
        </w:rPr>
      </w:pPr>
    </w:p>
    <w:p w:rsidR="00A23B92" w:rsidRDefault="00A23B92" w:rsidP="00A23B92">
      <w:pPr>
        <w:spacing w:line="480" w:lineRule="auto"/>
        <w:jc w:val="both"/>
        <w:rPr>
          <w:rFonts w:ascii="Times New Roman" w:hAnsi="Times New Roman"/>
          <w:b/>
          <w:sz w:val="20"/>
          <w:lang w:val="en-GB"/>
        </w:rPr>
      </w:pPr>
    </w:p>
    <w:p w:rsidR="00A23B92" w:rsidRDefault="00A23B92" w:rsidP="00A23B92">
      <w:pPr>
        <w:spacing w:line="480" w:lineRule="auto"/>
        <w:jc w:val="both"/>
        <w:rPr>
          <w:rFonts w:ascii="Times New Roman" w:hAnsi="Times New Roman"/>
          <w:b/>
          <w:sz w:val="20"/>
          <w:lang w:val="en-GB"/>
        </w:rPr>
      </w:pPr>
    </w:p>
    <w:p w:rsidR="00A23B92" w:rsidRDefault="00A23B92" w:rsidP="00A23B92">
      <w:pPr>
        <w:spacing w:line="480" w:lineRule="auto"/>
        <w:jc w:val="both"/>
        <w:rPr>
          <w:rFonts w:ascii="Times New Roman" w:hAnsi="Times New Roman"/>
          <w:b/>
          <w:sz w:val="20"/>
          <w:lang w:val="en-GB"/>
        </w:rPr>
      </w:pPr>
    </w:p>
    <w:p w:rsidR="00A23B92" w:rsidRDefault="00A23B92" w:rsidP="00A23B92">
      <w:pPr>
        <w:spacing w:line="480" w:lineRule="auto"/>
        <w:jc w:val="both"/>
        <w:rPr>
          <w:rFonts w:ascii="Times New Roman" w:hAnsi="Times New Roman"/>
          <w:b/>
          <w:sz w:val="20"/>
          <w:lang w:val="en-GB"/>
        </w:rPr>
      </w:pPr>
    </w:p>
    <w:p w:rsidR="00A23B92" w:rsidRDefault="00A23B92" w:rsidP="00A23B92">
      <w:pPr>
        <w:spacing w:line="480" w:lineRule="auto"/>
        <w:jc w:val="both"/>
        <w:rPr>
          <w:rFonts w:ascii="Times New Roman" w:hAnsi="Times New Roman"/>
          <w:b/>
          <w:sz w:val="20"/>
          <w:lang w:val="en-GB"/>
        </w:rPr>
      </w:pPr>
    </w:p>
    <w:p w:rsidR="00F547A1" w:rsidRDefault="00F547A1" w:rsidP="00A23B92">
      <w:pPr>
        <w:spacing w:line="480" w:lineRule="auto"/>
        <w:jc w:val="both"/>
        <w:rPr>
          <w:rFonts w:ascii="Times New Roman" w:hAnsi="Times New Roman"/>
          <w:b/>
          <w:sz w:val="20"/>
          <w:lang w:val="en-GB"/>
        </w:rPr>
      </w:pPr>
    </w:p>
    <w:p w:rsidR="00A23B92" w:rsidRDefault="00A23B92" w:rsidP="00A23B92">
      <w:pPr>
        <w:spacing w:line="480" w:lineRule="auto"/>
        <w:jc w:val="both"/>
        <w:rPr>
          <w:rFonts w:ascii="Times New Roman" w:hAnsi="Times New Roman"/>
          <w:sz w:val="20"/>
          <w:lang w:val="en-GB"/>
        </w:rPr>
      </w:pPr>
      <w:r w:rsidRPr="006F67C8">
        <w:rPr>
          <w:rFonts w:ascii="Times New Roman" w:hAnsi="Times New Roman"/>
          <w:b/>
          <w:sz w:val="20"/>
          <w:lang w:val="en-GB"/>
        </w:rPr>
        <w:t xml:space="preserve">Table 3: </w:t>
      </w:r>
      <w:r w:rsidRPr="006F67C8">
        <w:rPr>
          <w:rFonts w:ascii="Times New Roman" w:hAnsi="Times New Roman"/>
          <w:sz w:val="20"/>
          <w:lang w:val="en-GB"/>
        </w:rPr>
        <w:t xml:space="preserve">Operative details.  </w:t>
      </w:r>
    </w:p>
    <w:tbl>
      <w:tblPr>
        <w:tblW w:w="9306" w:type="dxa"/>
        <w:jc w:val="center"/>
        <w:tblBorders>
          <w:top w:val="single" w:sz="12" w:space="0" w:color="008000"/>
          <w:left w:val="nil"/>
          <w:bottom w:val="single" w:sz="12" w:space="0" w:color="008000"/>
          <w:right w:val="nil"/>
          <w:insideH w:val="nil"/>
          <w:insideV w:val="nil"/>
        </w:tblBorders>
        <w:tblLayout w:type="fixed"/>
        <w:tblLook w:val="00A0"/>
      </w:tblPr>
      <w:tblGrid>
        <w:gridCol w:w="5650"/>
        <w:gridCol w:w="3656"/>
      </w:tblGrid>
      <w:tr w:rsidR="00A23B92" w:rsidRPr="00B22710">
        <w:trPr>
          <w:jc w:val="center"/>
        </w:trPr>
        <w:tc>
          <w:tcPr>
            <w:tcW w:w="5650" w:type="dxa"/>
            <w:tcBorders>
              <w:top w:val="single" w:sz="18" w:space="0" w:color="auto"/>
              <w:left w:val="nil"/>
              <w:bottom w:val="single" w:sz="18" w:space="0" w:color="auto"/>
              <w:right w:val="nil"/>
            </w:tcBorders>
            <w:vAlign w:val="center"/>
          </w:tcPr>
          <w:p w:rsidR="00A23B92" w:rsidRPr="006F67C8" w:rsidRDefault="00A23B92">
            <w:pPr>
              <w:spacing w:before="60"/>
              <w:rPr>
                <w:rFonts w:ascii="Times New Roman" w:hAnsi="Times New Roman"/>
                <w:b/>
                <w:sz w:val="20"/>
              </w:rPr>
            </w:pPr>
            <w:r>
              <w:rPr>
                <w:rFonts w:ascii="Times New Roman" w:hAnsi="Times New Roman"/>
                <w:b/>
                <w:sz w:val="20"/>
              </w:rPr>
              <w:t>OPERATIVE CHARACTERISITC</w:t>
            </w:r>
          </w:p>
          <w:p w:rsidR="00A23B92" w:rsidRPr="006F67C8" w:rsidRDefault="00A23B92">
            <w:pPr>
              <w:spacing w:before="60"/>
              <w:rPr>
                <w:rFonts w:ascii="Times New Roman" w:hAnsi="Times New Roman"/>
                <w:sz w:val="20"/>
              </w:rPr>
            </w:pPr>
            <w:r w:rsidRPr="006F67C8">
              <w:rPr>
                <w:rFonts w:ascii="Times New Roman" w:hAnsi="Times New Roman"/>
                <w:sz w:val="20"/>
              </w:rPr>
              <w:t>Factor</w:t>
            </w:r>
          </w:p>
          <w:p w:rsidR="00A23B92" w:rsidRPr="00B22710" w:rsidRDefault="00A23B92" w:rsidP="00A23B92">
            <w:pPr>
              <w:numPr>
                <w:ilvl w:val="0"/>
                <w:numId w:val="25"/>
              </w:numPr>
              <w:tabs>
                <w:tab w:val="clear" w:pos="720"/>
                <w:tab w:val="num" w:pos="252"/>
              </w:tabs>
              <w:spacing w:before="60"/>
              <w:ind w:hanging="720"/>
              <w:rPr>
                <w:rFonts w:ascii="Times New Roman" w:hAnsi="Times New Roman"/>
                <w:sz w:val="20"/>
              </w:rPr>
            </w:pPr>
            <w:r w:rsidRPr="006F67C8">
              <w:rPr>
                <w:rFonts w:ascii="Times New Roman" w:hAnsi="Times New Roman"/>
                <w:sz w:val="20"/>
              </w:rPr>
              <w:t>Category</w:t>
            </w:r>
          </w:p>
        </w:tc>
        <w:tc>
          <w:tcPr>
            <w:tcW w:w="3656" w:type="dxa"/>
            <w:tcBorders>
              <w:top w:val="single" w:sz="18" w:space="0" w:color="auto"/>
              <w:left w:val="nil"/>
              <w:bottom w:val="single" w:sz="18" w:space="0" w:color="auto"/>
              <w:right w:val="nil"/>
            </w:tcBorders>
          </w:tcPr>
          <w:p w:rsidR="00A23B92" w:rsidRPr="00B22710" w:rsidRDefault="00A23B92" w:rsidP="00A23B92">
            <w:pPr>
              <w:spacing w:before="60"/>
              <w:jc w:val="center"/>
              <w:rPr>
                <w:rFonts w:ascii="Times New Roman" w:hAnsi="Times New Roman"/>
                <w:sz w:val="20"/>
              </w:rPr>
            </w:pPr>
            <w:r w:rsidRPr="006F67C8">
              <w:rPr>
                <w:rFonts w:ascii="Times New Roman" w:hAnsi="Times New Roman"/>
                <w:sz w:val="20"/>
              </w:rPr>
              <w:t xml:space="preserve"> </w:t>
            </w:r>
            <w:r w:rsidRPr="006F67C8">
              <w:rPr>
                <w:rFonts w:ascii="Times New Roman" w:eastAsia="MS Gothic" w:hAnsi="Times New Roman"/>
                <w:b/>
                <w:bCs/>
                <w:sz w:val="20"/>
                <w:szCs w:val="22"/>
              </w:rPr>
              <w:t>TaTME registry data results</w:t>
            </w:r>
          </w:p>
          <w:p w:rsidR="00A23B92" w:rsidRPr="00B22710" w:rsidRDefault="00A23B92" w:rsidP="00A23B92">
            <w:pPr>
              <w:spacing w:before="60"/>
              <w:jc w:val="center"/>
              <w:rPr>
                <w:rFonts w:ascii="Times New Roman" w:hAnsi="Times New Roman"/>
                <w:sz w:val="20"/>
              </w:rPr>
            </w:pPr>
            <w:r>
              <w:rPr>
                <w:rFonts w:ascii="Times New Roman" w:eastAsia="MS Gothic" w:hAnsi="Times New Roman"/>
                <w:bCs/>
                <w:sz w:val="20"/>
                <w:szCs w:val="22"/>
              </w:rPr>
              <w:t>n (%)</w:t>
            </w:r>
          </w:p>
        </w:tc>
      </w:tr>
      <w:tr w:rsidR="00A23B92" w:rsidRPr="0040393C">
        <w:trPr>
          <w:jc w:val="center"/>
        </w:trPr>
        <w:tc>
          <w:tcPr>
            <w:tcW w:w="5650" w:type="dxa"/>
            <w:tcBorders>
              <w:top w:val="single" w:sz="18" w:space="0" w:color="auto"/>
              <w:left w:val="nil"/>
              <w:bottom w:val="nil"/>
              <w:right w:val="nil"/>
            </w:tcBorders>
            <w:vAlign w:val="bottom"/>
          </w:tcPr>
          <w:p w:rsidR="00A23B92" w:rsidRPr="0040393C" w:rsidRDefault="00A23B92" w:rsidP="00A23B92">
            <w:pPr>
              <w:spacing w:before="60"/>
              <w:rPr>
                <w:rFonts w:ascii="Times New Roman" w:hAnsi="Times New Roman"/>
                <w:b/>
                <w:sz w:val="20"/>
              </w:rPr>
            </w:pPr>
            <w:r>
              <w:rPr>
                <w:rFonts w:ascii="Times New Roman" w:hAnsi="Times New Roman"/>
                <w:b/>
                <w:sz w:val="20"/>
              </w:rPr>
              <w:t>Total number of cases</w:t>
            </w:r>
            <w:r w:rsidRPr="0040393C">
              <w:rPr>
                <w:rFonts w:ascii="Times New Roman" w:hAnsi="Times New Roman"/>
                <w:b/>
                <w:sz w:val="20"/>
              </w:rPr>
              <w:t xml:space="preserve"> </w:t>
            </w:r>
          </w:p>
        </w:tc>
        <w:tc>
          <w:tcPr>
            <w:tcW w:w="3656" w:type="dxa"/>
            <w:tcBorders>
              <w:top w:val="single" w:sz="18" w:space="0" w:color="auto"/>
              <w:left w:val="nil"/>
              <w:bottom w:val="nil"/>
              <w:right w:val="nil"/>
            </w:tcBorders>
          </w:tcPr>
          <w:p w:rsidR="00A23B92" w:rsidRPr="0040393C" w:rsidRDefault="00A23B92" w:rsidP="00A23B92">
            <w:pPr>
              <w:spacing w:before="60"/>
              <w:jc w:val="center"/>
              <w:rPr>
                <w:rFonts w:ascii="Times New Roman" w:hAnsi="Times New Roman"/>
                <w:sz w:val="20"/>
              </w:rPr>
            </w:pPr>
            <w:r>
              <w:rPr>
                <w:rFonts w:ascii="Times New Roman" w:hAnsi="Times New Roman"/>
                <w:sz w:val="20"/>
              </w:rPr>
              <w:t>720</w:t>
            </w:r>
          </w:p>
        </w:tc>
      </w:tr>
      <w:tr w:rsidR="00A23B92" w:rsidRPr="006F67C8">
        <w:trPr>
          <w:jc w:val="center"/>
        </w:trPr>
        <w:tc>
          <w:tcPr>
            <w:tcW w:w="5650" w:type="dxa"/>
            <w:tcBorders>
              <w:top w:val="nil"/>
              <w:left w:val="nil"/>
              <w:bottom w:val="nil"/>
              <w:right w:val="nil"/>
            </w:tcBorders>
            <w:vAlign w:val="bottom"/>
          </w:tcPr>
          <w:p w:rsidR="00A23B92" w:rsidRPr="006F67C8" w:rsidRDefault="00A23B92">
            <w:pPr>
              <w:spacing w:before="60"/>
              <w:rPr>
                <w:rFonts w:ascii="Times New Roman" w:eastAsia="MS Gothic" w:hAnsi="Times New Roman"/>
                <w:b/>
                <w:bCs/>
                <w:sz w:val="20"/>
                <w:szCs w:val="22"/>
              </w:rPr>
            </w:pPr>
            <w:r>
              <w:rPr>
                <w:rFonts w:ascii="Times New Roman" w:eastAsia="MS Gothic" w:hAnsi="Times New Roman"/>
                <w:b/>
                <w:bCs/>
                <w:sz w:val="20"/>
                <w:szCs w:val="22"/>
              </w:rPr>
              <w:t>Indication</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p>
        </w:tc>
      </w:tr>
      <w:tr w:rsidR="00A23B92" w:rsidRPr="006F67C8">
        <w:trPr>
          <w:jc w:val="center"/>
        </w:trPr>
        <w:tc>
          <w:tcPr>
            <w:tcW w:w="5650" w:type="dxa"/>
            <w:tcBorders>
              <w:top w:val="nil"/>
              <w:left w:val="nil"/>
              <w:bottom w:val="nil"/>
              <w:right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Benign</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86 (11·9)</w:t>
            </w:r>
          </w:p>
        </w:tc>
      </w:tr>
      <w:tr w:rsidR="00A23B92" w:rsidRPr="006F67C8">
        <w:trPr>
          <w:jc w:val="center"/>
        </w:trPr>
        <w:tc>
          <w:tcPr>
            <w:tcW w:w="5650" w:type="dxa"/>
            <w:tcBorders>
              <w:top w:val="nil"/>
              <w:left w:val="nil"/>
              <w:bottom w:val="nil"/>
              <w:right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Cancer</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634 (88·1)</w:t>
            </w:r>
          </w:p>
        </w:tc>
      </w:tr>
      <w:tr w:rsidR="00A23B92">
        <w:trPr>
          <w:jc w:val="center"/>
        </w:trPr>
        <w:tc>
          <w:tcPr>
            <w:tcW w:w="5650" w:type="dxa"/>
            <w:tcBorders>
              <w:top w:val="nil"/>
              <w:left w:val="nil"/>
              <w:bottom w:val="nil"/>
              <w:right w:val="nil"/>
            </w:tcBorders>
            <w:vAlign w:val="bottom"/>
          </w:tcPr>
          <w:p w:rsidR="00A23B92" w:rsidRDefault="00A23B92" w:rsidP="00A23B92">
            <w:pPr>
              <w:spacing w:before="60"/>
              <w:rPr>
                <w:rFonts w:ascii="Times New Roman" w:hAnsi="Times New Roman"/>
                <w:b/>
                <w:sz w:val="20"/>
              </w:rPr>
            </w:pPr>
            <w:r>
              <w:rPr>
                <w:rFonts w:ascii="Times New Roman" w:hAnsi="Times New Roman"/>
                <w:b/>
                <w:sz w:val="20"/>
              </w:rPr>
              <w:t>Operations performed</w:t>
            </w:r>
          </w:p>
          <w:p w:rsidR="00A23B92" w:rsidRPr="0040393C" w:rsidRDefault="00A23B92" w:rsidP="00A23B92">
            <w:pPr>
              <w:spacing w:before="60"/>
              <w:rPr>
                <w:rFonts w:ascii="Times New Roman" w:hAnsi="Times New Roman"/>
                <w:b/>
                <w:sz w:val="20"/>
              </w:rPr>
            </w:pPr>
            <w:r>
              <w:rPr>
                <w:rFonts w:ascii="Times New Roman" w:hAnsi="Times New Roman"/>
                <w:b/>
                <w:sz w:val="20"/>
              </w:rPr>
              <w:t>Cancer cases:</w:t>
            </w:r>
            <w:r w:rsidRPr="0040393C">
              <w:rPr>
                <w:rFonts w:ascii="Times New Roman" w:hAnsi="Times New Roman"/>
                <w:b/>
                <w:sz w:val="20"/>
              </w:rPr>
              <w:t xml:space="preserve"> </w:t>
            </w:r>
          </w:p>
        </w:tc>
        <w:tc>
          <w:tcPr>
            <w:tcW w:w="3656" w:type="dxa"/>
            <w:tcBorders>
              <w:top w:val="nil"/>
              <w:left w:val="nil"/>
              <w:bottom w:val="nil"/>
              <w:right w:val="nil"/>
            </w:tcBorders>
          </w:tcPr>
          <w:p w:rsidR="00A23B92" w:rsidRDefault="00A23B92" w:rsidP="00A23B92">
            <w:pPr>
              <w:spacing w:before="60"/>
              <w:jc w:val="center"/>
              <w:rPr>
                <w:rFonts w:ascii="Times New Roman" w:hAnsi="Times New Roman"/>
                <w:sz w:val="20"/>
              </w:rPr>
            </w:pPr>
          </w:p>
        </w:tc>
      </w:tr>
      <w:tr w:rsidR="00A23B92" w:rsidRPr="006F67C8">
        <w:trPr>
          <w:jc w:val="center"/>
        </w:trPr>
        <w:tc>
          <w:tcPr>
            <w:tcW w:w="5650" w:type="dxa"/>
            <w:tcBorders>
              <w:top w:val="nil"/>
              <w:left w:val="nil"/>
              <w:bottom w:val="nil"/>
              <w:right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High anterior resection</w:t>
            </w:r>
          </w:p>
        </w:tc>
        <w:tc>
          <w:tcPr>
            <w:tcW w:w="3656" w:type="dxa"/>
            <w:tcBorders>
              <w:top w:val="nil"/>
              <w:left w:val="nil"/>
              <w:bottom w:val="nil"/>
              <w:right w:val="nil"/>
            </w:tcBorders>
          </w:tcPr>
          <w:p w:rsidR="00A23B92" w:rsidRPr="006F67C8" w:rsidRDefault="003A34F0" w:rsidP="00A23B92">
            <w:pPr>
              <w:spacing w:before="60"/>
              <w:jc w:val="center"/>
              <w:rPr>
                <w:rFonts w:ascii="Times New Roman" w:hAnsi="Times New Roman"/>
                <w:sz w:val="20"/>
              </w:rPr>
            </w:pPr>
            <w:r>
              <w:rPr>
                <w:rFonts w:ascii="Times New Roman" w:hAnsi="Times New Roman"/>
                <w:sz w:val="20"/>
              </w:rPr>
              <w:t>30</w:t>
            </w:r>
            <w:r w:rsidR="00D44EF2">
              <w:rPr>
                <w:rFonts w:ascii="Times New Roman" w:hAnsi="Times New Roman"/>
                <w:sz w:val="20"/>
              </w:rPr>
              <w:t xml:space="preserve"> (4·8</w:t>
            </w:r>
            <w:r w:rsidR="00A23B92">
              <w:rPr>
                <w:rFonts w:ascii="Times New Roman" w:hAnsi="Times New Roman"/>
                <w:sz w:val="20"/>
              </w:rPr>
              <w:t>)</w:t>
            </w:r>
          </w:p>
        </w:tc>
      </w:tr>
      <w:tr w:rsidR="00A23B92" w:rsidRPr="006F67C8">
        <w:trPr>
          <w:jc w:val="center"/>
        </w:trPr>
        <w:tc>
          <w:tcPr>
            <w:tcW w:w="5650" w:type="dxa"/>
            <w:tcBorders>
              <w:top w:val="nil"/>
              <w:left w:val="nil"/>
              <w:bottom w:val="nil"/>
              <w:right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Low anterior resection</w:t>
            </w:r>
          </w:p>
        </w:tc>
        <w:tc>
          <w:tcPr>
            <w:tcW w:w="3656" w:type="dxa"/>
            <w:tcBorders>
              <w:top w:val="nil"/>
              <w:left w:val="nil"/>
              <w:bottom w:val="nil"/>
              <w:right w:val="nil"/>
            </w:tcBorders>
          </w:tcPr>
          <w:p w:rsidR="00A23B92" w:rsidRDefault="00D44EF2" w:rsidP="00A23B92">
            <w:pPr>
              <w:spacing w:before="60"/>
              <w:jc w:val="center"/>
              <w:rPr>
                <w:rFonts w:ascii="Times New Roman" w:hAnsi="Times New Roman"/>
                <w:sz w:val="20"/>
              </w:rPr>
            </w:pPr>
            <w:r>
              <w:rPr>
                <w:rFonts w:ascii="Times New Roman" w:hAnsi="Times New Roman"/>
                <w:sz w:val="20"/>
              </w:rPr>
              <w:t>537 (86·2</w:t>
            </w:r>
            <w:r w:rsidR="00A23B92">
              <w:rPr>
                <w:rFonts w:ascii="Times New Roman" w:hAnsi="Times New Roman"/>
                <w:sz w:val="20"/>
              </w:rPr>
              <w:t>)</w:t>
            </w:r>
          </w:p>
        </w:tc>
      </w:tr>
      <w:tr w:rsidR="00A23B92" w:rsidRPr="006F67C8">
        <w:trPr>
          <w:jc w:val="center"/>
        </w:trPr>
        <w:tc>
          <w:tcPr>
            <w:tcW w:w="5650" w:type="dxa"/>
            <w:tcBorders>
              <w:top w:val="nil"/>
              <w:left w:val="nil"/>
              <w:bottom w:val="nil"/>
              <w:right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Abdominoperineal excision</w:t>
            </w:r>
          </w:p>
        </w:tc>
        <w:tc>
          <w:tcPr>
            <w:tcW w:w="3656" w:type="dxa"/>
            <w:tcBorders>
              <w:top w:val="nil"/>
              <w:left w:val="nil"/>
              <w:bottom w:val="nil"/>
              <w:right w:val="nil"/>
            </w:tcBorders>
          </w:tcPr>
          <w:p w:rsidR="00A23B92" w:rsidRDefault="00D44EF2" w:rsidP="00A23B92">
            <w:pPr>
              <w:spacing w:before="60"/>
              <w:jc w:val="center"/>
              <w:rPr>
                <w:rFonts w:ascii="Times New Roman" w:hAnsi="Times New Roman"/>
                <w:sz w:val="20"/>
              </w:rPr>
            </w:pPr>
            <w:r>
              <w:rPr>
                <w:rFonts w:ascii="Times New Roman" w:hAnsi="Times New Roman"/>
                <w:sz w:val="20"/>
              </w:rPr>
              <w:t>14 (2·2</w:t>
            </w:r>
            <w:r w:rsidR="00A23B92">
              <w:rPr>
                <w:rFonts w:ascii="Times New Roman" w:hAnsi="Times New Roman"/>
                <w:sz w:val="20"/>
              </w:rPr>
              <w:t>)</w:t>
            </w:r>
          </w:p>
        </w:tc>
      </w:tr>
      <w:tr w:rsidR="00A23B92" w:rsidRPr="006F67C8">
        <w:trPr>
          <w:jc w:val="center"/>
        </w:trPr>
        <w:tc>
          <w:tcPr>
            <w:tcW w:w="5650" w:type="dxa"/>
            <w:tcBorders>
              <w:top w:val="nil"/>
              <w:bottom w:val="nil"/>
            </w:tcBorders>
            <w:vAlign w:val="bottom"/>
          </w:tcPr>
          <w:p w:rsidR="00F547A1" w:rsidRPr="00F547A1"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eastAsia="MS Gothic" w:hAnsi="Times New Roman" w:cs="Arial"/>
                <w:bCs/>
                <w:sz w:val="20"/>
                <w:szCs w:val="22"/>
              </w:rPr>
              <w:t>Intersphincteric APE</w:t>
            </w:r>
          </w:p>
          <w:p w:rsidR="00A23B92" w:rsidRPr="0040393C" w:rsidRDefault="00F547A1" w:rsidP="00A23B92">
            <w:pPr>
              <w:numPr>
                <w:ilvl w:val="0"/>
                <w:numId w:val="25"/>
              </w:numPr>
              <w:tabs>
                <w:tab w:val="clear" w:pos="720"/>
                <w:tab w:val="num" w:pos="252"/>
              </w:tabs>
              <w:spacing w:before="60"/>
              <w:ind w:hanging="720"/>
              <w:rPr>
                <w:rFonts w:ascii="Times New Roman" w:hAnsi="Times New Roman"/>
                <w:sz w:val="20"/>
              </w:rPr>
            </w:pPr>
            <w:r w:rsidRPr="00F547A1">
              <w:rPr>
                <w:rFonts w:ascii="Times New Roman" w:eastAsia="MS Gothic" w:hAnsi="Times New Roman" w:cs="Arial"/>
                <w:bCs/>
                <w:sz w:val="20"/>
                <w:szCs w:val="22"/>
                <w:highlight w:val="cyan"/>
              </w:rPr>
              <w:t>Missing</w:t>
            </w:r>
          </w:p>
        </w:tc>
        <w:tc>
          <w:tcPr>
            <w:tcW w:w="3656" w:type="dxa"/>
            <w:tcBorders>
              <w:top w:val="nil"/>
              <w:bottom w:val="nil"/>
            </w:tcBorders>
          </w:tcPr>
          <w:p w:rsidR="00F547A1" w:rsidRDefault="00D44EF2" w:rsidP="00A23B92">
            <w:pPr>
              <w:spacing w:before="60"/>
              <w:jc w:val="center"/>
              <w:rPr>
                <w:rFonts w:ascii="Times New Roman" w:hAnsi="Times New Roman"/>
                <w:sz w:val="20"/>
              </w:rPr>
            </w:pPr>
            <w:r>
              <w:rPr>
                <w:rFonts w:ascii="Times New Roman" w:hAnsi="Times New Roman"/>
                <w:sz w:val="20"/>
              </w:rPr>
              <w:t>42</w:t>
            </w:r>
            <w:r w:rsidR="000E0BF2">
              <w:rPr>
                <w:rFonts w:ascii="Times New Roman" w:hAnsi="Times New Roman"/>
                <w:sz w:val="20"/>
              </w:rPr>
              <w:t xml:space="preserve"> (6·8</w:t>
            </w:r>
            <w:r w:rsidR="00A23B92">
              <w:rPr>
                <w:rFonts w:ascii="Times New Roman" w:hAnsi="Times New Roman"/>
                <w:sz w:val="20"/>
              </w:rPr>
              <w:t>)</w:t>
            </w:r>
          </w:p>
          <w:p w:rsidR="00A23B92" w:rsidRPr="006F67C8" w:rsidRDefault="00F547A1" w:rsidP="00A23B92">
            <w:pPr>
              <w:spacing w:before="60"/>
              <w:jc w:val="center"/>
              <w:rPr>
                <w:rFonts w:ascii="Times New Roman" w:hAnsi="Times New Roman"/>
                <w:sz w:val="20"/>
              </w:rPr>
            </w:pPr>
            <w:r w:rsidRPr="00F547A1">
              <w:rPr>
                <w:rFonts w:ascii="Times New Roman" w:hAnsi="Times New Roman"/>
                <w:sz w:val="20"/>
                <w:highlight w:val="cyan"/>
              </w:rPr>
              <w:t>11 (1.7)</w:t>
            </w:r>
          </w:p>
        </w:tc>
      </w:tr>
      <w:tr w:rsidR="00A23B92" w:rsidRPr="006F67C8">
        <w:trPr>
          <w:jc w:val="center"/>
        </w:trPr>
        <w:tc>
          <w:tcPr>
            <w:tcW w:w="5650" w:type="dxa"/>
            <w:tcBorders>
              <w:top w:val="nil"/>
              <w:bottom w:val="nil"/>
            </w:tcBorders>
            <w:vAlign w:val="bottom"/>
          </w:tcPr>
          <w:p w:rsidR="00A23B92" w:rsidRPr="0040393C" w:rsidRDefault="00A23B92" w:rsidP="00A23B92">
            <w:pPr>
              <w:spacing w:before="60"/>
              <w:rPr>
                <w:rFonts w:ascii="Times New Roman" w:hAnsi="Times New Roman"/>
                <w:b/>
                <w:sz w:val="20"/>
              </w:rPr>
            </w:pPr>
            <w:r>
              <w:rPr>
                <w:rFonts w:ascii="Times New Roman" w:hAnsi="Times New Roman"/>
                <w:b/>
                <w:sz w:val="20"/>
              </w:rPr>
              <w:t>Benign cases:</w:t>
            </w:r>
            <w:r w:rsidRPr="0040393C">
              <w:rPr>
                <w:rFonts w:ascii="Times New Roman" w:hAnsi="Times New Roman"/>
                <w:b/>
                <w:sz w:val="20"/>
              </w:rPr>
              <w:t xml:space="preserve"> </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p>
        </w:tc>
      </w:tr>
      <w:tr w:rsidR="00A23B92" w:rsidRPr="006F67C8">
        <w:trPr>
          <w:jc w:val="center"/>
        </w:trPr>
        <w:tc>
          <w:tcPr>
            <w:tcW w:w="5650" w:type="dxa"/>
            <w:tcBorders>
              <w:top w:val="nil"/>
              <w:bottom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Low anterior resection</w:t>
            </w:r>
          </w:p>
        </w:tc>
        <w:tc>
          <w:tcPr>
            <w:tcW w:w="3656" w:type="dxa"/>
            <w:tcBorders>
              <w:top w:val="nil"/>
              <w:bottom w:val="nil"/>
            </w:tcBorders>
          </w:tcPr>
          <w:p w:rsidR="00A23B92" w:rsidRPr="006F67C8" w:rsidRDefault="00961043" w:rsidP="00A23B92">
            <w:pPr>
              <w:spacing w:before="60"/>
              <w:jc w:val="center"/>
              <w:rPr>
                <w:rFonts w:ascii="Times New Roman" w:hAnsi="Times New Roman"/>
                <w:sz w:val="20"/>
              </w:rPr>
            </w:pPr>
            <w:r>
              <w:rPr>
                <w:rFonts w:ascii="Times New Roman" w:hAnsi="Times New Roman"/>
                <w:sz w:val="20"/>
              </w:rPr>
              <w:t>3 (3·7</w:t>
            </w:r>
            <w:r w:rsidR="00A23B92">
              <w:rPr>
                <w:rFonts w:ascii="Times New Roman" w:hAnsi="Times New Roman"/>
                <w:sz w:val="20"/>
              </w:rPr>
              <w:t>)</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Standard APE</w:t>
            </w:r>
          </w:p>
        </w:tc>
        <w:tc>
          <w:tcPr>
            <w:tcW w:w="3656" w:type="dxa"/>
            <w:tcBorders>
              <w:top w:val="nil"/>
              <w:bottom w:val="nil"/>
            </w:tcBorders>
          </w:tcPr>
          <w:p w:rsidR="00A23B92" w:rsidRDefault="00961043" w:rsidP="00A23B92">
            <w:pPr>
              <w:spacing w:before="60"/>
              <w:jc w:val="center"/>
              <w:rPr>
                <w:rFonts w:ascii="Times New Roman" w:hAnsi="Times New Roman"/>
                <w:sz w:val="20"/>
              </w:rPr>
            </w:pPr>
            <w:r>
              <w:rPr>
                <w:rFonts w:ascii="Times New Roman" w:hAnsi="Times New Roman"/>
                <w:sz w:val="20"/>
              </w:rPr>
              <w:t>4 (4·9</w:t>
            </w:r>
            <w:r w:rsidR="00A23B92">
              <w:rPr>
                <w:rFonts w:ascii="Times New Roman" w:hAnsi="Times New Roman"/>
                <w:sz w:val="20"/>
              </w:rPr>
              <w:t>)</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Intersphincteric APE</w:t>
            </w:r>
          </w:p>
        </w:tc>
        <w:tc>
          <w:tcPr>
            <w:tcW w:w="3656" w:type="dxa"/>
            <w:tcBorders>
              <w:top w:val="nil"/>
              <w:bottom w:val="nil"/>
            </w:tcBorders>
          </w:tcPr>
          <w:p w:rsidR="00A23B92" w:rsidRDefault="00A23B92" w:rsidP="00A23B92">
            <w:pPr>
              <w:spacing w:before="60"/>
              <w:jc w:val="center"/>
              <w:rPr>
                <w:rFonts w:ascii="Times New Roman" w:hAnsi="Times New Roman"/>
                <w:sz w:val="20"/>
              </w:rPr>
            </w:pPr>
            <w:r>
              <w:rPr>
                <w:rFonts w:ascii="Times New Roman" w:hAnsi="Times New Roman"/>
                <w:sz w:val="20"/>
              </w:rPr>
              <w:t>48 (58·5)</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Proctectomy (close rectal) + IPAA</w:t>
            </w:r>
          </w:p>
        </w:tc>
        <w:tc>
          <w:tcPr>
            <w:tcW w:w="3656" w:type="dxa"/>
            <w:tcBorders>
              <w:top w:val="nil"/>
              <w:bottom w:val="nil"/>
            </w:tcBorders>
          </w:tcPr>
          <w:p w:rsidR="00A23B92" w:rsidRDefault="00A23B92" w:rsidP="00A23B92">
            <w:pPr>
              <w:spacing w:before="60"/>
              <w:jc w:val="center"/>
              <w:rPr>
                <w:rFonts w:ascii="Times New Roman" w:hAnsi="Times New Roman"/>
                <w:sz w:val="20"/>
              </w:rPr>
            </w:pPr>
            <w:r>
              <w:rPr>
                <w:rFonts w:ascii="Times New Roman" w:hAnsi="Times New Roman"/>
                <w:sz w:val="20"/>
              </w:rPr>
              <w:t>3 (3·7)</w:t>
            </w:r>
          </w:p>
        </w:tc>
      </w:tr>
      <w:tr w:rsidR="00A23B92" w:rsidRPr="006F67C8">
        <w:trPr>
          <w:jc w:val="center"/>
        </w:trPr>
        <w:tc>
          <w:tcPr>
            <w:tcW w:w="5650" w:type="dxa"/>
            <w:tcBorders>
              <w:top w:val="nil"/>
              <w:bottom w:val="nil"/>
            </w:tcBorders>
            <w:vAlign w:val="bottom"/>
          </w:tcPr>
          <w:p w:rsidR="00F547A1"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Proctectomy (TME plane) + IPAA</w:t>
            </w:r>
          </w:p>
          <w:p w:rsidR="00A23B92" w:rsidRPr="0040393C" w:rsidRDefault="00F547A1" w:rsidP="00A23B92">
            <w:pPr>
              <w:numPr>
                <w:ilvl w:val="0"/>
                <w:numId w:val="25"/>
              </w:numPr>
              <w:tabs>
                <w:tab w:val="clear" w:pos="720"/>
                <w:tab w:val="num" w:pos="252"/>
              </w:tabs>
              <w:spacing w:before="60"/>
              <w:ind w:hanging="720"/>
              <w:rPr>
                <w:rFonts w:ascii="Times New Roman" w:hAnsi="Times New Roman"/>
                <w:sz w:val="20"/>
              </w:rPr>
            </w:pPr>
            <w:r w:rsidRPr="00F547A1">
              <w:rPr>
                <w:rFonts w:ascii="Times New Roman" w:hAnsi="Times New Roman"/>
                <w:sz w:val="20"/>
                <w:highlight w:val="cyan"/>
              </w:rPr>
              <w:t>Missing</w:t>
            </w:r>
          </w:p>
        </w:tc>
        <w:tc>
          <w:tcPr>
            <w:tcW w:w="3656" w:type="dxa"/>
            <w:tcBorders>
              <w:top w:val="nil"/>
              <w:bottom w:val="nil"/>
            </w:tcBorders>
          </w:tcPr>
          <w:p w:rsidR="00F547A1" w:rsidRDefault="00961043" w:rsidP="00A23B92">
            <w:pPr>
              <w:spacing w:before="60"/>
              <w:jc w:val="center"/>
              <w:rPr>
                <w:rFonts w:ascii="Times New Roman" w:hAnsi="Times New Roman"/>
                <w:sz w:val="20"/>
              </w:rPr>
            </w:pPr>
            <w:r>
              <w:rPr>
                <w:rFonts w:ascii="Times New Roman" w:hAnsi="Times New Roman"/>
                <w:sz w:val="20"/>
              </w:rPr>
              <w:t>24 (29·2</w:t>
            </w:r>
            <w:r w:rsidR="00A23B92">
              <w:rPr>
                <w:rFonts w:ascii="Times New Roman" w:hAnsi="Times New Roman"/>
                <w:sz w:val="20"/>
              </w:rPr>
              <w:t>)</w:t>
            </w:r>
          </w:p>
          <w:p w:rsidR="00A23B92" w:rsidRPr="006F67C8" w:rsidRDefault="00F547A1" w:rsidP="00A23B92">
            <w:pPr>
              <w:spacing w:before="60"/>
              <w:jc w:val="center"/>
              <w:rPr>
                <w:rFonts w:ascii="Times New Roman" w:hAnsi="Times New Roman"/>
                <w:sz w:val="20"/>
              </w:rPr>
            </w:pPr>
            <w:r w:rsidRPr="00F547A1">
              <w:rPr>
                <w:rFonts w:ascii="Times New Roman" w:hAnsi="Times New Roman"/>
                <w:sz w:val="20"/>
                <w:highlight w:val="cyan"/>
              </w:rPr>
              <w:t>4 (4.7)</w:t>
            </w:r>
          </w:p>
        </w:tc>
      </w:tr>
      <w:tr w:rsidR="00A23B92" w:rsidRPr="006F67C8">
        <w:trPr>
          <w:jc w:val="center"/>
        </w:trPr>
        <w:tc>
          <w:tcPr>
            <w:tcW w:w="5650" w:type="dxa"/>
            <w:tcBorders>
              <w:top w:val="nil"/>
              <w:bottom w:val="nil"/>
            </w:tcBorders>
            <w:vAlign w:val="bottom"/>
          </w:tcPr>
          <w:p w:rsidR="00A23B92" w:rsidRPr="0040393C" w:rsidRDefault="00A23B92" w:rsidP="00A23B92">
            <w:pPr>
              <w:spacing w:before="60"/>
              <w:rPr>
                <w:rFonts w:ascii="Times New Roman" w:hAnsi="Times New Roman"/>
                <w:b/>
                <w:sz w:val="20"/>
              </w:rPr>
            </w:pPr>
            <w:r>
              <w:rPr>
                <w:rFonts w:ascii="Times New Roman" w:hAnsi="Times New Roman"/>
                <w:b/>
                <w:sz w:val="20"/>
              </w:rPr>
              <w:t>Simultaneous abdominoperineal operating</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227 (32·3)</w:t>
            </w:r>
          </w:p>
        </w:tc>
      </w:tr>
      <w:tr w:rsidR="00A23B92" w:rsidRPr="006F67C8">
        <w:trPr>
          <w:jc w:val="center"/>
        </w:trPr>
        <w:tc>
          <w:tcPr>
            <w:tcW w:w="5650" w:type="dxa"/>
            <w:tcBorders>
              <w:top w:val="nil"/>
              <w:bottom w:val="nil"/>
            </w:tcBorders>
            <w:vAlign w:val="bottom"/>
          </w:tcPr>
          <w:p w:rsidR="00A23B92" w:rsidRDefault="00A23B92" w:rsidP="00A23B92">
            <w:pPr>
              <w:spacing w:before="60"/>
              <w:rPr>
                <w:rFonts w:ascii="Times New Roman" w:hAnsi="Times New Roman"/>
                <w:b/>
                <w:sz w:val="20"/>
              </w:rPr>
            </w:pPr>
            <w:r>
              <w:rPr>
                <w:rFonts w:ascii="Times New Roman" w:hAnsi="Times New Roman"/>
                <w:b/>
                <w:sz w:val="20"/>
              </w:rPr>
              <w:t>Surgical approach</w:t>
            </w:r>
            <w:r w:rsidRPr="0040393C">
              <w:rPr>
                <w:rFonts w:ascii="Times New Roman" w:hAnsi="Times New Roman"/>
                <w:b/>
                <w:sz w:val="20"/>
              </w:rPr>
              <w:t xml:space="preserve"> </w:t>
            </w:r>
          </w:p>
          <w:p w:rsidR="00A23B92" w:rsidRPr="0040393C" w:rsidRDefault="00A23B92" w:rsidP="00A23B92">
            <w:pPr>
              <w:spacing w:before="60"/>
              <w:rPr>
                <w:rFonts w:ascii="Times New Roman" w:hAnsi="Times New Roman"/>
                <w:b/>
                <w:sz w:val="20"/>
              </w:rPr>
            </w:pPr>
            <w:r>
              <w:rPr>
                <w:rFonts w:ascii="Times New Roman" w:hAnsi="Times New Roman"/>
                <w:b/>
                <w:sz w:val="20"/>
              </w:rPr>
              <w:t>Abdominal phase:</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p>
        </w:tc>
      </w:tr>
      <w:tr w:rsidR="00A23B92" w:rsidRPr="006F67C8">
        <w:trPr>
          <w:jc w:val="center"/>
        </w:trPr>
        <w:tc>
          <w:tcPr>
            <w:tcW w:w="5650" w:type="dxa"/>
            <w:tcBorders>
              <w:top w:val="nil"/>
              <w:bottom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Open</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21 (3·1)</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Laparoscopic</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553 (82·4)</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SILS</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93 (13·9)</w:t>
            </w:r>
          </w:p>
        </w:tc>
      </w:tr>
      <w:tr w:rsidR="00A23B92" w:rsidRPr="006F67C8">
        <w:trPr>
          <w:jc w:val="center"/>
        </w:trPr>
        <w:tc>
          <w:tcPr>
            <w:tcW w:w="5650" w:type="dxa"/>
            <w:tcBorders>
              <w:top w:val="nil"/>
              <w:bottom w:val="nil"/>
            </w:tcBorders>
            <w:vAlign w:val="bottom"/>
          </w:tcPr>
          <w:p w:rsidR="00F547A1"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Robotic</w:t>
            </w:r>
          </w:p>
          <w:p w:rsidR="00A23B92" w:rsidRDefault="00F547A1" w:rsidP="00A23B92">
            <w:pPr>
              <w:numPr>
                <w:ilvl w:val="0"/>
                <w:numId w:val="25"/>
              </w:numPr>
              <w:tabs>
                <w:tab w:val="clear" w:pos="720"/>
                <w:tab w:val="num" w:pos="252"/>
              </w:tabs>
              <w:spacing w:before="60"/>
              <w:ind w:hanging="720"/>
              <w:rPr>
                <w:rFonts w:ascii="Times New Roman" w:hAnsi="Times New Roman"/>
                <w:sz w:val="20"/>
              </w:rPr>
            </w:pPr>
            <w:r w:rsidRPr="00F547A1">
              <w:rPr>
                <w:rFonts w:ascii="Times New Roman" w:hAnsi="Times New Roman"/>
                <w:sz w:val="20"/>
                <w:highlight w:val="cyan"/>
              </w:rPr>
              <w:t>Missing</w:t>
            </w:r>
            <w:r>
              <w:rPr>
                <w:rFonts w:ascii="Times New Roman" w:hAnsi="Times New Roman"/>
                <w:sz w:val="20"/>
              </w:rPr>
              <w:t xml:space="preserve"> </w:t>
            </w:r>
          </w:p>
        </w:tc>
        <w:tc>
          <w:tcPr>
            <w:tcW w:w="3656" w:type="dxa"/>
            <w:tcBorders>
              <w:top w:val="nil"/>
              <w:bottom w:val="nil"/>
            </w:tcBorders>
          </w:tcPr>
          <w:p w:rsidR="00F547A1" w:rsidRDefault="00A23B92" w:rsidP="00A23B92">
            <w:pPr>
              <w:spacing w:before="60"/>
              <w:jc w:val="center"/>
              <w:rPr>
                <w:rFonts w:ascii="Times New Roman" w:hAnsi="Times New Roman"/>
                <w:sz w:val="20"/>
              </w:rPr>
            </w:pPr>
            <w:r>
              <w:rPr>
                <w:rFonts w:ascii="Times New Roman" w:hAnsi="Times New Roman"/>
                <w:sz w:val="20"/>
              </w:rPr>
              <w:t>4 (0·6)</w:t>
            </w:r>
          </w:p>
          <w:p w:rsidR="00A23B92" w:rsidRPr="006F67C8" w:rsidRDefault="0099448D" w:rsidP="00A23B92">
            <w:pPr>
              <w:spacing w:before="60"/>
              <w:jc w:val="center"/>
              <w:rPr>
                <w:rFonts w:ascii="Times New Roman" w:hAnsi="Times New Roman"/>
                <w:sz w:val="20"/>
              </w:rPr>
            </w:pPr>
            <w:r w:rsidRPr="0099448D">
              <w:rPr>
                <w:rFonts w:ascii="Times New Roman" w:hAnsi="Times New Roman"/>
                <w:sz w:val="20"/>
                <w:highlight w:val="cyan"/>
              </w:rPr>
              <w:t>49 (6.8)</w:t>
            </w:r>
          </w:p>
        </w:tc>
      </w:tr>
      <w:tr w:rsidR="00A23B92" w:rsidRPr="006F67C8">
        <w:trPr>
          <w:jc w:val="center"/>
        </w:trPr>
        <w:tc>
          <w:tcPr>
            <w:tcW w:w="5650" w:type="dxa"/>
            <w:tcBorders>
              <w:top w:val="nil"/>
              <w:bottom w:val="nil"/>
            </w:tcBorders>
            <w:vAlign w:val="bottom"/>
          </w:tcPr>
          <w:p w:rsidR="00A23B92" w:rsidRPr="0040393C" w:rsidRDefault="00A23B92" w:rsidP="00A23B92">
            <w:pPr>
              <w:spacing w:before="60"/>
              <w:rPr>
                <w:rFonts w:ascii="Times New Roman" w:hAnsi="Times New Roman"/>
                <w:b/>
                <w:sz w:val="20"/>
              </w:rPr>
            </w:pPr>
            <w:r>
              <w:rPr>
                <w:rFonts w:ascii="Times New Roman" w:hAnsi="Times New Roman"/>
                <w:b/>
                <w:sz w:val="20"/>
              </w:rPr>
              <w:t>Transanal phase:</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Benign        Cancer</w:t>
            </w:r>
          </w:p>
        </w:tc>
      </w:tr>
      <w:tr w:rsidR="00A23B92" w:rsidRPr="006F67C8">
        <w:trPr>
          <w:jc w:val="center"/>
        </w:trPr>
        <w:tc>
          <w:tcPr>
            <w:tcW w:w="5650" w:type="dxa"/>
            <w:tcBorders>
              <w:top w:val="nil"/>
              <w:bottom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Mucosectomy</w:t>
            </w:r>
          </w:p>
        </w:tc>
        <w:tc>
          <w:tcPr>
            <w:tcW w:w="3656" w:type="dxa"/>
            <w:tcBorders>
              <w:top w:val="nil"/>
              <w:bottom w:val="nil"/>
            </w:tcBorders>
          </w:tcPr>
          <w:p w:rsidR="00A23B92" w:rsidRPr="006F67C8" w:rsidRDefault="00A23B92" w:rsidP="00A23B92">
            <w:pPr>
              <w:spacing w:before="60"/>
              <w:rPr>
                <w:rFonts w:ascii="Times New Roman" w:hAnsi="Times New Roman"/>
                <w:sz w:val="20"/>
              </w:rPr>
            </w:pPr>
            <w:r>
              <w:rPr>
                <w:rFonts w:ascii="Times New Roman" w:hAnsi="Times New Roman"/>
                <w:sz w:val="20"/>
              </w:rPr>
              <w:t xml:space="preserve">                   3 (3·9)          49 (8·2)</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Total intersphincteric</w:t>
            </w:r>
          </w:p>
        </w:tc>
        <w:tc>
          <w:tcPr>
            <w:tcW w:w="3656" w:type="dxa"/>
            <w:tcBorders>
              <w:top w:val="nil"/>
              <w:bottom w:val="nil"/>
            </w:tcBorders>
          </w:tcPr>
          <w:p w:rsidR="00A23B92" w:rsidRPr="006F67C8" w:rsidRDefault="00A23B92" w:rsidP="00A23B92">
            <w:pPr>
              <w:spacing w:before="60"/>
              <w:rPr>
                <w:rFonts w:ascii="Times New Roman" w:hAnsi="Times New Roman"/>
                <w:sz w:val="20"/>
              </w:rPr>
            </w:pPr>
            <w:r>
              <w:rPr>
                <w:rFonts w:ascii="Times New Roman" w:hAnsi="Times New Roman"/>
                <w:sz w:val="20"/>
              </w:rPr>
              <w:t xml:space="preserve">                   29 (28·2)      37 (6·2)</w:t>
            </w:r>
          </w:p>
        </w:tc>
      </w:tr>
      <w:tr w:rsidR="00A23B92" w:rsidRPr="006F67C8">
        <w:trPr>
          <w:jc w:val="center"/>
        </w:trPr>
        <w:tc>
          <w:tcPr>
            <w:tcW w:w="5650" w:type="dxa"/>
            <w:tcBorders>
              <w:top w:val="nil"/>
              <w:bottom w:val="nil"/>
            </w:tcBorders>
            <w:vAlign w:val="bottom"/>
          </w:tcPr>
          <w:p w:rsidR="00A23B92" w:rsidRDefault="00F547A1"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Partial intersphinc</w:t>
            </w:r>
            <w:r w:rsidR="00A23B92">
              <w:rPr>
                <w:rFonts w:ascii="Times New Roman" w:hAnsi="Times New Roman"/>
                <w:sz w:val="20"/>
              </w:rPr>
              <w:t>teric</w:t>
            </w:r>
          </w:p>
        </w:tc>
        <w:tc>
          <w:tcPr>
            <w:tcW w:w="3656" w:type="dxa"/>
            <w:tcBorders>
              <w:top w:val="nil"/>
              <w:bottom w:val="nil"/>
            </w:tcBorders>
          </w:tcPr>
          <w:p w:rsidR="00A23B92" w:rsidRPr="006F67C8" w:rsidRDefault="00A23B92" w:rsidP="00A23B92">
            <w:pPr>
              <w:spacing w:before="60"/>
              <w:rPr>
                <w:rFonts w:ascii="Times New Roman" w:hAnsi="Times New Roman"/>
                <w:sz w:val="20"/>
              </w:rPr>
            </w:pPr>
            <w:r>
              <w:rPr>
                <w:rFonts w:ascii="Times New Roman" w:hAnsi="Times New Roman"/>
                <w:sz w:val="20"/>
              </w:rPr>
              <w:t xml:space="preserve">                   2 (2·6)          120 (20·0)</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Pursestring</w:t>
            </w:r>
          </w:p>
        </w:tc>
        <w:tc>
          <w:tcPr>
            <w:tcW w:w="3656" w:type="dxa"/>
            <w:tcBorders>
              <w:top w:val="nil"/>
              <w:bottom w:val="nil"/>
            </w:tcBorders>
          </w:tcPr>
          <w:p w:rsidR="00A23B92" w:rsidRPr="006F67C8" w:rsidRDefault="00A23B92" w:rsidP="00A23B92">
            <w:pPr>
              <w:spacing w:before="60"/>
              <w:rPr>
                <w:rFonts w:ascii="Times New Roman" w:hAnsi="Times New Roman"/>
                <w:sz w:val="20"/>
              </w:rPr>
            </w:pPr>
            <w:r>
              <w:rPr>
                <w:rFonts w:ascii="Times New Roman" w:hAnsi="Times New Roman"/>
                <w:sz w:val="20"/>
              </w:rPr>
              <w:t xml:space="preserve">                   40 (52·6)      375 (62·5)</w:t>
            </w:r>
          </w:p>
        </w:tc>
      </w:tr>
      <w:tr w:rsidR="00A23B92" w:rsidRPr="006F67C8">
        <w:trPr>
          <w:jc w:val="center"/>
        </w:trPr>
        <w:tc>
          <w:tcPr>
            <w:tcW w:w="5650" w:type="dxa"/>
            <w:tcBorders>
              <w:top w:val="nil"/>
              <w:bottom w:val="nil"/>
            </w:tcBorders>
            <w:vAlign w:val="bottom"/>
          </w:tcPr>
          <w:p w:rsidR="00A23B92" w:rsidRDefault="003B1DE5"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highlight w:val="cyan"/>
              </w:rPr>
              <w:t>Missing</w:t>
            </w:r>
          </w:p>
        </w:tc>
        <w:tc>
          <w:tcPr>
            <w:tcW w:w="3656" w:type="dxa"/>
            <w:tcBorders>
              <w:top w:val="nil"/>
              <w:bottom w:val="nil"/>
            </w:tcBorders>
          </w:tcPr>
          <w:p w:rsidR="00A23B92" w:rsidRPr="006F67C8" w:rsidRDefault="00A23B92" w:rsidP="00A23B92">
            <w:pPr>
              <w:spacing w:before="60"/>
              <w:rPr>
                <w:rFonts w:ascii="Times New Roman" w:hAnsi="Times New Roman"/>
                <w:sz w:val="20"/>
              </w:rPr>
            </w:pPr>
            <w:r>
              <w:rPr>
                <w:rFonts w:ascii="Times New Roman" w:hAnsi="Times New Roman"/>
                <w:sz w:val="20"/>
              </w:rPr>
              <w:t xml:space="preserve">                   2 (2·6)          19 (3·2)</w:t>
            </w:r>
          </w:p>
        </w:tc>
      </w:tr>
      <w:tr w:rsidR="00A23B92" w:rsidRPr="006F67C8">
        <w:trPr>
          <w:jc w:val="center"/>
        </w:trPr>
        <w:tc>
          <w:tcPr>
            <w:tcW w:w="5650" w:type="dxa"/>
            <w:tcBorders>
              <w:top w:val="nil"/>
              <w:bottom w:val="nil"/>
            </w:tcBorders>
            <w:vAlign w:val="bottom"/>
          </w:tcPr>
          <w:p w:rsidR="00A23B92" w:rsidRPr="0040393C" w:rsidRDefault="00A23B92" w:rsidP="00A23B92">
            <w:pPr>
              <w:spacing w:before="60"/>
              <w:rPr>
                <w:rFonts w:ascii="Times New Roman" w:hAnsi="Times New Roman"/>
                <w:b/>
                <w:sz w:val="20"/>
              </w:rPr>
            </w:pPr>
            <w:r>
              <w:rPr>
                <w:rFonts w:ascii="Times New Roman" w:hAnsi="Times New Roman"/>
                <w:b/>
                <w:sz w:val="20"/>
              </w:rPr>
              <w:t>Conversion</w:t>
            </w:r>
          </w:p>
        </w:tc>
        <w:tc>
          <w:tcPr>
            <w:tcW w:w="3656" w:type="dxa"/>
            <w:tcBorders>
              <w:top w:val="nil"/>
              <w:bottom w:val="nil"/>
            </w:tcBorders>
          </w:tcPr>
          <w:p w:rsidR="00A23B92" w:rsidRPr="006F67C8" w:rsidRDefault="00F547A1" w:rsidP="00A23B92">
            <w:pPr>
              <w:spacing w:before="60"/>
              <w:jc w:val="center"/>
              <w:rPr>
                <w:rFonts w:ascii="Times New Roman" w:hAnsi="Times New Roman"/>
                <w:sz w:val="20"/>
              </w:rPr>
            </w:pPr>
            <w:r>
              <w:rPr>
                <w:rFonts w:ascii="Times New Roman" w:hAnsi="Times New Roman"/>
                <w:sz w:val="20"/>
              </w:rPr>
              <w:t xml:space="preserve">  </w:t>
            </w:r>
            <w:r w:rsidRPr="00F547A1">
              <w:rPr>
                <w:rFonts w:ascii="Times New Roman" w:hAnsi="Times New Roman"/>
                <w:sz w:val="20"/>
                <w:highlight w:val="cyan"/>
              </w:rPr>
              <w:t>10 (11.6)       34 (5.4)</w:t>
            </w:r>
          </w:p>
        </w:tc>
      </w:tr>
      <w:tr w:rsidR="00A23B92" w:rsidRPr="006F67C8">
        <w:trPr>
          <w:jc w:val="center"/>
        </w:trPr>
        <w:tc>
          <w:tcPr>
            <w:tcW w:w="5650" w:type="dxa"/>
            <w:tcBorders>
              <w:top w:val="nil"/>
              <w:bottom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Abdominal</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40 (6·0)</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 xml:space="preserve">Perineal </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20 (2·8)</w:t>
            </w:r>
          </w:p>
        </w:tc>
      </w:tr>
      <w:tr w:rsidR="00A23B92" w:rsidRPr="006F67C8">
        <w:trPr>
          <w:jc w:val="center"/>
        </w:trPr>
        <w:tc>
          <w:tcPr>
            <w:tcW w:w="5650" w:type="dxa"/>
            <w:tcBorders>
              <w:top w:val="nil"/>
              <w:bottom w:val="nil"/>
            </w:tcBorders>
            <w:vAlign w:val="bottom"/>
          </w:tcPr>
          <w:p w:rsidR="00A23B92" w:rsidRPr="0040393C" w:rsidRDefault="00A23B92" w:rsidP="00A23B92">
            <w:pPr>
              <w:spacing w:before="60"/>
              <w:rPr>
                <w:rFonts w:ascii="Times New Roman" w:hAnsi="Times New Roman"/>
                <w:b/>
                <w:sz w:val="20"/>
              </w:rPr>
            </w:pPr>
            <w:r>
              <w:rPr>
                <w:rFonts w:ascii="Times New Roman" w:hAnsi="Times New Roman"/>
                <w:b/>
                <w:sz w:val="20"/>
              </w:rPr>
              <w:t>Stoma</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No stoma</w:t>
            </w:r>
          </w:p>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Ileostomy</w:t>
            </w:r>
          </w:p>
        </w:tc>
        <w:tc>
          <w:tcPr>
            <w:tcW w:w="3656" w:type="dxa"/>
            <w:tcBorders>
              <w:top w:val="nil"/>
              <w:bottom w:val="nil"/>
            </w:tcBorders>
          </w:tcPr>
          <w:p w:rsidR="00A23B92" w:rsidRDefault="00A23B92" w:rsidP="00A23B92">
            <w:pPr>
              <w:spacing w:before="60"/>
              <w:jc w:val="center"/>
              <w:rPr>
                <w:rFonts w:ascii="Times New Roman" w:hAnsi="Times New Roman"/>
                <w:sz w:val="20"/>
              </w:rPr>
            </w:pPr>
            <w:r>
              <w:rPr>
                <w:rFonts w:ascii="Times New Roman" w:hAnsi="Times New Roman"/>
                <w:sz w:val="20"/>
              </w:rPr>
              <w:t>51 (7·3)</w:t>
            </w:r>
          </w:p>
          <w:p w:rsidR="00A23B92" w:rsidRPr="006F67C8" w:rsidRDefault="00A23B92" w:rsidP="00A23B92">
            <w:pPr>
              <w:spacing w:before="60"/>
              <w:jc w:val="center"/>
              <w:rPr>
                <w:rFonts w:ascii="Times New Roman" w:hAnsi="Times New Roman"/>
                <w:sz w:val="20"/>
              </w:rPr>
            </w:pPr>
            <w:r>
              <w:rPr>
                <w:rFonts w:ascii="Times New Roman" w:hAnsi="Times New Roman"/>
                <w:sz w:val="20"/>
              </w:rPr>
              <w:t>580 (83·3)</w:t>
            </w:r>
          </w:p>
        </w:tc>
      </w:tr>
      <w:tr w:rsidR="00A23B92" w:rsidRPr="006F67C8">
        <w:trPr>
          <w:jc w:val="center"/>
        </w:trPr>
        <w:tc>
          <w:tcPr>
            <w:tcW w:w="5650" w:type="dxa"/>
            <w:tcBorders>
              <w:top w:val="nil"/>
              <w:bottom w:val="nil"/>
            </w:tcBorders>
            <w:vAlign w:val="bottom"/>
          </w:tcPr>
          <w:p w:rsidR="0099448D"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Colostomy</w:t>
            </w:r>
          </w:p>
          <w:p w:rsidR="00A23B92" w:rsidRDefault="0099448D" w:rsidP="00A23B92">
            <w:pPr>
              <w:numPr>
                <w:ilvl w:val="0"/>
                <w:numId w:val="25"/>
              </w:numPr>
              <w:tabs>
                <w:tab w:val="clear" w:pos="720"/>
                <w:tab w:val="num" w:pos="252"/>
              </w:tabs>
              <w:spacing w:before="60"/>
              <w:ind w:hanging="720"/>
              <w:rPr>
                <w:rFonts w:ascii="Times New Roman" w:hAnsi="Times New Roman"/>
                <w:sz w:val="20"/>
              </w:rPr>
            </w:pPr>
            <w:r w:rsidRPr="00333AF1">
              <w:rPr>
                <w:rFonts w:ascii="Times New Roman" w:hAnsi="Times New Roman"/>
                <w:sz w:val="20"/>
                <w:highlight w:val="cyan"/>
              </w:rPr>
              <w:t>Missing</w:t>
            </w:r>
          </w:p>
        </w:tc>
        <w:tc>
          <w:tcPr>
            <w:tcW w:w="3656" w:type="dxa"/>
            <w:tcBorders>
              <w:top w:val="nil"/>
              <w:bottom w:val="nil"/>
            </w:tcBorders>
          </w:tcPr>
          <w:p w:rsidR="0099448D" w:rsidRDefault="00A23B92" w:rsidP="00A23B92">
            <w:pPr>
              <w:spacing w:before="60"/>
              <w:jc w:val="center"/>
              <w:rPr>
                <w:rFonts w:ascii="Times New Roman" w:hAnsi="Times New Roman"/>
                <w:sz w:val="20"/>
              </w:rPr>
            </w:pPr>
            <w:r>
              <w:rPr>
                <w:rFonts w:ascii="Times New Roman" w:hAnsi="Times New Roman"/>
                <w:sz w:val="20"/>
              </w:rPr>
              <w:t>65 (9·3)</w:t>
            </w:r>
          </w:p>
          <w:p w:rsidR="00A23B92" w:rsidRPr="006F67C8" w:rsidRDefault="0099448D" w:rsidP="00A23B92">
            <w:pPr>
              <w:spacing w:before="60"/>
              <w:jc w:val="center"/>
              <w:rPr>
                <w:rFonts w:ascii="Times New Roman" w:hAnsi="Times New Roman"/>
                <w:sz w:val="20"/>
              </w:rPr>
            </w:pPr>
            <w:r w:rsidRPr="00333AF1">
              <w:rPr>
                <w:rFonts w:ascii="Times New Roman" w:hAnsi="Times New Roman"/>
                <w:sz w:val="20"/>
                <w:highlight w:val="cyan"/>
              </w:rPr>
              <w:t>24 (3.3)</w:t>
            </w:r>
          </w:p>
        </w:tc>
      </w:tr>
      <w:tr w:rsidR="00A23B92" w:rsidRPr="006F67C8">
        <w:trPr>
          <w:jc w:val="center"/>
        </w:trPr>
        <w:tc>
          <w:tcPr>
            <w:tcW w:w="5650" w:type="dxa"/>
            <w:tcBorders>
              <w:top w:val="nil"/>
              <w:bottom w:val="nil"/>
            </w:tcBorders>
            <w:vAlign w:val="bottom"/>
          </w:tcPr>
          <w:p w:rsidR="00A23B92" w:rsidRPr="0040393C" w:rsidRDefault="00A23B92" w:rsidP="00A23B92">
            <w:pPr>
              <w:spacing w:before="60"/>
              <w:rPr>
                <w:rFonts w:ascii="Times New Roman" w:hAnsi="Times New Roman"/>
                <w:b/>
                <w:sz w:val="20"/>
              </w:rPr>
            </w:pPr>
            <w:r>
              <w:rPr>
                <w:rFonts w:ascii="Times New Roman" w:hAnsi="Times New Roman"/>
                <w:b/>
                <w:sz w:val="20"/>
              </w:rPr>
              <w:t>Specimen extraction site</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p>
        </w:tc>
      </w:tr>
      <w:tr w:rsidR="00A23B92" w:rsidRPr="006F67C8">
        <w:trPr>
          <w:jc w:val="center"/>
        </w:trPr>
        <w:tc>
          <w:tcPr>
            <w:tcW w:w="5650" w:type="dxa"/>
            <w:tcBorders>
              <w:top w:val="nil"/>
              <w:bottom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Pfannenstiel</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99 (14·7)</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Umbilical</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61 (9·0)</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Right or Left Iliac Fossa</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75 (11·1)</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Transanal</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340 (50·4)</w:t>
            </w:r>
          </w:p>
        </w:tc>
      </w:tr>
      <w:tr w:rsidR="00A23B92" w:rsidRPr="006F67C8">
        <w:trPr>
          <w:jc w:val="center"/>
        </w:trPr>
        <w:tc>
          <w:tcPr>
            <w:tcW w:w="5650" w:type="dxa"/>
            <w:tcBorders>
              <w:top w:val="nil"/>
              <w:bottom w:val="nil"/>
            </w:tcBorders>
            <w:vAlign w:val="bottom"/>
          </w:tcPr>
          <w:p w:rsidR="00885501"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Other</w:t>
            </w:r>
            <w:r w:rsidR="0061456B">
              <w:rPr>
                <w:rFonts w:ascii="Times New Roman" w:hAnsi="Times New Roman"/>
                <w:sz w:val="20"/>
              </w:rPr>
              <w:t>*</w:t>
            </w:r>
          </w:p>
          <w:p w:rsidR="00A23B92" w:rsidRDefault="00885501" w:rsidP="00A23B92">
            <w:pPr>
              <w:numPr>
                <w:ilvl w:val="0"/>
                <w:numId w:val="25"/>
              </w:numPr>
              <w:tabs>
                <w:tab w:val="clear" w:pos="720"/>
                <w:tab w:val="num" w:pos="252"/>
              </w:tabs>
              <w:spacing w:before="60"/>
              <w:ind w:hanging="720"/>
              <w:rPr>
                <w:rFonts w:ascii="Times New Roman" w:hAnsi="Times New Roman"/>
                <w:sz w:val="20"/>
              </w:rPr>
            </w:pPr>
            <w:r w:rsidRPr="00885501">
              <w:rPr>
                <w:rFonts w:ascii="Times New Roman" w:hAnsi="Times New Roman"/>
                <w:sz w:val="20"/>
                <w:highlight w:val="cyan"/>
              </w:rPr>
              <w:t>Missing</w:t>
            </w:r>
          </w:p>
        </w:tc>
        <w:tc>
          <w:tcPr>
            <w:tcW w:w="3656" w:type="dxa"/>
            <w:tcBorders>
              <w:top w:val="nil"/>
              <w:bottom w:val="nil"/>
            </w:tcBorders>
          </w:tcPr>
          <w:p w:rsidR="00885501" w:rsidRDefault="00A23B92" w:rsidP="00A23B92">
            <w:pPr>
              <w:spacing w:before="60"/>
              <w:jc w:val="center"/>
              <w:rPr>
                <w:rFonts w:ascii="Times New Roman" w:hAnsi="Times New Roman"/>
                <w:sz w:val="20"/>
              </w:rPr>
            </w:pPr>
            <w:r>
              <w:rPr>
                <w:rFonts w:ascii="Times New Roman" w:hAnsi="Times New Roman"/>
                <w:sz w:val="20"/>
              </w:rPr>
              <w:t>92 (13·6)</w:t>
            </w:r>
          </w:p>
          <w:p w:rsidR="00A23B92" w:rsidRPr="006F67C8" w:rsidRDefault="00885501" w:rsidP="00A23B92">
            <w:pPr>
              <w:spacing w:before="60"/>
              <w:jc w:val="center"/>
              <w:rPr>
                <w:rFonts w:ascii="Times New Roman" w:hAnsi="Times New Roman"/>
                <w:sz w:val="20"/>
              </w:rPr>
            </w:pPr>
            <w:r w:rsidRPr="00885501">
              <w:rPr>
                <w:rFonts w:ascii="Times New Roman" w:hAnsi="Times New Roman"/>
                <w:sz w:val="20"/>
                <w:highlight w:val="cyan"/>
              </w:rPr>
              <w:t>53 (7.4)</w:t>
            </w:r>
          </w:p>
        </w:tc>
      </w:tr>
      <w:tr w:rsidR="00A23B92" w:rsidRPr="006F67C8">
        <w:trPr>
          <w:jc w:val="center"/>
        </w:trPr>
        <w:tc>
          <w:tcPr>
            <w:tcW w:w="5650" w:type="dxa"/>
            <w:tcBorders>
              <w:top w:val="nil"/>
              <w:bottom w:val="nil"/>
            </w:tcBorders>
            <w:vAlign w:val="bottom"/>
          </w:tcPr>
          <w:p w:rsidR="00A23B92" w:rsidRPr="0040393C" w:rsidRDefault="00A23B92" w:rsidP="00A23B92">
            <w:pPr>
              <w:spacing w:before="60"/>
              <w:rPr>
                <w:rFonts w:ascii="Times New Roman" w:hAnsi="Times New Roman"/>
                <w:b/>
                <w:sz w:val="20"/>
              </w:rPr>
            </w:pPr>
            <w:r>
              <w:rPr>
                <w:rFonts w:ascii="Times New Roman" w:hAnsi="Times New Roman"/>
                <w:b/>
                <w:sz w:val="20"/>
              </w:rPr>
              <w:t>Anastomotic technique</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Benign        Cancer</w:t>
            </w:r>
          </w:p>
        </w:tc>
      </w:tr>
      <w:tr w:rsidR="00A23B92" w:rsidRPr="006F67C8">
        <w:trPr>
          <w:jc w:val="center"/>
        </w:trPr>
        <w:tc>
          <w:tcPr>
            <w:tcW w:w="5650" w:type="dxa"/>
            <w:tcBorders>
              <w:top w:val="nil"/>
              <w:bottom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Manual</w:t>
            </w:r>
          </w:p>
        </w:tc>
        <w:tc>
          <w:tcPr>
            <w:tcW w:w="3656" w:type="dxa"/>
            <w:tcBorders>
              <w:top w:val="nil"/>
              <w:bottom w:val="nil"/>
            </w:tcBorders>
          </w:tcPr>
          <w:p w:rsidR="00A23B92" w:rsidRPr="006F67C8" w:rsidRDefault="00A23B92" w:rsidP="00A23B92">
            <w:pPr>
              <w:spacing w:before="60"/>
              <w:rPr>
                <w:rFonts w:ascii="Times New Roman" w:hAnsi="Times New Roman"/>
                <w:sz w:val="20"/>
              </w:rPr>
            </w:pPr>
            <w:r>
              <w:rPr>
                <w:rFonts w:ascii="Times New Roman" w:hAnsi="Times New Roman"/>
                <w:sz w:val="20"/>
              </w:rPr>
              <w:t xml:space="preserve">                   3 (13·6)       249 (44·7)</w:t>
            </w:r>
          </w:p>
        </w:tc>
      </w:tr>
      <w:tr w:rsidR="00A23B92" w:rsidRPr="006F67C8">
        <w:trPr>
          <w:jc w:val="center"/>
        </w:trPr>
        <w:tc>
          <w:tcPr>
            <w:tcW w:w="5650" w:type="dxa"/>
            <w:tcBorders>
              <w:top w:val="nil"/>
              <w:bottom w:val="nil"/>
            </w:tcBorders>
            <w:vAlign w:val="bottom"/>
          </w:tcPr>
          <w:p w:rsidR="00885501"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Stapled</w:t>
            </w:r>
          </w:p>
          <w:p w:rsidR="00A23B92" w:rsidRDefault="00885501" w:rsidP="00A23B92">
            <w:pPr>
              <w:numPr>
                <w:ilvl w:val="0"/>
                <w:numId w:val="25"/>
              </w:numPr>
              <w:tabs>
                <w:tab w:val="clear" w:pos="720"/>
                <w:tab w:val="num" w:pos="252"/>
              </w:tabs>
              <w:spacing w:before="60"/>
              <w:ind w:hanging="720"/>
              <w:rPr>
                <w:rFonts w:ascii="Times New Roman" w:hAnsi="Times New Roman"/>
                <w:sz w:val="20"/>
              </w:rPr>
            </w:pPr>
            <w:r w:rsidRPr="00481254">
              <w:rPr>
                <w:rFonts w:ascii="Times New Roman" w:hAnsi="Times New Roman"/>
                <w:sz w:val="20"/>
                <w:highlight w:val="cyan"/>
              </w:rPr>
              <w:t>Missing</w:t>
            </w:r>
          </w:p>
        </w:tc>
        <w:tc>
          <w:tcPr>
            <w:tcW w:w="3656" w:type="dxa"/>
            <w:tcBorders>
              <w:top w:val="nil"/>
              <w:bottom w:val="nil"/>
            </w:tcBorders>
          </w:tcPr>
          <w:p w:rsidR="00885501" w:rsidRDefault="00A23B92" w:rsidP="00A23B92">
            <w:pPr>
              <w:spacing w:before="60"/>
              <w:rPr>
                <w:rFonts w:ascii="Times New Roman" w:hAnsi="Times New Roman"/>
                <w:sz w:val="20"/>
              </w:rPr>
            </w:pPr>
            <w:r>
              <w:rPr>
                <w:rFonts w:ascii="Times New Roman" w:hAnsi="Times New Roman"/>
                <w:sz w:val="20"/>
              </w:rPr>
              <w:t xml:space="preserve">                   19 (86·4)     308 (55·3)</w:t>
            </w:r>
          </w:p>
          <w:p w:rsidR="00A23B92" w:rsidRPr="006F67C8" w:rsidRDefault="00481254" w:rsidP="00A23B92">
            <w:pPr>
              <w:spacing w:before="60"/>
              <w:rPr>
                <w:rFonts w:ascii="Times New Roman" w:hAnsi="Times New Roman"/>
                <w:sz w:val="20"/>
              </w:rPr>
            </w:pPr>
            <w:r>
              <w:rPr>
                <w:rFonts w:ascii="Times New Roman" w:hAnsi="Times New Roman"/>
                <w:sz w:val="20"/>
              </w:rPr>
              <w:t xml:space="preserve">                     </w:t>
            </w:r>
            <w:r w:rsidR="00885501" w:rsidRPr="00481254">
              <w:rPr>
                <w:rFonts w:ascii="Times New Roman" w:hAnsi="Times New Roman"/>
                <w:sz w:val="20"/>
                <w:highlight w:val="cyan"/>
              </w:rPr>
              <w:t xml:space="preserve">8 (26.7)   </w:t>
            </w:r>
            <w:r w:rsidRPr="00481254">
              <w:rPr>
                <w:rFonts w:ascii="Times New Roman" w:hAnsi="Times New Roman"/>
                <w:sz w:val="20"/>
                <w:highlight w:val="cyan"/>
              </w:rPr>
              <w:t xml:space="preserve">    10 (1.8)</w:t>
            </w:r>
          </w:p>
        </w:tc>
      </w:tr>
      <w:tr w:rsidR="00A23B92" w:rsidRPr="006F67C8">
        <w:trPr>
          <w:jc w:val="center"/>
        </w:trPr>
        <w:tc>
          <w:tcPr>
            <w:tcW w:w="5650" w:type="dxa"/>
            <w:tcBorders>
              <w:top w:val="nil"/>
              <w:bottom w:val="nil"/>
            </w:tcBorders>
            <w:vAlign w:val="bottom"/>
          </w:tcPr>
          <w:p w:rsidR="00A23B92" w:rsidRPr="0040393C" w:rsidRDefault="00A23B92" w:rsidP="00A23B92">
            <w:pPr>
              <w:spacing w:before="60"/>
              <w:rPr>
                <w:rFonts w:ascii="Times New Roman" w:hAnsi="Times New Roman"/>
                <w:b/>
                <w:sz w:val="20"/>
              </w:rPr>
            </w:pPr>
            <w:r>
              <w:rPr>
                <w:rFonts w:ascii="Times New Roman" w:hAnsi="Times New Roman"/>
                <w:b/>
                <w:sz w:val="20"/>
              </w:rPr>
              <w:t>Height of anastomosis from anal verge in cm, median (range)</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Benign        Cancer</w:t>
            </w:r>
          </w:p>
        </w:tc>
      </w:tr>
      <w:tr w:rsidR="00A23B92" w:rsidRPr="006F67C8">
        <w:trPr>
          <w:jc w:val="center"/>
        </w:trPr>
        <w:tc>
          <w:tcPr>
            <w:tcW w:w="5650" w:type="dxa"/>
            <w:tcBorders>
              <w:top w:val="nil"/>
              <w:bottom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 xml:space="preserve">Manual </w:t>
            </w:r>
          </w:p>
        </w:tc>
        <w:tc>
          <w:tcPr>
            <w:tcW w:w="3656" w:type="dxa"/>
            <w:tcBorders>
              <w:top w:val="nil"/>
              <w:bottom w:val="nil"/>
            </w:tcBorders>
          </w:tcPr>
          <w:p w:rsidR="00A23B92" w:rsidRPr="006F67C8" w:rsidRDefault="00A23B92" w:rsidP="00A23B92">
            <w:pPr>
              <w:spacing w:before="60"/>
              <w:rPr>
                <w:rFonts w:ascii="Times New Roman" w:hAnsi="Times New Roman"/>
                <w:sz w:val="20"/>
              </w:rPr>
            </w:pPr>
            <w:r>
              <w:rPr>
                <w:rFonts w:ascii="Times New Roman" w:hAnsi="Times New Roman"/>
                <w:sz w:val="20"/>
              </w:rPr>
              <w:t xml:space="preserve">                   2 (1–4)        3 (0–5)</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Stapled</w:t>
            </w:r>
          </w:p>
        </w:tc>
        <w:tc>
          <w:tcPr>
            <w:tcW w:w="3656" w:type="dxa"/>
            <w:tcBorders>
              <w:top w:val="nil"/>
              <w:bottom w:val="nil"/>
            </w:tcBorders>
          </w:tcPr>
          <w:p w:rsidR="00A23B92" w:rsidRPr="006F67C8" w:rsidRDefault="00A23B92" w:rsidP="00A23B92">
            <w:pPr>
              <w:spacing w:before="60"/>
              <w:rPr>
                <w:rFonts w:ascii="Times New Roman" w:hAnsi="Times New Roman"/>
                <w:sz w:val="20"/>
              </w:rPr>
            </w:pPr>
            <w:r>
              <w:rPr>
                <w:rFonts w:ascii="Times New Roman" w:hAnsi="Times New Roman"/>
                <w:sz w:val="20"/>
              </w:rPr>
              <w:t xml:space="preserve">                   4 (2–6)        4 (0–10)</w:t>
            </w:r>
          </w:p>
        </w:tc>
      </w:tr>
      <w:tr w:rsidR="00A23B92" w:rsidRPr="006F67C8">
        <w:trPr>
          <w:jc w:val="center"/>
        </w:trPr>
        <w:tc>
          <w:tcPr>
            <w:tcW w:w="5650" w:type="dxa"/>
            <w:tcBorders>
              <w:top w:val="nil"/>
              <w:bottom w:val="nil"/>
            </w:tcBorders>
            <w:vAlign w:val="bottom"/>
          </w:tcPr>
          <w:p w:rsidR="00A23B92" w:rsidRPr="0040393C" w:rsidRDefault="00A23B92" w:rsidP="00A23B92">
            <w:pPr>
              <w:spacing w:before="60"/>
              <w:rPr>
                <w:rFonts w:ascii="Times New Roman" w:hAnsi="Times New Roman"/>
                <w:b/>
                <w:sz w:val="20"/>
              </w:rPr>
            </w:pPr>
            <w:r>
              <w:rPr>
                <w:rFonts w:ascii="Times New Roman" w:hAnsi="Times New Roman"/>
                <w:b/>
                <w:sz w:val="20"/>
              </w:rPr>
              <w:t>Operative time in minutes, mean ± SD (range)</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p>
        </w:tc>
      </w:tr>
      <w:tr w:rsidR="00A23B92" w:rsidRPr="006F67C8">
        <w:trPr>
          <w:jc w:val="center"/>
        </w:trPr>
        <w:tc>
          <w:tcPr>
            <w:tcW w:w="5650" w:type="dxa"/>
            <w:tcBorders>
              <w:top w:val="nil"/>
              <w:bottom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Total operative time</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277 ± 83 (62–685)</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Perineal phase time</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128 ± 70 (15–467)</w:t>
            </w:r>
          </w:p>
        </w:tc>
      </w:tr>
      <w:tr w:rsidR="00A23B92" w:rsidRPr="006F67C8">
        <w:trPr>
          <w:jc w:val="center"/>
        </w:trPr>
        <w:tc>
          <w:tcPr>
            <w:tcW w:w="5650" w:type="dxa"/>
            <w:tcBorders>
              <w:top w:val="nil"/>
              <w:bottom w:val="nil"/>
            </w:tcBorders>
            <w:vAlign w:val="bottom"/>
          </w:tcPr>
          <w:p w:rsidR="00A23B92" w:rsidRPr="0040393C" w:rsidRDefault="00A23B92" w:rsidP="00A23B92">
            <w:pPr>
              <w:spacing w:before="60"/>
              <w:rPr>
                <w:rFonts w:ascii="Times New Roman" w:hAnsi="Times New Roman"/>
                <w:b/>
                <w:sz w:val="20"/>
              </w:rPr>
            </w:pPr>
            <w:r>
              <w:rPr>
                <w:rFonts w:ascii="Times New Roman" w:hAnsi="Times New Roman"/>
                <w:b/>
                <w:sz w:val="20"/>
              </w:rPr>
              <w:t xml:space="preserve">Intra-operative adverse events </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p>
        </w:tc>
      </w:tr>
      <w:tr w:rsidR="00A23B92" w:rsidRPr="006F67C8">
        <w:trPr>
          <w:jc w:val="center"/>
        </w:trPr>
        <w:tc>
          <w:tcPr>
            <w:tcW w:w="5650" w:type="dxa"/>
            <w:tcBorders>
              <w:top w:val="nil"/>
              <w:bottom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Technical problems</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283 (39·3)</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Incorrect dissection plane</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56 (7·8)</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Pelvic bleeding</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50 (6·9)</w:t>
            </w:r>
          </w:p>
        </w:tc>
      </w:tr>
      <w:tr w:rsidR="00A23B92" w:rsidRPr="006F67C8">
        <w:trPr>
          <w:jc w:val="center"/>
        </w:trPr>
        <w:tc>
          <w:tcPr>
            <w:tcW w:w="5650" w:type="dxa"/>
            <w:tcBorders>
              <w:top w:val="nil"/>
              <w:left w:val="nil"/>
              <w:bottom w:val="single" w:sz="18" w:space="0" w:color="auto"/>
              <w:right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Visceral injury</w:t>
            </w:r>
          </w:p>
        </w:tc>
        <w:tc>
          <w:tcPr>
            <w:tcW w:w="3656" w:type="dxa"/>
            <w:tcBorders>
              <w:top w:val="nil"/>
              <w:left w:val="nil"/>
              <w:bottom w:val="single" w:sz="18" w:space="0" w:color="auto"/>
              <w:right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11 (1·5)</w:t>
            </w:r>
          </w:p>
        </w:tc>
      </w:tr>
    </w:tbl>
    <w:p w:rsidR="006278D9" w:rsidRDefault="00A23B92" w:rsidP="00A23B92">
      <w:pPr>
        <w:widowControl w:val="0"/>
        <w:autoSpaceDE w:val="0"/>
        <w:autoSpaceDN w:val="0"/>
        <w:adjustRightInd w:val="0"/>
        <w:rPr>
          <w:rFonts w:ascii="Times New Roman" w:hAnsi="Times New Roman"/>
          <w:sz w:val="20"/>
          <w:lang w:val="en-GB"/>
        </w:rPr>
      </w:pPr>
      <w:r w:rsidRPr="006F67C8">
        <w:rPr>
          <w:rFonts w:ascii="Times New Roman" w:hAnsi="Times New Roman"/>
          <w:sz w:val="20"/>
          <w:lang w:val="en-GB"/>
        </w:rPr>
        <w:t>APE: Abdomino-perineal excision.  IPAA: Ileal Pouch-Anal Anastomosis.  TME: Total mesorectal excision.  SILS: Single incision laparoscopic surgery. SD: Standard Deviatio</w:t>
      </w:r>
      <w:r w:rsidR="006278D9">
        <w:rPr>
          <w:rFonts w:ascii="Times New Roman" w:hAnsi="Times New Roman"/>
          <w:sz w:val="20"/>
          <w:lang w:val="en-GB"/>
        </w:rPr>
        <w:t>n</w:t>
      </w:r>
    </w:p>
    <w:p w:rsidR="006278D9" w:rsidRDefault="00885501" w:rsidP="00A23B92">
      <w:pPr>
        <w:widowControl w:val="0"/>
        <w:autoSpaceDE w:val="0"/>
        <w:autoSpaceDN w:val="0"/>
        <w:adjustRightInd w:val="0"/>
        <w:rPr>
          <w:rFonts w:ascii="Times New Roman" w:hAnsi="Times New Roman"/>
          <w:sz w:val="20"/>
          <w:lang w:val="en-GB"/>
        </w:rPr>
      </w:pPr>
      <w:r>
        <w:rPr>
          <w:rFonts w:ascii="Times New Roman" w:hAnsi="Times New Roman"/>
          <w:sz w:val="20"/>
          <w:lang w:val="en-GB"/>
        </w:rPr>
        <w:t>*Other sites of specimen extraction:</w:t>
      </w:r>
      <w:r w:rsidR="0061456B">
        <w:rPr>
          <w:rFonts w:ascii="Times New Roman" w:hAnsi="Times New Roman"/>
          <w:sz w:val="20"/>
          <w:lang w:val="en-GB"/>
        </w:rPr>
        <w:t xml:space="preserve"> Single port incision (n=44, 6.1%), midline laparotomy incision (n=40, 5.6%), and previous stoma site (n=8, 1.1%).</w:t>
      </w:r>
    </w:p>
    <w:p w:rsidR="006278D9" w:rsidRPr="006278D9" w:rsidRDefault="006278D9" w:rsidP="00A23B92">
      <w:pPr>
        <w:widowControl w:val="0"/>
        <w:autoSpaceDE w:val="0"/>
        <w:autoSpaceDN w:val="0"/>
        <w:adjustRightInd w:val="0"/>
        <w:rPr>
          <w:rFonts w:ascii="Times New Roman" w:hAnsi="Times New Roman"/>
          <w:sz w:val="20"/>
          <w:lang w:val="en-GB"/>
        </w:rPr>
      </w:pPr>
    </w:p>
    <w:p w:rsidR="00A23B92" w:rsidRDefault="00A23B92" w:rsidP="00A23B92">
      <w:pPr>
        <w:spacing w:line="480" w:lineRule="auto"/>
        <w:jc w:val="both"/>
        <w:rPr>
          <w:rFonts w:ascii="Times New Roman" w:hAnsi="Times New Roman"/>
          <w:b/>
          <w:sz w:val="20"/>
          <w:lang w:val="en-GB"/>
        </w:rPr>
      </w:pPr>
    </w:p>
    <w:p w:rsidR="00A23B92" w:rsidRDefault="00A23B92" w:rsidP="00A23B92">
      <w:pPr>
        <w:spacing w:line="480" w:lineRule="auto"/>
        <w:jc w:val="both"/>
        <w:rPr>
          <w:rFonts w:ascii="Times New Roman" w:hAnsi="Times New Roman"/>
          <w:b/>
          <w:sz w:val="20"/>
          <w:lang w:val="en-GB"/>
        </w:rPr>
      </w:pPr>
    </w:p>
    <w:p w:rsidR="00A23B92" w:rsidRDefault="00A23B92" w:rsidP="00A23B92">
      <w:pPr>
        <w:spacing w:line="480" w:lineRule="auto"/>
        <w:jc w:val="both"/>
        <w:rPr>
          <w:rFonts w:ascii="Times New Roman" w:hAnsi="Times New Roman"/>
          <w:b/>
          <w:sz w:val="20"/>
          <w:lang w:val="en-GB"/>
        </w:rPr>
      </w:pPr>
    </w:p>
    <w:p w:rsidR="00A23B92" w:rsidRPr="006F67C8" w:rsidRDefault="00A23B92" w:rsidP="00A23B92">
      <w:pPr>
        <w:spacing w:line="480" w:lineRule="auto"/>
        <w:jc w:val="both"/>
        <w:rPr>
          <w:rFonts w:ascii="Times New Roman" w:hAnsi="Times New Roman"/>
          <w:b/>
          <w:sz w:val="20"/>
          <w:lang w:val="en-GB"/>
        </w:rPr>
      </w:pPr>
    </w:p>
    <w:p w:rsidR="00D05299" w:rsidRDefault="00D05299">
      <w:pPr>
        <w:rPr>
          <w:rFonts w:ascii="Times New Roman" w:hAnsi="Times New Roman"/>
          <w:b/>
          <w:sz w:val="20"/>
          <w:lang w:val="en-GB"/>
        </w:rPr>
      </w:pPr>
      <w:r>
        <w:rPr>
          <w:rFonts w:ascii="Times New Roman" w:hAnsi="Times New Roman"/>
          <w:b/>
          <w:sz w:val="20"/>
          <w:lang w:val="en-GB"/>
        </w:rPr>
        <w:br w:type="page"/>
      </w:r>
    </w:p>
    <w:p w:rsidR="00A23B92" w:rsidRDefault="00A23B92" w:rsidP="00A23B92">
      <w:pPr>
        <w:spacing w:line="480" w:lineRule="auto"/>
        <w:jc w:val="both"/>
        <w:rPr>
          <w:rFonts w:ascii="Times New Roman" w:hAnsi="Times New Roman"/>
          <w:sz w:val="20"/>
          <w:lang w:val="en-GB"/>
        </w:rPr>
      </w:pPr>
      <w:r w:rsidRPr="006F67C8">
        <w:rPr>
          <w:rFonts w:ascii="Times New Roman" w:hAnsi="Times New Roman"/>
          <w:b/>
          <w:sz w:val="20"/>
          <w:lang w:val="en-GB"/>
        </w:rPr>
        <w:t xml:space="preserve">Table 4: </w:t>
      </w:r>
      <w:r w:rsidRPr="006F67C8">
        <w:rPr>
          <w:rFonts w:ascii="Times New Roman" w:hAnsi="Times New Roman"/>
          <w:sz w:val="20"/>
          <w:lang w:val="en-GB"/>
        </w:rPr>
        <w:t xml:space="preserve">Post-operative short-term clinical outcomes.  </w:t>
      </w:r>
    </w:p>
    <w:tbl>
      <w:tblPr>
        <w:tblW w:w="9306" w:type="dxa"/>
        <w:jc w:val="center"/>
        <w:tblBorders>
          <w:top w:val="single" w:sz="12" w:space="0" w:color="008000"/>
          <w:left w:val="nil"/>
          <w:bottom w:val="single" w:sz="12" w:space="0" w:color="008000"/>
          <w:right w:val="nil"/>
          <w:insideH w:val="nil"/>
          <w:insideV w:val="nil"/>
        </w:tblBorders>
        <w:tblLayout w:type="fixed"/>
        <w:tblLook w:val="00A0"/>
      </w:tblPr>
      <w:tblGrid>
        <w:gridCol w:w="5650"/>
        <w:gridCol w:w="3656"/>
      </w:tblGrid>
      <w:tr w:rsidR="00A23B92" w:rsidRPr="00B22710">
        <w:trPr>
          <w:jc w:val="center"/>
        </w:trPr>
        <w:tc>
          <w:tcPr>
            <w:tcW w:w="5650" w:type="dxa"/>
            <w:tcBorders>
              <w:top w:val="single" w:sz="18" w:space="0" w:color="auto"/>
              <w:left w:val="nil"/>
              <w:bottom w:val="single" w:sz="18" w:space="0" w:color="auto"/>
              <w:right w:val="nil"/>
            </w:tcBorders>
            <w:vAlign w:val="center"/>
          </w:tcPr>
          <w:p w:rsidR="00A23B92" w:rsidRPr="006F67C8" w:rsidRDefault="00A23B92">
            <w:pPr>
              <w:spacing w:before="60"/>
              <w:rPr>
                <w:rFonts w:ascii="Times New Roman" w:hAnsi="Times New Roman"/>
                <w:b/>
                <w:sz w:val="20"/>
              </w:rPr>
            </w:pPr>
            <w:r>
              <w:rPr>
                <w:rFonts w:ascii="Times New Roman" w:hAnsi="Times New Roman"/>
                <w:b/>
                <w:sz w:val="20"/>
              </w:rPr>
              <w:t>POST-OPERATIVE CLINICAL OUTCOMES</w:t>
            </w:r>
          </w:p>
          <w:p w:rsidR="00A23B92" w:rsidRPr="006F67C8" w:rsidRDefault="00A23B92">
            <w:pPr>
              <w:spacing w:before="60"/>
              <w:rPr>
                <w:rFonts w:ascii="Times New Roman" w:hAnsi="Times New Roman"/>
                <w:sz w:val="20"/>
              </w:rPr>
            </w:pPr>
            <w:r w:rsidRPr="006F67C8">
              <w:rPr>
                <w:rFonts w:ascii="Times New Roman" w:hAnsi="Times New Roman"/>
                <w:sz w:val="20"/>
              </w:rPr>
              <w:t>Factor</w:t>
            </w:r>
          </w:p>
          <w:p w:rsidR="00A23B92" w:rsidRPr="00B22710" w:rsidRDefault="00A23B92" w:rsidP="00A23B92">
            <w:pPr>
              <w:numPr>
                <w:ilvl w:val="0"/>
                <w:numId w:val="25"/>
              </w:numPr>
              <w:tabs>
                <w:tab w:val="clear" w:pos="720"/>
                <w:tab w:val="num" w:pos="252"/>
              </w:tabs>
              <w:spacing w:before="60"/>
              <w:ind w:hanging="720"/>
              <w:rPr>
                <w:rFonts w:ascii="Times New Roman" w:hAnsi="Times New Roman"/>
                <w:sz w:val="20"/>
              </w:rPr>
            </w:pPr>
            <w:r w:rsidRPr="006F67C8">
              <w:rPr>
                <w:rFonts w:ascii="Times New Roman" w:hAnsi="Times New Roman"/>
                <w:sz w:val="20"/>
              </w:rPr>
              <w:t>Category</w:t>
            </w:r>
          </w:p>
        </w:tc>
        <w:tc>
          <w:tcPr>
            <w:tcW w:w="3656" w:type="dxa"/>
            <w:tcBorders>
              <w:top w:val="single" w:sz="18" w:space="0" w:color="auto"/>
              <w:left w:val="nil"/>
              <w:bottom w:val="single" w:sz="18" w:space="0" w:color="auto"/>
              <w:right w:val="nil"/>
            </w:tcBorders>
          </w:tcPr>
          <w:p w:rsidR="00A23B92" w:rsidRPr="00B22710" w:rsidRDefault="00A23B92" w:rsidP="00A23B92">
            <w:pPr>
              <w:spacing w:before="60"/>
              <w:jc w:val="center"/>
              <w:rPr>
                <w:rFonts w:ascii="Times New Roman" w:hAnsi="Times New Roman"/>
                <w:sz w:val="20"/>
              </w:rPr>
            </w:pPr>
            <w:r w:rsidRPr="006F67C8">
              <w:rPr>
                <w:rFonts w:ascii="Times New Roman" w:hAnsi="Times New Roman"/>
                <w:sz w:val="20"/>
              </w:rPr>
              <w:t xml:space="preserve"> </w:t>
            </w:r>
            <w:r w:rsidRPr="006F67C8">
              <w:rPr>
                <w:rFonts w:ascii="Times New Roman" w:eastAsia="MS Gothic" w:hAnsi="Times New Roman"/>
                <w:b/>
                <w:bCs/>
                <w:sz w:val="20"/>
                <w:szCs w:val="22"/>
              </w:rPr>
              <w:t>TaTME registry data results</w:t>
            </w:r>
          </w:p>
          <w:p w:rsidR="00A23B92" w:rsidRPr="00B22710" w:rsidRDefault="00A23B92" w:rsidP="00A23B92">
            <w:pPr>
              <w:spacing w:before="60"/>
              <w:jc w:val="center"/>
              <w:rPr>
                <w:rFonts w:ascii="Times New Roman" w:hAnsi="Times New Roman"/>
                <w:sz w:val="20"/>
              </w:rPr>
            </w:pPr>
            <w:r>
              <w:rPr>
                <w:rFonts w:ascii="Times New Roman" w:eastAsia="MS Gothic" w:hAnsi="Times New Roman"/>
                <w:bCs/>
                <w:sz w:val="20"/>
                <w:szCs w:val="22"/>
              </w:rPr>
              <w:t>Total: 720</w:t>
            </w:r>
            <w:r w:rsidRPr="00B22710">
              <w:rPr>
                <w:rFonts w:ascii="Times New Roman" w:eastAsia="MS Gothic" w:hAnsi="Times New Roman"/>
                <w:bCs/>
                <w:sz w:val="20"/>
                <w:szCs w:val="22"/>
              </w:rPr>
              <w:t xml:space="preserve"> cases</w:t>
            </w:r>
          </w:p>
        </w:tc>
      </w:tr>
      <w:tr w:rsidR="00A23B92" w:rsidRPr="0040393C">
        <w:trPr>
          <w:jc w:val="center"/>
        </w:trPr>
        <w:tc>
          <w:tcPr>
            <w:tcW w:w="5650" w:type="dxa"/>
            <w:tcBorders>
              <w:top w:val="single" w:sz="18" w:space="0" w:color="auto"/>
              <w:left w:val="nil"/>
              <w:bottom w:val="nil"/>
              <w:right w:val="nil"/>
            </w:tcBorders>
            <w:vAlign w:val="bottom"/>
          </w:tcPr>
          <w:p w:rsidR="00A23B92" w:rsidRPr="0040393C" w:rsidRDefault="00A23B92" w:rsidP="00A23B92">
            <w:pPr>
              <w:spacing w:before="60"/>
              <w:rPr>
                <w:rFonts w:ascii="Times New Roman" w:hAnsi="Times New Roman"/>
                <w:b/>
                <w:sz w:val="20"/>
              </w:rPr>
            </w:pPr>
            <w:r>
              <w:rPr>
                <w:rFonts w:ascii="Times New Roman" w:hAnsi="Times New Roman"/>
                <w:b/>
                <w:sz w:val="20"/>
              </w:rPr>
              <w:t>Length of hospital stay in days, median (range)</w:t>
            </w:r>
            <w:r w:rsidRPr="0040393C">
              <w:rPr>
                <w:rFonts w:ascii="Times New Roman" w:hAnsi="Times New Roman"/>
                <w:b/>
                <w:sz w:val="20"/>
              </w:rPr>
              <w:t xml:space="preserve"> </w:t>
            </w:r>
          </w:p>
        </w:tc>
        <w:tc>
          <w:tcPr>
            <w:tcW w:w="3656" w:type="dxa"/>
            <w:tcBorders>
              <w:top w:val="single" w:sz="18" w:space="0" w:color="auto"/>
              <w:left w:val="nil"/>
              <w:bottom w:val="nil"/>
              <w:right w:val="nil"/>
            </w:tcBorders>
          </w:tcPr>
          <w:p w:rsidR="00A23B92" w:rsidRPr="0040393C" w:rsidRDefault="00A23B92" w:rsidP="00A23B92">
            <w:pPr>
              <w:spacing w:before="60"/>
              <w:jc w:val="center"/>
              <w:rPr>
                <w:rFonts w:ascii="Times New Roman" w:hAnsi="Times New Roman"/>
                <w:sz w:val="20"/>
              </w:rPr>
            </w:pPr>
            <w:r>
              <w:rPr>
                <w:rFonts w:ascii="Times New Roman" w:hAnsi="Times New Roman"/>
                <w:sz w:val="20"/>
              </w:rPr>
              <w:t>8·00 (2–97)</w:t>
            </w:r>
          </w:p>
        </w:tc>
      </w:tr>
      <w:tr w:rsidR="00A23B92" w:rsidRPr="006F67C8">
        <w:trPr>
          <w:jc w:val="center"/>
        </w:trPr>
        <w:tc>
          <w:tcPr>
            <w:tcW w:w="5650" w:type="dxa"/>
            <w:tcBorders>
              <w:top w:val="nil"/>
              <w:left w:val="nil"/>
              <w:bottom w:val="nil"/>
              <w:right w:val="nil"/>
            </w:tcBorders>
            <w:vAlign w:val="bottom"/>
          </w:tcPr>
          <w:p w:rsidR="00A23B92" w:rsidRPr="006F67C8" w:rsidRDefault="00A23B92">
            <w:pPr>
              <w:spacing w:before="60"/>
              <w:rPr>
                <w:rFonts w:ascii="Times New Roman" w:hAnsi="Times New Roman"/>
                <w:b/>
                <w:sz w:val="20"/>
              </w:rPr>
            </w:pPr>
            <w:r>
              <w:rPr>
                <w:rFonts w:ascii="Times New Roman" w:eastAsia="MS Gothic" w:hAnsi="Times New Roman"/>
                <w:b/>
                <w:bCs/>
                <w:sz w:val="20"/>
                <w:szCs w:val="22"/>
              </w:rPr>
              <w:t>Post-operative morbidity at 30 days, n (%)</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213 (32·6)</w:t>
            </w:r>
          </w:p>
        </w:tc>
      </w:tr>
      <w:tr w:rsidR="00A23B92" w:rsidRPr="006F67C8">
        <w:trPr>
          <w:jc w:val="center"/>
        </w:trPr>
        <w:tc>
          <w:tcPr>
            <w:tcW w:w="5650" w:type="dxa"/>
            <w:tcBorders>
              <w:top w:val="nil"/>
              <w:left w:val="nil"/>
              <w:bottom w:val="nil"/>
              <w:right w:val="nil"/>
            </w:tcBorders>
            <w:vAlign w:val="bottom"/>
          </w:tcPr>
          <w:p w:rsidR="00A23B92" w:rsidRPr="006F67C8" w:rsidRDefault="00A23B92">
            <w:pPr>
              <w:spacing w:before="60"/>
              <w:rPr>
                <w:rFonts w:ascii="Times New Roman" w:eastAsia="MS Gothic" w:hAnsi="Times New Roman"/>
                <w:b/>
                <w:bCs/>
                <w:sz w:val="20"/>
                <w:szCs w:val="22"/>
              </w:rPr>
            </w:pPr>
            <w:r>
              <w:rPr>
                <w:rFonts w:ascii="Times New Roman" w:eastAsia="MS Gothic" w:hAnsi="Times New Roman"/>
                <w:b/>
                <w:bCs/>
                <w:sz w:val="20"/>
                <w:szCs w:val="22"/>
              </w:rPr>
              <w:t>Clavien-Dindo classification at 30 days, n (%)</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p>
        </w:tc>
      </w:tr>
      <w:tr w:rsidR="00A23B92" w:rsidRPr="006F67C8">
        <w:trPr>
          <w:jc w:val="center"/>
        </w:trPr>
        <w:tc>
          <w:tcPr>
            <w:tcW w:w="5650" w:type="dxa"/>
            <w:tcBorders>
              <w:top w:val="nil"/>
              <w:left w:val="nil"/>
              <w:bottom w:val="nil"/>
              <w:right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I or II</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142 (21·7)</w:t>
            </w:r>
          </w:p>
        </w:tc>
      </w:tr>
      <w:tr w:rsidR="00A23B92" w:rsidRPr="006F67C8">
        <w:trPr>
          <w:jc w:val="center"/>
        </w:trPr>
        <w:tc>
          <w:tcPr>
            <w:tcW w:w="5650" w:type="dxa"/>
            <w:tcBorders>
              <w:top w:val="nil"/>
              <w:left w:val="nil"/>
              <w:bottom w:val="nil"/>
              <w:right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III</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66 (10·1)</w:t>
            </w:r>
          </w:p>
        </w:tc>
      </w:tr>
      <w:tr w:rsidR="00A23B92" w:rsidRPr="006F67C8">
        <w:trPr>
          <w:jc w:val="center"/>
        </w:trPr>
        <w:tc>
          <w:tcPr>
            <w:tcW w:w="5650" w:type="dxa"/>
            <w:tcBorders>
              <w:top w:val="nil"/>
              <w:left w:val="nil"/>
              <w:bottom w:val="nil"/>
              <w:right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eastAsia="MS Gothic" w:hAnsi="Times New Roman" w:cs="Arial"/>
                <w:bCs/>
                <w:sz w:val="20"/>
                <w:szCs w:val="22"/>
              </w:rPr>
              <w:t>IV</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5 (0·8)</w:t>
            </w:r>
          </w:p>
        </w:tc>
      </w:tr>
      <w:tr w:rsidR="00A23B92" w:rsidRPr="006F67C8">
        <w:trPr>
          <w:jc w:val="center"/>
        </w:trPr>
        <w:tc>
          <w:tcPr>
            <w:tcW w:w="5650" w:type="dxa"/>
            <w:tcBorders>
              <w:top w:val="nil"/>
              <w:left w:val="nil"/>
              <w:bottom w:val="nil"/>
              <w:right w:val="nil"/>
            </w:tcBorders>
            <w:vAlign w:val="bottom"/>
          </w:tcPr>
          <w:p w:rsidR="00A1083D" w:rsidRDefault="00A23B92" w:rsidP="00A23B92">
            <w:pPr>
              <w:numPr>
                <w:ilvl w:val="0"/>
                <w:numId w:val="25"/>
              </w:numPr>
              <w:tabs>
                <w:tab w:val="clear" w:pos="720"/>
                <w:tab w:val="num" w:pos="252"/>
              </w:tabs>
              <w:spacing w:before="60"/>
              <w:ind w:hanging="720"/>
              <w:rPr>
                <w:rFonts w:ascii="Times New Roman" w:eastAsia="MS Gothic" w:hAnsi="Times New Roman" w:cs="Arial"/>
                <w:bCs/>
                <w:sz w:val="20"/>
                <w:szCs w:val="22"/>
              </w:rPr>
            </w:pPr>
            <w:r>
              <w:rPr>
                <w:rFonts w:ascii="Times New Roman" w:eastAsia="MS Gothic" w:hAnsi="Times New Roman" w:cs="Arial"/>
                <w:bCs/>
                <w:sz w:val="20"/>
                <w:szCs w:val="22"/>
              </w:rPr>
              <w:t>V</w:t>
            </w:r>
          </w:p>
          <w:p w:rsidR="00A23B92" w:rsidRDefault="00A1083D" w:rsidP="00A23B92">
            <w:pPr>
              <w:numPr>
                <w:ilvl w:val="0"/>
                <w:numId w:val="25"/>
              </w:numPr>
              <w:tabs>
                <w:tab w:val="clear" w:pos="720"/>
                <w:tab w:val="num" w:pos="252"/>
              </w:tabs>
              <w:spacing w:before="60"/>
              <w:ind w:hanging="720"/>
              <w:rPr>
                <w:rFonts w:ascii="Times New Roman" w:eastAsia="MS Gothic" w:hAnsi="Times New Roman" w:cs="Arial"/>
                <w:bCs/>
                <w:sz w:val="20"/>
                <w:szCs w:val="22"/>
              </w:rPr>
            </w:pPr>
            <w:r w:rsidRPr="00A1083D">
              <w:rPr>
                <w:rFonts w:ascii="Times New Roman" w:eastAsia="MS Gothic" w:hAnsi="Times New Roman" w:cs="Arial"/>
                <w:bCs/>
                <w:sz w:val="20"/>
                <w:szCs w:val="22"/>
                <w:highlight w:val="cyan"/>
              </w:rPr>
              <w:t>Missing</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3 (0·5)</w:t>
            </w:r>
            <w:r w:rsidR="00A1083D">
              <w:rPr>
                <w:rFonts w:ascii="Times New Roman" w:hAnsi="Times New Roman"/>
                <w:sz w:val="20"/>
              </w:rPr>
              <w:br/>
            </w:r>
            <w:r w:rsidR="00A1083D" w:rsidRPr="00A1083D">
              <w:rPr>
                <w:rFonts w:ascii="Times New Roman" w:hAnsi="Times New Roman"/>
                <w:sz w:val="20"/>
                <w:highlight w:val="cyan"/>
              </w:rPr>
              <w:t>68 (9.4)</w:t>
            </w:r>
          </w:p>
        </w:tc>
      </w:tr>
      <w:tr w:rsidR="00A23B92">
        <w:trPr>
          <w:jc w:val="center"/>
        </w:trPr>
        <w:tc>
          <w:tcPr>
            <w:tcW w:w="5650" w:type="dxa"/>
            <w:tcBorders>
              <w:top w:val="nil"/>
              <w:left w:val="nil"/>
              <w:bottom w:val="nil"/>
              <w:right w:val="nil"/>
            </w:tcBorders>
            <w:vAlign w:val="bottom"/>
          </w:tcPr>
          <w:p w:rsidR="00A23B92" w:rsidRPr="0040393C" w:rsidRDefault="00A23B92" w:rsidP="00A23B92">
            <w:pPr>
              <w:spacing w:before="60"/>
              <w:rPr>
                <w:rFonts w:ascii="Times New Roman" w:hAnsi="Times New Roman"/>
                <w:b/>
                <w:sz w:val="20"/>
              </w:rPr>
            </w:pPr>
            <w:r>
              <w:rPr>
                <w:rFonts w:ascii="Times New Roman" w:hAnsi="Times New Roman"/>
                <w:b/>
                <w:sz w:val="20"/>
              </w:rPr>
              <w:t>Overall Mortality Rate</w:t>
            </w:r>
            <w:r w:rsidR="00897552">
              <w:rPr>
                <w:rFonts w:ascii="Times New Roman" w:hAnsi="Times New Roman"/>
                <w:b/>
                <w:sz w:val="20"/>
              </w:rPr>
              <w:t>*</w:t>
            </w:r>
            <w:r>
              <w:rPr>
                <w:rFonts w:ascii="Times New Roman" w:hAnsi="Times New Roman"/>
                <w:b/>
                <w:sz w:val="20"/>
              </w:rPr>
              <w:t>, n (%)</w:t>
            </w:r>
            <w:r w:rsidRPr="0040393C">
              <w:rPr>
                <w:rFonts w:ascii="Times New Roman" w:hAnsi="Times New Roman"/>
                <w:b/>
                <w:sz w:val="20"/>
              </w:rPr>
              <w:t xml:space="preserve"> </w:t>
            </w:r>
          </w:p>
        </w:tc>
        <w:tc>
          <w:tcPr>
            <w:tcW w:w="3656" w:type="dxa"/>
            <w:tcBorders>
              <w:top w:val="nil"/>
              <w:left w:val="nil"/>
              <w:bottom w:val="nil"/>
              <w:right w:val="nil"/>
            </w:tcBorders>
          </w:tcPr>
          <w:p w:rsidR="00A23B92" w:rsidRDefault="00A23B92" w:rsidP="00A23B92">
            <w:pPr>
              <w:spacing w:before="60"/>
              <w:jc w:val="center"/>
              <w:rPr>
                <w:rFonts w:ascii="Times New Roman" w:hAnsi="Times New Roman"/>
                <w:sz w:val="20"/>
              </w:rPr>
            </w:pPr>
            <w:r>
              <w:rPr>
                <w:rFonts w:ascii="Times New Roman" w:hAnsi="Times New Roman"/>
                <w:sz w:val="20"/>
              </w:rPr>
              <w:t>17 (2·4)</w:t>
            </w:r>
          </w:p>
        </w:tc>
      </w:tr>
      <w:tr w:rsidR="00A23B92" w:rsidRPr="006F67C8">
        <w:trPr>
          <w:jc w:val="center"/>
        </w:trPr>
        <w:tc>
          <w:tcPr>
            <w:tcW w:w="5650" w:type="dxa"/>
            <w:tcBorders>
              <w:top w:val="nil"/>
              <w:left w:val="nil"/>
              <w:bottom w:val="nil"/>
              <w:right w:val="nil"/>
            </w:tcBorders>
            <w:vAlign w:val="bottom"/>
          </w:tcPr>
          <w:p w:rsidR="00A23B92" w:rsidRPr="006F67C8" w:rsidRDefault="00A23B92">
            <w:pPr>
              <w:spacing w:before="60"/>
              <w:rPr>
                <w:rFonts w:ascii="Times New Roman" w:eastAsia="MS Gothic" w:hAnsi="Times New Roman"/>
                <w:b/>
                <w:bCs/>
                <w:sz w:val="20"/>
                <w:szCs w:val="22"/>
              </w:rPr>
            </w:pPr>
            <w:r>
              <w:rPr>
                <w:rFonts w:ascii="Times New Roman" w:eastAsia="MS Gothic" w:hAnsi="Times New Roman"/>
                <w:b/>
                <w:bCs/>
                <w:sz w:val="20"/>
                <w:szCs w:val="22"/>
              </w:rPr>
              <w:t>Adverse events, n (%)</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p>
        </w:tc>
      </w:tr>
      <w:tr w:rsidR="00A23B92" w:rsidRPr="006F67C8">
        <w:trPr>
          <w:jc w:val="center"/>
        </w:trPr>
        <w:tc>
          <w:tcPr>
            <w:tcW w:w="5650" w:type="dxa"/>
            <w:tcBorders>
              <w:top w:val="nil"/>
              <w:bottom w:val="nil"/>
            </w:tcBorders>
            <w:vAlign w:val="bottom"/>
          </w:tcPr>
          <w:p w:rsidR="00A23B92" w:rsidRDefault="00A23B92" w:rsidP="00A23B92">
            <w:pPr>
              <w:spacing w:before="60"/>
              <w:rPr>
                <w:rFonts w:ascii="Times New Roman" w:hAnsi="Times New Roman"/>
                <w:sz w:val="20"/>
              </w:rPr>
            </w:pPr>
            <w:r>
              <w:rPr>
                <w:rFonts w:ascii="Times New Roman" w:hAnsi="Times New Roman"/>
                <w:sz w:val="20"/>
              </w:rPr>
              <w:t>Anastomotic leak:</w:t>
            </w:r>
          </w:p>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Early</w:t>
            </w:r>
          </w:p>
        </w:tc>
        <w:tc>
          <w:tcPr>
            <w:tcW w:w="3656" w:type="dxa"/>
            <w:tcBorders>
              <w:top w:val="nil"/>
              <w:bottom w:val="nil"/>
            </w:tcBorders>
          </w:tcPr>
          <w:p w:rsidR="00A23B92" w:rsidRDefault="00A23B92" w:rsidP="00A23B92">
            <w:pPr>
              <w:spacing w:before="60"/>
              <w:jc w:val="center"/>
              <w:rPr>
                <w:rFonts w:ascii="Times New Roman" w:hAnsi="Times New Roman"/>
                <w:sz w:val="20"/>
              </w:rPr>
            </w:pPr>
          </w:p>
          <w:p w:rsidR="00A23B92" w:rsidRPr="006F67C8" w:rsidRDefault="002F2231" w:rsidP="00A23B92">
            <w:pPr>
              <w:spacing w:before="60"/>
              <w:jc w:val="center"/>
              <w:rPr>
                <w:rFonts w:ascii="Times New Roman" w:hAnsi="Times New Roman"/>
                <w:sz w:val="20"/>
              </w:rPr>
            </w:pPr>
            <w:r>
              <w:rPr>
                <w:rFonts w:ascii="Times New Roman" w:hAnsi="Times New Roman"/>
                <w:sz w:val="20"/>
              </w:rPr>
              <w:t>32 (5·4</w:t>
            </w:r>
            <w:r w:rsidR="00A23B92">
              <w:rPr>
                <w:rFonts w:ascii="Times New Roman" w:hAnsi="Times New Roman"/>
                <w:sz w:val="20"/>
              </w:rPr>
              <w:t xml:space="preserve">) </w:t>
            </w:r>
          </w:p>
        </w:tc>
      </w:tr>
      <w:tr w:rsidR="00A23B92" w:rsidRPr="006F67C8">
        <w:trPr>
          <w:jc w:val="center"/>
        </w:trPr>
        <w:tc>
          <w:tcPr>
            <w:tcW w:w="5650" w:type="dxa"/>
            <w:tcBorders>
              <w:top w:val="nil"/>
              <w:bottom w:val="nil"/>
            </w:tcBorders>
            <w:vAlign w:val="bottom"/>
          </w:tcPr>
          <w:p w:rsidR="000347DD"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Delayed</w:t>
            </w:r>
          </w:p>
          <w:p w:rsidR="00A23B92" w:rsidRDefault="000347DD" w:rsidP="00A23B92">
            <w:pPr>
              <w:numPr>
                <w:ilvl w:val="0"/>
                <w:numId w:val="25"/>
              </w:numPr>
              <w:tabs>
                <w:tab w:val="clear" w:pos="720"/>
                <w:tab w:val="num" w:pos="252"/>
              </w:tabs>
              <w:spacing w:before="60"/>
              <w:ind w:hanging="720"/>
              <w:rPr>
                <w:rFonts w:ascii="Times New Roman" w:hAnsi="Times New Roman"/>
                <w:sz w:val="20"/>
              </w:rPr>
            </w:pPr>
            <w:r w:rsidRPr="000347DD">
              <w:rPr>
                <w:rFonts w:ascii="Times New Roman" w:hAnsi="Times New Roman"/>
                <w:sz w:val="20"/>
                <w:highlight w:val="cyan"/>
              </w:rPr>
              <w:t>Missing</w:t>
            </w:r>
          </w:p>
        </w:tc>
        <w:tc>
          <w:tcPr>
            <w:tcW w:w="3656" w:type="dxa"/>
            <w:tcBorders>
              <w:top w:val="nil"/>
              <w:bottom w:val="nil"/>
            </w:tcBorders>
          </w:tcPr>
          <w:p w:rsidR="000347DD" w:rsidRDefault="00A23B92" w:rsidP="00A23B92">
            <w:pPr>
              <w:spacing w:before="60"/>
              <w:jc w:val="center"/>
              <w:rPr>
                <w:rFonts w:ascii="Times New Roman" w:hAnsi="Times New Roman"/>
                <w:sz w:val="20"/>
              </w:rPr>
            </w:pPr>
            <w:r>
              <w:rPr>
                <w:rFonts w:ascii="Times New Roman" w:hAnsi="Times New Roman"/>
                <w:sz w:val="20"/>
              </w:rPr>
              <w:t>8 (1·3)</w:t>
            </w:r>
          </w:p>
          <w:p w:rsidR="00A23B92" w:rsidRPr="006F67C8" w:rsidRDefault="000347DD" w:rsidP="00A23B92">
            <w:pPr>
              <w:spacing w:before="60"/>
              <w:jc w:val="center"/>
              <w:rPr>
                <w:rFonts w:ascii="Times New Roman" w:hAnsi="Times New Roman"/>
                <w:sz w:val="20"/>
              </w:rPr>
            </w:pPr>
            <w:r w:rsidRPr="000347DD">
              <w:rPr>
                <w:rFonts w:ascii="Times New Roman" w:hAnsi="Times New Roman"/>
                <w:sz w:val="20"/>
                <w:highlight w:val="cyan"/>
              </w:rPr>
              <w:t>86 (11.9)</w:t>
            </w:r>
          </w:p>
        </w:tc>
      </w:tr>
      <w:tr w:rsidR="00A23B92" w:rsidRPr="006F67C8">
        <w:trPr>
          <w:jc w:val="center"/>
        </w:trPr>
        <w:tc>
          <w:tcPr>
            <w:tcW w:w="5650" w:type="dxa"/>
            <w:tcBorders>
              <w:top w:val="nil"/>
              <w:bottom w:val="nil"/>
            </w:tcBorders>
            <w:vAlign w:val="bottom"/>
          </w:tcPr>
          <w:p w:rsidR="00A23B92" w:rsidRDefault="00A23B92" w:rsidP="00A23B92">
            <w:pPr>
              <w:spacing w:before="60"/>
              <w:rPr>
                <w:rFonts w:ascii="Times New Roman" w:hAnsi="Times New Roman"/>
                <w:sz w:val="20"/>
              </w:rPr>
            </w:pPr>
            <w:r>
              <w:rPr>
                <w:rFonts w:ascii="Times New Roman" w:hAnsi="Times New Roman"/>
                <w:sz w:val="20"/>
              </w:rPr>
              <w:t>Intra-abdominal / pelvic abscess</w:t>
            </w:r>
          </w:p>
        </w:tc>
        <w:tc>
          <w:tcPr>
            <w:tcW w:w="3656" w:type="dxa"/>
            <w:tcBorders>
              <w:top w:val="nil"/>
              <w:bottom w:val="nil"/>
            </w:tcBorders>
          </w:tcPr>
          <w:p w:rsidR="00A23B92" w:rsidRPr="006F67C8" w:rsidRDefault="000478C2" w:rsidP="00A23B92">
            <w:pPr>
              <w:spacing w:before="60"/>
              <w:jc w:val="center"/>
              <w:rPr>
                <w:rFonts w:ascii="Times New Roman" w:hAnsi="Times New Roman"/>
                <w:sz w:val="20"/>
              </w:rPr>
            </w:pPr>
            <w:r>
              <w:rPr>
                <w:rFonts w:ascii="Times New Roman" w:hAnsi="Times New Roman"/>
                <w:sz w:val="20"/>
              </w:rPr>
              <w:t>17 (2·4</w:t>
            </w:r>
            <w:r w:rsidR="00A23B92">
              <w:rPr>
                <w:rFonts w:ascii="Times New Roman" w:hAnsi="Times New Roman"/>
                <w:sz w:val="20"/>
              </w:rPr>
              <w:t>)</w:t>
            </w:r>
          </w:p>
        </w:tc>
      </w:tr>
      <w:tr w:rsidR="00A23B92" w:rsidRPr="006F67C8">
        <w:trPr>
          <w:jc w:val="center"/>
        </w:trPr>
        <w:tc>
          <w:tcPr>
            <w:tcW w:w="5650" w:type="dxa"/>
            <w:tcBorders>
              <w:top w:val="nil"/>
              <w:bottom w:val="nil"/>
            </w:tcBorders>
            <w:vAlign w:val="bottom"/>
          </w:tcPr>
          <w:p w:rsidR="00A23B92" w:rsidRPr="0040393C" w:rsidRDefault="00A23B92" w:rsidP="00A23B92">
            <w:pPr>
              <w:spacing w:before="60"/>
              <w:rPr>
                <w:rFonts w:ascii="Times New Roman" w:hAnsi="Times New Roman"/>
                <w:b/>
                <w:sz w:val="20"/>
              </w:rPr>
            </w:pPr>
            <w:r>
              <w:rPr>
                <w:rFonts w:ascii="Times New Roman" w:hAnsi="Times New Roman"/>
                <w:b/>
                <w:sz w:val="20"/>
              </w:rPr>
              <w:t>Surgical re-interventions</w:t>
            </w:r>
            <w:r w:rsidRPr="0040393C">
              <w:rPr>
                <w:rFonts w:ascii="Times New Roman" w:hAnsi="Times New Roman"/>
                <w:b/>
                <w:sz w:val="20"/>
              </w:rPr>
              <w:t xml:space="preserve"> </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44 (6·1)</w:t>
            </w:r>
          </w:p>
        </w:tc>
      </w:tr>
      <w:tr w:rsidR="00A23B92" w:rsidRPr="006F67C8">
        <w:trPr>
          <w:jc w:val="center"/>
        </w:trPr>
        <w:tc>
          <w:tcPr>
            <w:tcW w:w="5650" w:type="dxa"/>
            <w:tcBorders>
              <w:top w:val="nil"/>
              <w:left w:val="nil"/>
              <w:bottom w:val="single" w:sz="18" w:space="0" w:color="auto"/>
              <w:right w:val="nil"/>
            </w:tcBorders>
            <w:vAlign w:val="bottom"/>
          </w:tcPr>
          <w:p w:rsidR="00A23B92" w:rsidRPr="0040393C" w:rsidRDefault="00A23B92" w:rsidP="00A23B92">
            <w:pPr>
              <w:spacing w:before="60"/>
              <w:rPr>
                <w:rFonts w:ascii="Times New Roman" w:hAnsi="Times New Roman"/>
                <w:b/>
                <w:sz w:val="20"/>
              </w:rPr>
            </w:pPr>
            <w:r>
              <w:rPr>
                <w:rFonts w:ascii="Times New Roman" w:hAnsi="Times New Roman"/>
                <w:b/>
                <w:sz w:val="20"/>
              </w:rPr>
              <w:t>Unplanned hospital readmissions</w:t>
            </w:r>
            <w:r w:rsidRPr="0040393C">
              <w:rPr>
                <w:rFonts w:ascii="Times New Roman" w:hAnsi="Times New Roman"/>
                <w:b/>
                <w:sz w:val="20"/>
              </w:rPr>
              <w:t xml:space="preserve"> </w:t>
            </w:r>
          </w:p>
        </w:tc>
        <w:tc>
          <w:tcPr>
            <w:tcW w:w="3656" w:type="dxa"/>
            <w:tcBorders>
              <w:top w:val="nil"/>
              <w:left w:val="nil"/>
              <w:bottom w:val="single" w:sz="18" w:space="0" w:color="auto"/>
              <w:right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50 (6·9)</w:t>
            </w:r>
          </w:p>
        </w:tc>
      </w:tr>
    </w:tbl>
    <w:p w:rsidR="00A23B92" w:rsidRDefault="00897552" w:rsidP="00A23B92">
      <w:pPr>
        <w:spacing w:line="480" w:lineRule="auto"/>
        <w:jc w:val="both"/>
        <w:rPr>
          <w:rFonts w:ascii="Times New Roman" w:hAnsi="Times New Roman"/>
          <w:sz w:val="20"/>
          <w:lang w:val="en-GB"/>
        </w:rPr>
      </w:pPr>
      <w:r>
        <w:rPr>
          <w:rFonts w:ascii="Times New Roman" w:hAnsi="Times New Roman"/>
          <w:sz w:val="20"/>
          <w:lang w:val="en-GB"/>
        </w:rPr>
        <w:t xml:space="preserve">* </w:t>
      </w:r>
      <w:r w:rsidR="007C1A53">
        <w:rPr>
          <w:rFonts w:ascii="Times New Roman" w:hAnsi="Times New Roman"/>
          <w:sz w:val="20"/>
          <w:lang w:val="en-GB"/>
        </w:rPr>
        <w:t xml:space="preserve">Overall mortality rate refers to reported deaths occurring at any time point during the study period. </w:t>
      </w:r>
      <w:r w:rsidR="007C1A53" w:rsidRPr="006F67C8">
        <w:rPr>
          <w:rFonts w:ascii="Times New Roman" w:hAnsi="Times New Roman"/>
          <w:sz w:val="20"/>
          <w:lang w:val="en-GB"/>
        </w:rPr>
        <w:t xml:space="preserve">  </w:t>
      </w:r>
    </w:p>
    <w:p w:rsidR="00A23B92" w:rsidRPr="006F67C8" w:rsidRDefault="00A23B92" w:rsidP="00A23B92">
      <w:pPr>
        <w:spacing w:line="480" w:lineRule="auto"/>
        <w:jc w:val="both"/>
        <w:rPr>
          <w:rFonts w:ascii="Times New Roman" w:hAnsi="Times New Roman"/>
          <w:sz w:val="20"/>
          <w:lang w:val="en-GB"/>
        </w:rPr>
      </w:pPr>
    </w:p>
    <w:p w:rsidR="00A23B92" w:rsidRPr="006F67C8" w:rsidRDefault="00A23B92" w:rsidP="00A23B92">
      <w:pPr>
        <w:jc w:val="both"/>
        <w:rPr>
          <w:rFonts w:ascii="Times New Roman" w:hAnsi="Times New Roman"/>
          <w:b/>
          <w:sz w:val="20"/>
          <w:lang w:val="en-GB"/>
        </w:rPr>
      </w:pPr>
    </w:p>
    <w:p w:rsidR="00A23B92" w:rsidRDefault="00A23B92" w:rsidP="00A23B92">
      <w:pPr>
        <w:jc w:val="both"/>
        <w:rPr>
          <w:rFonts w:ascii="Times New Roman" w:hAnsi="Times New Roman"/>
          <w:b/>
          <w:sz w:val="20"/>
          <w:lang w:val="en-GB"/>
        </w:rPr>
      </w:pPr>
    </w:p>
    <w:p w:rsidR="00D05299" w:rsidRDefault="00D05299">
      <w:pPr>
        <w:rPr>
          <w:rFonts w:ascii="Times New Roman" w:hAnsi="Times New Roman"/>
          <w:b/>
          <w:sz w:val="20"/>
          <w:lang w:val="en-GB"/>
        </w:rPr>
      </w:pPr>
      <w:r>
        <w:rPr>
          <w:rFonts w:ascii="Times New Roman" w:hAnsi="Times New Roman"/>
          <w:b/>
          <w:sz w:val="20"/>
          <w:lang w:val="en-GB"/>
        </w:rPr>
        <w:br w:type="page"/>
      </w:r>
    </w:p>
    <w:p w:rsidR="00A23B92" w:rsidRDefault="00A23B92" w:rsidP="00A23B92">
      <w:pPr>
        <w:jc w:val="both"/>
        <w:rPr>
          <w:rFonts w:ascii="Times New Roman" w:hAnsi="Times New Roman"/>
          <w:sz w:val="20"/>
          <w:lang w:val="en-GB"/>
        </w:rPr>
      </w:pPr>
      <w:r w:rsidRPr="006F67C8">
        <w:rPr>
          <w:rFonts w:ascii="Times New Roman" w:hAnsi="Times New Roman"/>
          <w:b/>
          <w:sz w:val="20"/>
          <w:lang w:val="en-GB"/>
        </w:rPr>
        <w:t xml:space="preserve">Table 5: </w:t>
      </w:r>
      <w:r w:rsidRPr="006F67C8">
        <w:rPr>
          <w:rFonts w:ascii="Times New Roman" w:hAnsi="Times New Roman"/>
          <w:sz w:val="20"/>
          <w:lang w:val="en-GB"/>
        </w:rPr>
        <w:t xml:space="preserve">Histopathological data.  </w:t>
      </w:r>
    </w:p>
    <w:p w:rsidR="00A23B92" w:rsidRDefault="00A23B92" w:rsidP="00A23B92">
      <w:pPr>
        <w:jc w:val="both"/>
        <w:rPr>
          <w:rFonts w:ascii="Times New Roman" w:hAnsi="Times New Roman"/>
          <w:sz w:val="20"/>
          <w:lang w:val="en-GB"/>
        </w:rPr>
      </w:pPr>
    </w:p>
    <w:tbl>
      <w:tblPr>
        <w:tblW w:w="9306" w:type="dxa"/>
        <w:jc w:val="center"/>
        <w:tblBorders>
          <w:top w:val="single" w:sz="12" w:space="0" w:color="008000"/>
          <w:left w:val="nil"/>
          <w:bottom w:val="single" w:sz="12" w:space="0" w:color="008000"/>
          <w:right w:val="nil"/>
          <w:insideH w:val="nil"/>
          <w:insideV w:val="nil"/>
        </w:tblBorders>
        <w:tblLayout w:type="fixed"/>
        <w:tblLook w:val="00A0"/>
      </w:tblPr>
      <w:tblGrid>
        <w:gridCol w:w="5650"/>
        <w:gridCol w:w="3656"/>
      </w:tblGrid>
      <w:tr w:rsidR="00A23B92" w:rsidRPr="00B22710">
        <w:trPr>
          <w:jc w:val="center"/>
        </w:trPr>
        <w:tc>
          <w:tcPr>
            <w:tcW w:w="5650" w:type="dxa"/>
            <w:tcBorders>
              <w:top w:val="single" w:sz="18" w:space="0" w:color="auto"/>
              <w:left w:val="nil"/>
              <w:bottom w:val="single" w:sz="18" w:space="0" w:color="auto"/>
              <w:right w:val="nil"/>
            </w:tcBorders>
            <w:vAlign w:val="center"/>
          </w:tcPr>
          <w:p w:rsidR="00A23B92" w:rsidRPr="006F67C8" w:rsidRDefault="00A23B92">
            <w:pPr>
              <w:spacing w:before="60"/>
              <w:rPr>
                <w:rFonts w:ascii="Times New Roman" w:hAnsi="Times New Roman"/>
                <w:b/>
                <w:sz w:val="20"/>
              </w:rPr>
            </w:pPr>
            <w:r>
              <w:rPr>
                <w:rFonts w:ascii="Times New Roman" w:hAnsi="Times New Roman"/>
                <w:b/>
                <w:sz w:val="20"/>
              </w:rPr>
              <w:t>HISTOPATHOLOGICAL DATA</w:t>
            </w:r>
          </w:p>
          <w:p w:rsidR="00A23B92" w:rsidRPr="006F67C8" w:rsidRDefault="00A23B92">
            <w:pPr>
              <w:spacing w:before="60"/>
              <w:rPr>
                <w:rFonts w:ascii="Times New Roman" w:hAnsi="Times New Roman"/>
                <w:sz w:val="20"/>
              </w:rPr>
            </w:pPr>
            <w:r w:rsidRPr="006F67C8">
              <w:rPr>
                <w:rFonts w:ascii="Times New Roman" w:hAnsi="Times New Roman"/>
                <w:sz w:val="20"/>
              </w:rPr>
              <w:t>Factor</w:t>
            </w:r>
          </w:p>
          <w:p w:rsidR="00A23B92" w:rsidRPr="00B22710" w:rsidRDefault="00A23B92" w:rsidP="00A23B92">
            <w:pPr>
              <w:numPr>
                <w:ilvl w:val="0"/>
                <w:numId w:val="25"/>
              </w:numPr>
              <w:tabs>
                <w:tab w:val="clear" w:pos="720"/>
                <w:tab w:val="num" w:pos="252"/>
              </w:tabs>
              <w:spacing w:before="60"/>
              <w:ind w:hanging="720"/>
              <w:rPr>
                <w:rFonts w:ascii="Times New Roman" w:hAnsi="Times New Roman"/>
                <w:sz w:val="20"/>
              </w:rPr>
            </w:pPr>
            <w:r w:rsidRPr="006F67C8">
              <w:rPr>
                <w:rFonts w:ascii="Times New Roman" w:hAnsi="Times New Roman"/>
                <w:sz w:val="20"/>
              </w:rPr>
              <w:t>Category</w:t>
            </w:r>
          </w:p>
        </w:tc>
        <w:tc>
          <w:tcPr>
            <w:tcW w:w="3656" w:type="dxa"/>
            <w:tcBorders>
              <w:top w:val="single" w:sz="18" w:space="0" w:color="auto"/>
              <w:left w:val="nil"/>
              <w:bottom w:val="single" w:sz="18" w:space="0" w:color="auto"/>
              <w:right w:val="nil"/>
            </w:tcBorders>
          </w:tcPr>
          <w:p w:rsidR="00A23B92" w:rsidRPr="00B22710" w:rsidRDefault="00A23B92" w:rsidP="00A23B92">
            <w:pPr>
              <w:spacing w:before="60"/>
              <w:jc w:val="center"/>
              <w:rPr>
                <w:rFonts w:ascii="Times New Roman" w:hAnsi="Times New Roman"/>
                <w:sz w:val="20"/>
              </w:rPr>
            </w:pPr>
            <w:r w:rsidRPr="006F67C8">
              <w:rPr>
                <w:rFonts w:ascii="Times New Roman" w:hAnsi="Times New Roman"/>
                <w:sz w:val="20"/>
              </w:rPr>
              <w:t xml:space="preserve"> </w:t>
            </w:r>
            <w:r w:rsidRPr="006F67C8">
              <w:rPr>
                <w:rFonts w:ascii="Times New Roman" w:eastAsia="MS Gothic" w:hAnsi="Times New Roman"/>
                <w:b/>
                <w:bCs/>
                <w:sz w:val="20"/>
                <w:szCs w:val="22"/>
              </w:rPr>
              <w:t>TaTME registry data results</w:t>
            </w:r>
          </w:p>
          <w:p w:rsidR="00A23B92" w:rsidRPr="00B22710" w:rsidRDefault="00A23B92" w:rsidP="00A23B92">
            <w:pPr>
              <w:spacing w:before="60"/>
              <w:jc w:val="center"/>
              <w:rPr>
                <w:rFonts w:ascii="Times New Roman" w:hAnsi="Times New Roman"/>
                <w:sz w:val="20"/>
              </w:rPr>
            </w:pPr>
          </w:p>
        </w:tc>
      </w:tr>
      <w:tr w:rsidR="00A23B92" w:rsidRPr="0040393C">
        <w:trPr>
          <w:jc w:val="center"/>
        </w:trPr>
        <w:tc>
          <w:tcPr>
            <w:tcW w:w="5650" w:type="dxa"/>
            <w:tcBorders>
              <w:top w:val="single" w:sz="18" w:space="0" w:color="auto"/>
              <w:left w:val="nil"/>
              <w:bottom w:val="nil"/>
              <w:right w:val="nil"/>
            </w:tcBorders>
            <w:vAlign w:val="bottom"/>
          </w:tcPr>
          <w:p w:rsidR="00A23B92" w:rsidRPr="0040393C" w:rsidRDefault="00A23B92" w:rsidP="00A23B92">
            <w:pPr>
              <w:spacing w:before="60"/>
              <w:rPr>
                <w:rFonts w:ascii="Times New Roman" w:hAnsi="Times New Roman"/>
                <w:b/>
                <w:sz w:val="20"/>
              </w:rPr>
            </w:pPr>
            <w:r>
              <w:rPr>
                <w:rFonts w:ascii="Times New Roman" w:hAnsi="Times New Roman"/>
                <w:b/>
                <w:sz w:val="20"/>
              </w:rPr>
              <w:t>Total number of cancer cases</w:t>
            </w:r>
            <w:r w:rsidRPr="0040393C">
              <w:rPr>
                <w:rFonts w:ascii="Times New Roman" w:hAnsi="Times New Roman"/>
                <w:b/>
                <w:sz w:val="20"/>
              </w:rPr>
              <w:t xml:space="preserve"> </w:t>
            </w:r>
          </w:p>
        </w:tc>
        <w:tc>
          <w:tcPr>
            <w:tcW w:w="3656" w:type="dxa"/>
            <w:tcBorders>
              <w:top w:val="single" w:sz="18" w:space="0" w:color="auto"/>
              <w:left w:val="nil"/>
              <w:bottom w:val="nil"/>
              <w:right w:val="nil"/>
            </w:tcBorders>
          </w:tcPr>
          <w:p w:rsidR="00A23B92" w:rsidRPr="0040393C" w:rsidRDefault="00A23B92" w:rsidP="00A23B92">
            <w:pPr>
              <w:spacing w:before="60"/>
              <w:jc w:val="center"/>
              <w:rPr>
                <w:rFonts w:ascii="Times New Roman" w:hAnsi="Times New Roman"/>
                <w:sz w:val="20"/>
              </w:rPr>
            </w:pPr>
            <w:r>
              <w:rPr>
                <w:rFonts w:ascii="Times New Roman" w:hAnsi="Times New Roman"/>
                <w:sz w:val="20"/>
              </w:rPr>
              <w:t>634</w:t>
            </w:r>
          </w:p>
        </w:tc>
      </w:tr>
      <w:tr w:rsidR="00A23B92" w:rsidRPr="006F67C8">
        <w:trPr>
          <w:jc w:val="center"/>
        </w:trPr>
        <w:tc>
          <w:tcPr>
            <w:tcW w:w="5650" w:type="dxa"/>
            <w:tcBorders>
              <w:top w:val="nil"/>
              <w:left w:val="nil"/>
              <w:bottom w:val="nil"/>
              <w:right w:val="nil"/>
            </w:tcBorders>
            <w:vAlign w:val="bottom"/>
          </w:tcPr>
          <w:p w:rsidR="00A23B92" w:rsidRPr="006F67C8" w:rsidRDefault="00A23B92">
            <w:pPr>
              <w:spacing w:before="60"/>
              <w:rPr>
                <w:rFonts w:ascii="Times New Roman" w:eastAsia="MS Gothic" w:hAnsi="Times New Roman"/>
                <w:b/>
                <w:bCs/>
                <w:sz w:val="20"/>
                <w:szCs w:val="22"/>
              </w:rPr>
            </w:pPr>
            <w:r>
              <w:rPr>
                <w:rFonts w:ascii="Times New Roman" w:eastAsia="MS Gothic" w:hAnsi="Times New Roman"/>
                <w:b/>
                <w:bCs/>
                <w:sz w:val="20"/>
                <w:szCs w:val="22"/>
              </w:rPr>
              <w:t>Pathological T stage, n (%)</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p>
        </w:tc>
      </w:tr>
      <w:tr w:rsidR="00A23B92" w:rsidRPr="006F67C8">
        <w:trPr>
          <w:jc w:val="center"/>
        </w:trPr>
        <w:tc>
          <w:tcPr>
            <w:tcW w:w="5650" w:type="dxa"/>
            <w:tcBorders>
              <w:top w:val="nil"/>
              <w:left w:val="nil"/>
              <w:bottom w:val="nil"/>
              <w:right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T0</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82 (14·1)</w:t>
            </w:r>
          </w:p>
        </w:tc>
      </w:tr>
      <w:tr w:rsidR="00A23B92" w:rsidRPr="006F67C8">
        <w:trPr>
          <w:jc w:val="center"/>
        </w:trPr>
        <w:tc>
          <w:tcPr>
            <w:tcW w:w="5650" w:type="dxa"/>
            <w:tcBorders>
              <w:top w:val="nil"/>
              <w:left w:val="nil"/>
              <w:bottom w:val="nil"/>
              <w:right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T1</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70 (12·1)</w:t>
            </w:r>
          </w:p>
        </w:tc>
      </w:tr>
      <w:tr w:rsidR="00A23B92" w:rsidRPr="006F67C8">
        <w:trPr>
          <w:jc w:val="center"/>
        </w:trPr>
        <w:tc>
          <w:tcPr>
            <w:tcW w:w="5650" w:type="dxa"/>
            <w:tcBorders>
              <w:top w:val="nil"/>
              <w:left w:val="nil"/>
              <w:bottom w:val="nil"/>
              <w:right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T2</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197 (34·0)</w:t>
            </w:r>
          </w:p>
        </w:tc>
      </w:tr>
      <w:tr w:rsidR="00A23B92" w:rsidRPr="006F67C8">
        <w:trPr>
          <w:jc w:val="center"/>
        </w:trPr>
        <w:tc>
          <w:tcPr>
            <w:tcW w:w="5650" w:type="dxa"/>
            <w:tcBorders>
              <w:top w:val="nil"/>
              <w:left w:val="nil"/>
              <w:bottom w:val="nil"/>
              <w:right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eastAsia="MS Gothic" w:hAnsi="Times New Roman" w:cs="Arial"/>
                <w:bCs/>
                <w:sz w:val="20"/>
                <w:szCs w:val="22"/>
              </w:rPr>
              <w:t>T3</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222 (38·3)</w:t>
            </w:r>
          </w:p>
        </w:tc>
      </w:tr>
      <w:tr w:rsidR="00A23B92" w:rsidRPr="006F67C8">
        <w:trPr>
          <w:jc w:val="center"/>
        </w:trPr>
        <w:tc>
          <w:tcPr>
            <w:tcW w:w="5650" w:type="dxa"/>
            <w:tcBorders>
              <w:top w:val="nil"/>
              <w:left w:val="nil"/>
              <w:bottom w:val="nil"/>
              <w:right w:val="nil"/>
            </w:tcBorders>
            <w:vAlign w:val="bottom"/>
          </w:tcPr>
          <w:p w:rsidR="00A1083D" w:rsidRDefault="00A23B92" w:rsidP="00A23B92">
            <w:pPr>
              <w:numPr>
                <w:ilvl w:val="0"/>
                <w:numId w:val="25"/>
              </w:numPr>
              <w:tabs>
                <w:tab w:val="clear" w:pos="720"/>
                <w:tab w:val="num" w:pos="252"/>
              </w:tabs>
              <w:spacing w:before="60"/>
              <w:ind w:hanging="720"/>
              <w:rPr>
                <w:rFonts w:ascii="Times New Roman" w:eastAsia="MS Gothic" w:hAnsi="Times New Roman" w:cs="Arial"/>
                <w:bCs/>
                <w:sz w:val="20"/>
                <w:szCs w:val="22"/>
              </w:rPr>
            </w:pPr>
            <w:r>
              <w:rPr>
                <w:rFonts w:ascii="Times New Roman" w:eastAsia="MS Gothic" w:hAnsi="Times New Roman" w:cs="Arial"/>
                <w:bCs/>
                <w:sz w:val="20"/>
                <w:szCs w:val="22"/>
              </w:rPr>
              <w:t>T4</w:t>
            </w:r>
          </w:p>
          <w:p w:rsidR="00A23B92" w:rsidRDefault="00A1083D" w:rsidP="00A23B92">
            <w:pPr>
              <w:numPr>
                <w:ilvl w:val="0"/>
                <w:numId w:val="25"/>
              </w:numPr>
              <w:tabs>
                <w:tab w:val="clear" w:pos="720"/>
                <w:tab w:val="num" w:pos="252"/>
              </w:tabs>
              <w:spacing w:before="60"/>
              <w:ind w:hanging="720"/>
              <w:rPr>
                <w:rFonts w:ascii="Times New Roman" w:eastAsia="MS Gothic" w:hAnsi="Times New Roman" w:cs="Arial"/>
                <w:bCs/>
                <w:sz w:val="20"/>
                <w:szCs w:val="22"/>
              </w:rPr>
            </w:pPr>
            <w:r w:rsidRPr="00A1083D">
              <w:rPr>
                <w:rFonts w:ascii="Times New Roman" w:eastAsia="MS Gothic" w:hAnsi="Times New Roman" w:cs="Arial"/>
                <w:bCs/>
                <w:sz w:val="20"/>
                <w:szCs w:val="22"/>
                <w:highlight w:val="cyan"/>
              </w:rPr>
              <w:t>Missing</w:t>
            </w:r>
          </w:p>
        </w:tc>
        <w:tc>
          <w:tcPr>
            <w:tcW w:w="3656" w:type="dxa"/>
            <w:tcBorders>
              <w:top w:val="nil"/>
              <w:left w:val="nil"/>
              <w:bottom w:val="nil"/>
              <w:right w:val="nil"/>
            </w:tcBorders>
          </w:tcPr>
          <w:p w:rsidR="00A1083D" w:rsidRDefault="00A23B92" w:rsidP="00A23B92">
            <w:pPr>
              <w:spacing w:before="60"/>
              <w:jc w:val="center"/>
              <w:rPr>
                <w:rFonts w:ascii="Times New Roman" w:hAnsi="Times New Roman"/>
                <w:sz w:val="20"/>
              </w:rPr>
            </w:pPr>
            <w:r>
              <w:rPr>
                <w:rFonts w:ascii="Times New Roman" w:hAnsi="Times New Roman"/>
                <w:sz w:val="20"/>
              </w:rPr>
              <w:t>9 (1·6)</w:t>
            </w:r>
          </w:p>
          <w:p w:rsidR="00A23B92" w:rsidRPr="006F67C8" w:rsidRDefault="00A1083D" w:rsidP="00A23B92">
            <w:pPr>
              <w:spacing w:before="60"/>
              <w:jc w:val="center"/>
              <w:rPr>
                <w:rFonts w:ascii="Times New Roman" w:hAnsi="Times New Roman"/>
                <w:sz w:val="20"/>
              </w:rPr>
            </w:pPr>
            <w:r w:rsidRPr="00A1083D">
              <w:rPr>
                <w:rFonts w:ascii="Times New Roman" w:hAnsi="Times New Roman"/>
                <w:sz w:val="20"/>
                <w:highlight w:val="cyan"/>
              </w:rPr>
              <w:t>54 (8.5)</w:t>
            </w:r>
          </w:p>
        </w:tc>
      </w:tr>
      <w:tr w:rsidR="00A23B92" w:rsidRPr="006F67C8">
        <w:trPr>
          <w:jc w:val="center"/>
        </w:trPr>
        <w:tc>
          <w:tcPr>
            <w:tcW w:w="5650" w:type="dxa"/>
            <w:tcBorders>
              <w:top w:val="nil"/>
              <w:left w:val="nil"/>
              <w:bottom w:val="nil"/>
              <w:right w:val="nil"/>
            </w:tcBorders>
            <w:vAlign w:val="bottom"/>
          </w:tcPr>
          <w:p w:rsidR="00A23B92" w:rsidRPr="006F67C8" w:rsidRDefault="00A23B92">
            <w:pPr>
              <w:spacing w:before="60"/>
              <w:rPr>
                <w:rFonts w:ascii="Times New Roman" w:eastAsia="MS Gothic" w:hAnsi="Times New Roman"/>
                <w:b/>
                <w:bCs/>
                <w:sz w:val="20"/>
                <w:szCs w:val="22"/>
              </w:rPr>
            </w:pPr>
            <w:r>
              <w:rPr>
                <w:rFonts w:ascii="Times New Roman" w:eastAsia="MS Gothic" w:hAnsi="Times New Roman"/>
                <w:b/>
                <w:bCs/>
                <w:sz w:val="20"/>
                <w:szCs w:val="22"/>
              </w:rPr>
              <w:t>Pathological N stage, n (%)</w:t>
            </w:r>
          </w:p>
        </w:tc>
        <w:tc>
          <w:tcPr>
            <w:tcW w:w="3656"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p>
        </w:tc>
      </w:tr>
      <w:tr w:rsidR="00A23B92">
        <w:trPr>
          <w:jc w:val="center"/>
        </w:trPr>
        <w:tc>
          <w:tcPr>
            <w:tcW w:w="5650" w:type="dxa"/>
            <w:tcBorders>
              <w:top w:val="nil"/>
              <w:left w:val="nil"/>
              <w:bottom w:val="nil"/>
              <w:right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N0</w:t>
            </w:r>
          </w:p>
        </w:tc>
        <w:tc>
          <w:tcPr>
            <w:tcW w:w="3656" w:type="dxa"/>
            <w:tcBorders>
              <w:top w:val="nil"/>
              <w:left w:val="nil"/>
              <w:bottom w:val="nil"/>
              <w:right w:val="nil"/>
            </w:tcBorders>
          </w:tcPr>
          <w:p w:rsidR="00A23B92" w:rsidRDefault="00A23B92" w:rsidP="00A23B92">
            <w:pPr>
              <w:spacing w:before="60"/>
              <w:jc w:val="center"/>
              <w:rPr>
                <w:rFonts w:ascii="Times New Roman" w:hAnsi="Times New Roman"/>
                <w:sz w:val="20"/>
              </w:rPr>
            </w:pPr>
            <w:r>
              <w:rPr>
                <w:rFonts w:ascii="Times New Roman" w:hAnsi="Times New Roman"/>
                <w:sz w:val="20"/>
              </w:rPr>
              <w:t>406 (69·2)</w:t>
            </w:r>
          </w:p>
        </w:tc>
      </w:tr>
      <w:tr w:rsidR="00A23B92" w:rsidRPr="006F67C8">
        <w:trPr>
          <w:jc w:val="center"/>
        </w:trPr>
        <w:tc>
          <w:tcPr>
            <w:tcW w:w="5650" w:type="dxa"/>
            <w:tcBorders>
              <w:top w:val="nil"/>
              <w:left w:val="nil"/>
              <w:bottom w:val="nil"/>
              <w:right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N1</w:t>
            </w:r>
          </w:p>
          <w:p w:rsidR="00A1083D"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N2</w:t>
            </w:r>
          </w:p>
          <w:p w:rsidR="00A23B92" w:rsidRDefault="00A1083D" w:rsidP="00A23B92">
            <w:pPr>
              <w:numPr>
                <w:ilvl w:val="0"/>
                <w:numId w:val="25"/>
              </w:numPr>
              <w:tabs>
                <w:tab w:val="clear" w:pos="720"/>
                <w:tab w:val="num" w:pos="252"/>
              </w:tabs>
              <w:spacing w:before="60"/>
              <w:ind w:hanging="720"/>
              <w:rPr>
                <w:rFonts w:ascii="Times New Roman" w:hAnsi="Times New Roman"/>
                <w:sz w:val="20"/>
              </w:rPr>
            </w:pPr>
            <w:r w:rsidRPr="00A1083D">
              <w:rPr>
                <w:rFonts w:ascii="Times New Roman" w:hAnsi="Times New Roman"/>
                <w:sz w:val="20"/>
                <w:highlight w:val="cyan"/>
              </w:rPr>
              <w:t>Missing</w:t>
            </w:r>
          </w:p>
        </w:tc>
        <w:tc>
          <w:tcPr>
            <w:tcW w:w="3656" w:type="dxa"/>
            <w:tcBorders>
              <w:top w:val="nil"/>
              <w:left w:val="nil"/>
              <w:bottom w:val="nil"/>
              <w:right w:val="nil"/>
            </w:tcBorders>
          </w:tcPr>
          <w:p w:rsidR="00A23B92" w:rsidRDefault="00A23B92" w:rsidP="00A23B92">
            <w:pPr>
              <w:spacing w:before="60"/>
              <w:jc w:val="center"/>
              <w:rPr>
                <w:rFonts w:ascii="Times New Roman" w:hAnsi="Times New Roman"/>
                <w:sz w:val="20"/>
              </w:rPr>
            </w:pPr>
            <w:r>
              <w:rPr>
                <w:rFonts w:ascii="Times New Roman" w:hAnsi="Times New Roman"/>
                <w:sz w:val="20"/>
              </w:rPr>
              <w:t>122 (20·8)</w:t>
            </w:r>
          </w:p>
          <w:p w:rsidR="00A1083D" w:rsidRDefault="00A23B92" w:rsidP="00A23B92">
            <w:pPr>
              <w:spacing w:before="60"/>
              <w:jc w:val="center"/>
              <w:rPr>
                <w:rFonts w:ascii="Times New Roman" w:hAnsi="Times New Roman"/>
                <w:sz w:val="20"/>
              </w:rPr>
            </w:pPr>
            <w:r>
              <w:rPr>
                <w:rFonts w:ascii="Times New Roman" w:hAnsi="Times New Roman"/>
                <w:sz w:val="20"/>
              </w:rPr>
              <w:t>59 (10·1)</w:t>
            </w:r>
          </w:p>
          <w:p w:rsidR="00A23B92" w:rsidRPr="006F67C8" w:rsidRDefault="00A1083D" w:rsidP="00A23B92">
            <w:pPr>
              <w:spacing w:before="60"/>
              <w:jc w:val="center"/>
              <w:rPr>
                <w:rFonts w:ascii="Times New Roman" w:hAnsi="Times New Roman"/>
                <w:sz w:val="20"/>
              </w:rPr>
            </w:pPr>
            <w:r w:rsidRPr="00A1083D">
              <w:rPr>
                <w:rFonts w:ascii="Times New Roman" w:hAnsi="Times New Roman"/>
                <w:sz w:val="20"/>
                <w:highlight w:val="cyan"/>
              </w:rPr>
              <w:t>47 (7.4)</w:t>
            </w:r>
          </w:p>
        </w:tc>
      </w:tr>
      <w:tr w:rsidR="00A23B92" w:rsidRPr="006F67C8">
        <w:trPr>
          <w:jc w:val="center"/>
        </w:trPr>
        <w:tc>
          <w:tcPr>
            <w:tcW w:w="5650" w:type="dxa"/>
            <w:tcBorders>
              <w:top w:val="nil"/>
              <w:bottom w:val="nil"/>
            </w:tcBorders>
            <w:vAlign w:val="bottom"/>
          </w:tcPr>
          <w:p w:rsidR="00A23B92" w:rsidRPr="006F67C8" w:rsidRDefault="00A23B92">
            <w:pPr>
              <w:spacing w:before="60"/>
              <w:rPr>
                <w:rFonts w:ascii="Times New Roman" w:eastAsia="MS Gothic" w:hAnsi="Times New Roman"/>
                <w:b/>
                <w:bCs/>
                <w:sz w:val="20"/>
                <w:szCs w:val="22"/>
              </w:rPr>
            </w:pPr>
            <w:r>
              <w:rPr>
                <w:rFonts w:ascii="Times New Roman" w:eastAsia="MS Gothic" w:hAnsi="Times New Roman"/>
                <w:b/>
                <w:bCs/>
                <w:sz w:val="20"/>
                <w:szCs w:val="22"/>
              </w:rPr>
              <w:t>Quality of TME specimen, n (%)</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p>
        </w:tc>
      </w:tr>
      <w:tr w:rsidR="00A23B92" w:rsidRPr="006F67C8">
        <w:trPr>
          <w:jc w:val="center"/>
        </w:trPr>
        <w:tc>
          <w:tcPr>
            <w:tcW w:w="5650" w:type="dxa"/>
            <w:tcBorders>
              <w:top w:val="nil"/>
              <w:bottom w:val="nil"/>
            </w:tcBorders>
            <w:vAlign w:val="bottom"/>
          </w:tcPr>
          <w:p w:rsidR="00A23B92" w:rsidRPr="0040393C"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Intact</w:t>
            </w:r>
          </w:p>
        </w:tc>
        <w:tc>
          <w:tcPr>
            <w:tcW w:w="3656" w:type="dxa"/>
            <w:tcBorders>
              <w:top w:val="nil"/>
              <w:bottom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503 (85·0)</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Minor defects</w:t>
            </w:r>
          </w:p>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Major defects</w:t>
            </w:r>
          </w:p>
          <w:p w:rsidR="00A1083D"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Rectal perforation</w:t>
            </w:r>
          </w:p>
          <w:p w:rsidR="00A23B92" w:rsidRDefault="00A1083D" w:rsidP="00A23B92">
            <w:pPr>
              <w:numPr>
                <w:ilvl w:val="0"/>
                <w:numId w:val="25"/>
              </w:numPr>
              <w:tabs>
                <w:tab w:val="clear" w:pos="720"/>
                <w:tab w:val="num" w:pos="252"/>
              </w:tabs>
              <w:spacing w:before="60"/>
              <w:ind w:hanging="720"/>
              <w:rPr>
                <w:rFonts w:ascii="Times New Roman" w:hAnsi="Times New Roman"/>
                <w:sz w:val="20"/>
              </w:rPr>
            </w:pPr>
            <w:r w:rsidRPr="00A1083D">
              <w:rPr>
                <w:rFonts w:ascii="Times New Roman" w:hAnsi="Times New Roman"/>
                <w:sz w:val="20"/>
                <w:highlight w:val="cyan"/>
              </w:rPr>
              <w:t>Missing</w:t>
            </w:r>
          </w:p>
        </w:tc>
        <w:tc>
          <w:tcPr>
            <w:tcW w:w="3656" w:type="dxa"/>
            <w:tcBorders>
              <w:top w:val="nil"/>
              <w:bottom w:val="nil"/>
            </w:tcBorders>
          </w:tcPr>
          <w:p w:rsidR="00A23B92" w:rsidRDefault="00A23B92" w:rsidP="00A23B92">
            <w:pPr>
              <w:spacing w:before="60"/>
              <w:jc w:val="center"/>
              <w:rPr>
                <w:rFonts w:ascii="Times New Roman" w:hAnsi="Times New Roman"/>
                <w:sz w:val="20"/>
              </w:rPr>
            </w:pPr>
            <w:r>
              <w:rPr>
                <w:rFonts w:ascii="Times New Roman" w:hAnsi="Times New Roman"/>
                <w:sz w:val="20"/>
              </w:rPr>
              <w:t>65 (11·0)</w:t>
            </w:r>
          </w:p>
          <w:p w:rsidR="00A23B92" w:rsidRDefault="00A23B92" w:rsidP="00A23B92">
            <w:pPr>
              <w:spacing w:before="60"/>
              <w:jc w:val="center"/>
              <w:rPr>
                <w:rFonts w:ascii="Times New Roman" w:hAnsi="Times New Roman"/>
                <w:sz w:val="20"/>
              </w:rPr>
            </w:pPr>
            <w:r>
              <w:rPr>
                <w:rFonts w:ascii="Times New Roman" w:hAnsi="Times New Roman"/>
                <w:sz w:val="20"/>
              </w:rPr>
              <w:t>24 (4·1)</w:t>
            </w:r>
          </w:p>
          <w:p w:rsidR="00A1083D" w:rsidRDefault="00A23B92" w:rsidP="00A23B92">
            <w:pPr>
              <w:spacing w:before="60"/>
              <w:jc w:val="center"/>
              <w:rPr>
                <w:rFonts w:ascii="Times New Roman" w:hAnsi="Times New Roman"/>
                <w:sz w:val="20"/>
              </w:rPr>
            </w:pPr>
            <w:r>
              <w:rPr>
                <w:rFonts w:ascii="Times New Roman" w:hAnsi="Times New Roman"/>
                <w:sz w:val="20"/>
              </w:rPr>
              <w:t>12 (2·0)</w:t>
            </w:r>
          </w:p>
          <w:p w:rsidR="00A23B92" w:rsidRPr="006F67C8" w:rsidRDefault="00A1083D" w:rsidP="00A23B92">
            <w:pPr>
              <w:spacing w:before="60"/>
              <w:jc w:val="center"/>
              <w:rPr>
                <w:rFonts w:ascii="Times New Roman" w:hAnsi="Times New Roman"/>
                <w:sz w:val="20"/>
              </w:rPr>
            </w:pPr>
            <w:r w:rsidRPr="00A1083D">
              <w:rPr>
                <w:rFonts w:ascii="Times New Roman" w:hAnsi="Times New Roman"/>
                <w:sz w:val="20"/>
                <w:highlight w:val="cyan"/>
              </w:rPr>
              <w:t>42 (6.6)</w:t>
            </w:r>
          </w:p>
        </w:tc>
      </w:tr>
      <w:tr w:rsidR="00A23B92" w:rsidRPr="006F67C8">
        <w:trPr>
          <w:jc w:val="center"/>
        </w:trPr>
        <w:tc>
          <w:tcPr>
            <w:tcW w:w="5650" w:type="dxa"/>
            <w:tcBorders>
              <w:top w:val="nil"/>
              <w:bottom w:val="nil"/>
            </w:tcBorders>
            <w:vAlign w:val="bottom"/>
          </w:tcPr>
          <w:p w:rsidR="00A23B92" w:rsidRDefault="00A23B92" w:rsidP="00A23B92">
            <w:pPr>
              <w:spacing w:before="60"/>
              <w:rPr>
                <w:rFonts w:ascii="Times New Roman" w:hAnsi="Times New Roman"/>
                <w:b/>
                <w:sz w:val="20"/>
              </w:rPr>
            </w:pPr>
            <w:r>
              <w:rPr>
                <w:rFonts w:ascii="Times New Roman" w:hAnsi="Times New Roman"/>
                <w:b/>
                <w:sz w:val="20"/>
              </w:rPr>
              <w:t>Number of lymph nodes harvested</w:t>
            </w:r>
          </w:p>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b/>
                <w:sz w:val="20"/>
              </w:rPr>
              <w:t xml:space="preserve"> </w:t>
            </w:r>
            <w:r>
              <w:rPr>
                <w:rFonts w:ascii="Times New Roman" w:hAnsi="Times New Roman"/>
                <w:sz w:val="20"/>
              </w:rPr>
              <w:t>Mean ± SD</w:t>
            </w:r>
          </w:p>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Median (range)</w:t>
            </w:r>
          </w:p>
          <w:p w:rsidR="00A23B92" w:rsidRPr="0040393C" w:rsidRDefault="00A23B92" w:rsidP="00A23B92">
            <w:pPr>
              <w:spacing w:before="60"/>
              <w:rPr>
                <w:rFonts w:ascii="Times New Roman" w:hAnsi="Times New Roman"/>
                <w:b/>
                <w:sz w:val="20"/>
              </w:rPr>
            </w:pPr>
            <w:r>
              <w:rPr>
                <w:rFonts w:ascii="Times New Roman" w:hAnsi="Times New Roman"/>
                <w:b/>
                <w:sz w:val="20"/>
              </w:rPr>
              <w:t>Maximum tumour size in mm</w:t>
            </w:r>
          </w:p>
        </w:tc>
        <w:tc>
          <w:tcPr>
            <w:tcW w:w="3656" w:type="dxa"/>
            <w:tcBorders>
              <w:top w:val="nil"/>
              <w:bottom w:val="nil"/>
            </w:tcBorders>
          </w:tcPr>
          <w:p w:rsidR="00A23B92" w:rsidRDefault="00A23B92" w:rsidP="00A23B92">
            <w:pPr>
              <w:spacing w:before="60"/>
              <w:jc w:val="center"/>
              <w:rPr>
                <w:rFonts w:ascii="Times New Roman" w:hAnsi="Times New Roman"/>
                <w:sz w:val="20"/>
              </w:rPr>
            </w:pPr>
          </w:p>
          <w:p w:rsidR="00A23B92" w:rsidRDefault="00A23B92" w:rsidP="00A23B92">
            <w:pPr>
              <w:spacing w:before="60"/>
              <w:jc w:val="center"/>
              <w:rPr>
                <w:rFonts w:ascii="Times New Roman" w:hAnsi="Times New Roman"/>
                <w:sz w:val="20"/>
              </w:rPr>
            </w:pPr>
            <w:r>
              <w:rPr>
                <w:rFonts w:ascii="Times New Roman" w:hAnsi="Times New Roman"/>
                <w:sz w:val="20"/>
              </w:rPr>
              <w:t>16·5 ± 9·2</w:t>
            </w:r>
          </w:p>
          <w:p w:rsidR="00A23B92" w:rsidRPr="006F67C8" w:rsidRDefault="00A23B92" w:rsidP="00A23B92">
            <w:pPr>
              <w:spacing w:before="60"/>
              <w:jc w:val="center"/>
              <w:rPr>
                <w:rFonts w:ascii="Times New Roman" w:hAnsi="Times New Roman"/>
                <w:sz w:val="20"/>
              </w:rPr>
            </w:pPr>
            <w:r>
              <w:rPr>
                <w:rFonts w:ascii="Times New Roman" w:hAnsi="Times New Roman"/>
                <w:sz w:val="20"/>
              </w:rPr>
              <w:t>15 (0–70)</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Mean ± SD</w:t>
            </w:r>
          </w:p>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Median (range)</w:t>
            </w:r>
          </w:p>
          <w:p w:rsidR="00A23B92" w:rsidRDefault="00A23B92" w:rsidP="00A23B92">
            <w:pPr>
              <w:spacing w:before="60"/>
              <w:rPr>
                <w:rFonts w:ascii="Times New Roman" w:hAnsi="Times New Roman"/>
                <w:b/>
                <w:sz w:val="20"/>
              </w:rPr>
            </w:pPr>
            <w:r>
              <w:rPr>
                <w:rFonts w:ascii="Times New Roman" w:hAnsi="Times New Roman"/>
                <w:b/>
                <w:sz w:val="20"/>
              </w:rPr>
              <w:t>Distal margin in mm</w:t>
            </w:r>
          </w:p>
        </w:tc>
        <w:tc>
          <w:tcPr>
            <w:tcW w:w="3656" w:type="dxa"/>
            <w:tcBorders>
              <w:top w:val="nil"/>
              <w:bottom w:val="nil"/>
            </w:tcBorders>
          </w:tcPr>
          <w:p w:rsidR="00A23B92" w:rsidRDefault="00A23B92" w:rsidP="00A23B92">
            <w:pPr>
              <w:spacing w:before="60"/>
              <w:jc w:val="center"/>
              <w:rPr>
                <w:rFonts w:ascii="Times New Roman" w:hAnsi="Times New Roman"/>
                <w:sz w:val="20"/>
              </w:rPr>
            </w:pPr>
            <w:r>
              <w:rPr>
                <w:rFonts w:ascii="Times New Roman" w:hAnsi="Times New Roman"/>
                <w:sz w:val="20"/>
              </w:rPr>
              <w:t>27·6 ± 16·7</w:t>
            </w:r>
          </w:p>
          <w:p w:rsidR="00A23B92" w:rsidRPr="006F67C8" w:rsidRDefault="00A23B92" w:rsidP="00A23B92">
            <w:pPr>
              <w:spacing w:before="60"/>
              <w:jc w:val="center"/>
              <w:rPr>
                <w:rFonts w:ascii="Times New Roman" w:hAnsi="Times New Roman"/>
                <w:sz w:val="20"/>
              </w:rPr>
            </w:pPr>
            <w:r>
              <w:rPr>
                <w:rFonts w:ascii="Times New Roman" w:hAnsi="Times New Roman"/>
                <w:sz w:val="20"/>
              </w:rPr>
              <w:t>25 (0–95)</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Mean ± SD</w:t>
            </w:r>
          </w:p>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Median (range)</w:t>
            </w:r>
          </w:p>
          <w:p w:rsidR="00342D36"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Positive DRM, n (%)</w:t>
            </w:r>
          </w:p>
          <w:p w:rsidR="00A23B92" w:rsidRPr="00342D36" w:rsidRDefault="00342D36" w:rsidP="00A23B92">
            <w:pPr>
              <w:numPr>
                <w:ilvl w:val="0"/>
                <w:numId w:val="25"/>
              </w:numPr>
              <w:tabs>
                <w:tab w:val="clear" w:pos="720"/>
                <w:tab w:val="num" w:pos="252"/>
              </w:tabs>
              <w:spacing w:before="60"/>
              <w:ind w:hanging="720"/>
              <w:rPr>
                <w:rFonts w:ascii="Times New Roman" w:hAnsi="Times New Roman"/>
                <w:sz w:val="20"/>
                <w:highlight w:val="cyan"/>
              </w:rPr>
            </w:pPr>
            <w:r w:rsidRPr="00342D36">
              <w:rPr>
                <w:rFonts w:ascii="Times New Roman" w:hAnsi="Times New Roman"/>
                <w:sz w:val="20"/>
                <w:highlight w:val="cyan"/>
              </w:rPr>
              <w:t>Missing</w:t>
            </w:r>
          </w:p>
          <w:p w:rsidR="00A23B92" w:rsidRDefault="00A23B92" w:rsidP="00A23B92">
            <w:pPr>
              <w:spacing w:before="60"/>
              <w:rPr>
                <w:rFonts w:ascii="Times New Roman" w:hAnsi="Times New Roman"/>
                <w:b/>
                <w:sz w:val="20"/>
              </w:rPr>
            </w:pPr>
            <w:r>
              <w:rPr>
                <w:rFonts w:ascii="Times New Roman" w:hAnsi="Times New Roman"/>
                <w:b/>
                <w:sz w:val="20"/>
              </w:rPr>
              <w:t>Circumferential resection margin in mm</w:t>
            </w:r>
          </w:p>
        </w:tc>
        <w:tc>
          <w:tcPr>
            <w:tcW w:w="3656" w:type="dxa"/>
            <w:tcBorders>
              <w:top w:val="nil"/>
              <w:bottom w:val="nil"/>
            </w:tcBorders>
          </w:tcPr>
          <w:p w:rsidR="00A23B92" w:rsidRDefault="00A23B92" w:rsidP="00A23B92">
            <w:pPr>
              <w:spacing w:before="60"/>
              <w:jc w:val="center"/>
              <w:rPr>
                <w:rFonts w:ascii="Times New Roman" w:hAnsi="Times New Roman"/>
                <w:sz w:val="20"/>
              </w:rPr>
            </w:pPr>
            <w:r>
              <w:rPr>
                <w:rFonts w:ascii="Times New Roman" w:hAnsi="Times New Roman"/>
                <w:sz w:val="20"/>
              </w:rPr>
              <w:t>19·0 ± 14·3</w:t>
            </w:r>
          </w:p>
          <w:p w:rsidR="00A23B92" w:rsidRDefault="00A23B92" w:rsidP="00A23B92">
            <w:pPr>
              <w:spacing w:before="60"/>
              <w:jc w:val="center"/>
              <w:rPr>
                <w:rFonts w:ascii="Times New Roman" w:hAnsi="Times New Roman"/>
                <w:sz w:val="20"/>
              </w:rPr>
            </w:pPr>
            <w:r>
              <w:rPr>
                <w:rFonts w:ascii="Times New Roman" w:hAnsi="Times New Roman"/>
                <w:sz w:val="20"/>
              </w:rPr>
              <w:t>15 (0–97)</w:t>
            </w:r>
          </w:p>
          <w:p w:rsidR="00A23B92" w:rsidRDefault="00A23B92" w:rsidP="00A23B92">
            <w:pPr>
              <w:spacing w:before="60"/>
              <w:jc w:val="center"/>
              <w:rPr>
                <w:rFonts w:ascii="Times New Roman" w:hAnsi="Times New Roman"/>
                <w:sz w:val="20"/>
              </w:rPr>
            </w:pPr>
            <w:r>
              <w:rPr>
                <w:rFonts w:ascii="Times New Roman" w:hAnsi="Times New Roman"/>
                <w:sz w:val="20"/>
              </w:rPr>
              <w:t>2 (0·3)</w:t>
            </w:r>
          </w:p>
          <w:p w:rsidR="00A23B92" w:rsidRPr="006F67C8" w:rsidRDefault="00342D36" w:rsidP="00A23B92">
            <w:pPr>
              <w:spacing w:before="60"/>
              <w:jc w:val="center"/>
              <w:rPr>
                <w:rFonts w:ascii="Times New Roman" w:hAnsi="Times New Roman"/>
                <w:sz w:val="20"/>
              </w:rPr>
            </w:pPr>
            <w:r w:rsidRPr="00342D36">
              <w:rPr>
                <w:rFonts w:ascii="Times New Roman" w:hAnsi="Times New Roman"/>
                <w:sz w:val="20"/>
                <w:highlight w:val="cyan"/>
              </w:rPr>
              <w:t>45 (7.1)</w:t>
            </w:r>
          </w:p>
        </w:tc>
      </w:tr>
      <w:tr w:rsidR="00A23B92" w:rsidRPr="006F67C8">
        <w:trPr>
          <w:jc w:val="center"/>
        </w:trPr>
        <w:tc>
          <w:tcPr>
            <w:tcW w:w="5650" w:type="dxa"/>
            <w:tcBorders>
              <w:top w:val="nil"/>
              <w:bottom w:val="nil"/>
            </w:tcBorders>
            <w:vAlign w:val="bottom"/>
          </w:tcPr>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Mean ± SD</w:t>
            </w:r>
          </w:p>
          <w:p w:rsidR="00A23B92"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Median (range)</w:t>
            </w:r>
          </w:p>
          <w:p w:rsidR="00A1083D"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Positive CRM, n (%)</w:t>
            </w:r>
          </w:p>
          <w:p w:rsidR="00A23B92" w:rsidRPr="00342D36" w:rsidRDefault="00A1083D" w:rsidP="00A23B92">
            <w:pPr>
              <w:numPr>
                <w:ilvl w:val="0"/>
                <w:numId w:val="25"/>
              </w:numPr>
              <w:tabs>
                <w:tab w:val="clear" w:pos="720"/>
                <w:tab w:val="num" w:pos="252"/>
              </w:tabs>
              <w:spacing w:before="60"/>
              <w:ind w:hanging="720"/>
              <w:rPr>
                <w:rFonts w:ascii="Times New Roman" w:hAnsi="Times New Roman"/>
                <w:sz w:val="20"/>
                <w:highlight w:val="cyan"/>
              </w:rPr>
            </w:pPr>
            <w:r w:rsidRPr="00342D36">
              <w:rPr>
                <w:rFonts w:ascii="Times New Roman" w:hAnsi="Times New Roman"/>
                <w:sz w:val="20"/>
                <w:highlight w:val="cyan"/>
              </w:rPr>
              <w:t>Missing</w:t>
            </w:r>
          </w:p>
          <w:p w:rsidR="00A1083D" w:rsidRDefault="00A23B92" w:rsidP="00A23B92">
            <w:pPr>
              <w:spacing w:before="60"/>
              <w:rPr>
                <w:rFonts w:ascii="Times New Roman" w:hAnsi="Times New Roman"/>
                <w:b/>
                <w:sz w:val="20"/>
              </w:rPr>
            </w:pPr>
            <w:r>
              <w:rPr>
                <w:rFonts w:ascii="Times New Roman" w:hAnsi="Times New Roman"/>
                <w:b/>
                <w:sz w:val="20"/>
              </w:rPr>
              <w:t>R1 resection</w:t>
            </w:r>
          </w:p>
          <w:p w:rsidR="00A23B92" w:rsidRPr="00A1083D" w:rsidRDefault="00A1083D" w:rsidP="00A1083D">
            <w:pPr>
              <w:numPr>
                <w:ilvl w:val="0"/>
                <w:numId w:val="25"/>
              </w:numPr>
              <w:tabs>
                <w:tab w:val="clear" w:pos="720"/>
                <w:tab w:val="num" w:pos="252"/>
              </w:tabs>
              <w:spacing w:before="60"/>
              <w:ind w:hanging="720"/>
              <w:rPr>
                <w:rFonts w:ascii="Times New Roman" w:hAnsi="Times New Roman"/>
                <w:sz w:val="20"/>
              </w:rPr>
            </w:pPr>
            <w:r w:rsidRPr="00A1083D">
              <w:rPr>
                <w:rFonts w:ascii="Times New Roman" w:hAnsi="Times New Roman"/>
                <w:sz w:val="20"/>
                <w:highlight w:val="cyan"/>
              </w:rPr>
              <w:t>Missing</w:t>
            </w:r>
          </w:p>
          <w:p w:rsidR="00A23B92" w:rsidRDefault="00A23B92" w:rsidP="00A23B92">
            <w:pPr>
              <w:spacing w:before="60"/>
              <w:rPr>
                <w:rFonts w:ascii="Times New Roman" w:hAnsi="Times New Roman"/>
                <w:b/>
                <w:sz w:val="20"/>
              </w:rPr>
            </w:pPr>
            <w:r>
              <w:rPr>
                <w:rFonts w:ascii="Times New Roman" w:hAnsi="Times New Roman"/>
                <w:b/>
                <w:sz w:val="20"/>
              </w:rPr>
              <w:t>Composite poor pathological outcome:</w:t>
            </w:r>
          </w:p>
        </w:tc>
        <w:tc>
          <w:tcPr>
            <w:tcW w:w="3656" w:type="dxa"/>
            <w:tcBorders>
              <w:top w:val="nil"/>
              <w:bottom w:val="nil"/>
            </w:tcBorders>
          </w:tcPr>
          <w:p w:rsidR="00A23B92" w:rsidRDefault="00A23B92" w:rsidP="00A23B92">
            <w:pPr>
              <w:spacing w:before="60"/>
              <w:jc w:val="center"/>
              <w:rPr>
                <w:rFonts w:ascii="Times New Roman" w:hAnsi="Times New Roman"/>
                <w:sz w:val="20"/>
              </w:rPr>
            </w:pPr>
            <w:r>
              <w:rPr>
                <w:rFonts w:ascii="Times New Roman" w:hAnsi="Times New Roman"/>
                <w:sz w:val="20"/>
              </w:rPr>
              <w:t>9·19 ± 8·6</w:t>
            </w:r>
          </w:p>
          <w:p w:rsidR="00A23B92" w:rsidRDefault="00A23B92" w:rsidP="00A23B92">
            <w:pPr>
              <w:spacing w:before="60"/>
              <w:jc w:val="center"/>
              <w:rPr>
                <w:rFonts w:ascii="Times New Roman" w:hAnsi="Times New Roman"/>
                <w:sz w:val="20"/>
              </w:rPr>
            </w:pPr>
            <w:r>
              <w:rPr>
                <w:rFonts w:ascii="Times New Roman" w:hAnsi="Times New Roman"/>
                <w:sz w:val="20"/>
              </w:rPr>
              <w:t>8 (0–90)</w:t>
            </w:r>
          </w:p>
          <w:p w:rsidR="00A1083D" w:rsidRDefault="00A23B92" w:rsidP="00A23B92">
            <w:pPr>
              <w:spacing w:before="60"/>
              <w:jc w:val="center"/>
              <w:rPr>
                <w:rFonts w:ascii="Times New Roman" w:hAnsi="Times New Roman"/>
                <w:sz w:val="20"/>
              </w:rPr>
            </w:pPr>
            <w:r>
              <w:rPr>
                <w:rFonts w:ascii="Times New Roman" w:hAnsi="Times New Roman"/>
                <w:sz w:val="20"/>
              </w:rPr>
              <w:t>14 (2·4)</w:t>
            </w:r>
          </w:p>
          <w:p w:rsidR="00A23B92" w:rsidRDefault="00A1083D" w:rsidP="00A23B92">
            <w:pPr>
              <w:spacing w:before="60"/>
              <w:jc w:val="center"/>
              <w:rPr>
                <w:rFonts w:ascii="Times New Roman" w:hAnsi="Times New Roman"/>
                <w:sz w:val="20"/>
              </w:rPr>
            </w:pPr>
            <w:r w:rsidRPr="00A1083D">
              <w:rPr>
                <w:rFonts w:ascii="Times New Roman" w:hAnsi="Times New Roman"/>
                <w:sz w:val="20"/>
                <w:highlight w:val="cyan"/>
              </w:rPr>
              <w:t>45 (7.1)</w:t>
            </w:r>
          </w:p>
          <w:p w:rsidR="00A1083D" w:rsidRDefault="00A23B92" w:rsidP="00A23B92">
            <w:pPr>
              <w:spacing w:before="60"/>
              <w:jc w:val="center"/>
              <w:rPr>
                <w:rFonts w:ascii="Times New Roman" w:hAnsi="Times New Roman"/>
                <w:sz w:val="20"/>
              </w:rPr>
            </w:pPr>
            <w:r>
              <w:rPr>
                <w:rFonts w:ascii="Times New Roman" w:hAnsi="Times New Roman"/>
                <w:sz w:val="20"/>
              </w:rPr>
              <w:t>16 (2·7)</w:t>
            </w:r>
          </w:p>
          <w:p w:rsidR="00A1083D" w:rsidRDefault="00A1083D" w:rsidP="00A23B92">
            <w:pPr>
              <w:spacing w:before="60"/>
              <w:jc w:val="center"/>
              <w:rPr>
                <w:rFonts w:ascii="Times New Roman" w:hAnsi="Times New Roman"/>
                <w:sz w:val="20"/>
              </w:rPr>
            </w:pPr>
            <w:r w:rsidRPr="00A1083D">
              <w:rPr>
                <w:rFonts w:ascii="Times New Roman" w:hAnsi="Times New Roman"/>
                <w:sz w:val="20"/>
                <w:highlight w:val="cyan"/>
              </w:rPr>
              <w:t>45 (7.1)</w:t>
            </w:r>
          </w:p>
          <w:p w:rsidR="00A23B92" w:rsidRPr="006F67C8" w:rsidRDefault="00A23B92" w:rsidP="00A23B92">
            <w:pPr>
              <w:spacing w:before="60"/>
              <w:jc w:val="center"/>
              <w:rPr>
                <w:rFonts w:ascii="Times New Roman" w:hAnsi="Times New Roman"/>
                <w:sz w:val="20"/>
              </w:rPr>
            </w:pPr>
          </w:p>
        </w:tc>
      </w:tr>
      <w:tr w:rsidR="00A23B92" w:rsidRPr="006F67C8">
        <w:trPr>
          <w:jc w:val="center"/>
        </w:trPr>
        <w:tc>
          <w:tcPr>
            <w:tcW w:w="5650" w:type="dxa"/>
            <w:tcBorders>
              <w:top w:val="nil"/>
              <w:left w:val="nil"/>
              <w:bottom w:val="single" w:sz="18" w:space="0" w:color="auto"/>
              <w:right w:val="nil"/>
            </w:tcBorders>
            <w:vAlign w:val="bottom"/>
          </w:tcPr>
          <w:p w:rsidR="00A1083D" w:rsidRDefault="00A23B92" w:rsidP="00A23B92">
            <w:pPr>
              <w:numPr>
                <w:ilvl w:val="0"/>
                <w:numId w:val="25"/>
              </w:numPr>
              <w:tabs>
                <w:tab w:val="clear" w:pos="720"/>
                <w:tab w:val="num" w:pos="252"/>
              </w:tabs>
              <w:spacing w:before="60"/>
              <w:ind w:hanging="720"/>
              <w:rPr>
                <w:rFonts w:ascii="Times New Roman" w:hAnsi="Times New Roman"/>
                <w:sz w:val="20"/>
              </w:rPr>
            </w:pPr>
            <w:r>
              <w:rPr>
                <w:rFonts w:ascii="Times New Roman" w:hAnsi="Times New Roman"/>
                <w:sz w:val="20"/>
              </w:rPr>
              <w:t>R1 + poor TME specimen</w:t>
            </w:r>
          </w:p>
          <w:p w:rsidR="00A23B92" w:rsidRDefault="00A1083D" w:rsidP="00A23B92">
            <w:pPr>
              <w:numPr>
                <w:ilvl w:val="0"/>
                <w:numId w:val="25"/>
              </w:numPr>
              <w:tabs>
                <w:tab w:val="clear" w:pos="720"/>
                <w:tab w:val="num" w:pos="252"/>
              </w:tabs>
              <w:spacing w:before="60"/>
              <w:ind w:hanging="720"/>
              <w:rPr>
                <w:rFonts w:ascii="Times New Roman" w:hAnsi="Times New Roman"/>
                <w:sz w:val="20"/>
              </w:rPr>
            </w:pPr>
            <w:r w:rsidRPr="00A1083D">
              <w:rPr>
                <w:rFonts w:ascii="Times New Roman" w:hAnsi="Times New Roman"/>
                <w:sz w:val="20"/>
                <w:highlight w:val="cyan"/>
              </w:rPr>
              <w:t>Missing</w:t>
            </w:r>
          </w:p>
        </w:tc>
        <w:tc>
          <w:tcPr>
            <w:tcW w:w="3656" w:type="dxa"/>
            <w:tcBorders>
              <w:top w:val="nil"/>
              <w:left w:val="nil"/>
              <w:bottom w:val="single" w:sz="18" w:space="0" w:color="auto"/>
              <w:right w:val="nil"/>
            </w:tcBorders>
          </w:tcPr>
          <w:p w:rsidR="00A1083D" w:rsidRDefault="00A23B92" w:rsidP="00A23B92">
            <w:pPr>
              <w:spacing w:before="60"/>
              <w:jc w:val="center"/>
              <w:rPr>
                <w:rFonts w:ascii="Times New Roman" w:hAnsi="Times New Roman"/>
                <w:sz w:val="20"/>
              </w:rPr>
            </w:pPr>
            <w:r>
              <w:rPr>
                <w:rFonts w:ascii="Times New Roman" w:hAnsi="Times New Roman"/>
                <w:sz w:val="20"/>
              </w:rPr>
              <w:t>44 (7·4)</w:t>
            </w:r>
          </w:p>
          <w:p w:rsidR="00A23B92" w:rsidRPr="006F67C8" w:rsidRDefault="00A1083D" w:rsidP="00A23B92">
            <w:pPr>
              <w:spacing w:before="60"/>
              <w:jc w:val="center"/>
              <w:rPr>
                <w:rFonts w:ascii="Times New Roman" w:hAnsi="Times New Roman"/>
                <w:sz w:val="20"/>
              </w:rPr>
            </w:pPr>
            <w:r w:rsidRPr="00A1083D">
              <w:rPr>
                <w:rFonts w:ascii="Times New Roman" w:hAnsi="Times New Roman"/>
                <w:sz w:val="20"/>
                <w:highlight w:val="cyan"/>
              </w:rPr>
              <w:t>42 (6.6)</w:t>
            </w:r>
          </w:p>
        </w:tc>
      </w:tr>
    </w:tbl>
    <w:p w:rsidR="00A23B92" w:rsidRPr="006F67C8" w:rsidRDefault="00A23B92" w:rsidP="00A23B92">
      <w:pPr>
        <w:jc w:val="both"/>
        <w:rPr>
          <w:rFonts w:ascii="Times New Roman" w:hAnsi="Times New Roman"/>
          <w:sz w:val="20"/>
          <w:lang w:val="en-GB"/>
        </w:rPr>
      </w:pPr>
      <w:r w:rsidRPr="006F67C8">
        <w:rPr>
          <w:rFonts w:ascii="Times New Roman" w:hAnsi="Times New Roman"/>
          <w:sz w:val="20"/>
          <w:lang w:val="en-GB"/>
        </w:rPr>
        <w:t>TME: Total mesorectal excision.</w:t>
      </w:r>
      <w:r>
        <w:rPr>
          <w:rFonts w:ascii="Times New Roman" w:hAnsi="Times New Roman"/>
          <w:sz w:val="20"/>
          <w:lang w:val="en-GB"/>
        </w:rPr>
        <w:t xml:space="preserve"> SD: Standard Deviation.  </w:t>
      </w:r>
      <w:r w:rsidRPr="006F67C8">
        <w:rPr>
          <w:rFonts w:ascii="Times New Roman" w:hAnsi="Times New Roman"/>
          <w:sz w:val="20"/>
          <w:lang w:val="en-GB"/>
        </w:rPr>
        <w:t xml:space="preserve">DRM: Distal resection margin.  CRM: Circumferential resection margin.  </w:t>
      </w:r>
    </w:p>
    <w:p w:rsidR="00A23B92" w:rsidRPr="006F67C8" w:rsidRDefault="00A23B92">
      <w:pPr>
        <w:rPr>
          <w:rFonts w:ascii="Times New Roman" w:hAnsi="Times New Roman"/>
          <w:b/>
          <w:lang w:val="en-GB"/>
        </w:rPr>
      </w:pPr>
    </w:p>
    <w:p w:rsidR="00A23B92" w:rsidRPr="006F67C8" w:rsidRDefault="00A23B92" w:rsidP="00A23B92">
      <w:pPr>
        <w:jc w:val="both"/>
        <w:rPr>
          <w:rFonts w:ascii="Times New Roman" w:hAnsi="Times New Roman"/>
          <w:sz w:val="20"/>
          <w:lang w:val="en-GB"/>
        </w:rPr>
      </w:pPr>
      <w:r w:rsidRPr="006F67C8">
        <w:rPr>
          <w:rFonts w:ascii="Times New Roman" w:hAnsi="Times New Roman"/>
          <w:b/>
          <w:sz w:val="20"/>
          <w:lang w:val="en-GB"/>
        </w:rPr>
        <w:t xml:space="preserve">Table 6: </w:t>
      </w:r>
      <w:r w:rsidRPr="006F67C8">
        <w:rPr>
          <w:rFonts w:ascii="Times New Roman" w:hAnsi="Times New Roman"/>
          <w:sz w:val="20"/>
          <w:lang w:val="en-GB"/>
        </w:rPr>
        <w:t xml:space="preserve">Multivariate analysis of risk factors for poor composite histological features (R1 resection + poor TME specimen).   </w:t>
      </w:r>
    </w:p>
    <w:tbl>
      <w:tblPr>
        <w:tblW w:w="9306" w:type="dxa"/>
        <w:jc w:val="center"/>
        <w:tblBorders>
          <w:top w:val="single" w:sz="12" w:space="0" w:color="008000"/>
          <w:left w:val="nil"/>
          <w:bottom w:val="single" w:sz="12" w:space="0" w:color="008000"/>
          <w:right w:val="nil"/>
          <w:insideH w:val="nil"/>
          <w:insideV w:val="nil"/>
        </w:tblBorders>
        <w:tblLayout w:type="fixed"/>
        <w:tblLook w:val="00A0"/>
      </w:tblPr>
      <w:tblGrid>
        <w:gridCol w:w="2629"/>
        <w:gridCol w:w="1701"/>
        <w:gridCol w:w="1701"/>
        <w:gridCol w:w="1843"/>
        <w:gridCol w:w="1432"/>
      </w:tblGrid>
      <w:tr w:rsidR="00A23B92" w:rsidRPr="006F67C8">
        <w:trPr>
          <w:jc w:val="center"/>
        </w:trPr>
        <w:tc>
          <w:tcPr>
            <w:tcW w:w="2629" w:type="dxa"/>
            <w:tcBorders>
              <w:top w:val="single" w:sz="18" w:space="0" w:color="auto"/>
              <w:left w:val="nil"/>
              <w:bottom w:val="single" w:sz="18" w:space="0" w:color="auto"/>
              <w:right w:val="nil"/>
            </w:tcBorders>
            <w:vAlign w:val="center"/>
          </w:tcPr>
          <w:p w:rsidR="00A23B92" w:rsidRPr="006F67C8" w:rsidRDefault="00A23B92">
            <w:pPr>
              <w:spacing w:before="60"/>
              <w:rPr>
                <w:rFonts w:ascii="Times New Roman" w:hAnsi="Times New Roman"/>
                <w:b/>
                <w:sz w:val="20"/>
              </w:rPr>
            </w:pPr>
            <w:r w:rsidRPr="006F67C8">
              <w:rPr>
                <w:rFonts w:ascii="Times New Roman" w:hAnsi="Times New Roman"/>
                <w:b/>
                <w:sz w:val="20"/>
              </w:rPr>
              <w:t>MULTIVARIATE ANALYSIS</w:t>
            </w:r>
          </w:p>
          <w:p w:rsidR="00A23B92" w:rsidRPr="006F67C8" w:rsidRDefault="00A23B92">
            <w:pPr>
              <w:spacing w:before="60"/>
              <w:rPr>
                <w:rFonts w:ascii="Times New Roman" w:hAnsi="Times New Roman"/>
                <w:sz w:val="20"/>
              </w:rPr>
            </w:pPr>
            <w:r w:rsidRPr="006F67C8">
              <w:rPr>
                <w:rFonts w:ascii="Times New Roman" w:hAnsi="Times New Roman"/>
                <w:sz w:val="20"/>
              </w:rPr>
              <w:t>Factor</w:t>
            </w:r>
          </w:p>
          <w:p w:rsidR="00A23B92" w:rsidRPr="006F67C8" w:rsidRDefault="00A23B92" w:rsidP="00A23B92">
            <w:pPr>
              <w:numPr>
                <w:ilvl w:val="0"/>
                <w:numId w:val="25"/>
              </w:numPr>
              <w:tabs>
                <w:tab w:val="clear" w:pos="720"/>
                <w:tab w:val="num" w:pos="252"/>
              </w:tabs>
              <w:spacing w:before="60"/>
              <w:ind w:hanging="720"/>
              <w:rPr>
                <w:rFonts w:ascii="Times New Roman" w:hAnsi="Times New Roman"/>
                <w:sz w:val="20"/>
              </w:rPr>
            </w:pPr>
            <w:r w:rsidRPr="006F67C8">
              <w:rPr>
                <w:rFonts w:ascii="Times New Roman" w:hAnsi="Times New Roman"/>
                <w:sz w:val="20"/>
              </w:rPr>
              <w:t>Category</w:t>
            </w:r>
          </w:p>
        </w:tc>
        <w:tc>
          <w:tcPr>
            <w:tcW w:w="1701" w:type="dxa"/>
            <w:tcBorders>
              <w:top w:val="single" w:sz="18" w:space="0" w:color="auto"/>
              <w:left w:val="nil"/>
              <w:bottom w:val="single" w:sz="18" w:space="0" w:color="auto"/>
              <w:right w:val="nil"/>
            </w:tcBorders>
          </w:tcPr>
          <w:p w:rsidR="00A23B92" w:rsidRPr="006F67C8" w:rsidRDefault="00A23B92">
            <w:pPr>
              <w:spacing w:before="60"/>
              <w:jc w:val="center"/>
              <w:rPr>
                <w:rFonts w:ascii="Times New Roman" w:hAnsi="Times New Roman"/>
                <w:sz w:val="20"/>
              </w:rPr>
            </w:pPr>
            <w:r w:rsidRPr="006F67C8">
              <w:rPr>
                <w:rFonts w:ascii="Times New Roman" w:hAnsi="Times New Roman"/>
                <w:sz w:val="20"/>
              </w:rPr>
              <w:t xml:space="preserve"> </w:t>
            </w:r>
          </w:p>
          <w:p w:rsidR="00A23B92" w:rsidRDefault="00A23B92">
            <w:pPr>
              <w:spacing w:before="60"/>
              <w:jc w:val="center"/>
              <w:rPr>
                <w:rFonts w:ascii="Times New Roman" w:hAnsi="Times New Roman"/>
                <w:sz w:val="20"/>
              </w:rPr>
            </w:pPr>
            <w:r w:rsidRPr="006F67C8">
              <w:rPr>
                <w:rFonts w:ascii="Times New Roman" w:hAnsi="Times New Roman"/>
                <w:sz w:val="20"/>
              </w:rPr>
              <w:t>Event Rat</w:t>
            </w:r>
            <w:r>
              <w:rPr>
                <w:rFonts w:ascii="Times New Roman" w:hAnsi="Times New Roman"/>
                <w:sz w:val="20"/>
              </w:rPr>
              <w:t>e</w:t>
            </w:r>
          </w:p>
          <w:p w:rsidR="00A23B92" w:rsidRPr="006F67C8" w:rsidRDefault="00A23B92">
            <w:pPr>
              <w:spacing w:before="60"/>
              <w:jc w:val="center"/>
              <w:rPr>
                <w:rFonts w:ascii="Times New Roman" w:hAnsi="Times New Roman"/>
                <w:sz w:val="20"/>
              </w:rPr>
            </w:pPr>
            <w:r>
              <w:rPr>
                <w:rFonts w:ascii="Times New Roman" w:hAnsi="Times New Roman"/>
                <w:sz w:val="20"/>
              </w:rPr>
              <w:t>%</w:t>
            </w:r>
          </w:p>
          <w:p w:rsidR="00A23B92" w:rsidRPr="006F67C8" w:rsidRDefault="00A23B92">
            <w:pPr>
              <w:spacing w:before="60"/>
              <w:jc w:val="center"/>
              <w:rPr>
                <w:rFonts w:ascii="Times New Roman" w:hAnsi="Times New Roman"/>
                <w:sz w:val="20"/>
              </w:rPr>
            </w:pPr>
          </w:p>
        </w:tc>
        <w:tc>
          <w:tcPr>
            <w:tcW w:w="1701" w:type="dxa"/>
            <w:tcBorders>
              <w:top w:val="single" w:sz="18" w:space="0" w:color="auto"/>
              <w:left w:val="nil"/>
              <w:bottom w:val="single" w:sz="18" w:space="0" w:color="auto"/>
              <w:right w:val="nil"/>
            </w:tcBorders>
            <w:vAlign w:val="center"/>
          </w:tcPr>
          <w:p w:rsidR="00A23B92" w:rsidRPr="006F67C8" w:rsidRDefault="00A23B92">
            <w:pPr>
              <w:spacing w:before="60"/>
              <w:jc w:val="center"/>
              <w:rPr>
                <w:rFonts w:ascii="Times New Roman" w:hAnsi="Times New Roman"/>
                <w:sz w:val="20"/>
              </w:rPr>
            </w:pPr>
            <w:r w:rsidRPr="006F67C8">
              <w:rPr>
                <w:rFonts w:ascii="Times New Roman" w:hAnsi="Times New Roman"/>
                <w:sz w:val="20"/>
              </w:rPr>
              <w:t xml:space="preserve">Adjusted </w:t>
            </w:r>
          </w:p>
          <w:p w:rsidR="00A23B92" w:rsidRPr="006F67C8" w:rsidRDefault="00A23B92">
            <w:pPr>
              <w:spacing w:before="60"/>
              <w:jc w:val="center"/>
              <w:rPr>
                <w:rFonts w:ascii="Times New Roman" w:hAnsi="Times New Roman"/>
                <w:sz w:val="20"/>
              </w:rPr>
            </w:pPr>
            <w:r w:rsidRPr="006F67C8">
              <w:rPr>
                <w:rFonts w:ascii="Times New Roman" w:hAnsi="Times New Roman"/>
                <w:sz w:val="20"/>
              </w:rPr>
              <w:t>Odds ratio</w:t>
            </w:r>
          </w:p>
        </w:tc>
        <w:tc>
          <w:tcPr>
            <w:tcW w:w="1843" w:type="dxa"/>
            <w:tcBorders>
              <w:top w:val="single" w:sz="18" w:space="0" w:color="auto"/>
              <w:left w:val="nil"/>
              <w:bottom w:val="single" w:sz="18" w:space="0" w:color="auto"/>
              <w:right w:val="nil"/>
            </w:tcBorders>
            <w:vAlign w:val="center"/>
          </w:tcPr>
          <w:p w:rsidR="00A23B92" w:rsidRPr="006F67C8" w:rsidRDefault="00A23B92">
            <w:pPr>
              <w:spacing w:before="60"/>
              <w:jc w:val="center"/>
              <w:rPr>
                <w:rFonts w:ascii="Times New Roman" w:hAnsi="Times New Roman"/>
                <w:sz w:val="20"/>
              </w:rPr>
            </w:pPr>
            <w:r w:rsidRPr="006F67C8">
              <w:rPr>
                <w:rFonts w:ascii="Times New Roman" w:hAnsi="Times New Roman"/>
                <w:sz w:val="20"/>
              </w:rPr>
              <w:t xml:space="preserve">95% </w:t>
            </w:r>
          </w:p>
          <w:p w:rsidR="00A23B92" w:rsidRPr="006F67C8" w:rsidRDefault="00A23B92">
            <w:pPr>
              <w:spacing w:before="60"/>
              <w:jc w:val="center"/>
              <w:rPr>
                <w:rFonts w:ascii="Times New Roman" w:hAnsi="Times New Roman"/>
                <w:sz w:val="20"/>
              </w:rPr>
            </w:pPr>
            <w:r w:rsidRPr="006F67C8">
              <w:rPr>
                <w:rFonts w:ascii="Times New Roman" w:hAnsi="Times New Roman"/>
                <w:sz w:val="20"/>
              </w:rPr>
              <w:t>Confidence Interval</w:t>
            </w:r>
          </w:p>
        </w:tc>
        <w:tc>
          <w:tcPr>
            <w:tcW w:w="1432" w:type="dxa"/>
            <w:tcBorders>
              <w:top w:val="single" w:sz="18" w:space="0" w:color="auto"/>
              <w:left w:val="nil"/>
              <w:bottom w:val="single" w:sz="18" w:space="0" w:color="auto"/>
            </w:tcBorders>
            <w:vAlign w:val="center"/>
          </w:tcPr>
          <w:p w:rsidR="00A23B92" w:rsidRPr="006F67C8" w:rsidRDefault="00A23B92">
            <w:pPr>
              <w:spacing w:before="60"/>
              <w:jc w:val="center"/>
              <w:rPr>
                <w:rFonts w:ascii="Times New Roman" w:hAnsi="Times New Roman"/>
                <w:sz w:val="20"/>
              </w:rPr>
            </w:pPr>
            <w:r w:rsidRPr="006F67C8">
              <w:rPr>
                <w:rFonts w:ascii="Times New Roman" w:hAnsi="Times New Roman"/>
                <w:sz w:val="20"/>
              </w:rPr>
              <w:t>P value</w:t>
            </w:r>
          </w:p>
        </w:tc>
      </w:tr>
      <w:tr w:rsidR="00A23B92" w:rsidRPr="006F67C8">
        <w:trPr>
          <w:jc w:val="center"/>
        </w:trPr>
        <w:tc>
          <w:tcPr>
            <w:tcW w:w="2629" w:type="dxa"/>
            <w:tcBorders>
              <w:top w:val="single" w:sz="18" w:space="0" w:color="auto"/>
              <w:left w:val="nil"/>
              <w:bottom w:val="dashSmallGap" w:sz="4" w:space="0" w:color="auto"/>
              <w:right w:val="nil"/>
            </w:tcBorders>
            <w:vAlign w:val="bottom"/>
          </w:tcPr>
          <w:p w:rsidR="00A23B92" w:rsidRPr="006F67C8" w:rsidRDefault="00A23B92" w:rsidP="00A23B92">
            <w:pPr>
              <w:spacing w:before="60"/>
              <w:rPr>
                <w:rFonts w:ascii="Times New Roman" w:hAnsi="Times New Roman"/>
                <w:b/>
                <w:sz w:val="20"/>
              </w:rPr>
            </w:pPr>
          </w:p>
          <w:p w:rsidR="00A23B92" w:rsidRPr="006F67C8" w:rsidRDefault="009E2DCC" w:rsidP="00A23B92">
            <w:pPr>
              <w:spacing w:before="60"/>
              <w:rPr>
                <w:rFonts w:ascii="Times New Roman" w:hAnsi="Times New Roman"/>
                <w:b/>
                <w:sz w:val="20"/>
              </w:rPr>
            </w:pPr>
            <w:r>
              <w:rPr>
                <w:rFonts w:ascii="Times New Roman" w:hAnsi="Times New Roman"/>
                <w:b/>
                <w:sz w:val="20"/>
              </w:rPr>
              <w:t>Tumour</w:t>
            </w:r>
            <w:r w:rsidR="00A23B92" w:rsidRPr="006F67C8">
              <w:rPr>
                <w:rFonts w:ascii="Times New Roman" w:hAnsi="Times New Roman"/>
                <w:b/>
                <w:sz w:val="20"/>
              </w:rPr>
              <w:t xml:space="preserve"> height from anorectal junction </w:t>
            </w:r>
          </w:p>
        </w:tc>
        <w:tc>
          <w:tcPr>
            <w:tcW w:w="1701" w:type="dxa"/>
            <w:tcBorders>
              <w:top w:val="single" w:sz="18" w:space="0" w:color="auto"/>
              <w:left w:val="nil"/>
              <w:bottom w:val="dashSmallGap" w:sz="4" w:space="0" w:color="auto"/>
              <w:right w:val="nil"/>
            </w:tcBorders>
          </w:tcPr>
          <w:p w:rsidR="00A23B92" w:rsidRPr="006F67C8" w:rsidRDefault="00A23B92" w:rsidP="00A23B92">
            <w:pPr>
              <w:spacing w:before="60"/>
              <w:jc w:val="center"/>
              <w:rPr>
                <w:rFonts w:ascii="Times New Roman" w:hAnsi="Times New Roman"/>
                <w:sz w:val="20"/>
              </w:rPr>
            </w:pPr>
          </w:p>
        </w:tc>
        <w:tc>
          <w:tcPr>
            <w:tcW w:w="1701" w:type="dxa"/>
            <w:tcBorders>
              <w:top w:val="single" w:sz="18" w:space="0" w:color="auto"/>
              <w:left w:val="nil"/>
              <w:bottom w:val="dashSmallGap" w:sz="4" w:space="0" w:color="auto"/>
              <w:right w:val="nil"/>
            </w:tcBorders>
          </w:tcPr>
          <w:p w:rsidR="00A23B92" w:rsidRPr="006F67C8" w:rsidRDefault="00A23B92" w:rsidP="00A23B92">
            <w:pPr>
              <w:spacing w:before="60"/>
              <w:jc w:val="center"/>
              <w:rPr>
                <w:rFonts w:ascii="Times New Roman" w:hAnsi="Times New Roman"/>
                <w:sz w:val="20"/>
              </w:rPr>
            </w:pPr>
          </w:p>
        </w:tc>
        <w:tc>
          <w:tcPr>
            <w:tcW w:w="1843" w:type="dxa"/>
            <w:tcBorders>
              <w:top w:val="single" w:sz="18" w:space="0" w:color="auto"/>
              <w:left w:val="nil"/>
              <w:bottom w:val="dashSmallGap" w:sz="4" w:space="0" w:color="auto"/>
              <w:right w:val="nil"/>
            </w:tcBorders>
          </w:tcPr>
          <w:p w:rsidR="00A23B92" w:rsidRPr="006F67C8" w:rsidRDefault="00A23B92" w:rsidP="00A23B92">
            <w:pPr>
              <w:spacing w:before="60"/>
              <w:jc w:val="center"/>
              <w:rPr>
                <w:rFonts w:ascii="Times New Roman" w:hAnsi="Times New Roman"/>
                <w:sz w:val="20"/>
              </w:rPr>
            </w:pPr>
          </w:p>
        </w:tc>
        <w:tc>
          <w:tcPr>
            <w:tcW w:w="1432" w:type="dxa"/>
            <w:tcBorders>
              <w:top w:val="single" w:sz="18" w:space="0" w:color="auto"/>
              <w:left w:val="nil"/>
              <w:bottom w:val="dashSmallGap" w:sz="4" w:space="0" w:color="auto"/>
              <w:right w:val="nil"/>
            </w:tcBorders>
          </w:tcPr>
          <w:p w:rsidR="00A23B92" w:rsidRPr="006F67C8" w:rsidRDefault="00A23B92" w:rsidP="00A23B92">
            <w:pPr>
              <w:spacing w:before="60"/>
              <w:jc w:val="center"/>
              <w:rPr>
                <w:rFonts w:ascii="Times New Roman" w:hAnsi="Times New Roman"/>
                <w:sz w:val="20"/>
              </w:rPr>
            </w:pPr>
          </w:p>
        </w:tc>
      </w:tr>
      <w:tr w:rsidR="00A23B92" w:rsidRPr="006F67C8">
        <w:trPr>
          <w:jc w:val="center"/>
        </w:trPr>
        <w:tc>
          <w:tcPr>
            <w:tcW w:w="2629" w:type="dxa"/>
            <w:tcBorders>
              <w:top w:val="dashSmallGap" w:sz="4" w:space="0" w:color="auto"/>
              <w:left w:val="nil"/>
              <w:bottom w:val="nil"/>
              <w:right w:val="nil"/>
            </w:tcBorders>
            <w:vAlign w:val="bottom"/>
          </w:tcPr>
          <w:p w:rsidR="00A23B92" w:rsidRPr="006F67C8" w:rsidRDefault="00A23B92" w:rsidP="00A23B92">
            <w:pPr>
              <w:numPr>
                <w:ilvl w:val="0"/>
                <w:numId w:val="25"/>
              </w:numPr>
              <w:tabs>
                <w:tab w:val="clear" w:pos="720"/>
                <w:tab w:val="num" w:pos="252"/>
              </w:tabs>
              <w:spacing w:before="60"/>
              <w:ind w:hanging="720"/>
              <w:rPr>
                <w:rFonts w:ascii="Times New Roman" w:hAnsi="Times New Roman"/>
                <w:sz w:val="20"/>
              </w:rPr>
            </w:pPr>
            <w:r w:rsidRPr="006F67C8">
              <w:rPr>
                <w:rFonts w:ascii="Times New Roman" w:hAnsi="Times New Roman"/>
                <w:sz w:val="20"/>
              </w:rPr>
              <w:t>&gt; 2 cm</w:t>
            </w:r>
          </w:p>
        </w:tc>
        <w:tc>
          <w:tcPr>
            <w:tcW w:w="1701" w:type="dxa"/>
            <w:tcBorders>
              <w:top w:val="dashSmallGap" w:sz="4" w:space="0" w:color="auto"/>
              <w:left w:val="nil"/>
              <w:bottom w:val="nil"/>
              <w:right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3.8</w:t>
            </w:r>
          </w:p>
        </w:tc>
        <w:tc>
          <w:tcPr>
            <w:tcW w:w="1701" w:type="dxa"/>
            <w:tcBorders>
              <w:top w:val="dashSmallGap" w:sz="4" w:space="0" w:color="auto"/>
              <w:left w:val="nil"/>
              <w:bottom w:val="nil"/>
              <w:right w:val="nil"/>
            </w:tcBorders>
          </w:tcPr>
          <w:p w:rsidR="00A23B92" w:rsidRPr="006F67C8" w:rsidRDefault="00A23B92" w:rsidP="00A23B92">
            <w:pPr>
              <w:spacing w:before="60"/>
              <w:jc w:val="center"/>
              <w:rPr>
                <w:rFonts w:ascii="Times New Roman" w:hAnsi="Times New Roman"/>
                <w:sz w:val="20"/>
              </w:rPr>
            </w:pPr>
          </w:p>
        </w:tc>
        <w:tc>
          <w:tcPr>
            <w:tcW w:w="1843" w:type="dxa"/>
            <w:tcBorders>
              <w:top w:val="dashSmallGap" w:sz="4" w:space="0" w:color="auto"/>
              <w:left w:val="nil"/>
              <w:bottom w:val="nil"/>
              <w:right w:val="nil"/>
            </w:tcBorders>
          </w:tcPr>
          <w:p w:rsidR="00A23B92" w:rsidRPr="006F67C8" w:rsidRDefault="00A23B92" w:rsidP="00A23B92">
            <w:pPr>
              <w:spacing w:before="60"/>
              <w:jc w:val="center"/>
              <w:rPr>
                <w:rFonts w:ascii="Times New Roman" w:hAnsi="Times New Roman"/>
                <w:sz w:val="20"/>
              </w:rPr>
            </w:pPr>
          </w:p>
        </w:tc>
        <w:tc>
          <w:tcPr>
            <w:tcW w:w="1432" w:type="dxa"/>
            <w:tcBorders>
              <w:top w:val="dashSmallGap" w:sz="4" w:space="0" w:color="auto"/>
              <w:left w:val="nil"/>
              <w:bottom w:val="nil"/>
              <w:right w:val="nil"/>
            </w:tcBorders>
          </w:tcPr>
          <w:p w:rsidR="00A23B92" w:rsidRPr="006F67C8" w:rsidRDefault="00A23B92" w:rsidP="00A23B92">
            <w:pPr>
              <w:spacing w:before="60"/>
              <w:jc w:val="center"/>
              <w:rPr>
                <w:rFonts w:ascii="Times New Roman" w:hAnsi="Times New Roman"/>
                <w:sz w:val="20"/>
              </w:rPr>
            </w:pPr>
          </w:p>
        </w:tc>
      </w:tr>
      <w:tr w:rsidR="00A23B92" w:rsidRPr="006F67C8">
        <w:trPr>
          <w:jc w:val="center"/>
        </w:trPr>
        <w:tc>
          <w:tcPr>
            <w:tcW w:w="2629" w:type="dxa"/>
            <w:tcBorders>
              <w:top w:val="nil"/>
              <w:left w:val="nil"/>
              <w:bottom w:val="nil"/>
              <w:right w:val="nil"/>
            </w:tcBorders>
            <w:vAlign w:val="bottom"/>
          </w:tcPr>
          <w:p w:rsidR="00A23B92" w:rsidRPr="006F67C8" w:rsidRDefault="00A23B92" w:rsidP="00A23B92">
            <w:pPr>
              <w:numPr>
                <w:ilvl w:val="0"/>
                <w:numId w:val="25"/>
              </w:numPr>
              <w:tabs>
                <w:tab w:val="clear" w:pos="720"/>
                <w:tab w:val="num" w:pos="252"/>
              </w:tabs>
              <w:spacing w:before="60"/>
              <w:ind w:hanging="720"/>
              <w:rPr>
                <w:rFonts w:ascii="Times New Roman" w:hAnsi="Times New Roman"/>
                <w:sz w:val="20"/>
              </w:rPr>
            </w:pPr>
            <w:r w:rsidRPr="006F67C8">
              <w:rPr>
                <w:rFonts w:ascii="Times New Roman" w:hAnsi="Times New Roman"/>
                <w:sz w:val="20"/>
              </w:rPr>
              <w:t>0 to 2 cm</w:t>
            </w:r>
          </w:p>
          <w:p w:rsidR="00A23B92" w:rsidRPr="006F67C8" w:rsidRDefault="00A23B92" w:rsidP="00A23B92">
            <w:pPr>
              <w:spacing w:before="60"/>
              <w:rPr>
                <w:rFonts w:ascii="Times New Roman" w:hAnsi="Times New Roman"/>
                <w:sz w:val="20"/>
              </w:rPr>
            </w:pPr>
          </w:p>
        </w:tc>
        <w:tc>
          <w:tcPr>
            <w:tcW w:w="1701"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11.6</w:t>
            </w:r>
          </w:p>
        </w:tc>
        <w:tc>
          <w:tcPr>
            <w:tcW w:w="1701"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sidRPr="006F67C8">
              <w:rPr>
                <w:rFonts w:ascii="Times New Roman" w:hAnsi="Times New Roman"/>
                <w:sz w:val="20"/>
              </w:rPr>
              <w:t>4</w:t>
            </w:r>
            <w:r w:rsidRPr="006F67C8">
              <w:rPr>
                <w:rFonts w:ascii="Times New Roman" w:hAnsi="Times New Roman"/>
                <w:sz w:val="20"/>
                <w:lang w:val="en-GB"/>
              </w:rPr>
              <w:t>·</w:t>
            </w:r>
            <w:r w:rsidRPr="006F67C8">
              <w:rPr>
                <w:rFonts w:ascii="Times New Roman" w:hAnsi="Times New Roman"/>
                <w:sz w:val="20"/>
              </w:rPr>
              <w:t>561</w:t>
            </w:r>
          </w:p>
        </w:tc>
        <w:tc>
          <w:tcPr>
            <w:tcW w:w="1843" w:type="dxa"/>
            <w:tcBorders>
              <w:top w:val="nil"/>
              <w:left w:val="nil"/>
              <w:bottom w:val="nil"/>
              <w:right w:val="nil"/>
            </w:tcBorders>
          </w:tcPr>
          <w:p w:rsidR="00A23B92" w:rsidRPr="006F67C8" w:rsidRDefault="00A23B92" w:rsidP="00A23B92">
            <w:pPr>
              <w:spacing w:before="60"/>
              <w:jc w:val="center"/>
              <w:rPr>
                <w:rFonts w:ascii="Times New Roman" w:hAnsi="Times New Roman"/>
                <w:color w:val="FF6600"/>
                <w:sz w:val="20"/>
              </w:rPr>
            </w:pPr>
            <w:r w:rsidRPr="006F67C8">
              <w:rPr>
                <w:rFonts w:ascii="Times New Roman" w:hAnsi="Times New Roman"/>
                <w:sz w:val="20"/>
              </w:rPr>
              <w:t>1</w:t>
            </w:r>
            <w:r w:rsidRPr="006F67C8">
              <w:rPr>
                <w:rFonts w:ascii="Times New Roman" w:hAnsi="Times New Roman"/>
                <w:sz w:val="20"/>
                <w:lang w:val="en-GB"/>
              </w:rPr>
              <w:t>·</w:t>
            </w:r>
            <w:r w:rsidRPr="006F67C8">
              <w:rPr>
                <w:rFonts w:ascii="Times New Roman" w:hAnsi="Times New Roman"/>
                <w:sz w:val="20"/>
              </w:rPr>
              <w:t>167–17</w:t>
            </w:r>
            <w:r w:rsidRPr="006F67C8">
              <w:rPr>
                <w:rFonts w:ascii="Times New Roman" w:hAnsi="Times New Roman"/>
                <w:sz w:val="20"/>
                <w:lang w:val="en-GB"/>
              </w:rPr>
              <w:t>·</w:t>
            </w:r>
            <w:r w:rsidRPr="006F67C8">
              <w:rPr>
                <w:rFonts w:ascii="Times New Roman" w:hAnsi="Times New Roman"/>
                <w:sz w:val="20"/>
              </w:rPr>
              <w:t>826</w:t>
            </w:r>
          </w:p>
        </w:tc>
        <w:tc>
          <w:tcPr>
            <w:tcW w:w="1432"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sidRPr="006F67C8">
              <w:rPr>
                <w:rFonts w:ascii="Times New Roman" w:hAnsi="Times New Roman"/>
                <w:sz w:val="20"/>
              </w:rPr>
              <w:t>0</w:t>
            </w:r>
            <w:r w:rsidRPr="006F67C8">
              <w:rPr>
                <w:rFonts w:ascii="Times New Roman" w:hAnsi="Times New Roman"/>
                <w:sz w:val="20"/>
                <w:lang w:val="en-GB"/>
              </w:rPr>
              <w:t>·</w:t>
            </w:r>
            <w:r w:rsidRPr="006F67C8">
              <w:rPr>
                <w:rFonts w:ascii="Times New Roman" w:hAnsi="Times New Roman"/>
                <w:sz w:val="20"/>
              </w:rPr>
              <w:t>029</w:t>
            </w:r>
          </w:p>
        </w:tc>
      </w:tr>
      <w:tr w:rsidR="00A23B92" w:rsidRPr="006F67C8">
        <w:trPr>
          <w:jc w:val="center"/>
        </w:trPr>
        <w:tc>
          <w:tcPr>
            <w:tcW w:w="2629" w:type="dxa"/>
            <w:tcBorders>
              <w:top w:val="dashSmallGap" w:sz="4" w:space="0" w:color="auto"/>
              <w:left w:val="nil"/>
              <w:bottom w:val="nil"/>
              <w:right w:val="nil"/>
            </w:tcBorders>
            <w:vAlign w:val="bottom"/>
          </w:tcPr>
          <w:p w:rsidR="00A23B92" w:rsidRPr="006F67C8" w:rsidRDefault="00A23B92">
            <w:pPr>
              <w:spacing w:before="60"/>
              <w:rPr>
                <w:rFonts w:ascii="Times New Roman" w:hAnsi="Times New Roman"/>
                <w:b/>
                <w:sz w:val="20"/>
              </w:rPr>
            </w:pPr>
            <w:r w:rsidRPr="006F67C8">
              <w:rPr>
                <w:rFonts w:ascii="Times New Roman" w:hAnsi="Times New Roman"/>
                <w:b/>
                <w:sz w:val="20"/>
              </w:rPr>
              <w:t>Positive CRM on staging MRI</w:t>
            </w:r>
          </w:p>
        </w:tc>
        <w:tc>
          <w:tcPr>
            <w:tcW w:w="1701" w:type="dxa"/>
            <w:tcBorders>
              <w:top w:val="dashSmallGap" w:sz="4" w:space="0" w:color="auto"/>
              <w:left w:val="nil"/>
              <w:bottom w:val="nil"/>
              <w:right w:val="nil"/>
            </w:tcBorders>
          </w:tcPr>
          <w:p w:rsidR="00A23B92" w:rsidRPr="006F67C8" w:rsidRDefault="00A23B92" w:rsidP="00A23B92">
            <w:pPr>
              <w:spacing w:before="60"/>
              <w:jc w:val="center"/>
              <w:rPr>
                <w:rFonts w:ascii="Times New Roman" w:hAnsi="Times New Roman"/>
                <w:sz w:val="20"/>
              </w:rPr>
            </w:pPr>
          </w:p>
        </w:tc>
        <w:tc>
          <w:tcPr>
            <w:tcW w:w="1701" w:type="dxa"/>
            <w:tcBorders>
              <w:top w:val="dashSmallGap" w:sz="4" w:space="0" w:color="auto"/>
              <w:left w:val="nil"/>
              <w:bottom w:val="nil"/>
              <w:right w:val="nil"/>
            </w:tcBorders>
          </w:tcPr>
          <w:p w:rsidR="00A23B92" w:rsidRPr="006F67C8" w:rsidRDefault="00A23B92" w:rsidP="00A23B92">
            <w:pPr>
              <w:spacing w:before="60"/>
              <w:jc w:val="center"/>
              <w:rPr>
                <w:rFonts w:ascii="Times New Roman" w:hAnsi="Times New Roman"/>
                <w:sz w:val="20"/>
              </w:rPr>
            </w:pPr>
          </w:p>
        </w:tc>
        <w:tc>
          <w:tcPr>
            <w:tcW w:w="1843" w:type="dxa"/>
            <w:tcBorders>
              <w:top w:val="dashSmallGap" w:sz="4" w:space="0" w:color="auto"/>
              <w:left w:val="nil"/>
              <w:bottom w:val="nil"/>
              <w:right w:val="nil"/>
            </w:tcBorders>
          </w:tcPr>
          <w:p w:rsidR="00A23B92" w:rsidRPr="006F67C8" w:rsidRDefault="00A23B92" w:rsidP="00A23B92">
            <w:pPr>
              <w:spacing w:before="60"/>
              <w:jc w:val="center"/>
              <w:rPr>
                <w:rFonts w:ascii="Times New Roman" w:hAnsi="Times New Roman"/>
                <w:sz w:val="20"/>
              </w:rPr>
            </w:pPr>
          </w:p>
        </w:tc>
        <w:tc>
          <w:tcPr>
            <w:tcW w:w="1432" w:type="dxa"/>
            <w:tcBorders>
              <w:top w:val="dashSmallGap" w:sz="4" w:space="0" w:color="auto"/>
              <w:left w:val="nil"/>
              <w:bottom w:val="nil"/>
              <w:right w:val="nil"/>
            </w:tcBorders>
          </w:tcPr>
          <w:p w:rsidR="00A23B92" w:rsidRPr="006F67C8" w:rsidRDefault="00A23B92" w:rsidP="00A23B92">
            <w:pPr>
              <w:spacing w:before="60"/>
              <w:jc w:val="center"/>
              <w:rPr>
                <w:rFonts w:ascii="Times New Roman" w:hAnsi="Times New Roman"/>
                <w:sz w:val="20"/>
              </w:rPr>
            </w:pPr>
          </w:p>
        </w:tc>
      </w:tr>
      <w:tr w:rsidR="00A23B92" w:rsidRPr="006F67C8">
        <w:trPr>
          <w:jc w:val="center"/>
        </w:trPr>
        <w:tc>
          <w:tcPr>
            <w:tcW w:w="2629" w:type="dxa"/>
            <w:tcBorders>
              <w:top w:val="dashSmallGap" w:sz="4" w:space="0" w:color="auto"/>
              <w:left w:val="nil"/>
              <w:bottom w:val="nil"/>
              <w:right w:val="nil"/>
            </w:tcBorders>
            <w:vAlign w:val="bottom"/>
          </w:tcPr>
          <w:p w:rsidR="00A23B92" w:rsidRPr="006F67C8" w:rsidRDefault="00A23B92" w:rsidP="00A23B92">
            <w:pPr>
              <w:numPr>
                <w:ilvl w:val="0"/>
                <w:numId w:val="25"/>
              </w:numPr>
              <w:tabs>
                <w:tab w:val="clear" w:pos="720"/>
                <w:tab w:val="num" w:pos="252"/>
              </w:tabs>
              <w:spacing w:before="60"/>
              <w:ind w:hanging="720"/>
              <w:rPr>
                <w:rFonts w:ascii="Times New Roman" w:hAnsi="Times New Roman"/>
                <w:sz w:val="20"/>
              </w:rPr>
            </w:pPr>
            <w:r w:rsidRPr="006F67C8">
              <w:rPr>
                <w:rFonts w:ascii="Times New Roman" w:hAnsi="Times New Roman"/>
                <w:sz w:val="20"/>
              </w:rPr>
              <w:t xml:space="preserve">Clear CRM </w:t>
            </w:r>
          </w:p>
        </w:tc>
        <w:tc>
          <w:tcPr>
            <w:tcW w:w="1701" w:type="dxa"/>
            <w:tcBorders>
              <w:top w:val="dashSmallGap" w:sz="4" w:space="0" w:color="auto"/>
              <w:left w:val="nil"/>
              <w:bottom w:val="nil"/>
              <w:right w:val="nil"/>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4.4</w:t>
            </w:r>
            <w:r w:rsidRPr="006F67C8">
              <w:rPr>
                <w:rFonts w:ascii="Times New Roman" w:hAnsi="Times New Roman"/>
                <w:sz w:val="20"/>
              </w:rPr>
              <w:t xml:space="preserve"> </w:t>
            </w:r>
          </w:p>
        </w:tc>
        <w:tc>
          <w:tcPr>
            <w:tcW w:w="1701" w:type="dxa"/>
            <w:tcBorders>
              <w:top w:val="dashSmallGap" w:sz="4" w:space="0" w:color="auto"/>
              <w:left w:val="nil"/>
              <w:bottom w:val="nil"/>
              <w:right w:val="nil"/>
            </w:tcBorders>
          </w:tcPr>
          <w:p w:rsidR="00A23B92" w:rsidRPr="006F67C8" w:rsidRDefault="00A23B92" w:rsidP="00A23B92">
            <w:pPr>
              <w:spacing w:before="60"/>
              <w:jc w:val="center"/>
              <w:rPr>
                <w:rFonts w:ascii="Times New Roman" w:hAnsi="Times New Roman"/>
                <w:sz w:val="20"/>
              </w:rPr>
            </w:pPr>
          </w:p>
        </w:tc>
        <w:tc>
          <w:tcPr>
            <w:tcW w:w="1843" w:type="dxa"/>
            <w:tcBorders>
              <w:top w:val="dashSmallGap" w:sz="4" w:space="0" w:color="auto"/>
              <w:left w:val="nil"/>
              <w:bottom w:val="nil"/>
              <w:right w:val="nil"/>
            </w:tcBorders>
          </w:tcPr>
          <w:p w:rsidR="00A23B92" w:rsidRPr="006F67C8" w:rsidRDefault="00A23B92" w:rsidP="00A23B92">
            <w:pPr>
              <w:spacing w:before="60"/>
              <w:jc w:val="center"/>
              <w:rPr>
                <w:rFonts w:ascii="Times New Roman" w:hAnsi="Times New Roman"/>
                <w:sz w:val="20"/>
              </w:rPr>
            </w:pPr>
          </w:p>
        </w:tc>
        <w:tc>
          <w:tcPr>
            <w:tcW w:w="1432" w:type="dxa"/>
            <w:tcBorders>
              <w:top w:val="dashSmallGap" w:sz="4" w:space="0" w:color="auto"/>
              <w:left w:val="nil"/>
              <w:bottom w:val="nil"/>
              <w:right w:val="nil"/>
            </w:tcBorders>
          </w:tcPr>
          <w:p w:rsidR="00A23B92" w:rsidRPr="006F67C8" w:rsidRDefault="00A23B92" w:rsidP="00A23B92">
            <w:pPr>
              <w:spacing w:before="60"/>
              <w:jc w:val="center"/>
              <w:rPr>
                <w:rFonts w:ascii="Times New Roman" w:hAnsi="Times New Roman"/>
                <w:sz w:val="20"/>
              </w:rPr>
            </w:pPr>
          </w:p>
        </w:tc>
      </w:tr>
      <w:tr w:rsidR="00A23B92" w:rsidRPr="006F67C8">
        <w:trPr>
          <w:jc w:val="center"/>
        </w:trPr>
        <w:tc>
          <w:tcPr>
            <w:tcW w:w="2629" w:type="dxa"/>
            <w:tcBorders>
              <w:top w:val="nil"/>
              <w:left w:val="nil"/>
              <w:bottom w:val="nil"/>
              <w:right w:val="nil"/>
            </w:tcBorders>
            <w:vAlign w:val="bottom"/>
          </w:tcPr>
          <w:p w:rsidR="00A23B92" w:rsidRPr="006F67C8" w:rsidRDefault="00A23B92" w:rsidP="00A23B92">
            <w:pPr>
              <w:numPr>
                <w:ilvl w:val="0"/>
                <w:numId w:val="25"/>
              </w:numPr>
              <w:tabs>
                <w:tab w:val="clear" w:pos="720"/>
                <w:tab w:val="num" w:pos="252"/>
              </w:tabs>
              <w:spacing w:before="60"/>
              <w:ind w:hanging="720"/>
              <w:rPr>
                <w:rFonts w:ascii="Times New Roman" w:hAnsi="Times New Roman"/>
                <w:sz w:val="20"/>
              </w:rPr>
            </w:pPr>
            <w:r w:rsidRPr="006F67C8">
              <w:rPr>
                <w:rFonts w:ascii="Times New Roman" w:hAnsi="Times New Roman"/>
                <w:sz w:val="20"/>
              </w:rPr>
              <w:t>Positive CRM</w:t>
            </w:r>
          </w:p>
          <w:p w:rsidR="00A23B92" w:rsidRPr="006F67C8" w:rsidRDefault="00A23B92" w:rsidP="00A23B92">
            <w:pPr>
              <w:spacing w:before="60"/>
              <w:rPr>
                <w:rFonts w:ascii="Times New Roman" w:hAnsi="Times New Roman"/>
                <w:sz w:val="20"/>
              </w:rPr>
            </w:pPr>
          </w:p>
        </w:tc>
        <w:tc>
          <w:tcPr>
            <w:tcW w:w="1701"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sidRPr="006F67C8">
              <w:rPr>
                <w:rFonts w:ascii="Times New Roman" w:hAnsi="Times New Roman"/>
                <w:sz w:val="20"/>
              </w:rPr>
              <w:t xml:space="preserve"> </w:t>
            </w:r>
            <w:r>
              <w:rPr>
                <w:rFonts w:ascii="Times New Roman" w:hAnsi="Times New Roman"/>
                <w:sz w:val="20"/>
              </w:rPr>
              <w:t>12.3</w:t>
            </w:r>
          </w:p>
        </w:tc>
        <w:tc>
          <w:tcPr>
            <w:tcW w:w="1701"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sidRPr="006F67C8">
              <w:rPr>
                <w:rFonts w:ascii="Times New Roman" w:hAnsi="Times New Roman"/>
                <w:sz w:val="20"/>
              </w:rPr>
              <w:t>4</w:t>
            </w:r>
            <w:r w:rsidRPr="006F67C8">
              <w:rPr>
                <w:rFonts w:ascii="Times New Roman" w:hAnsi="Times New Roman"/>
                <w:sz w:val="20"/>
                <w:lang w:val="en-GB"/>
              </w:rPr>
              <w:t>·</w:t>
            </w:r>
            <w:r w:rsidRPr="006F67C8">
              <w:rPr>
                <w:rFonts w:ascii="Times New Roman" w:hAnsi="Times New Roman"/>
                <w:sz w:val="20"/>
              </w:rPr>
              <w:t>930</w:t>
            </w:r>
          </w:p>
        </w:tc>
        <w:tc>
          <w:tcPr>
            <w:tcW w:w="1843" w:type="dxa"/>
            <w:tcBorders>
              <w:top w:val="nil"/>
              <w:left w:val="nil"/>
              <w:bottom w:val="nil"/>
              <w:right w:val="nil"/>
            </w:tcBorders>
          </w:tcPr>
          <w:p w:rsidR="00A23B92" w:rsidRPr="006F67C8" w:rsidRDefault="00A23B92" w:rsidP="00A23B92">
            <w:pPr>
              <w:spacing w:before="60"/>
              <w:jc w:val="center"/>
              <w:rPr>
                <w:rFonts w:ascii="Times New Roman" w:hAnsi="Times New Roman"/>
                <w:sz w:val="20"/>
              </w:rPr>
            </w:pPr>
            <w:r w:rsidRPr="006F67C8">
              <w:rPr>
                <w:rFonts w:ascii="Times New Roman" w:hAnsi="Times New Roman"/>
                <w:sz w:val="20"/>
              </w:rPr>
              <w:t>1</w:t>
            </w:r>
            <w:r w:rsidRPr="006F67C8">
              <w:rPr>
                <w:rFonts w:ascii="Times New Roman" w:hAnsi="Times New Roman"/>
                <w:sz w:val="20"/>
                <w:lang w:val="en-GB"/>
              </w:rPr>
              <w:t>·</w:t>
            </w:r>
            <w:r w:rsidRPr="006F67C8">
              <w:rPr>
                <w:rFonts w:ascii="Times New Roman" w:hAnsi="Times New Roman"/>
                <w:sz w:val="20"/>
              </w:rPr>
              <w:t>364–17</w:t>
            </w:r>
            <w:r w:rsidRPr="006F67C8">
              <w:rPr>
                <w:rFonts w:ascii="Times New Roman" w:hAnsi="Times New Roman"/>
                <w:sz w:val="20"/>
                <w:lang w:val="en-GB"/>
              </w:rPr>
              <w:t>·</w:t>
            </w:r>
            <w:r w:rsidRPr="006F67C8">
              <w:rPr>
                <w:rFonts w:ascii="Times New Roman" w:hAnsi="Times New Roman"/>
                <w:sz w:val="20"/>
              </w:rPr>
              <w:t>816</w:t>
            </w:r>
          </w:p>
        </w:tc>
        <w:tc>
          <w:tcPr>
            <w:tcW w:w="1432" w:type="dxa"/>
            <w:tcBorders>
              <w:top w:val="nil"/>
              <w:left w:val="nil"/>
              <w:bottom w:val="nil"/>
            </w:tcBorders>
          </w:tcPr>
          <w:p w:rsidR="00A23B92" w:rsidRPr="006F67C8" w:rsidRDefault="00A23B92" w:rsidP="00A23B92">
            <w:pPr>
              <w:spacing w:before="60"/>
              <w:jc w:val="center"/>
              <w:rPr>
                <w:rFonts w:ascii="Times New Roman" w:hAnsi="Times New Roman"/>
                <w:sz w:val="20"/>
              </w:rPr>
            </w:pPr>
            <w:r w:rsidRPr="006F67C8">
              <w:rPr>
                <w:rFonts w:ascii="Times New Roman" w:hAnsi="Times New Roman"/>
                <w:sz w:val="20"/>
              </w:rPr>
              <w:t>0</w:t>
            </w:r>
            <w:r w:rsidRPr="006F67C8">
              <w:rPr>
                <w:rFonts w:ascii="Times New Roman" w:hAnsi="Times New Roman"/>
                <w:sz w:val="20"/>
                <w:lang w:val="en-GB"/>
              </w:rPr>
              <w:t>·</w:t>
            </w:r>
            <w:r w:rsidRPr="006F67C8">
              <w:rPr>
                <w:rFonts w:ascii="Times New Roman" w:hAnsi="Times New Roman"/>
                <w:sz w:val="20"/>
              </w:rPr>
              <w:t>015</w:t>
            </w:r>
          </w:p>
        </w:tc>
      </w:tr>
      <w:tr w:rsidR="00A23B92" w:rsidRPr="006F67C8">
        <w:trPr>
          <w:jc w:val="center"/>
        </w:trPr>
        <w:tc>
          <w:tcPr>
            <w:tcW w:w="2629" w:type="dxa"/>
            <w:tcBorders>
              <w:top w:val="dashSmallGap" w:sz="4" w:space="0" w:color="auto"/>
              <w:left w:val="nil"/>
              <w:bottom w:val="dashSmallGap" w:sz="4" w:space="0" w:color="auto"/>
              <w:right w:val="nil"/>
            </w:tcBorders>
            <w:vAlign w:val="bottom"/>
          </w:tcPr>
          <w:p w:rsidR="00A23B92" w:rsidRPr="006F67C8" w:rsidRDefault="00A23B92" w:rsidP="00A23B92">
            <w:pPr>
              <w:spacing w:before="60"/>
              <w:rPr>
                <w:rFonts w:ascii="Times New Roman" w:hAnsi="Times New Roman"/>
                <w:b/>
                <w:sz w:val="20"/>
              </w:rPr>
            </w:pPr>
            <w:r w:rsidRPr="006F67C8">
              <w:rPr>
                <w:rFonts w:ascii="Times New Roman" w:hAnsi="Times New Roman"/>
                <w:b/>
                <w:sz w:val="20"/>
              </w:rPr>
              <w:t>Abdominal extent of posterior pelvic dissection</w:t>
            </w:r>
          </w:p>
        </w:tc>
        <w:tc>
          <w:tcPr>
            <w:tcW w:w="1701" w:type="dxa"/>
            <w:tcBorders>
              <w:top w:val="dashSmallGap" w:sz="4" w:space="0" w:color="auto"/>
              <w:left w:val="nil"/>
              <w:bottom w:val="dashSmallGap" w:sz="4" w:space="0" w:color="auto"/>
              <w:right w:val="nil"/>
            </w:tcBorders>
          </w:tcPr>
          <w:p w:rsidR="00A23B92" w:rsidRPr="006F67C8" w:rsidRDefault="00A23B92" w:rsidP="00A23B92">
            <w:pPr>
              <w:spacing w:before="60"/>
              <w:jc w:val="center"/>
              <w:rPr>
                <w:rFonts w:ascii="Times New Roman" w:hAnsi="Times New Roman"/>
                <w:sz w:val="20"/>
              </w:rPr>
            </w:pPr>
          </w:p>
        </w:tc>
        <w:tc>
          <w:tcPr>
            <w:tcW w:w="1701" w:type="dxa"/>
            <w:tcBorders>
              <w:top w:val="dashSmallGap" w:sz="4" w:space="0" w:color="auto"/>
              <w:left w:val="nil"/>
              <w:bottom w:val="dashSmallGap" w:sz="4" w:space="0" w:color="auto"/>
              <w:right w:val="nil"/>
            </w:tcBorders>
          </w:tcPr>
          <w:p w:rsidR="00A23B92" w:rsidRPr="006F67C8" w:rsidRDefault="00A23B92" w:rsidP="00A23B92">
            <w:pPr>
              <w:spacing w:before="60"/>
              <w:jc w:val="center"/>
              <w:rPr>
                <w:rFonts w:ascii="Times New Roman" w:hAnsi="Times New Roman"/>
                <w:sz w:val="20"/>
              </w:rPr>
            </w:pPr>
          </w:p>
        </w:tc>
        <w:tc>
          <w:tcPr>
            <w:tcW w:w="1843" w:type="dxa"/>
            <w:tcBorders>
              <w:top w:val="dashSmallGap" w:sz="4" w:space="0" w:color="auto"/>
              <w:left w:val="nil"/>
              <w:bottom w:val="dashSmallGap" w:sz="4" w:space="0" w:color="auto"/>
              <w:right w:val="nil"/>
            </w:tcBorders>
          </w:tcPr>
          <w:p w:rsidR="00A23B92" w:rsidRPr="006F67C8" w:rsidRDefault="00A23B92" w:rsidP="00A23B92">
            <w:pPr>
              <w:spacing w:before="60"/>
              <w:jc w:val="center"/>
              <w:rPr>
                <w:rFonts w:ascii="Times New Roman" w:hAnsi="Times New Roman"/>
                <w:sz w:val="20"/>
              </w:rPr>
            </w:pPr>
          </w:p>
        </w:tc>
        <w:tc>
          <w:tcPr>
            <w:tcW w:w="1432" w:type="dxa"/>
            <w:tcBorders>
              <w:top w:val="dashSmallGap" w:sz="4" w:space="0" w:color="auto"/>
              <w:left w:val="nil"/>
              <w:bottom w:val="dashSmallGap" w:sz="4" w:space="0" w:color="auto"/>
              <w:right w:val="nil"/>
            </w:tcBorders>
          </w:tcPr>
          <w:p w:rsidR="00A23B92" w:rsidRPr="006F67C8" w:rsidRDefault="00A23B92" w:rsidP="00A23B92">
            <w:pPr>
              <w:spacing w:before="60"/>
              <w:jc w:val="center"/>
              <w:rPr>
                <w:rFonts w:ascii="Times New Roman" w:hAnsi="Times New Roman"/>
                <w:sz w:val="20"/>
              </w:rPr>
            </w:pPr>
          </w:p>
        </w:tc>
      </w:tr>
      <w:tr w:rsidR="00A23B92" w:rsidRPr="006F67C8">
        <w:trPr>
          <w:jc w:val="center"/>
        </w:trPr>
        <w:tc>
          <w:tcPr>
            <w:tcW w:w="2629" w:type="dxa"/>
            <w:tcBorders>
              <w:top w:val="dashSmallGap" w:sz="4" w:space="0" w:color="auto"/>
            </w:tcBorders>
            <w:vAlign w:val="bottom"/>
          </w:tcPr>
          <w:p w:rsidR="00A23B92" w:rsidRPr="006F67C8" w:rsidRDefault="00A23B92" w:rsidP="00A23B92">
            <w:pPr>
              <w:numPr>
                <w:ilvl w:val="0"/>
                <w:numId w:val="25"/>
              </w:numPr>
              <w:tabs>
                <w:tab w:val="clear" w:pos="720"/>
                <w:tab w:val="num" w:pos="252"/>
              </w:tabs>
              <w:spacing w:before="60"/>
              <w:ind w:hanging="720"/>
              <w:rPr>
                <w:rFonts w:ascii="Times New Roman" w:hAnsi="Times New Roman"/>
                <w:sz w:val="20"/>
              </w:rPr>
            </w:pPr>
            <w:r w:rsidRPr="006F67C8">
              <w:rPr>
                <w:rFonts w:ascii="Times New Roman" w:hAnsi="Times New Roman"/>
                <w:sz w:val="20"/>
              </w:rPr>
              <w:t>&gt; 4 cm</w:t>
            </w:r>
          </w:p>
        </w:tc>
        <w:tc>
          <w:tcPr>
            <w:tcW w:w="1701" w:type="dxa"/>
            <w:tcBorders>
              <w:top w:val="dashSmallGap" w:sz="4" w:space="0" w:color="auto"/>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3.1</w:t>
            </w:r>
          </w:p>
        </w:tc>
        <w:tc>
          <w:tcPr>
            <w:tcW w:w="1701" w:type="dxa"/>
            <w:tcBorders>
              <w:top w:val="dashSmallGap" w:sz="4" w:space="0" w:color="auto"/>
            </w:tcBorders>
          </w:tcPr>
          <w:p w:rsidR="00A23B92" w:rsidRPr="006F67C8" w:rsidRDefault="00A23B92" w:rsidP="00A23B92">
            <w:pPr>
              <w:spacing w:before="60"/>
              <w:jc w:val="center"/>
              <w:rPr>
                <w:rFonts w:ascii="Times New Roman" w:hAnsi="Times New Roman"/>
                <w:sz w:val="20"/>
              </w:rPr>
            </w:pPr>
          </w:p>
        </w:tc>
        <w:tc>
          <w:tcPr>
            <w:tcW w:w="1843" w:type="dxa"/>
            <w:tcBorders>
              <w:top w:val="dashSmallGap" w:sz="4" w:space="0" w:color="auto"/>
            </w:tcBorders>
          </w:tcPr>
          <w:p w:rsidR="00A23B92" w:rsidRPr="006F67C8" w:rsidRDefault="00A23B92" w:rsidP="00A23B92">
            <w:pPr>
              <w:spacing w:before="60"/>
              <w:jc w:val="center"/>
              <w:rPr>
                <w:rFonts w:ascii="Times New Roman" w:hAnsi="Times New Roman"/>
                <w:sz w:val="20"/>
              </w:rPr>
            </w:pPr>
          </w:p>
        </w:tc>
        <w:tc>
          <w:tcPr>
            <w:tcW w:w="1432" w:type="dxa"/>
            <w:tcBorders>
              <w:top w:val="dashSmallGap" w:sz="4" w:space="0" w:color="auto"/>
            </w:tcBorders>
          </w:tcPr>
          <w:p w:rsidR="00A23B92" w:rsidRPr="006F67C8" w:rsidRDefault="00A23B92" w:rsidP="00A23B92">
            <w:pPr>
              <w:spacing w:before="60"/>
              <w:jc w:val="center"/>
              <w:rPr>
                <w:rFonts w:ascii="Times New Roman" w:hAnsi="Times New Roman"/>
                <w:sz w:val="20"/>
              </w:rPr>
            </w:pPr>
          </w:p>
        </w:tc>
      </w:tr>
      <w:tr w:rsidR="00A23B92" w:rsidRPr="006F67C8">
        <w:trPr>
          <w:jc w:val="center"/>
        </w:trPr>
        <w:tc>
          <w:tcPr>
            <w:tcW w:w="2629" w:type="dxa"/>
            <w:tcBorders>
              <w:top w:val="nil"/>
              <w:bottom w:val="single" w:sz="18" w:space="0" w:color="auto"/>
            </w:tcBorders>
            <w:vAlign w:val="bottom"/>
          </w:tcPr>
          <w:p w:rsidR="00A23B92" w:rsidRPr="006F67C8" w:rsidRDefault="00A23B92" w:rsidP="00A23B92">
            <w:pPr>
              <w:numPr>
                <w:ilvl w:val="0"/>
                <w:numId w:val="25"/>
              </w:numPr>
              <w:tabs>
                <w:tab w:val="clear" w:pos="720"/>
                <w:tab w:val="num" w:pos="252"/>
              </w:tabs>
              <w:spacing w:before="60"/>
              <w:ind w:hanging="720"/>
              <w:rPr>
                <w:rFonts w:ascii="Times New Roman" w:hAnsi="Times New Roman"/>
                <w:sz w:val="20"/>
              </w:rPr>
            </w:pPr>
            <w:r w:rsidRPr="006F67C8">
              <w:rPr>
                <w:rFonts w:ascii="Times New Roman" w:hAnsi="Times New Roman"/>
                <w:sz w:val="20"/>
              </w:rPr>
              <w:t xml:space="preserve">≤ 4cm </w:t>
            </w:r>
          </w:p>
          <w:p w:rsidR="00A23B92" w:rsidRPr="006F67C8" w:rsidRDefault="00A23B92" w:rsidP="00A23B92">
            <w:pPr>
              <w:spacing w:before="60"/>
              <w:rPr>
                <w:rFonts w:ascii="Times New Roman" w:hAnsi="Times New Roman"/>
                <w:sz w:val="20"/>
              </w:rPr>
            </w:pPr>
          </w:p>
        </w:tc>
        <w:tc>
          <w:tcPr>
            <w:tcW w:w="1701" w:type="dxa"/>
            <w:tcBorders>
              <w:top w:val="nil"/>
              <w:bottom w:val="single" w:sz="18" w:space="0" w:color="auto"/>
            </w:tcBorders>
          </w:tcPr>
          <w:p w:rsidR="00A23B92" w:rsidRPr="006F67C8" w:rsidRDefault="00A23B92" w:rsidP="00A23B92">
            <w:pPr>
              <w:spacing w:before="60"/>
              <w:jc w:val="center"/>
              <w:rPr>
                <w:rFonts w:ascii="Times New Roman" w:hAnsi="Times New Roman"/>
                <w:sz w:val="20"/>
              </w:rPr>
            </w:pPr>
            <w:r>
              <w:rPr>
                <w:rFonts w:ascii="Times New Roman" w:hAnsi="Times New Roman"/>
                <w:sz w:val="20"/>
              </w:rPr>
              <w:t>10.4</w:t>
            </w:r>
          </w:p>
        </w:tc>
        <w:tc>
          <w:tcPr>
            <w:tcW w:w="1701" w:type="dxa"/>
            <w:tcBorders>
              <w:top w:val="nil"/>
              <w:bottom w:val="single" w:sz="18" w:space="0" w:color="auto"/>
            </w:tcBorders>
          </w:tcPr>
          <w:p w:rsidR="00A23B92" w:rsidRPr="006F67C8" w:rsidRDefault="00A23B92" w:rsidP="00A23B92">
            <w:pPr>
              <w:spacing w:before="60"/>
              <w:jc w:val="center"/>
              <w:rPr>
                <w:rFonts w:ascii="Times New Roman" w:hAnsi="Times New Roman"/>
                <w:sz w:val="20"/>
              </w:rPr>
            </w:pPr>
            <w:r w:rsidRPr="006F67C8">
              <w:rPr>
                <w:rFonts w:ascii="Times New Roman" w:hAnsi="Times New Roman"/>
                <w:sz w:val="20"/>
              </w:rPr>
              <w:t>5</w:t>
            </w:r>
            <w:r w:rsidRPr="006F67C8">
              <w:rPr>
                <w:rFonts w:ascii="Times New Roman" w:hAnsi="Times New Roman"/>
                <w:sz w:val="20"/>
                <w:lang w:val="en-GB"/>
              </w:rPr>
              <w:t>·</w:t>
            </w:r>
            <w:r w:rsidRPr="006F67C8">
              <w:rPr>
                <w:rFonts w:ascii="Times New Roman" w:hAnsi="Times New Roman"/>
                <w:sz w:val="20"/>
              </w:rPr>
              <w:t>849</w:t>
            </w:r>
          </w:p>
        </w:tc>
        <w:tc>
          <w:tcPr>
            <w:tcW w:w="1843" w:type="dxa"/>
            <w:tcBorders>
              <w:top w:val="nil"/>
              <w:bottom w:val="single" w:sz="18" w:space="0" w:color="auto"/>
            </w:tcBorders>
          </w:tcPr>
          <w:p w:rsidR="00A23B92" w:rsidRPr="006F67C8" w:rsidRDefault="00A23B92" w:rsidP="00A23B92">
            <w:pPr>
              <w:spacing w:before="60"/>
              <w:jc w:val="center"/>
              <w:rPr>
                <w:rFonts w:ascii="Times New Roman" w:hAnsi="Times New Roman"/>
                <w:sz w:val="20"/>
              </w:rPr>
            </w:pPr>
            <w:r w:rsidRPr="006F67C8">
              <w:rPr>
                <w:rFonts w:ascii="Times New Roman" w:hAnsi="Times New Roman"/>
                <w:sz w:val="20"/>
              </w:rPr>
              <w:t>1</w:t>
            </w:r>
            <w:r w:rsidRPr="006F67C8">
              <w:rPr>
                <w:rFonts w:ascii="Times New Roman" w:hAnsi="Times New Roman"/>
                <w:sz w:val="20"/>
                <w:lang w:val="en-GB"/>
              </w:rPr>
              <w:t>·</w:t>
            </w:r>
            <w:r w:rsidRPr="006F67C8">
              <w:rPr>
                <w:rFonts w:ascii="Times New Roman" w:hAnsi="Times New Roman"/>
                <w:sz w:val="20"/>
              </w:rPr>
              <w:t>424–24</w:t>
            </w:r>
            <w:r w:rsidRPr="006F67C8">
              <w:rPr>
                <w:rFonts w:ascii="Times New Roman" w:hAnsi="Times New Roman"/>
                <w:sz w:val="20"/>
                <w:lang w:val="en-GB"/>
              </w:rPr>
              <w:t>·</w:t>
            </w:r>
            <w:r w:rsidRPr="006F67C8">
              <w:rPr>
                <w:rFonts w:ascii="Times New Roman" w:hAnsi="Times New Roman"/>
                <w:sz w:val="20"/>
              </w:rPr>
              <w:t>024</w:t>
            </w:r>
          </w:p>
        </w:tc>
        <w:tc>
          <w:tcPr>
            <w:tcW w:w="1432" w:type="dxa"/>
            <w:tcBorders>
              <w:top w:val="nil"/>
              <w:bottom w:val="single" w:sz="18" w:space="0" w:color="auto"/>
            </w:tcBorders>
          </w:tcPr>
          <w:p w:rsidR="00A23B92" w:rsidRPr="006F67C8" w:rsidRDefault="00A23B92" w:rsidP="00A23B92">
            <w:pPr>
              <w:spacing w:before="60"/>
              <w:jc w:val="center"/>
              <w:rPr>
                <w:rFonts w:ascii="Times New Roman" w:hAnsi="Times New Roman"/>
                <w:sz w:val="20"/>
              </w:rPr>
            </w:pPr>
            <w:r w:rsidRPr="006F67C8">
              <w:rPr>
                <w:rFonts w:ascii="Times New Roman" w:hAnsi="Times New Roman"/>
                <w:sz w:val="20"/>
              </w:rPr>
              <w:t>0</w:t>
            </w:r>
            <w:r w:rsidRPr="006F67C8">
              <w:rPr>
                <w:rFonts w:ascii="Times New Roman" w:hAnsi="Times New Roman"/>
                <w:sz w:val="20"/>
                <w:lang w:val="en-GB"/>
              </w:rPr>
              <w:t>·</w:t>
            </w:r>
            <w:r w:rsidRPr="006F67C8">
              <w:rPr>
                <w:rFonts w:ascii="Times New Roman" w:hAnsi="Times New Roman"/>
                <w:sz w:val="20"/>
              </w:rPr>
              <w:t>014</w:t>
            </w:r>
          </w:p>
        </w:tc>
      </w:tr>
    </w:tbl>
    <w:p w:rsidR="00A23B92" w:rsidRPr="006F67C8" w:rsidRDefault="00A23B92" w:rsidP="00A23B92">
      <w:pPr>
        <w:jc w:val="both"/>
        <w:rPr>
          <w:rFonts w:ascii="Times New Roman" w:hAnsi="Times New Roman"/>
          <w:sz w:val="20"/>
          <w:lang w:val="en-GB"/>
        </w:rPr>
      </w:pPr>
      <w:r w:rsidRPr="006F67C8">
        <w:rPr>
          <w:rFonts w:ascii="Times New Roman" w:hAnsi="Times New Roman"/>
          <w:sz w:val="20"/>
          <w:lang w:val="en-GB"/>
        </w:rPr>
        <w:t>CRM: circumferential resection margin; MRI: Magnetic Resonance Imaging</w:t>
      </w:r>
    </w:p>
    <w:p w:rsidR="00A23B92" w:rsidRPr="006F67C8" w:rsidRDefault="00A23B92" w:rsidP="00A23B92">
      <w:pPr>
        <w:jc w:val="both"/>
        <w:rPr>
          <w:rFonts w:ascii="Times New Roman" w:hAnsi="Times New Roman"/>
          <w:sz w:val="20"/>
          <w:lang w:val="en-GB"/>
        </w:rPr>
      </w:pPr>
    </w:p>
    <w:p w:rsidR="00A23B92" w:rsidRPr="006F67C8" w:rsidRDefault="00A23B92" w:rsidP="00A23B92">
      <w:pPr>
        <w:jc w:val="both"/>
        <w:rPr>
          <w:rFonts w:ascii="Times New Roman" w:hAnsi="Times New Roman"/>
          <w:sz w:val="20"/>
          <w:lang w:val="en-GB"/>
        </w:rPr>
      </w:pPr>
    </w:p>
    <w:p w:rsidR="00A23B92" w:rsidRPr="006F67C8" w:rsidRDefault="00A23B92" w:rsidP="00A23B92">
      <w:pPr>
        <w:jc w:val="both"/>
        <w:rPr>
          <w:rFonts w:ascii="Times New Roman" w:hAnsi="Times New Roman"/>
          <w:sz w:val="20"/>
          <w:lang w:val="en-GB"/>
        </w:rPr>
      </w:pPr>
    </w:p>
    <w:p w:rsidR="00A23B92" w:rsidRPr="006F67C8" w:rsidRDefault="00A23B92">
      <w:pPr>
        <w:rPr>
          <w:rFonts w:ascii="Times New Roman" w:hAnsi="Times New Roman"/>
          <w:b/>
        </w:rPr>
      </w:pPr>
    </w:p>
    <w:p w:rsidR="00A23B92" w:rsidRPr="006F67C8" w:rsidRDefault="00A23B92">
      <w:pPr>
        <w:rPr>
          <w:rFonts w:ascii="Times New Roman" w:hAnsi="Times New Roman"/>
          <w:b/>
        </w:rPr>
      </w:pPr>
    </w:p>
    <w:p w:rsidR="00A23B92" w:rsidRPr="006F67C8" w:rsidRDefault="00A23B92">
      <w:pPr>
        <w:rPr>
          <w:rFonts w:ascii="Times New Roman" w:hAnsi="Times New Roman"/>
          <w:b/>
        </w:rPr>
      </w:pPr>
    </w:p>
    <w:p w:rsidR="00A23B92" w:rsidRPr="006F67C8" w:rsidRDefault="00A23B92">
      <w:pPr>
        <w:rPr>
          <w:rFonts w:ascii="Times New Roman" w:hAnsi="Times New Roman"/>
          <w:b/>
        </w:rPr>
      </w:pPr>
    </w:p>
    <w:p w:rsidR="00A23B92" w:rsidRPr="006F67C8" w:rsidRDefault="00A23B92">
      <w:pPr>
        <w:rPr>
          <w:rFonts w:ascii="Times New Roman" w:hAnsi="Times New Roman"/>
          <w:b/>
        </w:rPr>
      </w:pPr>
    </w:p>
    <w:p w:rsidR="00A23B92" w:rsidRPr="006F67C8" w:rsidRDefault="00A23B92">
      <w:pPr>
        <w:rPr>
          <w:rFonts w:ascii="Times New Roman" w:hAnsi="Times New Roman"/>
          <w:b/>
        </w:rPr>
      </w:pPr>
    </w:p>
    <w:p w:rsidR="00A23B92" w:rsidRPr="006F67C8" w:rsidRDefault="00A23B92">
      <w:pPr>
        <w:rPr>
          <w:rFonts w:ascii="Times New Roman" w:hAnsi="Times New Roman"/>
          <w:b/>
        </w:rPr>
      </w:pPr>
    </w:p>
    <w:p w:rsidR="00A23B92" w:rsidRPr="006F67C8" w:rsidRDefault="00A23B92">
      <w:pPr>
        <w:rPr>
          <w:rFonts w:ascii="Times New Roman" w:hAnsi="Times New Roman"/>
          <w:b/>
        </w:rPr>
      </w:pPr>
    </w:p>
    <w:p w:rsidR="00A23B92" w:rsidRPr="006F67C8" w:rsidRDefault="00A23B92">
      <w:pPr>
        <w:rPr>
          <w:rFonts w:ascii="Times New Roman" w:hAnsi="Times New Roman"/>
          <w:b/>
        </w:rPr>
      </w:pPr>
    </w:p>
    <w:p w:rsidR="00A23B92" w:rsidRPr="006F67C8" w:rsidRDefault="00A23B92">
      <w:pPr>
        <w:rPr>
          <w:rFonts w:ascii="Times New Roman" w:hAnsi="Times New Roman"/>
          <w:b/>
        </w:rPr>
      </w:pPr>
    </w:p>
    <w:p w:rsidR="00A23B92" w:rsidRPr="006F67C8" w:rsidRDefault="00A23B92">
      <w:pPr>
        <w:rPr>
          <w:rFonts w:ascii="Times New Roman" w:hAnsi="Times New Roman"/>
          <w:b/>
        </w:rPr>
      </w:pPr>
    </w:p>
    <w:p w:rsidR="00A23B92" w:rsidRPr="006F67C8" w:rsidRDefault="00A23B92">
      <w:pPr>
        <w:rPr>
          <w:rFonts w:ascii="Times New Roman" w:hAnsi="Times New Roman"/>
          <w:b/>
        </w:rPr>
      </w:pPr>
    </w:p>
    <w:p w:rsidR="00A23B92" w:rsidRPr="006F67C8" w:rsidRDefault="00A23B92">
      <w:pPr>
        <w:rPr>
          <w:rFonts w:ascii="Times New Roman" w:hAnsi="Times New Roman"/>
          <w:b/>
        </w:rPr>
      </w:pPr>
    </w:p>
    <w:p w:rsidR="00A23B92" w:rsidRDefault="00A23B92">
      <w:pPr>
        <w:rPr>
          <w:rFonts w:ascii="Times New Roman" w:hAnsi="Times New Roman"/>
          <w:b/>
        </w:rPr>
      </w:pPr>
    </w:p>
    <w:p w:rsidR="00A23B92" w:rsidRDefault="00A23B92">
      <w:pPr>
        <w:rPr>
          <w:rFonts w:ascii="Times New Roman" w:hAnsi="Times New Roman"/>
          <w:b/>
        </w:rPr>
      </w:pPr>
    </w:p>
    <w:p w:rsidR="00342D36" w:rsidRDefault="00342D36" w:rsidP="00A23B92">
      <w:pPr>
        <w:jc w:val="both"/>
        <w:rPr>
          <w:rFonts w:ascii="Times New Roman" w:hAnsi="Times New Roman"/>
          <w:b/>
        </w:rPr>
      </w:pPr>
    </w:p>
    <w:p w:rsidR="00342D36" w:rsidRDefault="00342D36" w:rsidP="00A23B92">
      <w:pPr>
        <w:jc w:val="both"/>
        <w:rPr>
          <w:rFonts w:ascii="Times New Roman" w:hAnsi="Times New Roman"/>
          <w:b/>
        </w:rPr>
      </w:pPr>
    </w:p>
    <w:p w:rsidR="00A23B92" w:rsidRPr="006F67C8" w:rsidRDefault="00A23B92" w:rsidP="00A23B92">
      <w:pPr>
        <w:jc w:val="both"/>
        <w:rPr>
          <w:rFonts w:ascii="Times New Roman" w:hAnsi="Times New Roman"/>
          <w:sz w:val="20"/>
          <w:lang w:val="en-GB"/>
        </w:rPr>
      </w:pPr>
      <w:r w:rsidRPr="006F67C8">
        <w:rPr>
          <w:rFonts w:ascii="Times New Roman" w:hAnsi="Times New Roman"/>
          <w:b/>
          <w:sz w:val="20"/>
        </w:rPr>
        <w:t xml:space="preserve">Appendix 1: </w:t>
      </w:r>
      <w:r w:rsidRPr="006F67C8">
        <w:rPr>
          <w:rFonts w:ascii="Times New Roman" w:hAnsi="Times New Roman"/>
          <w:sz w:val="20"/>
        </w:rPr>
        <w:t>Contributing surgical centers</w:t>
      </w:r>
      <w:r w:rsidR="00A66389">
        <w:rPr>
          <w:rFonts w:ascii="Times New Roman" w:hAnsi="Times New Roman"/>
          <w:sz w:val="20"/>
        </w:rPr>
        <w:t xml:space="preserve"> and collaborators</w:t>
      </w:r>
      <w:r w:rsidRPr="006F67C8">
        <w:rPr>
          <w:rFonts w:ascii="Times New Roman" w:hAnsi="Times New Roman"/>
          <w:sz w:val="20"/>
        </w:rPr>
        <w:t xml:space="preserve"> to the taTME registry cases reported.</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668"/>
        <w:gridCol w:w="4819"/>
        <w:gridCol w:w="3402"/>
      </w:tblGrid>
      <w:tr w:rsidR="00A66389" w:rsidRPr="006F67C8">
        <w:tc>
          <w:tcPr>
            <w:tcW w:w="1668" w:type="dxa"/>
          </w:tcPr>
          <w:p w:rsidR="00A66389" w:rsidRPr="006F67C8" w:rsidRDefault="00A66389" w:rsidP="00A23B92">
            <w:pPr>
              <w:widowControl w:val="0"/>
              <w:autoSpaceDE w:val="0"/>
              <w:autoSpaceDN w:val="0"/>
              <w:adjustRightInd w:val="0"/>
              <w:spacing w:before="120" w:line="360" w:lineRule="auto"/>
              <w:jc w:val="center"/>
              <w:rPr>
                <w:rFonts w:ascii="Times New Roman" w:hAnsi="Times New Roman"/>
                <w:b/>
                <w:sz w:val="20"/>
              </w:rPr>
            </w:pPr>
            <w:r w:rsidRPr="006F67C8">
              <w:rPr>
                <w:rFonts w:ascii="Times New Roman" w:hAnsi="Times New Roman"/>
                <w:b/>
                <w:sz w:val="20"/>
              </w:rPr>
              <w:t>Country</w:t>
            </w:r>
          </w:p>
        </w:tc>
        <w:tc>
          <w:tcPr>
            <w:tcW w:w="4819" w:type="dxa"/>
          </w:tcPr>
          <w:p w:rsidR="00A66389" w:rsidRPr="006F67C8" w:rsidRDefault="00A66389" w:rsidP="00A23B92">
            <w:pPr>
              <w:widowControl w:val="0"/>
              <w:autoSpaceDE w:val="0"/>
              <w:autoSpaceDN w:val="0"/>
              <w:adjustRightInd w:val="0"/>
              <w:spacing w:before="120" w:line="360" w:lineRule="auto"/>
              <w:jc w:val="center"/>
              <w:rPr>
                <w:rFonts w:ascii="Times New Roman" w:hAnsi="Times New Roman"/>
                <w:b/>
                <w:sz w:val="20"/>
              </w:rPr>
            </w:pPr>
            <w:r w:rsidRPr="006F67C8">
              <w:rPr>
                <w:rFonts w:ascii="Times New Roman" w:hAnsi="Times New Roman"/>
                <w:b/>
                <w:sz w:val="20"/>
              </w:rPr>
              <w:t>Place of work</w:t>
            </w:r>
          </w:p>
        </w:tc>
        <w:tc>
          <w:tcPr>
            <w:tcW w:w="3402" w:type="dxa"/>
          </w:tcPr>
          <w:p w:rsidR="00A66389" w:rsidRPr="006F67C8" w:rsidRDefault="00A66389" w:rsidP="00A23B92">
            <w:pPr>
              <w:widowControl w:val="0"/>
              <w:autoSpaceDE w:val="0"/>
              <w:autoSpaceDN w:val="0"/>
              <w:adjustRightInd w:val="0"/>
              <w:spacing w:before="120" w:line="360" w:lineRule="auto"/>
              <w:jc w:val="center"/>
              <w:rPr>
                <w:rFonts w:ascii="Times New Roman" w:hAnsi="Times New Roman"/>
                <w:b/>
                <w:sz w:val="20"/>
              </w:rPr>
            </w:pPr>
            <w:r w:rsidRPr="006F67C8">
              <w:rPr>
                <w:rFonts w:ascii="Times New Roman" w:hAnsi="Times New Roman"/>
                <w:b/>
                <w:sz w:val="20"/>
              </w:rPr>
              <w:t>Collaborators</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Australia</w:t>
            </w: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Royal Brisbane Hospital</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Andrew Stevenson</w:t>
            </w:r>
          </w:p>
          <w:p w:rsidR="00A66389" w:rsidRPr="006F67C8" w:rsidRDefault="00A66389" w:rsidP="00A23B92">
            <w:pPr>
              <w:widowControl w:val="0"/>
              <w:autoSpaceDE w:val="0"/>
              <w:autoSpaceDN w:val="0"/>
              <w:adjustRightInd w:val="0"/>
              <w:spacing w:line="480" w:lineRule="auto"/>
              <w:rPr>
                <w:rFonts w:ascii="Times New Roman" w:hAnsi="Times New Roman"/>
                <w:sz w:val="20"/>
              </w:rPr>
            </w:pP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John Hunter Hospital, New South Wales</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Peter Pockney</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Stephen Smith</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Austria</w:t>
            </w: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Krankenhaus der Barmherzigen Brüder Graz</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Gerald Seitinger</w:t>
            </w:r>
          </w:p>
          <w:p w:rsidR="00A66389" w:rsidRPr="006F67C8" w:rsidRDefault="00A66389" w:rsidP="00A23B92">
            <w:pPr>
              <w:widowControl w:val="0"/>
              <w:autoSpaceDE w:val="0"/>
              <w:autoSpaceDN w:val="0"/>
              <w:adjustRightInd w:val="0"/>
              <w:spacing w:line="480" w:lineRule="auto"/>
              <w:rPr>
                <w:rFonts w:ascii="Times New Roman" w:hAnsi="Times New Roman"/>
                <w:sz w:val="20"/>
              </w:rPr>
            </w:pP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Medical University of Vienna</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Stefan Riss</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Anton Stift</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St. Elisabeth Hospital - Vienna</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Markus Glöckler</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Finka Jelic</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Belgium</w:t>
            </w: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Virgajesse Hospital Hasselt</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Bert Houben</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Joep Knol</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University Hospital Gasthuisberg, Leuven</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André D'Hoore</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Albert Wolthius</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AZ Groeninge</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Mathieu D’Hondt</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Franky Vansteenkiste</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Ghent University Hospital</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Michele Grieco</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Yves Van Nieuwenhove</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Brazil</w:t>
            </w: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Ludwig Institute for Cancer Research, São Paulo, Brazil</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Rodrigo Oliva Perez</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Guilherme Pagin São Julião</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Hospital Santa Izabel, Salvador, Bahia</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 xml:space="preserve">Meyline Andrade Lima </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Carlos Ramon Silveira Mendes </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Czech Republic</w:t>
            </w: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University Hospital Brno</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Tomáš Grolich</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Zdeněk Kala</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Denmark</w:t>
            </w: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Roskilde Hospital</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Jens Ravn Erikson</w:t>
            </w:r>
          </w:p>
          <w:p w:rsidR="00A66389" w:rsidRPr="006F67C8" w:rsidRDefault="00A66389" w:rsidP="00A23B92">
            <w:pPr>
              <w:widowControl w:val="0"/>
              <w:autoSpaceDE w:val="0"/>
              <w:autoSpaceDN w:val="0"/>
              <w:adjustRightInd w:val="0"/>
              <w:spacing w:line="480" w:lineRule="auto"/>
              <w:rPr>
                <w:rFonts w:ascii="Times New Roman" w:hAnsi="Times New Roman"/>
                <w:sz w:val="20"/>
              </w:rPr>
            </w:pP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France</w:t>
            </w: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CHU Rouen</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Jean-Jacques Tuech</w:t>
            </w:r>
          </w:p>
          <w:p w:rsidR="00A66389" w:rsidRPr="006F67C8" w:rsidRDefault="00A66389" w:rsidP="00A23B92">
            <w:pPr>
              <w:widowControl w:val="0"/>
              <w:autoSpaceDE w:val="0"/>
              <w:autoSpaceDN w:val="0"/>
              <w:adjustRightInd w:val="0"/>
              <w:spacing w:line="480" w:lineRule="auto"/>
              <w:rPr>
                <w:rFonts w:ascii="Times New Roman" w:hAnsi="Times New Roman"/>
                <w:sz w:val="20"/>
              </w:rPr>
            </w:pP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Germany</w:t>
            </w: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Johannes Gutenberg-University Mainz</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Werner Kneist</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Hauke Lang</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St. Joseph Krankenhaus Berlin Tempelhof</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Lope Estévez Schwarz</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Reiner Kunz</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Städtisches Klinikum Karlsruhe</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Jörg Baral</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Theo-Julian Hoffmann</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Ireland</w:t>
            </w: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Mater Misericordiae Hospital &amp; University College Dublin</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Hazar Al furajii </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Ronan Cahill</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Italy</w:t>
            </w: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Candiolo Cancer Institute, Turin</w:t>
            </w:r>
          </w:p>
        </w:tc>
        <w:tc>
          <w:tcPr>
            <w:tcW w:w="3402" w:type="dxa"/>
          </w:tcPr>
          <w:p w:rsidR="00A66389" w:rsidRPr="00E43F22" w:rsidRDefault="00A66389" w:rsidP="00A23B92">
            <w:pPr>
              <w:widowControl w:val="0"/>
              <w:autoSpaceDE w:val="0"/>
              <w:autoSpaceDN w:val="0"/>
              <w:adjustRightInd w:val="0"/>
              <w:spacing w:line="480" w:lineRule="auto"/>
              <w:rPr>
                <w:rFonts w:ascii="Times New Roman" w:hAnsi="Times New Roman"/>
                <w:sz w:val="20"/>
              </w:rPr>
            </w:pPr>
            <w:r w:rsidRPr="00E43F22">
              <w:rPr>
                <w:rFonts w:ascii="Times New Roman" w:hAnsi="Times New Roman"/>
                <w:sz w:val="20"/>
              </w:rPr>
              <w:t>Alfredo Mellano</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E43F22">
              <w:rPr>
                <w:rFonts w:ascii="Times New Roman" w:hAnsi="Times New Roman"/>
                <w:sz w:val="20"/>
              </w:rPr>
              <w:t>Andrea Muratore</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E43F22" w:rsidRPr="00E43F22" w:rsidRDefault="00E43F22" w:rsidP="00E43F22">
            <w:pPr>
              <w:rPr>
                <w:rFonts w:ascii="Times" w:hAnsi="Times"/>
                <w:sz w:val="20"/>
                <w:szCs w:val="20"/>
                <w:lang w:val="en-GB"/>
              </w:rPr>
            </w:pPr>
            <w:r w:rsidRPr="00E43F22">
              <w:rPr>
                <w:rFonts w:ascii="Times" w:hAnsi="Times"/>
                <w:sz w:val="20"/>
                <w:szCs w:val="20"/>
                <w:lang w:val="en-GB"/>
              </w:rPr>
              <w:t>Department of Medicine and Surgery</w:t>
            </w:r>
          </w:p>
          <w:p w:rsidR="00E43F22" w:rsidRPr="00E43F22" w:rsidRDefault="00E43F22" w:rsidP="00E43F22">
            <w:pPr>
              <w:rPr>
                <w:rFonts w:ascii="Times" w:hAnsi="Times"/>
                <w:sz w:val="20"/>
                <w:szCs w:val="20"/>
                <w:lang w:val="en-GB"/>
              </w:rPr>
            </w:pPr>
            <w:r w:rsidRPr="00E43F22">
              <w:rPr>
                <w:rFonts w:ascii="Times" w:hAnsi="Times"/>
                <w:sz w:val="20"/>
                <w:szCs w:val="20"/>
                <w:lang w:val="en-GB"/>
              </w:rPr>
              <w:t>Unit of Geriatric Surgery</w:t>
            </w:r>
            <w:r>
              <w:rPr>
                <w:rFonts w:ascii="Times" w:hAnsi="Times"/>
                <w:sz w:val="20"/>
                <w:szCs w:val="20"/>
                <w:lang w:val="en-GB"/>
              </w:rPr>
              <w:t xml:space="preserve">, </w:t>
            </w:r>
            <w:r w:rsidRPr="00E43F22">
              <w:rPr>
                <w:rFonts w:ascii="Times" w:hAnsi="Times"/>
                <w:sz w:val="20"/>
                <w:szCs w:val="20"/>
                <w:lang w:val="en-GB"/>
              </w:rPr>
              <w:t>Università Campus</w:t>
            </w:r>
            <w:r>
              <w:rPr>
                <w:rFonts w:ascii="Times" w:hAnsi="Times"/>
                <w:sz w:val="20"/>
                <w:szCs w:val="20"/>
                <w:lang w:val="en-GB"/>
              </w:rPr>
              <w:t xml:space="preserve"> Bio-Medico di Roma, Rome</w:t>
            </w:r>
          </w:p>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3402" w:type="dxa"/>
          </w:tcPr>
          <w:p w:rsidR="00A66389" w:rsidRPr="00E43F22" w:rsidRDefault="00A66389" w:rsidP="00A23B92">
            <w:pPr>
              <w:widowControl w:val="0"/>
              <w:autoSpaceDE w:val="0"/>
              <w:autoSpaceDN w:val="0"/>
              <w:adjustRightInd w:val="0"/>
              <w:spacing w:line="480" w:lineRule="auto"/>
              <w:rPr>
                <w:rFonts w:ascii="Times New Roman" w:hAnsi="Times New Roman"/>
                <w:sz w:val="20"/>
              </w:rPr>
            </w:pPr>
            <w:r w:rsidRPr="00E43F22">
              <w:rPr>
                <w:rFonts w:ascii="Times New Roman" w:hAnsi="Times New Roman"/>
                <w:sz w:val="20"/>
              </w:rPr>
              <w:t>Gabriella Capolupo</w:t>
            </w:r>
          </w:p>
          <w:p w:rsidR="00A66389" w:rsidRPr="00E43F22" w:rsidRDefault="00A66389" w:rsidP="00A23B92">
            <w:pPr>
              <w:widowControl w:val="0"/>
              <w:autoSpaceDE w:val="0"/>
              <w:autoSpaceDN w:val="0"/>
              <w:adjustRightInd w:val="0"/>
              <w:spacing w:line="480" w:lineRule="auto"/>
              <w:rPr>
                <w:rFonts w:ascii="Times New Roman" w:hAnsi="Times New Roman"/>
                <w:sz w:val="20"/>
                <w:highlight w:val="green"/>
              </w:rPr>
            </w:pPr>
            <w:r w:rsidRPr="00E43F22">
              <w:rPr>
                <w:rFonts w:ascii="Times New Roman" w:hAnsi="Times New Roman"/>
                <w:sz w:val="20"/>
              </w:rPr>
              <w:t>Marco Caricato</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University of Insubria, Varese</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Luigi Boni</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Elisa Cassinotti</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Policlinico Tor Vergata</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Pierpaolo Sileri</w:t>
            </w:r>
          </w:p>
          <w:p w:rsidR="00A66389" w:rsidRPr="006F67C8" w:rsidRDefault="00A66389" w:rsidP="00A23B92">
            <w:pPr>
              <w:widowControl w:val="0"/>
              <w:autoSpaceDE w:val="0"/>
              <w:autoSpaceDN w:val="0"/>
              <w:adjustRightInd w:val="0"/>
              <w:spacing w:line="480" w:lineRule="auto"/>
              <w:rPr>
                <w:rFonts w:ascii="Times New Roman" w:hAnsi="Times New Roman"/>
                <w:sz w:val="20"/>
              </w:rPr>
            </w:pP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Humanitas Gradenigo Hospital, Turin</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Dario Borreca</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Paolo De Paolis</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23592" w:rsidP="00A23B92">
            <w:pPr>
              <w:widowControl w:val="0"/>
              <w:autoSpaceDE w:val="0"/>
              <w:autoSpaceDN w:val="0"/>
              <w:adjustRightInd w:val="0"/>
              <w:spacing w:line="480" w:lineRule="auto"/>
              <w:rPr>
                <w:rFonts w:ascii="Times New Roman" w:hAnsi="Times New Roman"/>
                <w:sz w:val="20"/>
              </w:rPr>
            </w:pPr>
            <w:r>
              <w:rPr>
                <w:rFonts w:ascii="Times New Roman" w:hAnsi="Times New Roman"/>
                <w:sz w:val="20"/>
              </w:rPr>
              <w:t>Center for Minimally Invasive Surgery at the University of Tu</w:t>
            </w:r>
            <w:r w:rsidR="00A66389" w:rsidRPr="006F67C8">
              <w:rPr>
                <w:rFonts w:ascii="Times New Roman" w:hAnsi="Times New Roman"/>
                <w:sz w:val="20"/>
              </w:rPr>
              <w:t>rin</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Alberto Arezzo</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Mario Morino</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Sapienza University Hospital, Rome</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Emanuele Lezoche</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Andrea Picchetto</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Osperdale Pascal Napels</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Paolo Delrio</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Daniela Rega</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Japan</w:t>
            </w: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National Cancer Center Hospital East</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Masaaki Ito</w:t>
            </w:r>
          </w:p>
          <w:p w:rsidR="00A66389" w:rsidRPr="006F67C8" w:rsidRDefault="00A66389" w:rsidP="00A23B92">
            <w:pPr>
              <w:widowControl w:val="0"/>
              <w:autoSpaceDE w:val="0"/>
              <w:autoSpaceDN w:val="0"/>
              <w:adjustRightInd w:val="0"/>
              <w:spacing w:line="480" w:lineRule="auto"/>
              <w:rPr>
                <w:rFonts w:ascii="Times New Roman" w:hAnsi="Times New Roman"/>
                <w:sz w:val="20"/>
              </w:rPr>
            </w:pP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Korea</w:t>
            </w: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Center for Colorectal Cancer, National Cancer Center, Goyang</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Jae Hwan Oh</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Dae Kyung Sohn</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Netherlands</w:t>
            </w: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Academic Medical Centre, Amsterdam</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Willem Bemelman</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Pieter Tanis</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VU Medical Center Amsterdam</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Jaap Bonjer</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Jurriaan Tuynman</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Ijsselland Ziekenhuis</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Eelco de Graaf</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Pascal Doornebosch</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Ziekenhuis Gelderse Vallei, Ede</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Colin Sietses</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Simone Velthuis</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7E495B" w:rsidRDefault="00A66389" w:rsidP="00A23B92">
            <w:pPr>
              <w:widowControl w:val="0"/>
              <w:autoSpaceDE w:val="0"/>
              <w:autoSpaceDN w:val="0"/>
              <w:adjustRightInd w:val="0"/>
              <w:spacing w:line="480" w:lineRule="auto"/>
              <w:rPr>
                <w:rFonts w:ascii="Times New Roman" w:hAnsi="Times New Roman"/>
                <w:sz w:val="20"/>
              </w:rPr>
            </w:pPr>
            <w:r w:rsidRPr="007E495B">
              <w:rPr>
                <w:rFonts w:ascii="Times New Roman" w:hAnsi="Times New Roman"/>
                <w:sz w:val="20"/>
              </w:rPr>
              <w:t>Gelre Ziekenhuis Apeldoorn</w:t>
            </w:r>
          </w:p>
        </w:tc>
        <w:tc>
          <w:tcPr>
            <w:tcW w:w="3402" w:type="dxa"/>
          </w:tcPr>
          <w:p w:rsidR="00A66389" w:rsidRPr="007E495B" w:rsidRDefault="00A66389" w:rsidP="00A23B92">
            <w:pPr>
              <w:widowControl w:val="0"/>
              <w:autoSpaceDE w:val="0"/>
              <w:autoSpaceDN w:val="0"/>
              <w:adjustRightInd w:val="0"/>
              <w:spacing w:line="480" w:lineRule="auto"/>
              <w:rPr>
                <w:rFonts w:ascii="Times New Roman" w:hAnsi="Times New Roman"/>
                <w:sz w:val="20"/>
              </w:rPr>
            </w:pPr>
            <w:r w:rsidRPr="007E495B">
              <w:rPr>
                <w:rFonts w:ascii="Times New Roman" w:hAnsi="Times New Roman"/>
                <w:sz w:val="20"/>
              </w:rPr>
              <w:t>Edwin van der Zaag</w:t>
            </w:r>
          </w:p>
          <w:p w:rsidR="00A66389" w:rsidRPr="007E495B" w:rsidRDefault="00A66389" w:rsidP="00A23B92">
            <w:pPr>
              <w:widowControl w:val="0"/>
              <w:autoSpaceDE w:val="0"/>
              <w:autoSpaceDN w:val="0"/>
              <w:adjustRightInd w:val="0"/>
              <w:spacing w:line="480" w:lineRule="auto"/>
              <w:rPr>
                <w:rFonts w:ascii="Times New Roman" w:hAnsi="Times New Roman"/>
                <w:sz w:val="20"/>
              </w:rPr>
            </w:pPr>
            <w:r w:rsidRPr="007E495B">
              <w:rPr>
                <w:rFonts w:ascii="Times New Roman" w:hAnsi="Times New Roman"/>
                <w:sz w:val="20"/>
              </w:rPr>
              <w:t>Peter van Duijvendijk</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New Zealand</w:t>
            </w: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Auckland City Hospital</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Julian Hayes</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Arend Merrie</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Waikato Hospital</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Linus Wu</w:t>
            </w:r>
          </w:p>
          <w:p w:rsidR="00A66389" w:rsidRPr="006F67C8" w:rsidRDefault="00A66389" w:rsidP="00A23B92">
            <w:pPr>
              <w:widowControl w:val="0"/>
              <w:autoSpaceDE w:val="0"/>
              <w:autoSpaceDN w:val="0"/>
              <w:adjustRightInd w:val="0"/>
              <w:spacing w:line="480" w:lineRule="auto"/>
              <w:rPr>
                <w:rFonts w:ascii="Times New Roman" w:hAnsi="Times New Roman"/>
                <w:sz w:val="20"/>
              </w:rPr>
            </w:pP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Norway</w:t>
            </w: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Haukeland University Hospital, Bergen</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Havard Forsmo</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Frank Pfeffer</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Russia</w:t>
            </w: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Russian Cancer Research Center</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Zaman Mamedli</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Arsen Rasulov</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Singapore</w:t>
            </w: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Singapore General Hospital</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Cherylin Fu Wan Pei</w:t>
            </w:r>
          </w:p>
          <w:p w:rsidR="00A66389" w:rsidRPr="006F67C8" w:rsidRDefault="00A66389" w:rsidP="00A23B92">
            <w:pPr>
              <w:widowControl w:val="0"/>
              <w:autoSpaceDE w:val="0"/>
              <w:autoSpaceDN w:val="0"/>
              <w:adjustRightInd w:val="0"/>
              <w:spacing w:line="480" w:lineRule="auto"/>
              <w:rPr>
                <w:rFonts w:ascii="Times New Roman" w:hAnsi="Times New Roman"/>
                <w:sz w:val="20"/>
              </w:rPr>
            </w:pP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Spain</w:t>
            </w: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Leon University Hospital</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Vicente Simó Fernandez</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Enrique Pastor Teso</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Clinic Hospital Barcelona</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Maria Fernández-Hevia</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Antonio Lacy</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Switzerland</w:t>
            </w: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Department of Visceral Surgery, Geneva University and Medical school, Geneva</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Nicolas Christian Buchs</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Frederic Ris</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Emmental Teaching Hospital</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Daniel Geissmann</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Stephan Vorburger</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Turkey</w:t>
            </w: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Ankara University Medical School</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Ethem Gecim</w:t>
            </w:r>
          </w:p>
          <w:p w:rsidR="00A66389" w:rsidRPr="006F67C8" w:rsidRDefault="00A66389" w:rsidP="00A23B92">
            <w:pPr>
              <w:widowControl w:val="0"/>
              <w:autoSpaceDE w:val="0"/>
              <w:autoSpaceDN w:val="0"/>
              <w:adjustRightInd w:val="0"/>
              <w:spacing w:line="480" w:lineRule="auto"/>
              <w:rPr>
                <w:rFonts w:ascii="Times New Roman" w:hAnsi="Times New Roman"/>
                <w:sz w:val="20"/>
              </w:rPr>
            </w:pPr>
          </w:p>
        </w:tc>
      </w:tr>
      <w:tr w:rsidR="00A66389" w:rsidRPr="006F67C8">
        <w:tc>
          <w:tcPr>
            <w:tcW w:w="1668" w:type="dxa"/>
          </w:tcPr>
          <w:p w:rsidR="00A66389" w:rsidRPr="006F67C8" w:rsidRDefault="00A66389" w:rsidP="00A23B92">
            <w:pPr>
              <w:widowControl w:val="0"/>
              <w:autoSpaceDE w:val="0"/>
              <w:autoSpaceDN w:val="0"/>
              <w:adjustRightInd w:val="0"/>
              <w:spacing w:before="2" w:after="2" w:line="480" w:lineRule="auto"/>
              <w:rPr>
                <w:rFonts w:ascii="Times New Roman" w:hAnsi="Times New Roman"/>
                <w:sz w:val="20"/>
              </w:rPr>
            </w:pPr>
            <w:r w:rsidRPr="006F67C8">
              <w:rPr>
                <w:rFonts w:ascii="Times New Roman" w:hAnsi="Times New Roman"/>
                <w:sz w:val="20"/>
              </w:rPr>
              <w:t>Ukraine</w:t>
            </w:r>
          </w:p>
        </w:tc>
        <w:tc>
          <w:tcPr>
            <w:tcW w:w="4819" w:type="dxa"/>
          </w:tcPr>
          <w:p w:rsidR="00A66389" w:rsidRPr="006F67C8" w:rsidRDefault="00A66389" w:rsidP="00A23B92">
            <w:pPr>
              <w:widowControl w:val="0"/>
              <w:autoSpaceDE w:val="0"/>
              <w:autoSpaceDN w:val="0"/>
              <w:adjustRightInd w:val="0"/>
              <w:spacing w:before="2" w:after="2" w:line="480" w:lineRule="auto"/>
              <w:rPr>
                <w:rFonts w:ascii="Times New Roman" w:hAnsi="Times New Roman"/>
                <w:sz w:val="20"/>
              </w:rPr>
            </w:pPr>
            <w:r w:rsidRPr="006F67C8">
              <w:rPr>
                <w:rFonts w:ascii="Times New Roman" w:hAnsi="Times New Roman"/>
                <w:sz w:val="20"/>
              </w:rPr>
              <w:t xml:space="preserve">O.Bohomolets National Medical University, Kyiv </w:t>
            </w:r>
          </w:p>
        </w:tc>
        <w:tc>
          <w:tcPr>
            <w:tcW w:w="3402" w:type="dxa"/>
          </w:tcPr>
          <w:p w:rsidR="00A66389" w:rsidRPr="006F67C8" w:rsidRDefault="00A66389" w:rsidP="00A23B92">
            <w:pPr>
              <w:widowControl w:val="0"/>
              <w:autoSpaceDE w:val="0"/>
              <w:autoSpaceDN w:val="0"/>
              <w:adjustRightInd w:val="0"/>
              <w:spacing w:before="2" w:after="2" w:line="480" w:lineRule="auto"/>
              <w:rPr>
                <w:rFonts w:ascii="Times New Roman" w:hAnsi="Times New Roman"/>
                <w:sz w:val="20"/>
              </w:rPr>
            </w:pPr>
            <w:r w:rsidRPr="006F67C8">
              <w:rPr>
                <w:rFonts w:ascii="Times New Roman" w:hAnsi="Times New Roman"/>
                <w:sz w:val="20"/>
              </w:rPr>
              <w:t>Miroslava Fabryko</w:t>
            </w:r>
          </w:p>
          <w:p w:rsidR="00A66389" w:rsidRPr="006F67C8" w:rsidRDefault="00A66389" w:rsidP="00A23B92">
            <w:pPr>
              <w:widowControl w:val="0"/>
              <w:autoSpaceDE w:val="0"/>
              <w:autoSpaceDN w:val="0"/>
              <w:adjustRightInd w:val="0"/>
              <w:spacing w:before="2" w:after="2" w:line="480" w:lineRule="auto"/>
              <w:rPr>
                <w:rFonts w:ascii="Times New Roman" w:hAnsi="Times New Roman"/>
                <w:sz w:val="20"/>
              </w:rPr>
            </w:pPr>
            <w:r w:rsidRPr="006F67C8">
              <w:rPr>
                <w:rFonts w:ascii="Times New Roman" w:hAnsi="Times New Roman"/>
                <w:sz w:val="20"/>
              </w:rPr>
              <w:t>Yevgen Miroshnychenko</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United Kingdom</w:t>
            </w: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Churchill Hospital, Oxford</w:t>
            </w:r>
          </w:p>
        </w:tc>
        <w:tc>
          <w:tcPr>
            <w:tcW w:w="3402" w:type="dxa"/>
          </w:tcPr>
          <w:p w:rsidR="00A66389" w:rsidRPr="00897552" w:rsidRDefault="00A66389" w:rsidP="00A23B92">
            <w:pPr>
              <w:widowControl w:val="0"/>
              <w:autoSpaceDE w:val="0"/>
              <w:autoSpaceDN w:val="0"/>
              <w:adjustRightInd w:val="0"/>
              <w:spacing w:line="480" w:lineRule="auto"/>
              <w:rPr>
                <w:rFonts w:ascii="Times New Roman" w:hAnsi="Times New Roman"/>
                <w:sz w:val="20"/>
              </w:rPr>
            </w:pPr>
            <w:r w:rsidRPr="00897552">
              <w:rPr>
                <w:rFonts w:ascii="Times New Roman" w:hAnsi="Times New Roman"/>
                <w:sz w:val="20"/>
              </w:rPr>
              <w:t>Christopher Cunningham</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897552">
              <w:rPr>
                <w:rFonts w:ascii="Times New Roman" w:hAnsi="Times New Roman"/>
                <w:sz w:val="20"/>
              </w:rPr>
              <w:t>Oliver Jones</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Ninewells Hospital &amp; Medical School</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Ken Campbell</w:t>
            </w:r>
          </w:p>
          <w:p w:rsidR="00A66389" w:rsidRPr="006F67C8" w:rsidRDefault="00A66389" w:rsidP="00A23B92">
            <w:pPr>
              <w:widowControl w:val="0"/>
              <w:autoSpaceDE w:val="0"/>
              <w:autoSpaceDN w:val="0"/>
              <w:adjustRightInd w:val="0"/>
              <w:spacing w:line="480" w:lineRule="auto"/>
              <w:rPr>
                <w:rFonts w:ascii="Times New Roman" w:hAnsi="Times New Roman"/>
                <w:sz w:val="20"/>
              </w:rPr>
            </w:pP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St. Marks, North West London Hospitals NHS Trust</w:t>
            </w:r>
          </w:p>
        </w:tc>
        <w:tc>
          <w:tcPr>
            <w:tcW w:w="3402" w:type="dxa"/>
          </w:tcPr>
          <w:p w:rsidR="00A66389"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Sanjeev Samarasinghe</w:t>
            </w:r>
          </w:p>
          <w:p w:rsidR="00A66389" w:rsidRPr="006F67C8" w:rsidRDefault="00A66389" w:rsidP="00A23B92">
            <w:pPr>
              <w:widowControl w:val="0"/>
              <w:autoSpaceDE w:val="0"/>
              <w:autoSpaceDN w:val="0"/>
              <w:adjustRightInd w:val="0"/>
              <w:spacing w:line="480" w:lineRule="auto"/>
              <w:rPr>
                <w:rFonts w:ascii="Times New Roman" w:hAnsi="Times New Roman"/>
                <w:sz w:val="20"/>
              </w:rPr>
            </w:pP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Sandwell and West Birmingham Hospitals NHS Trust</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Kathryn Gill</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Howard Joy</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color w:val="000000"/>
                <w:sz w:val="20"/>
                <w:szCs w:val="22"/>
              </w:rPr>
            </w:pPr>
            <w:r w:rsidRPr="006F67C8">
              <w:rPr>
                <w:rFonts w:ascii="Times New Roman" w:hAnsi="Times New Roman"/>
                <w:sz w:val="20"/>
              </w:rPr>
              <w:t>Queen Elizabeth Hospital, Gateshead</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Mark Katory</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Paul O’Loughlin</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Medway Maritime Hospital, Kent</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Neil Kukreja</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Henk Wegstapel</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James Paget University Hospital</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Kamal Aryal</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Roshan Lal</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Hampshire Hospitals NHS Foundation Trust, Basingstoke</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Arcot Venkatsubramaniam</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Queen Elizabeth Hospital, Birmingham</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Shazad Ashraf</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Simon Radley</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Wrightingon, Wigan and Leigh NHS Foundation Trust</w:t>
            </w:r>
          </w:p>
        </w:tc>
        <w:tc>
          <w:tcPr>
            <w:tcW w:w="3402" w:type="dxa"/>
          </w:tcPr>
          <w:p w:rsidR="00A66389"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Marius Paraoan</w:t>
            </w:r>
          </w:p>
          <w:p w:rsidR="00A66389" w:rsidRPr="006F67C8" w:rsidRDefault="00A66389" w:rsidP="00A23B92">
            <w:pPr>
              <w:widowControl w:val="0"/>
              <w:autoSpaceDE w:val="0"/>
              <w:autoSpaceDN w:val="0"/>
              <w:adjustRightInd w:val="0"/>
              <w:spacing w:line="480" w:lineRule="auto"/>
              <w:rPr>
                <w:rFonts w:ascii="Times New Roman" w:hAnsi="Times New Roman"/>
                <w:sz w:val="20"/>
              </w:rPr>
            </w:pP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Good Hope Hospital, Heart of England</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Stephan Korsgen</w:t>
            </w:r>
          </w:p>
          <w:p w:rsidR="00A66389" w:rsidRPr="006F67C8" w:rsidRDefault="00A66389" w:rsidP="00A23B92">
            <w:pPr>
              <w:widowControl w:val="0"/>
              <w:autoSpaceDE w:val="0"/>
              <w:autoSpaceDN w:val="0"/>
              <w:adjustRightInd w:val="0"/>
              <w:spacing w:line="480" w:lineRule="auto"/>
              <w:rPr>
                <w:rFonts w:ascii="Times New Roman" w:hAnsi="Times New Roman"/>
                <w:sz w:val="20"/>
              </w:rPr>
            </w:pP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Royal United Hospital Bath</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Edward Douglas Courtney</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Stephan Dalton</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Yeovil District Hospital</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Andrew Allison</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Nader Francis</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University Hospital of North Staffordshire</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Robin Dawson</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Veera Garimella</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Western Sussex NHS Foundation Trust</w:t>
            </w:r>
          </w:p>
        </w:tc>
        <w:tc>
          <w:tcPr>
            <w:tcW w:w="3402" w:type="dxa"/>
          </w:tcPr>
          <w:p w:rsidR="00A66389" w:rsidRPr="006E431F" w:rsidRDefault="00A66389" w:rsidP="00A23B92">
            <w:pPr>
              <w:widowControl w:val="0"/>
              <w:autoSpaceDE w:val="0"/>
              <w:autoSpaceDN w:val="0"/>
              <w:adjustRightInd w:val="0"/>
              <w:spacing w:line="480" w:lineRule="auto"/>
              <w:rPr>
                <w:rFonts w:ascii="Times New Roman" w:hAnsi="Times New Roman"/>
                <w:sz w:val="20"/>
              </w:rPr>
            </w:pPr>
            <w:r w:rsidRPr="006E431F">
              <w:rPr>
                <w:rFonts w:ascii="Times New Roman" w:hAnsi="Times New Roman"/>
                <w:sz w:val="20"/>
              </w:rPr>
              <w:t>Anthony Miles</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E431F">
              <w:rPr>
                <w:rFonts w:ascii="Times New Roman" w:hAnsi="Times New Roman"/>
                <w:sz w:val="20"/>
              </w:rPr>
              <w:t>Parvinder Sains</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Royal Devon and Exeter Hospital</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William Chambers</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Steve Mansfield</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Norfolk and Norwich University Hospital</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Irshad Shaikh</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Chris Speakman</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Worcestershire Royal Hospital</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Deborah Nicol</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Steve Pandey</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United States of Americas</w:t>
            </w: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Florida Hospital, Winter Park</w:t>
            </w:r>
          </w:p>
        </w:tc>
        <w:tc>
          <w:tcPr>
            <w:tcW w:w="3402"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Matthew Albert</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Sam Atallah</w:t>
            </w:r>
          </w:p>
        </w:tc>
      </w:tr>
      <w:tr w:rsidR="00A66389" w:rsidRPr="006F67C8">
        <w:tc>
          <w:tcPr>
            <w:tcW w:w="1668"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p>
        </w:tc>
        <w:tc>
          <w:tcPr>
            <w:tcW w:w="4819" w:type="dxa"/>
          </w:tcPr>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6F67C8">
              <w:rPr>
                <w:rFonts w:ascii="Times New Roman" w:hAnsi="Times New Roman"/>
                <w:sz w:val="20"/>
              </w:rPr>
              <w:t>Massachusetts General Hospital</w:t>
            </w:r>
          </w:p>
        </w:tc>
        <w:tc>
          <w:tcPr>
            <w:tcW w:w="3402" w:type="dxa"/>
          </w:tcPr>
          <w:p w:rsidR="00A66389" w:rsidRPr="007E495B" w:rsidRDefault="00A66389" w:rsidP="00A23B92">
            <w:pPr>
              <w:widowControl w:val="0"/>
              <w:autoSpaceDE w:val="0"/>
              <w:autoSpaceDN w:val="0"/>
              <w:adjustRightInd w:val="0"/>
              <w:spacing w:line="480" w:lineRule="auto"/>
              <w:rPr>
                <w:rFonts w:ascii="Times New Roman" w:hAnsi="Times New Roman"/>
                <w:sz w:val="20"/>
              </w:rPr>
            </w:pPr>
            <w:r w:rsidRPr="007E495B">
              <w:rPr>
                <w:rFonts w:ascii="Times New Roman" w:hAnsi="Times New Roman"/>
                <w:sz w:val="20"/>
              </w:rPr>
              <w:t>Liliana Bordeianou</w:t>
            </w:r>
          </w:p>
          <w:p w:rsidR="00A66389" w:rsidRPr="006F67C8" w:rsidRDefault="00A66389" w:rsidP="00A23B92">
            <w:pPr>
              <w:widowControl w:val="0"/>
              <w:autoSpaceDE w:val="0"/>
              <w:autoSpaceDN w:val="0"/>
              <w:adjustRightInd w:val="0"/>
              <w:spacing w:line="480" w:lineRule="auto"/>
              <w:rPr>
                <w:rFonts w:ascii="Times New Roman" w:hAnsi="Times New Roman"/>
                <w:sz w:val="20"/>
              </w:rPr>
            </w:pPr>
            <w:r w:rsidRPr="007E495B">
              <w:rPr>
                <w:rFonts w:ascii="Times New Roman" w:hAnsi="Times New Roman"/>
                <w:sz w:val="20"/>
              </w:rPr>
              <w:t>Patricia Sylla</w:t>
            </w:r>
          </w:p>
        </w:tc>
      </w:tr>
    </w:tbl>
    <w:p w:rsidR="00A23B92" w:rsidRPr="006F67C8" w:rsidRDefault="00A23B92" w:rsidP="00A23B92">
      <w:pPr>
        <w:spacing w:line="480" w:lineRule="auto"/>
        <w:rPr>
          <w:rFonts w:ascii="Times New Roman" w:hAnsi="Times New Roman"/>
          <w:b/>
          <w:sz w:val="20"/>
          <w:lang w:val="en-GB"/>
        </w:rPr>
      </w:pPr>
    </w:p>
    <w:p w:rsidR="00A23B92" w:rsidRPr="006F67C8" w:rsidRDefault="00A23B92" w:rsidP="00A23B92">
      <w:pPr>
        <w:spacing w:line="480" w:lineRule="auto"/>
        <w:rPr>
          <w:rFonts w:ascii="Times New Roman" w:hAnsi="Times New Roman"/>
          <w:b/>
          <w:sz w:val="20"/>
          <w:lang w:val="en-GB"/>
        </w:rPr>
      </w:pPr>
    </w:p>
    <w:p w:rsidR="00A23B92" w:rsidRPr="006F67C8" w:rsidRDefault="00A23B92">
      <w:pPr>
        <w:rPr>
          <w:rFonts w:ascii="Times New Roman" w:hAnsi="Times New Roman"/>
          <w:b/>
          <w:sz w:val="20"/>
          <w:lang w:val="en-GB"/>
        </w:rPr>
      </w:pPr>
    </w:p>
    <w:p w:rsidR="00A23B92" w:rsidRPr="006F67C8" w:rsidRDefault="00A23B92">
      <w:pPr>
        <w:rPr>
          <w:rFonts w:ascii="Times New Roman" w:hAnsi="Times New Roman"/>
          <w:b/>
          <w:sz w:val="20"/>
          <w:lang w:val="en-GB"/>
        </w:rPr>
      </w:pPr>
    </w:p>
    <w:p w:rsidR="00A23B92" w:rsidRPr="006F67C8" w:rsidRDefault="00A23B92">
      <w:pPr>
        <w:rPr>
          <w:rFonts w:ascii="Times New Roman" w:hAnsi="Times New Roman"/>
          <w:b/>
          <w:sz w:val="20"/>
          <w:lang w:val="en-GB"/>
        </w:rPr>
      </w:pPr>
    </w:p>
    <w:p w:rsidR="00A23B92" w:rsidRPr="006F67C8" w:rsidRDefault="00A23B92">
      <w:pPr>
        <w:rPr>
          <w:rFonts w:ascii="Times New Roman" w:hAnsi="Times New Roman"/>
          <w:b/>
          <w:sz w:val="20"/>
          <w:lang w:val="en-GB"/>
        </w:rPr>
      </w:pPr>
    </w:p>
    <w:p w:rsidR="00A23B92" w:rsidRPr="006F67C8" w:rsidRDefault="00A23B92">
      <w:pPr>
        <w:rPr>
          <w:rFonts w:ascii="Times New Roman" w:hAnsi="Times New Roman"/>
          <w:b/>
          <w:sz w:val="20"/>
          <w:lang w:val="en-GB"/>
        </w:rPr>
      </w:pPr>
    </w:p>
    <w:p w:rsidR="00A23B92" w:rsidRPr="006F67C8" w:rsidRDefault="00A23B92">
      <w:pPr>
        <w:rPr>
          <w:rFonts w:ascii="Times New Roman" w:hAnsi="Times New Roman"/>
          <w:b/>
          <w:sz w:val="20"/>
          <w:lang w:val="en-GB"/>
        </w:rPr>
      </w:pPr>
    </w:p>
    <w:p w:rsidR="00A23B92" w:rsidRPr="006F67C8" w:rsidRDefault="00A23B92">
      <w:pPr>
        <w:rPr>
          <w:rFonts w:ascii="Times New Roman" w:hAnsi="Times New Roman"/>
          <w:b/>
          <w:sz w:val="20"/>
          <w:lang w:val="en-GB"/>
        </w:rPr>
      </w:pPr>
    </w:p>
    <w:p w:rsidR="00A23B92" w:rsidRPr="006F67C8" w:rsidRDefault="00A23B92">
      <w:pPr>
        <w:rPr>
          <w:rFonts w:ascii="Times New Roman" w:hAnsi="Times New Roman"/>
          <w:b/>
          <w:sz w:val="20"/>
          <w:lang w:val="en-GB"/>
        </w:rPr>
      </w:pPr>
    </w:p>
    <w:p w:rsidR="00A23B92" w:rsidRPr="006F67C8" w:rsidRDefault="00A23B92">
      <w:pPr>
        <w:rPr>
          <w:rFonts w:ascii="Times New Roman" w:hAnsi="Times New Roman"/>
          <w:b/>
          <w:sz w:val="20"/>
          <w:lang w:val="en-GB"/>
        </w:rPr>
      </w:pPr>
    </w:p>
    <w:p w:rsidR="00A23B92" w:rsidRPr="006F67C8" w:rsidRDefault="00A23B92">
      <w:pPr>
        <w:rPr>
          <w:rFonts w:ascii="Times New Roman" w:hAnsi="Times New Roman"/>
          <w:b/>
          <w:sz w:val="20"/>
          <w:lang w:val="en-GB"/>
        </w:rPr>
      </w:pPr>
    </w:p>
    <w:p w:rsidR="00A23B92" w:rsidRPr="006F67C8" w:rsidRDefault="00A23B92">
      <w:pPr>
        <w:rPr>
          <w:rFonts w:ascii="Times New Roman" w:hAnsi="Times New Roman"/>
          <w:b/>
          <w:sz w:val="20"/>
          <w:lang w:val="en-GB"/>
        </w:rPr>
      </w:pPr>
    </w:p>
    <w:p w:rsidR="00A23B92" w:rsidRPr="006F67C8" w:rsidRDefault="00A23B92">
      <w:pPr>
        <w:rPr>
          <w:rFonts w:ascii="Times New Roman" w:hAnsi="Times New Roman"/>
          <w:b/>
          <w:sz w:val="20"/>
          <w:lang w:val="en-GB"/>
        </w:rPr>
      </w:pPr>
    </w:p>
    <w:p w:rsidR="00A23B92" w:rsidRPr="006F67C8" w:rsidRDefault="00A23B92">
      <w:pPr>
        <w:rPr>
          <w:rFonts w:ascii="Times New Roman" w:hAnsi="Times New Roman"/>
          <w:b/>
          <w:sz w:val="20"/>
          <w:lang w:val="en-GB"/>
        </w:rPr>
      </w:pPr>
    </w:p>
    <w:p w:rsidR="00A23B92" w:rsidRPr="006F67C8" w:rsidRDefault="00A23B92">
      <w:pPr>
        <w:rPr>
          <w:rFonts w:ascii="Times New Roman" w:hAnsi="Times New Roman"/>
          <w:b/>
          <w:sz w:val="20"/>
          <w:lang w:val="en-GB"/>
        </w:rPr>
      </w:pPr>
    </w:p>
    <w:p w:rsidR="00A23B92" w:rsidRPr="006F67C8" w:rsidRDefault="00A23B92">
      <w:pPr>
        <w:rPr>
          <w:rFonts w:ascii="Times New Roman" w:hAnsi="Times New Roman"/>
          <w:b/>
          <w:sz w:val="20"/>
          <w:lang w:val="en-GB"/>
        </w:rPr>
      </w:pPr>
    </w:p>
    <w:p w:rsidR="00A23B92" w:rsidRPr="006F67C8" w:rsidRDefault="00A23B92">
      <w:pPr>
        <w:rPr>
          <w:rFonts w:ascii="Times New Roman" w:hAnsi="Times New Roman"/>
          <w:b/>
          <w:sz w:val="20"/>
          <w:lang w:val="en-GB"/>
        </w:rPr>
      </w:pPr>
    </w:p>
    <w:p w:rsidR="00A23B92" w:rsidRPr="006F67C8" w:rsidRDefault="00A23B92">
      <w:pPr>
        <w:rPr>
          <w:rFonts w:ascii="Times New Roman" w:hAnsi="Times New Roman"/>
          <w:b/>
          <w:sz w:val="20"/>
          <w:lang w:val="en-GB"/>
        </w:rPr>
      </w:pPr>
    </w:p>
    <w:p w:rsidR="00A23B92" w:rsidRPr="006F67C8" w:rsidRDefault="00A23B92">
      <w:pPr>
        <w:rPr>
          <w:rFonts w:ascii="Times New Roman" w:hAnsi="Times New Roman"/>
          <w:b/>
          <w:sz w:val="20"/>
          <w:lang w:val="en-GB"/>
        </w:rPr>
      </w:pPr>
    </w:p>
    <w:p w:rsidR="00A23B92" w:rsidRPr="006F67C8" w:rsidRDefault="00A23B92">
      <w:pPr>
        <w:rPr>
          <w:rFonts w:ascii="Times New Roman" w:hAnsi="Times New Roman"/>
          <w:b/>
          <w:sz w:val="20"/>
          <w:lang w:val="en-GB"/>
        </w:rPr>
      </w:pPr>
    </w:p>
    <w:p w:rsidR="00A23B92" w:rsidRPr="006F67C8" w:rsidRDefault="00A23B92">
      <w:pPr>
        <w:rPr>
          <w:rFonts w:ascii="Times New Roman" w:hAnsi="Times New Roman"/>
          <w:b/>
          <w:sz w:val="20"/>
          <w:lang w:val="en-GB"/>
        </w:rPr>
      </w:pPr>
    </w:p>
    <w:p w:rsidR="00F03F1C" w:rsidRDefault="00F03F1C" w:rsidP="00A23B92">
      <w:pPr>
        <w:spacing w:line="480" w:lineRule="auto"/>
        <w:rPr>
          <w:rFonts w:ascii="Times New Roman" w:hAnsi="Times New Roman"/>
          <w:b/>
          <w:sz w:val="20"/>
          <w:lang w:val="en-GB"/>
        </w:rPr>
      </w:pPr>
    </w:p>
    <w:p w:rsidR="00F03F1C" w:rsidRDefault="00F03F1C" w:rsidP="00A23B92">
      <w:pPr>
        <w:spacing w:line="480" w:lineRule="auto"/>
        <w:rPr>
          <w:rFonts w:ascii="Times New Roman" w:hAnsi="Times New Roman"/>
          <w:b/>
          <w:sz w:val="20"/>
          <w:lang w:val="en-GB"/>
        </w:rPr>
      </w:pPr>
    </w:p>
    <w:p w:rsidR="00F03F1C" w:rsidRDefault="00F03F1C" w:rsidP="00A23B92">
      <w:pPr>
        <w:spacing w:line="480" w:lineRule="auto"/>
        <w:rPr>
          <w:rFonts w:ascii="Times New Roman" w:hAnsi="Times New Roman"/>
          <w:b/>
          <w:sz w:val="20"/>
          <w:lang w:val="en-GB"/>
        </w:rPr>
      </w:pPr>
    </w:p>
    <w:p w:rsidR="00F03F1C" w:rsidRDefault="00F03F1C" w:rsidP="00A23B92">
      <w:pPr>
        <w:spacing w:line="480" w:lineRule="auto"/>
        <w:rPr>
          <w:rFonts w:ascii="Times New Roman" w:hAnsi="Times New Roman"/>
          <w:b/>
          <w:sz w:val="20"/>
          <w:lang w:val="en-GB"/>
        </w:rPr>
      </w:pPr>
    </w:p>
    <w:p w:rsidR="00F03F1C" w:rsidRDefault="00F03F1C" w:rsidP="00A23B92">
      <w:pPr>
        <w:spacing w:line="480" w:lineRule="auto"/>
        <w:rPr>
          <w:rFonts w:ascii="Times New Roman" w:hAnsi="Times New Roman"/>
          <w:b/>
          <w:sz w:val="20"/>
          <w:lang w:val="en-GB"/>
        </w:rPr>
      </w:pPr>
    </w:p>
    <w:p w:rsidR="00A66389" w:rsidRDefault="00A66389" w:rsidP="00A23B92">
      <w:pPr>
        <w:spacing w:line="480" w:lineRule="auto"/>
        <w:rPr>
          <w:rFonts w:ascii="Times New Roman" w:hAnsi="Times New Roman"/>
          <w:b/>
          <w:sz w:val="20"/>
          <w:lang w:val="en-GB"/>
        </w:rPr>
      </w:pPr>
    </w:p>
    <w:p w:rsidR="00A23B92" w:rsidRPr="006F67C8" w:rsidRDefault="00A23B92" w:rsidP="00A23B92">
      <w:pPr>
        <w:spacing w:line="480" w:lineRule="auto"/>
        <w:rPr>
          <w:rFonts w:ascii="Times New Roman" w:hAnsi="Times New Roman" w:cs="Arial"/>
          <w:b/>
          <w:sz w:val="20"/>
        </w:rPr>
      </w:pPr>
      <w:r w:rsidRPr="006F67C8">
        <w:rPr>
          <w:rFonts w:ascii="Times New Roman" w:hAnsi="Times New Roman"/>
          <w:b/>
          <w:sz w:val="20"/>
          <w:lang w:val="en-GB"/>
        </w:rPr>
        <w:t xml:space="preserve">Appendix 2: </w:t>
      </w:r>
      <w:r w:rsidRPr="006F67C8">
        <w:rPr>
          <w:rFonts w:ascii="Times New Roman" w:hAnsi="Times New Roman"/>
          <w:sz w:val="20"/>
          <w:lang w:val="en-GB"/>
        </w:rPr>
        <w:t xml:space="preserve">Definitions and references of variable parameters used.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455"/>
        <w:gridCol w:w="5640"/>
      </w:tblGrid>
      <w:tr w:rsidR="00A23B92" w:rsidRPr="006F67C8">
        <w:trPr>
          <w:trHeight w:val="861"/>
        </w:trPr>
        <w:tc>
          <w:tcPr>
            <w:tcW w:w="3455" w:type="dxa"/>
          </w:tcPr>
          <w:p w:rsidR="00A23B92" w:rsidRPr="006F67C8" w:rsidRDefault="00A23B92" w:rsidP="00A23B92">
            <w:pPr>
              <w:jc w:val="center"/>
              <w:rPr>
                <w:rFonts w:ascii="Times New Roman" w:hAnsi="Times New Roman"/>
                <w:b/>
                <w:sz w:val="20"/>
                <w:lang w:val="en-GB"/>
              </w:rPr>
            </w:pPr>
          </w:p>
          <w:p w:rsidR="00A23B92" w:rsidRPr="006F67C8" w:rsidRDefault="00A23B92" w:rsidP="00A23B92">
            <w:pPr>
              <w:jc w:val="center"/>
              <w:rPr>
                <w:rFonts w:ascii="Times New Roman" w:hAnsi="Times New Roman"/>
                <w:b/>
                <w:sz w:val="20"/>
                <w:lang w:val="en-GB"/>
              </w:rPr>
            </w:pPr>
            <w:r w:rsidRPr="006F67C8">
              <w:rPr>
                <w:rFonts w:ascii="Times New Roman" w:hAnsi="Times New Roman"/>
                <w:b/>
                <w:sz w:val="20"/>
                <w:lang w:val="en-GB"/>
              </w:rPr>
              <w:t>Parameter</w:t>
            </w:r>
          </w:p>
          <w:p w:rsidR="00A23B92" w:rsidRPr="006F67C8" w:rsidRDefault="00A23B92" w:rsidP="00A23B92">
            <w:pPr>
              <w:jc w:val="center"/>
              <w:rPr>
                <w:rFonts w:ascii="Times New Roman" w:hAnsi="Times New Roman"/>
                <w:b/>
                <w:sz w:val="20"/>
                <w:lang w:val="en-GB"/>
              </w:rPr>
            </w:pPr>
          </w:p>
        </w:tc>
        <w:tc>
          <w:tcPr>
            <w:tcW w:w="5640" w:type="dxa"/>
          </w:tcPr>
          <w:p w:rsidR="00A23B92" w:rsidRPr="006F67C8" w:rsidRDefault="00A23B92" w:rsidP="00A23B92">
            <w:pPr>
              <w:jc w:val="center"/>
              <w:rPr>
                <w:rFonts w:ascii="Times New Roman" w:hAnsi="Times New Roman"/>
                <w:b/>
                <w:sz w:val="20"/>
                <w:lang w:val="en-GB"/>
              </w:rPr>
            </w:pPr>
          </w:p>
          <w:p w:rsidR="00A23B92" w:rsidRPr="006F67C8" w:rsidRDefault="00A23B92" w:rsidP="00A23B92">
            <w:pPr>
              <w:jc w:val="center"/>
              <w:rPr>
                <w:rFonts w:ascii="Times New Roman" w:hAnsi="Times New Roman"/>
                <w:b/>
                <w:sz w:val="20"/>
                <w:lang w:val="en-GB"/>
              </w:rPr>
            </w:pPr>
            <w:r w:rsidRPr="006F67C8">
              <w:rPr>
                <w:rFonts w:ascii="Times New Roman" w:hAnsi="Times New Roman"/>
                <w:b/>
                <w:sz w:val="20"/>
                <w:lang w:val="en-GB"/>
              </w:rPr>
              <w:t>Definition</w:t>
            </w:r>
          </w:p>
        </w:tc>
      </w:tr>
      <w:tr w:rsidR="00A23B92" w:rsidRPr="006F67C8">
        <w:trPr>
          <w:trHeight w:val="675"/>
        </w:trPr>
        <w:tc>
          <w:tcPr>
            <w:tcW w:w="3455" w:type="dxa"/>
          </w:tcPr>
          <w:p w:rsidR="00A23B92" w:rsidRPr="006F67C8" w:rsidRDefault="00A23B92" w:rsidP="00A23B92">
            <w:pPr>
              <w:spacing w:line="480" w:lineRule="auto"/>
              <w:rPr>
                <w:rFonts w:ascii="Times New Roman" w:hAnsi="Times New Roman"/>
                <w:b/>
                <w:sz w:val="20"/>
                <w:lang w:val="en-GB"/>
              </w:rPr>
            </w:pPr>
            <w:r w:rsidRPr="006F67C8">
              <w:rPr>
                <w:rFonts w:ascii="Times New Roman" w:hAnsi="Times New Roman"/>
                <w:b/>
                <w:sz w:val="20"/>
                <w:lang w:val="en-GB"/>
              </w:rPr>
              <w:t>Abdominal conversion</w:t>
            </w:r>
          </w:p>
          <w:p w:rsidR="00A23B92" w:rsidRPr="006F67C8" w:rsidRDefault="00A23B92" w:rsidP="00A23B92">
            <w:pPr>
              <w:spacing w:line="480" w:lineRule="auto"/>
              <w:rPr>
                <w:rFonts w:ascii="Times New Roman" w:hAnsi="Times New Roman"/>
                <w:b/>
                <w:sz w:val="20"/>
                <w:lang w:val="en-GB"/>
              </w:rPr>
            </w:pPr>
          </w:p>
        </w:tc>
        <w:tc>
          <w:tcPr>
            <w:tcW w:w="5640" w:type="dxa"/>
          </w:tcPr>
          <w:p w:rsidR="00A23B92" w:rsidRPr="006F67C8" w:rsidRDefault="00A23B92" w:rsidP="00A23B92">
            <w:pPr>
              <w:spacing w:line="480" w:lineRule="auto"/>
              <w:rPr>
                <w:rFonts w:ascii="Times New Roman" w:hAnsi="Times New Roman"/>
                <w:sz w:val="20"/>
                <w:lang w:val="en-GB"/>
              </w:rPr>
            </w:pPr>
            <w:r w:rsidRPr="006F67C8">
              <w:rPr>
                <w:rFonts w:ascii="Times New Roman" w:hAnsi="Times New Roman"/>
                <w:sz w:val="20"/>
                <w:lang w:val="en-GB"/>
              </w:rPr>
              <w:t xml:space="preserve">Conversion from a laparoscopic or robotic approach to an open approach.  </w:t>
            </w:r>
          </w:p>
        </w:tc>
      </w:tr>
      <w:tr w:rsidR="00A23B92" w:rsidRPr="006F67C8">
        <w:trPr>
          <w:trHeight w:val="996"/>
        </w:trPr>
        <w:tc>
          <w:tcPr>
            <w:tcW w:w="3455" w:type="dxa"/>
          </w:tcPr>
          <w:p w:rsidR="00A23B92" w:rsidRPr="006F67C8" w:rsidRDefault="00A23B92" w:rsidP="00A23B92">
            <w:pPr>
              <w:spacing w:line="480" w:lineRule="auto"/>
              <w:rPr>
                <w:rFonts w:ascii="Times New Roman" w:hAnsi="Times New Roman"/>
                <w:b/>
                <w:sz w:val="20"/>
                <w:lang w:val="en-GB"/>
              </w:rPr>
            </w:pPr>
            <w:r w:rsidRPr="006F67C8">
              <w:rPr>
                <w:rFonts w:ascii="Times New Roman" w:hAnsi="Times New Roman"/>
                <w:b/>
                <w:sz w:val="20"/>
                <w:lang w:val="en-GB"/>
              </w:rPr>
              <w:t>Perineal conversion</w:t>
            </w:r>
          </w:p>
        </w:tc>
        <w:tc>
          <w:tcPr>
            <w:tcW w:w="5640" w:type="dxa"/>
          </w:tcPr>
          <w:p w:rsidR="00A23B92" w:rsidRPr="006F67C8" w:rsidRDefault="00A23B92" w:rsidP="00A23B92">
            <w:pPr>
              <w:spacing w:line="480" w:lineRule="auto"/>
              <w:rPr>
                <w:rFonts w:ascii="Times New Roman" w:hAnsi="Times New Roman"/>
                <w:sz w:val="20"/>
                <w:lang w:val="en-GB"/>
              </w:rPr>
            </w:pPr>
            <w:r w:rsidRPr="006F67C8">
              <w:rPr>
                <w:rFonts w:ascii="Times New Roman" w:hAnsi="Times New Roman"/>
                <w:sz w:val="20"/>
                <w:lang w:val="en-GB"/>
              </w:rPr>
              <w:t xml:space="preserve">Conversion from a transanal approach to the mesorectal dissection to an abdominal approach; either open, laparoscopic or robotic. </w:t>
            </w:r>
          </w:p>
        </w:tc>
      </w:tr>
      <w:tr w:rsidR="00A23B92" w:rsidRPr="006F67C8">
        <w:trPr>
          <w:trHeight w:val="708"/>
        </w:trPr>
        <w:tc>
          <w:tcPr>
            <w:tcW w:w="3455" w:type="dxa"/>
          </w:tcPr>
          <w:p w:rsidR="00A23B92" w:rsidRPr="006F67C8" w:rsidRDefault="00A23B92" w:rsidP="00A23B92">
            <w:pPr>
              <w:spacing w:line="480" w:lineRule="auto"/>
              <w:rPr>
                <w:rFonts w:ascii="Times New Roman" w:hAnsi="Times New Roman"/>
                <w:b/>
                <w:sz w:val="20"/>
                <w:lang w:val="en-GB"/>
              </w:rPr>
            </w:pPr>
            <w:r w:rsidRPr="006F67C8">
              <w:rPr>
                <w:rFonts w:ascii="Times New Roman" w:hAnsi="Times New Roman"/>
                <w:b/>
                <w:sz w:val="20"/>
                <w:lang w:val="en-GB"/>
              </w:rPr>
              <w:t>Positive Distal resection margin, DRM</w:t>
            </w:r>
          </w:p>
        </w:tc>
        <w:tc>
          <w:tcPr>
            <w:tcW w:w="5640" w:type="dxa"/>
          </w:tcPr>
          <w:p w:rsidR="00A23B92" w:rsidRPr="006F67C8" w:rsidRDefault="00A23B92" w:rsidP="00A23B92">
            <w:pPr>
              <w:spacing w:line="480" w:lineRule="auto"/>
              <w:rPr>
                <w:rFonts w:ascii="Times New Roman" w:hAnsi="Times New Roman"/>
                <w:sz w:val="20"/>
                <w:lang w:val="en-GB"/>
              </w:rPr>
            </w:pPr>
            <w:r w:rsidRPr="006F67C8">
              <w:rPr>
                <w:rFonts w:ascii="Times New Roman" w:hAnsi="Times New Roman"/>
                <w:sz w:val="20"/>
                <w:lang w:val="en-GB"/>
              </w:rPr>
              <w:t>Presence of tumour cells within 1mm from the excised distal end of the specimen.</w:t>
            </w:r>
          </w:p>
        </w:tc>
      </w:tr>
      <w:tr w:rsidR="00A23B92" w:rsidRPr="006F67C8">
        <w:trPr>
          <w:trHeight w:val="702"/>
        </w:trPr>
        <w:tc>
          <w:tcPr>
            <w:tcW w:w="3455" w:type="dxa"/>
          </w:tcPr>
          <w:p w:rsidR="00A23B92" w:rsidRPr="006F67C8" w:rsidRDefault="00A23B92" w:rsidP="00A23B92">
            <w:pPr>
              <w:spacing w:line="480" w:lineRule="auto"/>
              <w:rPr>
                <w:rFonts w:ascii="Times New Roman" w:hAnsi="Times New Roman"/>
                <w:b/>
                <w:sz w:val="20"/>
                <w:lang w:val="en-GB"/>
              </w:rPr>
            </w:pPr>
            <w:r w:rsidRPr="006F67C8">
              <w:rPr>
                <w:rFonts w:ascii="Times New Roman" w:hAnsi="Times New Roman"/>
                <w:b/>
                <w:sz w:val="20"/>
                <w:lang w:val="en-GB"/>
              </w:rPr>
              <w:t xml:space="preserve">Positive Circumferential resection margin, CRM </w:t>
            </w:r>
          </w:p>
        </w:tc>
        <w:tc>
          <w:tcPr>
            <w:tcW w:w="5640" w:type="dxa"/>
          </w:tcPr>
          <w:p w:rsidR="00A23B92" w:rsidRPr="006F67C8" w:rsidRDefault="00A23B92" w:rsidP="00A23B92">
            <w:pPr>
              <w:spacing w:line="480" w:lineRule="auto"/>
              <w:rPr>
                <w:rFonts w:ascii="Times New Roman" w:hAnsi="Times New Roman"/>
                <w:sz w:val="20"/>
                <w:lang w:val="en-GB"/>
              </w:rPr>
            </w:pPr>
            <w:r w:rsidRPr="006F67C8">
              <w:rPr>
                <w:rFonts w:ascii="Times New Roman" w:hAnsi="Times New Roman"/>
                <w:sz w:val="20"/>
                <w:lang w:val="en-GB"/>
              </w:rPr>
              <w:t>Presence of tumour cells within 1mm from the excised non-peritonealised surface of the rectum.</w:t>
            </w:r>
          </w:p>
        </w:tc>
      </w:tr>
      <w:tr w:rsidR="00A23B92" w:rsidRPr="006F67C8">
        <w:trPr>
          <w:trHeight w:val="564"/>
        </w:trPr>
        <w:tc>
          <w:tcPr>
            <w:tcW w:w="3455" w:type="dxa"/>
          </w:tcPr>
          <w:p w:rsidR="00A23B92" w:rsidRPr="006F67C8" w:rsidRDefault="00A23B92" w:rsidP="00A23B92">
            <w:pPr>
              <w:spacing w:line="480" w:lineRule="auto"/>
              <w:rPr>
                <w:rFonts w:ascii="Times New Roman" w:hAnsi="Times New Roman"/>
                <w:b/>
                <w:sz w:val="20"/>
                <w:lang w:val="en-GB"/>
              </w:rPr>
            </w:pPr>
            <w:r w:rsidRPr="006F67C8">
              <w:rPr>
                <w:rFonts w:ascii="Times New Roman" w:hAnsi="Times New Roman"/>
                <w:b/>
                <w:sz w:val="20"/>
                <w:lang w:val="en-GB"/>
              </w:rPr>
              <w:t>Resection status</w:t>
            </w:r>
          </w:p>
          <w:p w:rsidR="00A23B92" w:rsidRPr="006F67C8" w:rsidRDefault="00A23B92" w:rsidP="00A23B92">
            <w:pPr>
              <w:spacing w:line="480" w:lineRule="auto"/>
              <w:rPr>
                <w:rFonts w:ascii="Times New Roman" w:hAnsi="Times New Roman"/>
                <w:b/>
                <w:sz w:val="20"/>
                <w:lang w:val="en-GB"/>
              </w:rPr>
            </w:pPr>
          </w:p>
        </w:tc>
        <w:tc>
          <w:tcPr>
            <w:tcW w:w="5640" w:type="dxa"/>
          </w:tcPr>
          <w:p w:rsidR="00A23B92" w:rsidRPr="006F67C8" w:rsidRDefault="00A23B92" w:rsidP="00A23B92">
            <w:pPr>
              <w:spacing w:line="480" w:lineRule="auto"/>
              <w:rPr>
                <w:rFonts w:ascii="Times New Roman" w:hAnsi="Times New Roman"/>
                <w:sz w:val="20"/>
                <w:lang w:val="en-GB"/>
              </w:rPr>
            </w:pPr>
            <w:r w:rsidRPr="006F67C8">
              <w:rPr>
                <w:rFonts w:ascii="Times New Roman" w:hAnsi="Times New Roman"/>
                <w:sz w:val="20"/>
                <w:lang w:val="en-GB"/>
              </w:rPr>
              <w:t>R0 – fully resected tumour</w:t>
            </w:r>
          </w:p>
          <w:p w:rsidR="00A23B92" w:rsidRPr="006F67C8" w:rsidRDefault="00A23B92" w:rsidP="00A23B92">
            <w:pPr>
              <w:spacing w:line="480" w:lineRule="auto"/>
              <w:rPr>
                <w:rFonts w:ascii="Times New Roman" w:hAnsi="Times New Roman"/>
                <w:sz w:val="20"/>
                <w:lang w:val="en-GB"/>
              </w:rPr>
            </w:pPr>
            <w:r w:rsidRPr="006F67C8">
              <w:rPr>
                <w:rFonts w:ascii="Times New Roman" w:hAnsi="Times New Roman"/>
                <w:sz w:val="20"/>
                <w:lang w:val="en-GB"/>
              </w:rPr>
              <w:t>R1 – microscopic presence of tumour cells at the distal or circumferential resection margins or within a lymph node &lt;1mm from the mesorectal fascia.</w:t>
            </w:r>
          </w:p>
          <w:p w:rsidR="00A23B92" w:rsidRPr="006F67C8" w:rsidRDefault="00A23B92" w:rsidP="00A23B92">
            <w:pPr>
              <w:spacing w:line="480" w:lineRule="auto"/>
              <w:rPr>
                <w:rFonts w:ascii="Times New Roman" w:hAnsi="Times New Roman"/>
                <w:sz w:val="20"/>
                <w:lang w:val="en-GB"/>
              </w:rPr>
            </w:pPr>
            <w:r w:rsidRPr="006F67C8">
              <w:rPr>
                <w:rFonts w:ascii="Times New Roman" w:hAnsi="Times New Roman"/>
                <w:sz w:val="20"/>
                <w:lang w:val="en-GB"/>
              </w:rPr>
              <w:t>R2 - Macroscopically incomplete tumour resection.</w:t>
            </w:r>
          </w:p>
        </w:tc>
      </w:tr>
      <w:tr w:rsidR="00A23B92" w:rsidRPr="006F67C8">
        <w:trPr>
          <w:trHeight w:val="861"/>
        </w:trPr>
        <w:tc>
          <w:tcPr>
            <w:tcW w:w="3455" w:type="dxa"/>
          </w:tcPr>
          <w:p w:rsidR="00A23B92" w:rsidRPr="006F67C8" w:rsidRDefault="00A23B92" w:rsidP="00A23B92">
            <w:pPr>
              <w:spacing w:line="480" w:lineRule="auto"/>
              <w:rPr>
                <w:rFonts w:ascii="Times New Roman" w:hAnsi="Times New Roman"/>
                <w:b/>
                <w:sz w:val="20"/>
                <w:lang w:val="en-GB"/>
              </w:rPr>
            </w:pPr>
            <w:r w:rsidRPr="006F67C8">
              <w:rPr>
                <w:rFonts w:ascii="Times New Roman" w:hAnsi="Times New Roman"/>
                <w:b/>
                <w:sz w:val="20"/>
                <w:lang w:val="en-GB"/>
              </w:rPr>
              <w:t>Quality of TME specimen</w:t>
            </w:r>
          </w:p>
          <w:p w:rsidR="00A23B92" w:rsidRPr="006F67C8" w:rsidRDefault="00A23B92" w:rsidP="00A23B92">
            <w:pPr>
              <w:spacing w:line="480" w:lineRule="auto"/>
              <w:rPr>
                <w:rFonts w:ascii="Times New Roman" w:hAnsi="Times New Roman"/>
                <w:b/>
                <w:sz w:val="20"/>
                <w:lang w:val="en-GB"/>
              </w:rPr>
            </w:pPr>
          </w:p>
        </w:tc>
        <w:tc>
          <w:tcPr>
            <w:tcW w:w="5640" w:type="dxa"/>
          </w:tcPr>
          <w:p w:rsidR="00A23B92" w:rsidRPr="006F67C8" w:rsidRDefault="00A23B92" w:rsidP="00A23B92">
            <w:pPr>
              <w:spacing w:line="480" w:lineRule="auto"/>
              <w:rPr>
                <w:rFonts w:ascii="Times New Roman" w:hAnsi="Times New Roman"/>
                <w:sz w:val="20"/>
                <w:lang w:val="en-GB"/>
              </w:rPr>
            </w:pPr>
            <w:r w:rsidRPr="006F67C8">
              <w:rPr>
                <w:rFonts w:ascii="Times New Roman" w:hAnsi="Times New Roman"/>
                <w:sz w:val="20"/>
                <w:lang w:val="en-GB"/>
              </w:rPr>
              <w:t xml:space="preserve">Using the Quirke grading system for completeness of mesorectal dissection </w:t>
            </w:r>
            <w:r w:rsidRPr="006F67C8">
              <w:rPr>
                <w:rFonts w:ascii="Times New Roman" w:hAnsi="Times New Roman"/>
                <w:color w:val="3366FF"/>
                <w:sz w:val="20"/>
                <w:lang w:val="en-GB"/>
              </w:rPr>
              <w:t>[Quirke Lancet 1986]</w:t>
            </w:r>
            <w:r w:rsidRPr="006F67C8">
              <w:rPr>
                <w:rFonts w:ascii="Times New Roman" w:hAnsi="Times New Roman"/>
                <w:sz w:val="20"/>
                <w:lang w:val="en-GB"/>
              </w:rPr>
              <w:t xml:space="preserve">, each TME specimen is graded as having either an intact mesorectum, minor or major defects. </w:t>
            </w:r>
          </w:p>
        </w:tc>
      </w:tr>
    </w:tbl>
    <w:p w:rsidR="00A23B92" w:rsidRPr="006F67C8" w:rsidRDefault="00A23B92" w:rsidP="00A23B92">
      <w:pPr>
        <w:spacing w:line="480" w:lineRule="auto"/>
        <w:jc w:val="both"/>
        <w:rPr>
          <w:rFonts w:ascii="Times New Roman" w:hAnsi="Times New Roman"/>
          <w:sz w:val="20"/>
          <w:lang w:val="en-GB"/>
        </w:rPr>
      </w:pPr>
      <w:r w:rsidRPr="006F67C8">
        <w:rPr>
          <w:rFonts w:ascii="Times New Roman" w:hAnsi="Times New Roman"/>
          <w:sz w:val="20"/>
          <w:lang w:val="en-GB"/>
        </w:rPr>
        <w:t>TME: Total Mesorectal Excision</w:t>
      </w:r>
    </w:p>
    <w:p w:rsidR="00A23B92" w:rsidRPr="006F67C8" w:rsidRDefault="00A23B92" w:rsidP="00A23B92">
      <w:pPr>
        <w:spacing w:line="480" w:lineRule="auto"/>
        <w:jc w:val="both"/>
        <w:rPr>
          <w:rFonts w:ascii="Times New Roman" w:hAnsi="Times New Roman"/>
          <w:sz w:val="20"/>
          <w:lang w:val="en-GB"/>
        </w:rPr>
      </w:pPr>
    </w:p>
    <w:p w:rsidR="00A23B92" w:rsidRPr="006F67C8" w:rsidRDefault="00A23B92" w:rsidP="00A23B92">
      <w:pPr>
        <w:spacing w:line="480" w:lineRule="auto"/>
        <w:jc w:val="both"/>
        <w:rPr>
          <w:rFonts w:ascii="Times New Roman" w:hAnsi="Times New Roman"/>
          <w:sz w:val="20"/>
          <w:lang w:val="en-GB"/>
        </w:rPr>
      </w:pPr>
    </w:p>
    <w:p w:rsidR="00A23B92" w:rsidRPr="006F67C8" w:rsidRDefault="00A23B92" w:rsidP="00A23B92">
      <w:pPr>
        <w:spacing w:line="480" w:lineRule="auto"/>
        <w:jc w:val="both"/>
        <w:rPr>
          <w:rFonts w:ascii="Times New Roman" w:hAnsi="Times New Roman"/>
          <w:sz w:val="20"/>
          <w:lang w:val="en-GB"/>
        </w:rPr>
      </w:pPr>
    </w:p>
    <w:p w:rsidR="00A23B92" w:rsidRPr="006F67C8" w:rsidRDefault="00A23B92" w:rsidP="00A23B92">
      <w:pPr>
        <w:spacing w:line="480" w:lineRule="auto"/>
        <w:jc w:val="both"/>
        <w:rPr>
          <w:rFonts w:ascii="Times New Roman" w:hAnsi="Times New Roman"/>
          <w:sz w:val="20"/>
          <w:lang w:val="en-GB"/>
        </w:rPr>
      </w:pPr>
    </w:p>
    <w:p w:rsidR="00A23B92" w:rsidRPr="006F67C8" w:rsidRDefault="00A23B92" w:rsidP="00A23B92">
      <w:pPr>
        <w:spacing w:line="480" w:lineRule="auto"/>
        <w:jc w:val="both"/>
        <w:rPr>
          <w:rFonts w:ascii="Times New Roman" w:hAnsi="Times New Roman"/>
          <w:sz w:val="20"/>
          <w:lang w:val="en-GB"/>
        </w:rPr>
      </w:pPr>
    </w:p>
    <w:p w:rsidR="00A23B92" w:rsidRPr="006F67C8" w:rsidRDefault="00A23B92" w:rsidP="00A23B92">
      <w:pPr>
        <w:spacing w:line="480" w:lineRule="auto"/>
        <w:jc w:val="both"/>
        <w:rPr>
          <w:rFonts w:ascii="Times New Roman" w:hAnsi="Times New Roman"/>
          <w:sz w:val="20"/>
          <w:lang w:val="en-GB"/>
        </w:rPr>
      </w:pPr>
    </w:p>
    <w:p w:rsidR="00A23B92" w:rsidRPr="006F67C8" w:rsidRDefault="00A23B92" w:rsidP="00A23B92">
      <w:pPr>
        <w:spacing w:line="480" w:lineRule="auto"/>
        <w:jc w:val="both"/>
        <w:rPr>
          <w:rFonts w:ascii="Times New Roman" w:hAnsi="Times New Roman"/>
          <w:sz w:val="20"/>
          <w:lang w:val="en-GB"/>
        </w:rPr>
      </w:pPr>
    </w:p>
    <w:p w:rsidR="00A23B92" w:rsidRPr="006F67C8" w:rsidRDefault="00A23B92" w:rsidP="00A23B92">
      <w:pPr>
        <w:spacing w:line="480" w:lineRule="auto"/>
        <w:jc w:val="both"/>
        <w:rPr>
          <w:rFonts w:ascii="Times New Roman" w:hAnsi="Times New Roman"/>
          <w:sz w:val="20"/>
          <w:lang w:val="en-GB"/>
        </w:rPr>
      </w:pPr>
    </w:p>
    <w:p w:rsidR="00A23B92" w:rsidRDefault="00A23B92" w:rsidP="00A23B92">
      <w:pPr>
        <w:spacing w:line="480" w:lineRule="auto"/>
        <w:jc w:val="both"/>
        <w:rPr>
          <w:rFonts w:ascii="Times New Roman" w:hAnsi="Times New Roman"/>
          <w:sz w:val="20"/>
          <w:lang w:val="en-GB"/>
        </w:rPr>
      </w:pPr>
    </w:p>
    <w:p w:rsidR="00A23B92" w:rsidRPr="006F67C8" w:rsidRDefault="00A23B92" w:rsidP="00A23B92">
      <w:pPr>
        <w:widowControl w:val="0"/>
        <w:autoSpaceDE w:val="0"/>
        <w:autoSpaceDN w:val="0"/>
        <w:adjustRightInd w:val="0"/>
        <w:rPr>
          <w:rFonts w:ascii="Times New Roman" w:hAnsi="Times New Roman"/>
        </w:rPr>
      </w:pPr>
    </w:p>
    <w:sectPr w:rsidR="00A23B92" w:rsidRPr="006F67C8" w:rsidSect="00A23B92">
      <w:footerReference w:type="even" r:id="rId11"/>
      <w:footerReference w:type="default" r:id="rId12"/>
      <w:pgSz w:w="11900" w:h="16840"/>
      <w:pgMar w:top="1418" w:right="1418" w:bottom="1418" w:left="1418" w:header="709" w:footer="709" w:gutter="0"/>
      <w:cols w:space="708"/>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FF70D13" w15:done="0"/>
  <w15:commentEx w15:paraId="0B8D738F" w15:done="0"/>
  <w15:commentEx w15:paraId="2D2BC269" w15:done="0"/>
  <w15:commentEx w15:paraId="0A6FAE67" w15:done="0"/>
  <w15:commentEx w15:paraId="696953B8" w15:done="0"/>
  <w15:commentEx w15:paraId="0EB38D88" w15:done="0"/>
  <w15:commentEx w15:paraId="5E9E932C" w15:done="0"/>
</w15:commentsEx>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083D" w:rsidRDefault="00A1083D">
      <w:r>
        <w:separator/>
      </w:r>
    </w:p>
  </w:endnote>
  <w:endnote w:type="continuationSeparator" w:id="0">
    <w:p w:rsidR="00A1083D" w:rsidRDefault="00A1083D">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ourier">
    <w:panose1 w:val="02000500000000000000"/>
    <w:charset w:val="4D"/>
    <w:family w:val="modern"/>
    <w:notTrueType/>
    <w:pitch w:val="fixed"/>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altName w:val="Arial"/>
    <w:panose1 w:val="00000000000000000000"/>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MS Gothic">
    <w:altName w:val="ＭＳ ゴシック"/>
    <w:charset w:val="80"/>
    <w:family w:val="modern"/>
    <w:pitch w:val="fixed"/>
    <w:sig w:usb0="E00002FF" w:usb1="6AC7FDFB" w:usb2="08000012" w:usb3="00000000" w:csb0="0002009F" w:csb1="00000000"/>
  </w:font>
  <w:font w:name="Calibri Light">
    <w:charset w:val="00"/>
    <w:family w:val="swiss"/>
    <w:pitch w:val="variable"/>
    <w:sig w:usb0="A00002EF" w:usb1="4000207B" w:usb2="00000000" w:usb3="00000000" w:csb0="0000019F"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83D" w:rsidRDefault="008D36ED" w:rsidP="00A23B92">
    <w:pPr>
      <w:pStyle w:val="Footer"/>
      <w:framePr w:wrap="around" w:vAnchor="text" w:hAnchor="margin" w:xAlign="right" w:y="1"/>
      <w:rPr>
        <w:rStyle w:val="PageNumber"/>
      </w:rPr>
    </w:pPr>
    <w:r>
      <w:rPr>
        <w:rStyle w:val="PageNumber"/>
      </w:rPr>
      <w:fldChar w:fldCharType="begin"/>
    </w:r>
    <w:r w:rsidR="00A1083D">
      <w:rPr>
        <w:rStyle w:val="PageNumber"/>
      </w:rPr>
      <w:instrText xml:space="preserve">PAGE  </w:instrText>
    </w:r>
    <w:r>
      <w:rPr>
        <w:rStyle w:val="PageNumber"/>
      </w:rPr>
      <w:fldChar w:fldCharType="end"/>
    </w:r>
  </w:p>
  <w:p w:rsidR="00A1083D" w:rsidRDefault="00A1083D" w:rsidP="00A23B92">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83D" w:rsidRDefault="008D36ED" w:rsidP="00A23B92">
    <w:pPr>
      <w:pStyle w:val="Footer"/>
      <w:framePr w:wrap="around" w:vAnchor="text" w:hAnchor="margin" w:xAlign="right" w:y="1"/>
      <w:rPr>
        <w:rStyle w:val="PageNumber"/>
      </w:rPr>
    </w:pPr>
    <w:r>
      <w:rPr>
        <w:rStyle w:val="PageNumber"/>
      </w:rPr>
      <w:fldChar w:fldCharType="begin"/>
    </w:r>
    <w:r w:rsidR="00A1083D">
      <w:rPr>
        <w:rStyle w:val="PageNumber"/>
      </w:rPr>
      <w:instrText xml:space="preserve">PAGE  </w:instrText>
    </w:r>
    <w:r>
      <w:rPr>
        <w:rStyle w:val="PageNumber"/>
      </w:rPr>
      <w:fldChar w:fldCharType="separate"/>
    </w:r>
    <w:r w:rsidR="00757503">
      <w:rPr>
        <w:rStyle w:val="PageNumber"/>
        <w:noProof/>
      </w:rPr>
      <w:t>27</w:t>
    </w:r>
    <w:r>
      <w:rPr>
        <w:rStyle w:val="PageNumber"/>
      </w:rPr>
      <w:fldChar w:fldCharType="end"/>
    </w:r>
  </w:p>
  <w:p w:rsidR="00A1083D" w:rsidRDefault="00A1083D" w:rsidP="00A23B92">
    <w:pPr>
      <w:pStyle w:val="Footer"/>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083D" w:rsidRDefault="00A1083D">
      <w:r>
        <w:separator/>
      </w:r>
    </w:p>
  </w:footnote>
  <w:footnote w:type="continuationSeparator" w:id="0">
    <w:p w:rsidR="00A1083D" w:rsidRDefault="00A1083D">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33ACCBE0"/>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59152B"/>
    <w:multiLevelType w:val="hybridMultilevel"/>
    <w:tmpl w:val="6A06C99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20079DD"/>
    <w:multiLevelType w:val="hybridMultilevel"/>
    <w:tmpl w:val="D7A219BE"/>
    <w:lvl w:ilvl="0" w:tplc="85520802">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20B1B8E"/>
    <w:multiLevelType w:val="hybridMultilevel"/>
    <w:tmpl w:val="705CD9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5455CF2"/>
    <w:multiLevelType w:val="hybridMultilevel"/>
    <w:tmpl w:val="D56E8BC0"/>
    <w:lvl w:ilvl="0" w:tplc="04090009">
      <w:start w:val="1"/>
      <w:numFmt w:val="bullet"/>
      <w:lvlText w:val=""/>
      <w:lvlJc w:val="left"/>
      <w:pPr>
        <w:ind w:left="90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8E0183"/>
    <w:multiLevelType w:val="hybridMultilevel"/>
    <w:tmpl w:val="518236C6"/>
    <w:lvl w:ilvl="0" w:tplc="B4861D78">
      <w:start w:val="1"/>
      <w:numFmt w:val="bullet"/>
      <w:lvlText w:val="o"/>
      <w:lvlJc w:val="left"/>
      <w:pPr>
        <w:ind w:left="1497"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B934492"/>
    <w:multiLevelType w:val="hybridMultilevel"/>
    <w:tmpl w:val="9984E95C"/>
    <w:lvl w:ilvl="0" w:tplc="B4861D78">
      <w:start w:val="1"/>
      <w:numFmt w:val="bullet"/>
      <w:lvlText w:val="o"/>
      <w:lvlJc w:val="left"/>
      <w:pPr>
        <w:ind w:left="1497"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1121F84"/>
    <w:multiLevelType w:val="hybridMultilevel"/>
    <w:tmpl w:val="707E2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A26AA8"/>
    <w:multiLevelType w:val="hybridMultilevel"/>
    <w:tmpl w:val="15ACBA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17543D"/>
    <w:multiLevelType w:val="hybridMultilevel"/>
    <w:tmpl w:val="5DAACC32"/>
    <w:lvl w:ilvl="0" w:tplc="ACEC74FC">
      <w:start w:val="1"/>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cs="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44F1B3C"/>
    <w:multiLevelType w:val="hybridMultilevel"/>
    <w:tmpl w:val="0CF219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284DF7"/>
    <w:multiLevelType w:val="multilevel"/>
    <w:tmpl w:val="518236C6"/>
    <w:lvl w:ilvl="0">
      <w:start w:val="1"/>
      <w:numFmt w:val="bullet"/>
      <w:lvlText w:val="o"/>
      <w:lvlJc w:val="left"/>
      <w:pPr>
        <w:ind w:left="1497"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282D7F18"/>
    <w:multiLevelType w:val="hybridMultilevel"/>
    <w:tmpl w:val="69A8D2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DF97780"/>
    <w:multiLevelType w:val="hybridMultilevel"/>
    <w:tmpl w:val="B1FCBD3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B054FA"/>
    <w:multiLevelType w:val="multilevel"/>
    <w:tmpl w:val="A97C86BC"/>
    <w:lvl w:ilvl="0">
      <w:start w:val="1"/>
      <w:numFmt w:val="bullet"/>
      <w:lvlText w:val="o"/>
      <w:lvlJc w:val="left"/>
      <w:pPr>
        <w:ind w:left="720" w:hanging="360"/>
      </w:pPr>
      <w:rPr>
        <w:rFonts w:ascii="Courier New" w:hAnsi="Courier New"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BD05E04"/>
    <w:multiLevelType w:val="hybridMultilevel"/>
    <w:tmpl w:val="F47E05EA"/>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ECE1414"/>
    <w:multiLevelType w:val="hybridMultilevel"/>
    <w:tmpl w:val="15247208"/>
    <w:lvl w:ilvl="0" w:tplc="AC54B32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0901C57"/>
    <w:multiLevelType w:val="hybridMultilevel"/>
    <w:tmpl w:val="37AE878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41F100DE"/>
    <w:multiLevelType w:val="multilevel"/>
    <w:tmpl w:val="120EE7B4"/>
    <w:lvl w:ilvl="0">
      <w:start w:val="1"/>
      <w:numFmt w:val="upperRoman"/>
      <w:lvlText w:val="%1."/>
      <w:lvlJc w:val="right"/>
      <w:pPr>
        <w:ind w:left="720" w:hanging="1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65854A1"/>
    <w:multiLevelType w:val="hybridMultilevel"/>
    <w:tmpl w:val="D27C63E8"/>
    <w:lvl w:ilvl="0" w:tplc="85520802">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673668F"/>
    <w:multiLevelType w:val="hybridMultilevel"/>
    <w:tmpl w:val="7172A54E"/>
    <w:lvl w:ilvl="0" w:tplc="85520802">
      <w:numFmt w:val="bullet"/>
      <w:lvlText w:val=""/>
      <w:lvlJc w:val="left"/>
      <w:pPr>
        <w:ind w:left="1497"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8C1654B"/>
    <w:multiLevelType w:val="hybridMultilevel"/>
    <w:tmpl w:val="CBB2E0F2"/>
    <w:lvl w:ilvl="0" w:tplc="60BC9D08">
      <w:numFmt w:val="bullet"/>
      <w:lvlText w:val="-"/>
      <w:lvlJc w:val="left"/>
      <w:pPr>
        <w:ind w:left="420" w:hanging="360"/>
      </w:pPr>
      <w:rPr>
        <w:rFonts w:ascii="Times New Roman" w:eastAsia="Cambria" w:hAnsi="Times New Roman" w:cs="Times New Roman"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2">
    <w:nsid w:val="495D4BCA"/>
    <w:multiLevelType w:val="multilevel"/>
    <w:tmpl w:val="120EE7B4"/>
    <w:lvl w:ilvl="0">
      <w:start w:val="1"/>
      <w:numFmt w:val="upperRoman"/>
      <w:lvlText w:val="%1."/>
      <w:lvlJc w:val="right"/>
      <w:pPr>
        <w:ind w:left="720" w:hanging="1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BDD1575"/>
    <w:multiLevelType w:val="multilevel"/>
    <w:tmpl w:val="47D061DE"/>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nsid w:val="522F0FF2"/>
    <w:multiLevelType w:val="hybridMultilevel"/>
    <w:tmpl w:val="C5303484"/>
    <w:lvl w:ilvl="0" w:tplc="AC54B32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0225589"/>
    <w:multiLevelType w:val="hybridMultilevel"/>
    <w:tmpl w:val="47D061DE"/>
    <w:lvl w:ilvl="0" w:tplc="85520802">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3696FB9"/>
    <w:multiLevelType w:val="hybridMultilevel"/>
    <w:tmpl w:val="AD46DA44"/>
    <w:lvl w:ilvl="0" w:tplc="85520802">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6F22500"/>
    <w:multiLevelType w:val="hybridMultilevel"/>
    <w:tmpl w:val="B476B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B8D5997"/>
    <w:multiLevelType w:val="hybridMultilevel"/>
    <w:tmpl w:val="8078F9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E922076"/>
    <w:multiLevelType w:val="multilevel"/>
    <w:tmpl w:val="120EE7B4"/>
    <w:lvl w:ilvl="0">
      <w:start w:val="1"/>
      <w:numFmt w:val="upperRoman"/>
      <w:lvlText w:val="%1."/>
      <w:lvlJc w:val="right"/>
      <w:pPr>
        <w:ind w:left="720" w:hanging="1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6FFD7BA9"/>
    <w:multiLevelType w:val="hybridMultilevel"/>
    <w:tmpl w:val="A97C86BC"/>
    <w:lvl w:ilvl="0" w:tplc="C6D8CEF0">
      <w:start w:val="1"/>
      <w:numFmt w:val="bullet"/>
      <w:lvlText w:val="o"/>
      <w:lvlJc w:val="left"/>
      <w:pPr>
        <w:ind w:left="720" w:hanging="360"/>
      </w:pPr>
      <w:rPr>
        <w:rFonts w:ascii="Courier New" w:hAnsi="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4732083"/>
    <w:multiLevelType w:val="hybridMultilevel"/>
    <w:tmpl w:val="120EE7B4"/>
    <w:lvl w:ilvl="0" w:tplc="04090013">
      <w:start w:val="1"/>
      <w:numFmt w:val="upperRoman"/>
      <w:lvlText w:val="%1."/>
      <w:lvlJc w:val="right"/>
      <w:pPr>
        <w:ind w:left="72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68E6606"/>
    <w:multiLevelType w:val="hybridMultilevel"/>
    <w:tmpl w:val="85EAF052"/>
    <w:lvl w:ilvl="0" w:tplc="D772AE70">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76525D6"/>
    <w:multiLevelType w:val="hybridMultilevel"/>
    <w:tmpl w:val="7B18BAC4"/>
    <w:lvl w:ilvl="0" w:tplc="85520802">
      <w:numFmt w:val="bullet"/>
      <w:lvlText w:val=""/>
      <w:lvlJc w:val="left"/>
      <w:pPr>
        <w:ind w:left="848" w:hanging="360"/>
      </w:pPr>
      <w:rPr>
        <w:rFonts w:ascii="Symbol" w:hAnsi="Symbol" w:hint="default"/>
      </w:rPr>
    </w:lvl>
    <w:lvl w:ilvl="1" w:tplc="04090003" w:tentative="1">
      <w:start w:val="1"/>
      <w:numFmt w:val="bullet"/>
      <w:lvlText w:val="o"/>
      <w:lvlJc w:val="left"/>
      <w:pPr>
        <w:ind w:left="1568" w:hanging="360"/>
      </w:pPr>
      <w:rPr>
        <w:rFonts w:ascii="Courier New" w:hAnsi="Courier New" w:hint="default"/>
      </w:rPr>
    </w:lvl>
    <w:lvl w:ilvl="2" w:tplc="04090005" w:tentative="1">
      <w:start w:val="1"/>
      <w:numFmt w:val="bullet"/>
      <w:lvlText w:val=""/>
      <w:lvlJc w:val="left"/>
      <w:pPr>
        <w:ind w:left="2288" w:hanging="360"/>
      </w:pPr>
      <w:rPr>
        <w:rFonts w:ascii="Wingdings" w:hAnsi="Wingdings" w:hint="default"/>
      </w:rPr>
    </w:lvl>
    <w:lvl w:ilvl="3" w:tplc="04090001" w:tentative="1">
      <w:start w:val="1"/>
      <w:numFmt w:val="bullet"/>
      <w:lvlText w:val=""/>
      <w:lvlJc w:val="left"/>
      <w:pPr>
        <w:ind w:left="3008" w:hanging="360"/>
      </w:pPr>
      <w:rPr>
        <w:rFonts w:ascii="Symbol" w:hAnsi="Symbol" w:hint="default"/>
      </w:rPr>
    </w:lvl>
    <w:lvl w:ilvl="4" w:tplc="04090003" w:tentative="1">
      <w:start w:val="1"/>
      <w:numFmt w:val="bullet"/>
      <w:lvlText w:val="o"/>
      <w:lvlJc w:val="left"/>
      <w:pPr>
        <w:ind w:left="3728" w:hanging="360"/>
      </w:pPr>
      <w:rPr>
        <w:rFonts w:ascii="Courier New" w:hAnsi="Courier New" w:hint="default"/>
      </w:rPr>
    </w:lvl>
    <w:lvl w:ilvl="5" w:tplc="04090005" w:tentative="1">
      <w:start w:val="1"/>
      <w:numFmt w:val="bullet"/>
      <w:lvlText w:val=""/>
      <w:lvlJc w:val="left"/>
      <w:pPr>
        <w:ind w:left="4448" w:hanging="360"/>
      </w:pPr>
      <w:rPr>
        <w:rFonts w:ascii="Wingdings" w:hAnsi="Wingdings" w:hint="default"/>
      </w:rPr>
    </w:lvl>
    <w:lvl w:ilvl="6" w:tplc="04090001" w:tentative="1">
      <w:start w:val="1"/>
      <w:numFmt w:val="bullet"/>
      <w:lvlText w:val=""/>
      <w:lvlJc w:val="left"/>
      <w:pPr>
        <w:ind w:left="5168" w:hanging="360"/>
      </w:pPr>
      <w:rPr>
        <w:rFonts w:ascii="Symbol" w:hAnsi="Symbol" w:hint="default"/>
      </w:rPr>
    </w:lvl>
    <w:lvl w:ilvl="7" w:tplc="04090003" w:tentative="1">
      <w:start w:val="1"/>
      <w:numFmt w:val="bullet"/>
      <w:lvlText w:val="o"/>
      <w:lvlJc w:val="left"/>
      <w:pPr>
        <w:ind w:left="5888" w:hanging="360"/>
      </w:pPr>
      <w:rPr>
        <w:rFonts w:ascii="Courier New" w:hAnsi="Courier New" w:hint="default"/>
      </w:rPr>
    </w:lvl>
    <w:lvl w:ilvl="8" w:tplc="04090005" w:tentative="1">
      <w:start w:val="1"/>
      <w:numFmt w:val="bullet"/>
      <w:lvlText w:val=""/>
      <w:lvlJc w:val="left"/>
      <w:pPr>
        <w:ind w:left="6608" w:hanging="360"/>
      </w:pPr>
      <w:rPr>
        <w:rFonts w:ascii="Wingdings" w:hAnsi="Wingdings" w:hint="default"/>
      </w:rPr>
    </w:lvl>
  </w:abstractNum>
  <w:num w:numId="1">
    <w:abstractNumId w:val="8"/>
  </w:num>
  <w:num w:numId="2">
    <w:abstractNumId w:val="12"/>
  </w:num>
  <w:num w:numId="3">
    <w:abstractNumId w:val="9"/>
  </w:num>
  <w:num w:numId="4">
    <w:abstractNumId w:val="7"/>
  </w:num>
  <w:num w:numId="5">
    <w:abstractNumId w:val="27"/>
  </w:num>
  <w:num w:numId="6">
    <w:abstractNumId w:val="30"/>
  </w:num>
  <w:num w:numId="7">
    <w:abstractNumId w:val="14"/>
  </w:num>
  <w:num w:numId="8">
    <w:abstractNumId w:val="15"/>
  </w:num>
  <w:num w:numId="9">
    <w:abstractNumId w:val="13"/>
  </w:num>
  <w:num w:numId="10">
    <w:abstractNumId w:val="3"/>
  </w:num>
  <w:num w:numId="11">
    <w:abstractNumId w:val="10"/>
  </w:num>
  <w:num w:numId="12">
    <w:abstractNumId w:val="5"/>
  </w:num>
  <w:num w:numId="13">
    <w:abstractNumId w:val="31"/>
  </w:num>
  <w:num w:numId="14">
    <w:abstractNumId w:val="21"/>
  </w:num>
  <w:num w:numId="15">
    <w:abstractNumId w:val="29"/>
  </w:num>
  <w:num w:numId="16">
    <w:abstractNumId w:val="22"/>
  </w:num>
  <w:num w:numId="17">
    <w:abstractNumId w:val="18"/>
  </w:num>
  <w:num w:numId="18">
    <w:abstractNumId w:val="4"/>
  </w:num>
  <w:num w:numId="19">
    <w:abstractNumId w:val="11"/>
  </w:num>
  <w:num w:numId="20">
    <w:abstractNumId w:val="20"/>
  </w:num>
  <w:num w:numId="21">
    <w:abstractNumId w:val="32"/>
  </w:num>
  <w:num w:numId="22">
    <w:abstractNumId w:val="0"/>
  </w:num>
  <w:num w:numId="23">
    <w:abstractNumId w:val="17"/>
  </w:num>
  <w:num w:numId="24">
    <w:abstractNumId w:val="6"/>
  </w:num>
  <w:num w:numId="25">
    <w:abstractNumId w:val="1"/>
  </w:num>
  <w:num w:numId="26">
    <w:abstractNumId w:val="2"/>
  </w:num>
  <w:num w:numId="27">
    <w:abstractNumId w:val="25"/>
  </w:num>
  <w:num w:numId="28">
    <w:abstractNumId w:val="23"/>
  </w:num>
  <w:num w:numId="29">
    <w:abstractNumId w:val="24"/>
  </w:num>
  <w:num w:numId="30">
    <w:abstractNumId w:val="16"/>
  </w:num>
  <w:num w:numId="31">
    <w:abstractNumId w:val="33"/>
  </w:num>
  <w:num w:numId="32">
    <w:abstractNumId w:val="28"/>
  </w:num>
  <w:num w:numId="33">
    <w:abstractNumId w:val="19"/>
  </w:num>
  <w:num w:numId="34">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aris Tekkis">
    <w15:presenceInfo w15:providerId="Windows Live" w15:userId="8dbe5fa0df70ea0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stylePaneFormatFilter w:val="3701"/>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rsids>
    <w:rsidRoot w:val="00F06763"/>
    <w:rsid w:val="000347DD"/>
    <w:rsid w:val="000478C2"/>
    <w:rsid w:val="0005123D"/>
    <w:rsid w:val="00077027"/>
    <w:rsid w:val="000D00DC"/>
    <w:rsid w:val="000E0BF2"/>
    <w:rsid w:val="00174B19"/>
    <w:rsid w:val="00176942"/>
    <w:rsid w:val="001844A5"/>
    <w:rsid w:val="00253D77"/>
    <w:rsid w:val="00284C05"/>
    <w:rsid w:val="002B5DC2"/>
    <w:rsid w:val="002F2231"/>
    <w:rsid w:val="00333AF1"/>
    <w:rsid w:val="00335AA0"/>
    <w:rsid w:val="00342D36"/>
    <w:rsid w:val="00373A20"/>
    <w:rsid w:val="003A34F0"/>
    <w:rsid w:val="003B1DE5"/>
    <w:rsid w:val="004150C0"/>
    <w:rsid w:val="0043627C"/>
    <w:rsid w:val="00440C3C"/>
    <w:rsid w:val="00481254"/>
    <w:rsid w:val="004B59C8"/>
    <w:rsid w:val="004E55AB"/>
    <w:rsid w:val="005F2C73"/>
    <w:rsid w:val="0060576D"/>
    <w:rsid w:val="00614026"/>
    <w:rsid w:val="0061456B"/>
    <w:rsid w:val="0062475D"/>
    <w:rsid w:val="006278D9"/>
    <w:rsid w:val="006E431F"/>
    <w:rsid w:val="00757503"/>
    <w:rsid w:val="00786B7C"/>
    <w:rsid w:val="007C1A53"/>
    <w:rsid w:val="007D0AB6"/>
    <w:rsid w:val="007E495B"/>
    <w:rsid w:val="00885501"/>
    <w:rsid w:val="00897552"/>
    <w:rsid w:val="008C0F87"/>
    <w:rsid w:val="008D36ED"/>
    <w:rsid w:val="00937B9F"/>
    <w:rsid w:val="00946947"/>
    <w:rsid w:val="00955937"/>
    <w:rsid w:val="00961043"/>
    <w:rsid w:val="009710B0"/>
    <w:rsid w:val="0099448D"/>
    <w:rsid w:val="009E2DCC"/>
    <w:rsid w:val="00A1083D"/>
    <w:rsid w:val="00A2033A"/>
    <w:rsid w:val="00A23592"/>
    <w:rsid w:val="00A23B92"/>
    <w:rsid w:val="00A3373A"/>
    <w:rsid w:val="00A66389"/>
    <w:rsid w:val="00AE74D1"/>
    <w:rsid w:val="00B974B3"/>
    <w:rsid w:val="00BF4FF9"/>
    <w:rsid w:val="00C62101"/>
    <w:rsid w:val="00D05299"/>
    <w:rsid w:val="00D44EF2"/>
    <w:rsid w:val="00D70C41"/>
    <w:rsid w:val="00D8219D"/>
    <w:rsid w:val="00DB3FD2"/>
    <w:rsid w:val="00E43F22"/>
    <w:rsid w:val="00E702FF"/>
    <w:rsid w:val="00F03F1C"/>
    <w:rsid w:val="00F06763"/>
    <w:rsid w:val="00F547A1"/>
    <w:rsid w:val="00F71F76"/>
    <w:rsid w:val="00FA0B53"/>
  </w:rsids>
  <m:mathPr>
    <m:mathFont m:val="MS Gothic"/>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sz w:val="24"/>
        <w:szCs w:val="24"/>
        <w:lang w:val="en-GB" w:eastAsia="en-GB" w:bidi="ar-SA"/>
      </w:rPr>
    </w:rPrDefault>
    <w:pPrDefault/>
  </w:docDefaults>
  <w:latentStyles w:defLockedState="0" w:defUIPriority="0" w:defSemiHidden="0" w:defUnhideWhenUsed="0" w:defQFormat="0" w:count="276"/>
  <w:style w:type="paragraph" w:default="1" w:styleId="Normal">
    <w:name w:val="Normal"/>
    <w:qFormat/>
    <w:rsid w:val="0086726B"/>
    <w:rPr>
      <w:lang w:val="en-US" w:eastAsia="en-US"/>
    </w:rPr>
  </w:style>
  <w:style w:type="paragraph" w:styleId="Heading1">
    <w:name w:val="heading 1"/>
    <w:basedOn w:val="Normal"/>
    <w:next w:val="Normal"/>
    <w:link w:val="Heading1Char"/>
    <w:qFormat/>
    <w:rsid w:val="001A179C"/>
    <w:pPr>
      <w:keepNext/>
      <w:spacing w:before="240" w:after="60"/>
      <w:outlineLvl w:val="0"/>
    </w:pPr>
    <w:rPr>
      <w:rFonts w:ascii="Calibri" w:eastAsia="Times New Roman" w:hAnsi="Calibri"/>
      <w:b/>
      <w:bCs/>
      <w:kern w:val="32"/>
      <w:sz w:val="32"/>
      <w:szCs w:val="32"/>
    </w:rPr>
  </w:style>
  <w:style w:type="paragraph" w:styleId="Heading2">
    <w:name w:val="heading 2"/>
    <w:basedOn w:val="Normal"/>
    <w:link w:val="Heading2Char"/>
    <w:uiPriority w:val="9"/>
    <w:qFormat/>
    <w:rsid w:val="00E64A9E"/>
    <w:pPr>
      <w:spacing w:beforeLines="1" w:afterLines="1"/>
      <w:outlineLvl w:val="1"/>
    </w:pPr>
    <w:rPr>
      <w:rFonts w:ascii="Times" w:hAnsi="Times"/>
      <w:b/>
      <w:sz w:val="36"/>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link w:val="Heading1"/>
    <w:rsid w:val="001A179C"/>
    <w:rPr>
      <w:rFonts w:ascii="Calibri" w:eastAsia="Times New Roman" w:hAnsi="Calibri" w:cs="Times New Roman"/>
      <w:b/>
      <w:bCs/>
      <w:kern w:val="32"/>
      <w:sz w:val="32"/>
      <w:szCs w:val="32"/>
    </w:rPr>
  </w:style>
  <w:style w:type="character" w:customStyle="1" w:styleId="Heading2Char">
    <w:name w:val="Heading 2 Char"/>
    <w:link w:val="Heading2"/>
    <w:uiPriority w:val="9"/>
    <w:rsid w:val="00E64A9E"/>
    <w:rPr>
      <w:rFonts w:ascii="Times" w:hAnsi="Times"/>
      <w:b/>
      <w:sz w:val="36"/>
    </w:rPr>
  </w:style>
  <w:style w:type="paragraph" w:styleId="BalloonText">
    <w:name w:val="Balloon Text"/>
    <w:basedOn w:val="Normal"/>
    <w:link w:val="BalloonTextChar"/>
    <w:uiPriority w:val="99"/>
    <w:rsid w:val="003904BA"/>
    <w:rPr>
      <w:rFonts w:ascii="Lucida Grande" w:hAnsi="Lucida Grande"/>
      <w:sz w:val="18"/>
      <w:szCs w:val="18"/>
    </w:rPr>
  </w:style>
  <w:style w:type="character" w:customStyle="1" w:styleId="BalloonTextChar">
    <w:name w:val="Balloon Text Char"/>
    <w:link w:val="BalloonText"/>
    <w:uiPriority w:val="99"/>
    <w:rsid w:val="003904BA"/>
    <w:rPr>
      <w:rFonts w:ascii="Lucida Grande" w:hAnsi="Lucida Grande"/>
      <w:sz w:val="18"/>
      <w:szCs w:val="18"/>
    </w:rPr>
  </w:style>
  <w:style w:type="character" w:styleId="CommentReference">
    <w:name w:val="annotation reference"/>
    <w:uiPriority w:val="99"/>
    <w:rsid w:val="00043B07"/>
    <w:rPr>
      <w:sz w:val="18"/>
      <w:szCs w:val="18"/>
    </w:rPr>
  </w:style>
  <w:style w:type="paragraph" w:styleId="CommentText">
    <w:name w:val="annotation text"/>
    <w:basedOn w:val="Normal"/>
    <w:link w:val="CommentTextChar"/>
    <w:uiPriority w:val="99"/>
    <w:rsid w:val="00043B07"/>
  </w:style>
  <w:style w:type="character" w:customStyle="1" w:styleId="CommentTextChar">
    <w:name w:val="Comment Text Char"/>
    <w:basedOn w:val="DefaultParagraphFont"/>
    <w:link w:val="CommentText"/>
    <w:uiPriority w:val="99"/>
    <w:rsid w:val="00043B07"/>
  </w:style>
  <w:style w:type="paragraph" w:styleId="CommentSubject">
    <w:name w:val="annotation subject"/>
    <w:basedOn w:val="CommentText"/>
    <w:next w:val="CommentText"/>
    <w:link w:val="CommentSubjectChar"/>
    <w:uiPriority w:val="99"/>
    <w:rsid w:val="00043B07"/>
    <w:rPr>
      <w:b/>
      <w:bCs/>
      <w:sz w:val="20"/>
      <w:szCs w:val="20"/>
    </w:rPr>
  </w:style>
  <w:style w:type="character" w:customStyle="1" w:styleId="CommentSubjectChar">
    <w:name w:val="Comment Subject Char"/>
    <w:link w:val="CommentSubject"/>
    <w:uiPriority w:val="99"/>
    <w:rsid w:val="00043B07"/>
    <w:rPr>
      <w:b/>
      <w:bCs/>
      <w:sz w:val="20"/>
      <w:szCs w:val="20"/>
    </w:rPr>
  </w:style>
  <w:style w:type="paragraph" w:customStyle="1" w:styleId="ColorfulList-Accent11">
    <w:name w:val="Colorful List - Accent 11"/>
    <w:basedOn w:val="Normal"/>
    <w:uiPriority w:val="99"/>
    <w:qFormat/>
    <w:rsid w:val="00FA131C"/>
    <w:pPr>
      <w:ind w:left="720"/>
      <w:contextualSpacing/>
    </w:pPr>
  </w:style>
  <w:style w:type="character" w:styleId="Emphasis">
    <w:name w:val="Emphasis"/>
    <w:uiPriority w:val="20"/>
    <w:qFormat/>
    <w:rsid w:val="00130A47"/>
    <w:rPr>
      <w:i/>
    </w:rPr>
  </w:style>
  <w:style w:type="paragraph" w:customStyle="1" w:styleId="ColorfulShading-Accent11">
    <w:name w:val="Colorful Shading - Accent 11"/>
    <w:hidden/>
    <w:rsid w:val="000F7CC3"/>
    <w:rPr>
      <w:lang w:val="en-US" w:eastAsia="en-US"/>
    </w:rPr>
  </w:style>
  <w:style w:type="paragraph" w:styleId="Footer">
    <w:name w:val="footer"/>
    <w:basedOn w:val="Normal"/>
    <w:link w:val="FooterChar"/>
    <w:uiPriority w:val="99"/>
    <w:rsid w:val="00F961EB"/>
    <w:pPr>
      <w:tabs>
        <w:tab w:val="center" w:pos="4320"/>
        <w:tab w:val="right" w:pos="8640"/>
      </w:tabs>
    </w:pPr>
  </w:style>
  <w:style w:type="character" w:customStyle="1" w:styleId="FooterChar">
    <w:name w:val="Footer Char"/>
    <w:link w:val="Footer"/>
    <w:uiPriority w:val="99"/>
    <w:rsid w:val="00F961EB"/>
    <w:rPr>
      <w:sz w:val="24"/>
      <w:szCs w:val="24"/>
    </w:rPr>
  </w:style>
  <w:style w:type="character" w:styleId="PageNumber">
    <w:name w:val="page number"/>
    <w:basedOn w:val="DefaultParagraphFont"/>
    <w:uiPriority w:val="99"/>
    <w:rsid w:val="00F961EB"/>
  </w:style>
  <w:style w:type="character" w:customStyle="1" w:styleId="current-selection">
    <w:name w:val="current-selection"/>
    <w:basedOn w:val="DefaultParagraphFont"/>
    <w:rsid w:val="0042243F"/>
  </w:style>
  <w:style w:type="character" w:customStyle="1" w:styleId="fcurrent-selection">
    <w:name w:val="_ _f current-selection"/>
    <w:basedOn w:val="DefaultParagraphFont"/>
    <w:rsid w:val="0042243F"/>
  </w:style>
  <w:style w:type="character" w:customStyle="1" w:styleId="14current-selection">
    <w:name w:val="_ _14 current-selection"/>
    <w:basedOn w:val="DefaultParagraphFont"/>
    <w:rsid w:val="0042243F"/>
  </w:style>
  <w:style w:type="character" w:customStyle="1" w:styleId="ff4current-selection">
    <w:name w:val="ff4 current-selection"/>
    <w:basedOn w:val="DefaultParagraphFont"/>
    <w:rsid w:val="0042243F"/>
  </w:style>
  <w:style w:type="table" w:styleId="TableGrid">
    <w:name w:val="Table Grid"/>
    <w:basedOn w:val="TableNormal"/>
    <w:uiPriority w:val="99"/>
    <w:rsid w:val="0075714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uiPriority w:val="99"/>
    <w:rsid w:val="001A179C"/>
    <w:rPr>
      <w:color w:val="0000FF"/>
      <w:u w:val="single"/>
    </w:rPr>
  </w:style>
  <w:style w:type="character" w:styleId="FollowedHyperlink">
    <w:name w:val="FollowedHyperlink"/>
    <w:rsid w:val="00B367E3"/>
    <w:rPr>
      <w:color w:val="800080"/>
      <w:u w:val="single"/>
    </w:rPr>
  </w:style>
  <w:style w:type="character" w:customStyle="1" w:styleId="highlight">
    <w:name w:val="highlight"/>
    <w:basedOn w:val="DefaultParagraphFont"/>
    <w:rsid w:val="004B1247"/>
  </w:style>
  <w:style w:type="paragraph" w:customStyle="1" w:styleId="Normal0">
    <w:name w:val="[Normal]"/>
    <w:uiPriority w:val="99"/>
    <w:rsid w:val="00F05A3C"/>
    <w:pPr>
      <w:autoSpaceDE w:val="0"/>
      <w:autoSpaceDN w:val="0"/>
      <w:adjustRightInd w:val="0"/>
    </w:pPr>
    <w:rPr>
      <w:rFonts w:ascii="Arial" w:eastAsia="Times New Roman" w:hAnsi="Arial" w:cs="Arial"/>
      <w:lang w:val="en-US" w:eastAsia="en-US"/>
    </w:rPr>
  </w:style>
  <w:style w:type="character" w:customStyle="1" w:styleId="Normal1">
    <w:name w:val="Normal1"/>
    <w:basedOn w:val="DefaultParagraphFont"/>
    <w:uiPriority w:val="99"/>
    <w:rsid w:val="00F05A3C"/>
    <w:rPr>
      <w:rFonts w:cs="Times New Roman"/>
    </w:rPr>
  </w:style>
  <w:style w:type="character" w:styleId="LineNumber">
    <w:name w:val="line number"/>
    <w:basedOn w:val="DefaultParagraphFont"/>
    <w:uiPriority w:val="99"/>
    <w:rsid w:val="00F05A3C"/>
    <w:rPr>
      <w:rFonts w:cs="Times New Roman"/>
    </w:rPr>
  </w:style>
  <w:style w:type="paragraph" w:styleId="Header">
    <w:name w:val="header"/>
    <w:basedOn w:val="Normal"/>
    <w:link w:val="HeaderChar"/>
    <w:uiPriority w:val="99"/>
    <w:rsid w:val="00F05A3C"/>
    <w:pPr>
      <w:tabs>
        <w:tab w:val="center" w:pos="4320"/>
        <w:tab w:val="right" w:pos="8640"/>
      </w:tabs>
    </w:pPr>
    <w:rPr>
      <w:rFonts w:ascii="Times New Roman" w:eastAsia="Times New Roman" w:hAnsi="Times New Roman"/>
    </w:rPr>
  </w:style>
  <w:style w:type="character" w:customStyle="1" w:styleId="HeaderChar">
    <w:name w:val="Header Char"/>
    <w:basedOn w:val="DefaultParagraphFont"/>
    <w:link w:val="Header"/>
    <w:uiPriority w:val="99"/>
    <w:rsid w:val="00F05A3C"/>
    <w:rPr>
      <w:rFonts w:ascii="Times New Roman" w:eastAsia="Times New Roman" w:hAnsi="Times New Roman"/>
      <w:lang w:val="en-US"/>
    </w:rPr>
  </w:style>
  <w:style w:type="table" w:styleId="MediumShading2-Accent4">
    <w:name w:val="Medium Shading 2 Accent 4"/>
    <w:basedOn w:val="TableNormal"/>
    <w:uiPriority w:val="69"/>
    <w:rsid w:val="00F05A3C"/>
    <w:rPr>
      <w:sz w:val="22"/>
      <w:szCs w:val="22"/>
      <w:lang w:val="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LightGrid-Accent11">
    <w:name w:val="Light Grid - Accent 11"/>
    <w:basedOn w:val="TableNormal"/>
    <w:uiPriority w:val="62"/>
    <w:rsid w:val="00F05A3C"/>
    <w:rPr>
      <w:sz w:val="22"/>
      <w:szCs w:val="22"/>
      <w:lang w:val="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ourier" w:eastAsia="Symbol" w:hAnsi="Courie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ourier" w:eastAsia="Symbol" w:hAnsi="Courie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ourier" w:eastAsia="Symbol" w:hAnsi="Courier" w:cs="Times New Roman"/>
        <w:b/>
        <w:bCs/>
      </w:rPr>
    </w:tblStylePr>
    <w:tblStylePr w:type="lastCol">
      <w:rPr>
        <w:rFonts w:ascii="Courier" w:eastAsia="Symbol" w:hAnsi="Courie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MediumGrid2-Accent2">
    <w:name w:val="Medium Grid 2 Accent 2"/>
    <w:basedOn w:val="TableNormal"/>
    <w:uiPriority w:val="73"/>
    <w:rsid w:val="000E6F71"/>
    <w:rPr>
      <w:color w:val="000000"/>
      <w:sz w:val="22"/>
      <w:szCs w:val="22"/>
      <w:lang w:val="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Grid3-Accent4">
    <w:name w:val="Medium Grid 3 Accent 4"/>
    <w:basedOn w:val="TableNormal"/>
    <w:uiPriority w:val="60"/>
    <w:rsid w:val="004A05B2"/>
    <w:rPr>
      <w:color w:val="5F497A"/>
      <w:sz w:val="22"/>
      <w:szCs w:val="22"/>
      <w:lang w:val="en-US"/>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styleId="HTMLCite">
    <w:name w:val="HTML Cite"/>
    <w:basedOn w:val="DefaultParagraphFont"/>
    <w:uiPriority w:val="99"/>
    <w:rsid w:val="008D5F7F"/>
    <w:rPr>
      <w:i/>
    </w:rPr>
  </w:style>
  <w:style w:type="character" w:customStyle="1" w:styleId="cit-source">
    <w:name w:val="cit-source"/>
    <w:basedOn w:val="DefaultParagraphFont"/>
    <w:rsid w:val="008D5F7F"/>
  </w:style>
  <w:style w:type="character" w:customStyle="1" w:styleId="cit-vol">
    <w:name w:val="cit-vol"/>
    <w:basedOn w:val="DefaultParagraphFont"/>
    <w:rsid w:val="008D5F7F"/>
  </w:style>
  <w:style w:type="character" w:customStyle="1" w:styleId="cit-fpage">
    <w:name w:val="cit-fpage"/>
    <w:basedOn w:val="DefaultParagraphFont"/>
    <w:rsid w:val="008D5F7F"/>
  </w:style>
  <w:style w:type="character" w:customStyle="1" w:styleId="cit-pub-date">
    <w:name w:val="cit-pub-date"/>
    <w:basedOn w:val="DefaultParagraphFont"/>
    <w:rsid w:val="008D5F7F"/>
  </w:style>
  <w:style w:type="table" w:customStyle="1" w:styleId="MediumGrid31">
    <w:name w:val="Medium Grid 31"/>
    <w:basedOn w:val="TableNormal"/>
    <w:uiPriority w:val="69"/>
    <w:rsid w:val="00B22710"/>
    <w:rPr>
      <w:sz w:val="22"/>
      <w:szCs w:val="22"/>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character" w:customStyle="1" w:styleId="xbe">
    <w:name w:val="_xbe"/>
    <w:basedOn w:val="DefaultParagraphFont"/>
    <w:rsid w:val="000361AF"/>
  </w:style>
  <w:style w:type="paragraph" w:styleId="ListParagraph">
    <w:name w:val="List Paragraph"/>
    <w:basedOn w:val="Normal"/>
    <w:rsid w:val="00335AA0"/>
    <w:pPr>
      <w:ind w:left="720"/>
      <w:contextualSpacing/>
    </w:pPr>
  </w:style>
</w:styles>
</file>

<file path=word/webSettings.xml><?xml version="1.0" encoding="utf-8"?>
<w:webSettings xmlns:r="http://schemas.openxmlformats.org/officeDocument/2006/relationships" xmlns:w="http://schemas.openxmlformats.org/wordprocessingml/2006/main">
  <w:divs>
    <w:div w:id="109670155">
      <w:bodyDiv w:val="1"/>
      <w:marLeft w:val="0"/>
      <w:marRight w:val="0"/>
      <w:marTop w:val="0"/>
      <w:marBottom w:val="0"/>
      <w:divBdr>
        <w:top w:val="none" w:sz="0" w:space="0" w:color="auto"/>
        <w:left w:val="none" w:sz="0" w:space="0" w:color="auto"/>
        <w:bottom w:val="none" w:sz="0" w:space="0" w:color="auto"/>
        <w:right w:val="none" w:sz="0" w:space="0" w:color="auto"/>
      </w:divBdr>
    </w:div>
    <w:div w:id="109781919">
      <w:bodyDiv w:val="1"/>
      <w:marLeft w:val="0"/>
      <w:marRight w:val="0"/>
      <w:marTop w:val="0"/>
      <w:marBottom w:val="0"/>
      <w:divBdr>
        <w:top w:val="none" w:sz="0" w:space="0" w:color="auto"/>
        <w:left w:val="none" w:sz="0" w:space="0" w:color="auto"/>
        <w:bottom w:val="none" w:sz="0" w:space="0" w:color="auto"/>
        <w:right w:val="none" w:sz="0" w:space="0" w:color="auto"/>
      </w:divBdr>
      <w:divsChild>
        <w:div w:id="1405955588">
          <w:marLeft w:val="0"/>
          <w:marRight w:val="0"/>
          <w:marTop w:val="0"/>
          <w:marBottom w:val="0"/>
          <w:divBdr>
            <w:top w:val="none" w:sz="0" w:space="0" w:color="auto"/>
            <w:left w:val="none" w:sz="0" w:space="0" w:color="auto"/>
            <w:bottom w:val="none" w:sz="0" w:space="0" w:color="auto"/>
            <w:right w:val="none" w:sz="0" w:space="0" w:color="auto"/>
          </w:divBdr>
        </w:div>
        <w:div w:id="1519588132">
          <w:marLeft w:val="0"/>
          <w:marRight w:val="0"/>
          <w:marTop w:val="0"/>
          <w:marBottom w:val="0"/>
          <w:divBdr>
            <w:top w:val="none" w:sz="0" w:space="0" w:color="auto"/>
            <w:left w:val="none" w:sz="0" w:space="0" w:color="auto"/>
            <w:bottom w:val="none" w:sz="0" w:space="0" w:color="auto"/>
            <w:right w:val="none" w:sz="0" w:space="0" w:color="auto"/>
          </w:divBdr>
        </w:div>
        <w:div w:id="1666739601">
          <w:marLeft w:val="0"/>
          <w:marRight w:val="0"/>
          <w:marTop w:val="0"/>
          <w:marBottom w:val="0"/>
          <w:divBdr>
            <w:top w:val="none" w:sz="0" w:space="0" w:color="auto"/>
            <w:left w:val="none" w:sz="0" w:space="0" w:color="auto"/>
            <w:bottom w:val="none" w:sz="0" w:space="0" w:color="auto"/>
            <w:right w:val="none" w:sz="0" w:space="0" w:color="auto"/>
          </w:divBdr>
        </w:div>
        <w:div w:id="2110616257">
          <w:marLeft w:val="0"/>
          <w:marRight w:val="0"/>
          <w:marTop w:val="0"/>
          <w:marBottom w:val="0"/>
          <w:divBdr>
            <w:top w:val="none" w:sz="0" w:space="0" w:color="auto"/>
            <w:left w:val="none" w:sz="0" w:space="0" w:color="auto"/>
            <w:bottom w:val="none" w:sz="0" w:space="0" w:color="auto"/>
            <w:right w:val="none" w:sz="0" w:space="0" w:color="auto"/>
          </w:divBdr>
        </w:div>
      </w:divsChild>
    </w:div>
    <w:div w:id="222985414">
      <w:bodyDiv w:val="1"/>
      <w:marLeft w:val="0"/>
      <w:marRight w:val="0"/>
      <w:marTop w:val="0"/>
      <w:marBottom w:val="0"/>
      <w:divBdr>
        <w:top w:val="none" w:sz="0" w:space="0" w:color="auto"/>
        <w:left w:val="none" w:sz="0" w:space="0" w:color="auto"/>
        <w:bottom w:val="none" w:sz="0" w:space="0" w:color="auto"/>
        <w:right w:val="none" w:sz="0" w:space="0" w:color="auto"/>
      </w:divBdr>
    </w:div>
    <w:div w:id="296883142">
      <w:bodyDiv w:val="1"/>
      <w:marLeft w:val="0"/>
      <w:marRight w:val="0"/>
      <w:marTop w:val="0"/>
      <w:marBottom w:val="0"/>
      <w:divBdr>
        <w:top w:val="none" w:sz="0" w:space="0" w:color="auto"/>
        <w:left w:val="none" w:sz="0" w:space="0" w:color="auto"/>
        <w:bottom w:val="none" w:sz="0" w:space="0" w:color="auto"/>
        <w:right w:val="none" w:sz="0" w:space="0" w:color="auto"/>
      </w:divBdr>
    </w:div>
    <w:div w:id="462309090">
      <w:bodyDiv w:val="1"/>
      <w:marLeft w:val="0"/>
      <w:marRight w:val="0"/>
      <w:marTop w:val="0"/>
      <w:marBottom w:val="0"/>
      <w:divBdr>
        <w:top w:val="none" w:sz="0" w:space="0" w:color="auto"/>
        <w:left w:val="none" w:sz="0" w:space="0" w:color="auto"/>
        <w:bottom w:val="none" w:sz="0" w:space="0" w:color="auto"/>
        <w:right w:val="none" w:sz="0" w:space="0" w:color="auto"/>
      </w:divBdr>
      <w:divsChild>
        <w:div w:id="209415135">
          <w:marLeft w:val="0"/>
          <w:marRight w:val="0"/>
          <w:marTop w:val="0"/>
          <w:marBottom w:val="0"/>
          <w:divBdr>
            <w:top w:val="none" w:sz="0" w:space="0" w:color="auto"/>
            <w:left w:val="none" w:sz="0" w:space="0" w:color="auto"/>
            <w:bottom w:val="none" w:sz="0" w:space="0" w:color="auto"/>
            <w:right w:val="none" w:sz="0" w:space="0" w:color="auto"/>
          </w:divBdr>
        </w:div>
        <w:div w:id="275524481">
          <w:marLeft w:val="0"/>
          <w:marRight w:val="0"/>
          <w:marTop w:val="0"/>
          <w:marBottom w:val="0"/>
          <w:divBdr>
            <w:top w:val="none" w:sz="0" w:space="0" w:color="auto"/>
            <w:left w:val="none" w:sz="0" w:space="0" w:color="auto"/>
            <w:bottom w:val="none" w:sz="0" w:space="0" w:color="auto"/>
            <w:right w:val="none" w:sz="0" w:space="0" w:color="auto"/>
          </w:divBdr>
        </w:div>
        <w:div w:id="479083311">
          <w:marLeft w:val="0"/>
          <w:marRight w:val="0"/>
          <w:marTop w:val="0"/>
          <w:marBottom w:val="0"/>
          <w:divBdr>
            <w:top w:val="none" w:sz="0" w:space="0" w:color="auto"/>
            <w:left w:val="none" w:sz="0" w:space="0" w:color="auto"/>
            <w:bottom w:val="none" w:sz="0" w:space="0" w:color="auto"/>
            <w:right w:val="none" w:sz="0" w:space="0" w:color="auto"/>
          </w:divBdr>
        </w:div>
        <w:div w:id="696396280">
          <w:marLeft w:val="0"/>
          <w:marRight w:val="0"/>
          <w:marTop w:val="0"/>
          <w:marBottom w:val="0"/>
          <w:divBdr>
            <w:top w:val="none" w:sz="0" w:space="0" w:color="auto"/>
            <w:left w:val="none" w:sz="0" w:space="0" w:color="auto"/>
            <w:bottom w:val="none" w:sz="0" w:space="0" w:color="auto"/>
            <w:right w:val="none" w:sz="0" w:space="0" w:color="auto"/>
          </w:divBdr>
        </w:div>
        <w:div w:id="748775823">
          <w:marLeft w:val="0"/>
          <w:marRight w:val="0"/>
          <w:marTop w:val="0"/>
          <w:marBottom w:val="0"/>
          <w:divBdr>
            <w:top w:val="none" w:sz="0" w:space="0" w:color="auto"/>
            <w:left w:val="none" w:sz="0" w:space="0" w:color="auto"/>
            <w:bottom w:val="none" w:sz="0" w:space="0" w:color="auto"/>
            <w:right w:val="none" w:sz="0" w:space="0" w:color="auto"/>
          </w:divBdr>
        </w:div>
        <w:div w:id="859470175">
          <w:marLeft w:val="0"/>
          <w:marRight w:val="0"/>
          <w:marTop w:val="0"/>
          <w:marBottom w:val="0"/>
          <w:divBdr>
            <w:top w:val="none" w:sz="0" w:space="0" w:color="auto"/>
            <w:left w:val="none" w:sz="0" w:space="0" w:color="auto"/>
            <w:bottom w:val="none" w:sz="0" w:space="0" w:color="auto"/>
            <w:right w:val="none" w:sz="0" w:space="0" w:color="auto"/>
          </w:divBdr>
        </w:div>
        <w:div w:id="1015885112">
          <w:marLeft w:val="0"/>
          <w:marRight w:val="0"/>
          <w:marTop w:val="0"/>
          <w:marBottom w:val="0"/>
          <w:divBdr>
            <w:top w:val="none" w:sz="0" w:space="0" w:color="auto"/>
            <w:left w:val="none" w:sz="0" w:space="0" w:color="auto"/>
            <w:bottom w:val="none" w:sz="0" w:space="0" w:color="auto"/>
            <w:right w:val="none" w:sz="0" w:space="0" w:color="auto"/>
          </w:divBdr>
        </w:div>
        <w:div w:id="1051491954">
          <w:marLeft w:val="0"/>
          <w:marRight w:val="0"/>
          <w:marTop w:val="0"/>
          <w:marBottom w:val="0"/>
          <w:divBdr>
            <w:top w:val="none" w:sz="0" w:space="0" w:color="auto"/>
            <w:left w:val="none" w:sz="0" w:space="0" w:color="auto"/>
            <w:bottom w:val="none" w:sz="0" w:space="0" w:color="auto"/>
            <w:right w:val="none" w:sz="0" w:space="0" w:color="auto"/>
          </w:divBdr>
        </w:div>
        <w:div w:id="1225264630">
          <w:marLeft w:val="0"/>
          <w:marRight w:val="0"/>
          <w:marTop w:val="0"/>
          <w:marBottom w:val="0"/>
          <w:divBdr>
            <w:top w:val="none" w:sz="0" w:space="0" w:color="auto"/>
            <w:left w:val="none" w:sz="0" w:space="0" w:color="auto"/>
            <w:bottom w:val="none" w:sz="0" w:space="0" w:color="auto"/>
            <w:right w:val="none" w:sz="0" w:space="0" w:color="auto"/>
          </w:divBdr>
        </w:div>
        <w:div w:id="1558973913">
          <w:marLeft w:val="0"/>
          <w:marRight w:val="0"/>
          <w:marTop w:val="0"/>
          <w:marBottom w:val="0"/>
          <w:divBdr>
            <w:top w:val="none" w:sz="0" w:space="0" w:color="auto"/>
            <w:left w:val="none" w:sz="0" w:space="0" w:color="auto"/>
            <w:bottom w:val="none" w:sz="0" w:space="0" w:color="auto"/>
            <w:right w:val="none" w:sz="0" w:space="0" w:color="auto"/>
          </w:divBdr>
        </w:div>
        <w:div w:id="1610160980">
          <w:marLeft w:val="0"/>
          <w:marRight w:val="0"/>
          <w:marTop w:val="0"/>
          <w:marBottom w:val="0"/>
          <w:divBdr>
            <w:top w:val="none" w:sz="0" w:space="0" w:color="auto"/>
            <w:left w:val="none" w:sz="0" w:space="0" w:color="auto"/>
            <w:bottom w:val="none" w:sz="0" w:space="0" w:color="auto"/>
            <w:right w:val="none" w:sz="0" w:space="0" w:color="auto"/>
          </w:divBdr>
        </w:div>
        <w:div w:id="1611160338">
          <w:marLeft w:val="0"/>
          <w:marRight w:val="0"/>
          <w:marTop w:val="0"/>
          <w:marBottom w:val="0"/>
          <w:divBdr>
            <w:top w:val="none" w:sz="0" w:space="0" w:color="auto"/>
            <w:left w:val="none" w:sz="0" w:space="0" w:color="auto"/>
            <w:bottom w:val="none" w:sz="0" w:space="0" w:color="auto"/>
            <w:right w:val="none" w:sz="0" w:space="0" w:color="auto"/>
          </w:divBdr>
        </w:div>
        <w:div w:id="1667971413">
          <w:marLeft w:val="0"/>
          <w:marRight w:val="0"/>
          <w:marTop w:val="0"/>
          <w:marBottom w:val="0"/>
          <w:divBdr>
            <w:top w:val="none" w:sz="0" w:space="0" w:color="auto"/>
            <w:left w:val="none" w:sz="0" w:space="0" w:color="auto"/>
            <w:bottom w:val="none" w:sz="0" w:space="0" w:color="auto"/>
            <w:right w:val="none" w:sz="0" w:space="0" w:color="auto"/>
          </w:divBdr>
        </w:div>
        <w:div w:id="1781684431">
          <w:marLeft w:val="0"/>
          <w:marRight w:val="0"/>
          <w:marTop w:val="0"/>
          <w:marBottom w:val="0"/>
          <w:divBdr>
            <w:top w:val="none" w:sz="0" w:space="0" w:color="auto"/>
            <w:left w:val="none" w:sz="0" w:space="0" w:color="auto"/>
            <w:bottom w:val="none" w:sz="0" w:space="0" w:color="auto"/>
            <w:right w:val="none" w:sz="0" w:space="0" w:color="auto"/>
          </w:divBdr>
        </w:div>
        <w:div w:id="1830249166">
          <w:marLeft w:val="0"/>
          <w:marRight w:val="0"/>
          <w:marTop w:val="0"/>
          <w:marBottom w:val="0"/>
          <w:divBdr>
            <w:top w:val="none" w:sz="0" w:space="0" w:color="auto"/>
            <w:left w:val="none" w:sz="0" w:space="0" w:color="auto"/>
            <w:bottom w:val="none" w:sz="0" w:space="0" w:color="auto"/>
            <w:right w:val="none" w:sz="0" w:space="0" w:color="auto"/>
          </w:divBdr>
        </w:div>
        <w:div w:id="1916235932">
          <w:marLeft w:val="0"/>
          <w:marRight w:val="0"/>
          <w:marTop w:val="0"/>
          <w:marBottom w:val="0"/>
          <w:divBdr>
            <w:top w:val="none" w:sz="0" w:space="0" w:color="auto"/>
            <w:left w:val="none" w:sz="0" w:space="0" w:color="auto"/>
            <w:bottom w:val="none" w:sz="0" w:space="0" w:color="auto"/>
            <w:right w:val="none" w:sz="0" w:space="0" w:color="auto"/>
          </w:divBdr>
        </w:div>
        <w:div w:id="1941184543">
          <w:marLeft w:val="0"/>
          <w:marRight w:val="0"/>
          <w:marTop w:val="0"/>
          <w:marBottom w:val="0"/>
          <w:divBdr>
            <w:top w:val="none" w:sz="0" w:space="0" w:color="auto"/>
            <w:left w:val="none" w:sz="0" w:space="0" w:color="auto"/>
            <w:bottom w:val="none" w:sz="0" w:space="0" w:color="auto"/>
            <w:right w:val="none" w:sz="0" w:space="0" w:color="auto"/>
          </w:divBdr>
        </w:div>
        <w:div w:id="2006202268">
          <w:marLeft w:val="0"/>
          <w:marRight w:val="0"/>
          <w:marTop w:val="0"/>
          <w:marBottom w:val="0"/>
          <w:divBdr>
            <w:top w:val="none" w:sz="0" w:space="0" w:color="auto"/>
            <w:left w:val="none" w:sz="0" w:space="0" w:color="auto"/>
            <w:bottom w:val="none" w:sz="0" w:space="0" w:color="auto"/>
            <w:right w:val="none" w:sz="0" w:space="0" w:color="auto"/>
          </w:divBdr>
        </w:div>
      </w:divsChild>
    </w:div>
    <w:div w:id="466708052">
      <w:bodyDiv w:val="1"/>
      <w:marLeft w:val="0"/>
      <w:marRight w:val="0"/>
      <w:marTop w:val="0"/>
      <w:marBottom w:val="0"/>
      <w:divBdr>
        <w:top w:val="none" w:sz="0" w:space="0" w:color="auto"/>
        <w:left w:val="none" w:sz="0" w:space="0" w:color="auto"/>
        <w:bottom w:val="none" w:sz="0" w:space="0" w:color="auto"/>
        <w:right w:val="none" w:sz="0" w:space="0" w:color="auto"/>
      </w:divBdr>
      <w:divsChild>
        <w:div w:id="1062947617">
          <w:marLeft w:val="0"/>
          <w:marRight w:val="0"/>
          <w:marTop w:val="0"/>
          <w:marBottom w:val="0"/>
          <w:divBdr>
            <w:top w:val="none" w:sz="0" w:space="0" w:color="auto"/>
            <w:left w:val="none" w:sz="0" w:space="0" w:color="auto"/>
            <w:bottom w:val="none" w:sz="0" w:space="0" w:color="auto"/>
            <w:right w:val="none" w:sz="0" w:space="0" w:color="auto"/>
          </w:divBdr>
        </w:div>
        <w:div w:id="1138299322">
          <w:marLeft w:val="0"/>
          <w:marRight w:val="0"/>
          <w:marTop w:val="0"/>
          <w:marBottom w:val="0"/>
          <w:divBdr>
            <w:top w:val="none" w:sz="0" w:space="0" w:color="auto"/>
            <w:left w:val="none" w:sz="0" w:space="0" w:color="auto"/>
            <w:bottom w:val="none" w:sz="0" w:space="0" w:color="auto"/>
            <w:right w:val="none" w:sz="0" w:space="0" w:color="auto"/>
          </w:divBdr>
        </w:div>
      </w:divsChild>
    </w:div>
    <w:div w:id="657657323">
      <w:bodyDiv w:val="1"/>
      <w:marLeft w:val="0"/>
      <w:marRight w:val="0"/>
      <w:marTop w:val="0"/>
      <w:marBottom w:val="0"/>
      <w:divBdr>
        <w:top w:val="none" w:sz="0" w:space="0" w:color="auto"/>
        <w:left w:val="none" w:sz="0" w:space="0" w:color="auto"/>
        <w:bottom w:val="none" w:sz="0" w:space="0" w:color="auto"/>
        <w:right w:val="none" w:sz="0" w:space="0" w:color="auto"/>
      </w:divBdr>
      <w:divsChild>
        <w:div w:id="1341617688">
          <w:marLeft w:val="0"/>
          <w:marRight w:val="0"/>
          <w:marTop w:val="0"/>
          <w:marBottom w:val="0"/>
          <w:divBdr>
            <w:top w:val="none" w:sz="0" w:space="0" w:color="auto"/>
            <w:left w:val="none" w:sz="0" w:space="0" w:color="auto"/>
            <w:bottom w:val="none" w:sz="0" w:space="0" w:color="auto"/>
            <w:right w:val="none" w:sz="0" w:space="0" w:color="auto"/>
          </w:divBdr>
        </w:div>
        <w:div w:id="1887907592">
          <w:marLeft w:val="0"/>
          <w:marRight w:val="0"/>
          <w:marTop w:val="0"/>
          <w:marBottom w:val="0"/>
          <w:divBdr>
            <w:top w:val="none" w:sz="0" w:space="0" w:color="auto"/>
            <w:left w:val="none" w:sz="0" w:space="0" w:color="auto"/>
            <w:bottom w:val="none" w:sz="0" w:space="0" w:color="auto"/>
            <w:right w:val="none" w:sz="0" w:space="0" w:color="auto"/>
          </w:divBdr>
        </w:div>
      </w:divsChild>
    </w:div>
    <w:div w:id="800998833">
      <w:bodyDiv w:val="1"/>
      <w:marLeft w:val="0"/>
      <w:marRight w:val="0"/>
      <w:marTop w:val="0"/>
      <w:marBottom w:val="0"/>
      <w:divBdr>
        <w:top w:val="none" w:sz="0" w:space="0" w:color="auto"/>
        <w:left w:val="none" w:sz="0" w:space="0" w:color="auto"/>
        <w:bottom w:val="none" w:sz="0" w:space="0" w:color="auto"/>
        <w:right w:val="none" w:sz="0" w:space="0" w:color="auto"/>
      </w:divBdr>
      <w:divsChild>
        <w:div w:id="155609093">
          <w:marLeft w:val="0"/>
          <w:marRight w:val="0"/>
          <w:marTop w:val="0"/>
          <w:marBottom w:val="0"/>
          <w:divBdr>
            <w:top w:val="none" w:sz="0" w:space="0" w:color="auto"/>
            <w:left w:val="none" w:sz="0" w:space="0" w:color="auto"/>
            <w:bottom w:val="none" w:sz="0" w:space="0" w:color="auto"/>
            <w:right w:val="none" w:sz="0" w:space="0" w:color="auto"/>
          </w:divBdr>
        </w:div>
        <w:div w:id="1644658597">
          <w:marLeft w:val="0"/>
          <w:marRight w:val="0"/>
          <w:marTop w:val="0"/>
          <w:marBottom w:val="0"/>
          <w:divBdr>
            <w:top w:val="none" w:sz="0" w:space="0" w:color="auto"/>
            <w:left w:val="none" w:sz="0" w:space="0" w:color="auto"/>
            <w:bottom w:val="none" w:sz="0" w:space="0" w:color="auto"/>
            <w:right w:val="none" w:sz="0" w:space="0" w:color="auto"/>
          </w:divBdr>
        </w:div>
      </w:divsChild>
    </w:div>
    <w:div w:id="919753388">
      <w:bodyDiv w:val="1"/>
      <w:marLeft w:val="0"/>
      <w:marRight w:val="0"/>
      <w:marTop w:val="0"/>
      <w:marBottom w:val="0"/>
      <w:divBdr>
        <w:top w:val="none" w:sz="0" w:space="0" w:color="auto"/>
        <w:left w:val="none" w:sz="0" w:space="0" w:color="auto"/>
        <w:bottom w:val="none" w:sz="0" w:space="0" w:color="auto"/>
        <w:right w:val="none" w:sz="0" w:space="0" w:color="auto"/>
      </w:divBdr>
      <w:divsChild>
        <w:div w:id="7416007">
          <w:marLeft w:val="0"/>
          <w:marRight w:val="0"/>
          <w:marTop w:val="0"/>
          <w:marBottom w:val="0"/>
          <w:divBdr>
            <w:top w:val="none" w:sz="0" w:space="0" w:color="auto"/>
            <w:left w:val="none" w:sz="0" w:space="0" w:color="auto"/>
            <w:bottom w:val="none" w:sz="0" w:space="0" w:color="auto"/>
            <w:right w:val="none" w:sz="0" w:space="0" w:color="auto"/>
          </w:divBdr>
        </w:div>
        <w:div w:id="20784625">
          <w:marLeft w:val="0"/>
          <w:marRight w:val="0"/>
          <w:marTop w:val="0"/>
          <w:marBottom w:val="0"/>
          <w:divBdr>
            <w:top w:val="none" w:sz="0" w:space="0" w:color="auto"/>
            <w:left w:val="none" w:sz="0" w:space="0" w:color="auto"/>
            <w:bottom w:val="none" w:sz="0" w:space="0" w:color="auto"/>
            <w:right w:val="none" w:sz="0" w:space="0" w:color="auto"/>
          </w:divBdr>
        </w:div>
        <w:div w:id="28261067">
          <w:marLeft w:val="0"/>
          <w:marRight w:val="0"/>
          <w:marTop w:val="0"/>
          <w:marBottom w:val="0"/>
          <w:divBdr>
            <w:top w:val="none" w:sz="0" w:space="0" w:color="auto"/>
            <w:left w:val="none" w:sz="0" w:space="0" w:color="auto"/>
            <w:bottom w:val="none" w:sz="0" w:space="0" w:color="auto"/>
            <w:right w:val="none" w:sz="0" w:space="0" w:color="auto"/>
          </w:divBdr>
        </w:div>
        <w:div w:id="36584106">
          <w:marLeft w:val="0"/>
          <w:marRight w:val="0"/>
          <w:marTop w:val="0"/>
          <w:marBottom w:val="0"/>
          <w:divBdr>
            <w:top w:val="none" w:sz="0" w:space="0" w:color="auto"/>
            <w:left w:val="none" w:sz="0" w:space="0" w:color="auto"/>
            <w:bottom w:val="none" w:sz="0" w:space="0" w:color="auto"/>
            <w:right w:val="none" w:sz="0" w:space="0" w:color="auto"/>
          </w:divBdr>
        </w:div>
        <w:div w:id="52237845">
          <w:marLeft w:val="0"/>
          <w:marRight w:val="0"/>
          <w:marTop w:val="0"/>
          <w:marBottom w:val="0"/>
          <w:divBdr>
            <w:top w:val="none" w:sz="0" w:space="0" w:color="auto"/>
            <w:left w:val="none" w:sz="0" w:space="0" w:color="auto"/>
            <w:bottom w:val="none" w:sz="0" w:space="0" w:color="auto"/>
            <w:right w:val="none" w:sz="0" w:space="0" w:color="auto"/>
          </w:divBdr>
        </w:div>
        <w:div w:id="52580135">
          <w:marLeft w:val="0"/>
          <w:marRight w:val="0"/>
          <w:marTop w:val="0"/>
          <w:marBottom w:val="0"/>
          <w:divBdr>
            <w:top w:val="none" w:sz="0" w:space="0" w:color="auto"/>
            <w:left w:val="none" w:sz="0" w:space="0" w:color="auto"/>
            <w:bottom w:val="none" w:sz="0" w:space="0" w:color="auto"/>
            <w:right w:val="none" w:sz="0" w:space="0" w:color="auto"/>
          </w:divBdr>
        </w:div>
        <w:div w:id="70740081">
          <w:marLeft w:val="0"/>
          <w:marRight w:val="0"/>
          <w:marTop w:val="0"/>
          <w:marBottom w:val="0"/>
          <w:divBdr>
            <w:top w:val="none" w:sz="0" w:space="0" w:color="auto"/>
            <w:left w:val="none" w:sz="0" w:space="0" w:color="auto"/>
            <w:bottom w:val="none" w:sz="0" w:space="0" w:color="auto"/>
            <w:right w:val="none" w:sz="0" w:space="0" w:color="auto"/>
          </w:divBdr>
        </w:div>
        <w:div w:id="75174762">
          <w:marLeft w:val="0"/>
          <w:marRight w:val="0"/>
          <w:marTop w:val="0"/>
          <w:marBottom w:val="0"/>
          <w:divBdr>
            <w:top w:val="none" w:sz="0" w:space="0" w:color="auto"/>
            <w:left w:val="none" w:sz="0" w:space="0" w:color="auto"/>
            <w:bottom w:val="none" w:sz="0" w:space="0" w:color="auto"/>
            <w:right w:val="none" w:sz="0" w:space="0" w:color="auto"/>
          </w:divBdr>
        </w:div>
        <w:div w:id="126511357">
          <w:marLeft w:val="0"/>
          <w:marRight w:val="0"/>
          <w:marTop w:val="0"/>
          <w:marBottom w:val="0"/>
          <w:divBdr>
            <w:top w:val="none" w:sz="0" w:space="0" w:color="auto"/>
            <w:left w:val="none" w:sz="0" w:space="0" w:color="auto"/>
            <w:bottom w:val="none" w:sz="0" w:space="0" w:color="auto"/>
            <w:right w:val="none" w:sz="0" w:space="0" w:color="auto"/>
          </w:divBdr>
        </w:div>
        <w:div w:id="126975223">
          <w:marLeft w:val="0"/>
          <w:marRight w:val="0"/>
          <w:marTop w:val="0"/>
          <w:marBottom w:val="0"/>
          <w:divBdr>
            <w:top w:val="none" w:sz="0" w:space="0" w:color="auto"/>
            <w:left w:val="none" w:sz="0" w:space="0" w:color="auto"/>
            <w:bottom w:val="none" w:sz="0" w:space="0" w:color="auto"/>
            <w:right w:val="none" w:sz="0" w:space="0" w:color="auto"/>
          </w:divBdr>
        </w:div>
        <w:div w:id="128131813">
          <w:marLeft w:val="0"/>
          <w:marRight w:val="0"/>
          <w:marTop w:val="0"/>
          <w:marBottom w:val="0"/>
          <w:divBdr>
            <w:top w:val="none" w:sz="0" w:space="0" w:color="auto"/>
            <w:left w:val="none" w:sz="0" w:space="0" w:color="auto"/>
            <w:bottom w:val="none" w:sz="0" w:space="0" w:color="auto"/>
            <w:right w:val="none" w:sz="0" w:space="0" w:color="auto"/>
          </w:divBdr>
        </w:div>
        <w:div w:id="133765996">
          <w:marLeft w:val="0"/>
          <w:marRight w:val="0"/>
          <w:marTop w:val="0"/>
          <w:marBottom w:val="0"/>
          <w:divBdr>
            <w:top w:val="none" w:sz="0" w:space="0" w:color="auto"/>
            <w:left w:val="none" w:sz="0" w:space="0" w:color="auto"/>
            <w:bottom w:val="none" w:sz="0" w:space="0" w:color="auto"/>
            <w:right w:val="none" w:sz="0" w:space="0" w:color="auto"/>
          </w:divBdr>
        </w:div>
        <w:div w:id="133915208">
          <w:marLeft w:val="0"/>
          <w:marRight w:val="0"/>
          <w:marTop w:val="0"/>
          <w:marBottom w:val="0"/>
          <w:divBdr>
            <w:top w:val="none" w:sz="0" w:space="0" w:color="auto"/>
            <w:left w:val="none" w:sz="0" w:space="0" w:color="auto"/>
            <w:bottom w:val="none" w:sz="0" w:space="0" w:color="auto"/>
            <w:right w:val="none" w:sz="0" w:space="0" w:color="auto"/>
          </w:divBdr>
        </w:div>
        <w:div w:id="143208988">
          <w:marLeft w:val="0"/>
          <w:marRight w:val="0"/>
          <w:marTop w:val="0"/>
          <w:marBottom w:val="0"/>
          <w:divBdr>
            <w:top w:val="none" w:sz="0" w:space="0" w:color="auto"/>
            <w:left w:val="none" w:sz="0" w:space="0" w:color="auto"/>
            <w:bottom w:val="none" w:sz="0" w:space="0" w:color="auto"/>
            <w:right w:val="none" w:sz="0" w:space="0" w:color="auto"/>
          </w:divBdr>
        </w:div>
        <w:div w:id="147017217">
          <w:marLeft w:val="0"/>
          <w:marRight w:val="0"/>
          <w:marTop w:val="0"/>
          <w:marBottom w:val="0"/>
          <w:divBdr>
            <w:top w:val="none" w:sz="0" w:space="0" w:color="auto"/>
            <w:left w:val="none" w:sz="0" w:space="0" w:color="auto"/>
            <w:bottom w:val="none" w:sz="0" w:space="0" w:color="auto"/>
            <w:right w:val="none" w:sz="0" w:space="0" w:color="auto"/>
          </w:divBdr>
        </w:div>
        <w:div w:id="161089291">
          <w:marLeft w:val="0"/>
          <w:marRight w:val="0"/>
          <w:marTop w:val="0"/>
          <w:marBottom w:val="0"/>
          <w:divBdr>
            <w:top w:val="none" w:sz="0" w:space="0" w:color="auto"/>
            <w:left w:val="none" w:sz="0" w:space="0" w:color="auto"/>
            <w:bottom w:val="none" w:sz="0" w:space="0" w:color="auto"/>
            <w:right w:val="none" w:sz="0" w:space="0" w:color="auto"/>
          </w:divBdr>
        </w:div>
        <w:div w:id="163862236">
          <w:marLeft w:val="0"/>
          <w:marRight w:val="0"/>
          <w:marTop w:val="0"/>
          <w:marBottom w:val="0"/>
          <w:divBdr>
            <w:top w:val="none" w:sz="0" w:space="0" w:color="auto"/>
            <w:left w:val="none" w:sz="0" w:space="0" w:color="auto"/>
            <w:bottom w:val="none" w:sz="0" w:space="0" w:color="auto"/>
            <w:right w:val="none" w:sz="0" w:space="0" w:color="auto"/>
          </w:divBdr>
        </w:div>
        <w:div w:id="176234733">
          <w:marLeft w:val="0"/>
          <w:marRight w:val="0"/>
          <w:marTop w:val="0"/>
          <w:marBottom w:val="0"/>
          <w:divBdr>
            <w:top w:val="none" w:sz="0" w:space="0" w:color="auto"/>
            <w:left w:val="none" w:sz="0" w:space="0" w:color="auto"/>
            <w:bottom w:val="none" w:sz="0" w:space="0" w:color="auto"/>
            <w:right w:val="none" w:sz="0" w:space="0" w:color="auto"/>
          </w:divBdr>
        </w:div>
        <w:div w:id="177355781">
          <w:marLeft w:val="0"/>
          <w:marRight w:val="0"/>
          <w:marTop w:val="0"/>
          <w:marBottom w:val="0"/>
          <w:divBdr>
            <w:top w:val="none" w:sz="0" w:space="0" w:color="auto"/>
            <w:left w:val="none" w:sz="0" w:space="0" w:color="auto"/>
            <w:bottom w:val="none" w:sz="0" w:space="0" w:color="auto"/>
            <w:right w:val="none" w:sz="0" w:space="0" w:color="auto"/>
          </w:divBdr>
        </w:div>
        <w:div w:id="191843386">
          <w:marLeft w:val="0"/>
          <w:marRight w:val="0"/>
          <w:marTop w:val="0"/>
          <w:marBottom w:val="0"/>
          <w:divBdr>
            <w:top w:val="none" w:sz="0" w:space="0" w:color="auto"/>
            <w:left w:val="none" w:sz="0" w:space="0" w:color="auto"/>
            <w:bottom w:val="none" w:sz="0" w:space="0" w:color="auto"/>
            <w:right w:val="none" w:sz="0" w:space="0" w:color="auto"/>
          </w:divBdr>
        </w:div>
        <w:div w:id="212351306">
          <w:marLeft w:val="0"/>
          <w:marRight w:val="0"/>
          <w:marTop w:val="0"/>
          <w:marBottom w:val="0"/>
          <w:divBdr>
            <w:top w:val="none" w:sz="0" w:space="0" w:color="auto"/>
            <w:left w:val="none" w:sz="0" w:space="0" w:color="auto"/>
            <w:bottom w:val="none" w:sz="0" w:space="0" w:color="auto"/>
            <w:right w:val="none" w:sz="0" w:space="0" w:color="auto"/>
          </w:divBdr>
        </w:div>
        <w:div w:id="226964944">
          <w:marLeft w:val="0"/>
          <w:marRight w:val="0"/>
          <w:marTop w:val="0"/>
          <w:marBottom w:val="0"/>
          <w:divBdr>
            <w:top w:val="none" w:sz="0" w:space="0" w:color="auto"/>
            <w:left w:val="none" w:sz="0" w:space="0" w:color="auto"/>
            <w:bottom w:val="none" w:sz="0" w:space="0" w:color="auto"/>
            <w:right w:val="none" w:sz="0" w:space="0" w:color="auto"/>
          </w:divBdr>
        </w:div>
        <w:div w:id="257057329">
          <w:marLeft w:val="0"/>
          <w:marRight w:val="0"/>
          <w:marTop w:val="0"/>
          <w:marBottom w:val="0"/>
          <w:divBdr>
            <w:top w:val="none" w:sz="0" w:space="0" w:color="auto"/>
            <w:left w:val="none" w:sz="0" w:space="0" w:color="auto"/>
            <w:bottom w:val="none" w:sz="0" w:space="0" w:color="auto"/>
            <w:right w:val="none" w:sz="0" w:space="0" w:color="auto"/>
          </w:divBdr>
        </w:div>
        <w:div w:id="259028473">
          <w:marLeft w:val="0"/>
          <w:marRight w:val="0"/>
          <w:marTop w:val="0"/>
          <w:marBottom w:val="0"/>
          <w:divBdr>
            <w:top w:val="none" w:sz="0" w:space="0" w:color="auto"/>
            <w:left w:val="none" w:sz="0" w:space="0" w:color="auto"/>
            <w:bottom w:val="none" w:sz="0" w:space="0" w:color="auto"/>
            <w:right w:val="none" w:sz="0" w:space="0" w:color="auto"/>
          </w:divBdr>
        </w:div>
        <w:div w:id="281421006">
          <w:marLeft w:val="0"/>
          <w:marRight w:val="0"/>
          <w:marTop w:val="0"/>
          <w:marBottom w:val="0"/>
          <w:divBdr>
            <w:top w:val="none" w:sz="0" w:space="0" w:color="auto"/>
            <w:left w:val="none" w:sz="0" w:space="0" w:color="auto"/>
            <w:bottom w:val="none" w:sz="0" w:space="0" w:color="auto"/>
            <w:right w:val="none" w:sz="0" w:space="0" w:color="auto"/>
          </w:divBdr>
        </w:div>
        <w:div w:id="292832289">
          <w:marLeft w:val="0"/>
          <w:marRight w:val="0"/>
          <w:marTop w:val="0"/>
          <w:marBottom w:val="0"/>
          <w:divBdr>
            <w:top w:val="none" w:sz="0" w:space="0" w:color="auto"/>
            <w:left w:val="none" w:sz="0" w:space="0" w:color="auto"/>
            <w:bottom w:val="none" w:sz="0" w:space="0" w:color="auto"/>
            <w:right w:val="none" w:sz="0" w:space="0" w:color="auto"/>
          </w:divBdr>
        </w:div>
        <w:div w:id="318922958">
          <w:marLeft w:val="0"/>
          <w:marRight w:val="0"/>
          <w:marTop w:val="0"/>
          <w:marBottom w:val="0"/>
          <w:divBdr>
            <w:top w:val="none" w:sz="0" w:space="0" w:color="auto"/>
            <w:left w:val="none" w:sz="0" w:space="0" w:color="auto"/>
            <w:bottom w:val="none" w:sz="0" w:space="0" w:color="auto"/>
            <w:right w:val="none" w:sz="0" w:space="0" w:color="auto"/>
          </w:divBdr>
        </w:div>
        <w:div w:id="342051401">
          <w:marLeft w:val="0"/>
          <w:marRight w:val="0"/>
          <w:marTop w:val="0"/>
          <w:marBottom w:val="0"/>
          <w:divBdr>
            <w:top w:val="none" w:sz="0" w:space="0" w:color="auto"/>
            <w:left w:val="none" w:sz="0" w:space="0" w:color="auto"/>
            <w:bottom w:val="none" w:sz="0" w:space="0" w:color="auto"/>
            <w:right w:val="none" w:sz="0" w:space="0" w:color="auto"/>
          </w:divBdr>
        </w:div>
        <w:div w:id="349067513">
          <w:marLeft w:val="0"/>
          <w:marRight w:val="0"/>
          <w:marTop w:val="0"/>
          <w:marBottom w:val="0"/>
          <w:divBdr>
            <w:top w:val="none" w:sz="0" w:space="0" w:color="auto"/>
            <w:left w:val="none" w:sz="0" w:space="0" w:color="auto"/>
            <w:bottom w:val="none" w:sz="0" w:space="0" w:color="auto"/>
            <w:right w:val="none" w:sz="0" w:space="0" w:color="auto"/>
          </w:divBdr>
        </w:div>
        <w:div w:id="361828640">
          <w:marLeft w:val="0"/>
          <w:marRight w:val="0"/>
          <w:marTop w:val="0"/>
          <w:marBottom w:val="0"/>
          <w:divBdr>
            <w:top w:val="none" w:sz="0" w:space="0" w:color="auto"/>
            <w:left w:val="none" w:sz="0" w:space="0" w:color="auto"/>
            <w:bottom w:val="none" w:sz="0" w:space="0" w:color="auto"/>
            <w:right w:val="none" w:sz="0" w:space="0" w:color="auto"/>
          </w:divBdr>
        </w:div>
        <w:div w:id="362170976">
          <w:marLeft w:val="0"/>
          <w:marRight w:val="0"/>
          <w:marTop w:val="0"/>
          <w:marBottom w:val="0"/>
          <w:divBdr>
            <w:top w:val="none" w:sz="0" w:space="0" w:color="auto"/>
            <w:left w:val="none" w:sz="0" w:space="0" w:color="auto"/>
            <w:bottom w:val="none" w:sz="0" w:space="0" w:color="auto"/>
            <w:right w:val="none" w:sz="0" w:space="0" w:color="auto"/>
          </w:divBdr>
        </w:div>
        <w:div w:id="362751727">
          <w:marLeft w:val="0"/>
          <w:marRight w:val="0"/>
          <w:marTop w:val="0"/>
          <w:marBottom w:val="0"/>
          <w:divBdr>
            <w:top w:val="none" w:sz="0" w:space="0" w:color="auto"/>
            <w:left w:val="none" w:sz="0" w:space="0" w:color="auto"/>
            <w:bottom w:val="none" w:sz="0" w:space="0" w:color="auto"/>
            <w:right w:val="none" w:sz="0" w:space="0" w:color="auto"/>
          </w:divBdr>
        </w:div>
        <w:div w:id="365839189">
          <w:marLeft w:val="0"/>
          <w:marRight w:val="0"/>
          <w:marTop w:val="0"/>
          <w:marBottom w:val="0"/>
          <w:divBdr>
            <w:top w:val="none" w:sz="0" w:space="0" w:color="auto"/>
            <w:left w:val="none" w:sz="0" w:space="0" w:color="auto"/>
            <w:bottom w:val="none" w:sz="0" w:space="0" w:color="auto"/>
            <w:right w:val="none" w:sz="0" w:space="0" w:color="auto"/>
          </w:divBdr>
        </w:div>
        <w:div w:id="379980796">
          <w:marLeft w:val="0"/>
          <w:marRight w:val="0"/>
          <w:marTop w:val="0"/>
          <w:marBottom w:val="0"/>
          <w:divBdr>
            <w:top w:val="none" w:sz="0" w:space="0" w:color="auto"/>
            <w:left w:val="none" w:sz="0" w:space="0" w:color="auto"/>
            <w:bottom w:val="none" w:sz="0" w:space="0" w:color="auto"/>
            <w:right w:val="none" w:sz="0" w:space="0" w:color="auto"/>
          </w:divBdr>
        </w:div>
        <w:div w:id="394477477">
          <w:marLeft w:val="0"/>
          <w:marRight w:val="0"/>
          <w:marTop w:val="0"/>
          <w:marBottom w:val="0"/>
          <w:divBdr>
            <w:top w:val="none" w:sz="0" w:space="0" w:color="auto"/>
            <w:left w:val="none" w:sz="0" w:space="0" w:color="auto"/>
            <w:bottom w:val="none" w:sz="0" w:space="0" w:color="auto"/>
            <w:right w:val="none" w:sz="0" w:space="0" w:color="auto"/>
          </w:divBdr>
        </w:div>
        <w:div w:id="397437222">
          <w:marLeft w:val="0"/>
          <w:marRight w:val="0"/>
          <w:marTop w:val="0"/>
          <w:marBottom w:val="0"/>
          <w:divBdr>
            <w:top w:val="none" w:sz="0" w:space="0" w:color="auto"/>
            <w:left w:val="none" w:sz="0" w:space="0" w:color="auto"/>
            <w:bottom w:val="none" w:sz="0" w:space="0" w:color="auto"/>
            <w:right w:val="none" w:sz="0" w:space="0" w:color="auto"/>
          </w:divBdr>
        </w:div>
        <w:div w:id="399210936">
          <w:marLeft w:val="0"/>
          <w:marRight w:val="0"/>
          <w:marTop w:val="0"/>
          <w:marBottom w:val="0"/>
          <w:divBdr>
            <w:top w:val="none" w:sz="0" w:space="0" w:color="auto"/>
            <w:left w:val="none" w:sz="0" w:space="0" w:color="auto"/>
            <w:bottom w:val="none" w:sz="0" w:space="0" w:color="auto"/>
            <w:right w:val="none" w:sz="0" w:space="0" w:color="auto"/>
          </w:divBdr>
        </w:div>
        <w:div w:id="401685822">
          <w:marLeft w:val="0"/>
          <w:marRight w:val="0"/>
          <w:marTop w:val="0"/>
          <w:marBottom w:val="0"/>
          <w:divBdr>
            <w:top w:val="none" w:sz="0" w:space="0" w:color="auto"/>
            <w:left w:val="none" w:sz="0" w:space="0" w:color="auto"/>
            <w:bottom w:val="none" w:sz="0" w:space="0" w:color="auto"/>
            <w:right w:val="none" w:sz="0" w:space="0" w:color="auto"/>
          </w:divBdr>
        </w:div>
        <w:div w:id="404186110">
          <w:marLeft w:val="0"/>
          <w:marRight w:val="0"/>
          <w:marTop w:val="0"/>
          <w:marBottom w:val="0"/>
          <w:divBdr>
            <w:top w:val="none" w:sz="0" w:space="0" w:color="auto"/>
            <w:left w:val="none" w:sz="0" w:space="0" w:color="auto"/>
            <w:bottom w:val="none" w:sz="0" w:space="0" w:color="auto"/>
            <w:right w:val="none" w:sz="0" w:space="0" w:color="auto"/>
          </w:divBdr>
        </w:div>
        <w:div w:id="408843895">
          <w:marLeft w:val="0"/>
          <w:marRight w:val="0"/>
          <w:marTop w:val="0"/>
          <w:marBottom w:val="0"/>
          <w:divBdr>
            <w:top w:val="none" w:sz="0" w:space="0" w:color="auto"/>
            <w:left w:val="none" w:sz="0" w:space="0" w:color="auto"/>
            <w:bottom w:val="none" w:sz="0" w:space="0" w:color="auto"/>
            <w:right w:val="none" w:sz="0" w:space="0" w:color="auto"/>
          </w:divBdr>
        </w:div>
        <w:div w:id="412898556">
          <w:marLeft w:val="0"/>
          <w:marRight w:val="0"/>
          <w:marTop w:val="0"/>
          <w:marBottom w:val="0"/>
          <w:divBdr>
            <w:top w:val="none" w:sz="0" w:space="0" w:color="auto"/>
            <w:left w:val="none" w:sz="0" w:space="0" w:color="auto"/>
            <w:bottom w:val="none" w:sz="0" w:space="0" w:color="auto"/>
            <w:right w:val="none" w:sz="0" w:space="0" w:color="auto"/>
          </w:divBdr>
        </w:div>
        <w:div w:id="416172705">
          <w:marLeft w:val="0"/>
          <w:marRight w:val="0"/>
          <w:marTop w:val="0"/>
          <w:marBottom w:val="0"/>
          <w:divBdr>
            <w:top w:val="none" w:sz="0" w:space="0" w:color="auto"/>
            <w:left w:val="none" w:sz="0" w:space="0" w:color="auto"/>
            <w:bottom w:val="none" w:sz="0" w:space="0" w:color="auto"/>
            <w:right w:val="none" w:sz="0" w:space="0" w:color="auto"/>
          </w:divBdr>
        </w:div>
        <w:div w:id="432550352">
          <w:marLeft w:val="0"/>
          <w:marRight w:val="0"/>
          <w:marTop w:val="0"/>
          <w:marBottom w:val="0"/>
          <w:divBdr>
            <w:top w:val="none" w:sz="0" w:space="0" w:color="auto"/>
            <w:left w:val="none" w:sz="0" w:space="0" w:color="auto"/>
            <w:bottom w:val="none" w:sz="0" w:space="0" w:color="auto"/>
            <w:right w:val="none" w:sz="0" w:space="0" w:color="auto"/>
          </w:divBdr>
        </w:div>
        <w:div w:id="446508286">
          <w:marLeft w:val="0"/>
          <w:marRight w:val="0"/>
          <w:marTop w:val="0"/>
          <w:marBottom w:val="0"/>
          <w:divBdr>
            <w:top w:val="none" w:sz="0" w:space="0" w:color="auto"/>
            <w:left w:val="none" w:sz="0" w:space="0" w:color="auto"/>
            <w:bottom w:val="none" w:sz="0" w:space="0" w:color="auto"/>
            <w:right w:val="none" w:sz="0" w:space="0" w:color="auto"/>
          </w:divBdr>
        </w:div>
        <w:div w:id="449469420">
          <w:marLeft w:val="0"/>
          <w:marRight w:val="0"/>
          <w:marTop w:val="0"/>
          <w:marBottom w:val="0"/>
          <w:divBdr>
            <w:top w:val="none" w:sz="0" w:space="0" w:color="auto"/>
            <w:left w:val="none" w:sz="0" w:space="0" w:color="auto"/>
            <w:bottom w:val="none" w:sz="0" w:space="0" w:color="auto"/>
            <w:right w:val="none" w:sz="0" w:space="0" w:color="auto"/>
          </w:divBdr>
        </w:div>
        <w:div w:id="471555600">
          <w:marLeft w:val="0"/>
          <w:marRight w:val="0"/>
          <w:marTop w:val="0"/>
          <w:marBottom w:val="0"/>
          <w:divBdr>
            <w:top w:val="none" w:sz="0" w:space="0" w:color="auto"/>
            <w:left w:val="none" w:sz="0" w:space="0" w:color="auto"/>
            <w:bottom w:val="none" w:sz="0" w:space="0" w:color="auto"/>
            <w:right w:val="none" w:sz="0" w:space="0" w:color="auto"/>
          </w:divBdr>
        </w:div>
        <w:div w:id="479614445">
          <w:marLeft w:val="0"/>
          <w:marRight w:val="0"/>
          <w:marTop w:val="0"/>
          <w:marBottom w:val="0"/>
          <w:divBdr>
            <w:top w:val="none" w:sz="0" w:space="0" w:color="auto"/>
            <w:left w:val="none" w:sz="0" w:space="0" w:color="auto"/>
            <w:bottom w:val="none" w:sz="0" w:space="0" w:color="auto"/>
            <w:right w:val="none" w:sz="0" w:space="0" w:color="auto"/>
          </w:divBdr>
        </w:div>
        <w:div w:id="481822543">
          <w:marLeft w:val="0"/>
          <w:marRight w:val="0"/>
          <w:marTop w:val="0"/>
          <w:marBottom w:val="0"/>
          <w:divBdr>
            <w:top w:val="none" w:sz="0" w:space="0" w:color="auto"/>
            <w:left w:val="none" w:sz="0" w:space="0" w:color="auto"/>
            <w:bottom w:val="none" w:sz="0" w:space="0" w:color="auto"/>
            <w:right w:val="none" w:sz="0" w:space="0" w:color="auto"/>
          </w:divBdr>
        </w:div>
        <w:div w:id="490604518">
          <w:marLeft w:val="0"/>
          <w:marRight w:val="0"/>
          <w:marTop w:val="0"/>
          <w:marBottom w:val="0"/>
          <w:divBdr>
            <w:top w:val="none" w:sz="0" w:space="0" w:color="auto"/>
            <w:left w:val="none" w:sz="0" w:space="0" w:color="auto"/>
            <w:bottom w:val="none" w:sz="0" w:space="0" w:color="auto"/>
            <w:right w:val="none" w:sz="0" w:space="0" w:color="auto"/>
          </w:divBdr>
        </w:div>
        <w:div w:id="494803875">
          <w:marLeft w:val="0"/>
          <w:marRight w:val="0"/>
          <w:marTop w:val="0"/>
          <w:marBottom w:val="0"/>
          <w:divBdr>
            <w:top w:val="none" w:sz="0" w:space="0" w:color="auto"/>
            <w:left w:val="none" w:sz="0" w:space="0" w:color="auto"/>
            <w:bottom w:val="none" w:sz="0" w:space="0" w:color="auto"/>
            <w:right w:val="none" w:sz="0" w:space="0" w:color="auto"/>
          </w:divBdr>
        </w:div>
        <w:div w:id="511844322">
          <w:marLeft w:val="0"/>
          <w:marRight w:val="0"/>
          <w:marTop w:val="0"/>
          <w:marBottom w:val="0"/>
          <w:divBdr>
            <w:top w:val="none" w:sz="0" w:space="0" w:color="auto"/>
            <w:left w:val="none" w:sz="0" w:space="0" w:color="auto"/>
            <w:bottom w:val="none" w:sz="0" w:space="0" w:color="auto"/>
            <w:right w:val="none" w:sz="0" w:space="0" w:color="auto"/>
          </w:divBdr>
        </w:div>
        <w:div w:id="514465748">
          <w:marLeft w:val="0"/>
          <w:marRight w:val="0"/>
          <w:marTop w:val="0"/>
          <w:marBottom w:val="0"/>
          <w:divBdr>
            <w:top w:val="none" w:sz="0" w:space="0" w:color="auto"/>
            <w:left w:val="none" w:sz="0" w:space="0" w:color="auto"/>
            <w:bottom w:val="none" w:sz="0" w:space="0" w:color="auto"/>
            <w:right w:val="none" w:sz="0" w:space="0" w:color="auto"/>
          </w:divBdr>
        </w:div>
        <w:div w:id="519315890">
          <w:marLeft w:val="0"/>
          <w:marRight w:val="0"/>
          <w:marTop w:val="0"/>
          <w:marBottom w:val="0"/>
          <w:divBdr>
            <w:top w:val="none" w:sz="0" w:space="0" w:color="auto"/>
            <w:left w:val="none" w:sz="0" w:space="0" w:color="auto"/>
            <w:bottom w:val="none" w:sz="0" w:space="0" w:color="auto"/>
            <w:right w:val="none" w:sz="0" w:space="0" w:color="auto"/>
          </w:divBdr>
        </w:div>
        <w:div w:id="552932818">
          <w:marLeft w:val="0"/>
          <w:marRight w:val="0"/>
          <w:marTop w:val="0"/>
          <w:marBottom w:val="0"/>
          <w:divBdr>
            <w:top w:val="none" w:sz="0" w:space="0" w:color="auto"/>
            <w:left w:val="none" w:sz="0" w:space="0" w:color="auto"/>
            <w:bottom w:val="none" w:sz="0" w:space="0" w:color="auto"/>
            <w:right w:val="none" w:sz="0" w:space="0" w:color="auto"/>
          </w:divBdr>
        </w:div>
        <w:div w:id="565140919">
          <w:marLeft w:val="0"/>
          <w:marRight w:val="0"/>
          <w:marTop w:val="0"/>
          <w:marBottom w:val="0"/>
          <w:divBdr>
            <w:top w:val="none" w:sz="0" w:space="0" w:color="auto"/>
            <w:left w:val="none" w:sz="0" w:space="0" w:color="auto"/>
            <w:bottom w:val="none" w:sz="0" w:space="0" w:color="auto"/>
            <w:right w:val="none" w:sz="0" w:space="0" w:color="auto"/>
          </w:divBdr>
        </w:div>
        <w:div w:id="565146057">
          <w:marLeft w:val="0"/>
          <w:marRight w:val="0"/>
          <w:marTop w:val="0"/>
          <w:marBottom w:val="0"/>
          <w:divBdr>
            <w:top w:val="none" w:sz="0" w:space="0" w:color="auto"/>
            <w:left w:val="none" w:sz="0" w:space="0" w:color="auto"/>
            <w:bottom w:val="none" w:sz="0" w:space="0" w:color="auto"/>
            <w:right w:val="none" w:sz="0" w:space="0" w:color="auto"/>
          </w:divBdr>
        </w:div>
        <w:div w:id="576280060">
          <w:marLeft w:val="0"/>
          <w:marRight w:val="0"/>
          <w:marTop w:val="0"/>
          <w:marBottom w:val="0"/>
          <w:divBdr>
            <w:top w:val="none" w:sz="0" w:space="0" w:color="auto"/>
            <w:left w:val="none" w:sz="0" w:space="0" w:color="auto"/>
            <w:bottom w:val="none" w:sz="0" w:space="0" w:color="auto"/>
            <w:right w:val="none" w:sz="0" w:space="0" w:color="auto"/>
          </w:divBdr>
        </w:div>
        <w:div w:id="587539067">
          <w:marLeft w:val="0"/>
          <w:marRight w:val="0"/>
          <w:marTop w:val="0"/>
          <w:marBottom w:val="0"/>
          <w:divBdr>
            <w:top w:val="none" w:sz="0" w:space="0" w:color="auto"/>
            <w:left w:val="none" w:sz="0" w:space="0" w:color="auto"/>
            <w:bottom w:val="none" w:sz="0" w:space="0" w:color="auto"/>
            <w:right w:val="none" w:sz="0" w:space="0" w:color="auto"/>
          </w:divBdr>
        </w:div>
        <w:div w:id="588076885">
          <w:marLeft w:val="0"/>
          <w:marRight w:val="0"/>
          <w:marTop w:val="0"/>
          <w:marBottom w:val="0"/>
          <w:divBdr>
            <w:top w:val="none" w:sz="0" w:space="0" w:color="auto"/>
            <w:left w:val="none" w:sz="0" w:space="0" w:color="auto"/>
            <w:bottom w:val="none" w:sz="0" w:space="0" w:color="auto"/>
            <w:right w:val="none" w:sz="0" w:space="0" w:color="auto"/>
          </w:divBdr>
        </w:div>
        <w:div w:id="590628368">
          <w:marLeft w:val="0"/>
          <w:marRight w:val="0"/>
          <w:marTop w:val="0"/>
          <w:marBottom w:val="0"/>
          <w:divBdr>
            <w:top w:val="none" w:sz="0" w:space="0" w:color="auto"/>
            <w:left w:val="none" w:sz="0" w:space="0" w:color="auto"/>
            <w:bottom w:val="none" w:sz="0" w:space="0" w:color="auto"/>
            <w:right w:val="none" w:sz="0" w:space="0" w:color="auto"/>
          </w:divBdr>
        </w:div>
        <w:div w:id="615986385">
          <w:marLeft w:val="0"/>
          <w:marRight w:val="0"/>
          <w:marTop w:val="0"/>
          <w:marBottom w:val="0"/>
          <w:divBdr>
            <w:top w:val="none" w:sz="0" w:space="0" w:color="auto"/>
            <w:left w:val="none" w:sz="0" w:space="0" w:color="auto"/>
            <w:bottom w:val="none" w:sz="0" w:space="0" w:color="auto"/>
            <w:right w:val="none" w:sz="0" w:space="0" w:color="auto"/>
          </w:divBdr>
        </w:div>
        <w:div w:id="618266834">
          <w:marLeft w:val="0"/>
          <w:marRight w:val="0"/>
          <w:marTop w:val="0"/>
          <w:marBottom w:val="0"/>
          <w:divBdr>
            <w:top w:val="none" w:sz="0" w:space="0" w:color="auto"/>
            <w:left w:val="none" w:sz="0" w:space="0" w:color="auto"/>
            <w:bottom w:val="none" w:sz="0" w:space="0" w:color="auto"/>
            <w:right w:val="none" w:sz="0" w:space="0" w:color="auto"/>
          </w:divBdr>
        </w:div>
        <w:div w:id="622003652">
          <w:marLeft w:val="0"/>
          <w:marRight w:val="0"/>
          <w:marTop w:val="0"/>
          <w:marBottom w:val="0"/>
          <w:divBdr>
            <w:top w:val="none" w:sz="0" w:space="0" w:color="auto"/>
            <w:left w:val="none" w:sz="0" w:space="0" w:color="auto"/>
            <w:bottom w:val="none" w:sz="0" w:space="0" w:color="auto"/>
            <w:right w:val="none" w:sz="0" w:space="0" w:color="auto"/>
          </w:divBdr>
        </w:div>
        <w:div w:id="627510099">
          <w:marLeft w:val="0"/>
          <w:marRight w:val="0"/>
          <w:marTop w:val="0"/>
          <w:marBottom w:val="0"/>
          <w:divBdr>
            <w:top w:val="none" w:sz="0" w:space="0" w:color="auto"/>
            <w:left w:val="none" w:sz="0" w:space="0" w:color="auto"/>
            <w:bottom w:val="none" w:sz="0" w:space="0" w:color="auto"/>
            <w:right w:val="none" w:sz="0" w:space="0" w:color="auto"/>
          </w:divBdr>
        </w:div>
        <w:div w:id="637757728">
          <w:marLeft w:val="0"/>
          <w:marRight w:val="0"/>
          <w:marTop w:val="0"/>
          <w:marBottom w:val="0"/>
          <w:divBdr>
            <w:top w:val="none" w:sz="0" w:space="0" w:color="auto"/>
            <w:left w:val="none" w:sz="0" w:space="0" w:color="auto"/>
            <w:bottom w:val="none" w:sz="0" w:space="0" w:color="auto"/>
            <w:right w:val="none" w:sz="0" w:space="0" w:color="auto"/>
          </w:divBdr>
        </w:div>
        <w:div w:id="639850282">
          <w:marLeft w:val="0"/>
          <w:marRight w:val="0"/>
          <w:marTop w:val="0"/>
          <w:marBottom w:val="0"/>
          <w:divBdr>
            <w:top w:val="none" w:sz="0" w:space="0" w:color="auto"/>
            <w:left w:val="none" w:sz="0" w:space="0" w:color="auto"/>
            <w:bottom w:val="none" w:sz="0" w:space="0" w:color="auto"/>
            <w:right w:val="none" w:sz="0" w:space="0" w:color="auto"/>
          </w:divBdr>
        </w:div>
        <w:div w:id="646205813">
          <w:marLeft w:val="0"/>
          <w:marRight w:val="0"/>
          <w:marTop w:val="0"/>
          <w:marBottom w:val="0"/>
          <w:divBdr>
            <w:top w:val="none" w:sz="0" w:space="0" w:color="auto"/>
            <w:left w:val="none" w:sz="0" w:space="0" w:color="auto"/>
            <w:bottom w:val="none" w:sz="0" w:space="0" w:color="auto"/>
            <w:right w:val="none" w:sz="0" w:space="0" w:color="auto"/>
          </w:divBdr>
        </w:div>
        <w:div w:id="654652403">
          <w:marLeft w:val="0"/>
          <w:marRight w:val="0"/>
          <w:marTop w:val="0"/>
          <w:marBottom w:val="0"/>
          <w:divBdr>
            <w:top w:val="none" w:sz="0" w:space="0" w:color="auto"/>
            <w:left w:val="none" w:sz="0" w:space="0" w:color="auto"/>
            <w:bottom w:val="none" w:sz="0" w:space="0" w:color="auto"/>
            <w:right w:val="none" w:sz="0" w:space="0" w:color="auto"/>
          </w:divBdr>
        </w:div>
        <w:div w:id="668220580">
          <w:marLeft w:val="0"/>
          <w:marRight w:val="0"/>
          <w:marTop w:val="0"/>
          <w:marBottom w:val="0"/>
          <w:divBdr>
            <w:top w:val="none" w:sz="0" w:space="0" w:color="auto"/>
            <w:left w:val="none" w:sz="0" w:space="0" w:color="auto"/>
            <w:bottom w:val="none" w:sz="0" w:space="0" w:color="auto"/>
            <w:right w:val="none" w:sz="0" w:space="0" w:color="auto"/>
          </w:divBdr>
        </w:div>
        <w:div w:id="668754787">
          <w:marLeft w:val="0"/>
          <w:marRight w:val="0"/>
          <w:marTop w:val="0"/>
          <w:marBottom w:val="0"/>
          <w:divBdr>
            <w:top w:val="none" w:sz="0" w:space="0" w:color="auto"/>
            <w:left w:val="none" w:sz="0" w:space="0" w:color="auto"/>
            <w:bottom w:val="none" w:sz="0" w:space="0" w:color="auto"/>
            <w:right w:val="none" w:sz="0" w:space="0" w:color="auto"/>
          </w:divBdr>
        </w:div>
        <w:div w:id="669873599">
          <w:marLeft w:val="0"/>
          <w:marRight w:val="0"/>
          <w:marTop w:val="0"/>
          <w:marBottom w:val="0"/>
          <w:divBdr>
            <w:top w:val="none" w:sz="0" w:space="0" w:color="auto"/>
            <w:left w:val="none" w:sz="0" w:space="0" w:color="auto"/>
            <w:bottom w:val="none" w:sz="0" w:space="0" w:color="auto"/>
            <w:right w:val="none" w:sz="0" w:space="0" w:color="auto"/>
          </w:divBdr>
        </w:div>
        <w:div w:id="685013216">
          <w:marLeft w:val="0"/>
          <w:marRight w:val="0"/>
          <w:marTop w:val="0"/>
          <w:marBottom w:val="0"/>
          <w:divBdr>
            <w:top w:val="none" w:sz="0" w:space="0" w:color="auto"/>
            <w:left w:val="none" w:sz="0" w:space="0" w:color="auto"/>
            <w:bottom w:val="none" w:sz="0" w:space="0" w:color="auto"/>
            <w:right w:val="none" w:sz="0" w:space="0" w:color="auto"/>
          </w:divBdr>
        </w:div>
        <w:div w:id="695034954">
          <w:marLeft w:val="0"/>
          <w:marRight w:val="0"/>
          <w:marTop w:val="0"/>
          <w:marBottom w:val="0"/>
          <w:divBdr>
            <w:top w:val="none" w:sz="0" w:space="0" w:color="auto"/>
            <w:left w:val="none" w:sz="0" w:space="0" w:color="auto"/>
            <w:bottom w:val="none" w:sz="0" w:space="0" w:color="auto"/>
            <w:right w:val="none" w:sz="0" w:space="0" w:color="auto"/>
          </w:divBdr>
        </w:div>
        <w:div w:id="697662414">
          <w:marLeft w:val="0"/>
          <w:marRight w:val="0"/>
          <w:marTop w:val="0"/>
          <w:marBottom w:val="0"/>
          <w:divBdr>
            <w:top w:val="none" w:sz="0" w:space="0" w:color="auto"/>
            <w:left w:val="none" w:sz="0" w:space="0" w:color="auto"/>
            <w:bottom w:val="none" w:sz="0" w:space="0" w:color="auto"/>
            <w:right w:val="none" w:sz="0" w:space="0" w:color="auto"/>
          </w:divBdr>
        </w:div>
        <w:div w:id="700282393">
          <w:marLeft w:val="0"/>
          <w:marRight w:val="0"/>
          <w:marTop w:val="0"/>
          <w:marBottom w:val="0"/>
          <w:divBdr>
            <w:top w:val="none" w:sz="0" w:space="0" w:color="auto"/>
            <w:left w:val="none" w:sz="0" w:space="0" w:color="auto"/>
            <w:bottom w:val="none" w:sz="0" w:space="0" w:color="auto"/>
            <w:right w:val="none" w:sz="0" w:space="0" w:color="auto"/>
          </w:divBdr>
        </w:div>
        <w:div w:id="701321518">
          <w:marLeft w:val="0"/>
          <w:marRight w:val="0"/>
          <w:marTop w:val="0"/>
          <w:marBottom w:val="0"/>
          <w:divBdr>
            <w:top w:val="none" w:sz="0" w:space="0" w:color="auto"/>
            <w:left w:val="none" w:sz="0" w:space="0" w:color="auto"/>
            <w:bottom w:val="none" w:sz="0" w:space="0" w:color="auto"/>
            <w:right w:val="none" w:sz="0" w:space="0" w:color="auto"/>
          </w:divBdr>
        </w:div>
        <w:div w:id="720322401">
          <w:marLeft w:val="0"/>
          <w:marRight w:val="0"/>
          <w:marTop w:val="0"/>
          <w:marBottom w:val="0"/>
          <w:divBdr>
            <w:top w:val="none" w:sz="0" w:space="0" w:color="auto"/>
            <w:left w:val="none" w:sz="0" w:space="0" w:color="auto"/>
            <w:bottom w:val="none" w:sz="0" w:space="0" w:color="auto"/>
            <w:right w:val="none" w:sz="0" w:space="0" w:color="auto"/>
          </w:divBdr>
        </w:div>
        <w:div w:id="720447227">
          <w:marLeft w:val="0"/>
          <w:marRight w:val="0"/>
          <w:marTop w:val="0"/>
          <w:marBottom w:val="0"/>
          <w:divBdr>
            <w:top w:val="none" w:sz="0" w:space="0" w:color="auto"/>
            <w:left w:val="none" w:sz="0" w:space="0" w:color="auto"/>
            <w:bottom w:val="none" w:sz="0" w:space="0" w:color="auto"/>
            <w:right w:val="none" w:sz="0" w:space="0" w:color="auto"/>
          </w:divBdr>
        </w:div>
        <w:div w:id="725761907">
          <w:marLeft w:val="0"/>
          <w:marRight w:val="0"/>
          <w:marTop w:val="0"/>
          <w:marBottom w:val="0"/>
          <w:divBdr>
            <w:top w:val="none" w:sz="0" w:space="0" w:color="auto"/>
            <w:left w:val="none" w:sz="0" w:space="0" w:color="auto"/>
            <w:bottom w:val="none" w:sz="0" w:space="0" w:color="auto"/>
            <w:right w:val="none" w:sz="0" w:space="0" w:color="auto"/>
          </w:divBdr>
        </w:div>
        <w:div w:id="746464123">
          <w:marLeft w:val="0"/>
          <w:marRight w:val="0"/>
          <w:marTop w:val="0"/>
          <w:marBottom w:val="0"/>
          <w:divBdr>
            <w:top w:val="none" w:sz="0" w:space="0" w:color="auto"/>
            <w:left w:val="none" w:sz="0" w:space="0" w:color="auto"/>
            <w:bottom w:val="none" w:sz="0" w:space="0" w:color="auto"/>
            <w:right w:val="none" w:sz="0" w:space="0" w:color="auto"/>
          </w:divBdr>
        </w:div>
        <w:div w:id="750349740">
          <w:marLeft w:val="0"/>
          <w:marRight w:val="0"/>
          <w:marTop w:val="0"/>
          <w:marBottom w:val="0"/>
          <w:divBdr>
            <w:top w:val="none" w:sz="0" w:space="0" w:color="auto"/>
            <w:left w:val="none" w:sz="0" w:space="0" w:color="auto"/>
            <w:bottom w:val="none" w:sz="0" w:space="0" w:color="auto"/>
            <w:right w:val="none" w:sz="0" w:space="0" w:color="auto"/>
          </w:divBdr>
        </w:div>
        <w:div w:id="753548858">
          <w:marLeft w:val="0"/>
          <w:marRight w:val="0"/>
          <w:marTop w:val="0"/>
          <w:marBottom w:val="0"/>
          <w:divBdr>
            <w:top w:val="none" w:sz="0" w:space="0" w:color="auto"/>
            <w:left w:val="none" w:sz="0" w:space="0" w:color="auto"/>
            <w:bottom w:val="none" w:sz="0" w:space="0" w:color="auto"/>
            <w:right w:val="none" w:sz="0" w:space="0" w:color="auto"/>
          </w:divBdr>
        </w:div>
        <w:div w:id="771776217">
          <w:marLeft w:val="0"/>
          <w:marRight w:val="0"/>
          <w:marTop w:val="0"/>
          <w:marBottom w:val="0"/>
          <w:divBdr>
            <w:top w:val="none" w:sz="0" w:space="0" w:color="auto"/>
            <w:left w:val="none" w:sz="0" w:space="0" w:color="auto"/>
            <w:bottom w:val="none" w:sz="0" w:space="0" w:color="auto"/>
            <w:right w:val="none" w:sz="0" w:space="0" w:color="auto"/>
          </w:divBdr>
        </w:div>
        <w:div w:id="776829899">
          <w:marLeft w:val="0"/>
          <w:marRight w:val="0"/>
          <w:marTop w:val="0"/>
          <w:marBottom w:val="0"/>
          <w:divBdr>
            <w:top w:val="none" w:sz="0" w:space="0" w:color="auto"/>
            <w:left w:val="none" w:sz="0" w:space="0" w:color="auto"/>
            <w:bottom w:val="none" w:sz="0" w:space="0" w:color="auto"/>
            <w:right w:val="none" w:sz="0" w:space="0" w:color="auto"/>
          </w:divBdr>
        </w:div>
        <w:div w:id="777944350">
          <w:marLeft w:val="0"/>
          <w:marRight w:val="0"/>
          <w:marTop w:val="0"/>
          <w:marBottom w:val="0"/>
          <w:divBdr>
            <w:top w:val="none" w:sz="0" w:space="0" w:color="auto"/>
            <w:left w:val="none" w:sz="0" w:space="0" w:color="auto"/>
            <w:bottom w:val="none" w:sz="0" w:space="0" w:color="auto"/>
            <w:right w:val="none" w:sz="0" w:space="0" w:color="auto"/>
          </w:divBdr>
        </w:div>
        <w:div w:id="778569264">
          <w:marLeft w:val="0"/>
          <w:marRight w:val="0"/>
          <w:marTop w:val="0"/>
          <w:marBottom w:val="0"/>
          <w:divBdr>
            <w:top w:val="none" w:sz="0" w:space="0" w:color="auto"/>
            <w:left w:val="none" w:sz="0" w:space="0" w:color="auto"/>
            <w:bottom w:val="none" w:sz="0" w:space="0" w:color="auto"/>
            <w:right w:val="none" w:sz="0" w:space="0" w:color="auto"/>
          </w:divBdr>
        </w:div>
        <w:div w:id="780952086">
          <w:marLeft w:val="0"/>
          <w:marRight w:val="0"/>
          <w:marTop w:val="0"/>
          <w:marBottom w:val="0"/>
          <w:divBdr>
            <w:top w:val="none" w:sz="0" w:space="0" w:color="auto"/>
            <w:left w:val="none" w:sz="0" w:space="0" w:color="auto"/>
            <w:bottom w:val="none" w:sz="0" w:space="0" w:color="auto"/>
            <w:right w:val="none" w:sz="0" w:space="0" w:color="auto"/>
          </w:divBdr>
        </w:div>
        <w:div w:id="791900467">
          <w:marLeft w:val="0"/>
          <w:marRight w:val="0"/>
          <w:marTop w:val="0"/>
          <w:marBottom w:val="0"/>
          <w:divBdr>
            <w:top w:val="none" w:sz="0" w:space="0" w:color="auto"/>
            <w:left w:val="none" w:sz="0" w:space="0" w:color="auto"/>
            <w:bottom w:val="none" w:sz="0" w:space="0" w:color="auto"/>
            <w:right w:val="none" w:sz="0" w:space="0" w:color="auto"/>
          </w:divBdr>
        </w:div>
        <w:div w:id="869876940">
          <w:marLeft w:val="0"/>
          <w:marRight w:val="0"/>
          <w:marTop w:val="0"/>
          <w:marBottom w:val="0"/>
          <w:divBdr>
            <w:top w:val="none" w:sz="0" w:space="0" w:color="auto"/>
            <w:left w:val="none" w:sz="0" w:space="0" w:color="auto"/>
            <w:bottom w:val="none" w:sz="0" w:space="0" w:color="auto"/>
            <w:right w:val="none" w:sz="0" w:space="0" w:color="auto"/>
          </w:divBdr>
        </w:div>
        <w:div w:id="871262882">
          <w:marLeft w:val="0"/>
          <w:marRight w:val="0"/>
          <w:marTop w:val="0"/>
          <w:marBottom w:val="0"/>
          <w:divBdr>
            <w:top w:val="none" w:sz="0" w:space="0" w:color="auto"/>
            <w:left w:val="none" w:sz="0" w:space="0" w:color="auto"/>
            <w:bottom w:val="none" w:sz="0" w:space="0" w:color="auto"/>
            <w:right w:val="none" w:sz="0" w:space="0" w:color="auto"/>
          </w:divBdr>
        </w:div>
        <w:div w:id="912352512">
          <w:marLeft w:val="0"/>
          <w:marRight w:val="0"/>
          <w:marTop w:val="0"/>
          <w:marBottom w:val="0"/>
          <w:divBdr>
            <w:top w:val="none" w:sz="0" w:space="0" w:color="auto"/>
            <w:left w:val="none" w:sz="0" w:space="0" w:color="auto"/>
            <w:bottom w:val="none" w:sz="0" w:space="0" w:color="auto"/>
            <w:right w:val="none" w:sz="0" w:space="0" w:color="auto"/>
          </w:divBdr>
        </w:div>
        <w:div w:id="916063059">
          <w:marLeft w:val="0"/>
          <w:marRight w:val="0"/>
          <w:marTop w:val="0"/>
          <w:marBottom w:val="0"/>
          <w:divBdr>
            <w:top w:val="none" w:sz="0" w:space="0" w:color="auto"/>
            <w:left w:val="none" w:sz="0" w:space="0" w:color="auto"/>
            <w:bottom w:val="none" w:sz="0" w:space="0" w:color="auto"/>
            <w:right w:val="none" w:sz="0" w:space="0" w:color="auto"/>
          </w:divBdr>
        </w:div>
        <w:div w:id="922032992">
          <w:marLeft w:val="0"/>
          <w:marRight w:val="0"/>
          <w:marTop w:val="0"/>
          <w:marBottom w:val="0"/>
          <w:divBdr>
            <w:top w:val="none" w:sz="0" w:space="0" w:color="auto"/>
            <w:left w:val="none" w:sz="0" w:space="0" w:color="auto"/>
            <w:bottom w:val="none" w:sz="0" w:space="0" w:color="auto"/>
            <w:right w:val="none" w:sz="0" w:space="0" w:color="auto"/>
          </w:divBdr>
        </w:div>
        <w:div w:id="927269010">
          <w:marLeft w:val="0"/>
          <w:marRight w:val="0"/>
          <w:marTop w:val="0"/>
          <w:marBottom w:val="0"/>
          <w:divBdr>
            <w:top w:val="none" w:sz="0" w:space="0" w:color="auto"/>
            <w:left w:val="none" w:sz="0" w:space="0" w:color="auto"/>
            <w:bottom w:val="none" w:sz="0" w:space="0" w:color="auto"/>
            <w:right w:val="none" w:sz="0" w:space="0" w:color="auto"/>
          </w:divBdr>
        </w:div>
        <w:div w:id="933050406">
          <w:marLeft w:val="0"/>
          <w:marRight w:val="0"/>
          <w:marTop w:val="0"/>
          <w:marBottom w:val="0"/>
          <w:divBdr>
            <w:top w:val="none" w:sz="0" w:space="0" w:color="auto"/>
            <w:left w:val="none" w:sz="0" w:space="0" w:color="auto"/>
            <w:bottom w:val="none" w:sz="0" w:space="0" w:color="auto"/>
            <w:right w:val="none" w:sz="0" w:space="0" w:color="auto"/>
          </w:divBdr>
        </w:div>
        <w:div w:id="939802620">
          <w:marLeft w:val="0"/>
          <w:marRight w:val="0"/>
          <w:marTop w:val="0"/>
          <w:marBottom w:val="0"/>
          <w:divBdr>
            <w:top w:val="none" w:sz="0" w:space="0" w:color="auto"/>
            <w:left w:val="none" w:sz="0" w:space="0" w:color="auto"/>
            <w:bottom w:val="none" w:sz="0" w:space="0" w:color="auto"/>
            <w:right w:val="none" w:sz="0" w:space="0" w:color="auto"/>
          </w:divBdr>
        </w:div>
        <w:div w:id="948004326">
          <w:marLeft w:val="0"/>
          <w:marRight w:val="0"/>
          <w:marTop w:val="0"/>
          <w:marBottom w:val="0"/>
          <w:divBdr>
            <w:top w:val="none" w:sz="0" w:space="0" w:color="auto"/>
            <w:left w:val="none" w:sz="0" w:space="0" w:color="auto"/>
            <w:bottom w:val="none" w:sz="0" w:space="0" w:color="auto"/>
            <w:right w:val="none" w:sz="0" w:space="0" w:color="auto"/>
          </w:divBdr>
        </w:div>
        <w:div w:id="958150551">
          <w:marLeft w:val="0"/>
          <w:marRight w:val="0"/>
          <w:marTop w:val="0"/>
          <w:marBottom w:val="0"/>
          <w:divBdr>
            <w:top w:val="none" w:sz="0" w:space="0" w:color="auto"/>
            <w:left w:val="none" w:sz="0" w:space="0" w:color="auto"/>
            <w:bottom w:val="none" w:sz="0" w:space="0" w:color="auto"/>
            <w:right w:val="none" w:sz="0" w:space="0" w:color="auto"/>
          </w:divBdr>
        </w:div>
        <w:div w:id="966470881">
          <w:marLeft w:val="0"/>
          <w:marRight w:val="0"/>
          <w:marTop w:val="0"/>
          <w:marBottom w:val="0"/>
          <w:divBdr>
            <w:top w:val="none" w:sz="0" w:space="0" w:color="auto"/>
            <w:left w:val="none" w:sz="0" w:space="0" w:color="auto"/>
            <w:bottom w:val="none" w:sz="0" w:space="0" w:color="auto"/>
            <w:right w:val="none" w:sz="0" w:space="0" w:color="auto"/>
          </w:divBdr>
        </w:div>
        <w:div w:id="970399420">
          <w:marLeft w:val="0"/>
          <w:marRight w:val="0"/>
          <w:marTop w:val="0"/>
          <w:marBottom w:val="0"/>
          <w:divBdr>
            <w:top w:val="none" w:sz="0" w:space="0" w:color="auto"/>
            <w:left w:val="none" w:sz="0" w:space="0" w:color="auto"/>
            <w:bottom w:val="none" w:sz="0" w:space="0" w:color="auto"/>
            <w:right w:val="none" w:sz="0" w:space="0" w:color="auto"/>
          </w:divBdr>
        </w:div>
        <w:div w:id="975988023">
          <w:marLeft w:val="0"/>
          <w:marRight w:val="0"/>
          <w:marTop w:val="0"/>
          <w:marBottom w:val="0"/>
          <w:divBdr>
            <w:top w:val="none" w:sz="0" w:space="0" w:color="auto"/>
            <w:left w:val="none" w:sz="0" w:space="0" w:color="auto"/>
            <w:bottom w:val="none" w:sz="0" w:space="0" w:color="auto"/>
            <w:right w:val="none" w:sz="0" w:space="0" w:color="auto"/>
          </w:divBdr>
        </w:div>
        <w:div w:id="988552947">
          <w:marLeft w:val="0"/>
          <w:marRight w:val="0"/>
          <w:marTop w:val="0"/>
          <w:marBottom w:val="0"/>
          <w:divBdr>
            <w:top w:val="none" w:sz="0" w:space="0" w:color="auto"/>
            <w:left w:val="none" w:sz="0" w:space="0" w:color="auto"/>
            <w:bottom w:val="none" w:sz="0" w:space="0" w:color="auto"/>
            <w:right w:val="none" w:sz="0" w:space="0" w:color="auto"/>
          </w:divBdr>
        </w:div>
        <w:div w:id="992292604">
          <w:marLeft w:val="0"/>
          <w:marRight w:val="0"/>
          <w:marTop w:val="0"/>
          <w:marBottom w:val="0"/>
          <w:divBdr>
            <w:top w:val="none" w:sz="0" w:space="0" w:color="auto"/>
            <w:left w:val="none" w:sz="0" w:space="0" w:color="auto"/>
            <w:bottom w:val="none" w:sz="0" w:space="0" w:color="auto"/>
            <w:right w:val="none" w:sz="0" w:space="0" w:color="auto"/>
          </w:divBdr>
        </w:div>
        <w:div w:id="998267042">
          <w:marLeft w:val="0"/>
          <w:marRight w:val="0"/>
          <w:marTop w:val="0"/>
          <w:marBottom w:val="0"/>
          <w:divBdr>
            <w:top w:val="none" w:sz="0" w:space="0" w:color="auto"/>
            <w:left w:val="none" w:sz="0" w:space="0" w:color="auto"/>
            <w:bottom w:val="none" w:sz="0" w:space="0" w:color="auto"/>
            <w:right w:val="none" w:sz="0" w:space="0" w:color="auto"/>
          </w:divBdr>
        </w:div>
        <w:div w:id="1021201411">
          <w:marLeft w:val="0"/>
          <w:marRight w:val="0"/>
          <w:marTop w:val="0"/>
          <w:marBottom w:val="0"/>
          <w:divBdr>
            <w:top w:val="none" w:sz="0" w:space="0" w:color="auto"/>
            <w:left w:val="none" w:sz="0" w:space="0" w:color="auto"/>
            <w:bottom w:val="none" w:sz="0" w:space="0" w:color="auto"/>
            <w:right w:val="none" w:sz="0" w:space="0" w:color="auto"/>
          </w:divBdr>
        </w:div>
        <w:div w:id="1027297260">
          <w:marLeft w:val="0"/>
          <w:marRight w:val="0"/>
          <w:marTop w:val="0"/>
          <w:marBottom w:val="0"/>
          <w:divBdr>
            <w:top w:val="none" w:sz="0" w:space="0" w:color="auto"/>
            <w:left w:val="none" w:sz="0" w:space="0" w:color="auto"/>
            <w:bottom w:val="none" w:sz="0" w:space="0" w:color="auto"/>
            <w:right w:val="none" w:sz="0" w:space="0" w:color="auto"/>
          </w:divBdr>
        </w:div>
        <w:div w:id="1037465337">
          <w:marLeft w:val="0"/>
          <w:marRight w:val="0"/>
          <w:marTop w:val="0"/>
          <w:marBottom w:val="0"/>
          <w:divBdr>
            <w:top w:val="none" w:sz="0" w:space="0" w:color="auto"/>
            <w:left w:val="none" w:sz="0" w:space="0" w:color="auto"/>
            <w:bottom w:val="none" w:sz="0" w:space="0" w:color="auto"/>
            <w:right w:val="none" w:sz="0" w:space="0" w:color="auto"/>
          </w:divBdr>
        </w:div>
        <w:div w:id="1048459351">
          <w:marLeft w:val="0"/>
          <w:marRight w:val="0"/>
          <w:marTop w:val="0"/>
          <w:marBottom w:val="0"/>
          <w:divBdr>
            <w:top w:val="none" w:sz="0" w:space="0" w:color="auto"/>
            <w:left w:val="none" w:sz="0" w:space="0" w:color="auto"/>
            <w:bottom w:val="none" w:sz="0" w:space="0" w:color="auto"/>
            <w:right w:val="none" w:sz="0" w:space="0" w:color="auto"/>
          </w:divBdr>
        </w:div>
        <w:div w:id="1051424733">
          <w:marLeft w:val="0"/>
          <w:marRight w:val="0"/>
          <w:marTop w:val="0"/>
          <w:marBottom w:val="0"/>
          <w:divBdr>
            <w:top w:val="none" w:sz="0" w:space="0" w:color="auto"/>
            <w:left w:val="none" w:sz="0" w:space="0" w:color="auto"/>
            <w:bottom w:val="none" w:sz="0" w:space="0" w:color="auto"/>
            <w:right w:val="none" w:sz="0" w:space="0" w:color="auto"/>
          </w:divBdr>
        </w:div>
        <w:div w:id="1053311786">
          <w:marLeft w:val="0"/>
          <w:marRight w:val="0"/>
          <w:marTop w:val="0"/>
          <w:marBottom w:val="0"/>
          <w:divBdr>
            <w:top w:val="none" w:sz="0" w:space="0" w:color="auto"/>
            <w:left w:val="none" w:sz="0" w:space="0" w:color="auto"/>
            <w:bottom w:val="none" w:sz="0" w:space="0" w:color="auto"/>
            <w:right w:val="none" w:sz="0" w:space="0" w:color="auto"/>
          </w:divBdr>
        </w:div>
        <w:div w:id="1058942873">
          <w:marLeft w:val="0"/>
          <w:marRight w:val="0"/>
          <w:marTop w:val="0"/>
          <w:marBottom w:val="0"/>
          <w:divBdr>
            <w:top w:val="none" w:sz="0" w:space="0" w:color="auto"/>
            <w:left w:val="none" w:sz="0" w:space="0" w:color="auto"/>
            <w:bottom w:val="none" w:sz="0" w:space="0" w:color="auto"/>
            <w:right w:val="none" w:sz="0" w:space="0" w:color="auto"/>
          </w:divBdr>
        </w:div>
        <w:div w:id="1081020926">
          <w:marLeft w:val="0"/>
          <w:marRight w:val="0"/>
          <w:marTop w:val="0"/>
          <w:marBottom w:val="0"/>
          <w:divBdr>
            <w:top w:val="none" w:sz="0" w:space="0" w:color="auto"/>
            <w:left w:val="none" w:sz="0" w:space="0" w:color="auto"/>
            <w:bottom w:val="none" w:sz="0" w:space="0" w:color="auto"/>
            <w:right w:val="none" w:sz="0" w:space="0" w:color="auto"/>
          </w:divBdr>
        </w:div>
        <w:div w:id="1086077148">
          <w:marLeft w:val="0"/>
          <w:marRight w:val="0"/>
          <w:marTop w:val="0"/>
          <w:marBottom w:val="0"/>
          <w:divBdr>
            <w:top w:val="none" w:sz="0" w:space="0" w:color="auto"/>
            <w:left w:val="none" w:sz="0" w:space="0" w:color="auto"/>
            <w:bottom w:val="none" w:sz="0" w:space="0" w:color="auto"/>
            <w:right w:val="none" w:sz="0" w:space="0" w:color="auto"/>
          </w:divBdr>
        </w:div>
        <w:div w:id="1105225166">
          <w:marLeft w:val="0"/>
          <w:marRight w:val="0"/>
          <w:marTop w:val="0"/>
          <w:marBottom w:val="0"/>
          <w:divBdr>
            <w:top w:val="none" w:sz="0" w:space="0" w:color="auto"/>
            <w:left w:val="none" w:sz="0" w:space="0" w:color="auto"/>
            <w:bottom w:val="none" w:sz="0" w:space="0" w:color="auto"/>
            <w:right w:val="none" w:sz="0" w:space="0" w:color="auto"/>
          </w:divBdr>
        </w:div>
        <w:div w:id="1119059744">
          <w:marLeft w:val="0"/>
          <w:marRight w:val="0"/>
          <w:marTop w:val="0"/>
          <w:marBottom w:val="0"/>
          <w:divBdr>
            <w:top w:val="none" w:sz="0" w:space="0" w:color="auto"/>
            <w:left w:val="none" w:sz="0" w:space="0" w:color="auto"/>
            <w:bottom w:val="none" w:sz="0" w:space="0" w:color="auto"/>
            <w:right w:val="none" w:sz="0" w:space="0" w:color="auto"/>
          </w:divBdr>
        </w:div>
        <w:div w:id="1120104581">
          <w:marLeft w:val="0"/>
          <w:marRight w:val="0"/>
          <w:marTop w:val="0"/>
          <w:marBottom w:val="0"/>
          <w:divBdr>
            <w:top w:val="none" w:sz="0" w:space="0" w:color="auto"/>
            <w:left w:val="none" w:sz="0" w:space="0" w:color="auto"/>
            <w:bottom w:val="none" w:sz="0" w:space="0" w:color="auto"/>
            <w:right w:val="none" w:sz="0" w:space="0" w:color="auto"/>
          </w:divBdr>
        </w:div>
        <w:div w:id="1131747219">
          <w:marLeft w:val="0"/>
          <w:marRight w:val="0"/>
          <w:marTop w:val="0"/>
          <w:marBottom w:val="0"/>
          <w:divBdr>
            <w:top w:val="none" w:sz="0" w:space="0" w:color="auto"/>
            <w:left w:val="none" w:sz="0" w:space="0" w:color="auto"/>
            <w:bottom w:val="none" w:sz="0" w:space="0" w:color="auto"/>
            <w:right w:val="none" w:sz="0" w:space="0" w:color="auto"/>
          </w:divBdr>
        </w:div>
        <w:div w:id="1148788755">
          <w:marLeft w:val="0"/>
          <w:marRight w:val="0"/>
          <w:marTop w:val="0"/>
          <w:marBottom w:val="0"/>
          <w:divBdr>
            <w:top w:val="none" w:sz="0" w:space="0" w:color="auto"/>
            <w:left w:val="none" w:sz="0" w:space="0" w:color="auto"/>
            <w:bottom w:val="none" w:sz="0" w:space="0" w:color="auto"/>
            <w:right w:val="none" w:sz="0" w:space="0" w:color="auto"/>
          </w:divBdr>
        </w:div>
        <w:div w:id="1169978630">
          <w:marLeft w:val="0"/>
          <w:marRight w:val="0"/>
          <w:marTop w:val="0"/>
          <w:marBottom w:val="0"/>
          <w:divBdr>
            <w:top w:val="none" w:sz="0" w:space="0" w:color="auto"/>
            <w:left w:val="none" w:sz="0" w:space="0" w:color="auto"/>
            <w:bottom w:val="none" w:sz="0" w:space="0" w:color="auto"/>
            <w:right w:val="none" w:sz="0" w:space="0" w:color="auto"/>
          </w:divBdr>
        </w:div>
        <w:div w:id="1176194454">
          <w:marLeft w:val="0"/>
          <w:marRight w:val="0"/>
          <w:marTop w:val="0"/>
          <w:marBottom w:val="0"/>
          <w:divBdr>
            <w:top w:val="none" w:sz="0" w:space="0" w:color="auto"/>
            <w:left w:val="none" w:sz="0" w:space="0" w:color="auto"/>
            <w:bottom w:val="none" w:sz="0" w:space="0" w:color="auto"/>
            <w:right w:val="none" w:sz="0" w:space="0" w:color="auto"/>
          </w:divBdr>
        </w:div>
        <w:div w:id="1176378645">
          <w:marLeft w:val="0"/>
          <w:marRight w:val="0"/>
          <w:marTop w:val="0"/>
          <w:marBottom w:val="0"/>
          <w:divBdr>
            <w:top w:val="none" w:sz="0" w:space="0" w:color="auto"/>
            <w:left w:val="none" w:sz="0" w:space="0" w:color="auto"/>
            <w:bottom w:val="none" w:sz="0" w:space="0" w:color="auto"/>
            <w:right w:val="none" w:sz="0" w:space="0" w:color="auto"/>
          </w:divBdr>
        </w:div>
        <w:div w:id="1185947822">
          <w:marLeft w:val="0"/>
          <w:marRight w:val="0"/>
          <w:marTop w:val="0"/>
          <w:marBottom w:val="0"/>
          <w:divBdr>
            <w:top w:val="none" w:sz="0" w:space="0" w:color="auto"/>
            <w:left w:val="none" w:sz="0" w:space="0" w:color="auto"/>
            <w:bottom w:val="none" w:sz="0" w:space="0" w:color="auto"/>
            <w:right w:val="none" w:sz="0" w:space="0" w:color="auto"/>
          </w:divBdr>
        </w:div>
        <w:div w:id="1201939116">
          <w:marLeft w:val="0"/>
          <w:marRight w:val="0"/>
          <w:marTop w:val="0"/>
          <w:marBottom w:val="0"/>
          <w:divBdr>
            <w:top w:val="none" w:sz="0" w:space="0" w:color="auto"/>
            <w:left w:val="none" w:sz="0" w:space="0" w:color="auto"/>
            <w:bottom w:val="none" w:sz="0" w:space="0" w:color="auto"/>
            <w:right w:val="none" w:sz="0" w:space="0" w:color="auto"/>
          </w:divBdr>
        </w:div>
        <w:div w:id="1202132172">
          <w:marLeft w:val="0"/>
          <w:marRight w:val="0"/>
          <w:marTop w:val="0"/>
          <w:marBottom w:val="0"/>
          <w:divBdr>
            <w:top w:val="none" w:sz="0" w:space="0" w:color="auto"/>
            <w:left w:val="none" w:sz="0" w:space="0" w:color="auto"/>
            <w:bottom w:val="none" w:sz="0" w:space="0" w:color="auto"/>
            <w:right w:val="none" w:sz="0" w:space="0" w:color="auto"/>
          </w:divBdr>
        </w:div>
        <w:div w:id="1205410335">
          <w:marLeft w:val="0"/>
          <w:marRight w:val="0"/>
          <w:marTop w:val="0"/>
          <w:marBottom w:val="0"/>
          <w:divBdr>
            <w:top w:val="none" w:sz="0" w:space="0" w:color="auto"/>
            <w:left w:val="none" w:sz="0" w:space="0" w:color="auto"/>
            <w:bottom w:val="none" w:sz="0" w:space="0" w:color="auto"/>
            <w:right w:val="none" w:sz="0" w:space="0" w:color="auto"/>
          </w:divBdr>
        </w:div>
        <w:div w:id="1209993033">
          <w:marLeft w:val="0"/>
          <w:marRight w:val="0"/>
          <w:marTop w:val="0"/>
          <w:marBottom w:val="0"/>
          <w:divBdr>
            <w:top w:val="none" w:sz="0" w:space="0" w:color="auto"/>
            <w:left w:val="none" w:sz="0" w:space="0" w:color="auto"/>
            <w:bottom w:val="none" w:sz="0" w:space="0" w:color="auto"/>
            <w:right w:val="none" w:sz="0" w:space="0" w:color="auto"/>
          </w:divBdr>
        </w:div>
        <w:div w:id="1237856398">
          <w:marLeft w:val="0"/>
          <w:marRight w:val="0"/>
          <w:marTop w:val="0"/>
          <w:marBottom w:val="0"/>
          <w:divBdr>
            <w:top w:val="none" w:sz="0" w:space="0" w:color="auto"/>
            <w:left w:val="none" w:sz="0" w:space="0" w:color="auto"/>
            <w:bottom w:val="none" w:sz="0" w:space="0" w:color="auto"/>
            <w:right w:val="none" w:sz="0" w:space="0" w:color="auto"/>
          </w:divBdr>
        </w:div>
        <w:div w:id="1252162819">
          <w:marLeft w:val="0"/>
          <w:marRight w:val="0"/>
          <w:marTop w:val="0"/>
          <w:marBottom w:val="0"/>
          <w:divBdr>
            <w:top w:val="none" w:sz="0" w:space="0" w:color="auto"/>
            <w:left w:val="none" w:sz="0" w:space="0" w:color="auto"/>
            <w:bottom w:val="none" w:sz="0" w:space="0" w:color="auto"/>
            <w:right w:val="none" w:sz="0" w:space="0" w:color="auto"/>
          </w:divBdr>
        </w:div>
        <w:div w:id="1272006038">
          <w:marLeft w:val="0"/>
          <w:marRight w:val="0"/>
          <w:marTop w:val="0"/>
          <w:marBottom w:val="0"/>
          <w:divBdr>
            <w:top w:val="none" w:sz="0" w:space="0" w:color="auto"/>
            <w:left w:val="none" w:sz="0" w:space="0" w:color="auto"/>
            <w:bottom w:val="none" w:sz="0" w:space="0" w:color="auto"/>
            <w:right w:val="none" w:sz="0" w:space="0" w:color="auto"/>
          </w:divBdr>
        </w:div>
        <w:div w:id="1278369442">
          <w:marLeft w:val="0"/>
          <w:marRight w:val="0"/>
          <w:marTop w:val="0"/>
          <w:marBottom w:val="0"/>
          <w:divBdr>
            <w:top w:val="none" w:sz="0" w:space="0" w:color="auto"/>
            <w:left w:val="none" w:sz="0" w:space="0" w:color="auto"/>
            <w:bottom w:val="none" w:sz="0" w:space="0" w:color="auto"/>
            <w:right w:val="none" w:sz="0" w:space="0" w:color="auto"/>
          </w:divBdr>
        </w:div>
        <w:div w:id="1282767593">
          <w:marLeft w:val="0"/>
          <w:marRight w:val="0"/>
          <w:marTop w:val="0"/>
          <w:marBottom w:val="0"/>
          <w:divBdr>
            <w:top w:val="none" w:sz="0" w:space="0" w:color="auto"/>
            <w:left w:val="none" w:sz="0" w:space="0" w:color="auto"/>
            <w:bottom w:val="none" w:sz="0" w:space="0" w:color="auto"/>
            <w:right w:val="none" w:sz="0" w:space="0" w:color="auto"/>
          </w:divBdr>
        </w:div>
        <w:div w:id="1292594640">
          <w:marLeft w:val="0"/>
          <w:marRight w:val="0"/>
          <w:marTop w:val="0"/>
          <w:marBottom w:val="0"/>
          <w:divBdr>
            <w:top w:val="none" w:sz="0" w:space="0" w:color="auto"/>
            <w:left w:val="none" w:sz="0" w:space="0" w:color="auto"/>
            <w:bottom w:val="none" w:sz="0" w:space="0" w:color="auto"/>
            <w:right w:val="none" w:sz="0" w:space="0" w:color="auto"/>
          </w:divBdr>
        </w:div>
        <w:div w:id="1293318790">
          <w:marLeft w:val="0"/>
          <w:marRight w:val="0"/>
          <w:marTop w:val="0"/>
          <w:marBottom w:val="0"/>
          <w:divBdr>
            <w:top w:val="none" w:sz="0" w:space="0" w:color="auto"/>
            <w:left w:val="none" w:sz="0" w:space="0" w:color="auto"/>
            <w:bottom w:val="none" w:sz="0" w:space="0" w:color="auto"/>
            <w:right w:val="none" w:sz="0" w:space="0" w:color="auto"/>
          </w:divBdr>
        </w:div>
        <w:div w:id="1295409435">
          <w:marLeft w:val="0"/>
          <w:marRight w:val="0"/>
          <w:marTop w:val="0"/>
          <w:marBottom w:val="0"/>
          <w:divBdr>
            <w:top w:val="none" w:sz="0" w:space="0" w:color="auto"/>
            <w:left w:val="none" w:sz="0" w:space="0" w:color="auto"/>
            <w:bottom w:val="none" w:sz="0" w:space="0" w:color="auto"/>
            <w:right w:val="none" w:sz="0" w:space="0" w:color="auto"/>
          </w:divBdr>
        </w:div>
        <w:div w:id="1314215070">
          <w:marLeft w:val="0"/>
          <w:marRight w:val="0"/>
          <w:marTop w:val="0"/>
          <w:marBottom w:val="0"/>
          <w:divBdr>
            <w:top w:val="none" w:sz="0" w:space="0" w:color="auto"/>
            <w:left w:val="none" w:sz="0" w:space="0" w:color="auto"/>
            <w:bottom w:val="none" w:sz="0" w:space="0" w:color="auto"/>
            <w:right w:val="none" w:sz="0" w:space="0" w:color="auto"/>
          </w:divBdr>
        </w:div>
        <w:div w:id="1319576705">
          <w:marLeft w:val="0"/>
          <w:marRight w:val="0"/>
          <w:marTop w:val="0"/>
          <w:marBottom w:val="0"/>
          <w:divBdr>
            <w:top w:val="none" w:sz="0" w:space="0" w:color="auto"/>
            <w:left w:val="none" w:sz="0" w:space="0" w:color="auto"/>
            <w:bottom w:val="none" w:sz="0" w:space="0" w:color="auto"/>
            <w:right w:val="none" w:sz="0" w:space="0" w:color="auto"/>
          </w:divBdr>
        </w:div>
        <w:div w:id="1328822995">
          <w:marLeft w:val="0"/>
          <w:marRight w:val="0"/>
          <w:marTop w:val="0"/>
          <w:marBottom w:val="0"/>
          <w:divBdr>
            <w:top w:val="none" w:sz="0" w:space="0" w:color="auto"/>
            <w:left w:val="none" w:sz="0" w:space="0" w:color="auto"/>
            <w:bottom w:val="none" w:sz="0" w:space="0" w:color="auto"/>
            <w:right w:val="none" w:sz="0" w:space="0" w:color="auto"/>
          </w:divBdr>
        </w:div>
        <w:div w:id="1332297283">
          <w:marLeft w:val="0"/>
          <w:marRight w:val="0"/>
          <w:marTop w:val="0"/>
          <w:marBottom w:val="0"/>
          <w:divBdr>
            <w:top w:val="none" w:sz="0" w:space="0" w:color="auto"/>
            <w:left w:val="none" w:sz="0" w:space="0" w:color="auto"/>
            <w:bottom w:val="none" w:sz="0" w:space="0" w:color="auto"/>
            <w:right w:val="none" w:sz="0" w:space="0" w:color="auto"/>
          </w:divBdr>
        </w:div>
        <w:div w:id="1349942125">
          <w:marLeft w:val="0"/>
          <w:marRight w:val="0"/>
          <w:marTop w:val="0"/>
          <w:marBottom w:val="0"/>
          <w:divBdr>
            <w:top w:val="none" w:sz="0" w:space="0" w:color="auto"/>
            <w:left w:val="none" w:sz="0" w:space="0" w:color="auto"/>
            <w:bottom w:val="none" w:sz="0" w:space="0" w:color="auto"/>
            <w:right w:val="none" w:sz="0" w:space="0" w:color="auto"/>
          </w:divBdr>
        </w:div>
        <w:div w:id="1361930423">
          <w:marLeft w:val="0"/>
          <w:marRight w:val="0"/>
          <w:marTop w:val="0"/>
          <w:marBottom w:val="0"/>
          <w:divBdr>
            <w:top w:val="none" w:sz="0" w:space="0" w:color="auto"/>
            <w:left w:val="none" w:sz="0" w:space="0" w:color="auto"/>
            <w:bottom w:val="none" w:sz="0" w:space="0" w:color="auto"/>
            <w:right w:val="none" w:sz="0" w:space="0" w:color="auto"/>
          </w:divBdr>
        </w:div>
        <w:div w:id="1364090598">
          <w:marLeft w:val="0"/>
          <w:marRight w:val="0"/>
          <w:marTop w:val="0"/>
          <w:marBottom w:val="0"/>
          <w:divBdr>
            <w:top w:val="none" w:sz="0" w:space="0" w:color="auto"/>
            <w:left w:val="none" w:sz="0" w:space="0" w:color="auto"/>
            <w:bottom w:val="none" w:sz="0" w:space="0" w:color="auto"/>
            <w:right w:val="none" w:sz="0" w:space="0" w:color="auto"/>
          </w:divBdr>
        </w:div>
        <w:div w:id="1367675761">
          <w:marLeft w:val="0"/>
          <w:marRight w:val="0"/>
          <w:marTop w:val="0"/>
          <w:marBottom w:val="0"/>
          <w:divBdr>
            <w:top w:val="none" w:sz="0" w:space="0" w:color="auto"/>
            <w:left w:val="none" w:sz="0" w:space="0" w:color="auto"/>
            <w:bottom w:val="none" w:sz="0" w:space="0" w:color="auto"/>
            <w:right w:val="none" w:sz="0" w:space="0" w:color="auto"/>
          </w:divBdr>
        </w:div>
        <w:div w:id="1380276216">
          <w:marLeft w:val="0"/>
          <w:marRight w:val="0"/>
          <w:marTop w:val="0"/>
          <w:marBottom w:val="0"/>
          <w:divBdr>
            <w:top w:val="none" w:sz="0" w:space="0" w:color="auto"/>
            <w:left w:val="none" w:sz="0" w:space="0" w:color="auto"/>
            <w:bottom w:val="none" w:sz="0" w:space="0" w:color="auto"/>
            <w:right w:val="none" w:sz="0" w:space="0" w:color="auto"/>
          </w:divBdr>
        </w:div>
        <w:div w:id="1383599099">
          <w:marLeft w:val="0"/>
          <w:marRight w:val="0"/>
          <w:marTop w:val="0"/>
          <w:marBottom w:val="0"/>
          <w:divBdr>
            <w:top w:val="none" w:sz="0" w:space="0" w:color="auto"/>
            <w:left w:val="none" w:sz="0" w:space="0" w:color="auto"/>
            <w:bottom w:val="none" w:sz="0" w:space="0" w:color="auto"/>
            <w:right w:val="none" w:sz="0" w:space="0" w:color="auto"/>
          </w:divBdr>
        </w:div>
        <w:div w:id="1389376095">
          <w:marLeft w:val="0"/>
          <w:marRight w:val="0"/>
          <w:marTop w:val="0"/>
          <w:marBottom w:val="0"/>
          <w:divBdr>
            <w:top w:val="none" w:sz="0" w:space="0" w:color="auto"/>
            <w:left w:val="none" w:sz="0" w:space="0" w:color="auto"/>
            <w:bottom w:val="none" w:sz="0" w:space="0" w:color="auto"/>
            <w:right w:val="none" w:sz="0" w:space="0" w:color="auto"/>
          </w:divBdr>
        </w:div>
        <w:div w:id="1402295181">
          <w:marLeft w:val="0"/>
          <w:marRight w:val="0"/>
          <w:marTop w:val="0"/>
          <w:marBottom w:val="0"/>
          <w:divBdr>
            <w:top w:val="none" w:sz="0" w:space="0" w:color="auto"/>
            <w:left w:val="none" w:sz="0" w:space="0" w:color="auto"/>
            <w:bottom w:val="none" w:sz="0" w:space="0" w:color="auto"/>
            <w:right w:val="none" w:sz="0" w:space="0" w:color="auto"/>
          </w:divBdr>
        </w:div>
        <w:div w:id="1406801947">
          <w:marLeft w:val="0"/>
          <w:marRight w:val="0"/>
          <w:marTop w:val="0"/>
          <w:marBottom w:val="0"/>
          <w:divBdr>
            <w:top w:val="none" w:sz="0" w:space="0" w:color="auto"/>
            <w:left w:val="none" w:sz="0" w:space="0" w:color="auto"/>
            <w:bottom w:val="none" w:sz="0" w:space="0" w:color="auto"/>
            <w:right w:val="none" w:sz="0" w:space="0" w:color="auto"/>
          </w:divBdr>
        </w:div>
        <w:div w:id="1407457707">
          <w:marLeft w:val="0"/>
          <w:marRight w:val="0"/>
          <w:marTop w:val="0"/>
          <w:marBottom w:val="0"/>
          <w:divBdr>
            <w:top w:val="none" w:sz="0" w:space="0" w:color="auto"/>
            <w:left w:val="none" w:sz="0" w:space="0" w:color="auto"/>
            <w:bottom w:val="none" w:sz="0" w:space="0" w:color="auto"/>
            <w:right w:val="none" w:sz="0" w:space="0" w:color="auto"/>
          </w:divBdr>
        </w:div>
        <w:div w:id="1449005189">
          <w:marLeft w:val="0"/>
          <w:marRight w:val="0"/>
          <w:marTop w:val="0"/>
          <w:marBottom w:val="0"/>
          <w:divBdr>
            <w:top w:val="none" w:sz="0" w:space="0" w:color="auto"/>
            <w:left w:val="none" w:sz="0" w:space="0" w:color="auto"/>
            <w:bottom w:val="none" w:sz="0" w:space="0" w:color="auto"/>
            <w:right w:val="none" w:sz="0" w:space="0" w:color="auto"/>
          </w:divBdr>
        </w:div>
        <w:div w:id="1458915637">
          <w:marLeft w:val="0"/>
          <w:marRight w:val="0"/>
          <w:marTop w:val="0"/>
          <w:marBottom w:val="0"/>
          <w:divBdr>
            <w:top w:val="none" w:sz="0" w:space="0" w:color="auto"/>
            <w:left w:val="none" w:sz="0" w:space="0" w:color="auto"/>
            <w:bottom w:val="none" w:sz="0" w:space="0" w:color="auto"/>
            <w:right w:val="none" w:sz="0" w:space="0" w:color="auto"/>
          </w:divBdr>
        </w:div>
        <w:div w:id="1462572400">
          <w:marLeft w:val="0"/>
          <w:marRight w:val="0"/>
          <w:marTop w:val="0"/>
          <w:marBottom w:val="0"/>
          <w:divBdr>
            <w:top w:val="none" w:sz="0" w:space="0" w:color="auto"/>
            <w:left w:val="none" w:sz="0" w:space="0" w:color="auto"/>
            <w:bottom w:val="none" w:sz="0" w:space="0" w:color="auto"/>
            <w:right w:val="none" w:sz="0" w:space="0" w:color="auto"/>
          </w:divBdr>
        </w:div>
        <w:div w:id="1494493002">
          <w:marLeft w:val="0"/>
          <w:marRight w:val="0"/>
          <w:marTop w:val="0"/>
          <w:marBottom w:val="0"/>
          <w:divBdr>
            <w:top w:val="none" w:sz="0" w:space="0" w:color="auto"/>
            <w:left w:val="none" w:sz="0" w:space="0" w:color="auto"/>
            <w:bottom w:val="none" w:sz="0" w:space="0" w:color="auto"/>
            <w:right w:val="none" w:sz="0" w:space="0" w:color="auto"/>
          </w:divBdr>
        </w:div>
        <w:div w:id="1495491773">
          <w:marLeft w:val="0"/>
          <w:marRight w:val="0"/>
          <w:marTop w:val="0"/>
          <w:marBottom w:val="0"/>
          <w:divBdr>
            <w:top w:val="none" w:sz="0" w:space="0" w:color="auto"/>
            <w:left w:val="none" w:sz="0" w:space="0" w:color="auto"/>
            <w:bottom w:val="none" w:sz="0" w:space="0" w:color="auto"/>
            <w:right w:val="none" w:sz="0" w:space="0" w:color="auto"/>
          </w:divBdr>
        </w:div>
        <w:div w:id="1538472184">
          <w:marLeft w:val="0"/>
          <w:marRight w:val="0"/>
          <w:marTop w:val="0"/>
          <w:marBottom w:val="0"/>
          <w:divBdr>
            <w:top w:val="none" w:sz="0" w:space="0" w:color="auto"/>
            <w:left w:val="none" w:sz="0" w:space="0" w:color="auto"/>
            <w:bottom w:val="none" w:sz="0" w:space="0" w:color="auto"/>
            <w:right w:val="none" w:sz="0" w:space="0" w:color="auto"/>
          </w:divBdr>
        </w:div>
        <w:div w:id="1543126607">
          <w:marLeft w:val="0"/>
          <w:marRight w:val="0"/>
          <w:marTop w:val="0"/>
          <w:marBottom w:val="0"/>
          <w:divBdr>
            <w:top w:val="none" w:sz="0" w:space="0" w:color="auto"/>
            <w:left w:val="none" w:sz="0" w:space="0" w:color="auto"/>
            <w:bottom w:val="none" w:sz="0" w:space="0" w:color="auto"/>
            <w:right w:val="none" w:sz="0" w:space="0" w:color="auto"/>
          </w:divBdr>
        </w:div>
        <w:div w:id="1587034079">
          <w:marLeft w:val="0"/>
          <w:marRight w:val="0"/>
          <w:marTop w:val="0"/>
          <w:marBottom w:val="0"/>
          <w:divBdr>
            <w:top w:val="none" w:sz="0" w:space="0" w:color="auto"/>
            <w:left w:val="none" w:sz="0" w:space="0" w:color="auto"/>
            <w:bottom w:val="none" w:sz="0" w:space="0" w:color="auto"/>
            <w:right w:val="none" w:sz="0" w:space="0" w:color="auto"/>
          </w:divBdr>
        </w:div>
        <w:div w:id="1609971993">
          <w:marLeft w:val="0"/>
          <w:marRight w:val="0"/>
          <w:marTop w:val="0"/>
          <w:marBottom w:val="0"/>
          <w:divBdr>
            <w:top w:val="none" w:sz="0" w:space="0" w:color="auto"/>
            <w:left w:val="none" w:sz="0" w:space="0" w:color="auto"/>
            <w:bottom w:val="none" w:sz="0" w:space="0" w:color="auto"/>
            <w:right w:val="none" w:sz="0" w:space="0" w:color="auto"/>
          </w:divBdr>
        </w:div>
        <w:div w:id="1610821712">
          <w:marLeft w:val="0"/>
          <w:marRight w:val="0"/>
          <w:marTop w:val="0"/>
          <w:marBottom w:val="0"/>
          <w:divBdr>
            <w:top w:val="none" w:sz="0" w:space="0" w:color="auto"/>
            <w:left w:val="none" w:sz="0" w:space="0" w:color="auto"/>
            <w:bottom w:val="none" w:sz="0" w:space="0" w:color="auto"/>
            <w:right w:val="none" w:sz="0" w:space="0" w:color="auto"/>
          </w:divBdr>
        </w:div>
        <w:div w:id="1620644254">
          <w:marLeft w:val="0"/>
          <w:marRight w:val="0"/>
          <w:marTop w:val="0"/>
          <w:marBottom w:val="0"/>
          <w:divBdr>
            <w:top w:val="none" w:sz="0" w:space="0" w:color="auto"/>
            <w:left w:val="none" w:sz="0" w:space="0" w:color="auto"/>
            <w:bottom w:val="none" w:sz="0" w:space="0" w:color="auto"/>
            <w:right w:val="none" w:sz="0" w:space="0" w:color="auto"/>
          </w:divBdr>
        </w:div>
        <w:div w:id="1622884738">
          <w:marLeft w:val="0"/>
          <w:marRight w:val="0"/>
          <w:marTop w:val="0"/>
          <w:marBottom w:val="0"/>
          <w:divBdr>
            <w:top w:val="none" w:sz="0" w:space="0" w:color="auto"/>
            <w:left w:val="none" w:sz="0" w:space="0" w:color="auto"/>
            <w:bottom w:val="none" w:sz="0" w:space="0" w:color="auto"/>
            <w:right w:val="none" w:sz="0" w:space="0" w:color="auto"/>
          </w:divBdr>
        </w:div>
        <w:div w:id="1631202376">
          <w:marLeft w:val="0"/>
          <w:marRight w:val="0"/>
          <w:marTop w:val="0"/>
          <w:marBottom w:val="0"/>
          <w:divBdr>
            <w:top w:val="none" w:sz="0" w:space="0" w:color="auto"/>
            <w:left w:val="none" w:sz="0" w:space="0" w:color="auto"/>
            <w:bottom w:val="none" w:sz="0" w:space="0" w:color="auto"/>
            <w:right w:val="none" w:sz="0" w:space="0" w:color="auto"/>
          </w:divBdr>
        </w:div>
        <w:div w:id="1638024989">
          <w:marLeft w:val="0"/>
          <w:marRight w:val="0"/>
          <w:marTop w:val="0"/>
          <w:marBottom w:val="0"/>
          <w:divBdr>
            <w:top w:val="none" w:sz="0" w:space="0" w:color="auto"/>
            <w:left w:val="none" w:sz="0" w:space="0" w:color="auto"/>
            <w:bottom w:val="none" w:sz="0" w:space="0" w:color="auto"/>
            <w:right w:val="none" w:sz="0" w:space="0" w:color="auto"/>
          </w:divBdr>
        </w:div>
        <w:div w:id="1656447681">
          <w:marLeft w:val="0"/>
          <w:marRight w:val="0"/>
          <w:marTop w:val="0"/>
          <w:marBottom w:val="0"/>
          <w:divBdr>
            <w:top w:val="none" w:sz="0" w:space="0" w:color="auto"/>
            <w:left w:val="none" w:sz="0" w:space="0" w:color="auto"/>
            <w:bottom w:val="none" w:sz="0" w:space="0" w:color="auto"/>
            <w:right w:val="none" w:sz="0" w:space="0" w:color="auto"/>
          </w:divBdr>
        </w:div>
        <w:div w:id="1657417475">
          <w:marLeft w:val="0"/>
          <w:marRight w:val="0"/>
          <w:marTop w:val="0"/>
          <w:marBottom w:val="0"/>
          <w:divBdr>
            <w:top w:val="none" w:sz="0" w:space="0" w:color="auto"/>
            <w:left w:val="none" w:sz="0" w:space="0" w:color="auto"/>
            <w:bottom w:val="none" w:sz="0" w:space="0" w:color="auto"/>
            <w:right w:val="none" w:sz="0" w:space="0" w:color="auto"/>
          </w:divBdr>
        </w:div>
        <w:div w:id="1684160246">
          <w:marLeft w:val="0"/>
          <w:marRight w:val="0"/>
          <w:marTop w:val="0"/>
          <w:marBottom w:val="0"/>
          <w:divBdr>
            <w:top w:val="none" w:sz="0" w:space="0" w:color="auto"/>
            <w:left w:val="none" w:sz="0" w:space="0" w:color="auto"/>
            <w:bottom w:val="none" w:sz="0" w:space="0" w:color="auto"/>
            <w:right w:val="none" w:sz="0" w:space="0" w:color="auto"/>
          </w:divBdr>
        </w:div>
        <w:div w:id="1685133074">
          <w:marLeft w:val="0"/>
          <w:marRight w:val="0"/>
          <w:marTop w:val="0"/>
          <w:marBottom w:val="0"/>
          <w:divBdr>
            <w:top w:val="none" w:sz="0" w:space="0" w:color="auto"/>
            <w:left w:val="none" w:sz="0" w:space="0" w:color="auto"/>
            <w:bottom w:val="none" w:sz="0" w:space="0" w:color="auto"/>
            <w:right w:val="none" w:sz="0" w:space="0" w:color="auto"/>
          </w:divBdr>
        </w:div>
        <w:div w:id="1699617607">
          <w:marLeft w:val="0"/>
          <w:marRight w:val="0"/>
          <w:marTop w:val="0"/>
          <w:marBottom w:val="0"/>
          <w:divBdr>
            <w:top w:val="none" w:sz="0" w:space="0" w:color="auto"/>
            <w:left w:val="none" w:sz="0" w:space="0" w:color="auto"/>
            <w:bottom w:val="none" w:sz="0" w:space="0" w:color="auto"/>
            <w:right w:val="none" w:sz="0" w:space="0" w:color="auto"/>
          </w:divBdr>
        </w:div>
        <w:div w:id="1704405050">
          <w:marLeft w:val="0"/>
          <w:marRight w:val="0"/>
          <w:marTop w:val="0"/>
          <w:marBottom w:val="0"/>
          <w:divBdr>
            <w:top w:val="none" w:sz="0" w:space="0" w:color="auto"/>
            <w:left w:val="none" w:sz="0" w:space="0" w:color="auto"/>
            <w:bottom w:val="none" w:sz="0" w:space="0" w:color="auto"/>
            <w:right w:val="none" w:sz="0" w:space="0" w:color="auto"/>
          </w:divBdr>
        </w:div>
        <w:div w:id="1708291494">
          <w:marLeft w:val="0"/>
          <w:marRight w:val="0"/>
          <w:marTop w:val="0"/>
          <w:marBottom w:val="0"/>
          <w:divBdr>
            <w:top w:val="none" w:sz="0" w:space="0" w:color="auto"/>
            <w:left w:val="none" w:sz="0" w:space="0" w:color="auto"/>
            <w:bottom w:val="none" w:sz="0" w:space="0" w:color="auto"/>
            <w:right w:val="none" w:sz="0" w:space="0" w:color="auto"/>
          </w:divBdr>
        </w:div>
        <w:div w:id="1725061431">
          <w:marLeft w:val="0"/>
          <w:marRight w:val="0"/>
          <w:marTop w:val="0"/>
          <w:marBottom w:val="0"/>
          <w:divBdr>
            <w:top w:val="none" w:sz="0" w:space="0" w:color="auto"/>
            <w:left w:val="none" w:sz="0" w:space="0" w:color="auto"/>
            <w:bottom w:val="none" w:sz="0" w:space="0" w:color="auto"/>
            <w:right w:val="none" w:sz="0" w:space="0" w:color="auto"/>
          </w:divBdr>
        </w:div>
        <w:div w:id="1725370526">
          <w:marLeft w:val="0"/>
          <w:marRight w:val="0"/>
          <w:marTop w:val="0"/>
          <w:marBottom w:val="0"/>
          <w:divBdr>
            <w:top w:val="none" w:sz="0" w:space="0" w:color="auto"/>
            <w:left w:val="none" w:sz="0" w:space="0" w:color="auto"/>
            <w:bottom w:val="none" w:sz="0" w:space="0" w:color="auto"/>
            <w:right w:val="none" w:sz="0" w:space="0" w:color="auto"/>
          </w:divBdr>
        </w:div>
        <w:div w:id="1742865303">
          <w:marLeft w:val="0"/>
          <w:marRight w:val="0"/>
          <w:marTop w:val="0"/>
          <w:marBottom w:val="0"/>
          <w:divBdr>
            <w:top w:val="none" w:sz="0" w:space="0" w:color="auto"/>
            <w:left w:val="none" w:sz="0" w:space="0" w:color="auto"/>
            <w:bottom w:val="none" w:sz="0" w:space="0" w:color="auto"/>
            <w:right w:val="none" w:sz="0" w:space="0" w:color="auto"/>
          </w:divBdr>
        </w:div>
        <w:div w:id="1775205906">
          <w:marLeft w:val="0"/>
          <w:marRight w:val="0"/>
          <w:marTop w:val="0"/>
          <w:marBottom w:val="0"/>
          <w:divBdr>
            <w:top w:val="none" w:sz="0" w:space="0" w:color="auto"/>
            <w:left w:val="none" w:sz="0" w:space="0" w:color="auto"/>
            <w:bottom w:val="none" w:sz="0" w:space="0" w:color="auto"/>
            <w:right w:val="none" w:sz="0" w:space="0" w:color="auto"/>
          </w:divBdr>
        </w:div>
        <w:div w:id="1792437464">
          <w:marLeft w:val="0"/>
          <w:marRight w:val="0"/>
          <w:marTop w:val="0"/>
          <w:marBottom w:val="0"/>
          <w:divBdr>
            <w:top w:val="none" w:sz="0" w:space="0" w:color="auto"/>
            <w:left w:val="none" w:sz="0" w:space="0" w:color="auto"/>
            <w:bottom w:val="none" w:sz="0" w:space="0" w:color="auto"/>
            <w:right w:val="none" w:sz="0" w:space="0" w:color="auto"/>
          </w:divBdr>
        </w:div>
        <w:div w:id="1792480138">
          <w:marLeft w:val="0"/>
          <w:marRight w:val="0"/>
          <w:marTop w:val="0"/>
          <w:marBottom w:val="0"/>
          <w:divBdr>
            <w:top w:val="none" w:sz="0" w:space="0" w:color="auto"/>
            <w:left w:val="none" w:sz="0" w:space="0" w:color="auto"/>
            <w:bottom w:val="none" w:sz="0" w:space="0" w:color="auto"/>
            <w:right w:val="none" w:sz="0" w:space="0" w:color="auto"/>
          </w:divBdr>
        </w:div>
        <w:div w:id="1798833149">
          <w:marLeft w:val="0"/>
          <w:marRight w:val="0"/>
          <w:marTop w:val="0"/>
          <w:marBottom w:val="0"/>
          <w:divBdr>
            <w:top w:val="none" w:sz="0" w:space="0" w:color="auto"/>
            <w:left w:val="none" w:sz="0" w:space="0" w:color="auto"/>
            <w:bottom w:val="none" w:sz="0" w:space="0" w:color="auto"/>
            <w:right w:val="none" w:sz="0" w:space="0" w:color="auto"/>
          </w:divBdr>
        </w:div>
        <w:div w:id="1811164014">
          <w:marLeft w:val="0"/>
          <w:marRight w:val="0"/>
          <w:marTop w:val="0"/>
          <w:marBottom w:val="0"/>
          <w:divBdr>
            <w:top w:val="none" w:sz="0" w:space="0" w:color="auto"/>
            <w:left w:val="none" w:sz="0" w:space="0" w:color="auto"/>
            <w:bottom w:val="none" w:sz="0" w:space="0" w:color="auto"/>
            <w:right w:val="none" w:sz="0" w:space="0" w:color="auto"/>
          </w:divBdr>
        </w:div>
        <w:div w:id="1826118097">
          <w:marLeft w:val="0"/>
          <w:marRight w:val="0"/>
          <w:marTop w:val="0"/>
          <w:marBottom w:val="0"/>
          <w:divBdr>
            <w:top w:val="none" w:sz="0" w:space="0" w:color="auto"/>
            <w:left w:val="none" w:sz="0" w:space="0" w:color="auto"/>
            <w:bottom w:val="none" w:sz="0" w:space="0" w:color="auto"/>
            <w:right w:val="none" w:sz="0" w:space="0" w:color="auto"/>
          </w:divBdr>
        </w:div>
        <w:div w:id="1829511624">
          <w:marLeft w:val="0"/>
          <w:marRight w:val="0"/>
          <w:marTop w:val="0"/>
          <w:marBottom w:val="0"/>
          <w:divBdr>
            <w:top w:val="none" w:sz="0" w:space="0" w:color="auto"/>
            <w:left w:val="none" w:sz="0" w:space="0" w:color="auto"/>
            <w:bottom w:val="none" w:sz="0" w:space="0" w:color="auto"/>
            <w:right w:val="none" w:sz="0" w:space="0" w:color="auto"/>
          </w:divBdr>
        </w:div>
        <w:div w:id="1838690662">
          <w:marLeft w:val="0"/>
          <w:marRight w:val="0"/>
          <w:marTop w:val="0"/>
          <w:marBottom w:val="0"/>
          <w:divBdr>
            <w:top w:val="none" w:sz="0" w:space="0" w:color="auto"/>
            <w:left w:val="none" w:sz="0" w:space="0" w:color="auto"/>
            <w:bottom w:val="none" w:sz="0" w:space="0" w:color="auto"/>
            <w:right w:val="none" w:sz="0" w:space="0" w:color="auto"/>
          </w:divBdr>
        </w:div>
        <w:div w:id="1844665100">
          <w:marLeft w:val="0"/>
          <w:marRight w:val="0"/>
          <w:marTop w:val="0"/>
          <w:marBottom w:val="0"/>
          <w:divBdr>
            <w:top w:val="none" w:sz="0" w:space="0" w:color="auto"/>
            <w:left w:val="none" w:sz="0" w:space="0" w:color="auto"/>
            <w:bottom w:val="none" w:sz="0" w:space="0" w:color="auto"/>
            <w:right w:val="none" w:sz="0" w:space="0" w:color="auto"/>
          </w:divBdr>
        </w:div>
        <w:div w:id="1848859526">
          <w:marLeft w:val="0"/>
          <w:marRight w:val="0"/>
          <w:marTop w:val="0"/>
          <w:marBottom w:val="0"/>
          <w:divBdr>
            <w:top w:val="none" w:sz="0" w:space="0" w:color="auto"/>
            <w:left w:val="none" w:sz="0" w:space="0" w:color="auto"/>
            <w:bottom w:val="none" w:sz="0" w:space="0" w:color="auto"/>
            <w:right w:val="none" w:sz="0" w:space="0" w:color="auto"/>
          </w:divBdr>
        </w:div>
        <w:div w:id="1851019330">
          <w:marLeft w:val="0"/>
          <w:marRight w:val="0"/>
          <w:marTop w:val="0"/>
          <w:marBottom w:val="0"/>
          <w:divBdr>
            <w:top w:val="none" w:sz="0" w:space="0" w:color="auto"/>
            <w:left w:val="none" w:sz="0" w:space="0" w:color="auto"/>
            <w:bottom w:val="none" w:sz="0" w:space="0" w:color="auto"/>
            <w:right w:val="none" w:sz="0" w:space="0" w:color="auto"/>
          </w:divBdr>
        </w:div>
        <w:div w:id="1856965429">
          <w:marLeft w:val="0"/>
          <w:marRight w:val="0"/>
          <w:marTop w:val="0"/>
          <w:marBottom w:val="0"/>
          <w:divBdr>
            <w:top w:val="none" w:sz="0" w:space="0" w:color="auto"/>
            <w:left w:val="none" w:sz="0" w:space="0" w:color="auto"/>
            <w:bottom w:val="none" w:sz="0" w:space="0" w:color="auto"/>
            <w:right w:val="none" w:sz="0" w:space="0" w:color="auto"/>
          </w:divBdr>
        </w:div>
        <w:div w:id="1857379736">
          <w:marLeft w:val="0"/>
          <w:marRight w:val="0"/>
          <w:marTop w:val="0"/>
          <w:marBottom w:val="0"/>
          <w:divBdr>
            <w:top w:val="none" w:sz="0" w:space="0" w:color="auto"/>
            <w:left w:val="none" w:sz="0" w:space="0" w:color="auto"/>
            <w:bottom w:val="none" w:sz="0" w:space="0" w:color="auto"/>
            <w:right w:val="none" w:sz="0" w:space="0" w:color="auto"/>
          </w:divBdr>
        </w:div>
        <w:div w:id="1868523746">
          <w:marLeft w:val="0"/>
          <w:marRight w:val="0"/>
          <w:marTop w:val="0"/>
          <w:marBottom w:val="0"/>
          <w:divBdr>
            <w:top w:val="none" w:sz="0" w:space="0" w:color="auto"/>
            <w:left w:val="none" w:sz="0" w:space="0" w:color="auto"/>
            <w:bottom w:val="none" w:sz="0" w:space="0" w:color="auto"/>
            <w:right w:val="none" w:sz="0" w:space="0" w:color="auto"/>
          </w:divBdr>
        </w:div>
        <w:div w:id="1878155989">
          <w:marLeft w:val="0"/>
          <w:marRight w:val="0"/>
          <w:marTop w:val="0"/>
          <w:marBottom w:val="0"/>
          <w:divBdr>
            <w:top w:val="none" w:sz="0" w:space="0" w:color="auto"/>
            <w:left w:val="none" w:sz="0" w:space="0" w:color="auto"/>
            <w:bottom w:val="none" w:sz="0" w:space="0" w:color="auto"/>
            <w:right w:val="none" w:sz="0" w:space="0" w:color="auto"/>
          </w:divBdr>
        </w:div>
        <w:div w:id="1881934346">
          <w:marLeft w:val="0"/>
          <w:marRight w:val="0"/>
          <w:marTop w:val="0"/>
          <w:marBottom w:val="0"/>
          <w:divBdr>
            <w:top w:val="none" w:sz="0" w:space="0" w:color="auto"/>
            <w:left w:val="none" w:sz="0" w:space="0" w:color="auto"/>
            <w:bottom w:val="none" w:sz="0" w:space="0" w:color="auto"/>
            <w:right w:val="none" w:sz="0" w:space="0" w:color="auto"/>
          </w:divBdr>
        </w:div>
        <w:div w:id="1885169424">
          <w:marLeft w:val="0"/>
          <w:marRight w:val="0"/>
          <w:marTop w:val="0"/>
          <w:marBottom w:val="0"/>
          <w:divBdr>
            <w:top w:val="none" w:sz="0" w:space="0" w:color="auto"/>
            <w:left w:val="none" w:sz="0" w:space="0" w:color="auto"/>
            <w:bottom w:val="none" w:sz="0" w:space="0" w:color="auto"/>
            <w:right w:val="none" w:sz="0" w:space="0" w:color="auto"/>
          </w:divBdr>
        </w:div>
        <w:div w:id="1886794497">
          <w:marLeft w:val="0"/>
          <w:marRight w:val="0"/>
          <w:marTop w:val="0"/>
          <w:marBottom w:val="0"/>
          <w:divBdr>
            <w:top w:val="none" w:sz="0" w:space="0" w:color="auto"/>
            <w:left w:val="none" w:sz="0" w:space="0" w:color="auto"/>
            <w:bottom w:val="none" w:sz="0" w:space="0" w:color="auto"/>
            <w:right w:val="none" w:sz="0" w:space="0" w:color="auto"/>
          </w:divBdr>
        </w:div>
        <w:div w:id="1896350209">
          <w:marLeft w:val="0"/>
          <w:marRight w:val="0"/>
          <w:marTop w:val="0"/>
          <w:marBottom w:val="0"/>
          <w:divBdr>
            <w:top w:val="none" w:sz="0" w:space="0" w:color="auto"/>
            <w:left w:val="none" w:sz="0" w:space="0" w:color="auto"/>
            <w:bottom w:val="none" w:sz="0" w:space="0" w:color="auto"/>
            <w:right w:val="none" w:sz="0" w:space="0" w:color="auto"/>
          </w:divBdr>
        </w:div>
        <w:div w:id="1900507476">
          <w:marLeft w:val="0"/>
          <w:marRight w:val="0"/>
          <w:marTop w:val="0"/>
          <w:marBottom w:val="0"/>
          <w:divBdr>
            <w:top w:val="none" w:sz="0" w:space="0" w:color="auto"/>
            <w:left w:val="none" w:sz="0" w:space="0" w:color="auto"/>
            <w:bottom w:val="none" w:sz="0" w:space="0" w:color="auto"/>
            <w:right w:val="none" w:sz="0" w:space="0" w:color="auto"/>
          </w:divBdr>
        </w:div>
        <w:div w:id="1906647497">
          <w:marLeft w:val="0"/>
          <w:marRight w:val="0"/>
          <w:marTop w:val="0"/>
          <w:marBottom w:val="0"/>
          <w:divBdr>
            <w:top w:val="none" w:sz="0" w:space="0" w:color="auto"/>
            <w:left w:val="none" w:sz="0" w:space="0" w:color="auto"/>
            <w:bottom w:val="none" w:sz="0" w:space="0" w:color="auto"/>
            <w:right w:val="none" w:sz="0" w:space="0" w:color="auto"/>
          </w:divBdr>
        </w:div>
        <w:div w:id="1918322577">
          <w:marLeft w:val="0"/>
          <w:marRight w:val="0"/>
          <w:marTop w:val="0"/>
          <w:marBottom w:val="0"/>
          <w:divBdr>
            <w:top w:val="none" w:sz="0" w:space="0" w:color="auto"/>
            <w:left w:val="none" w:sz="0" w:space="0" w:color="auto"/>
            <w:bottom w:val="none" w:sz="0" w:space="0" w:color="auto"/>
            <w:right w:val="none" w:sz="0" w:space="0" w:color="auto"/>
          </w:divBdr>
        </w:div>
        <w:div w:id="1918859753">
          <w:marLeft w:val="0"/>
          <w:marRight w:val="0"/>
          <w:marTop w:val="0"/>
          <w:marBottom w:val="0"/>
          <w:divBdr>
            <w:top w:val="none" w:sz="0" w:space="0" w:color="auto"/>
            <w:left w:val="none" w:sz="0" w:space="0" w:color="auto"/>
            <w:bottom w:val="none" w:sz="0" w:space="0" w:color="auto"/>
            <w:right w:val="none" w:sz="0" w:space="0" w:color="auto"/>
          </w:divBdr>
        </w:div>
        <w:div w:id="1926761988">
          <w:marLeft w:val="0"/>
          <w:marRight w:val="0"/>
          <w:marTop w:val="0"/>
          <w:marBottom w:val="0"/>
          <w:divBdr>
            <w:top w:val="none" w:sz="0" w:space="0" w:color="auto"/>
            <w:left w:val="none" w:sz="0" w:space="0" w:color="auto"/>
            <w:bottom w:val="none" w:sz="0" w:space="0" w:color="auto"/>
            <w:right w:val="none" w:sz="0" w:space="0" w:color="auto"/>
          </w:divBdr>
        </w:div>
        <w:div w:id="1931427678">
          <w:marLeft w:val="0"/>
          <w:marRight w:val="0"/>
          <w:marTop w:val="0"/>
          <w:marBottom w:val="0"/>
          <w:divBdr>
            <w:top w:val="none" w:sz="0" w:space="0" w:color="auto"/>
            <w:left w:val="none" w:sz="0" w:space="0" w:color="auto"/>
            <w:bottom w:val="none" w:sz="0" w:space="0" w:color="auto"/>
            <w:right w:val="none" w:sz="0" w:space="0" w:color="auto"/>
          </w:divBdr>
        </w:div>
        <w:div w:id="1958221049">
          <w:marLeft w:val="0"/>
          <w:marRight w:val="0"/>
          <w:marTop w:val="0"/>
          <w:marBottom w:val="0"/>
          <w:divBdr>
            <w:top w:val="none" w:sz="0" w:space="0" w:color="auto"/>
            <w:left w:val="none" w:sz="0" w:space="0" w:color="auto"/>
            <w:bottom w:val="none" w:sz="0" w:space="0" w:color="auto"/>
            <w:right w:val="none" w:sz="0" w:space="0" w:color="auto"/>
          </w:divBdr>
        </w:div>
        <w:div w:id="1994527745">
          <w:marLeft w:val="0"/>
          <w:marRight w:val="0"/>
          <w:marTop w:val="0"/>
          <w:marBottom w:val="0"/>
          <w:divBdr>
            <w:top w:val="none" w:sz="0" w:space="0" w:color="auto"/>
            <w:left w:val="none" w:sz="0" w:space="0" w:color="auto"/>
            <w:bottom w:val="none" w:sz="0" w:space="0" w:color="auto"/>
            <w:right w:val="none" w:sz="0" w:space="0" w:color="auto"/>
          </w:divBdr>
        </w:div>
        <w:div w:id="1999189364">
          <w:marLeft w:val="0"/>
          <w:marRight w:val="0"/>
          <w:marTop w:val="0"/>
          <w:marBottom w:val="0"/>
          <w:divBdr>
            <w:top w:val="none" w:sz="0" w:space="0" w:color="auto"/>
            <w:left w:val="none" w:sz="0" w:space="0" w:color="auto"/>
            <w:bottom w:val="none" w:sz="0" w:space="0" w:color="auto"/>
            <w:right w:val="none" w:sz="0" w:space="0" w:color="auto"/>
          </w:divBdr>
        </w:div>
        <w:div w:id="2005545234">
          <w:marLeft w:val="0"/>
          <w:marRight w:val="0"/>
          <w:marTop w:val="0"/>
          <w:marBottom w:val="0"/>
          <w:divBdr>
            <w:top w:val="none" w:sz="0" w:space="0" w:color="auto"/>
            <w:left w:val="none" w:sz="0" w:space="0" w:color="auto"/>
            <w:bottom w:val="none" w:sz="0" w:space="0" w:color="auto"/>
            <w:right w:val="none" w:sz="0" w:space="0" w:color="auto"/>
          </w:divBdr>
        </w:div>
        <w:div w:id="2027318623">
          <w:marLeft w:val="0"/>
          <w:marRight w:val="0"/>
          <w:marTop w:val="0"/>
          <w:marBottom w:val="0"/>
          <w:divBdr>
            <w:top w:val="none" w:sz="0" w:space="0" w:color="auto"/>
            <w:left w:val="none" w:sz="0" w:space="0" w:color="auto"/>
            <w:bottom w:val="none" w:sz="0" w:space="0" w:color="auto"/>
            <w:right w:val="none" w:sz="0" w:space="0" w:color="auto"/>
          </w:divBdr>
        </w:div>
        <w:div w:id="2055494607">
          <w:marLeft w:val="0"/>
          <w:marRight w:val="0"/>
          <w:marTop w:val="0"/>
          <w:marBottom w:val="0"/>
          <w:divBdr>
            <w:top w:val="none" w:sz="0" w:space="0" w:color="auto"/>
            <w:left w:val="none" w:sz="0" w:space="0" w:color="auto"/>
            <w:bottom w:val="none" w:sz="0" w:space="0" w:color="auto"/>
            <w:right w:val="none" w:sz="0" w:space="0" w:color="auto"/>
          </w:divBdr>
        </w:div>
        <w:div w:id="2057313786">
          <w:marLeft w:val="0"/>
          <w:marRight w:val="0"/>
          <w:marTop w:val="0"/>
          <w:marBottom w:val="0"/>
          <w:divBdr>
            <w:top w:val="none" w:sz="0" w:space="0" w:color="auto"/>
            <w:left w:val="none" w:sz="0" w:space="0" w:color="auto"/>
            <w:bottom w:val="none" w:sz="0" w:space="0" w:color="auto"/>
            <w:right w:val="none" w:sz="0" w:space="0" w:color="auto"/>
          </w:divBdr>
        </w:div>
        <w:div w:id="2065644136">
          <w:marLeft w:val="0"/>
          <w:marRight w:val="0"/>
          <w:marTop w:val="0"/>
          <w:marBottom w:val="0"/>
          <w:divBdr>
            <w:top w:val="none" w:sz="0" w:space="0" w:color="auto"/>
            <w:left w:val="none" w:sz="0" w:space="0" w:color="auto"/>
            <w:bottom w:val="none" w:sz="0" w:space="0" w:color="auto"/>
            <w:right w:val="none" w:sz="0" w:space="0" w:color="auto"/>
          </w:divBdr>
        </w:div>
        <w:div w:id="2079203083">
          <w:marLeft w:val="0"/>
          <w:marRight w:val="0"/>
          <w:marTop w:val="0"/>
          <w:marBottom w:val="0"/>
          <w:divBdr>
            <w:top w:val="none" w:sz="0" w:space="0" w:color="auto"/>
            <w:left w:val="none" w:sz="0" w:space="0" w:color="auto"/>
            <w:bottom w:val="none" w:sz="0" w:space="0" w:color="auto"/>
            <w:right w:val="none" w:sz="0" w:space="0" w:color="auto"/>
          </w:divBdr>
        </w:div>
        <w:div w:id="2095474347">
          <w:marLeft w:val="0"/>
          <w:marRight w:val="0"/>
          <w:marTop w:val="0"/>
          <w:marBottom w:val="0"/>
          <w:divBdr>
            <w:top w:val="none" w:sz="0" w:space="0" w:color="auto"/>
            <w:left w:val="none" w:sz="0" w:space="0" w:color="auto"/>
            <w:bottom w:val="none" w:sz="0" w:space="0" w:color="auto"/>
            <w:right w:val="none" w:sz="0" w:space="0" w:color="auto"/>
          </w:divBdr>
        </w:div>
        <w:div w:id="2099056090">
          <w:marLeft w:val="0"/>
          <w:marRight w:val="0"/>
          <w:marTop w:val="0"/>
          <w:marBottom w:val="0"/>
          <w:divBdr>
            <w:top w:val="none" w:sz="0" w:space="0" w:color="auto"/>
            <w:left w:val="none" w:sz="0" w:space="0" w:color="auto"/>
            <w:bottom w:val="none" w:sz="0" w:space="0" w:color="auto"/>
            <w:right w:val="none" w:sz="0" w:space="0" w:color="auto"/>
          </w:divBdr>
        </w:div>
        <w:div w:id="2100640695">
          <w:marLeft w:val="0"/>
          <w:marRight w:val="0"/>
          <w:marTop w:val="0"/>
          <w:marBottom w:val="0"/>
          <w:divBdr>
            <w:top w:val="none" w:sz="0" w:space="0" w:color="auto"/>
            <w:left w:val="none" w:sz="0" w:space="0" w:color="auto"/>
            <w:bottom w:val="none" w:sz="0" w:space="0" w:color="auto"/>
            <w:right w:val="none" w:sz="0" w:space="0" w:color="auto"/>
          </w:divBdr>
        </w:div>
        <w:div w:id="2107310215">
          <w:marLeft w:val="0"/>
          <w:marRight w:val="0"/>
          <w:marTop w:val="0"/>
          <w:marBottom w:val="0"/>
          <w:divBdr>
            <w:top w:val="none" w:sz="0" w:space="0" w:color="auto"/>
            <w:left w:val="none" w:sz="0" w:space="0" w:color="auto"/>
            <w:bottom w:val="none" w:sz="0" w:space="0" w:color="auto"/>
            <w:right w:val="none" w:sz="0" w:space="0" w:color="auto"/>
          </w:divBdr>
        </w:div>
        <w:div w:id="2121022566">
          <w:marLeft w:val="0"/>
          <w:marRight w:val="0"/>
          <w:marTop w:val="0"/>
          <w:marBottom w:val="0"/>
          <w:divBdr>
            <w:top w:val="none" w:sz="0" w:space="0" w:color="auto"/>
            <w:left w:val="none" w:sz="0" w:space="0" w:color="auto"/>
            <w:bottom w:val="none" w:sz="0" w:space="0" w:color="auto"/>
            <w:right w:val="none" w:sz="0" w:space="0" w:color="auto"/>
          </w:divBdr>
        </w:div>
        <w:div w:id="2135057546">
          <w:marLeft w:val="0"/>
          <w:marRight w:val="0"/>
          <w:marTop w:val="0"/>
          <w:marBottom w:val="0"/>
          <w:divBdr>
            <w:top w:val="none" w:sz="0" w:space="0" w:color="auto"/>
            <w:left w:val="none" w:sz="0" w:space="0" w:color="auto"/>
            <w:bottom w:val="none" w:sz="0" w:space="0" w:color="auto"/>
            <w:right w:val="none" w:sz="0" w:space="0" w:color="auto"/>
          </w:divBdr>
        </w:div>
        <w:div w:id="2139258770">
          <w:marLeft w:val="0"/>
          <w:marRight w:val="0"/>
          <w:marTop w:val="0"/>
          <w:marBottom w:val="0"/>
          <w:divBdr>
            <w:top w:val="none" w:sz="0" w:space="0" w:color="auto"/>
            <w:left w:val="none" w:sz="0" w:space="0" w:color="auto"/>
            <w:bottom w:val="none" w:sz="0" w:space="0" w:color="auto"/>
            <w:right w:val="none" w:sz="0" w:space="0" w:color="auto"/>
          </w:divBdr>
        </w:div>
      </w:divsChild>
    </w:div>
    <w:div w:id="1059479596">
      <w:bodyDiv w:val="1"/>
      <w:marLeft w:val="0"/>
      <w:marRight w:val="0"/>
      <w:marTop w:val="0"/>
      <w:marBottom w:val="0"/>
      <w:divBdr>
        <w:top w:val="none" w:sz="0" w:space="0" w:color="auto"/>
        <w:left w:val="none" w:sz="0" w:space="0" w:color="auto"/>
        <w:bottom w:val="none" w:sz="0" w:space="0" w:color="auto"/>
        <w:right w:val="none" w:sz="0" w:space="0" w:color="auto"/>
      </w:divBdr>
      <w:divsChild>
        <w:div w:id="1678270109">
          <w:marLeft w:val="0"/>
          <w:marRight w:val="0"/>
          <w:marTop w:val="0"/>
          <w:marBottom w:val="0"/>
          <w:divBdr>
            <w:top w:val="none" w:sz="0" w:space="0" w:color="auto"/>
            <w:left w:val="none" w:sz="0" w:space="0" w:color="auto"/>
            <w:bottom w:val="none" w:sz="0" w:space="0" w:color="auto"/>
            <w:right w:val="none" w:sz="0" w:space="0" w:color="auto"/>
          </w:divBdr>
          <w:divsChild>
            <w:div w:id="32318213">
              <w:marLeft w:val="0"/>
              <w:marRight w:val="0"/>
              <w:marTop w:val="0"/>
              <w:marBottom w:val="0"/>
              <w:divBdr>
                <w:top w:val="none" w:sz="0" w:space="0" w:color="auto"/>
                <w:left w:val="none" w:sz="0" w:space="0" w:color="auto"/>
                <w:bottom w:val="none" w:sz="0" w:space="0" w:color="auto"/>
                <w:right w:val="none" w:sz="0" w:space="0" w:color="auto"/>
              </w:divBdr>
            </w:div>
            <w:div w:id="95832911">
              <w:marLeft w:val="0"/>
              <w:marRight w:val="0"/>
              <w:marTop w:val="0"/>
              <w:marBottom w:val="0"/>
              <w:divBdr>
                <w:top w:val="none" w:sz="0" w:space="0" w:color="auto"/>
                <w:left w:val="none" w:sz="0" w:space="0" w:color="auto"/>
                <w:bottom w:val="none" w:sz="0" w:space="0" w:color="auto"/>
                <w:right w:val="none" w:sz="0" w:space="0" w:color="auto"/>
              </w:divBdr>
            </w:div>
            <w:div w:id="150610378">
              <w:marLeft w:val="0"/>
              <w:marRight w:val="0"/>
              <w:marTop w:val="0"/>
              <w:marBottom w:val="0"/>
              <w:divBdr>
                <w:top w:val="none" w:sz="0" w:space="0" w:color="auto"/>
                <w:left w:val="none" w:sz="0" w:space="0" w:color="auto"/>
                <w:bottom w:val="none" w:sz="0" w:space="0" w:color="auto"/>
                <w:right w:val="none" w:sz="0" w:space="0" w:color="auto"/>
              </w:divBdr>
            </w:div>
            <w:div w:id="344789288">
              <w:marLeft w:val="0"/>
              <w:marRight w:val="0"/>
              <w:marTop w:val="0"/>
              <w:marBottom w:val="0"/>
              <w:divBdr>
                <w:top w:val="none" w:sz="0" w:space="0" w:color="auto"/>
                <w:left w:val="none" w:sz="0" w:space="0" w:color="auto"/>
                <w:bottom w:val="none" w:sz="0" w:space="0" w:color="auto"/>
                <w:right w:val="none" w:sz="0" w:space="0" w:color="auto"/>
              </w:divBdr>
            </w:div>
            <w:div w:id="461968900">
              <w:marLeft w:val="0"/>
              <w:marRight w:val="0"/>
              <w:marTop w:val="0"/>
              <w:marBottom w:val="0"/>
              <w:divBdr>
                <w:top w:val="none" w:sz="0" w:space="0" w:color="auto"/>
                <w:left w:val="none" w:sz="0" w:space="0" w:color="auto"/>
                <w:bottom w:val="none" w:sz="0" w:space="0" w:color="auto"/>
                <w:right w:val="none" w:sz="0" w:space="0" w:color="auto"/>
              </w:divBdr>
            </w:div>
            <w:div w:id="494758750">
              <w:marLeft w:val="0"/>
              <w:marRight w:val="0"/>
              <w:marTop w:val="0"/>
              <w:marBottom w:val="0"/>
              <w:divBdr>
                <w:top w:val="none" w:sz="0" w:space="0" w:color="auto"/>
                <w:left w:val="none" w:sz="0" w:space="0" w:color="auto"/>
                <w:bottom w:val="none" w:sz="0" w:space="0" w:color="auto"/>
                <w:right w:val="none" w:sz="0" w:space="0" w:color="auto"/>
              </w:divBdr>
            </w:div>
            <w:div w:id="626591469">
              <w:marLeft w:val="0"/>
              <w:marRight w:val="0"/>
              <w:marTop w:val="0"/>
              <w:marBottom w:val="0"/>
              <w:divBdr>
                <w:top w:val="none" w:sz="0" w:space="0" w:color="auto"/>
                <w:left w:val="none" w:sz="0" w:space="0" w:color="auto"/>
                <w:bottom w:val="none" w:sz="0" w:space="0" w:color="auto"/>
                <w:right w:val="none" w:sz="0" w:space="0" w:color="auto"/>
              </w:divBdr>
            </w:div>
            <w:div w:id="675808910">
              <w:marLeft w:val="0"/>
              <w:marRight w:val="0"/>
              <w:marTop w:val="0"/>
              <w:marBottom w:val="0"/>
              <w:divBdr>
                <w:top w:val="none" w:sz="0" w:space="0" w:color="auto"/>
                <w:left w:val="none" w:sz="0" w:space="0" w:color="auto"/>
                <w:bottom w:val="none" w:sz="0" w:space="0" w:color="auto"/>
                <w:right w:val="none" w:sz="0" w:space="0" w:color="auto"/>
              </w:divBdr>
            </w:div>
            <w:div w:id="733622268">
              <w:marLeft w:val="0"/>
              <w:marRight w:val="0"/>
              <w:marTop w:val="0"/>
              <w:marBottom w:val="0"/>
              <w:divBdr>
                <w:top w:val="none" w:sz="0" w:space="0" w:color="auto"/>
                <w:left w:val="none" w:sz="0" w:space="0" w:color="auto"/>
                <w:bottom w:val="none" w:sz="0" w:space="0" w:color="auto"/>
                <w:right w:val="none" w:sz="0" w:space="0" w:color="auto"/>
              </w:divBdr>
            </w:div>
            <w:div w:id="800734751">
              <w:marLeft w:val="0"/>
              <w:marRight w:val="0"/>
              <w:marTop w:val="0"/>
              <w:marBottom w:val="0"/>
              <w:divBdr>
                <w:top w:val="none" w:sz="0" w:space="0" w:color="auto"/>
                <w:left w:val="none" w:sz="0" w:space="0" w:color="auto"/>
                <w:bottom w:val="none" w:sz="0" w:space="0" w:color="auto"/>
                <w:right w:val="none" w:sz="0" w:space="0" w:color="auto"/>
              </w:divBdr>
            </w:div>
            <w:div w:id="920717198">
              <w:marLeft w:val="0"/>
              <w:marRight w:val="0"/>
              <w:marTop w:val="0"/>
              <w:marBottom w:val="0"/>
              <w:divBdr>
                <w:top w:val="none" w:sz="0" w:space="0" w:color="auto"/>
                <w:left w:val="none" w:sz="0" w:space="0" w:color="auto"/>
                <w:bottom w:val="none" w:sz="0" w:space="0" w:color="auto"/>
                <w:right w:val="none" w:sz="0" w:space="0" w:color="auto"/>
              </w:divBdr>
            </w:div>
            <w:div w:id="1005479001">
              <w:marLeft w:val="0"/>
              <w:marRight w:val="0"/>
              <w:marTop w:val="0"/>
              <w:marBottom w:val="0"/>
              <w:divBdr>
                <w:top w:val="none" w:sz="0" w:space="0" w:color="auto"/>
                <w:left w:val="none" w:sz="0" w:space="0" w:color="auto"/>
                <w:bottom w:val="none" w:sz="0" w:space="0" w:color="auto"/>
                <w:right w:val="none" w:sz="0" w:space="0" w:color="auto"/>
              </w:divBdr>
            </w:div>
            <w:div w:id="1088622242">
              <w:marLeft w:val="0"/>
              <w:marRight w:val="0"/>
              <w:marTop w:val="0"/>
              <w:marBottom w:val="0"/>
              <w:divBdr>
                <w:top w:val="none" w:sz="0" w:space="0" w:color="auto"/>
                <w:left w:val="none" w:sz="0" w:space="0" w:color="auto"/>
                <w:bottom w:val="none" w:sz="0" w:space="0" w:color="auto"/>
                <w:right w:val="none" w:sz="0" w:space="0" w:color="auto"/>
              </w:divBdr>
            </w:div>
            <w:div w:id="1239050081">
              <w:marLeft w:val="0"/>
              <w:marRight w:val="0"/>
              <w:marTop w:val="0"/>
              <w:marBottom w:val="0"/>
              <w:divBdr>
                <w:top w:val="none" w:sz="0" w:space="0" w:color="auto"/>
                <w:left w:val="none" w:sz="0" w:space="0" w:color="auto"/>
                <w:bottom w:val="none" w:sz="0" w:space="0" w:color="auto"/>
                <w:right w:val="none" w:sz="0" w:space="0" w:color="auto"/>
              </w:divBdr>
            </w:div>
            <w:div w:id="1420298967">
              <w:marLeft w:val="0"/>
              <w:marRight w:val="0"/>
              <w:marTop w:val="0"/>
              <w:marBottom w:val="0"/>
              <w:divBdr>
                <w:top w:val="none" w:sz="0" w:space="0" w:color="auto"/>
                <w:left w:val="none" w:sz="0" w:space="0" w:color="auto"/>
                <w:bottom w:val="none" w:sz="0" w:space="0" w:color="auto"/>
                <w:right w:val="none" w:sz="0" w:space="0" w:color="auto"/>
              </w:divBdr>
            </w:div>
            <w:div w:id="1421367179">
              <w:marLeft w:val="0"/>
              <w:marRight w:val="0"/>
              <w:marTop w:val="0"/>
              <w:marBottom w:val="0"/>
              <w:divBdr>
                <w:top w:val="none" w:sz="0" w:space="0" w:color="auto"/>
                <w:left w:val="none" w:sz="0" w:space="0" w:color="auto"/>
                <w:bottom w:val="none" w:sz="0" w:space="0" w:color="auto"/>
                <w:right w:val="none" w:sz="0" w:space="0" w:color="auto"/>
              </w:divBdr>
            </w:div>
            <w:div w:id="1425419341">
              <w:marLeft w:val="0"/>
              <w:marRight w:val="0"/>
              <w:marTop w:val="0"/>
              <w:marBottom w:val="0"/>
              <w:divBdr>
                <w:top w:val="none" w:sz="0" w:space="0" w:color="auto"/>
                <w:left w:val="none" w:sz="0" w:space="0" w:color="auto"/>
                <w:bottom w:val="none" w:sz="0" w:space="0" w:color="auto"/>
                <w:right w:val="none" w:sz="0" w:space="0" w:color="auto"/>
              </w:divBdr>
            </w:div>
            <w:div w:id="1433669409">
              <w:marLeft w:val="0"/>
              <w:marRight w:val="0"/>
              <w:marTop w:val="0"/>
              <w:marBottom w:val="0"/>
              <w:divBdr>
                <w:top w:val="none" w:sz="0" w:space="0" w:color="auto"/>
                <w:left w:val="none" w:sz="0" w:space="0" w:color="auto"/>
                <w:bottom w:val="none" w:sz="0" w:space="0" w:color="auto"/>
                <w:right w:val="none" w:sz="0" w:space="0" w:color="auto"/>
              </w:divBdr>
            </w:div>
            <w:div w:id="1640450442">
              <w:marLeft w:val="0"/>
              <w:marRight w:val="0"/>
              <w:marTop w:val="0"/>
              <w:marBottom w:val="0"/>
              <w:divBdr>
                <w:top w:val="none" w:sz="0" w:space="0" w:color="auto"/>
                <w:left w:val="none" w:sz="0" w:space="0" w:color="auto"/>
                <w:bottom w:val="none" w:sz="0" w:space="0" w:color="auto"/>
                <w:right w:val="none" w:sz="0" w:space="0" w:color="auto"/>
              </w:divBdr>
            </w:div>
            <w:div w:id="1822844415">
              <w:marLeft w:val="0"/>
              <w:marRight w:val="0"/>
              <w:marTop w:val="0"/>
              <w:marBottom w:val="0"/>
              <w:divBdr>
                <w:top w:val="none" w:sz="0" w:space="0" w:color="auto"/>
                <w:left w:val="none" w:sz="0" w:space="0" w:color="auto"/>
                <w:bottom w:val="none" w:sz="0" w:space="0" w:color="auto"/>
                <w:right w:val="none" w:sz="0" w:space="0" w:color="auto"/>
              </w:divBdr>
            </w:div>
            <w:div w:id="1861819728">
              <w:marLeft w:val="0"/>
              <w:marRight w:val="0"/>
              <w:marTop w:val="0"/>
              <w:marBottom w:val="0"/>
              <w:divBdr>
                <w:top w:val="none" w:sz="0" w:space="0" w:color="auto"/>
                <w:left w:val="none" w:sz="0" w:space="0" w:color="auto"/>
                <w:bottom w:val="none" w:sz="0" w:space="0" w:color="auto"/>
                <w:right w:val="none" w:sz="0" w:space="0" w:color="auto"/>
              </w:divBdr>
            </w:div>
            <w:div w:id="1977712094">
              <w:marLeft w:val="0"/>
              <w:marRight w:val="0"/>
              <w:marTop w:val="0"/>
              <w:marBottom w:val="0"/>
              <w:divBdr>
                <w:top w:val="none" w:sz="0" w:space="0" w:color="auto"/>
                <w:left w:val="none" w:sz="0" w:space="0" w:color="auto"/>
                <w:bottom w:val="none" w:sz="0" w:space="0" w:color="auto"/>
                <w:right w:val="none" w:sz="0" w:space="0" w:color="auto"/>
              </w:divBdr>
            </w:div>
            <w:div w:id="199101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488290">
      <w:bodyDiv w:val="1"/>
      <w:marLeft w:val="0"/>
      <w:marRight w:val="0"/>
      <w:marTop w:val="0"/>
      <w:marBottom w:val="0"/>
      <w:divBdr>
        <w:top w:val="none" w:sz="0" w:space="0" w:color="auto"/>
        <w:left w:val="none" w:sz="0" w:space="0" w:color="auto"/>
        <w:bottom w:val="none" w:sz="0" w:space="0" w:color="auto"/>
        <w:right w:val="none" w:sz="0" w:space="0" w:color="auto"/>
      </w:divBdr>
    </w:div>
    <w:div w:id="1215779047">
      <w:bodyDiv w:val="1"/>
      <w:marLeft w:val="0"/>
      <w:marRight w:val="0"/>
      <w:marTop w:val="0"/>
      <w:marBottom w:val="0"/>
      <w:divBdr>
        <w:top w:val="none" w:sz="0" w:space="0" w:color="auto"/>
        <w:left w:val="none" w:sz="0" w:space="0" w:color="auto"/>
        <w:bottom w:val="none" w:sz="0" w:space="0" w:color="auto"/>
        <w:right w:val="none" w:sz="0" w:space="0" w:color="auto"/>
      </w:divBdr>
      <w:divsChild>
        <w:div w:id="684602093">
          <w:marLeft w:val="0"/>
          <w:marRight w:val="0"/>
          <w:marTop w:val="0"/>
          <w:marBottom w:val="0"/>
          <w:divBdr>
            <w:top w:val="none" w:sz="0" w:space="0" w:color="auto"/>
            <w:left w:val="none" w:sz="0" w:space="0" w:color="auto"/>
            <w:bottom w:val="none" w:sz="0" w:space="0" w:color="auto"/>
            <w:right w:val="none" w:sz="0" w:space="0" w:color="auto"/>
          </w:divBdr>
        </w:div>
        <w:div w:id="1283269886">
          <w:marLeft w:val="0"/>
          <w:marRight w:val="0"/>
          <w:marTop w:val="0"/>
          <w:marBottom w:val="0"/>
          <w:divBdr>
            <w:top w:val="none" w:sz="0" w:space="0" w:color="auto"/>
            <w:left w:val="none" w:sz="0" w:space="0" w:color="auto"/>
            <w:bottom w:val="none" w:sz="0" w:space="0" w:color="auto"/>
            <w:right w:val="none" w:sz="0" w:space="0" w:color="auto"/>
          </w:divBdr>
        </w:div>
      </w:divsChild>
    </w:div>
    <w:div w:id="1432621726">
      <w:bodyDiv w:val="1"/>
      <w:marLeft w:val="0"/>
      <w:marRight w:val="0"/>
      <w:marTop w:val="0"/>
      <w:marBottom w:val="0"/>
      <w:divBdr>
        <w:top w:val="none" w:sz="0" w:space="0" w:color="auto"/>
        <w:left w:val="none" w:sz="0" w:space="0" w:color="auto"/>
        <w:bottom w:val="none" w:sz="0" w:space="0" w:color="auto"/>
        <w:right w:val="none" w:sz="0" w:space="0" w:color="auto"/>
      </w:divBdr>
      <w:divsChild>
        <w:div w:id="1060131598">
          <w:marLeft w:val="0"/>
          <w:marRight w:val="0"/>
          <w:marTop w:val="0"/>
          <w:marBottom w:val="0"/>
          <w:divBdr>
            <w:top w:val="none" w:sz="0" w:space="0" w:color="auto"/>
            <w:left w:val="none" w:sz="0" w:space="0" w:color="auto"/>
            <w:bottom w:val="none" w:sz="0" w:space="0" w:color="auto"/>
            <w:right w:val="none" w:sz="0" w:space="0" w:color="auto"/>
          </w:divBdr>
          <w:divsChild>
            <w:div w:id="194271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616442">
      <w:bodyDiv w:val="1"/>
      <w:marLeft w:val="0"/>
      <w:marRight w:val="0"/>
      <w:marTop w:val="0"/>
      <w:marBottom w:val="0"/>
      <w:divBdr>
        <w:top w:val="none" w:sz="0" w:space="0" w:color="auto"/>
        <w:left w:val="none" w:sz="0" w:space="0" w:color="auto"/>
        <w:bottom w:val="none" w:sz="0" w:space="0" w:color="auto"/>
        <w:right w:val="none" w:sz="0" w:space="0" w:color="auto"/>
      </w:divBdr>
      <w:divsChild>
        <w:div w:id="1562666430">
          <w:marLeft w:val="0"/>
          <w:marRight w:val="0"/>
          <w:marTop w:val="0"/>
          <w:marBottom w:val="0"/>
          <w:divBdr>
            <w:top w:val="none" w:sz="0" w:space="0" w:color="auto"/>
            <w:left w:val="none" w:sz="0" w:space="0" w:color="auto"/>
            <w:bottom w:val="none" w:sz="0" w:space="0" w:color="auto"/>
            <w:right w:val="none" w:sz="0" w:space="0" w:color="auto"/>
          </w:divBdr>
        </w:div>
      </w:divsChild>
    </w:div>
    <w:div w:id="1626424098">
      <w:bodyDiv w:val="1"/>
      <w:marLeft w:val="0"/>
      <w:marRight w:val="0"/>
      <w:marTop w:val="0"/>
      <w:marBottom w:val="0"/>
      <w:divBdr>
        <w:top w:val="none" w:sz="0" w:space="0" w:color="auto"/>
        <w:left w:val="none" w:sz="0" w:space="0" w:color="auto"/>
        <w:bottom w:val="none" w:sz="0" w:space="0" w:color="auto"/>
        <w:right w:val="none" w:sz="0" w:space="0" w:color="auto"/>
      </w:divBdr>
    </w:div>
    <w:div w:id="1636983768">
      <w:bodyDiv w:val="1"/>
      <w:marLeft w:val="0"/>
      <w:marRight w:val="0"/>
      <w:marTop w:val="0"/>
      <w:marBottom w:val="0"/>
      <w:divBdr>
        <w:top w:val="none" w:sz="0" w:space="0" w:color="auto"/>
        <w:left w:val="none" w:sz="0" w:space="0" w:color="auto"/>
        <w:bottom w:val="none" w:sz="0" w:space="0" w:color="auto"/>
        <w:right w:val="none" w:sz="0" w:space="0" w:color="auto"/>
      </w:divBdr>
    </w:div>
    <w:div w:id="1909806507">
      <w:bodyDiv w:val="1"/>
      <w:marLeft w:val="0"/>
      <w:marRight w:val="0"/>
      <w:marTop w:val="0"/>
      <w:marBottom w:val="0"/>
      <w:divBdr>
        <w:top w:val="none" w:sz="0" w:space="0" w:color="auto"/>
        <w:left w:val="none" w:sz="0" w:space="0" w:color="auto"/>
        <w:bottom w:val="none" w:sz="0" w:space="0" w:color="auto"/>
        <w:right w:val="none" w:sz="0" w:space="0" w:color="auto"/>
      </w:divBdr>
      <w:divsChild>
        <w:div w:id="198081694">
          <w:marLeft w:val="0"/>
          <w:marRight w:val="0"/>
          <w:marTop w:val="0"/>
          <w:marBottom w:val="0"/>
          <w:divBdr>
            <w:top w:val="none" w:sz="0" w:space="0" w:color="auto"/>
            <w:left w:val="none" w:sz="0" w:space="0" w:color="auto"/>
            <w:bottom w:val="none" w:sz="0" w:space="0" w:color="auto"/>
            <w:right w:val="none" w:sz="0" w:space="0" w:color="auto"/>
          </w:divBdr>
        </w:div>
        <w:div w:id="1670401035">
          <w:marLeft w:val="0"/>
          <w:marRight w:val="0"/>
          <w:marTop w:val="0"/>
          <w:marBottom w:val="0"/>
          <w:divBdr>
            <w:top w:val="none" w:sz="0" w:space="0" w:color="auto"/>
            <w:left w:val="none" w:sz="0" w:space="0" w:color="auto"/>
            <w:bottom w:val="none" w:sz="0" w:space="0" w:color="auto"/>
            <w:right w:val="none" w:sz="0" w:space="0" w:color="auto"/>
          </w:divBdr>
        </w:div>
      </w:divsChild>
    </w:div>
    <w:div w:id="1966963360">
      <w:bodyDiv w:val="1"/>
      <w:marLeft w:val="0"/>
      <w:marRight w:val="0"/>
      <w:marTop w:val="0"/>
      <w:marBottom w:val="0"/>
      <w:divBdr>
        <w:top w:val="none" w:sz="0" w:space="0" w:color="auto"/>
        <w:left w:val="none" w:sz="0" w:space="0" w:color="auto"/>
        <w:bottom w:val="none" w:sz="0" w:space="0" w:color="auto"/>
        <w:right w:val="none" w:sz="0" w:space="0" w:color="auto"/>
      </w:divBdr>
      <w:divsChild>
        <w:div w:id="119879773">
          <w:marLeft w:val="0"/>
          <w:marRight w:val="0"/>
          <w:marTop w:val="0"/>
          <w:marBottom w:val="0"/>
          <w:divBdr>
            <w:top w:val="none" w:sz="0" w:space="0" w:color="auto"/>
            <w:left w:val="none" w:sz="0" w:space="0" w:color="auto"/>
            <w:bottom w:val="none" w:sz="0" w:space="0" w:color="auto"/>
            <w:right w:val="none" w:sz="0" w:space="0" w:color="auto"/>
          </w:divBdr>
        </w:div>
        <w:div w:id="425270653">
          <w:marLeft w:val="0"/>
          <w:marRight w:val="0"/>
          <w:marTop w:val="0"/>
          <w:marBottom w:val="0"/>
          <w:divBdr>
            <w:top w:val="none" w:sz="0" w:space="0" w:color="auto"/>
            <w:left w:val="none" w:sz="0" w:space="0" w:color="auto"/>
            <w:bottom w:val="none" w:sz="0" w:space="0" w:color="auto"/>
            <w:right w:val="none" w:sz="0" w:space="0" w:color="auto"/>
          </w:divBdr>
        </w:div>
        <w:div w:id="667748982">
          <w:marLeft w:val="0"/>
          <w:marRight w:val="0"/>
          <w:marTop w:val="0"/>
          <w:marBottom w:val="0"/>
          <w:divBdr>
            <w:top w:val="none" w:sz="0" w:space="0" w:color="auto"/>
            <w:left w:val="none" w:sz="0" w:space="0" w:color="auto"/>
            <w:bottom w:val="none" w:sz="0" w:space="0" w:color="auto"/>
            <w:right w:val="none" w:sz="0" w:space="0" w:color="auto"/>
          </w:divBdr>
        </w:div>
        <w:div w:id="679965694">
          <w:marLeft w:val="0"/>
          <w:marRight w:val="0"/>
          <w:marTop w:val="0"/>
          <w:marBottom w:val="0"/>
          <w:divBdr>
            <w:top w:val="none" w:sz="0" w:space="0" w:color="auto"/>
            <w:left w:val="none" w:sz="0" w:space="0" w:color="auto"/>
            <w:bottom w:val="none" w:sz="0" w:space="0" w:color="auto"/>
            <w:right w:val="none" w:sz="0" w:space="0" w:color="auto"/>
          </w:divBdr>
        </w:div>
        <w:div w:id="724720758">
          <w:marLeft w:val="0"/>
          <w:marRight w:val="0"/>
          <w:marTop w:val="0"/>
          <w:marBottom w:val="0"/>
          <w:divBdr>
            <w:top w:val="none" w:sz="0" w:space="0" w:color="auto"/>
            <w:left w:val="none" w:sz="0" w:space="0" w:color="auto"/>
            <w:bottom w:val="none" w:sz="0" w:space="0" w:color="auto"/>
            <w:right w:val="none" w:sz="0" w:space="0" w:color="auto"/>
          </w:divBdr>
        </w:div>
        <w:div w:id="764494382">
          <w:marLeft w:val="0"/>
          <w:marRight w:val="0"/>
          <w:marTop w:val="0"/>
          <w:marBottom w:val="0"/>
          <w:divBdr>
            <w:top w:val="none" w:sz="0" w:space="0" w:color="auto"/>
            <w:left w:val="none" w:sz="0" w:space="0" w:color="auto"/>
            <w:bottom w:val="none" w:sz="0" w:space="0" w:color="auto"/>
            <w:right w:val="none" w:sz="0" w:space="0" w:color="auto"/>
          </w:divBdr>
        </w:div>
        <w:div w:id="789323624">
          <w:marLeft w:val="0"/>
          <w:marRight w:val="0"/>
          <w:marTop w:val="0"/>
          <w:marBottom w:val="0"/>
          <w:divBdr>
            <w:top w:val="none" w:sz="0" w:space="0" w:color="auto"/>
            <w:left w:val="none" w:sz="0" w:space="0" w:color="auto"/>
            <w:bottom w:val="none" w:sz="0" w:space="0" w:color="auto"/>
            <w:right w:val="none" w:sz="0" w:space="0" w:color="auto"/>
          </w:divBdr>
        </w:div>
        <w:div w:id="834960324">
          <w:marLeft w:val="0"/>
          <w:marRight w:val="0"/>
          <w:marTop w:val="0"/>
          <w:marBottom w:val="0"/>
          <w:divBdr>
            <w:top w:val="none" w:sz="0" w:space="0" w:color="auto"/>
            <w:left w:val="none" w:sz="0" w:space="0" w:color="auto"/>
            <w:bottom w:val="none" w:sz="0" w:space="0" w:color="auto"/>
            <w:right w:val="none" w:sz="0" w:space="0" w:color="auto"/>
          </w:divBdr>
        </w:div>
        <w:div w:id="969627191">
          <w:marLeft w:val="0"/>
          <w:marRight w:val="0"/>
          <w:marTop w:val="0"/>
          <w:marBottom w:val="0"/>
          <w:divBdr>
            <w:top w:val="none" w:sz="0" w:space="0" w:color="auto"/>
            <w:left w:val="none" w:sz="0" w:space="0" w:color="auto"/>
            <w:bottom w:val="none" w:sz="0" w:space="0" w:color="auto"/>
            <w:right w:val="none" w:sz="0" w:space="0" w:color="auto"/>
          </w:divBdr>
        </w:div>
        <w:div w:id="1289705579">
          <w:marLeft w:val="0"/>
          <w:marRight w:val="0"/>
          <w:marTop w:val="0"/>
          <w:marBottom w:val="0"/>
          <w:divBdr>
            <w:top w:val="none" w:sz="0" w:space="0" w:color="auto"/>
            <w:left w:val="none" w:sz="0" w:space="0" w:color="auto"/>
            <w:bottom w:val="none" w:sz="0" w:space="0" w:color="auto"/>
            <w:right w:val="none" w:sz="0" w:space="0" w:color="auto"/>
          </w:divBdr>
        </w:div>
        <w:div w:id="1333681643">
          <w:marLeft w:val="0"/>
          <w:marRight w:val="0"/>
          <w:marTop w:val="0"/>
          <w:marBottom w:val="0"/>
          <w:divBdr>
            <w:top w:val="none" w:sz="0" w:space="0" w:color="auto"/>
            <w:left w:val="none" w:sz="0" w:space="0" w:color="auto"/>
            <w:bottom w:val="none" w:sz="0" w:space="0" w:color="auto"/>
            <w:right w:val="none" w:sz="0" w:space="0" w:color="auto"/>
          </w:divBdr>
        </w:div>
        <w:div w:id="1397558074">
          <w:marLeft w:val="0"/>
          <w:marRight w:val="0"/>
          <w:marTop w:val="0"/>
          <w:marBottom w:val="0"/>
          <w:divBdr>
            <w:top w:val="none" w:sz="0" w:space="0" w:color="auto"/>
            <w:left w:val="none" w:sz="0" w:space="0" w:color="auto"/>
            <w:bottom w:val="none" w:sz="0" w:space="0" w:color="auto"/>
            <w:right w:val="none" w:sz="0" w:space="0" w:color="auto"/>
          </w:divBdr>
        </w:div>
        <w:div w:id="1450737005">
          <w:marLeft w:val="0"/>
          <w:marRight w:val="0"/>
          <w:marTop w:val="0"/>
          <w:marBottom w:val="0"/>
          <w:divBdr>
            <w:top w:val="none" w:sz="0" w:space="0" w:color="auto"/>
            <w:left w:val="none" w:sz="0" w:space="0" w:color="auto"/>
            <w:bottom w:val="none" w:sz="0" w:space="0" w:color="auto"/>
            <w:right w:val="none" w:sz="0" w:space="0" w:color="auto"/>
          </w:divBdr>
        </w:div>
        <w:div w:id="1461217612">
          <w:marLeft w:val="0"/>
          <w:marRight w:val="0"/>
          <w:marTop w:val="0"/>
          <w:marBottom w:val="0"/>
          <w:divBdr>
            <w:top w:val="none" w:sz="0" w:space="0" w:color="auto"/>
            <w:left w:val="none" w:sz="0" w:space="0" w:color="auto"/>
            <w:bottom w:val="none" w:sz="0" w:space="0" w:color="auto"/>
            <w:right w:val="none" w:sz="0" w:space="0" w:color="auto"/>
          </w:divBdr>
        </w:div>
        <w:div w:id="1525439832">
          <w:marLeft w:val="0"/>
          <w:marRight w:val="0"/>
          <w:marTop w:val="0"/>
          <w:marBottom w:val="0"/>
          <w:divBdr>
            <w:top w:val="none" w:sz="0" w:space="0" w:color="auto"/>
            <w:left w:val="none" w:sz="0" w:space="0" w:color="auto"/>
            <w:bottom w:val="none" w:sz="0" w:space="0" w:color="auto"/>
            <w:right w:val="none" w:sz="0" w:space="0" w:color="auto"/>
          </w:divBdr>
        </w:div>
        <w:div w:id="1824395436">
          <w:marLeft w:val="0"/>
          <w:marRight w:val="0"/>
          <w:marTop w:val="0"/>
          <w:marBottom w:val="0"/>
          <w:divBdr>
            <w:top w:val="none" w:sz="0" w:space="0" w:color="auto"/>
            <w:left w:val="none" w:sz="0" w:space="0" w:color="auto"/>
            <w:bottom w:val="none" w:sz="0" w:space="0" w:color="auto"/>
            <w:right w:val="none" w:sz="0" w:space="0" w:color="auto"/>
          </w:divBdr>
        </w:div>
        <w:div w:id="1856456881">
          <w:marLeft w:val="0"/>
          <w:marRight w:val="0"/>
          <w:marTop w:val="0"/>
          <w:marBottom w:val="0"/>
          <w:divBdr>
            <w:top w:val="none" w:sz="0" w:space="0" w:color="auto"/>
            <w:left w:val="none" w:sz="0" w:space="0" w:color="auto"/>
            <w:bottom w:val="none" w:sz="0" w:space="0" w:color="auto"/>
            <w:right w:val="none" w:sz="0" w:space="0" w:color="auto"/>
          </w:divBdr>
        </w:div>
        <w:div w:id="2056812988">
          <w:marLeft w:val="0"/>
          <w:marRight w:val="0"/>
          <w:marTop w:val="0"/>
          <w:marBottom w:val="0"/>
          <w:divBdr>
            <w:top w:val="none" w:sz="0" w:space="0" w:color="auto"/>
            <w:left w:val="none" w:sz="0" w:space="0" w:color="auto"/>
            <w:bottom w:val="none" w:sz="0" w:space="0" w:color="auto"/>
            <w:right w:val="none" w:sz="0" w:space="0" w:color="auto"/>
          </w:divBdr>
        </w:div>
      </w:divsChild>
    </w:div>
    <w:div w:id="1971087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6" Type="http://schemas.microsoft.com/office/2011/relationships/people" Target="people.xml"/><Relationship Id="rId17" Type="http://schemas.microsoft.com/office/2011/relationships/commentsExtended" Target="commentsExtended.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roelhompes@gmail.com" TargetMode="External"/><Relationship Id="rId8" Type="http://schemas.openxmlformats.org/officeDocument/2006/relationships/hyperlink" Target="http://www.lorec.nhs.uk" TargetMode="External"/><Relationship Id="rId9" Type="http://schemas.openxmlformats.org/officeDocument/2006/relationships/hyperlink" Target="http://www.wcrf.org/int/cancer-facts-figures/data-specific-cancers/colorectal-cancer-statistics" TargetMode="External"/><Relationship Id="rId10" Type="http://schemas.openxmlformats.org/officeDocument/2006/relationships/hyperlink" Target="https://www.fascrs.org/video/robotic-vs-laparoscopic-resection-rectal-cancer-rolarr-tr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a="http://schemas.openxmlformats.org/drawingml/2006/main"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38</Pages>
  <Words>7879</Words>
  <Characters>44911</Characters>
  <Application>Microsoft Macintosh Word</Application>
  <DocSecurity>0</DocSecurity>
  <Lines>374</Lines>
  <Paragraphs>89</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55153</CharactersWithSpaces>
  <SharedDoc>false</SharedDoc>
  <HLinks>
    <vt:vector size="24" baseType="variant">
      <vt:variant>
        <vt:i4>1376373</vt:i4>
      </vt:variant>
      <vt:variant>
        <vt:i4>9</vt:i4>
      </vt:variant>
      <vt:variant>
        <vt:i4>0</vt:i4>
      </vt:variant>
      <vt:variant>
        <vt:i4>5</vt:i4>
      </vt:variant>
      <vt:variant>
        <vt:lpwstr>https://www.fascrs.org/video/robotic-vs-laparoscopic-resection-rectal-cancer-rolarr-trial</vt:lpwstr>
      </vt:variant>
      <vt:variant>
        <vt:lpwstr/>
      </vt:variant>
      <vt:variant>
        <vt:i4>6553694</vt:i4>
      </vt:variant>
      <vt:variant>
        <vt:i4>6</vt:i4>
      </vt:variant>
      <vt:variant>
        <vt:i4>0</vt:i4>
      </vt:variant>
      <vt:variant>
        <vt:i4>5</vt:i4>
      </vt:variant>
      <vt:variant>
        <vt:lpwstr>http://www.wcrf.org/int/cancer-facts-figures/data-specific-cancers/colorectal-cancer-statistics</vt:lpwstr>
      </vt:variant>
      <vt:variant>
        <vt:lpwstr/>
      </vt:variant>
      <vt:variant>
        <vt:i4>4063321</vt:i4>
      </vt:variant>
      <vt:variant>
        <vt:i4>3</vt:i4>
      </vt:variant>
      <vt:variant>
        <vt:i4>0</vt:i4>
      </vt:variant>
      <vt:variant>
        <vt:i4>5</vt:i4>
      </vt:variant>
      <vt:variant>
        <vt:lpwstr>http://www.lorec.nhs.uk</vt:lpwstr>
      </vt:variant>
      <vt:variant>
        <vt:lpwstr/>
      </vt:variant>
      <vt:variant>
        <vt:i4>1048641</vt:i4>
      </vt:variant>
      <vt:variant>
        <vt:i4>0</vt:i4>
      </vt:variant>
      <vt:variant>
        <vt:i4>0</vt:i4>
      </vt:variant>
      <vt:variant>
        <vt:i4>5</vt:i4>
      </vt:variant>
      <vt:variant>
        <vt:lpwstr>mailto:roelhompes@gmail.com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Penna</dc:creator>
  <cp:keywords/>
  <cp:lastModifiedBy>Marta Penna</cp:lastModifiedBy>
  <cp:revision>22</cp:revision>
  <cp:lastPrinted>2016-04-01T13:56:00Z</cp:lastPrinted>
  <dcterms:created xsi:type="dcterms:W3CDTF">2016-04-04T10:01:00Z</dcterms:created>
  <dcterms:modified xsi:type="dcterms:W3CDTF">2016-04-06T23:03:00Z</dcterms:modified>
</cp:coreProperties>
</file>