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34BF5" w14:textId="5417A18A" w:rsidR="00BA2ADB" w:rsidRDefault="006D7152" w:rsidP="00103080">
      <w:pPr>
        <w:pStyle w:val="Title"/>
      </w:pPr>
      <w:bookmarkStart w:id="0" w:name="_Hlk73613002"/>
      <w:r w:rsidRPr="000946E0">
        <w:t xml:space="preserve">Hydrogen </w:t>
      </w:r>
      <w:r w:rsidR="000946E0">
        <w:t>s</w:t>
      </w:r>
      <w:r w:rsidRPr="000946E0">
        <w:t xml:space="preserve">upply </w:t>
      </w:r>
      <w:r w:rsidR="000946E0">
        <w:t>c</w:t>
      </w:r>
      <w:r w:rsidRPr="000946E0">
        <w:t xml:space="preserve">hain </w:t>
      </w:r>
      <w:r w:rsidR="000946E0">
        <w:t>o</w:t>
      </w:r>
      <w:r w:rsidRPr="000946E0">
        <w:t xml:space="preserve">ptimisation for </w:t>
      </w:r>
      <w:r w:rsidR="000946E0">
        <w:t>t</w:t>
      </w:r>
      <w:r w:rsidRPr="000946E0">
        <w:t xml:space="preserve">he </w:t>
      </w:r>
      <w:r w:rsidR="000946E0">
        <w:t>t</w:t>
      </w:r>
      <w:r w:rsidRPr="000946E0">
        <w:t xml:space="preserve">ransport </w:t>
      </w:r>
      <w:r w:rsidR="000946E0">
        <w:t>s</w:t>
      </w:r>
      <w:r w:rsidRPr="000946E0">
        <w:t>ector –</w:t>
      </w:r>
      <w:r w:rsidR="000F40BE">
        <w:t>Focus on h</w:t>
      </w:r>
      <w:r w:rsidRPr="000946E0">
        <w:t xml:space="preserve">ydrogen </w:t>
      </w:r>
      <w:r w:rsidR="000946E0">
        <w:t>p</w:t>
      </w:r>
      <w:r w:rsidRPr="000946E0">
        <w:t xml:space="preserve">urity and </w:t>
      </w:r>
      <w:r w:rsidR="000946E0">
        <w:t>p</w:t>
      </w:r>
      <w:r w:rsidRPr="000946E0">
        <w:t xml:space="preserve">urification </w:t>
      </w:r>
      <w:r w:rsidR="000946E0">
        <w:t>r</w:t>
      </w:r>
      <w:r w:rsidRPr="000946E0">
        <w:t>equirements</w:t>
      </w:r>
    </w:p>
    <w:bookmarkEnd w:id="0"/>
    <w:p w14:paraId="0185AA15" w14:textId="011CAD4B" w:rsidR="00103080" w:rsidRPr="00AA7DCA" w:rsidRDefault="00103080" w:rsidP="00103080">
      <w:pPr>
        <w:spacing w:after="0"/>
      </w:pPr>
      <w:r w:rsidRPr="00F14DE4">
        <w:rPr>
          <w:vertAlign w:val="superscript"/>
        </w:rPr>
        <w:t>a</w:t>
      </w:r>
      <w:r>
        <w:t>D</w:t>
      </w:r>
      <w:r w:rsidRPr="00AA7DCA">
        <w:t xml:space="preserve">. </w:t>
      </w:r>
      <w:r>
        <w:t xml:space="preserve">Wickham, </w:t>
      </w:r>
      <w:r w:rsidRPr="00F14DE4">
        <w:rPr>
          <w:vertAlign w:val="superscript"/>
        </w:rPr>
        <w:t xml:space="preserve"> a</w:t>
      </w:r>
      <w:r w:rsidRPr="00AA7DCA">
        <w:t>A.D. Hawkes</w:t>
      </w:r>
      <w:r w:rsidR="00D4496D">
        <w:t>,</w:t>
      </w:r>
      <w:r w:rsidR="00D4496D" w:rsidRPr="00D4496D">
        <w:rPr>
          <w:vertAlign w:val="superscript"/>
        </w:rPr>
        <w:t xml:space="preserve"> </w:t>
      </w:r>
      <w:r w:rsidR="00D4496D">
        <w:rPr>
          <w:vertAlign w:val="superscript"/>
        </w:rPr>
        <w:t>b</w:t>
      </w:r>
      <w:r w:rsidR="00621213">
        <w:rPr>
          <w:vertAlign w:val="superscript"/>
        </w:rPr>
        <w:t>,c</w:t>
      </w:r>
      <w:r w:rsidR="00D4496D">
        <w:rPr>
          <w:vertAlign w:val="superscript"/>
        </w:rPr>
        <w:t>*</w:t>
      </w:r>
      <w:r w:rsidR="00D4496D" w:rsidRPr="00AA7DCA">
        <w:t>F. Jalil-Vega</w:t>
      </w:r>
    </w:p>
    <w:p w14:paraId="7FDAA451" w14:textId="77777777" w:rsidR="00103080" w:rsidRDefault="00103080" w:rsidP="00103080">
      <w:pPr>
        <w:spacing w:after="0"/>
      </w:pPr>
      <w:r w:rsidRPr="00F14DE4">
        <w:rPr>
          <w:vertAlign w:val="superscript"/>
        </w:rPr>
        <w:t>a</w:t>
      </w:r>
      <w:r w:rsidRPr="00AA7DCA">
        <w:t>Department of Chemical Engineering, Imperial College London, SW7 2AZ, United Kingdom</w:t>
      </w:r>
    </w:p>
    <w:p w14:paraId="01DEBC94" w14:textId="28CDFFA2" w:rsidR="00103080" w:rsidRDefault="00103080" w:rsidP="00103080">
      <w:r w:rsidRPr="005A0257">
        <w:rPr>
          <w:vertAlign w:val="superscript"/>
          <w:lang w:eastAsia="en-GB"/>
        </w:rPr>
        <w:t>b</w:t>
      </w:r>
      <w:r w:rsidR="005A0257" w:rsidRPr="005A0257">
        <w:t>Faculty of Engineering and Sciences, Universidad Adolfo Ibáñez</w:t>
      </w:r>
      <w:r w:rsidRPr="005A0257">
        <w:t>, Diagonal Las Torres 2640, Peñalolén, Santiago, Chile</w:t>
      </w:r>
    </w:p>
    <w:p w14:paraId="0031C280" w14:textId="08265974" w:rsidR="00621213" w:rsidRPr="00727142" w:rsidRDefault="00621213" w:rsidP="00621213">
      <w:pPr>
        <w:rPr>
          <w:lang w:val="es-CL"/>
        </w:rPr>
      </w:pPr>
      <w:r w:rsidRPr="00727142">
        <w:rPr>
          <w:vertAlign w:val="superscript"/>
          <w:lang w:val="es-CL" w:eastAsia="en-GB"/>
        </w:rPr>
        <w:t>c</w:t>
      </w:r>
      <w:r w:rsidRPr="00727142">
        <w:rPr>
          <w:lang w:val="es-CL"/>
        </w:rPr>
        <w:t>Instituto Sistemas Complejos de Ingeniería, Chile</w:t>
      </w:r>
    </w:p>
    <w:p w14:paraId="01D4A533" w14:textId="77777777" w:rsidR="00621213" w:rsidRPr="00727142" w:rsidRDefault="00621213" w:rsidP="00103080">
      <w:pPr>
        <w:rPr>
          <w:lang w:val="es-CL" w:eastAsia="en-GB"/>
        </w:rPr>
      </w:pPr>
    </w:p>
    <w:p w14:paraId="62FE7B2E" w14:textId="77777777" w:rsidR="00103080" w:rsidRDefault="00103080" w:rsidP="001661AE">
      <w:pPr>
        <w:pStyle w:val="Abstract"/>
      </w:pPr>
      <w:r w:rsidRPr="00103080">
        <w:t>Abstract</w:t>
      </w:r>
    </w:p>
    <w:p w14:paraId="098A28DC" w14:textId="4A516152" w:rsidR="008320CD" w:rsidRDefault="00FC72DA" w:rsidP="008320CD">
      <w:r>
        <w:t>This study presents a spatially-resolved optimisation model to assess cost optimal configurations of hydrogen supply chains for the transport sector up to 2050. The model includes hydrogen grades and separation/purification technologies, offering the possibility to assess the effects that hydrogen grades play in the development of cost-effective hydrogen supply chains, including the decisions to repurpose gas distribution network</w:t>
      </w:r>
      <w:r w:rsidR="00294A68">
        <w:t>s</w:t>
      </w:r>
      <w:r>
        <w:t xml:space="preserve"> or blending hydrogen into </w:t>
      </w:r>
      <w:r w:rsidR="00294A68">
        <w:t>them</w:t>
      </w:r>
      <w:r>
        <w:t xml:space="preserve">. The model is implemented </w:t>
      </w:r>
      <w:r w:rsidR="00294A68">
        <w:t xml:space="preserve">in a case study of Great Britain, </w:t>
      </w:r>
      <w:r>
        <w:t xml:space="preserve">for a set of decarbonisation and learning rate scenarios. A base case with a medium carbon price scenario shows that the total discounted cost of the hydrogen supply chain is significantly higher than shown in previous studies, largely due to the additional costs from purification/separation needed to meet hydrogen purity standards for transport applications. Furthermore, it was shown that producing hydrogen from steam methane reforming with </w:t>
      </w:r>
      <w:r w:rsidR="006E6053">
        <w:t>carbon capture and storage</w:t>
      </w:r>
      <w:r>
        <w:t xml:space="preserve">; installing new transmission pipelines; repurposing the gas distribution network to supply 100% hydrogen; and purifying hydrogen with a pressure swing adsorption system locally at the refuelling station; is a cost optimal configuration for the given technoeconomic assumptions, providing hydrogen at £6.18 per kg at the pump. </w:t>
      </w:r>
      <w:bookmarkStart w:id="1" w:name="_Hlk58766132"/>
      <w:r>
        <w:t>P</w:t>
      </w:r>
      <w:r w:rsidRPr="00F2730F">
        <w:t>urification technologies</w:t>
      </w:r>
      <w:r>
        <w:t xml:space="preserve"> were found to</w:t>
      </w:r>
      <w:r w:rsidRPr="00F2730F">
        <w:t xml:space="preserve"> contribute to 14% and 30% of total discounted investment and operation costs respectively, highlighting the </w:t>
      </w:r>
      <w:bookmarkEnd w:id="1"/>
      <w:r w:rsidRPr="00F2730F">
        <w:t>importance of explicitly including them in</w:t>
      </w:r>
      <w:r>
        <w:t>to</w:t>
      </w:r>
      <w:r w:rsidRPr="00F2730F">
        <w:t xml:space="preserve"> hydrogen supply chain models for the transport sector.</w:t>
      </w:r>
      <w:r w:rsidR="008320CD">
        <w:t xml:space="preserve"> </w:t>
      </w:r>
    </w:p>
    <w:p w14:paraId="4404D382" w14:textId="576343AF" w:rsidR="00103080" w:rsidRPr="00103080" w:rsidRDefault="00103080" w:rsidP="00103080">
      <w:pPr>
        <w:rPr>
          <w:b/>
        </w:rPr>
      </w:pPr>
      <w:r w:rsidRPr="00103080">
        <w:rPr>
          <w:b/>
        </w:rPr>
        <w:t>Keywords</w:t>
      </w:r>
      <w:r w:rsidR="003F4B29">
        <w:rPr>
          <w:b/>
        </w:rPr>
        <w:t xml:space="preserve">: </w:t>
      </w:r>
      <w:r w:rsidR="00C433AD">
        <w:rPr>
          <w:b/>
        </w:rPr>
        <w:t>Hydrogen, hydrogen-to-vehicle, gas distribution network, hydrogen purity, hydrogen purification, hydrogen supply chain</w:t>
      </w:r>
    </w:p>
    <w:p w14:paraId="083301EA" w14:textId="77777777" w:rsidR="00103080" w:rsidRDefault="00103080" w:rsidP="00A6252F">
      <w:pPr>
        <w:pStyle w:val="Heading1"/>
      </w:pPr>
      <w:r w:rsidRPr="00103080">
        <w:t>Introduction</w:t>
      </w:r>
    </w:p>
    <w:p w14:paraId="2C7C1EFE" w14:textId="09170D2C" w:rsidR="00AD3ACB" w:rsidRDefault="00AD3ACB" w:rsidP="00AD3ACB">
      <w:r w:rsidRPr="006270DB">
        <w:t>Global concern around environmental climate change due to fossil fuel consumption and raised CO</w:t>
      </w:r>
      <w:r w:rsidRPr="006270DB">
        <w:rPr>
          <w:vertAlign w:val="subscript"/>
        </w:rPr>
        <w:t>2</w:t>
      </w:r>
      <w:r w:rsidRPr="006270DB">
        <w:t xml:space="preserve"> emissions is growing rapidly</w:t>
      </w:r>
      <w:r w:rsidR="00132575">
        <w:t xml:space="preserve"> </w:t>
      </w:r>
      <w:r w:rsidR="00C167DB">
        <w:fldChar w:fldCharType="begin"/>
      </w:r>
      <w:r w:rsidR="00C167DB">
        <w:instrText xml:space="preserve"> ADDIN EN.CITE &lt;EndNote&gt;&lt;Cite ExcludeYear="1"&gt;&lt;Author&gt;Ogunbode&lt;/Author&gt;&lt;RecNum&gt;950&lt;/RecNum&gt;&lt;DisplayText&gt;[1]&lt;/DisplayText&gt;&lt;record&gt;&lt;rec-number&gt;950&lt;/rec-number&gt;&lt;foreign-keys&gt;&lt;key app="EN" db-id="w500zpaaheraz8epaw1p29dtf2ff9zrswv50" timestamp="1607697901"&gt;950&lt;/key&gt;&lt;/foreign-keys&gt;&lt;ref-type name="Journal Article"&gt;17&lt;/ref-type&gt;&lt;contributors&gt;&lt;authors&gt;&lt;author&gt;Ogunbode, Charles A.&lt;/author&gt;&lt;author&gt;Doran, Rouven&lt;/author&gt;&lt;author&gt;Böhm, Gisela&lt;/author&gt;&lt;/authors&gt;&lt;/contributors&gt;&lt;titles&gt;&lt;title&gt;Exposure to the IPCC special report on 1.5 °C global warming is linked to perceived threat and increased concern about climate change&lt;/title&gt;&lt;/titles&gt;&lt;keywords&gt;&lt;keyword&gt;Climate change&lt;/keyword&gt;&lt;keyword&gt;Concern&lt;/keyword&gt;&lt;keyword&gt;Norway&lt;/keyword&gt;&lt;keyword&gt;Risk communication&lt;/keyword&gt;&lt;/keywords&gt;&lt;dates&gt;&lt;/dates&gt;&lt;urls&gt;&lt;related-urls&gt;&lt;url&gt;https://doi.org/10.1007/s10584-019-02609-0&lt;/url&gt;&lt;/related-urls&gt;&lt;pdf-urls&gt;&lt;url&gt;file://Users\David\Library\Application Support\Mendeley Desktop\Downloaded\Ogunbode, Doran, Böhm - Unknown - Exposure to the IPCC special report on 1.5 °C global warming is linked to perceived threat and incre.pdf&lt;/url&gt;&lt;/pdf-urls&gt;&lt;/urls&gt;&lt;electronic-resource-num&gt;10.1007/s10584-019-02609-0&lt;/electronic-resource-num&gt;&lt;/record&gt;&lt;/Cite&gt;&lt;/EndNote&gt;</w:instrText>
      </w:r>
      <w:r w:rsidR="00C167DB">
        <w:fldChar w:fldCharType="separate"/>
      </w:r>
      <w:r w:rsidR="00C167DB">
        <w:rPr>
          <w:noProof/>
        </w:rPr>
        <w:t>[</w:t>
      </w:r>
      <w:hyperlink w:anchor="_ENREF_1" w:tooltip="Ogunbode,  #950" w:history="1">
        <w:r w:rsidR="006210AE">
          <w:rPr>
            <w:noProof/>
          </w:rPr>
          <w:t>1</w:t>
        </w:r>
      </w:hyperlink>
      <w:r w:rsidR="00C167DB">
        <w:rPr>
          <w:noProof/>
        </w:rPr>
        <w:t>]</w:t>
      </w:r>
      <w:r w:rsidR="00C167DB">
        <w:fldChar w:fldCharType="end"/>
      </w:r>
      <w:r>
        <w:t xml:space="preserve">, spurring organisations and governments </w:t>
      </w:r>
      <w:r w:rsidRPr="006270DB">
        <w:t>to implement strategies in order to</w:t>
      </w:r>
      <w:r>
        <w:t xml:space="preserve"> mitigate and adapt to climate change effects. A</w:t>
      </w:r>
      <w:r w:rsidRPr="006270DB">
        <w:t>s advised by the Intergovernmental Panel on Climate Change in 2018</w:t>
      </w:r>
      <w:r w:rsidR="00132575">
        <w:t xml:space="preserve"> </w:t>
      </w:r>
      <w:r w:rsidR="00C167DB">
        <w:fldChar w:fldCharType="begin"/>
      </w:r>
      <w:r w:rsidR="00C167DB">
        <w:instrText xml:space="preserve"> ADDIN EN.CITE &lt;EndNote&gt;&lt;Cite&gt;&lt;Author&gt;IPCC&lt;/Author&gt;&lt;Year&gt;2018&lt;/Year&gt;&lt;RecNum&gt;997&lt;/RecNum&gt;&lt;DisplayText&gt;[2]&lt;/DisplayText&gt;&lt;record&gt;&lt;rec-number&gt;997&lt;/rec-number&gt;&lt;foreign-keys&gt;&lt;key app="EN" db-id="w500zpaaheraz8epaw1p29dtf2ff9zrswv50" timestamp="1607697901"&gt;997&lt;/key&gt;&lt;/foreign-keys&gt;&lt;ref-type name="Report"&gt;27&lt;/ref-type&gt;&lt;contributors&gt;&lt;authors&gt;&lt;author&gt;IPCC,&lt;/author&gt;&lt;/authors&gt;&lt;/contributors&gt;&lt;titles&gt;&lt;title&gt;Global Warming of 1.5°C. An IPCC Special Report on the impacts of global warming of 1.5°C above pre-industrial levels and related global greenhouse gas emission pathways, in the context of strengthening the global response to the threat of climate change&lt;/title&gt;&lt;/titles&gt;&lt;keywords&gt;&lt;keyword&gt;Ethical issues concerning climate change&lt;/keyword&gt;&lt;keyword&gt;Global warming&lt;/keyword&gt;&lt;keyword&gt;International fairness&lt;/keyword&gt;&lt;keyword&gt;Obligations to future generations&lt;/keyword&gt;&lt;keyword&gt;Problem of climate change&lt;/keyword&gt;&lt;/keywords&gt;&lt;dates&gt;&lt;year&gt;2018&lt;/year&gt;&lt;/dates&gt;&lt;isbn&gt;9780470996621&lt;/isbn&gt;&lt;urls&gt;&lt;pdf-urls&gt;&lt;url&gt;file://Users\David\Library\Application Support\Mendeley Desktop\Downloaded\IPCC - 2018 - Global Warming of 1.5°C. An IPCC Special Report on the impacts of global warming of 1.5°C above pre-industrial levels an.pdf&lt;/url&gt;&lt;/pdf-urls&gt;&lt;/urls&gt;&lt;electronic-resource-num&gt;10.1002/9780470996621.ch50&lt;/electronic-resource-num&gt;&lt;/record&gt;&lt;/Cite&gt;&lt;/EndNote&gt;</w:instrText>
      </w:r>
      <w:r w:rsidR="00C167DB">
        <w:fldChar w:fldCharType="separate"/>
      </w:r>
      <w:r w:rsidR="00C167DB">
        <w:rPr>
          <w:noProof/>
        </w:rPr>
        <w:t>[</w:t>
      </w:r>
      <w:hyperlink w:anchor="_ENREF_2" w:tooltip="IPCC, 2018 #997" w:history="1">
        <w:r w:rsidR="006210AE">
          <w:rPr>
            <w:noProof/>
          </w:rPr>
          <w:t>2</w:t>
        </w:r>
      </w:hyperlink>
      <w:r w:rsidR="00C167DB">
        <w:rPr>
          <w:noProof/>
        </w:rPr>
        <w:t>]</w:t>
      </w:r>
      <w:r w:rsidR="00C167DB">
        <w:fldChar w:fldCharType="end"/>
      </w:r>
      <w:r>
        <w:t>, the Paris Climate Agreement aims to limit</w:t>
      </w:r>
      <w:r w:rsidRPr="006270DB">
        <w:t xml:space="preserve"> the global temperature rise </w:t>
      </w:r>
      <w:r>
        <w:t>t</w:t>
      </w:r>
      <w:r w:rsidRPr="006270DB">
        <w:t>o a 1.5</w:t>
      </w:r>
      <w:r w:rsidRPr="006270DB">
        <w:rPr>
          <w:rFonts w:ascii="Times New Roman" w:hAnsi="Times New Roman" w:cs="Times New Roman"/>
        </w:rPr>
        <w:t>º</w:t>
      </w:r>
      <w:r w:rsidRPr="006270DB">
        <w:t>C increase.</w:t>
      </w:r>
      <w:r>
        <w:t xml:space="preserve"> </w:t>
      </w:r>
      <w:r w:rsidRPr="001E5952">
        <w:t>To combat this, new solutions regarding energy systems are being developed and proposed worldwide. Hydrogen</w:t>
      </w:r>
      <w:r>
        <w:t xml:space="preserve">, when produced from low-carbon supply chains, </w:t>
      </w:r>
      <w:r w:rsidRPr="001E5952">
        <w:t>has been recognised as a potential future alternative in the replacement of fossil fuels</w:t>
      </w:r>
      <w:r w:rsidR="00132575">
        <w:t xml:space="preserve"> </w:t>
      </w:r>
      <w:r w:rsidR="00C167DB">
        <w:fldChar w:fldCharType="begin"/>
      </w:r>
      <w:r w:rsidR="00C167DB">
        <w:instrText xml:space="preserve"> ADDIN EN.CITE &lt;EndNote&gt;&lt;Cite&gt;&lt;Author&gt;The International Energy Agency (IEA)&lt;/Author&gt;&lt;Year&gt;2019&lt;/Year&gt;&lt;RecNum&gt;904&lt;/RecNum&gt;&lt;DisplayText&gt;[3]&lt;/DisplayText&gt;&lt;record&gt;&lt;rec-number&gt;904&lt;/rec-number&gt;&lt;foreign-keys&gt;&lt;key app="EN" db-id="w500zpaaheraz8epaw1p29dtf2ff9zrswv50" timestamp="1607697901"&gt;904&lt;/key&gt;&lt;/foreign-keys&gt;&lt;ref-type name="Report"&gt;27&lt;/ref-type&gt;&lt;contributors&gt;&lt;authors&gt;&lt;author&gt;The International Energy Agency (IEA),&lt;/author&gt;&lt;/authors&gt;&lt;/contributors&gt;&lt;titles&gt;&lt;title&gt;The Future of Hydrogen&lt;/title&gt;&lt;/titles&gt;&lt;keywords&gt;&lt;keyword&gt;&amp;quot;Truck&lt;/keyword&gt;&lt;keyword&gt;Bright&lt;/keyword&gt;&lt;keyword&gt;Color Image&lt;/keyword&gt;&lt;keyword&gt;Day&lt;/keyword&gt;&lt;keyword&gt;Distribution Warehouse&lt;/keyword&gt;&lt;keyword&gt;Fuel Storage Tank&lt;/keyword&gt;&lt;keyword&gt;Group of Objects&lt;/keyword&gt;&lt;keyword&gt;Harbor&lt;/keyword&gt;&lt;keyword&gt;In A Row&lt;/keyword&gt;&lt;keyword&gt;Industrial District&lt;/keyword&gt;&lt;keyword&gt;Industrial Objects/Equipment&lt;/keyword&gt;&lt;keyword&gt;Industry&lt;/keyword&gt;&lt;keyword&gt;Large&lt;/keyword&gt;&lt;keyword&gt;Liquid Oxygen Tank&lt;/keyword&gt;&lt;keyword&gt;Mode of Transport&lt;/keyword&gt;&lt;keyword&gt;Netherlands&lt;/keyword&gt;&lt;keyword&gt;Nobody&lt;/keyword&gt;&lt;keyword&gt;Objects/Equipment&lt;/keyword&gt;&lt;keyword&gt;Oil Industry&lt;/keyword&gt;&lt;keyword&gt;Outdoors&lt;/keyword&gt;&lt;keyword&gt;Petrochemical Plant&lt;/keyword&gt;&lt;keyword&gt;Photography&lt;/keyword&gt;&lt;keyword&gt;Power&lt;/keyword&gt;&lt;keyword&gt;Rotterdam&lt;/keyword&gt;&lt;keyword&gt;Semi-Truck&lt;/keyword&gt;&lt;keyword&gt;Set110628&amp;quot;&lt;/keyword&gt;&lt;keyword&gt;Silo&lt;/keyword&gt;&lt;keyword&gt;Staircase&lt;/keyword&gt;&lt;keyword&gt;Steps&lt;/keyword&gt;&lt;keyword&gt;Storage Tank&lt;/keyword&gt;&lt;keyword&gt;Tilt Shift Lens&lt;/keyword&gt;&lt;keyword&gt;Transportation&lt;/keyword&gt;&lt;keyword&gt;Vertical&lt;/keyword&gt;&lt;keyword&gt;Volume&lt;/keyword&gt;&lt;keyword&gt;Warehouse&lt;/keyword&gt;&lt;keyword&gt;White&lt;/keyword&gt;&lt;/keywords&gt;&lt;dates&gt;&lt;year&gt;2019&lt;/year&gt;&lt;/dates&gt;&lt;urls&gt;&lt;pdf-urls&gt;&lt;url&gt;file://Users\David\Library\Application Support\Mendeley Desktop\Downloaded\The International Energy Agency (IEA) - 2019 - The Future of Hydrogen.pdf&lt;/url&gt;&lt;/pdf-urls&gt;&lt;/urls&gt;&lt;/record&gt;&lt;/Cite&gt;&lt;/EndNote&gt;</w:instrText>
      </w:r>
      <w:r w:rsidR="00C167DB">
        <w:fldChar w:fldCharType="separate"/>
      </w:r>
      <w:r w:rsidR="00C167DB">
        <w:rPr>
          <w:noProof/>
        </w:rPr>
        <w:t>[</w:t>
      </w:r>
      <w:hyperlink w:anchor="_ENREF_3" w:tooltip="The International Energy Agency (IEA), 2019 #904" w:history="1">
        <w:r w:rsidR="006210AE">
          <w:rPr>
            <w:noProof/>
          </w:rPr>
          <w:t>3</w:t>
        </w:r>
      </w:hyperlink>
      <w:r w:rsidR="00C167DB">
        <w:rPr>
          <w:noProof/>
        </w:rPr>
        <w:t>]</w:t>
      </w:r>
      <w:r w:rsidR="00C167DB">
        <w:fldChar w:fldCharType="end"/>
      </w:r>
      <w:r w:rsidR="009E3C78">
        <w:t xml:space="preserve">. </w:t>
      </w:r>
      <w:r w:rsidRPr="001E5952">
        <w:t xml:space="preserve">Particularly, </w:t>
      </w:r>
      <w:r w:rsidRPr="001E5952">
        <w:lastRenderedPageBreak/>
        <w:t>attention has been drawn towards sectors which up until now have proven to be difficult to decarbonise</w:t>
      </w:r>
      <w:r w:rsidR="00132575">
        <w:t xml:space="preserve"> </w:t>
      </w:r>
      <w:r w:rsidR="00C167DB">
        <w:fldChar w:fldCharType="begin"/>
      </w:r>
      <w:r w:rsidR="00C167DB">
        <w:instrText xml:space="preserve"> ADDIN EN.CITE &lt;EndNote&gt;&lt;Cite&gt;&lt;Author&gt;The Institution of Engineering Technology&lt;/Author&gt;&lt;Year&gt;2019&lt;/Year&gt;&lt;RecNum&gt;906&lt;/RecNum&gt;&lt;DisplayText&gt;[4]&lt;/DisplayText&gt;&lt;record&gt;&lt;rec-number&gt;906&lt;/rec-number&gt;&lt;foreign-keys&gt;&lt;key app="EN" db-id="w500zpaaheraz8epaw1p29dtf2ff9zrswv50" timestamp="1607697901"&gt;906&lt;/key&gt;&lt;/foreign-keys&gt;&lt;ref-type name="Report"&gt;27&lt;/ref-type&gt;&lt;contributors&gt;&lt;authors&gt;&lt;author&gt;The Institution of Engineering Technology,&lt;/author&gt;&lt;author&gt;The Institution of Chemical Engineers,&lt;/author&gt;&lt;author&gt;Institution of Mechanical Engineers,&lt;/author&gt;&lt;author&gt;The Health Safety Executives Laboratory,&lt;/author&gt;&lt;author&gt;Institution of Gas Engineers Managers,&lt;/author&gt;&lt;/authors&gt;&lt;/contributors&gt;&lt;titles&gt;&lt;title&gt;Transitioning to Hydrogen: Assessing the Engineering Risks and Uncertainties&lt;/title&gt;&lt;/titles&gt;&lt;dates&gt;&lt;year&gt;2019&lt;/year&gt;&lt;/dates&gt;&lt;urls&gt;&lt;related-urls&gt;&lt;url&gt;https://www.theiet.org/media/4095/transitioning-to-hydrogen.pdf&lt;/url&gt;&lt;/related-urls&gt;&lt;pdf-urls&gt;&lt;url&gt;file://Users\David\Library\Application Support\Mendeley Desktop\Downloaded\The Institution of Engineering and Technology (IET) et al. - 2019 - Transitioning to Hydrogen Assessing the Engineering Risks and Uncert.pdf&lt;/url&gt;&lt;/pdf-urls&gt;&lt;/urls&gt;&lt;/record&gt;&lt;/Cite&gt;&lt;/EndNote&gt;</w:instrText>
      </w:r>
      <w:r w:rsidR="00C167DB">
        <w:fldChar w:fldCharType="separate"/>
      </w:r>
      <w:r w:rsidR="00C167DB">
        <w:rPr>
          <w:noProof/>
        </w:rPr>
        <w:t>[</w:t>
      </w:r>
      <w:hyperlink w:anchor="_ENREF_4" w:tooltip="The Institution of Engineering Technology, 2019 #906" w:history="1">
        <w:r w:rsidR="006210AE">
          <w:rPr>
            <w:noProof/>
          </w:rPr>
          <w:t>4</w:t>
        </w:r>
      </w:hyperlink>
      <w:r w:rsidR="00C167DB">
        <w:rPr>
          <w:noProof/>
        </w:rPr>
        <w:t>]</w:t>
      </w:r>
      <w:r w:rsidR="00C167DB">
        <w:fldChar w:fldCharType="end"/>
      </w:r>
      <w:r w:rsidRPr="001E5952">
        <w:t>, such as the transport and heating sectors</w:t>
      </w:r>
      <w:r w:rsidR="00B73D26">
        <w:t xml:space="preserve"> </w:t>
      </w:r>
      <w:r w:rsidR="00C167DB">
        <w:fldChar w:fldCharType="begin"/>
      </w:r>
      <w:r w:rsidR="00C167DB">
        <w:instrText xml:space="preserve"> ADDIN EN.CITE &lt;EndNote&gt;&lt;Cite&gt;&lt;Author&gt;Committee on Climate Change&lt;/Author&gt;&lt;Year&gt;2018&lt;/Year&gt;&lt;RecNum&gt;1047&lt;/RecNum&gt;&lt;DisplayText&gt;[5]&lt;/DisplayText&gt;&lt;record&gt;&lt;rec-number&gt;1047&lt;/rec-number&gt;&lt;foreign-keys&gt;&lt;key app="EN" db-id="w500zpaaheraz8epaw1p29dtf2ff9zrswv50" timestamp="1607697901"&gt;1047&lt;/key&gt;&lt;/foreign-keys&gt;&lt;ref-type name="Report"&gt;27&lt;/ref-type&gt;&lt;contributors&gt;&lt;authors&gt;&lt;author&gt;Committee on Climate Change,&lt;/author&gt;&lt;/authors&gt;&lt;/contributors&gt;&lt;titles&gt;&lt;title&gt;Hydrogen in a low-carbon economy&lt;/title&gt;&lt;/titles&gt;&lt;dates&gt;&lt;year&gt;2018&lt;/year&gt;&lt;pub-dates&gt;&lt;date&gt;November 2018&lt;/date&gt;&lt;/pub-dates&gt;&lt;/dates&gt;&lt;urls&gt;&lt;related-urls&gt;&lt;url&gt;www.theccc.org.uk/publications&lt;/url&gt;&lt;/related-urls&gt;&lt;pdf-urls&gt;&lt;url&gt;file://Users\David\Library\Application Support\Mendeley Desktop\Downloaded\CCC - 2018 - Hydrogen in a low-carbon economy Committee on Climate Change Acknowledgements Other members of the Secretariat who contribu.pdf&lt;/url&gt;&lt;/pdf-urls&gt;&lt;/urls&gt;&lt;/record&gt;&lt;/Cite&gt;&lt;/EndNote&gt;</w:instrText>
      </w:r>
      <w:r w:rsidR="00C167DB">
        <w:fldChar w:fldCharType="separate"/>
      </w:r>
      <w:r w:rsidR="00C167DB">
        <w:rPr>
          <w:noProof/>
        </w:rPr>
        <w:t>[</w:t>
      </w:r>
      <w:hyperlink w:anchor="_ENREF_5" w:tooltip="Committee on Climate Change, 2018 #1047" w:history="1">
        <w:r w:rsidR="006210AE">
          <w:rPr>
            <w:noProof/>
          </w:rPr>
          <w:t>5</w:t>
        </w:r>
      </w:hyperlink>
      <w:r w:rsidR="00C167DB">
        <w:rPr>
          <w:noProof/>
        </w:rPr>
        <w:t>]</w:t>
      </w:r>
      <w:r w:rsidR="00C167DB">
        <w:fldChar w:fldCharType="end"/>
      </w:r>
      <w:r w:rsidRPr="001E5952">
        <w:t>.</w:t>
      </w:r>
    </w:p>
    <w:p w14:paraId="30BDBE5B" w14:textId="18CF277D" w:rsidR="00AD3ACB" w:rsidRDefault="00AD3ACB" w:rsidP="00AD3ACB">
      <w:r>
        <w:t xml:space="preserve">Hydrogen for use in the transport sector -as opposed to the heating sector- has the caveat that </w:t>
      </w:r>
      <w:r w:rsidRPr="006270DB">
        <w:t xml:space="preserve">it has to meet specific </w:t>
      </w:r>
      <w:r>
        <w:t xml:space="preserve">purity </w:t>
      </w:r>
      <w:r w:rsidRPr="006270DB">
        <w:t>standards</w:t>
      </w:r>
      <w:r>
        <w:t>,</w:t>
      </w:r>
      <w:r w:rsidRPr="006270DB">
        <w:t xml:space="preserve"> otherwise it will poison the membrane of </w:t>
      </w:r>
      <w:r>
        <w:t>fuel cell electric vehicles</w:t>
      </w:r>
      <w:r w:rsidR="00B73D26">
        <w:t xml:space="preserve"> </w:t>
      </w:r>
      <w:r w:rsidR="00C167DB">
        <w:fldChar w:fldCharType="begin"/>
      </w:r>
      <w:r w:rsidR="00C167DB">
        <w:instrText xml:space="preserve"> ADDIN EN.CITE &lt;EndNote&gt;&lt;Cite&gt;&lt;Author&gt;British Standard&lt;/Author&gt;&lt;Year&gt;2012&lt;/Year&gt;&lt;RecNum&gt;1050&lt;/RecNum&gt;&lt;DisplayText&gt;[6]&lt;/DisplayText&gt;&lt;record&gt;&lt;rec-number&gt;1050&lt;/rec-number&gt;&lt;foreign-keys&gt;&lt;key app="EN" db-id="w500zpaaheraz8epaw1p29dtf2ff9zrswv50" timestamp="1607697901"&gt;1050&lt;/key&gt;&lt;/foreign-keys&gt;&lt;ref-type name="Journal Article"&gt;17&lt;/ref-type&gt;&lt;contributors&gt;&lt;authors&gt;&lt;author&gt;British Standard,&lt;/author&gt;&lt;/authors&gt;&lt;/contributors&gt;&lt;titles&gt;&lt;title&gt;BSI Standards Publication Hydrogen fuel — Product specification - BS ISO 14687-2:2012&lt;/title&gt;&lt;/titles&gt;&lt;dates&gt;&lt;year&gt;2012&lt;/year&gt;&lt;/dates&gt;&lt;urls&gt;&lt;pdf-urls&gt;&lt;url&gt;file://Users\David\Library\Application Support\Mendeley Desktop\Downloaded\British Standard - 2012 - BSI Standards Publication Hydrogen fuel — Product specification - BS ISO 14687-22012.pdf&lt;/url&gt;&lt;/pdf-urls&gt;&lt;/urls&gt;&lt;/record&gt;&lt;/Cite&gt;&lt;/EndNote&gt;</w:instrText>
      </w:r>
      <w:r w:rsidR="00C167DB">
        <w:fldChar w:fldCharType="separate"/>
      </w:r>
      <w:r w:rsidR="00C167DB">
        <w:rPr>
          <w:noProof/>
        </w:rPr>
        <w:t>[</w:t>
      </w:r>
      <w:hyperlink w:anchor="_ENREF_6" w:tooltip="British Standard, 2012 #1050" w:history="1">
        <w:r w:rsidR="006210AE">
          <w:rPr>
            <w:noProof/>
          </w:rPr>
          <w:t>6</w:t>
        </w:r>
      </w:hyperlink>
      <w:r w:rsidR="00C167DB">
        <w:rPr>
          <w:noProof/>
        </w:rPr>
        <w:t>]</w:t>
      </w:r>
      <w:r w:rsidR="00C167DB">
        <w:fldChar w:fldCharType="end"/>
      </w:r>
      <w:r w:rsidRPr="006270DB">
        <w:t xml:space="preserve">. </w:t>
      </w:r>
      <w:r>
        <w:t xml:space="preserve">This work focuses on the development of a low-carbon hydrogen supply chain for the transport sector. Up until now, no supply chain model for the transport sector was identified in the literature which considers hydrogen purity, as well as hydrogen purification requirements. This is vital, as excluding this level of granularity can cause an under-estimation of the cost of a hydrogen supply chain. </w:t>
      </w:r>
      <w:bookmarkStart w:id="2" w:name="_Hlk73775571"/>
      <w:r>
        <w:t xml:space="preserve">The novelty of this work is that it proposes a spatially-resolved supply chain methodology and optimisation model for hydrogen for the transport sector, which </w:t>
      </w:r>
      <w:r w:rsidR="00093DE8">
        <w:t xml:space="preserve">explicitly </w:t>
      </w:r>
      <w:r>
        <w:t>includes hydrogen purity and purification technologies</w:t>
      </w:r>
      <w:r w:rsidR="00A546DB">
        <w:t>,</w:t>
      </w:r>
      <w:r>
        <w:t xml:space="preserve"> considering their costs and technical requirements, in addition to the production and transportation technologies in a hydrogen supply chain.</w:t>
      </w:r>
      <w:r w:rsidR="00093DE8">
        <w:t xml:space="preserve"> </w:t>
      </w:r>
      <w:r w:rsidR="00093DE8" w:rsidRPr="005325CD">
        <w:t xml:space="preserve">No previous hydrogen supply chain model includes hydrogen purity and purification technologies, which </w:t>
      </w:r>
      <w:r w:rsidR="00093DE8">
        <w:t xml:space="preserve">is crucial for transport applications, to avoid poisoning the fuel cells in fuel cell electric vehicles. </w:t>
      </w:r>
      <w:r>
        <w:t xml:space="preserve"> </w:t>
      </w:r>
      <w:bookmarkStart w:id="3" w:name="_Hlk64203934"/>
      <w:bookmarkEnd w:id="2"/>
      <w:r>
        <w:t>Furthermore, the model is implemented</w:t>
      </w:r>
      <w:r w:rsidR="00AA243F">
        <w:t xml:space="preserve"> for </w:t>
      </w:r>
      <w:r>
        <w:t>a case study of Great Britain</w:t>
      </w:r>
      <w:r w:rsidR="00AA243F">
        <w:t>,</w:t>
      </w:r>
      <w:r>
        <w:t xml:space="preserve"> to display its robustness and applicability to different scenarios and research questions, serving as a basis for researchers to apply this framework and the data here presented in future models and analys</w:t>
      </w:r>
      <w:r w:rsidR="00AA243F">
        <w:t>e</w:t>
      </w:r>
      <w:r>
        <w:t>s with an international focus</w:t>
      </w:r>
      <w:bookmarkEnd w:id="3"/>
      <w:r>
        <w:t>.</w:t>
      </w:r>
    </w:p>
    <w:p w14:paraId="7A3C78DB" w14:textId="001CEBC2" w:rsidR="00AD3ACB" w:rsidRDefault="00AD3ACB" w:rsidP="00AD3ACB">
      <w:r w:rsidRPr="006E42EA">
        <w:t>This article is organised as follows: A</w:t>
      </w:r>
      <w:r>
        <w:t xml:space="preserve"> background section firstly presents the main components in hydrogen supply chains and how they play a role in developing a decarbonised transport sector; and secondly analyses existing hydrogen supply chain models, leading to the aims of this work. The methodology section describes the proposed model, the main input data and assumptions, and the cases and scenarios for which the model was implemented. The results and discussion section lays out the main results for the case studies and scenarios, finishing with a conclusion which summarises the main findings of this work.</w:t>
      </w:r>
    </w:p>
    <w:p w14:paraId="7CF5548E" w14:textId="77777777" w:rsidR="00AD3ACB" w:rsidRDefault="00AD3ACB" w:rsidP="00AD3ACB">
      <w:pPr>
        <w:pStyle w:val="Heading1"/>
      </w:pPr>
      <w:r>
        <w:t>Background</w:t>
      </w:r>
    </w:p>
    <w:p w14:paraId="6AB9B41C" w14:textId="77777777" w:rsidR="00AD3ACB" w:rsidRPr="00CD20E0" w:rsidRDefault="00AD3ACB" w:rsidP="00AD3ACB">
      <w:pPr>
        <w:pStyle w:val="Heading2"/>
      </w:pPr>
      <w:bookmarkStart w:id="4" w:name="_Toc32235122"/>
      <w:bookmarkStart w:id="5" w:name="_Toc50359392"/>
      <w:bookmarkStart w:id="6" w:name="_Ref63703958"/>
      <w:r w:rsidRPr="00CD20E0">
        <w:rPr>
          <w:rStyle w:val="Heading2Char"/>
        </w:rPr>
        <w:t xml:space="preserve">Hydrogen </w:t>
      </w:r>
      <w:r>
        <w:rPr>
          <w:rStyle w:val="Heading2Char"/>
        </w:rPr>
        <w:t>supply chains for t</w:t>
      </w:r>
      <w:r w:rsidRPr="00CD20E0">
        <w:rPr>
          <w:rStyle w:val="Heading2Char"/>
        </w:rPr>
        <w:t>ransport</w:t>
      </w:r>
      <w:bookmarkEnd w:id="4"/>
      <w:bookmarkEnd w:id="5"/>
      <w:bookmarkEnd w:id="6"/>
    </w:p>
    <w:p w14:paraId="713F7EFE" w14:textId="00CFB212" w:rsidR="00AD3ACB" w:rsidRPr="006270DB" w:rsidRDefault="00AD3ACB" w:rsidP="00AD3ACB">
      <w:r w:rsidRPr="006270DB">
        <w:t>The automotive industry has been under increasing pressure to decarbonise</w:t>
      </w:r>
      <w:r w:rsidR="00B73D26">
        <w:t xml:space="preserve"> </w:t>
      </w:r>
      <w:r w:rsidR="00C167DB">
        <w:fldChar w:fldCharType="begin"/>
      </w:r>
      <w:r w:rsidR="00C167DB">
        <w:instrText xml:space="preserve"> ADDIN EN.CITE &lt;EndNote&gt;&lt;Cite&gt;&lt;Author&gt;Hickman&lt;/Author&gt;&lt;Year&gt;2007&lt;/Year&gt;&lt;RecNum&gt;1008&lt;/RecNum&gt;&lt;DisplayText&gt;[7]&lt;/DisplayText&gt;&lt;record&gt;&lt;rec-number&gt;1008&lt;/rec-number&gt;&lt;foreign-keys&gt;&lt;key app="EN" db-id="w500zpaaheraz8epaw1p29dtf2ff9zrswv50" timestamp="1607697901"&gt;1008&lt;/key&gt;&lt;/foreign-keys&gt;&lt;ref-type name="Journal Article"&gt;17&lt;/ref-type&gt;&lt;contributors&gt;&lt;authors&gt;&lt;author&gt;Hickman, Robin&lt;/author&gt;&lt;author&gt;Banister, David&lt;/author&gt;&lt;/authors&gt;&lt;/contributors&gt;&lt;titles&gt;&lt;title&gt;Looking over the horizon: Transport and reduced CO2 emissions in the UK by 2030&lt;/title&gt;&lt;secondary-title&gt;Transport Policy&lt;/secondary-title&gt;&lt;/titles&gt;&lt;periodical&gt;&lt;full-title&gt;Transport Policy&lt;/full-title&gt;&lt;/periodical&gt;&lt;keywords&gt;&lt;keyword&gt;Backcasting&lt;/keyword&gt;&lt;keyword&gt;Carbon emissions&lt;/keyword&gt;&lt;keyword&gt;Futures&lt;/keyword&gt;&lt;keyword&gt;Global warming&lt;/keyword&gt;&lt;keyword&gt;Transport&lt;/keyword&gt;&lt;/keywords&gt;&lt;dates&gt;&lt;year&gt;2007&lt;/year&gt;&lt;/dates&gt;&lt;urls&gt;&lt;pdf-urls&gt;&lt;url&gt;file://Users\David\Library\Application Support\Mendeley Desktop\Downloaded\Hickman, Banister - 2007 - Looking over the horizon Transport and reduced CO2 emissions in the UK by 2030.pdf&lt;/url&gt;&lt;/pdf-urls&gt;&lt;/urls&gt;&lt;electronic-resource-num&gt;10.1016/j.tranpol.2007.04.005&lt;/electronic-resource-num&gt;&lt;/record&gt;&lt;/Cite&gt;&lt;/EndNote&gt;</w:instrText>
      </w:r>
      <w:r w:rsidR="00C167DB">
        <w:fldChar w:fldCharType="separate"/>
      </w:r>
      <w:r w:rsidR="00C167DB">
        <w:rPr>
          <w:noProof/>
        </w:rPr>
        <w:t>[</w:t>
      </w:r>
      <w:hyperlink w:anchor="_ENREF_7" w:tooltip="Hickman, 2007 #1008" w:history="1">
        <w:r w:rsidR="006210AE">
          <w:rPr>
            <w:noProof/>
          </w:rPr>
          <w:t>7</w:t>
        </w:r>
      </w:hyperlink>
      <w:r w:rsidR="00C167DB">
        <w:rPr>
          <w:noProof/>
        </w:rPr>
        <w:t>]</w:t>
      </w:r>
      <w:r w:rsidR="00C167DB">
        <w:fldChar w:fldCharType="end"/>
      </w:r>
      <w:r w:rsidRPr="006270DB">
        <w:t>. Transport accounts for around 18% of primary energy use and 17% of global CO</w:t>
      </w:r>
      <w:r w:rsidRPr="006270DB">
        <w:rPr>
          <w:vertAlign w:val="subscript"/>
        </w:rPr>
        <w:t>2</w:t>
      </w:r>
      <w:r>
        <w:t xml:space="preserve"> </w:t>
      </w:r>
      <w:r w:rsidRPr="006270DB">
        <w:t>emissions</w:t>
      </w:r>
      <w:r w:rsidR="00B73D26">
        <w:t xml:space="preserve"> </w:t>
      </w:r>
      <w:r w:rsidR="00C167DB">
        <w:fldChar w:fldCharType="begin"/>
      </w:r>
      <w:r w:rsidR="00C167DB">
        <w:instrText xml:space="preserve"> ADDIN EN.CITE &lt;EndNote&gt;&lt;Cite&gt;&lt;Author&gt;Mori&lt;/Author&gt;&lt;Year&gt;2009&lt;/Year&gt;&lt;RecNum&gt;1097&lt;/RecNum&gt;&lt;DisplayText&gt;[8]&lt;/DisplayText&gt;&lt;record&gt;&lt;rec-number&gt;1097&lt;/rec-number&gt;&lt;foreign-keys&gt;&lt;key app="EN" db-id="w500zpaaheraz8epaw1p29dtf2ff9zrswv50" timestamp="1607697901"&gt;1097&lt;/key&gt;&lt;/foreign-keys&gt;&lt;ref-type name="Journal Article"&gt;17&lt;/ref-type&gt;&lt;contributors&gt;&lt;authors&gt;&lt;author&gt;Mori, D.&lt;/author&gt;&lt;author&gt;Hirose, K.&lt;/author&gt;&lt;/authors&gt;&lt;/contributors&gt;&lt;titles&gt;&lt;title&gt;Recent challenges of hydrogen storage technologies for fuel cell vehicles&lt;/title&gt;&lt;secondary-title&gt;International Journal of Hydrogen Energy&lt;/secondary-title&gt;&lt;/titles&gt;&lt;periodical&gt;&lt;full-title&gt;International Journal of Hydrogen Energy&lt;/full-title&gt;&lt;/periodical&gt;&lt;keywords&gt;&lt;keyword&gt;Fuel cell vehicles&lt;/keyword&gt;&lt;keyword&gt;Hydrogen storage&lt;/keyword&gt;&lt;keyword&gt;Hydrogen-absorbing alloy&lt;/keyword&gt;&lt;keyword&gt;Infrastructure&lt;/keyword&gt;&lt;keyword&gt;Metal hydride&lt;/keyword&gt;&lt;/keywords&gt;&lt;dates&gt;&lt;year&gt;2009&lt;/year&gt;&lt;/dates&gt;&lt;urls&gt;&lt;pdf-urls&gt;&lt;url&gt;file://Users\David\Library\Application Support\Mendeley Desktop\Downloaded\Mori, Hirose - 2009 - Recent challenges of hydrogen storage technologies for fuel cell vehicles.pdf&lt;/url&gt;&lt;/pdf-urls&gt;&lt;/urls&gt;&lt;electronic-resource-num&gt;10.1016/j.ijhydene.2008.07.115&lt;/electronic-resource-num&gt;&lt;/record&gt;&lt;/Cite&gt;&lt;/EndNote&gt;</w:instrText>
      </w:r>
      <w:r w:rsidR="00C167DB">
        <w:fldChar w:fldCharType="separate"/>
      </w:r>
      <w:r w:rsidR="00C167DB">
        <w:rPr>
          <w:noProof/>
        </w:rPr>
        <w:t>[</w:t>
      </w:r>
      <w:hyperlink w:anchor="_ENREF_8" w:tooltip="Mori, 2009 #1097" w:history="1">
        <w:r w:rsidR="006210AE">
          <w:rPr>
            <w:noProof/>
          </w:rPr>
          <w:t>8</w:t>
        </w:r>
      </w:hyperlink>
      <w:r w:rsidR="00C167DB">
        <w:rPr>
          <w:noProof/>
        </w:rPr>
        <w:t>]</w:t>
      </w:r>
      <w:r w:rsidR="00C167DB">
        <w:fldChar w:fldCharType="end"/>
      </w:r>
      <w:r w:rsidRPr="006270DB">
        <w:t xml:space="preserve">, </w:t>
      </w:r>
      <w:r w:rsidR="00AA243F">
        <w:t xml:space="preserve">and </w:t>
      </w:r>
      <w:r>
        <w:t>is considered a difficult-to-decarbonise sector</w:t>
      </w:r>
      <w:r w:rsidRPr="006270DB">
        <w:t>. Hydrogen</w:t>
      </w:r>
      <w:r>
        <w:t>,</w:t>
      </w:r>
      <w:r w:rsidRPr="006270DB">
        <w:t xml:space="preserve"> therefore</w:t>
      </w:r>
      <w:r>
        <w:t>,</w:t>
      </w:r>
      <w:r w:rsidRPr="006270DB">
        <w:t xml:space="preserve"> offers an alternative that could provide a solution to the vehicular market</w:t>
      </w:r>
      <w:r>
        <w:t xml:space="preserve"> globally</w:t>
      </w:r>
      <w:r w:rsidRPr="006270DB">
        <w:t xml:space="preserve">. The main advantages of using hydrogen as an alternative fuel is </w:t>
      </w:r>
      <w:r>
        <w:t xml:space="preserve">that </w:t>
      </w:r>
      <w:r w:rsidRPr="006270DB">
        <w:t>it is emission</w:t>
      </w:r>
      <w:r>
        <w:t>-</w:t>
      </w:r>
      <w:r w:rsidRPr="006270DB">
        <w:t>free at the point of use; it can be produced using a wide range of energy sources</w:t>
      </w:r>
      <w:r>
        <w:t>;</w:t>
      </w:r>
      <w:r w:rsidRPr="006270DB">
        <w:t xml:space="preserve"> and it can be stored with minimal energy loses over time</w:t>
      </w:r>
      <w:r w:rsidR="00B73D26">
        <w:t xml:space="preserve"> </w:t>
      </w:r>
      <w:r w:rsidR="00C167DB">
        <w:fldChar w:fldCharType="begin"/>
      </w:r>
      <w:r w:rsidR="00C167DB">
        <w:instrText xml:space="preserve"> ADDIN EN.CITE &lt;EndNote&gt;&lt;Cite&gt;&lt;Author&gt;Dincer&lt;/Author&gt;&lt;Year&gt;2015&lt;/Year&gt;&lt;RecNum&gt;1031&lt;/RecNum&gt;&lt;DisplayText&gt;[9]&lt;/DisplayText&gt;&lt;record&gt;&lt;rec-number&gt;1031&lt;/rec-number&gt;&lt;foreign-keys&gt;&lt;key app="EN" db-id="w500zpaaheraz8epaw1p29dtf2ff9zrswv50" timestamp="1607697901"&gt;1031&lt;/key&gt;&lt;/foreign-keys&gt;&lt;ref-type name="Journal Article"&gt;17&lt;/ref-type&gt;&lt;contributors&gt;&lt;authors&gt;&lt;author&gt;Dincer, Ibrahim&lt;/author&gt;&lt;author&gt;Acar, Canan&lt;/author&gt;&lt;/authors&gt;&lt;/contributors&gt;&lt;titles&gt;&lt;title&gt;Review and evaluation of hydrogen production methods for better sustainability&lt;/title&gt;&lt;secondary-title&gt;International Journal of Hydrogen Energy&lt;/secondary-title&gt;&lt;/titles&gt;&lt;periodical&gt;&lt;full-title&gt;International Journal of Hydrogen Energy&lt;/full-title&gt;&lt;/periodical&gt;&lt;keywords&gt;&lt;keyword&gt;Efficiency&lt;/keyword&gt;&lt;keyword&gt;Energy&lt;/keyword&gt;&lt;keyword&gt;Environmental impact&lt;/keyword&gt;&lt;keyword&gt;Exergy&lt;/keyword&gt;&lt;keyword&gt;Hydrogen production&lt;/keyword&gt;&lt;keyword&gt;Renewables&lt;/keyword&gt;&lt;/keywords&gt;&lt;dates&gt;&lt;year&gt;2015&lt;/year&gt;&lt;/dates&gt;&lt;urls&gt;&lt;pdf-urls&gt;&lt;url&gt;file://Users\David\Library\Application Support\Mendeley Desktop\Downloaded\Dincer, Acar - 2015 - Review and evaluation of hydrogen production methods for better sustainability.pdf&lt;/url&gt;&lt;/pdf-urls&gt;&lt;/urls&gt;&lt;electronic-resource-num&gt;10.1016/j.ijhydene.2014.12.035&lt;/electronic-resource-num&gt;&lt;/record&gt;&lt;/Cite&gt;&lt;/EndNote&gt;</w:instrText>
      </w:r>
      <w:r w:rsidR="00C167DB">
        <w:fldChar w:fldCharType="separate"/>
      </w:r>
      <w:r w:rsidR="00C167DB">
        <w:rPr>
          <w:noProof/>
        </w:rPr>
        <w:t>[</w:t>
      </w:r>
      <w:hyperlink w:anchor="_ENREF_9" w:tooltip="Dincer, 2015 #1031" w:history="1">
        <w:r w:rsidR="006210AE">
          <w:rPr>
            <w:noProof/>
          </w:rPr>
          <w:t>9</w:t>
        </w:r>
      </w:hyperlink>
      <w:r w:rsidR="00C167DB">
        <w:rPr>
          <w:noProof/>
        </w:rPr>
        <w:t>]</w:t>
      </w:r>
      <w:r w:rsidR="00C167DB">
        <w:fldChar w:fldCharType="end"/>
      </w:r>
      <w:r w:rsidRPr="006270DB">
        <w:t>.</w:t>
      </w:r>
    </w:p>
    <w:p w14:paraId="2BF7DAE6" w14:textId="1F418D6F" w:rsidR="00AD3ACB" w:rsidRDefault="00AD3ACB" w:rsidP="00AD3ACB">
      <w:r w:rsidRPr="006270DB">
        <w:t>Hydrogen can be used as a fuel in the transport</w:t>
      </w:r>
      <w:r>
        <w:t xml:space="preserve"> sector</w:t>
      </w:r>
      <w:r w:rsidRPr="006270DB">
        <w:t xml:space="preserve"> through either Internal Combustion Engines (ICEs)</w:t>
      </w:r>
      <w:r w:rsidR="003E394A">
        <w:t xml:space="preserve"> </w:t>
      </w:r>
      <w:r w:rsidR="003E394A">
        <w:fldChar w:fldCharType="begin"/>
      </w:r>
      <w:r w:rsidR="003E394A">
        <w:instrText xml:space="preserve"> ADDIN EN.CITE &lt;EndNote&gt;&lt;Cite&gt;&lt;Author&gt;Verhelst&lt;/Author&gt;&lt;Year&gt;2009&lt;/Year&gt;&lt;RecNum&gt;897&lt;/RecNum&gt;&lt;DisplayText&gt;[10]&lt;/DisplayText&gt;&lt;record&gt;&lt;rec-number&gt;897&lt;/rec-number&gt;&lt;foreign-keys&gt;&lt;key app="EN" db-id="w500zpaaheraz8epaw1p29dtf2ff9zrswv50" timestamp="1607697901"&gt;897&lt;/key&gt;&lt;/foreign-keys&gt;&lt;ref-type name="Journal Article"&gt;17&lt;/ref-type&gt;&lt;contributors&gt;&lt;authors&gt;&lt;author&gt;Verhelst, Sebastian&lt;/author&gt;&lt;author&gt;Wallner, Thomas&lt;/author&gt;&lt;/authors&gt;&lt;/contributors&gt;&lt;titles&gt;&lt;title&gt;Hydrogen-fueled internal combustion engines&lt;/title&gt;&lt;secondary-title&gt;Progress in Energy and Combustion Science&lt;/secondary-title&gt;&lt;/titles&gt;&lt;periodical&gt;&lt;full-title&gt;Progress in Energy and Combustion Science&lt;/full-title&gt;&lt;/periodical&gt;&lt;pages&gt;490-527&lt;/pages&gt;&lt;volume&gt;35&lt;/volume&gt;&lt;number&gt;6&lt;/number&gt;&lt;keywords&gt;&lt;keyword&gt;Abnormal combustion&lt;/keyword&gt;&lt;keyword&gt;Direct injection&lt;/keyword&gt;&lt;keyword&gt;Hydrogen&lt;/keyword&gt;&lt;keyword&gt;Internal combustion engine&lt;/keyword&gt;&lt;keyword&gt;NOx emissions&lt;/keyword&gt;&lt;keyword&gt;Port-fuel injection&lt;/keyword&gt;&lt;/keywords&gt;&lt;dates&gt;&lt;year&gt;2009&lt;/year&gt;&lt;/dates&gt;&lt;publisher&gt;Pergamon&lt;/publisher&gt;&lt;urls&gt;&lt;pdf-urls&gt;&lt;url&gt;file://Users\David\Library\Application Support\Mendeley Desktop\Downloaded\Verhelst, Wallner - 2009 - Hydrogen-fueled internal combustion engines.pdf&lt;/url&gt;&lt;/pdf-urls&gt;&lt;/urls&gt;&lt;electronic-resource-num&gt;10.1016/j.pecs.2009.08.001&lt;/electronic-resource-num&gt;&lt;/record&gt;&lt;/Cite&gt;&lt;/EndNote&gt;</w:instrText>
      </w:r>
      <w:r w:rsidR="003E394A">
        <w:fldChar w:fldCharType="separate"/>
      </w:r>
      <w:r w:rsidR="003E394A">
        <w:rPr>
          <w:noProof/>
        </w:rPr>
        <w:t>[</w:t>
      </w:r>
      <w:hyperlink w:anchor="_ENREF_10" w:tooltip="Verhelst, 2009 #897" w:history="1">
        <w:r w:rsidR="006210AE">
          <w:rPr>
            <w:noProof/>
          </w:rPr>
          <w:t>10</w:t>
        </w:r>
      </w:hyperlink>
      <w:r w:rsidR="003E394A">
        <w:rPr>
          <w:noProof/>
        </w:rPr>
        <w:t>]</w:t>
      </w:r>
      <w:r w:rsidR="003E394A">
        <w:fldChar w:fldCharType="end"/>
      </w:r>
      <w:r w:rsidRPr="006270DB">
        <w:t xml:space="preserve">, or through </w:t>
      </w:r>
      <w:r w:rsidRPr="003E394A">
        <w:t>Fuel Cells</w:t>
      </w:r>
      <w:r w:rsidR="003E394A" w:rsidRPr="003E394A">
        <w:t xml:space="preserve"> </w:t>
      </w:r>
      <w:r w:rsidR="003E394A" w:rsidRPr="003E394A">
        <w:fldChar w:fldCharType="begin"/>
      </w:r>
      <w:r w:rsidR="003E394A" w:rsidRPr="003E394A">
        <w:instrText xml:space="preserve"> ADDIN EN.CITE &lt;EndNote&gt;&lt;Cite&gt;&lt;Author&gt;Wilberforce&lt;/Author&gt;&lt;Year&gt;2017&lt;/Year&gt;&lt;RecNum&gt;896&lt;/RecNum&gt;&lt;DisplayText&gt;[11]&lt;/DisplayText&gt;&lt;record&gt;&lt;rec-number&gt;896&lt;/rec-number&gt;&lt;foreign-keys&gt;&lt;key app="EN" db-id="w500zpaaheraz8epaw1p29dtf2ff9zrswv50" timestamp="1607697901"&gt;896&lt;/key&gt;&lt;/foreign-keys&gt;&lt;ref-type name="Journal Article"&gt;17&lt;/ref-type&gt;&lt;contributors&gt;&lt;authors&gt;&lt;author&gt;Wilberforce, Tabbi&lt;/author&gt;&lt;author&gt;El-Hassan, Zaki&lt;/author&gt;&lt;author&gt;Khatib, F. N.&lt;/author&gt;&lt;author&gt;Al Makky, Ahmed&lt;/author&gt;&lt;author&gt;Baroutaji, Ahmad&lt;/author&gt;&lt;author&gt;Carton, James G.&lt;/author&gt;&lt;author&gt;Olabi, Abdul G.&lt;/author&gt;&lt;/authors&gt;&lt;/contributors&gt;&lt;titles&gt;&lt;title&gt;Developments of electric cars and fuel cell hydrogen electric cars&lt;/title&gt;&lt;secondary-title&gt;International Journal of Hydrogen Energy&lt;/secondary-title&gt;&lt;/titles&gt;&lt;periodical&gt;&lt;full-title&gt;International Journal of Hydrogen Energy&lt;/full-title&gt;&lt;/periodical&gt;&lt;pages&gt;25695-25734&lt;/pages&gt;&lt;volume&gt;42&lt;/volume&gt;&lt;number&gt;40&lt;/number&gt;&lt;keywords&gt;&lt;keyword&gt;Battery electric vehicles&lt;/keyword&gt;&lt;keyword&gt;Electric cars&lt;/keyword&gt;&lt;keyword&gt;Hybrid cars&lt;/keyword&gt;&lt;keyword&gt;Internal combustion engine&lt;/keyword&gt;&lt;keyword&gt;PEM fuel cell&lt;/keyword&gt;&lt;keyword&gt;Plug – In hybrid cars&lt;/keyword&gt;&lt;/keywords&gt;&lt;dates&gt;&lt;year&gt;2017&lt;/year&gt;&lt;/dates&gt;&lt;publisher&gt;Elsevier Ltd&lt;/publisher&gt;&lt;urls&gt;&lt;pdf-urls&gt;&lt;url&gt;file://Users\David\Library\Application Support\Mendeley Desktop\Downloaded\Wilberforce et al. - 2017 - Developments of electric cars and fuel cell hydrogen electric cars.pdf&lt;/url&gt;&lt;/pdf-urls&gt;&lt;/urls&gt;&lt;electronic-resource-num&gt;10.1016/j.ijhydene.2017.07.054&lt;/electronic-resource-num&gt;&lt;/record&gt;&lt;/Cite&gt;&lt;/EndNote&gt;</w:instrText>
      </w:r>
      <w:r w:rsidR="003E394A" w:rsidRPr="003E394A">
        <w:fldChar w:fldCharType="separate"/>
      </w:r>
      <w:r w:rsidR="003E394A" w:rsidRPr="003E394A">
        <w:rPr>
          <w:noProof/>
        </w:rPr>
        <w:t>[</w:t>
      </w:r>
      <w:hyperlink w:anchor="_ENREF_11" w:tooltip="Wilberforce, 2017 #896" w:history="1">
        <w:r w:rsidR="006210AE" w:rsidRPr="003E394A">
          <w:rPr>
            <w:noProof/>
          </w:rPr>
          <w:t>11</w:t>
        </w:r>
      </w:hyperlink>
      <w:r w:rsidR="003E394A" w:rsidRPr="003E394A">
        <w:rPr>
          <w:noProof/>
        </w:rPr>
        <w:t>]</w:t>
      </w:r>
      <w:r w:rsidR="003E394A" w:rsidRPr="003E394A">
        <w:fldChar w:fldCharType="end"/>
      </w:r>
      <w:r w:rsidR="009E3C78" w:rsidRPr="003E394A">
        <w:t>.</w:t>
      </w:r>
      <w:r w:rsidRPr="003E394A">
        <w:t xml:space="preserve"> Hydrogen</w:t>
      </w:r>
      <w:r w:rsidRPr="006270DB">
        <w:t xml:space="preserve"> ICEs work on the same thermal combustion principle that is currently used in fossil fuel powered cars. Fuel Cell Electric Vehicles (FCEVs) work on the principle of using a fuel cell stack (most commonly a Proton Exchange Membrane (PEM)) to pass compressed hydrogen over a membrane and react it with </w:t>
      </w:r>
      <w:r>
        <w:t>oxygen</w:t>
      </w:r>
      <w:r w:rsidRPr="006270DB">
        <w:t xml:space="preserve"> to create an electrical current in an external circuit. This external circuit powers an electrical motor, which in turn powers the wheels. </w:t>
      </w:r>
      <w:r>
        <w:t>H</w:t>
      </w:r>
      <w:r w:rsidRPr="006270DB">
        <w:t xml:space="preserve">ydrogen as a fuel for FCEVs has to meet specific </w:t>
      </w:r>
      <w:r>
        <w:t xml:space="preserve">purity </w:t>
      </w:r>
      <w:r w:rsidRPr="006270DB">
        <w:t>standards</w:t>
      </w:r>
      <w:r>
        <w:t>,</w:t>
      </w:r>
      <w:r w:rsidRPr="006270DB">
        <w:t xml:space="preserve"> otherwise it will poison the membrane of the fuel cell. At </w:t>
      </w:r>
      <w:r>
        <w:t>the</w:t>
      </w:r>
      <w:r w:rsidRPr="006270DB">
        <w:t xml:space="preserve"> moment</w:t>
      </w:r>
      <w:r>
        <w:t xml:space="preserve"> of completing this study</w:t>
      </w:r>
      <w:r w:rsidRPr="006270DB">
        <w:t>, the most up-to-date standard is the ISO 14687-2:2012 standard for hydrogen fuel being used in a PEM fuel cell application for road vehicles</w:t>
      </w:r>
      <w:r w:rsidR="00B73D26">
        <w:t xml:space="preserve"> </w:t>
      </w:r>
      <w:r w:rsidR="00C167DB">
        <w:fldChar w:fldCharType="begin"/>
      </w:r>
      <w:r w:rsidR="00C167DB">
        <w:instrText xml:space="preserve"> ADDIN EN.CITE &lt;EndNote&gt;&lt;Cite&gt;&lt;Author&gt;British Standard&lt;/Author&gt;&lt;Year&gt;2012&lt;/Year&gt;&lt;RecNum&gt;1050&lt;/RecNum&gt;&lt;DisplayText&gt;[6]&lt;/DisplayText&gt;&lt;record&gt;&lt;rec-number&gt;1050&lt;/rec-number&gt;&lt;foreign-keys&gt;&lt;key app="EN" db-id="w500zpaaheraz8epaw1p29dtf2ff9zrswv50" timestamp="1607697901"&gt;1050&lt;/key&gt;&lt;/foreign-keys&gt;&lt;ref-type name="Journal Article"&gt;17&lt;/ref-type&gt;&lt;contributors&gt;&lt;authors&gt;&lt;author&gt;British Standard,&lt;/author&gt;&lt;/authors&gt;&lt;/contributors&gt;&lt;titles&gt;&lt;title&gt;BSI Standards Publication Hydrogen fuel — Product specification - BS ISO 14687-2:2012&lt;/title&gt;&lt;/titles&gt;&lt;dates&gt;&lt;year&gt;2012&lt;/year&gt;&lt;/dates&gt;&lt;urls&gt;&lt;pdf-urls&gt;&lt;url&gt;file://Users\David\Library\Application Support\Mendeley Desktop\Downloaded\British Standard - 2012 - BSI Standards Publication Hydrogen fuel — Product specification - BS ISO 14687-22012.pdf&lt;/url&gt;&lt;/pdf-urls&gt;&lt;/urls&gt;&lt;/record&gt;&lt;/Cite&gt;&lt;/EndNote&gt;</w:instrText>
      </w:r>
      <w:r w:rsidR="00C167DB">
        <w:fldChar w:fldCharType="separate"/>
      </w:r>
      <w:r w:rsidR="00C167DB">
        <w:rPr>
          <w:noProof/>
        </w:rPr>
        <w:t>[</w:t>
      </w:r>
      <w:hyperlink w:anchor="_ENREF_6" w:tooltip="British Standard, 2012 #1050" w:history="1">
        <w:r w:rsidR="006210AE">
          <w:rPr>
            <w:noProof/>
          </w:rPr>
          <w:t>6</w:t>
        </w:r>
      </w:hyperlink>
      <w:r w:rsidR="00C167DB">
        <w:rPr>
          <w:noProof/>
        </w:rPr>
        <w:t>]</w:t>
      </w:r>
      <w:r w:rsidR="00C167DB">
        <w:fldChar w:fldCharType="end"/>
      </w:r>
      <w:r w:rsidRPr="006270DB">
        <w:t>.</w:t>
      </w:r>
      <w:r>
        <w:t xml:space="preserve"> </w:t>
      </w:r>
    </w:p>
    <w:p w14:paraId="5E957083" w14:textId="4579CCED" w:rsidR="00AD3ACB" w:rsidRDefault="00AD3ACB" w:rsidP="00AD3ACB">
      <w:r>
        <w:t xml:space="preserve">In order to take the hydrogen from production through to the refuelling station pump, a supply chain has to be developed. The potential hydrogen supply chain can be broken down into five main </w:t>
      </w:r>
      <w:r>
        <w:lastRenderedPageBreak/>
        <w:t xml:space="preserve">components: production, transmission, separation/purification, distribution, and refuelling stations as seen in </w:t>
      </w:r>
      <w:r>
        <w:fldChar w:fldCharType="begin"/>
      </w:r>
      <w:r>
        <w:instrText xml:space="preserve"> REF _Ref57837709 \h </w:instrText>
      </w:r>
      <w:r>
        <w:fldChar w:fldCharType="separate"/>
      </w:r>
      <w:r w:rsidR="005851DD">
        <w:t xml:space="preserve">Figure </w:t>
      </w:r>
      <w:r w:rsidR="005851DD">
        <w:rPr>
          <w:noProof/>
        </w:rPr>
        <w:t>1</w:t>
      </w:r>
      <w:r>
        <w:fldChar w:fldCharType="end"/>
      </w:r>
      <w:r>
        <w:t xml:space="preserve">. Each component of the supply chain includes potential technologies to serve each function, as described in </w:t>
      </w:r>
      <w:r>
        <w:fldChar w:fldCharType="begin"/>
      </w:r>
      <w:r>
        <w:instrText xml:space="preserve"> REF _Ref63599403 \h </w:instrText>
      </w:r>
      <w:r>
        <w:fldChar w:fldCharType="separate"/>
      </w:r>
      <w:r w:rsidR="005851DD">
        <w:t xml:space="preserve">Table </w:t>
      </w:r>
      <w:r w:rsidR="005851DD">
        <w:rPr>
          <w:noProof/>
        </w:rPr>
        <w:t>1</w:t>
      </w:r>
      <w:r>
        <w:fldChar w:fldCharType="end"/>
      </w:r>
      <w:r>
        <w:t xml:space="preserve">. Another aspect to be carefully considered at each section is the grade of hydrogen, as this can affect the overall cost and configuration of the supply chain downstream. As covered in Section </w:t>
      </w:r>
      <w:r>
        <w:fldChar w:fldCharType="begin"/>
      </w:r>
      <w:r>
        <w:instrText xml:space="preserve"> REF _Ref63599470 \r \h </w:instrText>
      </w:r>
      <w:r>
        <w:fldChar w:fldCharType="separate"/>
      </w:r>
      <w:r w:rsidR="005851DD">
        <w:t>2.2</w:t>
      </w:r>
      <w:r>
        <w:fldChar w:fldCharType="end"/>
      </w:r>
      <w:r>
        <w:t xml:space="preserve">, hydrogen purity in hydrogen supply chain optimisation is yet to be considered, and doing this can highlight the granularity in the cost optimum way of developing hydrogen supply chains in the future. </w:t>
      </w:r>
    </w:p>
    <w:p w14:paraId="260A2BF5" w14:textId="77777777" w:rsidR="00AD3ACB" w:rsidRDefault="00AD3ACB" w:rsidP="00AD3ACB">
      <w:pPr>
        <w:keepNext/>
      </w:pPr>
      <w:r w:rsidRPr="009E71CA">
        <w:rPr>
          <w:noProof/>
        </w:rPr>
        <w:drawing>
          <wp:inline distT="0" distB="0" distL="0" distR="0" wp14:anchorId="0D4E0C13" wp14:editId="0631E7B5">
            <wp:extent cx="5731510" cy="1927860"/>
            <wp:effectExtent l="0" t="0" r="0" b="254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927860"/>
                    </a:xfrm>
                    <a:prstGeom prst="rect">
                      <a:avLst/>
                    </a:prstGeom>
                  </pic:spPr>
                </pic:pic>
              </a:graphicData>
            </a:graphic>
          </wp:inline>
        </w:drawing>
      </w:r>
    </w:p>
    <w:p w14:paraId="6F450BBA" w14:textId="333FDA40" w:rsidR="00AD3ACB" w:rsidRDefault="00AD3ACB" w:rsidP="00AD3ACB">
      <w:pPr>
        <w:pStyle w:val="Caption"/>
      </w:pPr>
      <w:bookmarkStart w:id="7" w:name="_Ref57837709"/>
      <w:r>
        <w:t xml:space="preserve">Figure </w:t>
      </w:r>
      <w:fldSimple w:instr=" SEQ Figure \* ARABIC ">
        <w:r w:rsidR="0031241E">
          <w:rPr>
            <w:noProof/>
          </w:rPr>
          <w:t>1</w:t>
        </w:r>
      </w:fldSimple>
      <w:bookmarkEnd w:id="7"/>
      <w:r>
        <w:t>:Potential hydrogen supply chain schematic for transport industry.</w:t>
      </w:r>
    </w:p>
    <w:p w14:paraId="46DFC17A" w14:textId="686CAC79" w:rsidR="00AD3ACB" w:rsidRDefault="00AD3ACB" w:rsidP="00AD3ACB">
      <w:pPr>
        <w:pStyle w:val="Caption"/>
        <w:keepNext/>
      </w:pPr>
      <w:bookmarkStart w:id="8" w:name="_Ref63599403"/>
      <w:r>
        <w:t xml:space="preserve">Table </w:t>
      </w:r>
      <w:fldSimple w:instr=" SEQ Table \* ARABIC ">
        <w:r w:rsidR="005851DD">
          <w:rPr>
            <w:noProof/>
          </w:rPr>
          <w:t>1</w:t>
        </w:r>
      </w:fldSimple>
      <w:bookmarkEnd w:id="8"/>
      <w:r>
        <w:t>: Components of a hydrogen supply chain and possible technology options for each component.</w:t>
      </w:r>
    </w:p>
    <w:tbl>
      <w:tblPr>
        <w:tblStyle w:val="PlainTable21"/>
        <w:tblW w:w="0" w:type="auto"/>
        <w:tblLook w:val="04A0" w:firstRow="1" w:lastRow="0" w:firstColumn="1" w:lastColumn="0" w:noHBand="0" w:noVBand="1"/>
      </w:tblPr>
      <w:tblGrid>
        <w:gridCol w:w="1406"/>
        <w:gridCol w:w="5030"/>
        <w:gridCol w:w="2590"/>
      </w:tblGrid>
      <w:tr w:rsidR="009E3C78" w14:paraId="3BD1E712" w14:textId="77777777" w:rsidTr="001325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0E362C" w14:textId="77777777" w:rsidR="00AD3ACB" w:rsidRDefault="00AD3ACB" w:rsidP="00132575">
            <w:pPr>
              <w:jc w:val="center"/>
            </w:pPr>
            <w:r>
              <w:t>Supply chain component</w:t>
            </w:r>
          </w:p>
        </w:tc>
        <w:tc>
          <w:tcPr>
            <w:tcW w:w="0" w:type="auto"/>
            <w:vAlign w:val="center"/>
          </w:tcPr>
          <w:p w14:paraId="6940E915" w14:textId="77777777" w:rsidR="00AD3ACB" w:rsidRDefault="00AD3ACB" w:rsidP="00132575">
            <w:pPr>
              <w:jc w:val="center"/>
              <w:cnfStyle w:val="100000000000" w:firstRow="1" w:lastRow="0" w:firstColumn="0" w:lastColumn="0" w:oddVBand="0" w:evenVBand="0" w:oddHBand="0" w:evenHBand="0" w:firstRowFirstColumn="0" w:firstRowLastColumn="0" w:lastRowFirstColumn="0" w:lastRowLastColumn="0"/>
            </w:pPr>
            <w:r>
              <w:t>Explanation</w:t>
            </w:r>
          </w:p>
        </w:tc>
        <w:tc>
          <w:tcPr>
            <w:tcW w:w="0" w:type="auto"/>
            <w:vAlign w:val="center"/>
          </w:tcPr>
          <w:p w14:paraId="7A3AC62F" w14:textId="77777777" w:rsidR="00AD3ACB" w:rsidRDefault="00AD3ACB" w:rsidP="00132575">
            <w:pPr>
              <w:jc w:val="center"/>
              <w:cnfStyle w:val="100000000000" w:firstRow="1" w:lastRow="0" w:firstColumn="0" w:lastColumn="0" w:oddVBand="0" w:evenVBand="0" w:oddHBand="0" w:evenHBand="0" w:firstRowFirstColumn="0" w:firstRowLastColumn="0" w:lastRowFirstColumn="0" w:lastRowLastColumn="0"/>
            </w:pPr>
            <w:r>
              <w:t>Technology Options</w:t>
            </w:r>
          </w:p>
        </w:tc>
      </w:tr>
      <w:tr w:rsidR="009E3C78" w14:paraId="6AB9D704" w14:textId="77777777" w:rsidTr="0013257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7E9A69E3" w14:textId="77777777" w:rsidR="00AD3ACB" w:rsidRDefault="00AD3ACB" w:rsidP="00132575">
            <w:pPr>
              <w:ind w:left="113" w:right="113"/>
              <w:jc w:val="center"/>
            </w:pPr>
            <w:r>
              <w:t>Production</w:t>
            </w:r>
          </w:p>
        </w:tc>
        <w:tc>
          <w:tcPr>
            <w:tcW w:w="0" w:type="auto"/>
            <w:vAlign w:val="center"/>
          </w:tcPr>
          <w:p w14:paraId="04DD2D31" w14:textId="12125908" w:rsidR="00AD3ACB" w:rsidRDefault="00AD3ACB" w:rsidP="00132575">
            <w:pPr>
              <w:cnfStyle w:val="000000100000" w:firstRow="0" w:lastRow="0" w:firstColumn="0" w:lastColumn="0" w:oddVBand="0" w:evenVBand="0" w:oddHBand="1" w:evenHBand="0" w:firstRowFirstColumn="0" w:firstRowLastColumn="0" w:lastRowFirstColumn="0" w:lastRowLastColumn="0"/>
            </w:pPr>
            <w:r>
              <w:t>Production of hydrogen can occur either in a large-scale centralised facility where it will benefit from economies of scale and higher production efficiencies. However, it requires substantial hydrogen transportation measures to be installed</w:t>
            </w:r>
            <w:r w:rsidR="00B73D26">
              <w:t xml:space="preserve"> </w:t>
            </w:r>
            <w:r w:rsidR="00C167DB">
              <w:fldChar w:fldCharType="begin"/>
            </w:r>
            <w:r w:rsidR="00C167DB">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C167DB">
              <w:fldChar w:fldCharType="separate"/>
            </w:r>
            <w:r w:rsidR="00C167DB">
              <w:rPr>
                <w:noProof/>
              </w:rPr>
              <w:t>[</w:t>
            </w:r>
            <w:hyperlink w:anchor="_ENREF_12" w:tooltip="Murthy Konda, 2011 #968" w:history="1">
              <w:r w:rsidR="006210AE">
                <w:rPr>
                  <w:noProof/>
                </w:rPr>
                <w:t>12</w:t>
              </w:r>
            </w:hyperlink>
            <w:r w:rsidR="00C167DB">
              <w:rPr>
                <w:noProof/>
              </w:rPr>
              <w:t>]</w:t>
            </w:r>
            <w:r w:rsidR="00C167DB">
              <w:fldChar w:fldCharType="end"/>
            </w:r>
            <w:r>
              <w:t>. Alternatively, production can be distributed, closer to the demand, so it requires less of a transport infrastructure, however, it misses out on the benefits of economies of scale</w:t>
            </w:r>
            <w:r w:rsidR="00B73D26">
              <w:t xml:space="preserve"> </w:t>
            </w:r>
            <w:r w:rsidR="00C167DB">
              <w:fldChar w:fldCharType="begin"/>
            </w:r>
            <w:r w:rsidR="00C167DB">
              <w:instrText xml:space="preserve"> ADDIN EN.CITE &lt;EndNote&gt;&lt;Cite&gt;&lt;Author&gt;Haeseldonckx&lt;/Author&gt;&lt;Year&gt;2011&lt;/Year&gt;&lt;RecNum&gt;1010&lt;/RecNum&gt;&lt;DisplayText&gt;[13]&lt;/DisplayText&gt;&lt;record&gt;&lt;rec-number&gt;1010&lt;/rec-number&gt;&lt;foreign-keys&gt;&lt;key app="EN" db-id="w500zpaaheraz8epaw1p29dtf2ff9zrswv50" timestamp="1607697901"&gt;1010&lt;/key&gt;&lt;/foreign-keys&gt;&lt;ref-type name="Journal Article"&gt;17&lt;/ref-type&gt;&lt;contributors&gt;&lt;authors&gt;&lt;author&gt;Haeseldonckx, Dries&lt;/author&gt;&lt;author&gt;D&amp;apos;Haeseleer, William&lt;/author&gt;&lt;/authors&gt;&lt;/contributors&gt;&lt;titles&gt;&lt;title&gt;Concrete transition issues towards a fully-fledged use of hydrogen as an energy carrier: Methodology and modelling&lt;/title&gt;&lt;secondary-title&gt;International Journal of Hydrogen Energy&lt;/secondary-title&gt;&lt;/titles&gt;&lt;periodical&gt;&lt;full-title&gt;International Journal of Hydrogen Energy&lt;/full-title&gt;&lt;/periodical&gt;&lt;keywords&gt;&lt;keyword&gt;Hydrogen&lt;/keyword&gt;&lt;keyword&gt;Hydrogen-natural gas mixtures&lt;/keyword&gt;&lt;keyword&gt;Infrastructure&lt;/keyword&gt;&lt;keyword&gt;Optimisation&lt;/keyword&gt;&lt;keyword&gt;Storage&lt;/keyword&gt;&lt;keyword&gt;Transition&lt;/keyword&gt;&lt;/keywords&gt;&lt;dates&gt;&lt;year&gt;2011&lt;/year&gt;&lt;/dates&gt;&lt;urls&gt;&lt;pdf-urls&gt;&lt;url&gt;file://Users\David\Library\Application Support\Mendeley Desktop\Downloaded\Haeseldonckx, D&amp;apos;Haeseleer - 2011 - Concrete transition issues towards a fully-fledged use of hydrogen as an energy carrier Methodology a.pdf&lt;/url&gt;&lt;/pdf-urls&gt;&lt;/urls&gt;&lt;electronic-resource-num&gt;10.1016/j.ijhydene.2011.01.113&lt;/electronic-resource-num&gt;&lt;/record&gt;&lt;/Cite&gt;&lt;/EndNote&gt;</w:instrText>
            </w:r>
            <w:r w:rsidR="00C167DB">
              <w:fldChar w:fldCharType="separate"/>
            </w:r>
            <w:r w:rsidR="00C167DB">
              <w:rPr>
                <w:noProof/>
              </w:rPr>
              <w:t>[</w:t>
            </w:r>
            <w:hyperlink w:anchor="_ENREF_13" w:tooltip="Haeseldonckx, 2011 #1010" w:history="1">
              <w:r w:rsidR="006210AE">
                <w:rPr>
                  <w:noProof/>
                </w:rPr>
                <w:t>13</w:t>
              </w:r>
            </w:hyperlink>
            <w:r w:rsidR="00C167DB">
              <w:rPr>
                <w:noProof/>
              </w:rPr>
              <w:t>]</w:t>
            </w:r>
            <w:r w:rsidR="00C167DB">
              <w:fldChar w:fldCharType="end"/>
            </w:r>
            <w:r>
              <w:t>.</w:t>
            </w:r>
          </w:p>
        </w:tc>
        <w:tc>
          <w:tcPr>
            <w:tcW w:w="0" w:type="auto"/>
            <w:vAlign w:val="center"/>
          </w:tcPr>
          <w:p w14:paraId="341B70DE"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Steam methane reforming</w:t>
            </w:r>
          </w:p>
          <w:p w14:paraId="1BC5B3BE"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Membrane methane reforming</w:t>
            </w:r>
          </w:p>
          <w:p w14:paraId="0A8D3141"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Gasification</w:t>
            </w:r>
          </w:p>
          <w:p w14:paraId="65A74B0D"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 xml:space="preserve">Pyrolysis </w:t>
            </w:r>
          </w:p>
          <w:p w14:paraId="5DF713A7"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Electrolysis</w:t>
            </w:r>
          </w:p>
        </w:tc>
      </w:tr>
      <w:tr w:rsidR="009E3C78" w14:paraId="4E6283EA" w14:textId="77777777" w:rsidTr="00132575">
        <w:trPr>
          <w:cantSplit/>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767A9D20" w14:textId="77777777" w:rsidR="00AD3ACB" w:rsidRDefault="00AD3ACB" w:rsidP="00132575">
            <w:pPr>
              <w:ind w:left="113" w:right="113"/>
              <w:jc w:val="center"/>
            </w:pPr>
            <w:r>
              <w:t>Transmission</w:t>
            </w:r>
          </w:p>
        </w:tc>
        <w:tc>
          <w:tcPr>
            <w:tcW w:w="0" w:type="auto"/>
            <w:vAlign w:val="center"/>
          </w:tcPr>
          <w:p w14:paraId="58EACB4F" w14:textId="4F7F96C5" w:rsidR="00AD3ACB" w:rsidRDefault="00AD3ACB" w:rsidP="00132575">
            <w:pPr>
              <w:cnfStyle w:val="000000000000" w:firstRow="0" w:lastRow="0" w:firstColumn="0" w:lastColumn="0" w:oddVBand="0" w:evenVBand="0" w:oddHBand="0" w:evenHBand="0" w:firstRowFirstColumn="0" w:firstRowLastColumn="0" w:lastRowFirstColumn="0" w:lastRowLastColumn="0"/>
            </w:pPr>
            <w:r>
              <w:t>Transmission can be considered the ‘motorway’. It refers to the part of hydrogen transportation that moves the bulk from centralised production sites to ‘substations’ closer to the hydrogen demand</w:t>
            </w:r>
            <w:r w:rsidR="00AA243F">
              <w:t xml:space="preserve"> </w:t>
            </w:r>
            <w:r w:rsidR="00AA243F">
              <w:fldChar w:fldCharType="begin"/>
            </w:r>
            <w:r w:rsidR="00AA243F">
              <w:instrText xml:space="preserve"> ADDIN EN.CITE &lt;EndNote&gt;&lt;Cite&gt;&lt;Author&gt;Speirs&lt;/Author&gt;&lt;Year&gt;2017&lt;/Year&gt;&lt;RecNum&gt;912&lt;/RecNum&gt;&lt;DisplayText&gt;[14]&lt;/DisplayText&gt;&lt;record&gt;&lt;rec-number&gt;912&lt;/rec-number&gt;&lt;foreign-keys&gt;&lt;key app="EN" db-id="w500zpaaheraz8epaw1p29dtf2ff9zrswv50" timestamp="1607697901"&gt;912&lt;/key&gt;&lt;/foreign-keys&gt;&lt;ref-type name="Report"&gt;27&lt;/ref-type&gt;&lt;contributors&gt;&lt;authors&gt;&lt;author&gt;Speirs, Jamie&lt;/author&gt;&lt;author&gt;Balcombe, Paul&lt;/author&gt;&lt;author&gt;Johnson, Erin&lt;/author&gt;&lt;author&gt;Martin, Jeanne&lt;/author&gt;&lt;author&gt;Brandon, Nigel&lt;/author&gt;&lt;author&gt;Hawkes, Adam&lt;/author&gt;&lt;/authors&gt;&lt;/contributors&gt;&lt;titles&gt;&lt;title&gt;A Greener Gas Grid: What are The Options?&lt;/title&gt;&lt;/titles&gt;&lt;dates&gt;&lt;year&gt;2017&lt;/year&gt;&lt;/dates&gt;&lt;urls&gt;&lt;/urls&gt;&lt;/record&gt;&lt;/Cite&gt;&lt;/EndNote&gt;</w:instrText>
            </w:r>
            <w:r w:rsidR="00AA243F">
              <w:fldChar w:fldCharType="separate"/>
            </w:r>
            <w:r w:rsidR="00AA243F">
              <w:rPr>
                <w:noProof/>
              </w:rPr>
              <w:t>[</w:t>
            </w:r>
            <w:hyperlink w:anchor="_ENREF_14" w:tooltip="Speirs, 2017 #912" w:history="1">
              <w:r w:rsidR="006210AE">
                <w:rPr>
                  <w:noProof/>
                </w:rPr>
                <w:t>14</w:t>
              </w:r>
            </w:hyperlink>
            <w:r w:rsidR="00AA243F">
              <w:rPr>
                <w:noProof/>
              </w:rPr>
              <w:t>]</w:t>
            </w:r>
            <w:r w:rsidR="00AA243F">
              <w:fldChar w:fldCharType="end"/>
            </w:r>
            <w:r>
              <w:t>.</w:t>
            </w:r>
          </w:p>
        </w:tc>
        <w:tc>
          <w:tcPr>
            <w:tcW w:w="0" w:type="auto"/>
            <w:vAlign w:val="center"/>
          </w:tcPr>
          <w:p w14:paraId="42868B1D"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Dedicated hydrogen pipeline</w:t>
            </w:r>
          </w:p>
          <w:p w14:paraId="3E93A337"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Repurposing gas transmission network</w:t>
            </w:r>
          </w:p>
          <w:p w14:paraId="40E939FD"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Truck/trailers</w:t>
            </w:r>
          </w:p>
        </w:tc>
      </w:tr>
      <w:tr w:rsidR="009E3C78" w14:paraId="3460AA03" w14:textId="77777777" w:rsidTr="0013257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346B7C27" w14:textId="77777777" w:rsidR="00AD3ACB" w:rsidRDefault="00AD3ACB" w:rsidP="00132575">
            <w:pPr>
              <w:ind w:left="113" w:right="113"/>
              <w:jc w:val="center"/>
            </w:pPr>
            <w:r>
              <w:t>Distribution</w:t>
            </w:r>
          </w:p>
        </w:tc>
        <w:tc>
          <w:tcPr>
            <w:tcW w:w="0" w:type="auto"/>
            <w:vAlign w:val="center"/>
          </w:tcPr>
          <w:p w14:paraId="1A86BD56" w14:textId="6977B3D2" w:rsidR="00AD3ACB" w:rsidRDefault="00AD3ACB" w:rsidP="00132575">
            <w:pPr>
              <w:cnfStyle w:val="000000100000" w:firstRow="0" w:lastRow="0" w:firstColumn="0" w:lastColumn="0" w:oddVBand="0" w:evenVBand="0" w:oddHBand="1" w:evenHBand="0" w:firstRowFirstColumn="0" w:firstRowLastColumn="0" w:lastRowFirstColumn="0" w:lastRowLastColumn="0"/>
            </w:pPr>
            <w:r>
              <w:t>Distribution can be considered the ‘city streets’. It refers to the last leg of the hydrogen transport system, delivering smaller quantities to the end user (in the case for the transport sector, to refuelling stations)</w:t>
            </w:r>
            <w:r w:rsidR="00AA243F">
              <w:t xml:space="preserve"> </w:t>
            </w:r>
            <w:r w:rsidR="00AA243F">
              <w:fldChar w:fldCharType="begin"/>
            </w:r>
            <w:r w:rsidR="00AA243F">
              <w:instrText xml:space="preserve"> ADDIN EN.CITE &lt;EndNote&gt;&lt;Cite&gt;&lt;Author&gt;Speirs&lt;/Author&gt;&lt;Year&gt;2017&lt;/Year&gt;&lt;RecNum&gt;912&lt;/RecNum&gt;&lt;DisplayText&gt;[14]&lt;/DisplayText&gt;&lt;record&gt;&lt;rec-number&gt;912&lt;/rec-number&gt;&lt;foreign-keys&gt;&lt;key app="EN" db-id="w500zpaaheraz8epaw1p29dtf2ff9zrswv50" timestamp="1607697901"&gt;912&lt;/key&gt;&lt;/foreign-keys&gt;&lt;ref-type name="Report"&gt;27&lt;/ref-type&gt;&lt;contributors&gt;&lt;authors&gt;&lt;author&gt;Speirs, Jamie&lt;/author&gt;&lt;author&gt;Balcombe, Paul&lt;/author&gt;&lt;author&gt;Johnson, Erin&lt;/author&gt;&lt;author&gt;Martin, Jeanne&lt;/author&gt;&lt;author&gt;Brandon, Nigel&lt;/author&gt;&lt;author&gt;Hawkes, Adam&lt;/author&gt;&lt;/authors&gt;&lt;/contributors&gt;&lt;titles&gt;&lt;title&gt;A Greener Gas Grid: What are The Options?&lt;/title&gt;&lt;/titles&gt;&lt;dates&gt;&lt;year&gt;2017&lt;/year&gt;&lt;/dates&gt;&lt;urls&gt;&lt;/urls&gt;&lt;/record&gt;&lt;/Cite&gt;&lt;/EndNote&gt;</w:instrText>
            </w:r>
            <w:r w:rsidR="00AA243F">
              <w:fldChar w:fldCharType="separate"/>
            </w:r>
            <w:r w:rsidR="00AA243F">
              <w:rPr>
                <w:noProof/>
              </w:rPr>
              <w:t>[</w:t>
            </w:r>
            <w:hyperlink w:anchor="_ENREF_14" w:tooltip="Speirs, 2017 #912" w:history="1">
              <w:r w:rsidR="006210AE">
                <w:rPr>
                  <w:noProof/>
                </w:rPr>
                <w:t>14</w:t>
              </w:r>
            </w:hyperlink>
            <w:r w:rsidR="00AA243F">
              <w:rPr>
                <w:noProof/>
              </w:rPr>
              <w:t>]</w:t>
            </w:r>
            <w:r w:rsidR="00AA243F">
              <w:fldChar w:fldCharType="end"/>
            </w:r>
            <w:r>
              <w:t>.</w:t>
            </w:r>
          </w:p>
        </w:tc>
        <w:tc>
          <w:tcPr>
            <w:tcW w:w="0" w:type="auto"/>
            <w:vAlign w:val="center"/>
          </w:tcPr>
          <w:p w14:paraId="3E1A4590"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Dedicated hydrogen pipeline</w:t>
            </w:r>
          </w:p>
          <w:p w14:paraId="10EB7D6E"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Repurposing gas distribution network</w:t>
            </w:r>
          </w:p>
          <w:p w14:paraId="3537AFD1" w14:textId="77777777" w:rsidR="00AD3ACB"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t>Truck/trailers</w:t>
            </w:r>
          </w:p>
        </w:tc>
      </w:tr>
      <w:tr w:rsidR="009E3C78" w14:paraId="4F37B1B1" w14:textId="77777777" w:rsidTr="00132575">
        <w:trPr>
          <w:cantSplit/>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7B66FAB2" w14:textId="77777777" w:rsidR="00AD3ACB" w:rsidRDefault="00AD3ACB" w:rsidP="00132575">
            <w:pPr>
              <w:ind w:left="113" w:right="113"/>
              <w:jc w:val="center"/>
            </w:pPr>
            <w:r>
              <w:lastRenderedPageBreak/>
              <w:t>Separation/Purification</w:t>
            </w:r>
          </w:p>
        </w:tc>
        <w:tc>
          <w:tcPr>
            <w:tcW w:w="0" w:type="auto"/>
            <w:vAlign w:val="center"/>
          </w:tcPr>
          <w:p w14:paraId="38AC750D" w14:textId="617F075A" w:rsidR="00AD3ACB" w:rsidRPr="0003105F" w:rsidRDefault="00AD3ACB" w:rsidP="00132575">
            <w:pPr>
              <w:pStyle w:val="NormalWeb"/>
              <w:cnfStyle w:val="000000000000" w:firstRow="0" w:lastRow="0" w:firstColumn="0" w:lastColumn="0" w:oddVBand="0" w:evenVBand="0" w:oddHBand="0" w:evenHBand="0" w:firstRowFirstColumn="0" w:firstRowLastColumn="0" w:lastRowFirstColumn="0" w:lastRowLastColumn="0"/>
            </w:pPr>
            <w:r w:rsidRPr="0003105F">
              <w:rPr>
                <w:rFonts w:asciiTheme="minorHAnsi" w:eastAsiaTheme="minorHAnsi" w:hAnsiTheme="minorHAnsi" w:cstheme="minorBidi"/>
                <w:sz w:val="22"/>
                <w:szCs w:val="22"/>
                <w:lang w:eastAsia="en-US"/>
              </w:rPr>
              <w:t xml:space="preserve">Separation and purification is required in the hydrogen supply chain in order to </w:t>
            </w:r>
            <w:r>
              <w:rPr>
                <w:rFonts w:asciiTheme="minorHAnsi" w:eastAsiaTheme="minorHAnsi" w:hAnsiTheme="minorHAnsi" w:cstheme="minorBidi"/>
                <w:sz w:val="22"/>
                <w:szCs w:val="22"/>
                <w:lang w:eastAsia="en-US"/>
              </w:rPr>
              <w:t xml:space="preserve">adhere to </w:t>
            </w:r>
            <w:r w:rsidRPr="0003105F">
              <w:rPr>
                <w:rFonts w:asciiTheme="minorHAnsi" w:eastAsiaTheme="minorHAnsi" w:hAnsiTheme="minorHAnsi" w:cstheme="minorBidi"/>
                <w:sz w:val="22"/>
                <w:szCs w:val="22"/>
                <w:lang w:eastAsia="en-US"/>
              </w:rPr>
              <w:t xml:space="preserve">ISO </w:t>
            </w:r>
            <w:r w:rsidRPr="00610195">
              <w:rPr>
                <w:rFonts w:asciiTheme="minorHAnsi" w:eastAsiaTheme="minorHAnsi" w:hAnsiTheme="minorHAnsi" w:cstheme="minorBidi"/>
                <w:sz w:val="22"/>
                <w:szCs w:val="22"/>
                <w:lang w:eastAsia="en-US"/>
              </w:rPr>
              <w:t>14687-2:2012</w:t>
            </w:r>
            <w:r>
              <w:rPr>
                <w:rFonts w:asciiTheme="minorHAnsi" w:eastAsiaTheme="minorHAnsi" w:hAnsiTheme="minorHAnsi" w:cstheme="minorBidi"/>
                <w:sz w:val="22"/>
                <w:szCs w:val="22"/>
                <w:lang w:eastAsia="en-US"/>
              </w:rPr>
              <w:t xml:space="preserve"> standards</w:t>
            </w:r>
            <w:r w:rsidR="00B73D26">
              <w:rPr>
                <w:rFonts w:asciiTheme="minorHAnsi" w:eastAsiaTheme="minorHAnsi" w:hAnsiTheme="minorHAnsi" w:cstheme="minorBidi"/>
                <w:sz w:val="22"/>
                <w:szCs w:val="22"/>
                <w:lang w:eastAsia="en-US"/>
              </w:rPr>
              <w:t xml:space="preserve"> </w:t>
            </w:r>
            <w:r w:rsidR="00C167DB">
              <w:rPr>
                <w:rFonts w:asciiTheme="minorHAnsi" w:eastAsiaTheme="minorHAnsi" w:hAnsiTheme="minorHAnsi" w:cstheme="minorBidi"/>
                <w:sz w:val="22"/>
                <w:szCs w:val="22"/>
                <w:lang w:eastAsia="en-US"/>
              </w:rPr>
              <w:fldChar w:fldCharType="begin"/>
            </w:r>
            <w:r w:rsidR="00C167DB">
              <w:rPr>
                <w:rFonts w:asciiTheme="minorHAnsi" w:eastAsiaTheme="minorHAnsi" w:hAnsiTheme="minorHAnsi" w:cstheme="minorBidi"/>
                <w:sz w:val="22"/>
                <w:szCs w:val="22"/>
                <w:lang w:eastAsia="en-US"/>
              </w:rPr>
              <w:instrText xml:space="preserve"> ADDIN EN.CITE &lt;EndNote&gt;&lt;Cite&gt;&lt;Author&gt;British Standard&lt;/Author&gt;&lt;Year&gt;2012&lt;/Year&gt;&lt;RecNum&gt;1050&lt;/RecNum&gt;&lt;DisplayText&gt;[6]&lt;/DisplayText&gt;&lt;record&gt;&lt;rec-number&gt;1050&lt;/rec-number&gt;&lt;foreign-keys&gt;&lt;key app="EN" db-id="w500zpaaheraz8epaw1p29dtf2ff9zrswv50" timestamp="1607697901"&gt;1050&lt;/key&gt;&lt;/foreign-keys&gt;&lt;ref-type name="Journal Article"&gt;17&lt;/ref-type&gt;&lt;contributors&gt;&lt;authors&gt;&lt;author&gt;British Standard,&lt;/author&gt;&lt;/authors&gt;&lt;/contributors&gt;&lt;titles&gt;&lt;title&gt;BSI Standards Publication Hydrogen fuel — Product specification - BS ISO 14687-2:2012&lt;/title&gt;&lt;/titles&gt;&lt;dates&gt;&lt;year&gt;2012&lt;/year&gt;&lt;/dates&gt;&lt;urls&gt;&lt;pdf-urls&gt;&lt;url&gt;file://Users\David\Library\Application Support\Mendeley Desktop\Downloaded\British Standard - 2012 - BSI Standards Publication Hydrogen fuel — Product specification - BS ISO 14687-22012.pdf&lt;/url&gt;&lt;/pdf-urls&gt;&lt;/urls&gt;&lt;/record&gt;&lt;/Cite&gt;&lt;/EndNote&gt;</w:instrText>
            </w:r>
            <w:r w:rsidR="00C167DB">
              <w:rPr>
                <w:rFonts w:asciiTheme="minorHAnsi" w:eastAsiaTheme="minorHAnsi" w:hAnsiTheme="minorHAnsi" w:cstheme="minorBidi"/>
                <w:sz w:val="22"/>
                <w:szCs w:val="22"/>
                <w:lang w:eastAsia="en-US"/>
              </w:rPr>
              <w:fldChar w:fldCharType="separate"/>
            </w:r>
            <w:r w:rsidR="00C167DB">
              <w:rPr>
                <w:rFonts w:asciiTheme="minorHAnsi" w:eastAsiaTheme="minorHAnsi" w:hAnsiTheme="minorHAnsi" w:cstheme="minorBidi"/>
                <w:noProof/>
                <w:sz w:val="22"/>
                <w:szCs w:val="22"/>
                <w:lang w:eastAsia="en-US"/>
              </w:rPr>
              <w:t>[</w:t>
            </w:r>
            <w:hyperlink w:anchor="_ENREF_6" w:tooltip="British Standard, 2012 #1050" w:history="1">
              <w:r w:rsidR="006210AE">
                <w:rPr>
                  <w:rFonts w:asciiTheme="minorHAnsi" w:eastAsiaTheme="minorHAnsi" w:hAnsiTheme="minorHAnsi" w:cstheme="minorBidi"/>
                  <w:noProof/>
                  <w:sz w:val="22"/>
                  <w:szCs w:val="22"/>
                  <w:lang w:eastAsia="en-US"/>
                </w:rPr>
                <w:t>6</w:t>
              </w:r>
            </w:hyperlink>
            <w:r w:rsidR="00C167DB">
              <w:rPr>
                <w:rFonts w:asciiTheme="minorHAnsi" w:eastAsiaTheme="minorHAnsi" w:hAnsiTheme="minorHAnsi" w:cstheme="minorBidi"/>
                <w:noProof/>
                <w:sz w:val="22"/>
                <w:szCs w:val="22"/>
                <w:lang w:eastAsia="en-US"/>
              </w:rPr>
              <w:t>]</w:t>
            </w:r>
            <w:r w:rsidR="00C167DB">
              <w:rPr>
                <w:rFonts w:asciiTheme="minorHAnsi" w:eastAsiaTheme="minorHAnsi" w:hAnsiTheme="minorHAnsi" w:cstheme="minorBidi"/>
                <w:sz w:val="22"/>
                <w:szCs w:val="22"/>
                <w:lang w:eastAsia="en-US"/>
              </w:rPr>
              <w:fldChar w:fldCharType="end"/>
            </w:r>
            <w:r w:rsidR="009E3C78">
              <w:rPr>
                <w:rFonts w:asciiTheme="minorHAnsi" w:eastAsiaTheme="minorHAnsi" w:hAnsiTheme="minorHAnsi" w:cstheme="minorBidi"/>
                <w:sz w:val="22"/>
                <w:szCs w:val="22"/>
                <w:lang w:eastAsia="en-US"/>
              </w:rPr>
              <w:t>.</w:t>
            </w:r>
            <w:r w:rsidRPr="0003105F">
              <w:rPr>
                <w:rFonts w:asciiTheme="minorHAnsi" w:eastAsiaTheme="minorHAnsi" w:hAnsiTheme="minorHAnsi" w:cstheme="minorBidi"/>
                <w:sz w:val="22"/>
                <w:szCs w:val="22"/>
                <w:lang w:eastAsia="en-US"/>
              </w:rPr>
              <w:t xml:space="preserve"> Separation and purification can be </w:t>
            </w:r>
            <w:r>
              <w:rPr>
                <w:rFonts w:asciiTheme="minorHAnsi" w:eastAsiaTheme="minorHAnsi" w:hAnsiTheme="minorHAnsi" w:cstheme="minorBidi"/>
                <w:sz w:val="22"/>
                <w:szCs w:val="22"/>
                <w:lang w:eastAsia="en-US"/>
              </w:rPr>
              <w:t xml:space="preserve">installed </w:t>
            </w:r>
            <w:r w:rsidRPr="0003105F">
              <w:rPr>
                <w:rFonts w:asciiTheme="minorHAnsi" w:eastAsiaTheme="minorHAnsi" w:hAnsiTheme="minorHAnsi" w:cstheme="minorBidi"/>
                <w:sz w:val="22"/>
                <w:szCs w:val="22"/>
                <w:lang w:eastAsia="en-US"/>
              </w:rPr>
              <w:t xml:space="preserve">at various places in the supply chain, depending on the desired configuration. </w:t>
            </w:r>
            <w:r>
              <w:rPr>
                <w:rFonts w:asciiTheme="minorHAnsi" w:eastAsiaTheme="minorHAnsi" w:hAnsiTheme="minorHAnsi" w:cstheme="minorBidi"/>
                <w:sz w:val="22"/>
                <w:szCs w:val="22"/>
                <w:lang w:eastAsia="en-US"/>
              </w:rPr>
              <w:t>I</w:t>
            </w:r>
            <w:r w:rsidRPr="0003105F">
              <w:rPr>
                <w:rFonts w:asciiTheme="minorHAnsi" w:eastAsiaTheme="minorHAnsi" w:hAnsiTheme="minorHAnsi" w:cstheme="minorBidi"/>
                <w:sz w:val="22"/>
                <w:szCs w:val="22"/>
                <w:lang w:eastAsia="en-US"/>
              </w:rPr>
              <w:t>t can be placed in a large-scale centralised facility, where it can increase the purity of hydrogen from transmission, and feed it into the distribution system. One of the main advantages to this approach is, like in production, a large centralised purification facility will benefit from economies of scale. However, purifying hydrogen at this stage will required pure hydrogen to be distributed to the refuelling station which could incur higher transportation costs.</w:t>
            </w:r>
          </w:p>
          <w:p w14:paraId="4B134D43" w14:textId="5315285C" w:rsidR="00AD3ACB" w:rsidRDefault="00AD3ACB" w:rsidP="00132575">
            <w:pPr>
              <w:cnfStyle w:val="000000000000" w:firstRow="0" w:lastRow="0" w:firstColumn="0" w:lastColumn="0" w:oddVBand="0" w:evenVBand="0" w:oddHBand="0" w:evenHBand="0" w:firstRowFirstColumn="0" w:firstRowLastColumn="0" w:lastRowFirstColumn="0" w:lastRowLastColumn="0"/>
            </w:pPr>
            <w:r>
              <w:t>Separation and purification can also be place</w:t>
            </w:r>
            <w:r w:rsidR="00B73D26">
              <w:t>d</w:t>
            </w:r>
            <w:r>
              <w:t xml:space="preserve"> locally at the refuelling site. One of the main advantages to this is hydrogen can be any grade up to this point (included being blended into a gas distribution network) allowing for cheaper transportation costs. However, a main drawback of this method is small scale localised separation and purification will not benefit from economies of scale.</w:t>
            </w:r>
          </w:p>
        </w:tc>
        <w:tc>
          <w:tcPr>
            <w:tcW w:w="0" w:type="auto"/>
            <w:vAlign w:val="center"/>
          </w:tcPr>
          <w:p w14:paraId="3E87DF81"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Pressure swing adsorption</w:t>
            </w:r>
          </w:p>
          <w:p w14:paraId="7D961B5F"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Cryogenic distillation</w:t>
            </w:r>
          </w:p>
          <w:p w14:paraId="02A4FE9B"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Selective membranes</w:t>
            </w:r>
          </w:p>
          <w:p w14:paraId="0EC833CA" w14:textId="77777777" w:rsidR="00AD3ACB" w:rsidRDefault="00AD3ACB" w:rsidP="00AD3ACB">
            <w:pPr>
              <w:pStyle w:val="ListParagraph"/>
              <w:numPr>
                <w:ilvl w:val="0"/>
                <w:numId w:val="48"/>
              </w:numPr>
              <w:spacing w:line="240" w:lineRule="auto"/>
              <w:ind w:left="258" w:hanging="287"/>
              <w:jc w:val="left"/>
              <w:cnfStyle w:val="000000000000" w:firstRow="0" w:lastRow="0" w:firstColumn="0" w:lastColumn="0" w:oddVBand="0" w:evenVBand="0" w:oddHBand="0" w:evenHBand="0" w:firstRowFirstColumn="0" w:firstRowLastColumn="0" w:lastRowFirstColumn="0" w:lastRowLastColumn="0"/>
            </w:pPr>
            <w:r>
              <w:t>Electro-chemical purification</w:t>
            </w:r>
          </w:p>
          <w:p w14:paraId="317777B2" w14:textId="77777777" w:rsidR="00AD3ACB" w:rsidRDefault="00AD3ACB" w:rsidP="00132575">
            <w:pPr>
              <w:cnfStyle w:val="000000000000" w:firstRow="0" w:lastRow="0" w:firstColumn="0" w:lastColumn="0" w:oddVBand="0" w:evenVBand="0" w:oddHBand="0" w:evenHBand="0" w:firstRowFirstColumn="0" w:firstRowLastColumn="0" w:lastRowFirstColumn="0" w:lastRowLastColumn="0"/>
            </w:pPr>
          </w:p>
        </w:tc>
      </w:tr>
      <w:tr w:rsidR="009E3C78" w14:paraId="135DE05B" w14:textId="77777777" w:rsidTr="0013257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26A8BED3" w14:textId="77777777" w:rsidR="00AD3ACB" w:rsidRDefault="00AD3ACB" w:rsidP="00132575">
            <w:pPr>
              <w:ind w:left="113" w:right="113"/>
              <w:jc w:val="center"/>
            </w:pPr>
            <w:r>
              <w:t>Refuelling Station</w:t>
            </w:r>
          </w:p>
        </w:tc>
        <w:tc>
          <w:tcPr>
            <w:tcW w:w="0" w:type="auto"/>
            <w:vAlign w:val="center"/>
          </w:tcPr>
          <w:p w14:paraId="32AD713B" w14:textId="690CE98C" w:rsidR="00AD3ACB" w:rsidRDefault="00AD3ACB" w:rsidP="00132575">
            <w:pPr>
              <w:cnfStyle w:val="000000100000" w:firstRow="0" w:lastRow="0" w:firstColumn="0" w:lastColumn="0" w:oddVBand="0" w:evenVBand="0" w:oddHBand="1" w:evenHBand="0" w:firstRowFirstColumn="0" w:firstRowLastColumn="0" w:lastRowFirstColumn="0" w:lastRowLastColumn="0"/>
            </w:pPr>
            <w:r>
              <w:t>Hydrogen refuelling stations is the point of dispensing the fuel to the end of use application, in this case the FCEV. Major work has been completed by developing equipment standards and refuelling protocols for high pressure (700 bar) and fast dispensing (&lt;3min) and t</w:t>
            </w:r>
            <w:r w:rsidRPr="00631F38">
              <w:t>here are four types of refuelling station</w:t>
            </w:r>
            <w:r w:rsidRPr="00610195">
              <w:t>s</w:t>
            </w:r>
            <w:r w:rsidR="00B73D26">
              <w:t xml:space="preserve"> </w:t>
            </w:r>
            <w:r w:rsidR="00C167DB">
              <w:fldChar w:fldCharType="begin"/>
            </w:r>
            <w:r w:rsidR="00AA243F">
              <w:instrText xml:space="preserve"> ADDIN EN.CITE &lt;EndNote&gt;&lt;Cite&gt;&lt;Author&gt;Azzaro-Pantel&lt;/Author&gt;&lt;Year&gt;2018&lt;/Year&gt;&lt;RecNum&gt;1061&lt;/RecNum&gt;&lt;DisplayText&gt;[15]&lt;/DisplayText&gt;&lt;record&gt;&lt;rec-number&gt;1061&lt;/rec-number&gt;&lt;foreign-keys&gt;&lt;key app="EN" db-id="w500zpaaheraz8epaw1p29dtf2ff9zrswv50" timestamp="1607697901"&gt;1061&lt;/key&gt;&lt;/foreign-keys&gt;&lt;ref-type name="Book"&gt;6&lt;/ref-type&gt;&lt;contributors&gt;&lt;authors&gt;&lt;author&gt;Azzaro-Pantel, Catherine&lt;/author&gt;&lt;/authors&gt;&lt;/contributors&gt;&lt;titles&gt;&lt;title&gt;Hydrogen Supply Chains Design, Deployment and Operation&lt;/title&gt;&lt;/titles&gt;&lt;dates&gt;&lt;year&gt;2018&lt;/year&gt;&lt;/dates&gt;&lt;publisher&gt;Mara Conner&lt;/publisher&gt;&lt;isbn&gt;978-0-12-811197-0&lt;/isbn&gt;&lt;urls&gt;&lt;/urls&gt;&lt;electronic-resource-num&gt;https://doi.org/10.1016/C2016-0-00605-8&lt;/electronic-resource-num&gt;&lt;/record&gt;&lt;/Cite&gt;&lt;/EndNote&gt;</w:instrText>
            </w:r>
            <w:r w:rsidR="00C167DB">
              <w:fldChar w:fldCharType="separate"/>
            </w:r>
            <w:r w:rsidR="00AA243F">
              <w:rPr>
                <w:noProof/>
              </w:rPr>
              <w:t>[</w:t>
            </w:r>
            <w:hyperlink w:anchor="_ENREF_15" w:tooltip="Azzaro-Pantel, 2018 #1061" w:history="1">
              <w:r w:rsidR="006210AE">
                <w:rPr>
                  <w:noProof/>
                </w:rPr>
                <w:t>15</w:t>
              </w:r>
            </w:hyperlink>
            <w:r w:rsidR="00AA243F">
              <w:rPr>
                <w:noProof/>
              </w:rPr>
              <w:t>]</w:t>
            </w:r>
            <w:r w:rsidR="00C167DB">
              <w:fldChar w:fldCharType="end"/>
            </w:r>
            <w:r>
              <w:rPr>
                <w:color w:val="000000"/>
              </w:rPr>
              <w:t>.</w:t>
            </w:r>
          </w:p>
          <w:p w14:paraId="42DDB056" w14:textId="77777777" w:rsidR="00AD3ACB" w:rsidRDefault="00AD3ACB" w:rsidP="00132575">
            <w:pPr>
              <w:cnfStyle w:val="000000100000" w:firstRow="0" w:lastRow="0" w:firstColumn="0" w:lastColumn="0" w:oddVBand="0" w:evenVBand="0" w:oddHBand="1" w:evenHBand="0" w:firstRowFirstColumn="0" w:firstRowLastColumn="0" w:lastRowFirstColumn="0" w:lastRowLastColumn="0"/>
            </w:pPr>
          </w:p>
        </w:tc>
        <w:tc>
          <w:tcPr>
            <w:tcW w:w="0" w:type="auto"/>
            <w:vAlign w:val="center"/>
          </w:tcPr>
          <w:p w14:paraId="4DC2AD28" w14:textId="77777777" w:rsidR="00AD3ACB" w:rsidRPr="00610195"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rsidRPr="00610195">
              <w:t xml:space="preserve">Stations receiving liquid hydrogen requiring evaporation and compression facilities. </w:t>
            </w:r>
          </w:p>
          <w:p w14:paraId="4079B02C" w14:textId="77777777" w:rsidR="00AD3ACB" w:rsidRPr="00610195"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rsidRPr="00610195">
              <w:t xml:space="preserve">Stations receiving compressed hydrogen (200bar) from trailers requiring high-compression units. </w:t>
            </w:r>
          </w:p>
          <w:p w14:paraId="17685D41" w14:textId="77777777" w:rsidR="00AD3ACB" w:rsidRPr="00610195"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rsidRPr="00610195">
              <w:t xml:space="preserve">Stations receiving compressed hydrogen ( ̴100bar) from pipeline requiring high- compression units. </w:t>
            </w:r>
          </w:p>
          <w:p w14:paraId="19CE5537" w14:textId="77777777" w:rsidR="00AD3ACB" w:rsidRPr="00610195" w:rsidRDefault="00AD3ACB" w:rsidP="00AD3ACB">
            <w:pPr>
              <w:pStyle w:val="ListParagraph"/>
              <w:numPr>
                <w:ilvl w:val="0"/>
                <w:numId w:val="48"/>
              </w:numPr>
              <w:spacing w:line="240" w:lineRule="auto"/>
              <w:ind w:left="258" w:hanging="287"/>
              <w:jc w:val="left"/>
              <w:cnfStyle w:val="000000100000" w:firstRow="0" w:lastRow="0" w:firstColumn="0" w:lastColumn="0" w:oddVBand="0" w:evenVBand="0" w:oddHBand="1" w:evenHBand="0" w:firstRowFirstColumn="0" w:firstRowLastColumn="0" w:lastRowFirstColumn="0" w:lastRowLastColumn="0"/>
            </w:pPr>
            <w:r w:rsidRPr="00610195">
              <w:t xml:space="preserve">Stations with onsite hydrogen production from electrolysis requiring compress from 15 to 700 bar. </w:t>
            </w:r>
          </w:p>
          <w:p w14:paraId="1BA7E737" w14:textId="77777777" w:rsidR="00AD3ACB" w:rsidRDefault="00AD3ACB" w:rsidP="00132575">
            <w:pPr>
              <w:cnfStyle w:val="000000100000" w:firstRow="0" w:lastRow="0" w:firstColumn="0" w:lastColumn="0" w:oddVBand="0" w:evenVBand="0" w:oddHBand="1" w:evenHBand="0" w:firstRowFirstColumn="0" w:firstRowLastColumn="0" w:lastRowFirstColumn="0" w:lastRowLastColumn="0"/>
            </w:pPr>
          </w:p>
        </w:tc>
      </w:tr>
    </w:tbl>
    <w:p w14:paraId="1374BF74" w14:textId="77777777" w:rsidR="00AD3ACB" w:rsidRDefault="00AD3ACB" w:rsidP="00AD3ACB"/>
    <w:p w14:paraId="00E1880E" w14:textId="77777777" w:rsidR="00AD3ACB" w:rsidRPr="00C7379E" w:rsidRDefault="00AD3ACB" w:rsidP="00AD3ACB">
      <w:pPr>
        <w:pStyle w:val="Heading2"/>
      </w:pPr>
      <w:bookmarkStart w:id="9" w:name="_Toc32235147"/>
      <w:bookmarkStart w:id="10" w:name="_Toc50359401"/>
      <w:bookmarkStart w:id="11" w:name="_Ref63599470"/>
      <w:bookmarkStart w:id="12" w:name="_Hlk63113186"/>
      <w:r w:rsidRPr="00C7379E">
        <w:lastRenderedPageBreak/>
        <w:t xml:space="preserve">Hydrogen </w:t>
      </w:r>
      <w:r>
        <w:t>s</w:t>
      </w:r>
      <w:r w:rsidRPr="00C7379E">
        <w:t xml:space="preserve">upply </w:t>
      </w:r>
      <w:r>
        <w:t>c</w:t>
      </w:r>
      <w:r w:rsidRPr="00C7379E">
        <w:t xml:space="preserve">hain </w:t>
      </w:r>
      <w:r>
        <w:t>systems m</w:t>
      </w:r>
      <w:r w:rsidRPr="00C7379E">
        <w:t>odelling</w:t>
      </w:r>
      <w:bookmarkEnd w:id="9"/>
      <w:bookmarkEnd w:id="10"/>
      <w:bookmarkEnd w:id="11"/>
    </w:p>
    <w:p w14:paraId="672D3C6D" w14:textId="77777777" w:rsidR="00AD3ACB" w:rsidRPr="006270DB" w:rsidRDefault="00AD3ACB" w:rsidP="00AD3ACB">
      <w:r w:rsidRPr="006270DB">
        <w:t xml:space="preserve">Because of the vast array of </w:t>
      </w:r>
      <w:r>
        <w:t xml:space="preserve">technology </w:t>
      </w:r>
      <w:r w:rsidRPr="006270DB">
        <w:t xml:space="preserve">combinations </w:t>
      </w:r>
      <w:r>
        <w:t>in a hydrogen supply chain, energy systems modelling - specifically optimisation modelling -</w:t>
      </w:r>
      <w:r w:rsidRPr="006270DB">
        <w:t xml:space="preserve"> </w:t>
      </w:r>
      <w:r>
        <w:t>is</w:t>
      </w:r>
      <w:r w:rsidRPr="006270DB">
        <w:t xml:space="preserve"> a</w:t>
      </w:r>
      <w:r>
        <w:t>n</w:t>
      </w:r>
      <w:r w:rsidRPr="006270DB">
        <w:t xml:space="preserve"> </w:t>
      </w:r>
      <w:r>
        <w:t>essential</w:t>
      </w:r>
      <w:r w:rsidRPr="006270DB">
        <w:t xml:space="preserve"> tool to compare all combinations simultaneously in order to minimise investment </w:t>
      </w:r>
      <w:r>
        <w:t>and</w:t>
      </w:r>
      <w:r w:rsidRPr="006270DB">
        <w:t xml:space="preserve"> operational costs</w:t>
      </w:r>
      <w:r>
        <w:t>,</w:t>
      </w:r>
      <w:r w:rsidRPr="006270DB">
        <w:t xml:space="preserve"> </w:t>
      </w:r>
      <w:r>
        <w:t>and</w:t>
      </w:r>
      <w:r w:rsidRPr="006270DB">
        <w:t xml:space="preserve"> emissions of a proposed supply chain. Furthermore, developing an energy system</w:t>
      </w:r>
      <w:r>
        <w:t>s</w:t>
      </w:r>
      <w:r w:rsidRPr="006270DB">
        <w:t xml:space="preserve"> model allows </w:t>
      </w:r>
      <w:r>
        <w:t xml:space="preserve">for the inclusion of </w:t>
      </w:r>
      <w:r w:rsidRPr="006270DB">
        <w:t>other factors</w:t>
      </w:r>
      <w:r>
        <w:t>,</w:t>
      </w:r>
      <w:r w:rsidRPr="006270DB">
        <w:t xml:space="preserve"> such as spatial aspects</w:t>
      </w:r>
      <w:r>
        <w:t>,</w:t>
      </w:r>
      <w:r w:rsidRPr="006270DB">
        <w:t xml:space="preserve"> in order to achieve a greater level of resolution of estimations </w:t>
      </w:r>
      <w:r>
        <w:t>(</w:t>
      </w:r>
      <w:r w:rsidRPr="006270DB">
        <w:t xml:space="preserve">e.g. capital costs of hydrogen transmission </w:t>
      </w:r>
      <w:r>
        <w:t xml:space="preserve">or distribution </w:t>
      </w:r>
      <w:r w:rsidRPr="006270DB">
        <w:t>technologies</w:t>
      </w:r>
      <w:r>
        <w:t>)</w:t>
      </w:r>
      <w:r w:rsidRPr="006270DB">
        <w:t xml:space="preserve">. </w:t>
      </w:r>
    </w:p>
    <w:p w14:paraId="13F8AD23" w14:textId="018F79C1" w:rsidR="0024061F" w:rsidRPr="00F715A1" w:rsidRDefault="00AD3ACB" w:rsidP="00AD3ACB">
      <w:pPr>
        <w:rPr>
          <w:color w:val="000000"/>
        </w:rPr>
      </w:pPr>
      <w:r w:rsidRPr="006270DB">
        <w:rPr>
          <w:noProof/>
        </w:rPr>
        <w:t>Almansoori and Shah</w:t>
      </w:r>
      <w:r w:rsidR="00B73D26">
        <w:rPr>
          <w:noProof/>
        </w:rPr>
        <w:t xml:space="preserve"> </w:t>
      </w:r>
      <w:r w:rsidR="00C167DB">
        <w:rPr>
          <w:noProof/>
        </w:rPr>
        <w:fldChar w:fldCharType="begin"/>
      </w:r>
      <w:r w:rsidR="00AA243F">
        <w:rPr>
          <w:noProof/>
        </w:rPr>
        <w:instrText xml:space="preserve"> ADDIN EN.CITE &lt;EndNote&gt;&lt;Cite&gt;&lt;Author&gt;Almansoori&lt;/Author&gt;&lt;Year&gt;2006&lt;/Year&gt;&lt;RecNum&gt;1065&lt;/RecNum&gt;&lt;DisplayText&gt;[16]&lt;/DisplayText&gt;&lt;record&gt;&lt;rec-number&gt;1065&lt;/rec-number&gt;&lt;foreign-keys&gt;&lt;key app="EN" db-id="w500zpaaheraz8epaw1p29dtf2ff9zrswv50" timestamp="1607697901"&gt;1065&lt;/key&gt;&lt;/foreign-keys&gt;&lt;ref-type name="Journal Article"&gt;17&lt;/ref-type&gt;&lt;contributors&gt;&lt;authors&gt;&lt;author&gt;Almansoori, A.&lt;/author&gt;&lt;author&gt;Shah, N.&lt;/author&gt;&lt;/authors&gt;&lt;/contributors&gt;&lt;titles&gt;&lt;title&gt;Design and operation of a future hydrogen supply chain: Snapshot model&lt;/title&gt;&lt;secondary-title&gt;Chemical Engineering Research and Design&lt;/secondary-title&gt;&lt;/titles&gt;&lt;periodical&gt;&lt;full-title&gt;Chemical Engineering Research and Design&lt;/full-title&gt;&lt;/periodical&gt;&lt;pages&gt;423-438&lt;/pages&gt;&lt;volume&gt;84&lt;/volume&gt;&lt;number&gt;6 A&lt;/number&gt;&lt;keywords&gt;&lt;keyword&gt;Great Britain&lt;/keyword&gt;&lt;keyword&gt;Hydrogen&lt;/keyword&gt;&lt;keyword&gt;MILP&lt;/keyword&gt;&lt;keyword&gt;Supply chain network design&lt;/keyword&gt;&lt;/keywords&gt;&lt;dates&gt;&lt;year&gt;2006&lt;/year&gt;&lt;/dates&gt;&lt;urls&gt;&lt;pdf-urls&gt;&lt;url&gt;file://Users\David\Library\Application Support\Mendeley Desktop\Downloaded\Almansoori, Shah - 2006 - Design and operation of a future hydrogen supply chain Snapshot model.pdf&lt;/url&gt;&lt;/pdf-urls&gt;&lt;/urls&gt;&lt;electronic-resource-num&gt;10.1205/cherd.05193&lt;/electronic-resource-num&gt;&lt;/record&gt;&lt;/Cite&gt;&lt;/EndNote&gt;</w:instrText>
      </w:r>
      <w:r w:rsidR="00C167DB">
        <w:rPr>
          <w:noProof/>
        </w:rPr>
        <w:fldChar w:fldCharType="separate"/>
      </w:r>
      <w:r w:rsidR="00AA243F">
        <w:rPr>
          <w:noProof/>
        </w:rPr>
        <w:t>[</w:t>
      </w:r>
      <w:hyperlink w:anchor="_ENREF_16" w:tooltip="Almansoori, 2006 #1065" w:history="1">
        <w:r w:rsidR="006210AE">
          <w:rPr>
            <w:noProof/>
          </w:rPr>
          <w:t>16</w:t>
        </w:r>
      </w:hyperlink>
      <w:r w:rsidR="00AA243F">
        <w:rPr>
          <w:noProof/>
        </w:rPr>
        <w:t>]</w:t>
      </w:r>
      <w:r w:rsidR="00C167DB">
        <w:rPr>
          <w:noProof/>
        </w:rPr>
        <w:fldChar w:fldCharType="end"/>
      </w:r>
      <w:r w:rsidR="006916CC">
        <w:rPr>
          <w:noProof/>
        </w:rPr>
        <w:t xml:space="preserve"> </w:t>
      </w:r>
      <w:r>
        <w:rPr>
          <w:noProof/>
        </w:rPr>
        <w:t>present o</w:t>
      </w:r>
      <w:r w:rsidRPr="006270DB">
        <w:t xml:space="preserve">ne of the </w:t>
      </w:r>
      <w:r>
        <w:t>first studies</w:t>
      </w:r>
      <w:r w:rsidRPr="006270DB">
        <w:t xml:space="preserve"> </w:t>
      </w:r>
      <w:r>
        <w:t>to be completed</w:t>
      </w:r>
      <w:r w:rsidRPr="006270DB">
        <w:t xml:space="preserve"> on modelling and optimisation of a hydrogen supply chain</w:t>
      </w:r>
      <w:r>
        <w:t>,</w:t>
      </w:r>
      <w:r w:rsidRPr="006270DB">
        <w:t xml:space="preserve"> </w:t>
      </w:r>
      <w:r>
        <w:t xml:space="preserve">with the UK as a case study, </w:t>
      </w:r>
      <w:r w:rsidRPr="006270DB">
        <w:t>from a whole systems point</w:t>
      </w:r>
      <w:r>
        <w:t xml:space="preserve"> of view.</w:t>
      </w:r>
      <w:r w:rsidRPr="006270DB">
        <w:t xml:space="preserve"> This early work considered a relatively simple supply chain by comparison to more recent models, however, spurred a new generation of research that </w:t>
      </w:r>
      <w:r>
        <w:t>developed on the principles and methodology set out in this paper</w:t>
      </w:r>
      <w:r w:rsidRPr="006270DB">
        <w:t xml:space="preserve">. </w:t>
      </w:r>
      <w:r>
        <w:t xml:space="preserve">This model lacked any sort of renewable hydrogen generation, </w:t>
      </w:r>
      <w:r w:rsidR="0024061F">
        <w:t>possibly as</w:t>
      </w:r>
      <w:r>
        <w:t xml:space="preserve"> a result of the progress of renewable energy production technologies at the time of the </w:t>
      </w:r>
      <w:r w:rsidR="0024061F">
        <w:t>publication and</w:t>
      </w:r>
      <w:r>
        <w:t xml:space="preserve"> did not have a temporal aspect included in the formulation. The uptake of FCEVs in the model was also optimistic, as it considered all cars to adopt the hydrogen powertrain. This is unlikely as recent studies show that hydrogen powertrains are more cost-effective for certain market niches and thus unlikely to dominate the whole of the transport sector</w:t>
      </w:r>
      <w:r w:rsidR="00B73D26">
        <w:t xml:space="preserve"> </w:t>
      </w:r>
      <w:r w:rsidR="00C167DB">
        <w:fldChar w:fldCharType="begin"/>
      </w:r>
      <w:r w:rsidR="00AA243F">
        <w:instrText xml:space="preserve"> ADDIN EN.CITE &lt;EndNote&gt;&lt;Cite&gt;&lt;Author&gt;Hill&lt;/Author&gt;&lt;Year&gt;2019&lt;/Year&gt;&lt;RecNum&gt;1007&lt;/RecNum&gt;&lt;DisplayText&gt;[17]&lt;/DisplayText&gt;&lt;record&gt;&lt;rec-number&gt;1007&lt;/rec-number&gt;&lt;foreign-keys&gt;&lt;key app="EN" db-id="w500zpaaheraz8epaw1p29dtf2ff9zrswv50" timestamp="1607697901"&gt;1007&lt;/key&gt;&lt;/foreign-keys&gt;&lt;ref-type name="Report"&gt;27&lt;/ref-type&gt;&lt;contributors&gt;&lt;authors&gt;&lt;author&gt;Hill, Nikolas&lt;/author&gt;&lt;author&gt;Hilton, George&lt;/author&gt;&lt;author&gt;Morgan-Price, Samantha&lt;/author&gt;&lt;author&gt;Weldon, Peter&lt;/author&gt;&lt;/authors&gt;&lt;/contributors&gt;&lt;titles&gt;&lt;title&gt;Zero Emission HGV Infrastructure Requirements&lt;/title&gt;&lt;/titles&gt;&lt;keywords&gt;&lt;keyword&gt;CLIMA.C.4 (2016) 270929&lt;/keyword&gt;&lt;/keywords&gt;&lt;dates&gt;&lt;year&gt;2019&lt;/year&gt;&lt;/dates&gt;&lt;urls&gt;&lt;pdf-urls&gt;&lt;url&gt;file://Users\David\Library\Application Support\Mendeley Desktop\Downloaded\Hill et al. - 2019 - Zero Emission HGV Infrastructure Requirements.pdf&lt;/url&gt;&lt;/pdf-urls&gt;&lt;/urls&gt;&lt;/record&gt;&lt;/Cite&gt;&lt;/EndNote&gt;</w:instrText>
      </w:r>
      <w:r w:rsidR="00C167DB">
        <w:fldChar w:fldCharType="separate"/>
      </w:r>
      <w:r w:rsidR="00AA243F">
        <w:rPr>
          <w:noProof/>
        </w:rPr>
        <w:t>[</w:t>
      </w:r>
      <w:hyperlink w:anchor="_ENREF_17" w:tooltip="Hill, 2019 #1007" w:history="1">
        <w:r w:rsidR="006210AE">
          <w:rPr>
            <w:noProof/>
          </w:rPr>
          <w:t>17</w:t>
        </w:r>
      </w:hyperlink>
      <w:r w:rsidR="00AA243F">
        <w:rPr>
          <w:noProof/>
        </w:rPr>
        <w:t>]</w:t>
      </w:r>
      <w:r w:rsidR="00C167DB">
        <w:fldChar w:fldCharType="end"/>
      </w:r>
      <w:r>
        <w:rPr>
          <w:color w:val="000000"/>
        </w:rPr>
        <w:t>.</w:t>
      </w:r>
    </w:p>
    <w:p w14:paraId="7A729BEB" w14:textId="70DB3C6D" w:rsidR="00AD3ACB" w:rsidRPr="00E85A16" w:rsidRDefault="00AD3ACB" w:rsidP="00AD3ACB">
      <w:pPr>
        <w:rPr>
          <w:color w:val="000000"/>
        </w:rPr>
      </w:pPr>
      <w:r>
        <w:t>The next set of optimisation models identified were those that focus more on a specific range of technologies, often resulting in an exclusion or decrease in detail of other aspects of the hydrogen supply chain. Yang and Ogden</w:t>
      </w:r>
      <w:r w:rsidR="00B73D26">
        <w:t xml:space="preserve"> </w:t>
      </w:r>
      <w:r w:rsidR="00C167DB">
        <w:fldChar w:fldCharType="begin"/>
      </w:r>
      <w:r w:rsidR="00AA243F">
        <w:instrText xml:space="preserve"> ADDIN EN.CITE &lt;EndNote&gt;&lt;Cite&gt;&lt;Author&gt;Yang&lt;/Author&gt;&lt;Year&gt;2007&lt;/Year&gt;&lt;RecNum&gt;892&lt;/RecNum&gt;&lt;DisplayText&gt;[18]&lt;/DisplayText&gt;&lt;record&gt;&lt;rec-number&gt;892&lt;/rec-number&gt;&lt;foreign-keys&gt;&lt;key app="EN" db-id="w500zpaaheraz8epaw1p29dtf2ff9zrswv50" timestamp="1607697901"&gt;892&lt;/key&gt;&lt;/foreign-keys&gt;&lt;ref-type name="Journal Article"&gt;17&lt;/ref-type&gt;&lt;contributors&gt;&lt;authors&gt;&lt;author&gt;Yang, Christopher&lt;/author&gt;&lt;author&gt;Ogden, Joan&lt;/author&gt;&lt;/authors&gt;&lt;/contributors&gt;&lt;titles&gt;&lt;title&gt;Determining the lowest-cost hydrogen delivery mode&lt;/title&gt;&lt;secondary-title&gt;International Journal of Hydrogen Energy&lt;/secondary-title&gt;&lt;/titles&gt;&lt;periodical&gt;&lt;full-title&gt;International Journal of Hydrogen Energy&lt;/full-title&gt;&lt;/periodical&gt;&lt;keywords&gt;&lt;keyword&gt;Infrastructure&lt;/keyword&gt;&lt;keyword&gt;Pipeline&lt;/keyword&gt;&lt;keyword&gt;Refueling stations&lt;/keyword&gt;&lt;keyword&gt;Truck&lt;/keyword&gt;&lt;/keywords&gt;&lt;dates&gt;&lt;year&gt;2007&lt;/year&gt;&lt;/dates&gt;&lt;urls&gt;&lt;pdf-urls&gt;&lt;url&gt;file://Users\David\Library\Application Support\Mendeley Desktop\Downloaded\Yang, Ogden - 2007 - Determining the lowest-cost hydrogen delivery mode.pdf&lt;/url&gt;&lt;/pdf-urls&gt;&lt;/urls&gt;&lt;electronic-resource-num&gt;10.1016/j.ijhydene.2006.05.009&lt;/electronic-resource-num&gt;&lt;/record&gt;&lt;/Cite&gt;&lt;/EndNote&gt;</w:instrText>
      </w:r>
      <w:r w:rsidR="00C167DB">
        <w:fldChar w:fldCharType="separate"/>
      </w:r>
      <w:r w:rsidR="00AA243F">
        <w:rPr>
          <w:noProof/>
        </w:rPr>
        <w:t>[</w:t>
      </w:r>
      <w:hyperlink w:anchor="_ENREF_18" w:tooltip="Yang, 2007 #892" w:history="1">
        <w:r w:rsidR="006210AE">
          <w:rPr>
            <w:noProof/>
          </w:rPr>
          <w:t>18</w:t>
        </w:r>
      </w:hyperlink>
      <w:r w:rsidR="00AA243F">
        <w:rPr>
          <w:noProof/>
        </w:rPr>
        <w:t>]</w:t>
      </w:r>
      <w:r w:rsidR="00C167DB">
        <w:fldChar w:fldCharType="end"/>
      </w:r>
      <w:r w:rsidR="006916CC">
        <w:t xml:space="preserve"> </w:t>
      </w:r>
      <w:r>
        <w:rPr>
          <w:color w:val="000000"/>
        </w:rPr>
        <w:t xml:space="preserve">looked in great detail at the delivery section of the hydrogen supply chain, for two scenarios: 1) A centralised plant to a centralised delivery point; 2) Centralised plant to a distributed Hydrogen Refuelling Station (HRS). Their research was used to analyse how hydrogen’s phase state and transportation technologies can affect the overall cost of delivery, and which is the most optimal for the previously stated scenarios with a high and low demand. They concluded that pipelines are favoured under high demand and long delivery distances; liquid hydrogen transported on trucks are favoured for medium demands over medium distances; and for small demands over small distances compressed gas trucks are preferred. </w:t>
      </w:r>
    </w:p>
    <w:p w14:paraId="19D473EB" w14:textId="2B9E399A" w:rsidR="00AD3ACB" w:rsidRPr="000D333C" w:rsidRDefault="00AD3ACB" w:rsidP="00AD3ACB">
      <w:pPr>
        <w:rPr>
          <w:color w:val="000000"/>
        </w:rPr>
      </w:pPr>
      <w:r w:rsidRPr="00E873EC">
        <w:t>Johnson and Ogden</w:t>
      </w:r>
      <w:r w:rsidR="00B73D26">
        <w:t xml:space="preserve"> </w:t>
      </w:r>
      <w:r w:rsidR="00C167DB">
        <w:fldChar w:fldCharType="begin"/>
      </w:r>
      <w:r w:rsidR="00AA243F">
        <w:instrText xml:space="preserve"> ADDIN EN.CITE &lt;EndNote&gt;&lt;Cite&gt;&lt;Author&gt;Johnson&lt;/Author&gt;&lt;Year&gt;2012&lt;/Year&gt;&lt;RecNum&gt;1092&lt;/RecNum&gt;&lt;DisplayText&gt;[19]&lt;/DisplayText&gt;&lt;record&gt;&lt;rec-number&gt;1092&lt;/rec-number&gt;&lt;foreign-keys&gt;&lt;key app="EN" db-id="w500zpaaheraz8epaw1p29dtf2ff9zrswv50" timestamp="1607697901"&gt;1092&lt;/key&gt;&lt;/foreign-keys&gt;&lt;ref-type name="Journal Article"&gt;17&lt;/ref-type&gt;&lt;contributors&gt;&lt;authors&gt;&lt;author&gt;Johnson, Nils&lt;/author&gt;&lt;author&gt;Ogden, Joan&lt;/author&gt;&lt;/authors&gt;&lt;/contributors&gt;&lt;titles&gt;&lt;title&gt;A spatially-explicit optimization model for long-term hydrogen pipeline planning&lt;/title&gt;&lt;secondary-title&gt;International Journal of Hydrogen Energy&lt;/secondary-title&gt;&lt;/titles&gt;&lt;periodical&gt;&lt;full-title&gt;International Journal of Hydrogen Energy&lt;/full-title&gt;&lt;/periodical&gt;&lt;keywords&gt;&lt;keyword&gt;GIS&lt;/keyword&gt;&lt;keyword&gt;Hydrogen&lt;/keyword&gt;&lt;keyword&gt;Infrastructure modeling&lt;/keyword&gt;&lt;keyword&gt;Network optimization&lt;/keyword&gt;&lt;keyword&gt;Pipelines&lt;/keyword&gt;&lt;/keywords&gt;&lt;dates&gt;&lt;year&gt;2012&lt;/year&gt;&lt;/dates&gt;&lt;urls&gt;&lt;pdf-urls&gt;&lt;url&gt;file://Users\David\Library\Application Support\Mendeley Desktop\Downloaded\Johnson, Ogden - 2012 - A spatially-explicit optimization model for long-term hydrogen pipeline planning.pdf&lt;/url&gt;&lt;/pdf-urls&gt;&lt;/urls&gt;&lt;electronic-resource-num&gt;10.1016/j.ijhydene.2011.08.109&lt;/electronic-resource-num&gt;&lt;/record&gt;&lt;/Cite&gt;&lt;/EndNote&gt;</w:instrText>
      </w:r>
      <w:r w:rsidR="00C167DB">
        <w:fldChar w:fldCharType="separate"/>
      </w:r>
      <w:r w:rsidR="00AA243F">
        <w:rPr>
          <w:noProof/>
        </w:rPr>
        <w:t>[</w:t>
      </w:r>
      <w:hyperlink w:anchor="_ENREF_19" w:tooltip="Johnson, 2012 #1092" w:history="1">
        <w:r w:rsidR="006210AE">
          <w:rPr>
            <w:noProof/>
          </w:rPr>
          <w:t>19</w:t>
        </w:r>
      </w:hyperlink>
      <w:r w:rsidR="00AA243F">
        <w:rPr>
          <w:noProof/>
        </w:rPr>
        <w:t>]</w:t>
      </w:r>
      <w:r w:rsidR="00C167DB">
        <w:fldChar w:fldCharType="end"/>
      </w:r>
      <w:r w:rsidR="006916CC">
        <w:t xml:space="preserve"> </w:t>
      </w:r>
      <w:r>
        <w:rPr>
          <w:color w:val="000000"/>
        </w:rPr>
        <w:t xml:space="preserve">and </w:t>
      </w:r>
      <w:r w:rsidRPr="00E873EC">
        <w:t xml:space="preserve">Baufumé </w:t>
      </w:r>
      <w:r w:rsidRPr="00E873EC">
        <w:rPr>
          <w:i/>
          <w:iCs/>
        </w:rPr>
        <w:t>et al.</w:t>
      </w:r>
      <w:r w:rsidR="00B73D26">
        <w:rPr>
          <w:i/>
          <w:iCs/>
        </w:rPr>
        <w:t xml:space="preserve"> </w:t>
      </w:r>
      <w:r w:rsidR="00C167DB">
        <w:fldChar w:fldCharType="begin"/>
      </w:r>
      <w:r w:rsidR="00AA243F">
        <w:instrText xml:space="preserve"> ADDIN EN.CITE &lt;EndNote&gt;&lt;Cite&gt;&lt;Author&gt;Baufumé&lt;/Author&gt;&lt;Year&gt;2013&lt;/Year&gt;&lt;RecNum&gt;1087&lt;/RecNum&gt;&lt;DisplayText&gt;[20]&lt;/DisplayText&gt;&lt;record&gt;&lt;rec-number&gt;1087&lt;/rec-number&gt;&lt;foreign-keys&gt;&lt;key app="EN" db-id="w500zpaaheraz8epaw1p29dtf2ff9zrswv50" timestamp="1607697901"&gt;1087&lt;/key&gt;&lt;/foreign-keys&gt;&lt;ref-type name="Journal Article"&gt;17&lt;/ref-type&gt;&lt;contributors&gt;&lt;authors&gt;&lt;author&gt;Baufumé, Sylvestre&lt;/author&gt;&lt;author&gt;Grüger, Fabian&lt;/author&gt;&lt;author&gt;Grube, Thomas&lt;/author&gt;&lt;author&gt;Krieg, Dennis&lt;/author&gt;&lt;author&gt;Linssen, Jochen&lt;/author&gt;&lt;author&gt;Weber, Michael&lt;/author&gt;&lt;author&gt;Hake, Jürgen-Friedrich&lt;/author&gt;&lt;author&gt;Stolten, Detlef&lt;/author&gt;&lt;/authors&gt;&lt;/contributors&gt;&lt;titles&gt;&lt;title&gt;GIS-based scenario calculations for a nationwide German hydrogen pipeline infrastructure&lt;/title&gt;&lt;secondary-title&gt;International Journal of Hydrogen Energy&lt;/secondary-title&gt;&lt;/titles&gt;&lt;periodical&gt;&lt;full-title&gt;International Journal of Hydrogen Energy&lt;/full-title&gt;&lt;/periodical&gt;&lt;pages&gt;3813-3829&lt;/pages&gt;&lt;volume&gt;38&lt;/volume&gt;&lt;number&gt;10&lt;/number&gt;&lt;dates&gt;&lt;year&gt;2013&lt;/year&gt;&lt;/dates&gt;&lt;publisher&gt;Pergamon&lt;/publisher&gt;&lt;urls&gt;&lt;related-urls&gt;&lt;url&gt;https://www.sciencedirect.com/science/article/pii/S0360319913000670&lt;/url&gt;&lt;/related-urls&gt;&lt;pdf-urls&gt;&lt;url&gt;file://Users\David\Library\Application Support\Mendeley Desktop\Downloaded\Baufumé et al. - 2013 - GIS-based scenario calculations for a nationwide German hydrogen pipeline infrastructure.pdf&lt;/url&gt;&lt;/pdf-urls&gt;&lt;/urls&gt;&lt;electronic-resource-num&gt;10.1016/J.IJHYDENE.2012.12.147&lt;/electronic-resource-num&gt;&lt;/record&gt;&lt;/Cite&gt;&lt;/EndNote&gt;</w:instrText>
      </w:r>
      <w:r w:rsidR="00C167DB">
        <w:fldChar w:fldCharType="separate"/>
      </w:r>
      <w:r w:rsidR="00AA243F">
        <w:rPr>
          <w:noProof/>
        </w:rPr>
        <w:t>[</w:t>
      </w:r>
      <w:hyperlink w:anchor="_ENREF_20" w:tooltip="Baufumé, 2013 #1087" w:history="1">
        <w:r w:rsidR="006210AE">
          <w:rPr>
            <w:noProof/>
          </w:rPr>
          <w:t>20</w:t>
        </w:r>
      </w:hyperlink>
      <w:r w:rsidR="00AA243F">
        <w:rPr>
          <w:noProof/>
        </w:rPr>
        <w:t>]</w:t>
      </w:r>
      <w:r w:rsidR="00C167DB">
        <w:fldChar w:fldCharType="end"/>
      </w:r>
      <w:r w:rsidR="006916CC">
        <w:t xml:space="preserve"> </w:t>
      </w:r>
      <w:r>
        <w:rPr>
          <w:color w:val="000000"/>
        </w:rPr>
        <w:t xml:space="preserve">both brought in the aspect of using GIS systems to provide a highly detailed spatial structure to their optimisation models. </w:t>
      </w:r>
      <w:r w:rsidR="004C6148">
        <w:rPr>
          <w:color w:val="000000"/>
        </w:rPr>
        <w:t>Both</w:t>
      </w:r>
      <w:r>
        <w:rPr>
          <w:color w:val="000000"/>
        </w:rPr>
        <w:t xml:space="preserve"> models utilised GIS modelling </w:t>
      </w:r>
      <w:r w:rsidR="004C6148">
        <w:rPr>
          <w:color w:val="000000"/>
        </w:rPr>
        <w:t>to</w:t>
      </w:r>
      <w:r>
        <w:rPr>
          <w:color w:val="000000"/>
        </w:rPr>
        <w:t xml:space="preserve"> identify existing production and refuelling station facilities, using optimisation modelling to match these two assets up with the least cost. </w:t>
      </w:r>
      <w:r w:rsidR="004C6148">
        <w:rPr>
          <w:color w:val="000000"/>
        </w:rPr>
        <w:t>Both</w:t>
      </w:r>
      <w:r>
        <w:rPr>
          <w:color w:val="000000"/>
        </w:rPr>
        <w:t xml:space="preserve"> models, however, lack a temporal aspect and only restrict production to current infrastructure limits the possibilities.</w:t>
      </w:r>
    </w:p>
    <w:p w14:paraId="066FC76E" w14:textId="298D449A" w:rsidR="00AD3ACB" w:rsidRDefault="00AD3ACB" w:rsidP="00AD3ACB">
      <w:r>
        <w:t xml:space="preserve">Although not specifically the transport sector, </w:t>
      </w:r>
      <w:r w:rsidRPr="006506E4">
        <w:t>Dodds and Demoullin</w:t>
      </w:r>
      <w:r w:rsidR="00B73D26">
        <w:t xml:space="preserve"> </w:t>
      </w:r>
      <w:r w:rsidR="00C167DB">
        <w:fldChar w:fldCharType="begin"/>
      </w:r>
      <w:r w:rsidR="00AA243F">
        <w:instrText xml:space="preserve"> ADDIN EN.CITE &lt;EndNote&gt;&lt;Cite&gt;&lt;Author&gt;Dodds&lt;/Author&gt;&lt;Year&gt;2013&lt;/Year&gt;&lt;RecNum&gt;1026&lt;/RecNum&gt;&lt;DisplayText&gt;[21]&lt;/DisplayText&gt;&lt;record&gt;&lt;rec-number&gt;1026&lt;/rec-number&gt;&lt;foreign-keys&gt;&lt;key app="EN" db-id="w500zpaaheraz8epaw1p29dtf2ff9zrswv50" timestamp="1607697901"&gt;1026&lt;/key&gt;&lt;/foreign-keys&gt;&lt;ref-type name="Journal Article"&gt;17&lt;/ref-type&gt;&lt;contributors&gt;&lt;authors&gt;&lt;author&gt;Dodds, Paul E.&lt;/author&gt;&lt;author&gt;Demoullin, Stéphanie&lt;/author&gt;&lt;/authors&gt;&lt;/contributors&gt;&lt;titles&gt;&lt;title&gt;Conversion of the UK gas system to transport hydrogen&lt;/title&gt;&lt;secondary-title&gt;International Journal of Hydrogen Energy&lt;/secondary-title&gt;&lt;/titles&gt;&lt;periodical&gt;&lt;full-title&gt;International Journal of Hydrogen Energy&lt;/full-title&gt;&lt;/periodical&gt;&lt;pages&gt;7189-7200&lt;/pages&gt;&lt;volume&gt;38&lt;/volume&gt;&lt;number&gt;18&lt;/number&gt;&lt;keywords&gt;&lt;keyword&gt;Energy system model&lt;/keyword&gt;&lt;keyword&gt;Gas decarbonisation&lt;/keyword&gt;&lt;keyword&gt;Hydrogen networks&lt;/keyword&gt;&lt;keyword&gt;Natural gas conversion&lt;/keyword&gt;&lt;keyword&gt;UK MARKAL&lt;/keyword&gt;&lt;/keywords&gt;&lt;dates&gt;&lt;year&gt;2013&lt;/year&gt;&lt;/dates&gt;&lt;urls&gt;&lt;pdf-urls&gt;&lt;url&gt;file://Users\David\Library\Application Support\Mendeley Desktop\Downloaded\Dodds, Demoullin - 2013 - Conversion of the UK gas system to transport hydrogen.pdf&lt;/url&gt;&lt;/pdf-urls&gt;&lt;/urls&gt;&lt;electronic-resource-num&gt;10.1016/j.ijhydene.2013.03.070&lt;/electronic-resource-num&gt;&lt;/record&gt;&lt;/Cite&gt;&lt;/EndNote&gt;</w:instrText>
      </w:r>
      <w:r w:rsidR="00C167DB">
        <w:fldChar w:fldCharType="separate"/>
      </w:r>
      <w:r w:rsidR="00AA243F">
        <w:rPr>
          <w:noProof/>
        </w:rPr>
        <w:t>[</w:t>
      </w:r>
      <w:hyperlink w:anchor="_ENREF_21" w:tooltip="Dodds, 2013 #1026" w:history="1">
        <w:r w:rsidR="006210AE">
          <w:rPr>
            <w:noProof/>
          </w:rPr>
          <w:t>21</w:t>
        </w:r>
      </w:hyperlink>
      <w:r w:rsidR="00AA243F">
        <w:rPr>
          <w:noProof/>
        </w:rPr>
        <w:t>]</w:t>
      </w:r>
      <w:r w:rsidR="00C167DB">
        <w:fldChar w:fldCharType="end"/>
      </w:r>
      <w:r w:rsidRPr="006506E4">
        <w:rPr>
          <w:color w:val="000000"/>
        </w:rPr>
        <w:t xml:space="preserve"> assessed the conversion of the </w:t>
      </w:r>
      <w:r>
        <w:rPr>
          <w:color w:val="000000"/>
        </w:rPr>
        <w:t>UK’s</w:t>
      </w:r>
      <w:r w:rsidRPr="006506E4">
        <w:rPr>
          <w:color w:val="000000"/>
        </w:rPr>
        <w:t xml:space="preserve"> gas distribution network to supply hydrogen for the heating sector, with a particular emphasis on the technical and safety aspects</w:t>
      </w:r>
      <w:r>
        <w:rPr>
          <w:color w:val="000000"/>
        </w:rPr>
        <w:t>,</w:t>
      </w:r>
      <w:r w:rsidRPr="006506E4">
        <w:rPr>
          <w:color w:val="000000"/>
        </w:rPr>
        <w:t xml:space="preserve"> and developed a whole methodical process of analysing it from this perspective. Once they identified that hydrogen c</w:t>
      </w:r>
      <w:r>
        <w:rPr>
          <w:color w:val="000000"/>
        </w:rPr>
        <w:t>ould technically</w:t>
      </w:r>
      <w:r w:rsidRPr="006506E4">
        <w:rPr>
          <w:color w:val="000000"/>
        </w:rPr>
        <w:t xml:space="preserve"> be transported in low-pressure distribution pipelines, they utilise the UK-MARKAL model to assess the economic benefit. They conclude that converting the gas networks to hydrogen is a lower-cost residential decarbonisation pathway for the UK than those previously identified.</w:t>
      </w:r>
    </w:p>
    <w:p w14:paraId="09427E43" w14:textId="65A09514" w:rsidR="00AD3ACB" w:rsidRDefault="00AD3ACB" w:rsidP="00AD3ACB">
      <w:r w:rsidRPr="00E873EC">
        <w:t xml:space="preserve">Reuß </w:t>
      </w:r>
      <w:r w:rsidRPr="00E873EC">
        <w:rPr>
          <w:i/>
          <w:iCs/>
        </w:rPr>
        <w:t>et al.</w:t>
      </w:r>
      <w:r w:rsidR="00B73D26">
        <w:rPr>
          <w:color w:val="000000"/>
        </w:rPr>
        <w:t xml:space="preserve"> </w:t>
      </w:r>
      <w:r w:rsidR="00C167DB">
        <w:rPr>
          <w:color w:val="000000"/>
        </w:rPr>
        <w:fldChar w:fldCharType="begin"/>
      </w:r>
      <w:r w:rsidR="00AA243F">
        <w:rPr>
          <w:color w:val="000000"/>
        </w:rPr>
        <w:instrText xml:space="preserve"> ADDIN EN.CITE &lt;EndNote&gt;&lt;Cite&gt;&lt;Author&gt;Reuß&lt;/Author&gt;&lt;Year&gt;2019&lt;/Year&gt;&lt;RecNum&gt;932&lt;/RecNum&gt;&lt;DisplayText&gt;[22]&lt;/DisplayText&gt;&lt;record&gt;&lt;rec-number&gt;932&lt;/rec-number&gt;&lt;foreign-keys&gt;&lt;key app="EN" db-id="w500zpaaheraz8epaw1p29dtf2ff9zrswv50" timestamp="1607697901"&gt;932&lt;/key&gt;&lt;/foreign-keys&gt;&lt;ref-type name="Journal Article"&gt;17&lt;/ref-type&gt;&lt;contributors&gt;&lt;authors&gt;&lt;author&gt;Reuß, Markus&lt;/author&gt;&lt;author&gt;Welder, Lara&lt;/author&gt;&lt;author&gt;Thürauf, Johannes&lt;/author&gt;&lt;author&gt;Linßen, Jochen&lt;/author&gt;&lt;author&gt;Grube, Thomas&lt;/author&gt;&lt;author&gt;Schewe, Lars&lt;/author&gt;&lt;author&gt;Schmidt, Martin&lt;/author&gt;&lt;author&gt;Stolten, Detlef&lt;/author&gt;&lt;author&gt;Robinius, Martin&lt;/author&gt;&lt;/authors&gt;&lt;/contributors&gt;&lt;titles&gt;&lt;title&gt;Modeling hydrogen networks for future energy systems: A comparison of linear and nonlinear approaches&lt;/title&gt;&lt;secondary-title&gt;International Journal of Hydrogen Energy&lt;/secondary-title&gt;&lt;/titles&gt;&lt;periodical&gt;&lt;full-title&gt;International Journal of Hydrogen Energy&lt;/full-title&gt;&lt;/periodical&gt;&lt;keywords&gt;&lt;keyword&gt;Hydrogen infrastructure&lt;/keyword&gt;&lt;keyword&gt;Hydrogen reconversion&lt;/keyword&gt;&lt;keyword&gt;Pipeline design optimization&lt;/keyword&gt;&lt;keyword&gt;Pressure drop&lt;/keyword&gt;&lt;keyword&gt;Robust optimization&lt;/keyword&gt;&lt;keyword&gt;Spatial resolution&lt;/keyword&gt;&lt;/keywords&gt;&lt;dates&gt;&lt;year&gt;2019&lt;/year&gt;&lt;/dates&gt;&lt;urls&gt;&lt;pdf-urls&gt;&lt;url&gt;file://Users\David\Library\Application Support\Mendeley Desktop\Downloaded\Reuß et al. - 2019 - Modeling hydrogen networks for future energy systems A comparison of linear and nonlinear approaches(2).pdf&lt;/url&gt;&lt;/pdf-urls&gt;&lt;/urls&gt;&lt;electronic-resource-num&gt;10.1016/j.ijhydene.2019.10.080&lt;/electronic-resource-num&gt;&lt;/record&gt;&lt;/Cite&gt;&lt;/EndNote&gt;</w:instrText>
      </w:r>
      <w:r w:rsidR="00C167DB">
        <w:rPr>
          <w:color w:val="000000"/>
        </w:rPr>
        <w:fldChar w:fldCharType="separate"/>
      </w:r>
      <w:r w:rsidR="00AA243F">
        <w:rPr>
          <w:noProof/>
          <w:color w:val="000000"/>
        </w:rPr>
        <w:t>[</w:t>
      </w:r>
      <w:hyperlink w:anchor="_ENREF_22" w:tooltip="Reuß, 2019 #932" w:history="1">
        <w:r w:rsidR="006210AE">
          <w:rPr>
            <w:noProof/>
            <w:color w:val="000000"/>
          </w:rPr>
          <w:t>22</w:t>
        </w:r>
      </w:hyperlink>
      <w:r w:rsidR="00AA243F">
        <w:rPr>
          <w:noProof/>
          <w:color w:val="000000"/>
        </w:rPr>
        <w:t>]</w:t>
      </w:r>
      <w:r w:rsidR="00C167DB">
        <w:rPr>
          <w:color w:val="000000"/>
        </w:rPr>
        <w:fldChar w:fldCharType="end"/>
      </w:r>
      <w:r w:rsidR="00B73D26">
        <w:rPr>
          <w:color w:val="000000"/>
        </w:rPr>
        <w:t xml:space="preserve"> </w:t>
      </w:r>
      <w:r>
        <w:rPr>
          <w:color w:val="000000"/>
        </w:rPr>
        <w:t xml:space="preserve">look at hydrogen supply chain modelling from a slightly different aspect. They analysed whether the current favoured methodology of representing the supply chain as a Linear Problem Formulation gives an accurate account of the dynamics of the supply chain by comparing it to a non-linear formulation. </w:t>
      </w:r>
      <w:r w:rsidR="004C6148">
        <w:rPr>
          <w:color w:val="000000"/>
        </w:rPr>
        <w:t>To</w:t>
      </w:r>
      <w:r>
        <w:rPr>
          <w:color w:val="000000"/>
        </w:rPr>
        <w:t xml:space="preserve"> achieve this, they develop both a linear and non-linear supply chain model for hydrogen pipelines in Germany with a spatial aspect (excluding temporal aspects, presumably to help reduce the computational requirements to run the model). Their results show </w:t>
      </w:r>
      <w:r>
        <w:rPr>
          <w:color w:val="000000"/>
        </w:rPr>
        <w:lastRenderedPageBreak/>
        <w:t>that although the non-linear formulation for a systems wide model does provide a slightly more accurate account, and thus allows for lower global minim</w:t>
      </w:r>
      <w:r w:rsidR="004C6148">
        <w:rPr>
          <w:color w:val="000000"/>
        </w:rPr>
        <w:t>a</w:t>
      </w:r>
      <w:r>
        <w:rPr>
          <w:color w:val="000000"/>
        </w:rPr>
        <w:t xml:space="preserve"> when compared to the linear model, the drastic increase in computational burden to run the non-linear model completely negates any of these benefits.</w:t>
      </w:r>
    </w:p>
    <w:p w14:paraId="56F285C3" w14:textId="664E64A4" w:rsidR="00AD3ACB" w:rsidRDefault="00AD3ACB" w:rsidP="00AD3ACB">
      <w:r w:rsidRPr="0008707E">
        <w:t xml:space="preserve">The next big </w:t>
      </w:r>
      <w:r>
        <w:t>step</w:t>
      </w:r>
      <w:r w:rsidRPr="0008707E">
        <w:t xml:space="preserve"> in hydrogen supply chain modelling identified </w:t>
      </w:r>
      <w:r>
        <w:t xml:space="preserve">in this </w:t>
      </w:r>
      <w:r w:rsidRPr="0008707E">
        <w:t>literature review was the introduction of sector coupling as a concept and methodology</w:t>
      </w:r>
      <w:r>
        <w:t xml:space="preserve">. One of the first models developed in this space was by </w:t>
      </w:r>
      <w:r w:rsidRPr="00E873EC">
        <w:t>Samsatli et al.</w:t>
      </w:r>
      <w:r w:rsidR="00B73D26">
        <w:t xml:space="preserve"> </w:t>
      </w:r>
      <w:r w:rsidR="00C167DB">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C167DB">
        <w:fldChar w:fldCharType="separate"/>
      </w:r>
      <w:r w:rsidR="00AA243F">
        <w:rPr>
          <w:noProof/>
        </w:rPr>
        <w:t>[</w:t>
      </w:r>
      <w:hyperlink w:anchor="_ENREF_23" w:tooltip="Samsatli, 2016 #1095" w:history="1">
        <w:r w:rsidR="006210AE">
          <w:rPr>
            <w:noProof/>
          </w:rPr>
          <w:t>23</w:t>
        </w:r>
      </w:hyperlink>
      <w:r w:rsidR="00AA243F">
        <w:rPr>
          <w:noProof/>
        </w:rPr>
        <w:t>]</w:t>
      </w:r>
      <w:r w:rsidR="00C167DB">
        <w:fldChar w:fldCharType="end"/>
      </w:r>
      <w:r w:rsidRPr="00E873EC">
        <w:t xml:space="preserve"> </w:t>
      </w:r>
      <w:r>
        <w:t>who</w:t>
      </w:r>
      <w:r w:rsidRPr="00E873EC">
        <w:t xml:space="preserve"> </w:t>
      </w:r>
      <w:r>
        <w:t xml:space="preserve">looked at the development of a hydrogen supply chain </w:t>
      </w:r>
      <w:r w:rsidRPr="00E873EC">
        <w:t xml:space="preserve">for the </w:t>
      </w:r>
      <w:r>
        <w:t>Great Britain’s (GB) transport</w:t>
      </w:r>
      <w:r w:rsidRPr="00E873EC">
        <w:t xml:space="preserve"> market</w:t>
      </w:r>
      <w:r>
        <w:t>, utilising the STeMES model (Samsatli et al</w:t>
      </w:r>
      <w:r w:rsidR="00024EC3">
        <w:t xml:space="preserve"> </w:t>
      </w:r>
      <w:r w:rsidR="00C167DB">
        <w:fldChar w:fldCharType="begin"/>
      </w:r>
      <w:r w:rsidR="00AA243F">
        <w:instrText xml:space="preserve"> ADDIN EN.CITE &lt;EndNote&gt;&lt;Cite&gt;&lt;Author&gt;Samsatli&lt;/Author&gt;&lt;Year&gt;2015&lt;/Year&gt;&lt;RecNum&gt;924&lt;/RecNum&gt;&lt;DisplayText&gt;[24]&lt;/DisplayText&gt;&lt;record&gt;&lt;rec-number&gt;924&lt;/rec-number&gt;&lt;foreign-keys&gt;&lt;key app="EN" db-id="w500zpaaheraz8epaw1p29dtf2ff9zrswv50" timestamp="1607697901"&gt;924&lt;/key&gt;&lt;/foreign-keys&gt;&lt;ref-type name="Journal Article"&gt;17&lt;/ref-type&gt;&lt;contributors&gt;&lt;authors&gt;&lt;author&gt;Samsatli, Sheila&lt;/author&gt;&lt;author&gt;Samsatli, Nouri J.&lt;/author&gt;&lt;/authors&gt;&lt;/contributors&gt;&lt;titles&gt;&lt;title&gt;A general spatio-temporal model of energy systems with a detailed account of transport and storage&lt;/title&gt;&lt;secondary-title&gt;Computers &amp;amp; Chemical Engineering&lt;/secondary-title&gt;&lt;/titles&gt;&lt;periodical&gt;&lt;full-title&gt;Computers &amp;amp; Chemical Engineering&lt;/full-title&gt;&lt;/periodical&gt;&lt;pages&gt;155-176&lt;/pages&gt;&lt;volume&gt;80&lt;/volume&gt;&lt;dates&gt;&lt;year&gt;2015&lt;/year&gt;&lt;/dates&gt;&lt;publisher&gt;Pergamon&lt;/publisher&gt;&lt;urls&gt;&lt;related-urls&gt;&lt;url&gt;https://www.sciencedirect.com/science/article/pii/S0098135415002008#sec0015&lt;/url&gt;&lt;/related-urls&gt;&lt;pdf-urls&gt;&lt;url&gt;file://Users\David\Library\Application Support\Mendeley Desktop\Downloaded\Samsatli, Samsatli - 2015 - A general spatio-temporal model of energy systems with a detailed account of transport and storage.pdf&lt;/url&gt;&lt;/pdf-urls&gt;&lt;/urls&gt;&lt;electronic-resource-num&gt;10.1016/J.COMPCHEMENG.2015.05.019&lt;/electronic-resource-num&gt;&lt;/record&gt;&lt;/Cite&gt;&lt;/EndNote&gt;</w:instrText>
      </w:r>
      <w:r w:rsidR="00C167DB">
        <w:fldChar w:fldCharType="separate"/>
      </w:r>
      <w:r w:rsidR="00AA243F">
        <w:rPr>
          <w:noProof/>
        </w:rPr>
        <w:t>[</w:t>
      </w:r>
      <w:hyperlink w:anchor="_ENREF_24" w:tooltip="Samsatli, 2015 #924" w:history="1">
        <w:r w:rsidR="006210AE">
          <w:rPr>
            <w:noProof/>
          </w:rPr>
          <w:t>24</w:t>
        </w:r>
      </w:hyperlink>
      <w:r w:rsidR="00AA243F">
        <w:rPr>
          <w:noProof/>
        </w:rPr>
        <w:t>]</w:t>
      </w:r>
      <w:r w:rsidR="00C167DB">
        <w:fldChar w:fldCharType="end"/>
      </w:r>
      <w:r>
        <w:rPr>
          <w:color w:val="000000"/>
        </w:rPr>
        <w:t>)</w:t>
      </w:r>
      <w:r w:rsidRPr="00E873EC">
        <w:t xml:space="preserve">. </w:t>
      </w:r>
      <w:r>
        <w:t xml:space="preserve">They also introduced the concept of allowing the model to choose to either transmit the energy as electricity or as </w:t>
      </w:r>
      <w:r w:rsidR="007D354B">
        <w:t>hydrogen and</w:t>
      </w:r>
      <w:r>
        <w:t xml:space="preserve"> conducted a detailed GIS study of the land availability for wind farms. Their results indicated that all of GB’s domestic transport demand can be met by on-shore wind through appropriately designed and operated hydrogen-electricity networks.</w:t>
      </w:r>
    </w:p>
    <w:p w14:paraId="3102773D" w14:textId="671DC02A" w:rsidR="00AD3ACB" w:rsidRPr="0008707E" w:rsidRDefault="00AD3ACB" w:rsidP="00AD3ACB">
      <w:r w:rsidRPr="003E394A">
        <w:t>Robinius et al.</w:t>
      </w:r>
      <w:r w:rsidR="003E394A" w:rsidRPr="003E394A">
        <w:t xml:space="preserve"> </w:t>
      </w:r>
      <w:r w:rsidR="003E394A" w:rsidRPr="003E394A">
        <w:fldChar w:fldCharType="begin"/>
      </w:r>
      <w:r w:rsidR="003E394A" w:rsidRPr="003E394A">
        <w:instrText xml:space="preserve"> ADDIN EN.CITE &lt;EndNote&gt;&lt;Cite&gt;&lt;Author&gt;Robinius&lt;/Author&gt;&lt;Year&gt;2017&lt;/Year&gt;&lt;RecNum&gt;931&lt;/RecNum&gt;&lt;DisplayText&gt;[25]&lt;/DisplayText&gt;&lt;record&gt;&lt;rec-number&gt;931&lt;/rec-number&gt;&lt;foreign-keys&gt;&lt;key app="EN" db-id="w500zpaaheraz8epaw1p29dtf2ff9zrswv50" timestamp="1607697901"&gt;931&lt;/key&gt;&lt;/foreign-keys&gt;&lt;ref-type name="Journal Article"&gt;17&lt;/ref-type&gt;&lt;contributors&gt;&lt;authors&gt;&lt;author&gt;Robinius, Martin&lt;/author&gt;&lt;author&gt;Otto, Alexander&lt;/author&gt;&lt;author&gt;Heuser, Philipp&lt;/author&gt;&lt;author&gt;Welder, Lara&lt;/author&gt;&lt;author&gt;Syranidis, Konstantinos&lt;/author&gt;&lt;author&gt;Ryberg, David S.&lt;/author&gt;&lt;author&gt;Grube, Thomas&lt;/author&gt;&lt;author&gt;Markewitz, Peter&lt;/author&gt;&lt;author&gt;Peters, Ralf&lt;/author&gt;&lt;author&gt;Stolten, Detlef&lt;/author&gt;&lt;/authors&gt;&lt;/contributors&gt;&lt;titles&gt;&lt;title&gt;Linking the power and transport sectors - Part 1: The principle of sector coupling&lt;/title&gt;&lt;secondary-title&gt;Energies&lt;/secondary-title&gt;&lt;/titles&gt;&lt;periodical&gt;&lt;full-title&gt;Energies&lt;/full-title&gt;&lt;/periodical&gt;&lt;volume&gt;10&lt;/volume&gt;&lt;number&gt;7&lt;/number&gt;&lt;keywords&gt;&lt;keyword&gt;Linking the sectors&lt;/keyword&gt;&lt;keyword&gt;Power-to-fuel&lt;/keyword&gt;&lt;keyword&gt;Power-to-gas&lt;/keyword&gt;&lt;keyword&gt;Power-to-heat&lt;/keyword&gt;&lt;keyword&gt;Sector coupling (SC)&lt;/keyword&gt;&lt;keyword&gt;Transport sector&lt;/keyword&gt;&lt;/keywords&gt;&lt;dates&gt;&lt;year&gt;2017&lt;/year&gt;&lt;/dates&gt;&lt;urls&gt;&lt;pdf-urls&gt;&lt;url&gt;file://Users\David\Library\Application Support\Mendeley Desktop\Downloaded\Robinius et al. - 2017 - Linking the power and transport sectors - Part 1 The principle of sector coupling.pdf&lt;/url&gt;&lt;/pdf-urls&gt;&lt;/urls&gt;&lt;electronic-resource-num&gt;10.3390/en10070956&lt;/electronic-resource-num&gt;&lt;/record&gt;&lt;/Cite&gt;&lt;/EndNote&gt;</w:instrText>
      </w:r>
      <w:r w:rsidR="003E394A" w:rsidRPr="003E394A">
        <w:fldChar w:fldCharType="separate"/>
      </w:r>
      <w:r w:rsidR="003E394A" w:rsidRPr="003E394A">
        <w:rPr>
          <w:noProof/>
        </w:rPr>
        <w:t>[</w:t>
      </w:r>
      <w:hyperlink w:anchor="_ENREF_25" w:tooltip="Robinius, 2017 #931" w:history="1">
        <w:r w:rsidR="006210AE" w:rsidRPr="003E394A">
          <w:rPr>
            <w:noProof/>
          </w:rPr>
          <w:t>25</w:t>
        </w:r>
      </w:hyperlink>
      <w:r w:rsidR="003E394A" w:rsidRPr="003E394A">
        <w:rPr>
          <w:noProof/>
        </w:rPr>
        <w:t>]</w:t>
      </w:r>
      <w:r w:rsidR="003E394A" w:rsidRPr="003E394A">
        <w:fldChar w:fldCharType="end"/>
      </w:r>
      <w:r w:rsidR="00024EC3" w:rsidRPr="003E394A">
        <w:t xml:space="preserve"> </w:t>
      </w:r>
      <w:r w:rsidRPr="003E394A">
        <w:rPr>
          <w:color w:val="000000"/>
        </w:rPr>
        <w:t>was one</w:t>
      </w:r>
      <w:r>
        <w:rPr>
          <w:color w:val="000000"/>
        </w:rPr>
        <w:t xml:space="preserve"> of the first papers to note this increasing trend in integrating the electricity and hydrogen supply chains and coined the term “Sector Coupling”</w:t>
      </w:r>
      <w:r w:rsidR="003E394A">
        <w:rPr>
          <w:color w:val="000000"/>
        </w:rPr>
        <w:t>, which was then used to model a sector coupling scenario</w:t>
      </w:r>
      <w:r w:rsidR="00231DD8">
        <w:rPr>
          <w:color w:val="000000"/>
        </w:rPr>
        <w:t xml:space="preserve"> for power and transport sector</w:t>
      </w:r>
      <w:r w:rsidR="00F715A1">
        <w:rPr>
          <w:color w:val="000000"/>
        </w:rPr>
        <w:t>s</w:t>
      </w:r>
      <w:r w:rsidR="00231DD8">
        <w:rPr>
          <w:color w:val="000000"/>
        </w:rPr>
        <w:t xml:space="preserve"> in Germany </w:t>
      </w:r>
      <w:r w:rsidR="003E394A">
        <w:rPr>
          <w:color w:val="000000"/>
        </w:rPr>
        <w:fldChar w:fldCharType="begin"/>
      </w:r>
      <w:r w:rsidR="003E394A">
        <w:rPr>
          <w:color w:val="000000"/>
        </w:rPr>
        <w:instrText xml:space="preserve"> ADDIN EN.CITE &lt;EndNote&gt;&lt;Cite&gt;&lt;Author&gt;Robinius&lt;/Author&gt;&lt;Year&gt;2017&lt;/Year&gt;&lt;RecNum&gt;930&lt;/RecNum&gt;&lt;DisplayText&gt;[26]&lt;/DisplayText&gt;&lt;record&gt;&lt;rec-number&gt;930&lt;/rec-number&gt;&lt;foreign-keys&gt;&lt;key app="EN" db-id="w500zpaaheraz8epaw1p29dtf2ff9zrswv50" timestamp="1607697901"&gt;930&lt;/key&gt;&lt;/foreign-keys&gt;&lt;ref-type name="Journal Article"&gt;17&lt;/ref-type&gt;&lt;contributors&gt;&lt;authors&gt;&lt;author&gt;Robinius, Martin&lt;/author&gt;&lt;author&gt;Otto, Alexander&lt;/author&gt;&lt;author&gt;Syranidis, Konstantinos&lt;/author&gt;&lt;author&gt;Ryberg, David S.&lt;/author&gt;&lt;author&gt;Heuser, Philipp&lt;/author&gt;&lt;author&gt;Welder, Lara&lt;/author&gt;&lt;author&gt;Grube, Thomas&lt;/author&gt;&lt;author&gt;Markewitz, Peter&lt;/author&gt;&lt;author&gt;Tietze, Vanessa&lt;/author&gt;&lt;author&gt;Stolten, Detlef&lt;/author&gt;&lt;/authors&gt;&lt;/contributors&gt;&lt;titles&gt;&lt;title&gt;Linking the power and transport sectors - Part 2: Modelling a sector coupling scenario for Germany&lt;/title&gt;&lt;secondary-title&gt;Energies&lt;/secondary-title&gt;&lt;/titles&gt;&lt;periodical&gt;&lt;full-title&gt;Energies&lt;/full-title&gt;&lt;/periodical&gt;&lt;pages&gt;1-23&lt;/pages&gt;&lt;volume&gt;10&lt;/volume&gt;&lt;number&gt;7&lt;/number&gt;&lt;keywords&gt;&lt;keyword&gt;Fuel cell vehicles (FCVs)&lt;/keyword&gt;&lt;keyword&gt;Hydrogen&lt;/keyword&gt;&lt;keyword&gt;Pipeline&lt;/keyword&gt;&lt;keyword&gt;Power-to-gas&lt;/keyword&gt;&lt;keyword&gt;Sector coupling (SC)&lt;/keyword&gt;&lt;keyword&gt;Surplus&lt;/keyword&gt;&lt;/keywords&gt;&lt;dates&gt;&lt;year&gt;2017&lt;/year&gt;&lt;/dates&gt;&lt;urls&gt;&lt;pdf-urls&gt;&lt;url&gt;file://Users\David\Library\Application Support\Mendeley Desktop\Downloaded\Robinius et al. - 2017 - Linking the power and transport sectors - Part 2 Modelling a sector coupling scenario for Germany.pdf&lt;/url&gt;&lt;/pdf-urls&gt;&lt;/urls&gt;&lt;electronic-resource-num&gt;10.3390/en10070957&lt;/electronic-resource-num&gt;&lt;/record&gt;&lt;/Cite&gt;&lt;/EndNote&gt;</w:instrText>
      </w:r>
      <w:r w:rsidR="003E394A">
        <w:rPr>
          <w:color w:val="000000"/>
        </w:rPr>
        <w:fldChar w:fldCharType="separate"/>
      </w:r>
      <w:r w:rsidR="003E394A">
        <w:rPr>
          <w:noProof/>
          <w:color w:val="000000"/>
        </w:rPr>
        <w:t>[</w:t>
      </w:r>
      <w:hyperlink w:anchor="_ENREF_26" w:tooltip="Robinius, 2017 #930" w:history="1">
        <w:r w:rsidR="006210AE">
          <w:rPr>
            <w:noProof/>
            <w:color w:val="000000"/>
          </w:rPr>
          <w:t>26</w:t>
        </w:r>
      </w:hyperlink>
      <w:r w:rsidR="003E394A">
        <w:rPr>
          <w:noProof/>
          <w:color w:val="000000"/>
        </w:rPr>
        <w:t>]</w:t>
      </w:r>
      <w:r w:rsidR="003E394A">
        <w:rPr>
          <w:color w:val="000000"/>
        </w:rPr>
        <w:fldChar w:fldCharType="end"/>
      </w:r>
      <w:r w:rsidR="00231DD8">
        <w:rPr>
          <w:color w:val="000000"/>
        </w:rPr>
        <w:t>.</w:t>
      </w:r>
      <w:r w:rsidRPr="0008707E">
        <w:rPr>
          <w:color w:val="000000"/>
        </w:rPr>
        <w:t xml:space="preserve"> In these </w:t>
      </w:r>
      <w:r w:rsidR="00231DD8">
        <w:rPr>
          <w:color w:val="000000"/>
        </w:rPr>
        <w:t xml:space="preserve">two </w:t>
      </w:r>
      <w:r w:rsidRPr="0008707E">
        <w:rPr>
          <w:color w:val="000000"/>
        </w:rPr>
        <w:t xml:space="preserve">papers, </w:t>
      </w:r>
      <w:r w:rsidRPr="0008707E">
        <w:t xml:space="preserve">Robinius </w:t>
      </w:r>
      <w:r w:rsidRPr="00536A03">
        <w:t>et al.</w:t>
      </w:r>
      <w:r w:rsidRPr="0008707E">
        <w:rPr>
          <w:i/>
          <w:iCs/>
        </w:rPr>
        <w:t xml:space="preserve"> </w:t>
      </w:r>
      <w:r w:rsidRPr="0008707E">
        <w:t xml:space="preserve">lay out the general principles behind sector coupling and develop a working definition. They then go on to produce the spatial and temporal model METIS with a case study of the power and transport sector in Germany. </w:t>
      </w:r>
      <w:r>
        <w:t xml:space="preserve">The whole concept behind sector coupling was allowing the utilisation of surplus electricity generated in power sector to be used to produce hydrogen through the form of electrolysis. </w:t>
      </w:r>
      <w:r w:rsidRPr="00E873EC">
        <w:t>Results showed that surge power from wind farms in the North could supply 75% of the German transport market with hydrogen</w:t>
      </w:r>
      <w:r>
        <w:t>, which showed the potential of linking both the power and transportation industry.</w:t>
      </w:r>
    </w:p>
    <w:p w14:paraId="46A51A21" w14:textId="76421B26" w:rsidR="00AD3ACB" w:rsidRDefault="00AD3ACB" w:rsidP="00AD3ACB">
      <w:r w:rsidRPr="00E873EC">
        <w:t xml:space="preserve">Reuß </w:t>
      </w:r>
      <w:r w:rsidRPr="00E873EC">
        <w:rPr>
          <w:i/>
          <w:iCs/>
        </w:rPr>
        <w:t>et al.</w:t>
      </w:r>
      <w:r>
        <w:t xml:space="preserve"> </w:t>
      </w:r>
      <w:r w:rsidR="00C167DB">
        <w:fldChar w:fldCharType="begin"/>
      </w:r>
      <w:r w:rsidR="00AA243F">
        <w:instrText xml:space="preserve"> ADDIN EN.CITE &lt;EndNote&gt;&lt;Cite&gt;&lt;Author&gt;Reuß&lt;/Author&gt;&lt;Year&gt;2017&lt;/Year&gt;&lt;RecNum&gt;933&lt;/RecNum&gt;&lt;DisplayText&gt;[27]&lt;/DisplayText&gt;&lt;record&gt;&lt;rec-number&gt;933&lt;/rec-number&gt;&lt;foreign-keys&gt;&lt;key app="EN" db-id="w500zpaaheraz8epaw1p29dtf2ff9zrswv50" timestamp="1607697901"&gt;933&lt;/key&gt;&lt;/foreign-keys&gt;&lt;ref-type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Energy&lt;/secondary-title&gt;&lt;/titles&gt;&lt;periodical&gt;&lt;full-title&gt;Applied Energy&lt;/full-title&gt;&lt;/periodical&gt;&lt;pages&gt;290-302&lt;/pages&gt;&lt;volume&gt;200&lt;/volume&gt;&lt;dates&gt;&lt;year&gt;2017&lt;/year&gt;&lt;/dates&gt;&lt;publisher&gt;Elsevier&lt;/publisher&gt;&lt;urls&gt;&lt;related-urls&gt;&lt;url&gt;https://www.sciencedirect.com/science/article/pii/S0306261917305457&lt;/url&gt;&lt;/related-urls&gt;&lt;pdf-urls&gt;&lt;url&gt;file://Users\David\Library\Application Support\Mendeley Desktop\Downloaded\Reuß et al. - 2017 - Seasonal storage and alternative carriers A flexible hydrogen supply chain model.pdf&lt;/url&gt;&lt;/pdf-urls&gt;&lt;/urls&gt;&lt;electronic-resource-num&gt;10.1016/J.APENERGY.2017.05.050&lt;/electronic-resource-num&gt;&lt;/record&gt;&lt;/Cite&gt;&lt;/EndNote&gt;</w:instrText>
      </w:r>
      <w:r w:rsidR="00C167DB">
        <w:fldChar w:fldCharType="separate"/>
      </w:r>
      <w:r w:rsidR="00AA243F">
        <w:rPr>
          <w:noProof/>
        </w:rPr>
        <w:t>[</w:t>
      </w:r>
      <w:hyperlink w:anchor="_ENREF_27" w:tooltip="Reuß, 2017 #933" w:history="1">
        <w:r w:rsidR="006210AE">
          <w:rPr>
            <w:noProof/>
          </w:rPr>
          <w:t>27</w:t>
        </w:r>
      </w:hyperlink>
      <w:r w:rsidR="00AA243F">
        <w:rPr>
          <w:noProof/>
        </w:rPr>
        <w:t>]</w:t>
      </w:r>
      <w:r w:rsidR="00C167DB">
        <w:fldChar w:fldCharType="end"/>
      </w:r>
      <w:r w:rsidR="003032CA">
        <w:t xml:space="preserve"> </w:t>
      </w:r>
      <w:r>
        <w:t>took sector coupling a step further and</w:t>
      </w:r>
      <w:r>
        <w:rPr>
          <w:i/>
          <w:iCs/>
        </w:rPr>
        <w:t xml:space="preserve"> </w:t>
      </w:r>
      <w:r>
        <w:t xml:space="preserve">was one of the first to consider hydrogen storage in detail in order to overcome the issues with hydrogen production from renewable energy generation. </w:t>
      </w:r>
      <w:r w:rsidRPr="00E873EC">
        <w:t xml:space="preserve">Reuß </w:t>
      </w:r>
      <w:r w:rsidRPr="00E873EC">
        <w:rPr>
          <w:i/>
          <w:iCs/>
        </w:rPr>
        <w:t>et al.</w:t>
      </w:r>
      <w:r w:rsidRPr="00E873EC">
        <w:t xml:space="preserve"> </w:t>
      </w:r>
      <w:r w:rsidR="00C167DB">
        <w:rPr>
          <w:color w:val="000000"/>
        </w:rPr>
        <w:fldChar w:fldCharType="begin"/>
      </w:r>
      <w:r w:rsidR="00AA243F">
        <w:rPr>
          <w:color w:val="000000"/>
        </w:rPr>
        <w:instrText xml:space="preserve"> ADDIN EN.CITE &lt;EndNote&gt;&lt;Cite&gt;&lt;Author&gt;Reuß&lt;/Author&gt;&lt;Year&gt;2019&lt;/Year&gt;&lt;RecNum&gt;1089&lt;/RecNum&gt;&lt;DisplayText&gt;[28]&lt;/DisplayText&gt;&lt;record&gt;&lt;rec-number&gt;1089&lt;/rec-number&gt;&lt;foreign-keys&gt;&lt;key app="EN" db-id="w500zpaaheraz8epaw1p29dtf2ff9zrswv50" timestamp="1607697901"&gt;1089&lt;/key&gt;&lt;/foreign-keys&gt;&lt;ref-type name="Journal Article"&gt;17&lt;/ref-type&gt;&lt;contributors&gt;&lt;authors&gt;&lt;author&gt;Reuß, Markus&lt;/author&gt;&lt;author&gt;Grube, Thomas&lt;/author&gt;&lt;author&gt;Robinius, Martin&lt;/author&gt;&lt;author&gt;Stolten, Detlef&lt;/author&gt;&lt;/authors&gt;&lt;/contributors&gt;&lt;titles&gt;&lt;title&gt;A hydrogen supply chain with spatial resolution: Comparative analysis of infrastructure technologies in Germany&lt;/title&gt;&lt;secondary-title&gt;Applied Energy&lt;/secondary-title&gt;&lt;/titles&gt;&lt;periodical&gt;&lt;full-title&gt;Applied Energy&lt;/full-title&gt;&lt;/periodical&gt;&lt;pages&gt;438-453&lt;/pages&gt;&lt;volume&gt;247&lt;/volume&gt;&lt;number&gt;April&lt;/number&gt;&lt;keywords&gt;&lt;keyword&gt;Hydrogen infrastructure&lt;/keyword&gt;&lt;keyword&gt;Hydrogen mobility&lt;/keyword&gt;&lt;keyword&gt;Hydrogen supply chain&lt;/keyword&gt;&lt;keyword&gt;Liquid organic hydrogen carriers&lt;/keyword&gt;&lt;keyword&gt;Renewable energy&lt;/keyword&gt;&lt;keyword&gt;Spatial infrastructure design&lt;/keyword&gt;&lt;/keywords&gt;&lt;dates&gt;&lt;year&gt;2019&lt;/year&gt;&lt;/dates&gt;&lt;publisher&gt;Elsevier&lt;/publisher&gt;&lt;urls&gt;&lt;related-urls&gt;&lt;url&gt;https://doi.org/10.1016/j.apenergy.2019.04.064&lt;/url&gt;&lt;/related-urls&gt;&lt;pdf-urls&gt;&lt;url&gt;file://Users\David\Library\Application Support\Mendeley Desktop\Downloaded\Reuß et al. - 2019 - A hydrogen supply chain with spatial resolution Comparative analysis of infrastructure technologies in Germany.pdf&lt;/url&gt;&lt;/pdf-urls&gt;&lt;/urls&gt;&lt;electronic-resource-num&gt;10.1016/j.apenergy.2019.04.064&lt;/electronic-resource-num&gt;&lt;/record&gt;&lt;/Cite&gt;&lt;/EndNote&gt;</w:instrText>
      </w:r>
      <w:r w:rsidR="00C167DB">
        <w:rPr>
          <w:color w:val="000000"/>
        </w:rPr>
        <w:fldChar w:fldCharType="separate"/>
      </w:r>
      <w:r w:rsidR="00AA243F">
        <w:rPr>
          <w:noProof/>
          <w:color w:val="000000"/>
        </w:rPr>
        <w:t>[</w:t>
      </w:r>
      <w:hyperlink w:anchor="_ENREF_28" w:tooltip="Reuß, 2019 #1089" w:history="1">
        <w:r w:rsidR="006210AE">
          <w:rPr>
            <w:noProof/>
            <w:color w:val="000000"/>
          </w:rPr>
          <w:t>28</w:t>
        </w:r>
      </w:hyperlink>
      <w:r w:rsidR="00AA243F">
        <w:rPr>
          <w:noProof/>
          <w:color w:val="000000"/>
        </w:rPr>
        <w:t>]</w:t>
      </w:r>
      <w:r w:rsidR="00C167DB">
        <w:rPr>
          <w:color w:val="000000"/>
        </w:rPr>
        <w:fldChar w:fldCharType="end"/>
      </w:r>
      <w:r w:rsidR="00024EC3">
        <w:rPr>
          <w:color w:val="000000"/>
        </w:rPr>
        <w:t xml:space="preserve"> </w:t>
      </w:r>
      <w:r w:rsidR="00B428D1">
        <w:rPr>
          <w:color w:val="000000"/>
        </w:rPr>
        <w:t>developed this</w:t>
      </w:r>
      <w:r>
        <w:rPr>
          <w:color w:val="000000"/>
        </w:rPr>
        <w:t xml:space="preserve"> concept and broke down the transportation of hydrogen into transmission and distribution, in particular the setup of a transmission pipeline with gaseous trailer distribution, by producing a spatial and temporal hydrogen supply chain model for Germany up to 2050. They also consider production through PEM electrolysis, as it allows the utilisation of excess renewable energy generation (however, the model does not take into consideration the actual hourly variation in surplus electrical energy generated by renewables), plus storage in salt caverns to overcome the seasonal variance in production. Their research showed the importance of salt caverns, as well as transmission pipelines, as key technologies for future hydrogen infrastructure systems.</w:t>
      </w:r>
    </w:p>
    <w:p w14:paraId="46E83BF4" w14:textId="5E94B5AA" w:rsidR="00AD3ACB" w:rsidRDefault="00AD3ACB" w:rsidP="00AD3ACB">
      <w:r w:rsidRPr="00E873EC">
        <w:t>Colbertaldo et al.</w:t>
      </w:r>
      <w:r w:rsidR="00024EC3">
        <w:t xml:space="preserve"> </w:t>
      </w:r>
      <w:r w:rsidR="00C167DB">
        <w:fldChar w:fldCharType="begin"/>
      </w:r>
      <w:r w:rsidR="00AA243F">
        <w:instrText xml:space="preserve"> ADDIN EN.CITE &lt;EndNote&gt;&lt;Cite&gt;&lt;Author&gt;Colbertaldo&lt;/Author&gt;&lt;Year&gt;2018&lt;/Year&gt;&lt;RecNum&gt;1045&lt;/RecNum&gt;&lt;DisplayText&gt;[29]&lt;/DisplayText&gt;&lt;record&gt;&lt;rec-number&gt;1045&lt;/rec-number&gt;&lt;foreign-keys&gt;&lt;key app="EN" db-id="w500zpaaheraz8epaw1p29dtf2ff9zrswv50" timestamp="1607697901"&gt;1045&lt;/key&gt;&lt;/foreign-keys&gt;&lt;ref-type name="Journal Article"&gt;17&lt;/ref-type&gt;&lt;contributors&gt;&lt;authors&gt;&lt;author&gt;Colbertaldo, Paolo&lt;/author&gt;&lt;author&gt;Guandalini, Giulio&lt;/author&gt;&lt;author&gt;Campanari, Stefano&lt;/author&gt;&lt;/authors&gt;&lt;/contributors&gt;&lt;titles&gt;&lt;title&gt;Modelling the integrated power and transport energy system: The role of power-to-gas and hydrogen in long-term scenarios for Italy&lt;/title&gt;&lt;secondary-title&gt;Energy&lt;/secondary-title&gt;&lt;/titles&gt;&lt;periodical&gt;&lt;full-title&gt;Energy&lt;/full-title&gt;&lt;/periodical&gt;&lt;pages&gt;592-601&lt;/pages&gt;&lt;volume&gt;154&lt;/volume&gt;&lt;keywords&gt;&lt;keyword&gt;Hydrogen&lt;/keyword&gt;&lt;keyword&gt;Integration&lt;/keyword&gt;&lt;keyword&gt;Long-term scenarios&lt;/keyword&gt;&lt;keyword&gt;Multi-node modelling&lt;/keyword&gt;&lt;keyword&gt;Power and transport&lt;/keyword&gt;&lt;keyword&gt;Power-to-Gas&lt;/keyword&gt;&lt;/keywords&gt;&lt;dates&gt;&lt;year&gt;2018&lt;/year&gt;&lt;/dates&gt;&lt;publisher&gt;Elsevier Ltd&lt;/publisher&gt;&lt;urls&gt;&lt;related-urls&gt;&lt;url&gt;https://doi.org/10.1016/j.energy.2018.04.089&lt;/url&gt;&lt;/related-urls&gt;&lt;pdf-urls&gt;&lt;url&gt;file://Users\David\Library\Application Support\Mendeley Desktop\Downloaded\Colbertaldo, Guandalini, Campanari - 2018 - Modelling the integrated power and transport energy system The role of power-to-gas and hydr.pdf&lt;/url&gt;&lt;/pdf-urls&gt;&lt;/urls&gt;&lt;electronic-resource-num&gt;10.1016/j.energy.2018.04.089&lt;/electronic-resource-num&gt;&lt;/record&gt;&lt;/Cite&gt;&lt;/EndNote&gt;</w:instrText>
      </w:r>
      <w:r w:rsidR="00C167DB">
        <w:fldChar w:fldCharType="separate"/>
      </w:r>
      <w:r w:rsidR="00AA243F">
        <w:rPr>
          <w:noProof/>
        </w:rPr>
        <w:t>[</w:t>
      </w:r>
      <w:hyperlink w:anchor="_ENREF_29" w:tooltip="Colbertaldo, 2018 #1045" w:history="1">
        <w:r w:rsidR="006210AE">
          <w:rPr>
            <w:noProof/>
          </w:rPr>
          <w:t>29</w:t>
        </w:r>
      </w:hyperlink>
      <w:r w:rsidR="00AA243F">
        <w:rPr>
          <w:noProof/>
        </w:rPr>
        <w:t>]</w:t>
      </w:r>
      <w:r w:rsidR="00C167DB">
        <w:fldChar w:fldCharType="end"/>
      </w:r>
      <w:r w:rsidRPr="00E873EC">
        <w:t xml:space="preserve"> </w:t>
      </w:r>
      <w:r>
        <w:t xml:space="preserve">also </w:t>
      </w:r>
      <w:r w:rsidRPr="00E873EC">
        <w:t>took</w:t>
      </w:r>
      <w:r>
        <w:t xml:space="preserve"> </w:t>
      </w:r>
      <w:r w:rsidR="00B222C0">
        <w:t xml:space="preserve">the </w:t>
      </w:r>
      <w:r>
        <w:t>sector coupling approach to</w:t>
      </w:r>
      <w:r w:rsidRPr="00E873EC">
        <w:t xml:space="preserve"> </w:t>
      </w:r>
      <w:r>
        <w:t>analyse the development of supply chains for the Italian vehicular market through a spatially and temporally explicit model</w:t>
      </w:r>
      <w:r w:rsidRPr="00E873EC">
        <w:t xml:space="preserve">. </w:t>
      </w:r>
      <w:r>
        <w:t>Their work expands on previous sector coupling models by integrating a wider range of production technologies ranging from renewables to conventional fossil fuels, as well as considering both power sector electric energy storage (e.g. pumped hydro and batteries) and hydrogen storage. Furthermore, the model takes into consideration the load due to plug-in electric vehicles as well as those from hydrogen vehicles. Their work displayed the potential for a majority of hydrogen demand for the transport sector to be met by surplus renewables (~80%) whilst also meeting 57% of the plug-in electric vehicle demand.</w:t>
      </w:r>
    </w:p>
    <w:p w14:paraId="5650E2EB" w14:textId="5F2E1AD1" w:rsidR="00AD3ACB" w:rsidRDefault="00330DA1" w:rsidP="00AD3ACB">
      <w:r>
        <w:t>Ca</w:t>
      </w:r>
      <w:r w:rsidR="00E844B3">
        <w:t xml:space="preserve">rrera et al. </w:t>
      </w:r>
      <w:r w:rsidR="00F715A1">
        <w:fldChar w:fldCharType="begin"/>
      </w:r>
      <w:r w:rsidR="00F715A1">
        <w:instrText xml:space="preserve"> ADDIN EN.CITE &lt;EndNote&gt;&lt;Cite&gt;&lt;Author&gt;Carrera&lt;/Author&gt;&lt;Year&gt;2021&lt;/Year&gt;&lt;RecNum&gt;1376&lt;/RecNum&gt;&lt;DisplayText&gt;[30]&lt;/DisplayText&gt;&lt;record&gt;&lt;rec-number&gt;1376&lt;/rec-number&gt;&lt;foreign-keys&gt;&lt;key app="EN" db-id="w500zpaaheraz8epaw1p29dtf2ff9zrswv50" timestamp="1622834828"&gt;1376&lt;/key&gt;&lt;/foreign-keys&gt;&lt;ref-type name="Journal Article"&gt;17&lt;/ref-type&gt;&lt;contributors&gt;&lt;authors&gt;&lt;author&gt;Carrera, Eduardo&lt;/author&gt;&lt;author&gt;Azzaro-Pantel, Catherine&lt;/author&gt;&lt;/authors&gt;&lt;/contributors&gt;&lt;titles&gt;&lt;title&gt;A methodological design framework for hydrogen and methane supply chain with special focus on Power-to-Gas systems: application to Occitania region, France&lt;/title&gt;&lt;secondary-title&gt;Computers &amp;amp; Chemical Engineering&lt;/secondary-title&gt;&lt;/titles&gt;&lt;periodical&gt;&lt;full-title&gt;Computers &amp;amp; Chemical Engineering&lt;/full-title&gt;&lt;/periodical&gt;&lt;pages&gt;107386&lt;/pages&gt;&lt;keywords&gt;&lt;keyword&gt;Power-to-Gas&lt;/keyword&gt;&lt;keyword&gt;Methanation&lt;/keyword&gt;&lt;keyword&gt;Hydrogen&lt;/keyword&gt;&lt;keyword&gt;MILP&lt;/keyword&gt;&lt;keyword&gt;supply chain&lt;/keyword&gt;&lt;keyword&gt;optimization&lt;/keyword&gt;&lt;/keywords&gt;&lt;dates&gt;&lt;year&gt;2021&lt;/year&gt;&lt;pub-dates&gt;&lt;date&gt;2021/05/31/&lt;/date&gt;&lt;/pub-dates&gt;&lt;/dates&gt;&lt;isbn&gt;0098-1354&lt;/isbn&gt;&lt;urls&gt;&lt;related-urls&gt;&lt;url&gt;https://www.sciencedirect.com/science/article/pii/S0098135421001642&lt;/url&gt;&lt;/related-urls&gt;&lt;/urls&gt;&lt;electronic-resource-num&gt;https://doi.org/10.1016/j.compchemeng.2021.107386&lt;/electronic-resource-num&gt;&lt;/record&gt;&lt;/Cite&gt;&lt;/EndNote&gt;</w:instrText>
      </w:r>
      <w:r w:rsidR="00F715A1">
        <w:fldChar w:fldCharType="separate"/>
      </w:r>
      <w:r w:rsidR="00F715A1">
        <w:rPr>
          <w:noProof/>
        </w:rPr>
        <w:t>[</w:t>
      </w:r>
      <w:hyperlink w:anchor="_ENREF_30" w:tooltip="Carrera, 2021 #1376" w:history="1">
        <w:r w:rsidR="006210AE">
          <w:rPr>
            <w:noProof/>
          </w:rPr>
          <w:t>30</w:t>
        </w:r>
      </w:hyperlink>
      <w:r w:rsidR="00F715A1">
        <w:rPr>
          <w:noProof/>
        </w:rPr>
        <w:t>]</w:t>
      </w:r>
      <w:r w:rsidR="00F715A1">
        <w:fldChar w:fldCharType="end"/>
      </w:r>
      <w:r w:rsidR="00F715A1">
        <w:t xml:space="preserve"> </w:t>
      </w:r>
      <w:r w:rsidR="00E844B3">
        <w:t xml:space="preserve">also developed a hydrogen and methane optimisation model taking into consideration sector coupling through Power-to-Hydrogen and Power-to-Methane </w:t>
      </w:r>
      <w:r w:rsidR="00123920">
        <w:t>concepts whilst applying it to the Occitania region of France</w:t>
      </w:r>
      <w:r w:rsidR="004142D8">
        <w:t>.</w:t>
      </w:r>
      <w:r w:rsidR="00F715A1">
        <w:t xml:space="preserve"> </w:t>
      </w:r>
      <w:r w:rsidR="000E1163">
        <w:t xml:space="preserve">Potrč et al. </w:t>
      </w:r>
      <w:r w:rsidR="00F715A1">
        <w:fldChar w:fldCharType="begin"/>
      </w:r>
      <w:r w:rsidR="00F715A1">
        <w:instrText xml:space="preserve"> ADDIN EN.CITE &lt;EndNote&gt;&lt;Cite&gt;&lt;Author&gt;Potrč&lt;/Author&gt;&lt;Year&gt;2021&lt;/Year&gt;&lt;RecNum&gt;1377&lt;/RecNum&gt;&lt;DisplayText&gt;[31]&lt;/DisplayText&gt;&lt;record&gt;&lt;rec-number&gt;1377&lt;/rec-number&gt;&lt;foreign-keys&gt;&lt;key app="EN" db-id="w500zpaaheraz8epaw1p29dtf2ff9zrswv50" timestamp="1622835041"&gt;1377&lt;/key&gt;&lt;/foreign-keys&gt;&lt;ref-type name="Journal Article"&gt;17&lt;/ref-type&gt;&lt;contributors&gt;&lt;authors&gt;&lt;author&gt;Potrč, Sanja&lt;/author&gt;&lt;author&gt;Čuček, Lidija&lt;/author&gt;&lt;author&gt;Martin, Mariano&lt;/author&gt;&lt;author&gt;Kravanja, Zdravko&lt;/author&gt;&lt;/authors&gt;&lt;/contributors&gt;&lt;titles&gt;&lt;title&gt;Sustainable renewable energy supply networks optimization – The gradual transition to a renewable energy system within the European Union by 2050&lt;/title&gt;&lt;secondary-title&gt;Renewable and Sustainable Energy Reviews&lt;/secondary-title&gt;&lt;/titles&gt;&lt;periodical&gt;&lt;full-title&gt;Renewable and Sustainable Energy Reviews&lt;/full-title&gt;&lt;/periodical&gt;&lt;pages&gt;111186&lt;/pages&gt;&lt;volume&gt;146&lt;/volume&gt;&lt;keywords&gt;&lt;keyword&gt;Energy transition&lt;/keyword&gt;&lt;keyword&gt;Renewable energy&lt;/keyword&gt;&lt;keyword&gt;Sustainability&lt;/keyword&gt;&lt;keyword&gt;Biofuels&lt;/keyword&gt;&lt;keyword&gt;Renewable electricity&lt;/keyword&gt;&lt;keyword&gt;Supply network optimization&lt;/keyword&gt;&lt;keyword&gt;European Union&lt;/keyword&gt;&lt;/keywords&gt;&lt;dates&gt;&lt;year&gt;2021&lt;/year&gt;&lt;pub-dates&gt;&lt;date&gt;2021/08/01/&lt;/date&gt;&lt;/pub-dates&gt;&lt;/dates&gt;&lt;isbn&gt;1364-0321&lt;/isbn&gt;&lt;urls&gt;&lt;related-urls&gt;&lt;url&gt;https://www.sciencedirect.com/science/article/pii/S1364032121004743&lt;/url&gt;&lt;/related-urls&gt;&lt;/urls&gt;&lt;electronic-resource-num&gt;https://doi.org/10.1016/j.rser.2021.111186&lt;/electronic-resource-num&gt;&lt;/record&gt;&lt;/Cite&gt;&lt;/EndNote&gt;</w:instrText>
      </w:r>
      <w:r w:rsidR="00F715A1">
        <w:fldChar w:fldCharType="separate"/>
      </w:r>
      <w:r w:rsidR="00F715A1">
        <w:rPr>
          <w:noProof/>
        </w:rPr>
        <w:t>[</w:t>
      </w:r>
      <w:hyperlink w:anchor="_ENREF_31" w:tooltip="Potrč, 2021 #1377" w:history="1">
        <w:r w:rsidR="006210AE">
          <w:rPr>
            <w:noProof/>
          </w:rPr>
          <w:t>31</w:t>
        </w:r>
      </w:hyperlink>
      <w:r w:rsidR="00F715A1">
        <w:rPr>
          <w:noProof/>
        </w:rPr>
        <w:t>]</w:t>
      </w:r>
      <w:r w:rsidR="00F715A1">
        <w:fldChar w:fldCharType="end"/>
      </w:r>
      <w:r w:rsidR="00F715A1">
        <w:t xml:space="preserve"> propose</w:t>
      </w:r>
      <w:r w:rsidR="000E1163">
        <w:t xml:space="preserve"> </w:t>
      </w:r>
      <w:r w:rsidR="00F715A1">
        <w:t>a</w:t>
      </w:r>
      <w:r w:rsidR="000E1163">
        <w:t xml:space="preserve"> detailed study of sector coupling by consider</w:t>
      </w:r>
      <w:r w:rsidR="00F715A1">
        <w:t>ing</w:t>
      </w:r>
      <w:r w:rsidR="000E1163">
        <w:t xml:space="preserve"> the development of hydrogen supply chains along with a wide variety of </w:t>
      </w:r>
      <w:r w:rsidR="000E1163">
        <w:lastRenderedPageBreak/>
        <w:t xml:space="preserve">other energy </w:t>
      </w:r>
      <w:r w:rsidR="00F715A1">
        <w:t>vectors</w:t>
      </w:r>
      <w:r w:rsidR="000E1163">
        <w:t xml:space="preserve"> such as renewable electricity; biomass</w:t>
      </w:r>
      <w:r w:rsidR="00F665BE">
        <w:t>; and waste resources across the whole of Europe</w:t>
      </w:r>
      <w:r w:rsidR="00F715A1">
        <w:t>,</w:t>
      </w:r>
      <w:r w:rsidR="0092688D">
        <w:t xml:space="preserve"> decarbonising the transport and power sectors</w:t>
      </w:r>
      <w:r w:rsidR="00F665BE">
        <w:t xml:space="preserve"> with a 10-year temporal resolution up to 2050. One of the </w:t>
      </w:r>
      <w:r w:rsidR="00F715A1">
        <w:t>disadvantages of</w:t>
      </w:r>
      <w:r w:rsidR="00F665BE">
        <w:t xml:space="preserve"> the scale of this </w:t>
      </w:r>
      <w:r w:rsidR="009F48D2">
        <w:t>work</w:t>
      </w:r>
      <w:r w:rsidR="00F665BE">
        <w:t xml:space="preserve"> is that it loses all spatial resolution</w:t>
      </w:r>
      <w:r w:rsidR="00F715A1">
        <w:t>,</w:t>
      </w:r>
      <w:r w:rsidR="00F665BE">
        <w:t xml:space="preserve"> as each count</w:t>
      </w:r>
      <w:r w:rsidR="00F715A1">
        <w:t>r</w:t>
      </w:r>
      <w:r w:rsidR="00F665BE">
        <w:t xml:space="preserve">y is modelled as one </w:t>
      </w:r>
      <w:r w:rsidR="0073534C">
        <w:t>geographic node</w:t>
      </w:r>
      <w:r w:rsidR="00F715A1">
        <w:t xml:space="preserve">, and </w:t>
      </w:r>
      <w:r w:rsidR="009F48D2">
        <w:t>only the production side of the energy system</w:t>
      </w:r>
      <w:r w:rsidR="00F715A1">
        <w:t xml:space="preserve"> is considered</w:t>
      </w:r>
      <w:r w:rsidR="009F48D2">
        <w:t xml:space="preserve"> in detail</w:t>
      </w:r>
      <w:r w:rsidR="0073534C">
        <w:t>.</w:t>
      </w:r>
      <w:r w:rsidR="00F665BE">
        <w:t xml:space="preserve"> </w:t>
      </w:r>
      <w:r w:rsidR="00AD3ACB">
        <w:t xml:space="preserve">The next set of hydrogen supply chain models that were identified in this literature review were those that took into consideration not only the </w:t>
      </w:r>
      <w:r w:rsidR="00DF4374">
        <w:t>economic</w:t>
      </w:r>
      <w:r w:rsidR="00AD3ACB">
        <w:t xml:space="preserve"> aspects but also integrating emissions reduction into the Objective Function of the model. </w:t>
      </w:r>
      <w:r w:rsidR="00AD3ACB" w:rsidRPr="00E873EC">
        <w:t xml:space="preserve">Almansoori and Betancourt-Torcat </w:t>
      </w:r>
      <w:r w:rsidR="00C167DB">
        <w:fldChar w:fldCharType="begin"/>
      </w:r>
      <w:r w:rsidR="00F715A1">
        <w:instrText xml:space="preserve"> ADDIN EN.CITE &lt;EndNote&gt;&lt;Cite&gt;&lt;Author&gt;Almansoori&lt;/Author&gt;&lt;Year&gt;2016&lt;/Year&gt;&lt;RecNum&gt;1297&lt;/RecNum&gt;&lt;DisplayText&gt;[32]&lt;/DisplayText&gt;&lt;record&gt;&lt;rec-number&gt;1297&lt;/rec-number&gt;&lt;foreign-keys&gt;&lt;key app="EN" db-id="w500zpaaheraz8epaw1p29dtf2ff9zrswv50" timestamp="1607697983"&gt;1297&lt;/key&gt;&lt;/foreign-keys&gt;&lt;contributors&gt;&lt;authors&gt;&lt;author&gt;Almansoori, A.&lt;/author&gt;&lt;author&gt;Betancourt-Torcat, A.&lt;/author&gt;&lt;/authors&gt;&lt;/contributors&gt;&lt;titles&gt;&lt;title&gt;Design of optimization model for a hydrogen supply chain under emission constraints - A case study of Germany&lt;/title&gt;&lt;secondary-title&gt;Energy&lt;/secondary-title&gt;&lt;/titles&gt;&lt;periodical&gt;&lt;full-title&gt;Energy&lt;/full-title&gt;&lt;/periodical&gt;&lt;pages&gt;414-429&lt;/pages&gt;&lt;volume&gt;111&lt;/volume&gt;&lt;keywords&gt;&lt;keyword&gt;Design&lt;/keyword&gt;&lt;keyword&gt;Emission constraints&lt;/keyword&gt;&lt;keyword&gt;Germany&lt;/keyword&gt;&lt;keyword&gt;Hydrogen supply chain&lt;/keyword&gt;&lt;keyword&gt;Mixed integer linear programming&lt;/keyword&gt;&lt;/keywords&gt;&lt;dates&gt;&lt;year&gt;2016&lt;/year&gt;&lt;/dates&gt;&lt;publisher&gt;Pergamon&lt;/publisher&gt;&lt;urls&gt;&lt;/urls&gt;&lt;electronic-resource-num&gt;10.1016/j.energy.2016.05.123&lt;/electronic-resource-num&gt;&lt;/record&gt;&lt;/Cite&gt;&lt;/EndNote&gt;</w:instrText>
      </w:r>
      <w:r w:rsidR="00C167DB">
        <w:fldChar w:fldCharType="separate"/>
      </w:r>
      <w:r w:rsidR="00F715A1">
        <w:rPr>
          <w:noProof/>
        </w:rPr>
        <w:t>[</w:t>
      </w:r>
      <w:hyperlink w:anchor="_ENREF_32" w:tooltip="Almansoori, 2016 #1297" w:history="1">
        <w:r w:rsidR="006210AE">
          <w:rPr>
            <w:noProof/>
          </w:rPr>
          <w:t>32</w:t>
        </w:r>
      </w:hyperlink>
      <w:r w:rsidR="00F715A1">
        <w:rPr>
          <w:noProof/>
        </w:rPr>
        <w:t>]</w:t>
      </w:r>
      <w:r w:rsidR="00C167DB">
        <w:fldChar w:fldCharType="end"/>
      </w:r>
      <w:r w:rsidR="00AD3ACB" w:rsidRPr="00E873EC">
        <w:t xml:space="preserve"> propose a</w:t>
      </w:r>
      <w:r w:rsidR="00AD3ACB">
        <w:t>n</w:t>
      </w:r>
      <w:r w:rsidR="00AD3ACB" w:rsidRPr="00E873EC">
        <w:t xml:space="preserve"> optimisation model, with the specific application of emission constraints in Germany for the year 2030</w:t>
      </w:r>
      <w:r w:rsidR="00AD3ACB">
        <w:t>, through the integration of carbon taxes to impose a financial burden on heavy greenhouse as emitting processes</w:t>
      </w:r>
      <w:r w:rsidR="00AD3ACB" w:rsidRPr="00E873EC">
        <w:t>. The model assesses the primary energy source production technologies, storage, and distribution networks</w:t>
      </w:r>
      <w:r w:rsidR="00AD3ACB">
        <w:t xml:space="preserve"> as well as including Carbon Capture and Storage technologies</w:t>
      </w:r>
      <w:r w:rsidR="00AD3ACB" w:rsidRPr="00E873EC">
        <w:t xml:space="preserve">. </w:t>
      </w:r>
    </w:p>
    <w:p w14:paraId="781E450F" w14:textId="20573D05" w:rsidR="00AD3ACB" w:rsidRDefault="00AD3ACB" w:rsidP="00AD3ACB">
      <w:r w:rsidRPr="00E873EC">
        <w:t xml:space="preserve">Moreno-Benito </w:t>
      </w:r>
      <w:r w:rsidRPr="00E873EC">
        <w:rPr>
          <w:i/>
          <w:iCs/>
        </w:rPr>
        <w:t xml:space="preserve">et al. </w:t>
      </w:r>
      <w:r w:rsidR="00C167DB">
        <w:rPr>
          <w:color w:val="000000"/>
        </w:rPr>
        <w:fldChar w:fldCharType="begin"/>
      </w:r>
      <w:r w:rsidR="00F715A1">
        <w:rPr>
          <w:color w:val="000000"/>
        </w:rPr>
        <w:instrText xml:space="preserve"> ADDIN EN.CITE &lt;EndNote&gt;&lt;Cite&gt;&lt;Author&gt;Moreno-Benito&lt;/Author&gt;&lt;Year&gt;2017&lt;/Year&gt;&lt;RecNum&gt;1098&lt;/RecNum&gt;&lt;DisplayText&gt;[33]&lt;/DisplayText&gt;&lt;record&gt;&lt;rec-number&gt;1098&lt;/rec-number&gt;&lt;foreign-keys&gt;&lt;key app="EN" db-id="w500zpaaheraz8epaw1p29dtf2ff9zrswv50" timestamp="1607697901"&gt;1098&lt;/key&gt;&lt;/foreign-keys&gt;&lt;ref-type name="Journal Article"&gt;17&lt;/ref-type&gt;&lt;contributors&gt;&lt;authors&gt;&lt;author&gt;Moreno-Benito, Marta&lt;/author&gt;&lt;author&gt;Agnolucci, Paolo&lt;/author&gt;&lt;author&gt;Papageorgiou, Lazaros G.&lt;/author&gt;&lt;/authors&gt;&lt;/contributors&gt;&lt;titles&gt;&lt;title&gt;Towards a sustainable hydrogen economy: Optimisation-based framework for hydrogen infrastructure development&lt;/title&gt;&lt;secondary-title&gt;Computers &amp;amp; Chemical Engineering&lt;/secondary-title&gt;&lt;/titles&gt;&lt;periodical&gt;&lt;full-title&gt;Computers &amp;amp; Chemical Engineering&lt;/full-title&gt;&lt;/periodical&gt;&lt;pages&gt;110-127&lt;/pages&gt;&lt;volume&gt;102&lt;/volume&gt;&lt;dates&gt;&lt;year&gt;2017&lt;/year&gt;&lt;/dates&gt;&lt;publisher&gt;Pergamon&lt;/publisher&gt;&lt;urls&gt;&lt;related-urls&gt;&lt;url&gt;https://www.sciencedirect.com/science/article/pii/S0098135416302666&lt;/url&gt;&lt;/related-urls&gt;&lt;pdf-urls&gt;&lt;url&gt;file://Users\David\Library\Application Support\Mendeley Desktop\Downloaded\Moreno-Benito, Agnolucci, Papageorgiou - 2017 - Towards a sustainable hydrogen economy Optimisation-based framework for hydrogen infrast.pdf&lt;/url&gt;&lt;/pdf-urls&gt;&lt;/urls&gt;&lt;electronic-resource-num&gt;10.1016/J.COMPCHEMENG.2016.08.005&lt;/electronic-resource-num&gt;&lt;/record&gt;&lt;/Cite&gt;&lt;/EndNote&gt;</w:instrText>
      </w:r>
      <w:r w:rsidR="00C167DB">
        <w:rPr>
          <w:color w:val="000000"/>
        </w:rPr>
        <w:fldChar w:fldCharType="separate"/>
      </w:r>
      <w:r w:rsidR="00F715A1">
        <w:rPr>
          <w:noProof/>
          <w:color w:val="000000"/>
        </w:rPr>
        <w:t>[</w:t>
      </w:r>
      <w:hyperlink w:anchor="_ENREF_33" w:tooltip="Moreno-Benito, 2017 #1098" w:history="1">
        <w:r w:rsidR="006210AE">
          <w:rPr>
            <w:noProof/>
            <w:color w:val="000000"/>
          </w:rPr>
          <w:t>33</w:t>
        </w:r>
      </w:hyperlink>
      <w:r w:rsidR="00F715A1">
        <w:rPr>
          <w:noProof/>
          <w:color w:val="000000"/>
        </w:rPr>
        <w:t>]</w:t>
      </w:r>
      <w:r w:rsidR="00C167DB">
        <w:rPr>
          <w:color w:val="000000"/>
        </w:rPr>
        <w:fldChar w:fldCharType="end"/>
      </w:r>
      <w:r w:rsidRPr="00E873EC">
        <w:rPr>
          <w:i/>
          <w:iCs/>
        </w:rPr>
        <w:t xml:space="preserve"> </w:t>
      </w:r>
      <w:r>
        <w:t xml:space="preserve">also took a similar approach and </w:t>
      </w:r>
      <w:r w:rsidRPr="00E873EC">
        <w:t>looked at an optimisation of a full hydrogen supply chain in the UK, with a temporal logistic diffusion model that reaches a 50% share of the market by 2070, and a spatial characterisation of both regional and local scale considerations.</w:t>
      </w:r>
      <w:r>
        <w:t xml:space="preserve"> The model takes into consideration tightening GHG emissions, as well as</w:t>
      </w:r>
      <w:r w:rsidRPr="00E873EC">
        <w:t xml:space="preserve"> </w:t>
      </w:r>
      <w:r>
        <w:t xml:space="preserve">being one of the first models to take </w:t>
      </w:r>
      <w:r w:rsidRPr="00E873EC">
        <w:t>into consideration the discounted cash flow</w:t>
      </w:r>
      <w:r>
        <w:t xml:space="preserve">; </w:t>
      </w:r>
      <w:r w:rsidRPr="00E873EC">
        <w:t>residual value of the infrastructure</w:t>
      </w:r>
      <w:r>
        <w:t xml:space="preserve"> and inclusion of Carbon Capture and Storage technologies</w:t>
      </w:r>
      <w:r w:rsidRPr="00E873EC">
        <w:t>.</w:t>
      </w:r>
    </w:p>
    <w:p w14:paraId="035C53C5" w14:textId="46A21CAB" w:rsidR="0039399C" w:rsidRDefault="00AC56BB" w:rsidP="00AD3ACB">
      <w:r>
        <w:t xml:space="preserve">Ochoa et al. </w:t>
      </w:r>
      <w:r>
        <w:fldChar w:fldCharType="begin"/>
      </w:r>
      <w:r w:rsidR="00F715A1">
        <w:instrText xml:space="preserve"> ADDIN EN.CITE &lt;EndNote&gt;&lt;Cite&gt;&lt;Author&gt;Ochoa&lt;/Author&gt;&lt;Year&gt;2020&lt;/Year&gt;&lt;RecNum&gt;1334&lt;/RecNum&gt;&lt;DisplayText&gt;[34]&lt;/DisplayText&gt;&lt;record&gt;&lt;rec-number&gt;1334&lt;/rec-number&gt;&lt;foreign-keys&gt;&lt;key app="EN" db-id="w500zpaaheraz8epaw1p29dtf2ff9zrswv50" timestamp="1612993949"&gt;1334&lt;/key&gt;&lt;/foreign-keys&gt;&lt;ref-type name="Journal Article"&gt;17&lt;/ref-type&gt;&lt;contributors&gt;&lt;authors&gt;&lt;author&gt;Ochoa, Jesus &lt;/author&gt;&lt;author&gt;Azzaro-Pantel, Catherine&lt;/author&gt;&lt;author&gt;Aguilar-Lasserre, Alberto&lt;/author&gt;&lt;/authors&gt;&lt;/contributors&gt;&lt;titles&gt;&lt;title&gt;Optimization of a hydrogen supply chain network design under demand uncertainty by multi-objective genetic algorithms&lt;/title&gt;&lt;secondary-title&gt;Computers &amp;amp; Chemical Engineering&lt;/secondary-title&gt;&lt;/titles&gt;&lt;periodical&gt;&lt;full-title&gt;Computers &amp;amp; Chemical Engineering&lt;/full-title&gt;&lt;/periodical&gt;&lt;pages&gt;106853&lt;/pages&gt;&lt;volume&gt;140&lt;/volume&gt;&lt;keywords&gt;&lt;keyword&gt;Hydrogen supply chain&lt;/keyword&gt;&lt;keyword&gt;Multiobjective optimization&lt;/keyword&gt;&lt;keyword&gt;Genetic algorithm&lt;/keyword&gt;&lt;keyword&gt;Fuzzy techniques&lt;/keyword&gt;&lt;keyword&gt;TOPSIS&lt;/keyword&gt;&lt;/keywords&gt;&lt;dates&gt;&lt;year&gt;2020&lt;/year&gt;&lt;pub-dates&gt;&lt;date&gt;2020/09/02/&lt;/date&gt;&lt;/pub-dates&gt;&lt;/dates&gt;&lt;isbn&gt;0098-1354&lt;/isbn&gt;&lt;urls&gt;&lt;related-urls&gt;&lt;url&gt;https://www.sciencedirect.com/science/article/pii/S0098135419307161&lt;/url&gt;&lt;/related-urls&gt;&lt;/urls&gt;&lt;electronic-resource-num&gt;https://doi.org/10.1016/j.compchemeng.2020.106853&lt;/electronic-resource-num&gt;&lt;/record&gt;&lt;/Cite&gt;&lt;/EndNote&gt;</w:instrText>
      </w:r>
      <w:r>
        <w:fldChar w:fldCharType="separate"/>
      </w:r>
      <w:r w:rsidR="00F715A1">
        <w:rPr>
          <w:noProof/>
        </w:rPr>
        <w:t>[</w:t>
      </w:r>
      <w:hyperlink w:anchor="_ENREF_34" w:tooltip="Ochoa, 2020 #1334" w:history="1">
        <w:r w:rsidR="006210AE">
          <w:rPr>
            <w:noProof/>
          </w:rPr>
          <w:t>34</w:t>
        </w:r>
      </w:hyperlink>
      <w:r w:rsidR="00F715A1">
        <w:rPr>
          <w:noProof/>
        </w:rPr>
        <w:t>]</w:t>
      </w:r>
      <w:r>
        <w:fldChar w:fldCharType="end"/>
      </w:r>
      <w:r>
        <w:t xml:space="preserve"> develop</w:t>
      </w:r>
      <w:r w:rsidR="00A55627">
        <w:t>ed</w:t>
      </w:r>
      <w:r>
        <w:t xml:space="preserve"> a hydrogen supply chain model for hydrogen for the transport sector in Occitania, France, using a multi-objective formulation, which includes costs, carbon emissions, and risk, under demand uncertainty. Fazli-Khalaf et al. </w:t>
      </w:r>
      <w:r>
        <w:fldChar w:fldCharType="begin"/>
      </w:r>
      <w:r w:rsidR="00F715A1">
        <w:instrText xml:space="preserve"> ADDIN EN.CITE &lt;EndNote&gt;&lt;Cite&gt;&lt;Author&gt;Fazli-Khalaf&lt;/Author&gt;&lt;Year&gt;2020&lt;/Year&gt;&lt;RecNum&gt;1348&lt;/RecNum&gt;&lt;DisplayText&gt;[35]&lt;/DisplayText&gt;&lt;record&gt;&lt;rec-number&gt;1348&lt;/rec-number&gt;&lt;foreign-keys&gt;&lt;key app="EN" db-id="w500zpaaheraz8epaw1p29dtf2ff9zrswv50" timestamp="1617812546"&gt;1348&lt;/key&gt;&lt;/foreign-keys&gt;&lt;ref-type name="Journal Article"&gt;17&lt;/ref-type&gt;&lt;contributors&gt;&lt;authors&gt;&lt;author&gt;Fazli-Khalaf, Mohamadreza&lt;/author&gt;&lt;author&gt;Naderi, Bahman&lt;/author&gt;&lt;author&gt;Mohammadi, Mohammad&lt;/author&gt;&lt;author&gt;Pishvaee, Mir Saman&lt;/author&gt;&lt;/authors&gt;&lt;/contributors&gt;&lt;titles&gt;&lt;title&gt;Design of a sustainable and reliable hydrogen supply chain network under mixed uncertainties: A case study&lt;/title&gt;&lt;secondary-title&gt;International Journal of Hydrogen Energy&lt;/secondary-title&gt;&lt;/titles&gt;&lt;periodical&gt;&lt;full-title&gt;International Journal of Hydrogen Energy&lt;/full-title&gt;&lt;/periodical&gt;&lt;pages&gt;34503-34531&lt;/pages&gt;&lt;volume&gt;45&lt;/volume&gt;&lt;number&gt;59&lt;/number&gt;&lt;keywords&gt;&lt;keyword&gt;Hydrogen supply chain&lt;/keyword&gt;&lt;keyword&gt;Sustainability&lt;/keyword&gt;&lt;keyword&gt;Reliability&lt;/keyword&gt;&lt;keyword&gt;Uncertainty&lt;/keyword&gt;&lt;/keywords&gt;&lt;dates&gt;&lt;year&gt;2020&lt;/year&gt;&lt;pub-dates&gt;&lt;date&gt;2020/12/04/&lt;/date&gt;&lt;/pub-dates&gt;&lt;/dates&gt;&lt;isbn&gt;0360-3199&lt;/isbn&gt;&lt;urls&gt;&lt;related-urls&gt;&lt;url&gt;https://www.sciencedirect.com/science/article/pii/S0360319920321339&lt;/url&gt;&lt;/related-urls&gt;&lt;/urls&gt;&lt;electronic-resource-num&gt;https://doi.org/10.1016/j.ijhydene.2020.05.276&lt;/electronic-resource-num&gt;&lt;/record&gt;&lt;/Cite&gt;&lt;/EndNote&gt;</w:instrText>
      </w:r>
      <w:r>
        <w:fldChar w:fldCharType="separate"/>
      </w:r>
      <w:r w:rsidR="00F715A1">
        <w:rPr>
          <w:noProof/>
        </w:rPr>
        <w:t>[</w:t>
      </w:r>
      <w:hyperlink w:anchor="_ENREF_35" w:tooltip="Fazli-Khalaf, 2020 #1348" w:history="1">
        <w:r w:rsidR="006210AE">
          <w:rPr>
            <w:noProof/>
          </w:rPr>
          <w:t>35</w:t>
        </w:r>
      </w:hyperlink>
      <w:r w:rsidR="00F715A1">
        <w:rPr>
          <w:noProof/>
        </w:rPr>
        <w:t>]</w:t>
      </w:r>
      <w:r>
        <w:fldChar w:fldCharType="end"/>
      </w:r>
      <w:r>
        <w:t xml:space="preserve"> develop</w:t>
      </w:r>
      <w:r w:rsidR="00A55627">
        <w:t>ed</w:t>
      </w:r>
      <w:r>
        <w:t xml:space="preserve"> a mixed probabilistic programming method to account for mixed uncertainties in hydrogen supply chain inputs, adding metrics for reliability and social responsibility. </w:t>
      </w:r>
      <w:r w:rsidR="00CB5708">
        <w:t xml:space="preserve">Ehrenstein et al. </w:t>
      </w:r>
      <w:r w:rsidR="00F715A1">
        <w:fldChar w:fldCharType="begin"/>
      </w:r>
      <w:r w:rsidR="00F715A1">
        <w:instrText xml:space="preserve"> ADDIN EN.CITE &lt;EndNote&gt;&lt;Cite&gt;&lt;Author&gt;Ehrenstein&lt;/Author&gt;&lt;Year&gt;2020&lt;/Year&gt;&lt;RecNum&gt;1378&lt;/RecNum&gt;&lt;DisplayText&gt;[36]&lt;/DisplayText&gt;&lt;record&gt;&lt;rec-number&gt;1378&lt;/rec-number&gt;&lt;foreign-keys&gt;&lt;key app="EN" db-id="w500zpaaheraz8epaw1p29dtf2ff9zrswv50" timestamp="1622835485"&gt;1378&lt;/key&gt;&lt;/foreign-keys&gt;&lt;ref-type name="Journal Article"&gt;17&lt;/ref-type&gt;&lt;contributors&gt;&lt;authors&gt;&lt;author&gt;Ehrenstein, Michael&lt;/author&gt;&lt;author&gt;Galán-Martín, Ángel&lt;/author&gt;&lt;author&gt;Tulus, Victor&lt;/author&gt;&lt;author&gt;Guillén-Gosálbez, Gonzalo&lt;/author&gt;&lt;/authors&gt;&lt;/contributors&gt;&lt;titles&gt;&lt;title&gt;Optimising fuel supply chains within planetary boundaries: A case study of hydrogen for road transport in the UK&lt;/title&gt;&lt;secondary-title&gt;Applied Energy&lt;/secondary-title&gt;&lt;/titles&gt;&lt;periodical&gt;&lt;full-title&gt;Applied Energy&lt;/full-title&gt;&lt;/periodical&gt;&lt;pages&gt;115486&lt;/pages&gt;&lt;volume&gt;276&lt;/volume&gt;&lt;keywords&gt;&lt;keyword&gt;Hydrogen&lt;/keyword&gt;&lt;keyword&gt;Transport&lt;/keyword&gt;&lt;keyword&gt;Planetary boundaries&lt;/keyword&gt;&lt;keyword&gt;Supply chain&lt;/keyword&gt;&lt;keyword&gt;Optimisation&lt;/keyword&gt;&lt;/keywords&gt;&lt;dates&gt;&lt;year&gt;2020&lt;/year&gt;&lt;pub-dates&gt;&lt;date&gt;2020/10/15/&lt;/date&gt;&lt;/pub-dates&gt;&lt;/dates&gt;&lt;isbn&gt;0306-2619&lt;/isbn&gt;&lt;urls&gt;&lt;related-urls&gt;&lt;url&gt;https://www.sciencedirect.com/science/article/pii/S0306261920309983&lt;/url&gt;&lt;/related-urls&gt;&lt;/urls&gt;&lt;electronic-resource-num&gt;https://doi.org/10.1016/j.apenergy.2020.115486&lt;/electronic-resource-num&gt;&lt;/record&gt;&lt;/Cite&gt;&lt;/EndNote&gt;</w:instrText>
      </w:r>
      <w:r w:rsidR="00F715A1">
        <w:fldChar w:fldCharType="separate"/>
      </w:r>
      <w:r w:rsidR="00F715A1">
        <w:rPr>
          <w:noProof/>
        </w:rPr>
        <w:t>[</w:t>
      </w:r>
      <w:hyperlink w:anchor="_ENREF_36" w:tooltip="Ehrenstein, 2020 #1378" w:history="1">
        <w:r w:rsidR="006210AE">
          <w:rPr>
            <w:noProof/>
          </w:rPr>
          <w:t>36</w:t>
        </w:r>
      </w:hyperlink>
      <w:r w:rsidR="00F715A1">
        <w:rPr>
          <w:noProof/>
        </w:rPr>
        <w:t>]</w:t>
      </w:r>
      <w:r w:rsidR="00F715A1">
        <w:fldChar w:fldCharType="end"/>
      </w:r>
      <w:r w:rsidR="00F715A1">
        <w:t xml:space="preserve"> </w:t>
      </w:r>
      <w:r w:rsidR="00CB5708">
        <w:t>took the aspect of including environmental impact</w:t>
      </w:r>
      <w:r w:rsidR="00192FE7">
        <w:t>s</w:t>
      </w:r>
      <w:r w:rsidR="00CB5708">
        <w:t xml:space="preserve"> into the model a step further</w:t>
      </w:r>
      <w:r w:rsidR="00192FE7">
        <w:t>,</w:t>
      </w:r>
      <w:r w:rsidR="00CB5708">
        <w:t xml:space="preserve"> apply</w:t>
      </w:r>
      <w:r w:rsidR="00192FE7">
        <w:t>ing</w:t>
      </w:r>
      <w:r w:rsidR="00CB5708">
        <w:t xml:space="preserve"> the optimisation supply chain model of Almansoori and Shah</w:t>
      </w:r>
      <w:r w:rsidR="003C7F9A">
        <w:t xml:space="preserve"> </w:t>
      </w:r>
      <w:r w:rsidR="003C7F9A">
        <w:fldChar w:fldCharType="begin"/>
      </w:r>
      <w:r w:rsidR="003C7F9A">
        <w:instrText xml:space="preserve"> ADDIN EN.CITE &lt;EndNote&gt;&lt;Cite&gt;&lt;Author&gt;Almansoori&lt;/Author&gt;&lt;Year&gt;2006&lt;/Year&gt;&lt;RecNum&gt;1065&lt;/RecNum&gt;&lt;DisplayText&gt;[16]&lt;/DisplayText&gt;&lt;record&gt;&lt;rec-number&gt;1065&lt;/rec-number&gt;&lt;foreign-keys&gt;&lt;key app="EN" db-id="w500zpaaheraz8epaw1p29dtf2ff9zrswv50" timestamp="1607697901"&gt;1065&lt;/key&gt;&lt;/foreign-keys&gt;&lt;ref-type name="Journal Article"&gt;17&lt;/ref-type&gt;&lt;contributors&gt;&lt;authors&gt;&lt;author&gt;Almansoori, A.&lt;/author&gt;&lt;author&gt;Shah, N.&lt;/author&gt;&lt;/authors&gt;&lt;/contributors&gt;&lt;titles&gt;&lt;title&gt;Design and operation of a future hydrogen supply chain: Snapshot model&lt;/title&gt;&lt;secondary-title&gt;Chemical Engineering Research and Design&lt;/secondary-title&gt;&lt;/titles&gt;&lt;periodical&gt;&lt;full-title&gt;Chemical Engineering Research and Design&lt;/full-title&gt;&lt;/periodical&gt;&lt;pages&gt;423-438&lt;/pages&gt;&lt;volume&gt;84&lt;/volume&gt;&lt;number&gt;6 A&lt;/number&gt;&lt;keywords&gt;&lt;keyword&gt;Great Britain&lt;/keyword&gt;&lt;keyword&gt;Hydrogen&lt;/keyword&gt;&lt;keyword&gt;MILP&lt;/keyword&gt;&lt;keyword&gt;Supply chain network design&lt;/keyword&gt;&lt;/keywords&gt;&lt;dates&gt;&lt;year&gt;2006&lt;/year&gt;&lt;/dates&gt;&lt;urls&gt;&lt;pdf-urls&gt;&lt;url&gt;file://Users\David\Library\Application Support\Mendeley Desktop\Downloaded\Almansoori, Shah - 2006 - Design and operation of a future hydrogen supply chain Snapshot model.pdf&lt;/url&gt;&lt;/pdf-urls&gt;&lt;/urls&gt;&lt;electronic-resource-num&gt;10.1205/cherd.05193&lt;/electronic-resource-num&gt;&lt;/record&gt;&lt;/Cite&gt;&lt;/EndNote&gt;</w:instrText>
      </w:r>
      <w:r w:rsidR="003C7F9A">
        <w:fldChar w:fldCharType="separate"/>
      </w:r>
      <w:r w:rsidR="003C7F9A">
        <w:rPr>
          <w:noProof/>
        </w:rPr>
        <w:t>[</w:t>
      </w:r>
      <w:hyperlink w:anchor="_ENREF_16" w:tooltip="Almansoori, 2006 #1065" w:history="1">
        <w:r w:rsidR="006210AE">
          <w:rPr>
            <w:noProof/>
          </w:rPr>
          <w:t>16</w:t>
        </w:r>
      </w:hyperlink>
      <w:r w:rsidR="003C7F9A">
        <w:rPr>
          <w:noProof/>
        </w:rPr>
        <w:t>]</w:t>
      </w:r>
      <w:r w:rsidR="003C7F9A">
        <w:fldChar w:fldCharType="end"/>
      </w:r>
      <w:r w:rsidR="00CB5708">
        <w:t xml:space="preserve"> to the concept of planetary boundaries; a set of biophysical limits critical for the safe operation of the plan</w:t>
      </w:r>
      <w:r w:rsidR="00F715A1">
        <w:t>e</w:t>
      </w:r>
      <w:r w:rsidR="00CB5708">
        <w:t>t. This allowed them to run a wide set of scenarios to identify the wider scale financial and large</w:t>
      </w:r>
      <w:r w:rsidR="00F715A1">
        <w:t>-</w:t>
      </w:r>
      <w:r w:rsidR="00CB5708">
        <w:t xml:space="preserve">scale environmental impacts from </w:t>
      </w:r>
      <w:r w:rsidR="00F715A1">
        <w:t xml:space="preserve">hydrogen supply chain </w:t>
      </w:r>
      <w:r w:rsidR="00CB5708">
        <w:t xml:space="preserve">design configurations. </w:t>
      </w:r>
      <w:r w:rsidR="0039399C">
        <w:t xml:space="preserve">Finally, Cantú et al. </w:t>
      </w:r>
      <w:r w:rsidR="003C7F9A">
        <w:fldChar w:fldCharType="begin"/>
      </w:r>
      <w:r w:rsidR="003C7F9A">
        <w:instrText xml:space="preserve"> ADDIN EN.CITE &lt;EndNote&gt;&lt;Cite&gt;&lt;Author&gt;Cantú&lt;/Author&gt;&lt;Year&gt;2021&lt;/Year&gt;&lt;RecNum&gt;1379&lt;/RecNum&gt;&lt;DisplayText&gt;[37]&lt;/DisplayText&gt;&lt;record&gt;&lt;rec-number&gt;1379&lt;/rec-number&gt;&lt;foreign-keys&gt;&lt;key app="EN" db-id="w500zpaaheraz8epaw1p29dtf2ff9zrswv50" timestamp="1622835912"&gt;1379&lt;/key&gt;&lt;/foreign-keys&gt;&lt;ref-type name="Journal Article"&gt;17&lt;/ref-type&gt;&lt;contributors&gt;&lt;authors&gt;&lt;author&gt;Cantú, Victor H.&lt;/author&gt;&lt;author&gt;Azzaro-Pantel, Catherine&lt;/author&gt;&lt;author&gt;Ponsich, Antonin&lt;/author&gt;&lt;/authors&gt;&lt;/contributors&gt;&lt;titles&gt;&lt;title&gt;A Novel Matheuristic based on bi-level optimization for the multi-Objective design of hydrogen supply chains&lt;/title&gt;&lt;secondary-title&gt;Computers &amp;amp; Chemical Engineering&lt;/secondary-title&gt;&lt;/titles&gt;&lt;periodical&gt;&lt;full-title&gt;Computers &amp;amp; Chemical Engineering&lt;/full-title&gt;&lt;/periodical&gt;&lt;pages&gt;107370&lt;/pages&gt;&lt;volume&gt;152&lt;/volume&gt;&lt;dates&gt;&lt;year&gt;2021&lt;/year&gt;&lt;pub-dates&gt;&lt;date&gt;2021/09/01/&lt;/date&gt;&lt;/pub-dates&gt;&lt;/dates&gt;&lt;isbn&gt;0098-1354&lt;/isbn&gt;&lt;urls&gt;&lt;related-urls&gt;&lt;url&gt;https://www.sciencedirect.com/science/article/pii/S0098135421001484&lt;/url&gt;&lt;/related-urls&gt;&lt;/urls&gt;&lt;electronic-resource-num&gt;https://doi.org/10.1016/j.compchemeng.2021.107370&lt;/electronic-resource-num&gt;&lt;/record&gt;&lt;/Cite&gt;&lt;/EndNote&gt;</w:instrText>
      </w:r>
      <w:r w:rsidR="003C7F9A">
        <w:fldChar w:fldCharType="separate"/>
      </w:r>
      <w:r w:rsidR="003C7F9A">
        <w:rPr>
          <w:noProof/>
        </w:rPr>
        <w:t>[</w:t>
      </w:r>
      <w:hyperlink w:anchor="_ENREF_37" w:tooltip="Cantú, 2021 #1379" w:history="1">
        <w:r w:rsidR="006210AE">
          <w:rPr>
            <w:noProof/>
          </w:rPr>
          <w:t>37</w:t>
        </w:r>
      </w:hyperlink>
      <w:r w:rsidR="003C7F9A">
        <w:rPr>
          <w:noProof/>
        </w:rPr>
        <w:t>]</w:t>
      </w:r>
      <w:r w:rsidR="003C7F9A">
        <w:fldChar w:fldCharType="end"/>
      </w:r>
      <w:r w:rsidR="003C7F9A">
        <w:t xml:space="preserve"> </w:t>
      </w:r>
      <w:r w:rsidR="0039399C">
        <w:t>took the model from Almansoori and Shah</w:t>
      </w:r>
      <w:r w:rsidR="003C7F9A">
        <w:t xml:space="preserve"> </w:t>
      </w:r>
      <w:r w:rsidR="003C7F9A">
        <w:fldChar w:fldCharType="begin"/>
      </w:r>
      <w:r w:rsidR="003C7F9A">
        <w:instrText xml:space="preserve"> ADDIN EN.CITE &lt;EndNote&gt;&lt;Cite&gt;&lt;Author&gt;Almansoori&lt;/Author&gt;&lt;Year&gt;2006&lt;/Year&gt;&lt;RecNum&gt;1065&lt;/RecNum&gt;&lt;DisplayText&gt;[16]&lt;/DisplayText&gt;&lt;record&gt;&lt;rec-number&gt;1065&lt;/rec-number&gt;&lt;foreign-keys&gt;&lt;key app="EN" db-id="w500zpaaheraz8epaw1p29dtf2ff9zrswv50" timestamp="1607697901"&gt;1065&lt;/key&gt;&lt;/foreign-keys&gt;&lt;ref-type name="Journal Article"&gt;17&lt;/ref-type&gt;&lt;contributors&gt;&lt;authors&gt;&lt;author&gt;Almansoori, A.&lt;/author&gt;&lt;author&gt;Shah, N.&lt;/author&gt;&lt;/authors&gt;&lt;/contributors&gt;&lt;titles&gt;&lt;title&gt;Design and operation of a future hydrogen supply chain: Snapshot model&lt;/title&gt;&lt;secondary-title&gt;Chemical Engineering Research and Design&lt;/secondary-title&gt;&lt;/titles&gt;&lt;periodical&gt;&lt;full-title&gt;Chemical Engineering Research and Design&lt;/full-title&gt;&lt;/periodical&gt;&lt;pages&gt;423-438&lt;/pages&gt;&lt;volume&gt;84&lt;/volume&gt;&lt;number&gt;6 A&lt;/number&gt;&lt;keywords&gt;&lt;keyword&gt;Great Britain&lt;/keyword&gt;&lt;keyword&gt;Hydrogen&lt;/keyword&gt;&lt;keyword&gt;MILP&lt;/keyword&gt;&lt;keyword&gt;Supply chain network design&lt;/keyword&gt;&lt;/keywords&gt;&lt;dates&gt;&lt;year&gt;2006&lt;/year&gt;&lt;/dates&gt;&lt;urls&gt;&lt;pdf-urls&gt;&lt;url&gt;file://Users\David\Library\Application Support\Mendeley Desktop\Downloaded\Almansoori, Shah - 2006 - Design and operation of a future hydrogen supply chain Snapshot model.pdf&lt;/url&gt;&lt;/pdf-urls&gt;&lt;/urls&gt;&lt;electronic-resource-num&gt;10.1205/cherd.05193&lt;/electronic-resource-num&gt;&lt;/record&gt;&lt;/Cite&gt;&lt;/EndNote&gt;</w:instrText>
      </w:r>
      <w:r w:rsidR="003C7F9A">
        <w:fldChar w:fldCharType="separate"/>
      </w:r>
      <w:r w:rsidR="003C7F9A">
        <w:rPr>
          <w:noProof/>
        </w:rPr>
        <w:t>[</w:t>
      </w:r>
      <w:hyperlink w:anchor="_ENREF_16" w:tooltip="Almansoori, 2006 #1065" w:history="1">
        <w:r w:rsidR="006210AE">
          <w:rPr>
            <w:noProof/>
          </w:rPr>
          <w:t>16</w:t>
        </w:r>
      </w:hyperlink>
      <w:r w:rsidR="003C7F9A">
        <w:rPr>
          <w:noProof/>
        </w:rPr>
        <w:t>]</w:t>
      </w:r>
      <w:r w:rsidR="003C7F9A">
        <w:fldChar w:fldCharType="end"/>
      </w:r>
      <w:r w:rsidR="0039399C">
        <w:t xml:space="preserve"> and applied a more efficient tool for the design of sustainable hydrogen supply chains considering both economic and environmental factors. This </w:t>
      </w:r>
      <w:r w:rsidR="0034595D">
        <w:t>study propose</w:t>
      </w:r>
      <w:r w:rsidR="00192FE7">
        <w:t>s</w:t>
      </w:r>
      <w:r w:rsidR="0034595D">
        <w:t xml:space="preserve"> a </w:t>
      </w:r>
      <w:r w:rsidR="00931969">
        <w:t xml:space="preserve">hybrid </w:t>
      </w:r>
      <w:r w:rsidR="0034595D">
        <w:t xml:space="preserve">solution strategy that </w:t>
      </w:r>
      <w:r w:rsidR="00CD56CA">
        <w:t xml:space="preserve">reformulates the </w:t>
      </w:r>
      <w:r w:rsidR="00B72D85">
        <w:t>original</w:t>
      </w:r>
      <w:r w:rsidR="00CD56CA">
        <w:t xml:space="preserve"> problem </w:t>
      </w:r>
      <w:r w:rsidR="00B72D85">
        <w:t>into a bi-level optimisation problem</w:t>
      </w:r>
      <w:r w:rsidR="00192FE7">
        <w:t>.</w:t>
      </w:r>
      <w:r w:rsidR="00B72D85">
        <w:t xml:space="preserve"> </w:t>
      </w:r>
      <w:r w:rsidR="00192FE7">
        <w:t>T</w:t>
      </w:r>
      <w:r w:rsidR="00B72D85">
        <w:t>he upper level (</w:t>
      </w:r>
      <w:r w:rsidR="00BB0766">
        <w:t>discrete</w:t>
      </w:r>
      <w:r w:rsidR="00B72D85">
        <w:t xml:space="preserve"> problem) consists of finding the optimal location for production plants and storage facilities, whereas the lower level (continuous problem) minimi</w:t>
      </w:r>
      <w:r w:rsidR="003C7F9A">
        <w:t>s</w:t>
      </w:r>
      <w:r w:rsidR="00B72D85">
        <w:t>es their corresponding costs</w:t>
      </w:r>
      <w:r w:rsidR="00931969">
        <w:t xml:space="preserve">. The results show </w:t>
      </w:r>
      <w:r w:rsidR="00BB0766">
        <w:t>that the proposed hybrid approach produces an accurate approximation of the Pareto-optimal fronts more efficiently than the exact solution approach.</w:t>
      </w:r>
    </w:p>
    <w:p w14:paraId="3C4C3BAC" w14:textId="53A440E4" w:rsidR="00AD3ACB" w:rsidRPr="00E873EC" w:rsidRDefault="00AD3ACB" w:rsidP="00AD3ACB">
      <w:pPr>
        <w:sectPr w:rsidR="00AD3ACB" w:rsidRPr="00E873EC" w:rsidSect="00132575">
          <w:pgSz w:w="11906" w:h="16838"/>
          <w:pgMar w:top="1440" w:right="1440" w:bottom="1440" w:left="1440" w:header="708" w:footer="708" w:gutter="0"/>
          <w:pgNumType w:start="1"/>
          <w:cols w:space="708"/>
          <w:docGrid w:linePitch="360"/>
        </w:sectPr>
      </w:pPr>
      <w:r>
        <w:t xml:space="preserve">There are abundant hydrogen supply chain models developed and all have come far from the original developed by </w:t>
      </w:r>
      <w:r w:rsidRPr="006270DB">
        <w:rPr>
          <w:noProof/>
        </w:rPr>
        <w:t>Almansoori and Shah</w:t>
      </w:r>
      <w:r w:rsidR="00024EC3">
        <w:rPr>
          <w:noProof/>
        </w:rPr>
        <w:t xml:space="preserve"> </w:t>
      </w:r>
      <w:r w:rsidR="00C167DB">
        <w:rPr>
          <w:noProof/>
        </w:rPr>
        <w:fldChar w:fldCharType="begin"/>
      </w:r>
      <w:r w:rsidR="00AA243F">
        <w:rPr>
          <w:noProof/>
        </w:rPr>
        <w:instrText xml:space="preserve"> ADDIN EN.CITE &lt;EndNote&gt;&lt;Cite&gt;&lt;Author&gt;Almansoori&lt;/Author&gt;&lt;Year&gt;2006&lt;/Year&gt;&lt;RecNum&gt;1065&lt;/RecNum&gt;&lt;DisplayText&gt;[16]&lt;/DisplayText&gt;&lt;record&gt;&lt;rec-number&gt;1065&lt;/rec-number&gt;&lt;foreign-keys&gt;&lt;key app="EN" db-id="w500zpaaheraz8epaw1p29dtf2ff9zrswv50" timestamp="1607697901"&gt;1065&lt;/key&gt;&lt;/foreign-keys&gt;&lt;ref-type name="Journal Article"&gt;17&lt;/ref-type&gt;&lt;contributors&gt;&lt;authors&gt;&lt;author&gt;Almansoori, A.&lt;/author&gt;&lt;author&gt;Shah, N.&lt;/author&gt;&lt;/authors&gt;&lt;/contributors&gt;&lt;titles&gt;&lt;title&gt;Design and operation of a future hydrogen supply chain: Snapshot model&lt;/title&gt;&lt;secondary-title&gt;Chemical Engineering Research and Design&lt;/secondary-title&gt;&lt;/titles&gt;&lt;periodical&gt;&lt;full-title&gt;Chemical Engineering Research and Design&lt;/full-title&gt;&lt;/periodical&gt;&lt;pages&gt;423-438&lt;/pages&gt;&lt;volume&gt;84&lt;/volume&gt;&lt;number&gt;6 A&lt;/number&gt;&lt;keywords&gt;&lt;keyword&gt;Great Britain&lt;/keyword&gt;&lt;keyword&gt;Hydrogen&lt;/keyword&gt;&lt;keyword&gt;MILP&lt;/keyword&gt;&lt;keyword&gt;Supply chain network design&lt;/keyword&gt;&lt;/keywords&gt;&lt;dates&gt;&lt;year&gt;2006&lt;/year&gt;&lt;/dates&gt;&lt;urls&gt;&lt;pdf-urls&gt;&lt;url&gt;file://Users\David\Library\Application Support\Mendeley Desktop\Downloaded\Almansoori, Shah - 2006 - Design and operation of a future hydrogen supply chain Snapshot model.pdf&lt;/url&gt;&lt;/pdf-urls&gt;&lt;/urls&gt;&lt;electronic-resource-num&gt;10.1205/cherd.05193&lt;/electronic-resource-num&gt;&lt;/record&gt;&lt;/Cite&gt;&lt;/EndNote&gt;</w:instrText>
      </w:r>
      <w:r w:rsidR="00C167DB">
        <w:rPr>
          <w:noProof/>
        </w:rPr>
        <w:fldChar w:fldCharType="separate"/>
      </w:r>
      <w:r w:rsidR="00AA243F">
        <w:rPr>
          <w:noProof/>
        </w:rPr>
        <w:t>[</w:t>
      </w:r>
      <w:hyperlink w:anchor="_ENREF_16" w:tooltip="Almansoori, 2006 #1065" w:history="1">
        <w:r w:rsidR="006210AE">
          <w:rPr>
            <w:noProof/>
          </w:rPr>
          <w:t>16</w:t>
        </w:r>
      </w:hyperlink>
      <w:r w:rsidR="00AA243F">
        <w:rPr>
          <w:noProof/>
        </w:rPr>
        <w:t>]</w:t>
      </w:r>
      <w:r w:rsidR="00C167DB">
        <w:rPr>
          <w:noProof/>
        </w:rPr>
        <w:fldChar w:fldCharType="end"/>
      </w:r>
      <w:r>
        <w:t xml:space="preserve"> - taking into account a wide range of technologies  and applying various different methodologies. Up until now, they all have included the main components of Production, Transportation (sometimes split into Transmission and Distribution), Storage, and Hydrogen Refuelling Stations, neglecting the inclusion of hydrogen separation/purification technologies into the methodology and development of the supply chain model. </w:t>
      </w:r>
      <w:r w:rsidRPr="00E873EC">
        <w:fldChar w:fldCharType="begin"/>
      </w:r>
      <w:r w:rsidRPr="00E873EC">
        <w:instrText xml:space="preserve"> REF _Ref32217774 \h  \* MERGEFORMAT </w:instrText>
      </w:r>
      <w:r w:rsidRPr="00E873EC">
        <w:fldChar w:fldCharType="separate"/>
      </w:r>
      <w:r w:rsidR="005851DD" w:rsidRPr="00E873EC">
        <w:t xml:space="preserve">Table </w:t>
      </w:r>
      <w:r w:rsidR="005851DD">
        <w:t>2</w:t>
      </w:r>
      <w:r w:rsidRPr="00E873EC">
        <w:fldChar w:fldCharType="end"/>
      </w:r>
      <w:r w:rsidRPr="00E873EC">
        <w:t xml:space="preserve"> summarises the main features of the models reviewed, </w:t>
      </w:r>
      <w:r>
        <w:t>breaking them down into the specific characteristics of each of the models and their methodologies, as well as highlighting the lack of inclusion of hydrogen purity and separation/purification technologies</w:t>
      </w:r>
      <w:r w:rsidRPr="00E873EC">
        <w:t xml:space="preserve">. </w:t>
      </w:r>
      <w:bookmarkEnd w:id="12"/>
    </w:p>
    <w:p w14:paraId="539A0CA0" w14:textId="60083C0A" w:rsidR="00AD3ACB" w:rsidRPr="00E873EC" w:rsidRDefault="00AD3ACB" w:rsidP="006916CC">
      <w:pPr>
        <w:pStyle w:val="Caption"/>
        <w:spacing w:after="120"/>
      </w:pPr>
      <w:bookmarkStart w:id="13" w:name="_Ref32217774"/>
      <w:bookmarkStart w:id="14" w:name="_Toc50359146"/>
      <w:r w:rsidRPr="00E873EC">
        <w:lastRenderedPageBreak/>
        <w:t xml:space="preserve">Table </w:t>
      </w:r>
      <w:fldSimple w:instr=" SEQ Table \* ARABIC ">
        <w:r w:rsidR="005851DD">
          <w:rPr>
            <w:noProof/>
          </w:rPr>
          <w:t>2</w:t>
        </w:r>
      </w:fldSimple>
      <w:bookmarkEnd w:id="13"/>
      <w:r w:rsidRPr="00E873EC">
        <w:t>: Summary of hydrogen supply chain model features.</w:t>
      </w:r>
      <w:bookmarkEnd w:id="14"/>
    </w:p>
    <w:tbl>
      <w:tblPr>
        <w:tblStyle w:val="PlainTable21"/>
        <w:tblW w:w="15623" w:type="dxa"/>
        <w:tblLook w:val="04A0" w:firstRow="1" w:lastRow="0" w:firstColumn="1" w:lastColumn="0" w:noHBand="0" w:noVBand="1"/>
      </w:tblPr>
      <w:tblGrid>
        <w:gridCol w:w="1107"/>
        <w:gridCol w:w="1353"/>
        <w:gridCol w:w="3702"/>
        <w:gridCol w:w="2869"/>
        <w:gridCol w:w="3907"/>
        <w:gridCol w:w="1506"/>
        <w:gridCol w:w="1179"/>
      </w:tblGrid>
      <w:tr w:rsidR="003C7F9A" w:rsidRPr="00E873EC" w14:paraId="72A71EE6" w14:textId="77777777" w:rsidTr="003C7F9A">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hideMark/>
          </w:tcPr>
          <w:p w14:paraId="57E3397B" w14:textId="77777777" w:rsidR="00AD3ACB" w:rsidRPr="00E873EC" w:rsidRDefault="00AD3ACB" w:rsidP="00132575">
            <w:pPr>
              <w:pStyle w:val="NoSpacing"/>
              <w:jc w:val="center"/>
              <w:rPr>
                <w:szCs w:val="20"/>
                <w:lang w:val="en-GB"/>
              </w:rPr>
            </w:pPr>
            <w:r>
              <w:rPr>
                <w:szCs w:val="20"/>
                <w:lang w:val="en-GB"/>
              </w:rPr>
              <w:t>Ref</w:t>
            </w:r>
          </w:p>
        </w:tc>
        <w:tc>
          <w:tcPr>
            <w:tcW w:w="0" w:type="dxa"/>
            <w:hideMark/>
          </w:tcPr>
          <w:p w14:paraId="4320F7FA" w14:textId="77777777" w:rsidR="00AD3ACB" w:rsidRPr="00E873EC" w:rsidRDefault="00AD3ACB" w:rsidP="00132575">
            <w:pPr>
              <w:pStyle w:val="NoSpacing"/>
              <w:jc w:val="center"/>
              <w:cnfStyle w:val="100000000000" w:firstRow="1" w:lastRow="0" w:firstColumn="0" w:lastColumn="0" w:oddVBand="0" w:evenVBand="0" w:oddHBand="0" w:evenHBand="0" w:firstRowFirstColumn="0" w:firstRowLastColumn="0" w:lastRowFirstColumn="0" w:lastRowLastColumn="0"/>
              <w:rPr>
                <w:szCs w:val="20"/>
                <w:lang w:val="en-GB"/>
              </w:rPr>
            </w:pPr>
            <w:r w:rsidRPr="00E873EC">
              <w:rPr>
                <w:szCs w:val="20"/>
                <w:lang w:val="en-GB"/>
              </w:rPr>
              <w:t>Country</w:t>
            </w:r>
          </w:p>
        </w:tc>
        <w:tc>
          <w:tcPr>
            <w:tcW w:w="3702" w:type="dxa"/>
            <w:hideMark/>
          </w:tcPr>
          <w:p w14:paraId="62D618EB" w14:textId="77777777" w:rsidR="00AD3ACB" w:rsidRPr="00E873EC" w:rsidRDefault="00AD3ACB" w:rsidP="00132575">
            <w:pPr>
              <w:pStyle w:val="NoSpacing"/>
              <w:jc w:val="center"/>
              <w:cnfStyle w:val="100000000000" w:firstRow="1" w:lastRow="0" w:firstColumn="0" w:lastColumn="0" w:oddVBand="0" w:evenVBand="0" w:oddHBand="0" w:evenHBand="0" w:firstRowFirstColumn="0" w:firstRowLastColumn="0" w:lastRowFirstColumn="0" w:lastRowLastColumn="0"/>
              <w:rPr>
                <w:szCs w:val="20"/>
                <w:lang w:val="en-GB"/>
              </w:rPr>
            </w:pPr>
            <w:r w:rsidRPr="00E873EC">
              <w:rPr>
                <w:szCs w:val="20"/>
                <w:lang w:val="en-GB"/>
              </w:rPr>
              <w:t>Production</w:t>
            </w:r>
          </w:p>
        </w:tc>
        <w:tc>
          <w:tcPr>
            <w:tcW w:w="2869" w:type="dxa"/>
            <w:hideMark/>
          </w:tcPr>
          <w:p w14:paraId="4A86ED2D" w14:textId="77777777" w:rsidR="00AD3ACB" w:rsidRPr="00E873EC" w:rsidRDefault="00AD3ACB" w:rsidP="00132575">
            <w:pPr>
              <w:pStyle w:val="NoSpacing"/>
              <w:jc w:val="center"/>
              <w:cnfStyle w:val="100000000000" w:firstRow="1" w:lastRow="0" w:firstColumn="0" w:lastColumn="0" w:oddVBand="0" w:evenVBand="0" w:oddHBand="0" w:evenHBand="0" w:firstRowFirstColumn="0" w:firstRowLastColumn="0" w:lastRowFirstColumn="0" w:lastRowLastColumn="0"/>
              <w:rPr>
                <w:szCs w:val="20"/>
                <w:lang w:val="en-GB"/>
              </w:rPr>
            </w:pPr>
            <w:r w:rsidRPr="00E873EC">
              <w:rPr>
                <w:szCs w:val="20"/>
                <w:lang w:val="en-GB"/>
              </w:rPr>
              <w:t>Transportation</w:t>
            </w:r>
          </w:p>
        </w:tc>
        <w:tc>
          <w:tcPr>
            <w:tcW w:w="3907" w:type="dxa"/>
            <w:hideMark/>
          </w:tcPr>
          <w:p w14:paraId="3545B037" w14:textId="77777777" w:rsidR="00AD3ACB" w:rsidRPr="00E873EC" w:rsidRDefault="00AD3ACB" w:rsidP="00132575">
            <w:pPr>
              <w:pStyle w:val="NoSpacing"/>
              <w:jc w:val="center"/>
              <w:cnfStyle w:val="100000000000" w:firstRow="1" w:lastRow="0" w:firstColumn="0" w:lastColumn="0" w:oddVBand="0" w:evenVBand="0" w:oddHBand="0" w:evenHBand="0" w:firstRowFirstColumn="0" w:firstRowLastColumn="0" w:lastRowFirstColumn="0" w:lastRowLastColumn="0"/>
              <w:rPr>
                <w:szCs w:val="20"/>
                <w:lang w:val="en-GB"/>
              </w:rPr>
            </w:pPr>
            <w:r w:rsidRPr="00E873EC">
              <w:rPr>
                <w:szCs w:val="20"/>
                <w:lang w:val="en-GB"/>
              </w:rPr>
              <w:t>Storage</w:t>
            </w:r>
          </w:p>
        </w:tc>
        <w:tc>
          <w:tcPr>
            <w:tcW w:w="1506" w:type="dxa"/>
            <w:hideMark/>
          </w:tcPr>
          <w:p w14:paraId="4D85F1CA" w14:textId="77777777" w:rsidR="00AD3ACB" w:rsidRPr="00E873EC" w:rsidRDefault="00AD3ACB" w:rsidP="00132575">
            <w:pPr>
              <w:pStyle w:val="NoSpacing"/>
              <w:jc w:val="center"/>
              <w:cnfStyle w:val="100000000000" w:firstRow="1" w:lastRow="0" w:firstColumn="0" w:lastColumn="0" w:oddVBand="0" w:evenVBand="0" w:oddHBand="0" w:evenHBand="0" w:firstRowFirstColumn="0" w:firstRowLastColumn="0" w:lastRowFirstColumn="0" w:lastRowLastColumn="0"/>
              <w:rPr>
                <w:szCs w:val="20"/>
                <w:lang w:val="en-GB"/>
              </w:rPr>
            </w:pPr>
            <w:r w:rsidRPr="00E873EC">
              <w:rPr>
                <w:szCs w:val="20"/>
                <w:lang w:val="en-GB"/>
              </w:rPr>
              <w:t>Refuelling</w:t>
            </w:r>
          </w:p>
        </w:tc>
        <w:tc>
          <w:tcPr>
            <w:tcW w:w="0" w:type="dxa"/>
            <w:hideMark/>
          </w:tcPr>
          <w:p w14:paraId="2699BAFC" w14:textId="77777777" w:rsidR="00AD3ACB" w:rsidRPr="00E873EC" w:rsidRDefault="00AD3ACB" w:rsidP="00132575">
            <w:pPr>
              <w:pStyle w:val="NoSpacing"/>
              <w:jc w:val="center"/>
              <w:cnfStyle w:val="100000000000" w:firstRow="1" w:lastRow="0" w:firstColumn="0" w:lastColumn="0" w:oddVBand="0" w:evenVBand="0" w:oddHBand="0" w:evenHBand="0" w:firstRowFirstColumn="0" w:firstRowLastColumn="0" w:lastRowFirstColumn="0" w:lastRowLastColumn="0"/>
              <w:rPr>
                <w:szCs w:val="20"/>
                <w:lang w:val="en-GB"/>
              </w:rPr>
            </w:pPr>
            <w:r w:rsidRPr="00E873EC">
              <w:rPr>
                <w:szCs w:val="20"/>
                <w:lang w:val="en-GB"/>
              </w:rPr>
              <w:t>Purification</w:t>
            </w:r>
          </w:p>
        </w:tc>
      </w:tr>
      <w:tr w:rsidR="003C7F9A" w:rsidRPr="00E873EC" w14:paraId="72ED90F6" w14:textId="77777777" w:rsidTr="003C7F9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07" w:type="dxa"/>
          </w:tcPr>
          <w:p w14:paraId="10595717" w14:textId="6A384F30"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&lt;EndNote&gt;&lt;Cite&gt;&lt;Author&gt;Almansoori&lt;/Author&gt;&lt;Year&gt;2006&lt;/Year&gt;&lt;RecNum&gt;1065&lt;/RecNum&gt;&lt;DisplayText&gt;[16]&lt;/DisplayText&gt;&lt;record&gt;&lt;rec-number&gt;1065&lt;/rec-number&gt;&lt;foreign-keys&gt;&lt;key app="EN" db-id="w500zpaaheraz8epaw1p29dtf2ff9zrswv50" timestamp="1607697901"&gt;1065&lt;/key&gt;&lt;/foreign-keys&gt;&lt;ref-type name="Journal Article"&gt;17&lt;/ref-type&gt;&lt;contributors&gt;&lt;authors&gt;&lt;author&gt;Almansoori, A.&lt;/author&gt;&lt;author&gt;Shah, N.&lt;/author&gt;&lt;/authors&gt;&lt;/contributors&gt;&lt;titles&gt;&lt;title&gt;Design and operation of a future hydrogen supply chain: Snapshot model&lt;/title&gt;&lt;secondary-title&gt;Chemical Engineering Research and Design&lt;/secondary-title&gt;&lt;/titles&gt;&lt;periodical&gt;&lt;full-title&gt;Chemical Engineering Research and Design&lt;/full-title&gt;&lt;/periodical&gt;&lt;pages&gt;423-438&lt;/pages&gt;&lt;volume&gt;84&lt;/volume&gt;&lt;number&gt;6 A&lt;/number&gt;&lt;keywords&gt;&lt;keyword&gt;Great Britain&lt;/keyword&gt;&lt;keyword&gt;Hydrogen&lt;/keyword&gt;&lt;keyword&gt;MILP&lt;/keyword&gt;&lt;keyword&gt;Supply chain network design&lt;/keyword&gt;&lt;/keywords&gt;&lt;dates&gt;&lt;year&gt;2006&lt;/year&gt;&lt;/dates&gt;&lt;urls&gt;&lt;pdf-urls&gt;&lt;url&gt;file://Users\David\Library\Application Support\Mendeley Desktop\Downloaded\Almansoori, Shah - 2006 - Design and operation of a future hydrogen supply chain Snapshot model.pdf&lt;/url&gt;&lt;/pdf-urls&gt;&lt;/urls&gt;&lt;electronic-resource-num&gt;10.1205/cherd.05193&lt;/electronic-resource-num&gt;&lt;/record&gt;&lt;/Cite&gt;&lt;/EndNote&gt;</w:instrText>
            </w:r>
            <w:r w:rsidRPr="006916CC">
              <w:rPr>
                <w:color w:val="000000"/>
              </w:rPr>
              <w:fldChar w:fldCharType="separate"/>
            </w:r>
            <w:r w:rsidR="00AA243F">
              <w:rPr>
                <w:b w:val="0"/>
                <w:bCs w:val="0"/>
                <w:noProof/>
                <w:color w:val="000000"/>
              </w:rPr>
              <w:t>[</w:t>
            </w:r>
            <w:hyperlink w:anchor="_ENREF_16" w:tooltip="Almansoori, 2006 #1065" w:history="1">
              <w:r w:rsidR="006210AE">
                <w:rPr>
                  <w:b w:val="0"/>
                  <w:bCs w:val="0"/>
                  <w:noProof/>
                  <w:color w:val="000000"/>
                </w:rPr>
                <w:t>16</w:t>
              </w:r>
            </w:hyperlink>
            <w:r w:rsidR="00AA243F">
              <w:rPr>
                <w:b w:val="0"/>
                <w:bCs w:val="0"/>
                <w:noProof/>
                <w:color w:val="000000"/>
              </w:rPr>
              <w:t>]</w:t>
            </w:r>
            <w:r w:rsidRPr="006916CC">
              <w:rPr>
                <w:color w:val="000000"/>
              </w:rPr>
              <w:fldChar w:fldCharType="end"/>
            </w:r>
          </w:p>
        </w:tc>
        <w:tc>
          <w:tcPr>
            <w:tcW w:w="0" w:type="dxa"/>
          </w:tcPr>
          <w:p w14:paraId="4E6ED8CF" w14:textId="716171C9" w:rsidR="00AD3ACB" w:rsidRPr="00E873EC" w:rsidRDefault="00991A30"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United Kingdom</w:t>
            </w:r>
          </w:p>
        </w:tc>
        <w:tc>
          <w:tcPr>
            <w:tcW w:w="3702" w:type="dxa"/>
          </w:tcPr>
          <w:p w14:paraId="0D8053AB" w14:textId="77777777" w:rsidR="00AD3ACB" w:rsidRPr="009D1EF7" w:rsidRDefault="00AD3ACB" w:rsidP="00AD3ACB">
            <w:pPr>
              <w:pStyle w:val="NoSpacing"/>
              <w:numPr>
                <w:ilvl w:val="0"/>
                <w:numId w:val="3"/>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SMR</w:t>
            </w:r>
          </w:p>
          <w:p w14:paraId="0F169221" w14:textId="77777777" w:rsidR="00AD3ACB" w:rsidRPr="009D1EF7" w:rsidRDefault="00AD3ACB" w:rsidP="00AD3ACB">
            <w:pPr>
              <w:pStyle w:val="NoSpacing"/>
              <w:numPr>
                <w:ilvl w:val="0"/>
                <w:numId w:val="3"/>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 xml:space="preserve">Coal Gasification </w:t>
            </w:r>
          </w:p>
          <w:p w14:paraId="6FF0A8A5" w14:textId="77777777" w:rsidR="00AD3ACB" w:rsidRPr="009D1EF7" w:rsidRDefault="00AD3ACB" w:rsidP="00AD3ACB">
            <w:pPr>
              <w:pStyle w:val="NoSpacing"/>
              <w:numPr>
                <w:ilvl w:val="0"/>
                <w:numId w:val="3"/>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Biomass Gasification</w:t>
            </w:r>
          </w:p>
        </w:tc>
        <w:tc>
          <w:tcPr>
            <w:tcW w:w="2869" w:type="dxa"/>
          </w:tcPr>
          <w:p w14:paraId="7E82A5AB" w14:textId="77777777" w:rsidR="00AD3ACB" w:rsidRPr="009D1EF7" w:rsidRDefault="00AD3ACB" w:rsidP="00AD3ACB">
            <w:pPr>
              <w:pStyle w:val="NoSpacing"/>
              <w:numPr>
                <w:ilvl w:val="0"/>
                <w:numId w:val="3"/>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Tanker Trucks (GH2 &amp; LH2)</w:t>
            </w:r>
          </w:p>
          <w:p w14:paraId="751A8854" w14:textId="77777777" w:rsidR="00AD3ACB" w:rsidRPr="009D1EF7" w:rsidRDefault="00AD3ACB" w:rsidP="00AD3ACB">
            <w:pPr>
              <w:pStyle w:val="NoSpacing"/>
              <w:numPr>
                <w:ilvl w:val="0"/>
                <w:numId w:val="3"/>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Rail Car (GH2 &amp; LH2)</w:t>
            </w:r>
          </w:p>
          <w:p w14:paraId="15ECFE6C" w14:textId="77777777" w:rsidR="00AD3ACB" w:rsidRPr="009D1EF7" w:rsidRDefault="00AD3ACB" w:rsidP="00AD3ACB">
            <w:pPr>
              <w:pStyle w:val="NoSpacing"/>
              <w:numPr>
                <w:ilvl w:val="0"/>
                <w:numId w:val="3"/>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tcPr>
          <w:p w14:paraId="3FE92B1C" w14:textId="77777777" w:rsidR="00AD3ACB" w:rsidRPr="00E873EC" w:rsidRDefault="00AD3ACB" w:rsidP="00AD3ACB">
            <w:pPr>
              <w:pStyle w:val="NoSpacing"/>
              <w:numPr>
                <w:ilvl w:val="0"/>
                <w:numId w:val="3"/>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Storage Vessels (GH2)</w:t>
            </w:r>
          </w:p>
          <w:p w14:paraId="6F279BA6" w14:textId="77777777" w:rsidR="00AD3ACB" w:rsidRPr="00E873EC" w:rsidRDefault="00AD3ACB" w:rsidP="00AD3ACB">
            <w:pPr>
              <w:pStyle w:val="NoSpacing"/>
              <w:numPr>
                <w:ilvl w:val="0"/>
                <w:numId w:val="3"/>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Super Insulated Storage Vessels (LH2)</w:t>
            </w:r>
          </w:p>
        </w:tc>
        <w:tc>
          <w:tcPr>
            <w:tcW w:w="1506" w:type="dxa"/>
          </w:tcPr>
          <w:p w14:paraId="5D8B1E46"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c>
          <w:tcPr>
            <w:tcW w:w="0" w:type="dxa"/>
          </w:tcPr>
          <w:p w14:paraId="3D153DB8"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r>
      <w:tr w:rsidR="003C7F9A" w:rsidRPr="00E873EC" w14:paraId="1D3DA045" w14:textId="77777777" w:rsidTr="003C7F9A">
        <w:trPr>
          <w:trHeight w:val="464"/>
        </w:trPr>
        <w:tc>
          <w:tcPr>
            <w:cnfStyle w:val="001000000000" w:firstRow="0" w:lastRow="0" w:firstColumn="1" w:lastColumn="0" w:oddVBand="0" w:evenVBand="0" w:oddHBand="0" w:evenHBand="0" w:firstRowFirstColumn="0" w:firstRowLastColumn="0" w:lastRowFirstColumn="0" w:lastRowLastColumn="0"/>
            <w:tcW w:w="1107" w:type="dxa"/>
          </w:tcPr>
          <w:p w14:paraId="1EDF1465" w14:textId="544C4E8D"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&lt;EndNote&gt;&lt;Cite&gt;&lt;Author&gt;Yang&lt;/Author&gt;&lt;Year&gt;2007&lt;/Year&gt;&lt;RecNum&gt;892&lt;/RecNum&gt;&lt;DisplayText&gt;[18]&lt;/DisplayText&gt;&lt;record&gt;&lt;rec-number&gt;892&lt;/rec-number&gt;&lt;foreign-keys&gt;&lt;key app="EN" db-id="w500zpaaheraz8epaw1p29dtf2ff9zrswv50" timestamp="1607697901"&gt;892&lt;/key&gt;&lt;/foreign-keys&gt;&lt;ref-type name="Journal Article"&gt;17&lt;/ref-type&gt;&lt;contributors&gt;&lt;authors&gt;&lt;author&gt;Yang, Christopher&lt;/author&gt;&lt;author&gt;Ogden, Joan&lt;/author&gt;&lt;/authors&gt;&lt;/contributors&gt;&lt;titles&gt;&lt;title&gt;Determining the lowest-cost hydrogen delivery mode&lt;/title&gt;&lt;secondary-title&gt;International Journal of Hydrogen Energy&lt;/secondary-title&gt;&lt;/titles&gt;&lt;periodical&gt;&lt;full-title&gt;International Journal of Hydrogen Energy&lt;/full-title&gt;&lt;/periodical&gt;&lt;keywords&gt;&lt;keyword&gt;Infrastructure&lt;/keyword&gt;&lt;keyword&gt;Pipeline&lt;/keyword&gt;&lt;keyword&gt;Refueling stations&lt;/keyword&gt;&lt;keyword&gt;Truck&lt;/keyword&gt;&lt;/keywords&gt;&lt;dates&gt;&lt;year&gt;2007&lt;/year&gt;&lt;/dates&gt;&lt;urls&gt;&lt;pdf-urls&gt;&lt;url&gt;file://Users\David\Library\Application Support\Mendeley Desktop\Downloaded\Yang, Ogden - 2007 - Determining the lowest-cost hydrogen delivery mode.pdf&lt;/url&gt;&lt;/pdf-urls&gt;&lt;/urls&gt;&lt;electronic-resource-num&gt;10.1016/j.ijhydene.2006.05.009&lt;/electronic-resource-num&gt;&lt;/record&gt;&lt;/Cite&gt;&lt;/EndNote&gt;</w:instrText>
            </w:r>
            <w:r w:rsidRPr="006916CC">
              <w:rPr>
                <w:color w:val="000000"/>
              </w:rPr>
              <w:fldChar w:fldCharType="separate"/>
            </w:r>
            <w:r w:rsidR="00AA243F">
              <w:rPr>
                <w:b w:val="0"/>
                <w:bCs w:val="0"/>
                <w:noProof/>
                <w:color w:val="000000"/>
              </w:rPr>
              <w:t>[</w:t>
            </w:r>
            <w:hyperlink w:anchor="_ENREF_18" w:tooltip="Yang, 2007 #892" w:history="1">
              <w:r w:rsidR="006210AE">
                <w:rPr>
                  <w:b w:val="0"/>
                  <w:bCs w:val="0"/>
                  <w:noProof/>
                  <w:color w:val="000000"/>
                </w:rPr>
                <w:t>18</w:t>
              </w:r>
            </w:hyperlink>
            <w:r w:rsidR="00AA243F">
              <w:rPr>
                <w:b w:val="0"/>
                <w:bCs w:val="0"/>
                <w:noProof/>
                <w:color w:val="000000"/>
              </w:rPr>
              <w:t>]</w:t>
            </w:r>
            <w:r w:rsidRPr="006916CC">
              <w:rPr>
                <w:color w:val="000000"/>
              </w:rPr>
              <w:fldChar w:fldCharType="end"/>
            </w:r>
          </w:p>
        </w:tc>
        <w:tc>
          <w:tcPr>
            <w:tcW w:w="0" w:type="dxa"/>
          </w:tcPr>
          <w:p w14:paraId="6F1E373D" w14:textId="77777777" w:rsidR="00AD3ACB" w:rsidRPr="00E873EC" w:rsidRDefault="00AD3ACB"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N/A</w:t>
            </w:r>
          </w:p>
        </w:tc>
        <w:tc>
          <w:tcPr>
            <w:tcW w:w="3702" w:type="dxa"/>
          </w:tcPr>
          <w:p w14:paraId="753A031D" w14:textId="77777777" w:rsidR="00AD3ACB" w:rsidRPr="009D1EF7" w:rsidRDefault="00AD3ACB" w:rsidP="00132575">
            <w:pPr>
              <w:pStyle w:val="NoSpacing"/>
              <w:ind w:left="355"/>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N/A</w:t>
            </w:r>
          </w:p>
        </w:tc>
        <w:tc>
          <w:tcPr>
            <w:tcW w:w="2869" w:type="dxa"/>
          </w:tcPr>
          <w:p w14:paraId="4D96555D" w14:textId="77777777" w:rsidR="00AD3ACB" w:rsidRPr="009D1EF7" w:rsidRDefault="00AD3ACB" w:rsidP="00AD3ACB">
            <w:pPr>
              <w:pStyle w:val="NoSpacing"/>
              <w:numPr>
                <w:ilvl w:val="0"/>
                <w:numId w:val="4"/>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Tanker Trucks (GH2 &amp; LH2)</w:t>
            </w:r>
          </w:p>
          <w:p w14:paraId="1B55A4EF" w14:textId="77777777" w:rsidR="00AD3ACB" w:rsidRPr="009D1EF7" w:rsidRDefault="00AD3ACB" w:rsidP="00AD3ACB">
            <w:pPr>
              <w:pStyle w:val="NoSpacing"/>
              <w:numPr>
                <w:ilvl w:val="0"/>
                <w:numId w:val="4"/>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Pipeline</w:t>
            </w:r>
          </w:p>
          <w:p w14:paraId="3FA517A0" w14:textId="77777777" w:rsidR="00AD3ACB" w:rsidRPr="009D1EF7" w:rsidRDefault="00AD3ACB" w:rsidP="00AD3ACB">
            <w:pPr>
              <w:pStyle w:val="NoSpacing"/>
              <w:numPr>
                <w:ilvl w:val="0"/>
                <w:numId w:val="4"/>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No Spatial Aspect</w:t>
            </w:r>
          </w:p>
        </w:tc>
        <w:tc>
          <w:tcPr>
            <w:tcW w:w="3907" w:type="dxa"/>
          </w:tcPr>
          <w:p w14:paraId="3B8834CF" w14:textId="77777777" w:rsidR="00AD3ACB" w:rsidRPr="00E873EC" w:rsidRDefault="00AD3ACB" w:rsidP="00AD3ACB">
            <w:pPr>
              <w:pStyle w:val="NoSpacing"/>
              <w:numPr>
                <w:ilvl w:val="0"/>
                <w:numId w:val="4"/>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Storage Vessels (GH2)</w:t>
            </w:r>
          </w:p>
          <w:p w14:paraId="735EC150" w14:textId="77777777" w:rsidR="00AD3ACB" w:rsidRPr="00E873EC" w:rsidRDefault="00AD3ACB" w:rsidP="00AD3ACB">
            <w:pPr>
              <w:pStyle w:val="NoSpacing"/>
              <w:numPr>
                <w:ilvl w:val="0"/>
                <w:numId w:val="4"/>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Super Insulated Storage Vessels (LH2)</w:t>
            </w:r>
          </w:p>
          <w:p w14:paraId="152B0B48" w14:textId="77777777" w:rsidR="00AD3ACB" w:rsidRPr="00E873EC" w:rsidRDefault="00AD3ACB" w:rsidP="00AD3ACB">
            <w:pPr>
              <w:pStyle w:val="NoSpacing"/>
              <w:numPr>
                <w:ilvl w:val="0"/>
                <w:numId w:val="4"/>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Pipeline storage (GH2)</w:t>
            </w:r>
          </w:p>
        </w:tc>
        <w:tc>
          <w:tcPr>
            <w:tcW w:w="1506" w:type="dxa"/>
          </w:tcPr>
          <w:p w14:paraId="2F5C8E51"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Yes</w:t>
            </w:r>
          </w:p>
        </w:tc>
        <w:tc>
          <w:tcPr>
            <w:tcW w:w="0" w:type="dxa"/>
          </w:tcPr>
          <w:p w14:paraId="0CCC8602"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r w:rsidR="003C7F9A" w:rsidRPr="00E873EC" w14:paraId="3E34B3A4" w14:textId="77777777" w:rsidTr="003C7F9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tcPr>
          <w:p w14:paraId="603A2A9E" w14:textId="4BD25A3A"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&lt;EndNote&gt;&lt;Cite&gt;&lt;Author&gt;Johnson&lt;/Author&gt;&lt;Year&gt;2012&lt;/Year&gt;&lt;RecNum&gt;1092&lt;/RecNum&gt;&lt;DisplayText&gt;[19]&lt;/DisplayText&gt;&lt;record&gt;&lt;rec-number&gt;1092&lt;/rec-number&gt;&lt;foreign-keys&gt;&lt;key app="EN" db-id="w500zpaaheraz8epaw1p29dtf2ff9zrswv50" timestamp="1607697901"&gt;1092&lt;/key&gt;&lt;/foreign-keys&gt;&lt;ref-type name="Journal Article"&gt;17&lt;/ref-type&gt;&lt;contributors&gt;&lt;authors&gt;&lt;author&gt;Johnson, Nils&lt;/author&gt;&lt;author&gt;Ogden, Joan&lt;/author&gt;&lt;/authors&gt;&lt;/contributors&gt;&lt;titles&gt;&lt;title&gt;A spatially-explicit optimization model for long-term hydrogen pipeline planning&lt;/title&gt;&lt;secondary-title&gt;International Journal of Hydrogen Energy&lt;/secondary-title&gt;&lt;/titles&gt;&lt;periodical&gt;&lt;full-title&gt;International Journal of Hydrogen Energy&lt;/full-title&gt;&lt;/periodical&gt;&lt;keywords&gt;&lt;keyword&gt;GIS&lt;/keyword&gt;&lt;keyword&gt;Hydrogen&lt;/keyword&gt;&lt;keyword&gt;Infrastructure modeling&lt;/keyword&gt;&lt;keyword&gt;Network optimization&lt;/keyword&gt;&lt;keyword&gt;Pipelines&lt;/keyword&gt;&lt;/keywords&gt;&lt;dates&gt;&lt;year&gt;2012&lt;/year&gt;&lt;/dates&gt;&lt;urls&gt;&lt;pdf-urls&gt;&lt;url&gt;file://Users\David\Library\Application Support\Mendeley Desktop\Downloaded\Johnson, Ogden - 2012 - A spatially-explicit optimization model for long-term hydrogen pipeline planning.pdf&lt;/url&gt;&lt;/pdf-urls&gt;&lt;/urls&gt;&lt;electronic-resource-num&gt;10.1016/j.ijhydene.2011.08.109&lt;/electronic-resource-num&gt;&lt;/record&gt;&lt;/Cite&gt;&lt;/EndNote&gt;</w:instrText>
            </w:r>
            <w:r w:rsidRPr="006916CC">
              <w:rPr>
                <w:color w:val="000000"/>
              </w:rPr>
              <w:fldChar w:fldCharType="separate"/>
            </w:r>
            <w:r w:rsidR="00AA243F">
              <w:rPr>
                <w:b w:val="0"/>
                <w:bCs w:val="0"/>
                <w:noProof/>
                <w:color w:val="000000"/>
              </w:rPr>
              <w:t>[</w:t>
            </w:r>
            <w:hyperlink w:anchor="_ENREF_19" w:tooltip="Johnson, 2012 #1092" w:history="1">
              <w:r w:rsidR="006210AE">
                <w:rPr>
                  <w:b w:val="0"/>
                  <w:bCs w:val="0"/>
                  <w:noProof/>
                  <w:color w:val="000000"/>
                </w:rPr>
                <w:t>19</w:t>
              </w:r>
            </w:hyperlink>
            <w:r w:rsidR="00AA243F">
              <w:rPr>
                <w:b w:val="0"/>
                <w:bCs w:val="0"/>
                <w:noProof/>
                <w:color w:val="000000"/>
              </w:rPr>
              <w:t>]</w:t>
            </w:r>
            <w:r w:rsidRPr="006916CC">
              <w:rPr>
                <w:color w:val="000000"/>
              </w:rPr>
              <w:fldChar w:fldCharType="end"/>
            </w:r>
          </w:p>
        </w:tc>
        <w:tc>
          <w:tcPr>
            <w:tcW w:w="0" w:type="dxa"/>
          </w:tcPr>
          <w:p w14:paraId="3281C80A" w14:textId="77777777" w:rsidR="00AD3ACB" w:rsidRPr="00E873EC" w:rsidRDefault="00AD3ACB"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Southwestern USA</w:t>
            </w:r>
          </w:p>
        </w:tc>
        <w:tc>
          <w:tcPr>
            <w:tcW w:w="3702" w:type="dxa"/>
          </w:tcPr>
          <w:p w14:paraId="37E3FCE7" w14:textId="77777777" w:rsidR="00AD3ACB" w:rsidRPr="009D1EF7" w:rsidRDefault="00AD3ACB" w:rsidP="00AD3ACB">
            <w:pPr>
              <w:pStyle w:val="NoSpacing"/>
              <w:numPr>
                <w:ilvl w:val="0"/>
                <w:numId w:val="5"/>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Coal Gasification (with CCS)</w:t>
            </w:r>
          </w:p>
        </w:tc>
        <w:tc>
          <w:tcPr>
            <w:tcW w:w="2869" w:type="dxa"/>
          </w:tcPr>
          <w:p w14:paraId="4069F885" w14:textId="77777777" w:rsidR="00AD3ACB" w:rsidRPr="009D1EF7" w:rsidRDefault="00AD3ACB" w:rsidP="00AD3ACB">
            <w:pPr>
              <w:pStyle w:val="NoSpacing"/>
              <w:numPr>
                <w:ilvl w:val="0"/>
                <w:numId w:val="5"/>
              </w:numPr>
              <w:ind w:left="318"/>
              <w:cnfStyle w:val="000000100000" w:firstRow="0" w:lastRow="0" w:firstColumn="0" w:lastColumn="0" w:oddVBand="0" w:evenVBand="0" w:oddHBand="1" w:evenHBand="0" w:firstRowFirstColumn="0" w:firstRowLastColumn="0" w:lastRowFirstColumn="0" w:lastRowLastColumn="0"/>
              <w:rPr>
                <w:rStyle w:val="CommentReference"/>
                <w:rFonts w:cstheme="minorHAnsi"/>
                <w:sz w:val="20"/>
                <w:szCs w:val="20"/>
                <w:lang w:val="en-GB"/>
              </w:rPr>
            </w:pPr>
            <w:r w:rsidRPr="009D1EF7">
              <w:rPr>
                <w:rStyle w:val="CommentReference"/>
                <w:rFonts w:cstheme="minorHAnsi"/>
                <w:sz w:val="20"/>
                <w:szCs w:val="20"/>
                <w:lang w:val="en-GB"/>
              </w:rPr>
              <w:t>Pipeline (GH</w:t>
            </w:r>
            <w:r w:rsidRPr="009D1EF7">
              <w:rPr>
                <w:rFonts w:cstheme="minorHAnsi"/>
                <w:szCs w:val="20"/>
                <w:lang w:val="en-GB"/>
              </w:rPr>
              <w:t>2</w:t>
            </w:r>
            <w:r w:rsidRPr="009D1EF7">
              <w:rPr>
                <w:rStyle w:val="CommentReference"/>
                <w:rFonts w:cstheme="minorHAnsi"/>
                <w:sz w:val="20"/>
                <w:szCs w:val="20"/>
                <w:lang w:val="en-GB"/>
              </w:rPr>
              <w:t>)</w:t>
            </w:r>
          </w:p>
          <w:p w14:paraId="3C6FCE8C" w14:textId="77777777" w:rsidR="00AD3ACB" w:rsidRPr="009D1EF7" w:rsidRDefault="00AD3ACB" w:rsidP="00AD3ACB">
            <w:pPr>
              <w:pStyle w:val="NoSpacing"/>
              <w:numPr>
                <w:ilvl w:val="0"/>
                <w:numId w:val="5"/>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tcPr>
          <w:p w14:paraId="2853AE99" w14:textId="77777777" w:rsidR="00AD3ACB" w:rsidRPr="00E873EC" w:rsidRDefault="00AD3ACB" w:rsidP="00132575">
            <w:pPr>
              <w:pStyle w:val="NoSpacing"/>
              <w:ind w:left="315"/>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c>
          <w:tcPr>
            <w:tcW w:w="1506" w:type="dxa"/>
          </w:tcPr>
          <w:p w14:paraId="2D5DDFFA"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c>
          <w:tcPr>
            <w:tcW w:w="0" w:type="dxa"/>
          </w:tcPr>
          <w:p w14:paraId="05663CBC"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r>
      <w:tr w:rsidR="003C7F9A" w:rsidRPr="00E873EC" w14:paraId="49C9EDAC" w14:textId="77777777" w:rsidTr="003C7F9A">
        <w:trPr>
          <w:trHeight w:val="911"/>
        </w:trPr>
        <w:tc>
          <w:tcPr>
            <w:cnfStyle w:val="001000000000" w:firstRow="0" w:lastRow="0" w:firstColumn="1" w:lastColumn="0" w:oddVBand="0" w:evenVBand="0" w:oddHBand="0" w:evenHBand="0" w:firstRowFirstColumn="0" w:firstRowLastColumn="0" w:lastRowFirstColumn="0" w:lastRowLastColumn="0"/>
            <w:tcW w:w="1107" w:type="dxa"/>
            <w:hideMark/>
          </w:tcPr>
          <w:p w14:paraId="06DC6F07" w14:textId="60AEF641"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&lt;EndNote&gt;&lt;Cite&gt;&lt;Author&gt;Reuß&lt;/Author&gt;&lt;Year&gt;2019&lt;/Year&gt;&lt;RecNum&gt;1089&lt;/RecNum&gt;&lt;DisplayText&gt;[28]&lt;/DisplayText&gt;&lt;record&gt;&lt;rec-number&gt;1089&lt;/rec-number&gt;&lt;foreign-keys&gt;&lt;key app="EN" db-id="w500zpaaheraz8epaw1p29dtf2ff9zrswv50" timestamp="1607697901"&gt;1089&lt;/key&gt;&lt;/foreign-keys&gt;&lt;ref-type name="Journal Article"&gt;17&lt;/ref-type&gt;&lt;contributors&gt;&lt;authors&gt;&lt;author&gt;Reuß, Markus&lt;/author&gt;&lt;author&gt;Grube, Thomas&lt;/author&gt;&lt;author&gt;Robinius, Martin&lt;/author&gt;&lt;author&gt;Stolten, Detlef&lt;/author&gt;&lt;/authors&gt;&lt;/contributors&gt;&lt;titles&gt;&lt;title&gt;A hydrogen supply chain with spatial resolution: Comparative analysis of infrastructure technologies in Germany&lt;/title&gt;&lt;secondary-title&gt;Applied Energy&lt;/secondary-title&gt;&lt;/titles&gt;&lt;periodical&gt;&lt;full-title&gt;Applied Energy&lt;/full-title&gt;&lt;/periodical&gt;&lt;pages&gt;438-453&lt;/pages&gt;&lt;volume&gt;247&lt;/volume&gt;&lt;number&gt;April&lt;/number&gt;&lt;keywords&gt;&lt;keyword&gt;Hydrogen infrastructure&lt;/keyword&gt;&lt;keyword&gt;Hydrogen mobility&lt;/keyword&gt;&lt;keyword&gt;Hydrogen supply chain&lt;/keyword&gt;&lt;keyword&gt;Liquid organic hydrogen carriers&lt;/keyword&gt;&lt;keyword&gt;Renewable energy&lt;/keyword&gt;&lt;keyword&gt;Spatial infrastructure design&lt;/keyword&gt;&lt;/keywords&gt;&lt;dates&gt;&lt;year&gt;2019&lt;/year&gt;&lt;/dates&gt;&lt;publisher&gt;Elsevier&lt;/publisher&gt;&lt;urls&gt;&lt;related-urls&gt;&lt;url&gt;https://doi.org/10.1016/j.apenergy.2019.04.064&lt;/url&gt;&lt;/related-urls&gt;&lt;pdf-urls&gt;&lt;url&gt;file://Users\David\Library\Application Support\Mendeley Desktop\Downloaded\Reuß et al. - 2019 - A hydrogen supply chain with spatial resolution Comparative analysis of infrastructure technologies in Germany.pdf&lt;/url&gt;&lt;/pdf-urls&gt;&lt;/urls&gt;&lt;electronic-resource-num&gt;10.1016/j.apenergy.2019.04.064&lt;/electronic-resource-num&gt;&lt;/record&gt;&lt;/Cite&gt;&lt;/EndNote&gt;</w:instrText>
            </w:r>
            <w:r w:rsidRPr="006916CC">
              <w:rPr>
                <w:color w:val="000000"/>
              </w:rPr>
              <w:fldChar w:fldCharType="separate"/>
            </w:r>
            <w:r w:rsidR="00AA243F">
              <w:rPr>
                <w:b w:val="0"/>
                <w:bCs w:val="0"/>
                <w:noProof/>
                <w:color w:val="000000"/>
              </w:rPr>
              <w:t>[</w:t>
            </w:r>
            <w:hyperlink w:anchor="_ENREF_28" w:tooltip="Reuß, 2019 #1089" w:history="1">
              <w:r w:rsidR="006210AE">
                <w:rPr>
                  <w:b w:val="0"/>
                  <w:bCs w:val="0"/>
                  <w:noProof/>
                  <w:color w:val="000000"/>
                </w:rPr>
                <w:t>28</w:t>
              </w:r>
            </w:hyperlink>
            <w:r w:rsidR="00AA243F">
              <w:rPr>
                <w:b w:val="0"/>
                <w:bCs w:val="0"/>
                <w:noProof/>
                <w:color w:val="000000"/>
              </w:rPr>
              <w:t>]</w:t>
            </w:r>
            <w:r w:rsidRPr="006916CC">
              <w:rPr>
                <w:color w:val="000000"/>
              </w:rPr>
              <w:fldChar w:fldCharType="end"/>
            </w:r>
          </w:p>
        </w:tc>
        <w:tc>
          <w:tcPr>
            <w:tcW w:w="0" w:type="dxa"/>
            <w:hideMark/>
          </w:tcPr>
          <w:p w14:paraId="519C07DB" w14:textId="77777777" w:rsidR="00AD3ACB" w:rsidRPr="00E873EC" w:rsidRDefault="00AD3ACB"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Germany</w:t>
            </w:r>
          </w:p>
        </w:tc>
        <w:tc>
          <w:tcPr>
            <w:tcW w:w="3702" w:type="dxa"/>
            <w:hideMark/>
          </w:tcPr>
          <w:p w14:paraId="69E62BC1" w14:textId="77777777" w:rsidR="00AD3ACB" w:rsidRPr="009D1EF7" w:rsidRDefault="00AD3ACB" w:rsidP="00AD3ACB">
            <w:pPr>
              <w:pStyle w:val="NoSpacing"/>
              <w:numPr>
                <w:ilvl w:val="0"/>
                <w:numId w:val="5"/>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 xml:space="preserve">PEM electrolysis from windfarms data in </w:t>
            </w:r>
            <w:sdt>
              <w:sdtPr>
                <w:rPr>
                  <w:rFonts w:cstheme="minorHAnsi"/>
                  <w:color w:val="000000"/>
                  <w:szCs w:val="20"/>
                  <w:lang w:val="en-GB"/>
                </w:rPr>
                <w:tag w:val="MENDELEY_CITATION_{&quot;citationID&quot;:&quot;MENDELEY_CITATION_410550bf-5577-420b-9e45-5913c31796e4&quot;,&quot;citationItems&quot;:[{&quot;id&quot;:&quot;e85cf440-ad90-357e-bec1-f0757583230f&quot;,&quot;itemData&quot;:{&quot;type&quot;:&quot;article-journal&quot;,&quot;id&quot;:&quot;e85cf440-ad90-357e-bec1-f0757583230f&quot;,&quot;title&quot;:&quot;Linking the power and transport sectors - Part 2: Modelling a sector coupling scenario for Germany&quot;,&quot;author&quot;:[{&quot;family&quot;:&quot;Robinius&quot;,&quot;given&quot;:&quot;Martin&quot;,&quot;parse-names&quot;:false,&quot;dropping-particle&quot;:&quot;&quot;,&quot;non-dropping-particle&quot;:&quot;&quot;},{&quot;family&quot;:&quot;Otto&quot;,&quot;given&quot;:&quot;Alexander&quot;,&quot;parse-names&quot;:false,&quot;dropping-particle&quot;:&quot;&quot;,&quot;non-dropping-particle&quot;:&quot;&quot;},{&quot;family&quot;:&quot;Syranidis&quot;,&quot;given&quot;:&quot;Konstantinos&quot;,&quot;parse-names&quot;:false,&quot;dropping-particle&quot;:&quot;&quot;,&quot;non-dropping-particle&quot;:&quot;&quot;},{&quot;family&quot;:&quot;Ryberg&quot;,&quot;given&quot;:&quot;David S.&quot;,&quot;parse-names&quot;:false,&quot;dropping-particle&quot;:&quot;&quot;,&quot;non-dropping-particle&quot;:&quot;&quot;},{&quot;family&quot;:&quot;Heuser&quot;,&quot;given&quot;:&quot;Philipp&quot;,&quot;parse-names&quot;:false,&quot;dropping-particle&quot;:&quot;&quot;,&quot;non-dropping-particle&quot;:&quot;&quot;},{&quot;family&quot;:&quot;Welder&quot;,&quot;given&quot;:&quot;Lara&quot;,&quot;parse-names&quot;:false,&quot;dropping-particle&quot;:&quot;&quot;,&quot;non-dropping-particle&quot;:&quot;&quot;},{&quot;family&quot;:&quot;Grube&quot;,&quot;given&quot;:&quot;Thomas&quot;,&quot;parse-names&quot;:false,&quot;dropping-particle&quot;:&quot;&quot;,&quot;non-dropping-particle&quot;:&quot;&quot;},{&quot;family&quot;:&quot;Markewitz&quot;,&quot;given&quot;:&quot;Peter&quot;,&quot;parse-names&quot;:false,&quot;dropping-particle&quot;:&quot;&quot;,&quot;non-dropping-particle&quot;:&quot;&quot;},{&quot;family&quot;:&quot;Tietze&quot;,&quot;given&quot;:&quot;Vanessa&quot;,&quot;parse-names&quot;:false,&quot;dropping-particle&quot;:&quot;&quot;,&quot;non-dropping-particle&quot;:&quot;&quot;},{&quot;family&quot;:&quot;Stolten&quot;,&quot;given&quot;:&quot;Detlef&quot;,&quot;parse-names&quot;:false,&quot;dropping-particle&quot;:&quot;&quot;,&quot;non-dropping-particle&quot;:&quot;&quot;}],&quot;container-title&quot;:&quot;Energies&quot;,&quot;DOI&quot;:&quot;10.3390/en10070957&quot;,&quot;ISSN&quot;:&quot;19961073&quot;,&quot;issued&quot;:{&quot;date-parts&quot;:[[2017]]},&quot;page&quot;:&quot;1-23&quot;,&quot;abstract&quot;:&quot;\&quot;Linking the power and transport sectors - Part 1\&quot; describes the general principle of \&quot;sector coupling\&quot; (SC), develops a working definition intended of the concept to be of utility to the international scientific community, contains a literature review that provides an overview of relevant scientific papers on this topic and conducts a rudimentary analysis of the linking of the power and transport sectors on a worldwide, EU and German level. The aim of this follow-on paper is to outline an approach to the modelling of SC. Therefore, a study of Germany as a case study was conducted. This study assumes a high share of renewable energy sources (RES) contributing to the grid and significant proportion of fuel cell vehicles (FCVs) in the year 2050, along with a dedicated hydrogen pipeline grid to meet hydrogen demand. To construct a model of this nature, the model environment \&quot;METIS\&quot; (models for energy transformation and integration systems) we developed will be described in more detail in this paper. Within this framework, a detailed model of the power and transport sector in Germany will be presented in this paper and the rationale behind its assumptions described. Furthermore, an intensive result analysis for the power surplus, utilization of electrolysis, hydrogen pipeline and economic considerations has been conducted to show the potential outcomes of modelling SC. It is hoped that this will serve as a basis for researchers to apply this framework in future to models and analysis with an international focus.&quot;,&quot;issue&quot;:&quot;7&quot;,&quot;volume&quot;:&quot;10&quot;},&quot;isTemporary&quot;:false}],&quot;properties&quot;:{&quot;noteIndex&quot;:0},&quot;isEdited&quot;:false,&quot;manualOverride&quot;:{&quot;isManuallyOverriden&quot;:false,&quot;citeprocText&quot;:&quot;[47]&quot;,&quot;manualOverrideText&quot;:&quot;&quot;}}"/>
                <w:id w:val="-961720008"/>
                <w:placeholder>
                  <w:docPart w:val="4FA525754143452EB832BEB0F9ACB0BA"/>
                </w:placeholder>
              </w:sdtPr>
              <w:sdtEndPr>
                <w:rPr>
                  <w:lang w:val="en-US"/>
                </w:rPr>
              </w:sdtEndPr>
              <w:sdtContent>
                <w:r w:rsidRPr="009D1EF7">
                  <w:rPr>
                    <w:rFonts w:cstheme="minorHAnsi"/>
                    <w:color w:val="000000"/>
                    <w:szCs w:val="20"/>
                  </w:rPr>
                  <w:t>[26]</w:t>
                </w:r>
              </w:sdtContent>
            </w:sdt>
          </w:p>
        </w:tc>
        <w:tc>
          <w:tcPr>
            <w:tcW w:w="2869" w:type="dxa"/>
            <w:hideMark/>
          </w:tcPr>
          <w:p w14:paraId="3E298B17" w14:textId="77777777" w:rsidR="00AD3ACB" w:rsidRPr="009D1EF7" w:rsidRDefault="00AD3ACB" w:rsidP="00AD3ACB">
            <w:pPr>
              <w:pStyle w:val="NoSpacing"/>
              <w:numPr>
                <w:ilvl w:val="0"/>
                <w:numId w:val="5"/>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 xml:space="preserve">Pipeline </w:t>
            </w:r>
          </w:p>
          <w:p w14:paraId="5AC9D47C" w14:textId="77777777" w:rsidR="00AD3ACB" w:rsidRPr="009D1EF7" w:rsidRDefault="00AD3ACB" w:rsidP="00AD3ACB">
            <w:pPr>
              <w:pStyle w:val="NoSpacing"/>
              <w:numPr>
                <w:ilvl w:val="0"/>
                <w:numId w:val="5"/>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Tanker Truck</w:t>
            </w:r>
          </w:p>
          <w:p w14:paraId="0BE97ECE" w14:textId="77777777" w:rsidR="00AD3ACB" w:rsidRPr="009D1EF7" w:rsidRDefault="00AD3ACB" w:rsidP="00AD3ACB">
            <w:pPr>
              <w:pStyle w:val="NoSpacing"/>
              <w:numPr>
                <w:ilvl w:val="0"/>
                <w:numId w:val="5"/>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 xml:space="preserve">Spatial Aspect </w:t>
            </w:r>
          </w:p>
        </w:tc>
        <w:tc>
          <w:tcPr>
            <w:tcW w:w="3907" w:type="dxa"/>
            <w:hideMark/>
          </w:tcPr>
          <w:p w14:paraId="17B24B94" w14:textId="77777777" w:rsidR="00AD3ACB" w:rsidRPr="00E873EC" w:rsidRDefault="00AD3ACB" w:rsidP="00AD3ACB">
            <w:pPr>
              <w:pStyle w:val="NoSpacing"/>
              <w:numPr>
                <w:ilvl w:val="0"/>
                <w:numId w:val="5"/>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Storage vessels. (GH2)</w:t>
            </w:r>
          </w:p>
          <w:p w14:paraId="2E0A1CB9" w14:textId="77777777" w:rsidR="00AD3ACB" w:rsidRPr="00E873EC" w:rsidRDefault="00AD3ACB" w:rsidP="00AD3ACB">
            <w:pPr>
              <w:pStyle w:val="NoSpacing"/>
              <w:numPr>
                <w:ilvl w:val="0"/>
                <w:numId w:val="5"/>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Geological formations (GH2)</w:t>
            </w:r>
          </w:p>
          <w:p w14:paraId="54FCA246" w14:textId="77777777" w:rsidR="00AD3ACB" w:rsidRPr="00E873EC" w:rsidRDefault="00AD3ACB" w:rsidP="00AD3ACB">
            <w:pPr>
              <w:pStyle w:val="NoSpacing"/>
              <w:numPr>
                <w:ilvl w:val="0"/>
                <w:numId w:val="5"/>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Super insulated storage vessels (LH2).</w:t>
            </w:r>
          </w:p>
          <w:p w14:paraId="7AEA32B0" w14:textId="77777777" w:rsidR="00AD3ACB" w:rsidRPr="00E873EC" w:rsidRDefault="00AD3ACB" w:rsidP="00AD3ACB">
            <w:pPr>
              <w:pStyle w:val="NoSpacing"/>
              <w:numPr>
                <w:ilvl w:val="0"/>
                <w:numId w:val="5"/>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LOHC tanks.</w:t>
            </w:r>
          </w:p>
        </w:tc>
        <w:tc>
          <w:tcPr>
            <w:tcW w:w="1506" w:type="dxa"/>
            <w:hideMark/>
          </w:tcPr>
          <w:p w14:paraId="05A79349"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Yes</w:t>
            </w:r>
          </w:p>
        </w:tc>
        <w:tc>
          <w:tcPr>
            <w:tcW w:w="0" w:type="dxa"/>
            <w:hideMark/>
          </w:tcPr>
          <w:p w14:paraId="08CA090D"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r w:rsidR="003C7F9A" w:rsidRPr="00E873EC" w14:paraId="739CA4F4" w14:textId="77777777" w:rsidTr="003C7F9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hideMark/>
          </w:tcPr>
          <w:p w14:paraId="62AFB0EE" w14:textId="7F571006"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&lt;EndNote&gt;&lt;Cite&gt;&lt;Author&gt;Baufumé&lt;/Author&gt;&lt;Year&gt;2013&lt;/Year&gt;&lt;RecNum&gt;1087&lt;/RecNum&gt;&lt;DisplayText&gt;[20]&lt;/DisplayText&gt;&lt;record&gt;&lt;rec-number&gt;1087&lt;/rec-number&gt;&lt;foreign-keys&gt;&lt;key app="EN" db-id="w500zpaaheraz8epaw1p29dtf2ff9zrswv50" timestamp="1607697901"&gt;1087&lt;/key&gt;&lt;/foreign-keys&gt;&lt;ref-type name="Journal Article"&gt;17&lt;/ref-type&gt;&lt;contributors&gt;&lt;authors&gt;&lt;author&gt;Baufumé, Sylvestre&lt;/author&gt;&lt;author&gt;Grüger, Fabian&lt;/author&gt;&lt;author&gt;Grube, Thomas&lt;/author&gt;&lt;author&gt;Krieg, Dennis&lt;/author&gt;&lt;author&gt;Linssen, Jochen&lt;/author&gt;&lt;author&gt;Weber, Michael&lt;/author&gt;&lt;author&gt;Hake, Jürgen-Friedrich&lt;/author&gt;&lt;author&gt;Stolten, Detlef&lt;/author&gt;&lt;/authors&gt;&lt;/contributors&gt;&lt;titles&gt;&lt;title&gt;GIS-based scenario calculations for a nationwide German hydrogen pipeline infrastructure&lt;/title&gt;&lt;secondary-title&gt;International Journal of Hydrogen Energy&lt;/secondary-title&gt;&lt;/titles&gt;&lt;periodical&gt;&lt;full-title&gt;International Journal of Hydrogen Energy&lt;/full-title&gt;&lt;/periodical&gt;&lt;pages&gt;3813-3829&lt;/pages&gt;&lt;volume&gt;38&lt;/volume&gt;&lt;number&gt;10&lt;/number&gt;&lt;dates&gt;&lt;year&gt;2013&lt;/year&gt;&lt;/dates&gt;&lt;publisher&gt;Pergamon&lt;/publisher&gt;&lt;urls&gt;&lt;related-urls&gt;&lt;url&gt;https://www.sciencedirect.com/science/article/pii/S0360319913000670&lt;/url&gt;&lt;/related-urls&gt;&lt;pdf-urls&gt;&lt;url&gt;file://Users\David\Library\Application Support\Mendeley Desktop\Downloaded\Baufumé et al. - 2013 - GIS-based scenario calculations for a nationwide German hydrogen pipeline infrastructure.pdf&lt;/url&gt;&lt;/pdf-urls&gt;&lt;/urls&gt;&lt;electronic-resource-num&gt;10.1016/J.IJHYDENE.2012.12.147&lt;/electronic-resource-num&gt;&lt;/record&gt;&lt;/Cite&gt;&lt;/EndNote&gt;</w:instrText>
            </w:r>
            <w:r w:rsidRPr="006916CC">
              <w:rPr>
                <w:color w:val="000000"/>
              </w:rPr>
              <w:fldChar w:fldCharType="separate"/>
            </w:r>
            <w:r w:rsidR="00AA243F">
              <w:rPr>
                <w:b w:val="0"/>
                <w:bCs w:val="0"/>
                <w:noProof/>
                <w:color w:val="000000"/>
              </w:rPr>
              <w:t>[</w:t>
            </w:r>
            <w:hyperlink w:anchor="_ENREF_20" w:tooltip="Baufumé, 2013 #1087" w:history="1">
              <w:r w:rsidR="006210AE">
                <w:rPr>
                  <w:b w:val="0"/>
                  <w:bCs w:val="0"/>
                  <w:noProof/>
                  <w:color w:val="000000"/>
                </w:rPr>
                <w:t>20</w:t>
              </w:r>
            </w:hyperlink>
            <w:r w:rsidR="00AA243F">
              <w:rPr>
                <w:b w:val="0"/>
                <w:bCs w:val="0"/>
                <w:noProof/>
                <w:color w:val="000000"/>
              </w:rPr>
              <w:t>]</w:t>
            </w:r>
            <w:r w:rsidRPr="006916CC">
              <w:rPr>
                <w:color w:val="000000"/>
              </w:rPr>
              <w:fldChar w:fldCharType="end"/>
            </w:r>
          </w:p>
        </w:tc>
        <w:tc>
          <w:tcPr>
            <w:tcW w:w="0" w:type="dxa"/>
            <w:hideMark/>
          </w:tcPr>
          <w:p w14:paraId="09238550" w14:textId="77777777" w:rsidR="00AD3ACB" w:rsidRPr="00E873EC" w:rsidRDefault="00AD3ACB"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Germany</w:t>
            </w:r>
          </w:p>
        </w:tc>
        <w:tc>
          <w:tcPr>
            <w:tcW w:w="3702" w:type="dxa"/>
            <w:hideMark/>
          </w:tcPr>
          <w:p w14:paraId="32BE024A" w14:textId="77777777" w:rsidR="00AD3ACB" w:rsidRPr="009D1EF7" w:rsidRDefault="00AD3ACB" w:rsidP="00AD3ACB">
            <w:pPr>
              <w:pStyle w:val="NoSpacing"/>
              <w:numPr>
                <w:ilvl w:val="0"/>
                <w:numId w:val="6"/>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Electrolysis using off-shore wind.</w:t>
            </w:r>
          </w:p>
          <w:p w14:paraId="3E6A9B83" w14:textId="77777777" w:rsidR="00AD3ACB" w:rsidRPr="009D1EF7" w:rsidRDefault="00AD3ACB" w:rsidP="00AD3ACB">
            <w:pPr>
              <w:pStyle w:val="NoSpacing"/>
              <w:numPr>
                <w:ilvl w:val="0"/>
                <w:numId w:val="6"/>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Lignite gasification.</w:t>
            </w:r>
          </w:p>
        </w:tc>
        <w:tc>
          <w:tcPr>
            <w:tcW w:w="2869" w:type="dxa"/>
            <w:hideMark/>
          </w:tcPr>
          <w:p w14:paraId="1ADCC722" w14:textId="77777777" w:rsidR="00AD3ACB" w:rsidRPr="009D1EF7" w:rsidRDefault="00AD3ACB" w:rsidP="00AD3ACB">
            <w:pPr>
              <w:pStyle w:val="NoSpacing"/>
              <w:numPr>
                <w:ilvl w:val="0"/>
                <w:numId w:val="6"/>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Pipeline (GH2)</w:t>
            </w:r>
          </w:p>
          <w:p w14:paraId="22D03553" w14:textId="77777777" w:rsidR="00AD3ACB" w:rsidRPr="009D1EF7" w:rsidRDefault="00AD3ACB" w:rsidP="00AD3ACB">
            <w:pPr>
              <w:pStyle w:val="NoSpacing"/>
              <w:numPr>
                <w:ilvl w:val="0"/>
                <w:numId w:val="6"/>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hideMark/>
          </w:tcPr>
          <w:p w14:paraId="289A800E" w14:textId="77777777" w:rsidR="00AD3ACB" w:rsidRPr="00E873EC" w:rsidRDefault="00AD3ACB" w:rsidP="00132575">
            <w:pPr>
              <w:pStyle w:val="NoSpacing"/>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c>
          <w:tcPr>
            <w:tcW w:w="1506" w:type="dxa"/>
            <w:hideMark/>
          </w:tcPr>
          <w:p w14:paraId="4A2F56D4"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Yes</w:t>
            </w:r>
            <w:r>
              <w:rPr>
                <w:szCs w:val="20"/>
                <w:lang w:val="en-GB"/>
              </w:rPr>
              <w:t xml:space="preserve">, </w:t>
            </w:r>
            <w:r w:rsidRPr="00E873EC">
              <w:rPr>
                <w:szCs w:val="20"/>
                <w:lang w:val="en-GB"/>
              </w:rPr>
              <w:t>Existing Stations</w:t>
            </w:r>
          </w:p>
        </w:tc>
        <w:tc>
          <w:tcPr>
            <w:tcW w:w="0" w:type="dxa"/>
            <w:hideMark/>
          </w:tcPr>
          <w:p w14:paraId="1522D045"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r>
      <w:tr w:rsidR="003C7F9A" w:rsidRPr="00E873EC" w14:paraId="71BC7E03" w14:textId="77777777" w:rsidTr="003C7F9A">
        <w:trPr>
          <w:trHeight w:val="161"/>
        </w:trPr>
        <w:tc>
          <w:tcPr>
            <w:cnfStyle w:val="001000000000" w:firstRow="0" w:lastRow="0" w:firstColumn="1" w:lastColumn="0" w:oddVBand="0" w:evenVBand="0" w:oddHBand="0" w:evenHBand="0" w:firstRowFirstColumn="0" w:firstRowLastColumn="0" w:lastRowFirstColumn="0" w:lastRowLastColumn="0"/>
            <w:tcW w:w="1107" w:type="dxa"/>
          </w:tcPr>
          <w:p w14:paraId="5B712631" w14:textId="2E301FF1"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&lt;EndNote&gt;&lt;Cite&gt;&lt;Author&gt;Dodds&lt;/Author&gt;&lt;Year&gt;2013&lt;/Year&gt;&lt;RecNum&gt;1026&lt;/RecNum&gt;&lt;DisplayText&gt;[21]&lt;/DisplayText&gt;&lt;record&gt;&lt;rec-number&gt;1026&lt;/rec-number&gt;&lt;foreign-keys&gt;&lt;key app="EN" db-id="w500zpaaheraz8epaw1p29dtf2ff9zrswv50" timestamp="1607697901"&gt;1026&lt;/key&gt;&lt;/foreign-keys&gt;&lt;ref-type name="Journal Article"&gt;17&lt;/ref-type&gt;&lt;contributors&gt;&lt;authors&gt;&lt;author&gt;Dodds, Paul E.&lt;/author&gt;&lt;author&gt;Demoullin, Stéphanie&lt;/author&gt;&lt;/authors&gt;&lt;/contributors&gt;&lt;titles&gt;&lt;title&gt;Conversion of the UK gas system to transport hydrogen&lt;/title&gt;&lt;secondary-title&gt;International Journal of Hydrogen Energy&lt;/secondary-title&gt;&lt;/titles&gt;&lt;periodical&gt;&lt;full-title&gt;International Journal of Hydrogen Energy&lt;/full-title&gt;&lt;/periodical&gt;&lt;pages&gt;7189-7200&lt;/pages&gt;&lt;volume&gt;38&lt;/volume&gt;&lt;number&gt;18&lt;/number&gt;&lt;keywords&gt;&lt;keyword&gt;Energy system model&lt;/keyword&gt;&lt;keyword&gt;Gas decarbonisation&lt;/keyword&gt;&lt;keyword&gt;Hydrogen networks&lt;/keyword&gt;&lt;keyword&gt;Natural gas conversion&lt;/keyword&gt;&lt;keyword&gt;UK MARKAL&lt;/keyword&gt;&lt;/keywords&gt;&lt;dates&gt;&lt;year&gt;2013&lt;/year&gt;&lt;/dates&gt;&lt;urls&gt;&lt;pdf-urls&gt;&lt;url&gt;file://Users\David\Library\Application Support\Mendeley Desktop\Downloaded\Dodds, Demoullin - 2013 - Conversion of the UK gas system to transport hydrogen.pdf&lt;/url&gt;&lt;/pdf-urls&gt;&lt;/urls&gt;&lt;electronic-resource-num&gt;10.1016/j.ijhydene.2013.03.070&lt;/electronic-resource-num&gt;&lt;/record&gt;&lt;/Cite&gt;&lt;/EndNote&gt;</w:instrText>
            </w:r>
            <w:r w:rsidRPr="006916CC">
              <w:rPr>
                <w:color w:val="000000"/>
              </w:rPr>
              <w:fldChar w:fldCharType="separate"/>
            </w:r>
            <w:r w:rsidR="00AA243F">
              <w:rPr>
                <w:b w:val="0"/>
                <w:bCs w:val="0"/>
                <w:noProof/>
                <w:color w:val="000000"/>
              </w:rPr>
              <w:t>[</w:t>
            </w:r>
            <w:hyperlink w:anchor="_ENREF_21" w:tooltip="Dodds, 2013 #1026" w:history="1">
              <w:r w:rsidR="006210AE">
                <w:rPr>
                  <w:b w:val="0"/>
                  <w:bCs w:val="0"/>
                  <w:noProof/>
                  <w:color w:val="000000"/>
                </w:rPr>
                <w:t>21</w:t>
              </w:r>
            </w:hyperlink>
            <w:r w:rsidR="00AA243F">
              <w:rPr>
                <w:b w:val="0"/>
                <w:bCs w:val="0"/>
                <w:noProof/>
                <w:color w:val="000000"/>
              </w:rPr>
              <w:t>]</w:t>
            </w:r>
            <w:r w:rsidRPr="006916CC">
              <w:rPr>
                <w:color w:val="000000"/>
              </w:rPr>
              <w:fldChar w:fldCharType="end"/>
            </w:r>
          </w:p>
        </w:tc>
        <w:tc>
          <w:tcPr>
            <w:tcW w:w="0" w:type="dxa"/>
          </w:tcPr>
          <w:p w14:paraId="1ED301E4" w14:textId="77777777" w:rsidR="00AD3ACB" w:rsidRPr="00E873EC" w:rsidRDefault="00AD3ACB"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United Kingdom</w:t>
            </w:r>
          </w:p>
        </w:tc>
        <w:tc>
          <w:tcPr>
            <w:tcW w:w="3702" w:type="dxa"/>
          </w:tcPr>
          <w:p w14:paraId="1FFC445F" w14:textId="77777777" w:rsidR="00AD3ACB" w:rsidRPr="009D1EF7" w:rsidRDefault="00AD3ACB" w:rsidP="00AD3ACB">
            <w:pPr>
              <w:pStyle w:val="NoSpacing"/>
              <w:numPr>
                <w:ilvl w:val="0"/>
                <w:numId w:val="6"/>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SMR (With/without CCS)</w:t>
            </w:r>
          </w:p>
          <w:p w14:paraId="2BD7C15C" w14:textId="77777777" w:rsidR="00AD3ACB" w:rsidRPr="009D1EF7" w:rsidRDefault="00AD3ACB" w:rsidP="00AD3ACB">
            <w:pPr>
              <w:pStyle w:val="NoSpacing"/>
              <w:numPr>
                <w:ilvl w:val="0"/>
                <w:numId w:val="6"/>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Coal gasification (with/without CCS)</w:t>
            </w:r>
          </w:p>
          <w:p w14:paraId="0F21BFE4" w14:textId="77777777" w:rsidR="00AD3ACB" w:rsidRPr="009D1EF7" w:rsidRDefault="00AD3ACB" w:rsidP="00AD3ACB">
            <w:pPr>
              <w:pStyle w:val="NoSpacing"/>
              <w:numPr>
                <w:ilvl w:val="0"/>
                <w:numId w:val="6"/>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Biomass gasification (with/without CCS)</w:t>
            </w:r>
          </w:p>
        </w:tc>
        <w:tc>
          <w:tcPr>
            <w:tcW w:w="2869" w:type="dxa"/>
          </w:tcPr>
          <w:p w14:paraId="1CCB3CA9" w14:textId="77777777" w:rsidR="00AD3ACB" w:rsidRPr="009D1EF7" w:rsidRDefault="00AD3ACB" w:rsidP="00AD3ACB">
            <w:pPr>
              <w:pStyle w:val="NoSpacing"/>
              <w:numPr>
                <w:ilvl w:val="0"/>
                <w:numId w:val="6"/>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Pipeline (GH2)</w:t>
            </w:r>
          </w:p>
          <w:p w14:paraId="3BE2E707" w14:textId="77777777" w:rsidR="00AD3ACB" w:rsidRPr="009D1EF7" w:rsidRDefault="00AD3ACB" w:rsidP="00AD3ACB">
            <w:pPr>
              <w:pStyle w:val="NoSpacing"/>
              <w:numPr>
                <w:ilvl w:val="0"/>
                <w:numId w:val="6"/>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tcPr>
          <w:p w14:paraId="0AC5C3E6" w14:textId="77777777" w:rsidR="00AD3ACB" w:rsidRPr="00E873EC" w:rsidRDefault="00AD3ACB" w:rsidP="00132575">
            <w:pPr>
              <w:pStyle w:val="NoSpacing"/>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c>
          <w:tcPr>
            <w:tcW w:w="1506" w:type="dxa"/>
          </w:tcPr>
          <w:p w14:paraId="5FF9058D"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N/A</w:t>
            </w:r>
          </w:p>
        </w:tc>
        <w:tc>
          <w:tcPr>
            <w:tcW w:w="0" w:type="dxa"/>
          </w:tcPr>
          <w:p w14:paraId="6F56D87F"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r w:rsidR="003C7F9A" w:rsidRPr="00E873EC" w14:paraId="3ACB9158" w14:textId="77777777" w:rsidTr="003C7F9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tcPr>
          <w:p w14:paraId="673B3F49" w14:textId="1CFF4A43"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&lt;EndNote&gt;&lt;Cite&gt;&lt;Author&gt;Reuß&lt;/Author&gt;&lt;Year&gt;2019&lt;/Year&gt;&lt;RecNum&gt;932&lt;/RecNum&gt;&lt;DisplayText&gt;[22]&lt;/DisplayText&gt;&lt;record&gt;&lt;rec-number&gt;932&lt;/rec-number&gt;&lt;foreign-keys&gt;&lt;key app="EN" db-id="w500zpaaheraz8epaw1p29dtf2ff9zrswv50" timestamp="1607697901"&gt;932&lt;/key&gt;&lt;/foreign-keys&gt;&lt;ref-type name="Journal Article"&gt;17&lt;/ref-type&gt;&lt;contributors&gt;&lt;authors&gt;&lt;author&gt;Reuß, Markus&lt;/author&gt;&lt;author&gt;Welder, Lara&lt;/author&gt;&lt;author&gt;Thürauf, Johannes&lt;/author&gt;&lt;author&gt;Linßen, Jochen&lt;/author&gt;&lt;author&gt;Grube, Thomas&lt;/author&gt;&lt;author&gt;Schewe, Lars&lt;/author&gt;&lt;author&gt;Schmidt, Martin&lt;/author&gt;&lt;author&gt;Stolten, Detlef&lt;/author&gt;&lt;author&gt;Robinius, Martin&lt;/author&gt;&lt;/authors&gt;&lt;/contributors&gt;&lt;titles&gt;&lt;title&gt;Modeling hydrogen networks for future energy systems: A comparison of linear and nonlinear approaches&lt;/title&gt;&lt;secondary-title&gt;International Journal of Hydrogen Energy&lt;/secondary-title&gt;&lt;/titles&gt;&lt;periodical&gt;&lt;full-title&gt;International Journal of Hydrogen Energy&lt;/full-title&gt;&lt;/periodical&gt;&lt;keywords&gt;&lt;keyword&gt;Hydrogen infrastructure&lt;/keyword&gt;&lt;keyword&gt;Hydrogen reconversion&lt;/keyword&gt;&lt;keyword&gt;Pipeline design optimization&lt;/keyword&gt;&lt;keyword&gt;Pressure drop&lt;/keyword&gt;&lt;keyword&gt;Robust optimization&lt;/keyword&gt;&lt;keyword&gt;Spatial resolution&lt;/keyword&gt;&lt;/keywords&gt;&lt;dates&gt;&lt;year&gt;2019&lt;/year&gt;&lt;/dates&gt;&lt;urls&gt;&lt;pdf-urls&gt;&lt;url&gt;file://Users\David\Library\Application Support\Mendeley Desktop\Downloaded\Reuß et al. - 2019 - Modeling hydrogen networks for future energy systems A comparison of linear and nonlinear approaches(2).pdf&lt;/url&gt;&lt;/pdf-urls&gt;&lt;/urls&gt;&lt;electronic-resource-num&gt;10.1016/j.ijhydene.2019.10.080&lt;/electronic-resource-num&gt;&lt;/record&gt;&lt;/Cite&gt;&lt;/EndNote&gt;</w:instrText>
            </w:r>
            <w:r w:rsidRPr="006916CC">
              <w:rPr>
                <w:color w:val="000000"/>
              </w:rPr>
              <w:fldChar w:fldCharType="separate"/>
            </w:r>
            <w:r w:rsidR="00AA243F">
              <w:rPr>
                <w:b w:val="0"/>
                <w:bCs w:val="0"/>
                <w:noProof/>
                <w:color w:val="000000"/>
              </w:rPr>
              <w:t>[</w:t>
            </w:r>
            <w:hyperlink w:anchor="_ENREF_22" w:tooltip="Reuß, 2019 #932" w:history="1">
              <w:r w:rsidR="006210AE">
                <w:rPr>
                  <w:b w:val="0"/>
                  <w:bCs w:val="0"/>
                  <w:noProof/>
                  <w:color w:val="000000"/>
                </w:rPr>
                <w:t>22</w:t>
              </w:r>
            </w:hyperlink>
            <w:r w:rsidR="00AA243F">
              <w:rPr>
                <w:b w:val="0"/>
                <w:bCs w:val="0"/>
                <w:noProof/>
                <w:color w:val="000000"/>
              </w:rPr>
              <w:t>]</w:t>
            </w:r>
            <w:r w:rsidRPr="006916CC">
              <w:rPr>
                <w:color w:val="000000"/>
              </w:rPr>
              <w:fldChar w:fldCharType="end"/>
            </w:r>
          </w:p>
        </w:tc>
        <w:tc>
          <w:tcPr>
            <w:tcW w:w="0" w:type="dxa"/>
          </w:tcPr>
          <w:p w14:paraId="66F7B9A5" w14:textId="77777777" w:rsidR="00AD3ACB" w:rsidRPr="00E873EC" w:rsidRDefault="00AD3ACB"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Germany</w:t>
            </w:r>
          </w:p>
        </w:tc>
        <w:tc>
          <w:tcPr>
            <w:tcW w:w="3702" w:type="dxa"/>
          </w:tcPr>
          <w:p w14:paraId="4899DEE2" w14:textId="77777777" w:rsidR="00AD3ACB" w:rsidRPr="009D1EF7" w:rsidRDefault="00AD3ACB" w:rsidP="00AD3ACB">
            <w:pPr>
              <w:pStyle w:val="NoSpacing"/>
              <w:numPr>
                <w:ilvl w:val="0"/>
                <w:numId w:val="6"/>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Renewable Electricity Sources</w:t>
            </w:r>
          </w:p>
        </w:tc>
        <w:tc>
          <w:tcPr>
            <w:tcW w:w="2869" w:type="dxa"/>
          </w:tcPr>
          <w:p w14:paraId="52086C2D" w14:textId="77777777" w:rsidR="00AD3ACB" w:rsidRPr="009D1EF7" w:rsidRDefault="00AD3ACB" w:rsidP="00AD3ACB">
            <w:pPr>
              <w:pStyle w:val="NoSpacing"/>
              <w:numPr>
                <w:ilvl w:val="0"/>
                <w:numId w:val="6"/>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Pipeline (GH2)</w:t>
            </w:r>
          </w:p>
          <w:p w14:paraId="282ADFA7" w14:textId="77777777" w:rsidR="00AD3ACB" w:rsidRPr="009D1EF7" w:rsidRDefault="00AD3ACB" w:rsidP="00AD3ACB">
            <w:pPr>
              <w:pStyle w:val="NoSpacing"/>
              <w:numPr>
                <w:ilvl w:val="0"/>
                <w:numId w:val="6"/>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tcPr>
          <w:p w14:paraId="0FD2D353" w14:textId="77777777" w:rsidR="00AD3ACB" w:rsidRPr="00E873EC" w:rsidRDefault="00AD3ACB"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Geological Formations (GH2)</w:t>
            </w:r>
          </w:p>
        </w:tc>
        <w:tc>
          <w:tcPr>
            <w:tcW w:w="1506" w:type="dxa"/>
          </w:tcPr>
          <w:p w14:paraId="2601DFD6"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c>
          <w:tcPr>
            <w:tcW w:w="0" w:type="dxa"/>
          </w:tcPr>
          <w:p w14:paraId="30F4CF90"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r>
      <w:tr w:rsidR="003C7F9A" w:rsidRPr="00E873EC" w14:paraId="7A4D269D" w14:textId="77777777" w:rsidTr="003C7F9A">
        <w:trPr>
          <w:trHeight w:val="70"/>
        </w:trPr>
        <w:tc>
          <w:tcPr>
            <w:cnfStyle w:val="001000000000" w:firstRow="0" w:lastRow="0" w:firstColumn="1" w:lastColumn="0" w:oddVBand="0" w:evenVBand="0" w:oddHBand="0" w:evenHBand="0" w:firstRowFirstColumn="0" w:firstRowLastColumn="0" w:lastRowFirstColumn="0" w:lastRowLastColumn="0"/>
            <w:tcW w:w="1107" w:type="dxa"/>
          </w:tcPr>
          <w:p w14:paraId="2E93A221" w14:textId="57826126" w:rsidR="00AD3ACB" w:rsidRPr="006916CC" w:rsidRDefault="00C167DB" w:rsidP="00132575">
            <w:pPr>
              <w:pStyle w:val="NoSpacing"/>
              <w:rPr>
                <w:b w:val="0"/>
                <w:bCs w:val="0"/>
                <w:szCs w:val="20"/>
                <w:lang w:val="en-GB"/>
              </w:rPr>
            </w:pPr>
            <w:r w:rsidRPr="006916CC">
              <w:rPr>
                <w:color w:val="000000"/>
              </w:rPr>
              <w:fldChar w:fldCharType="begin">
                <w:fldData xml:space="preserve">PEVuZE5vdGU+PENpdGU+PEF1dGhvcj5Sb2Jpbml1czwvQXV0aG9yPjxZZWFyPjIwMTc8L1llYXI+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</w:fldData>
              </w:fldChar>
            </w:r>
            <w:r w:rsidR="00AA243F">
              <w:rPr>
                <w:b w:val="0"/>
                <w:bCs w:val="0"/>
                <w:color w:val="000000"/>
              </w:rPr>
              <w:instrText xml:space="preserve"> ADDIN EN.CITE </w:instrText>
            </w:r>
            <w:r w:rsidR="00AA243F">
              <w:rPr>
                <w:color w:val="000000"/>
              </w:rPr>
              <w:fldChar w:fldCharType="begin">
                <w:fldData xml:space="preserve">PEVuZE5vdGU+PENpdGU+PEF1dGhvcj5Sb2Jpbml1czwvQXV0aG9yPjxZZWFyPjIwMTc8L1llYXI+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</w:fldData>
              </w:fldChar>
            </w:r>
            <w:r w:rsidR="00AA243F">
              <w:rPr>
                <w:b w:val="0"/>
                <w:bCs w:val="0"/>
                <w:color w:val="000000"/>
              </w:rPr>
              <w:instrText xml:space="preserve"> ADDIN EN.CITE.DATA </w:instrText>
            </w:r>
            <w:r w:rsidR="00AA243F">
              <w:rPr>
                <w:color w:val="000000"/>
              </w:rPr>
            </w:r>
            <w:r w:rsidR="00AA243F">
              <w:rPr>
                <w:color w:val="000000"/>
              </w:rPr>
              <w:fldChar w:fldCharType="end"/>
            </w:r>
            <w:r w:rsidRPr="006916CC">
              <w:rPr>
                <w:color w:val="000000"/>
              </w:rPr>
            </w:r>
            <w:r w:rsidRPr="006916CC">
              <w:rPr>
                <w:color w:val="000000"/>
              </w:rPr>
              <w:fldChar w:fldCharType="separate"/>
            </w:r>
            <w:r w:rsidR="00AA243F">
              <w:rPr>
                <w:b w:val="0"/>
                <w:bCs w:val="0"/>
                <w:noProof/>
                <w:color w:val="000000"/>
              </w:rPr>
              <w:t>[</w:t>
            </w:r>
            <w:hyperlink w:anchor="_ENREF_25" w:tooltip="Robinius, 2017 #931" w:history="1">
              <w:r w:rsidR="006210AE">
                <w:rPr>
                  <w:b w:val="0"/>
                  <w:bCs w:val="0"/>
                  <w:noProof/>
                  <w:color w:val="000000"/>
                </w:rPr>
                <w:t>25</w:t>
              </w:r>
            </w:hyperlink>
            <w:r w:rsidR="00AA243F">
              <w:rPr>
                <w:b w:val="0"/>
                <w:bCs w:val="0"/>
                <w:noProof/>
                <w:color w:val="000000"/>
              </w:rPr>
              <w:t xml:space="preserve">, </w:t>
            </w:r>
            <w:hyperlink w:anchor="_ENREF_26" w:tooltip="Robinius, 2017 #930" w:history="1">
              <w:r w:rsidR="006210AE">
                <w:rPr>
                  <w:b w:val="0"/>
                  <w:bCs w:val="0"/>
                  <w:noProof/>
                  <w:color w:val="000000"/>
                </w:rPr>
                <w:t>26</w:t>
              </w:r>
            </w:hyperlink>
            <w:r w:rsidR="00AA243F">
              <w:rPr>
                <w:b w:val="0"/>
                <w:bCs w:val="0"/>
                <w:noProof/>
                <w:color w:val="000000"/>
              </w:rPr>
              <w:t>]</w:t>
            </w:r>
            <w:r w:rsidRPr="006916CC">
              <w:rPr>
                <w:color w:val="000000"/>
              </w:rPr>
              <w:fldChar w:fldCharType="end"/>
            </w:r>
          </w:p>
        </w:tc>
        <w:tc>
          <w:tcPr>
            <w:tcW w:w="0" w:type="dxa"/>
          </w:tcPr>
          <w:p w14:paraId="70BF9890" w14:textId="77777777" w:rsidR="00AD3ACB" w:rsidRPr="00E873EC" w:rsidRDefault="00AD3ACB"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Germany</w:t>
            </w:r>
          </w:p>
        </w:tc>
        <w:tc>
          <w:tcPr>
            <w:tcW w:w="3702" w:type="dxa"/>
          </w:tcPr>
          <w:p w14:paraId="014CBE95" w14:textId="77777777" w:rsidR="00AD3ACB" w:rsidRPr="009D1EF7" w:rsidRDefault="00AD3ACB" w:rsidP="00AD3ACB">
            <w:pPr>
              <w:pStyle w:val="NoSpacing"/>
              <w:numPr>
                <w:ilvl w:val="0"/>
                <w:numId w:val="6"/>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Renewable Electricity Sources</w:t>
            </w:r>
          </w:p>
        </w:tc>
        <w:tc>
          <w:tcPr>
            <w:tcW w:w="2869" w:type="dxa"/>
          </w:tcPr>
          <w:p w14:paraId="78380DC0" w14:textId="77777777" w:rsidR="00AD3ACB" w:rsidRPr="009D1EF7" w:rsidRDefault="00AD3ACB" w:rsidP="00AD3ACB">
            <w:pPr>
              <w:pStyle w:val="NoSpacing"/>
              <w:numPr>
                <w:ilvl w:val="0"/>
                <w:numId w:val="6"/>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Pipeline (GH2)</w:t>
            </w:r>
          </w:p>
          <w:p w14:paraId="197484BA" w14:textId="77777777" w:rsidR="00AD3ACB" w:rsidRPr="009D1EF7" w:rsidRDefault="00AD3ACB" w:rsidP="00AD3ACB">
            <w:pPr>
              <w:pStyle w:val="NoSpacing"/>
              <w:numPr>
                <w:ilvl w:val="0"/>
                <w:numId w:val="6"/>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tcPr>
          <w:p w14:paraId="261489E5" w14:textId="77777777" w:rsidR="00AD3ACB" w:rsidRPr="00E873EC" w:rsidRDefault="00AD3ACB"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Geological formations (GH2)</w:t>
            </w:r>
          </w:p>
        </w:tc>
        <w:tc>
          <w:tcPr>
            <w:tcW w:w="1506" w:type="dxa"/>
          </w:tcPr>
          <w:p w14:paraId="7CFAE41D"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Yes</w:t>
            </w:r>
          </w:p>
        </w:tc>
        <w:tc>
          <w:tcPr>
            <w:tcW w:w="0" w:type="dxa"/>
          </w:tcPr>
          <w:p w14:paraId="400E2924"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r w:rsidR="003C7F9A" w:rsidRPr="00E873EC" w14:paraId="7B3C8744" w14:textId="77777777" w:rsidTr="003C7F9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hideMark/>
          </w:tcPr>
          <w:p w14:paraId="7CCF3B62" w14:textId="5039D3A7"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Pr="006916CC">
              <w:rPr>
                <w:color w:val="000000"/>
              </w:rPr>
              <w:fldChar w:fldCharType="separate"/>
            </w:r>
            <w:r w:rsidR="00AA243F">
              <w:rPr>
                <w:b w:val="0"/>
                <w:bCs w:val="0"/>
                <w:noProof/>
                <w:color w:val="000000"/>
              </w:rPr>
              <w:t>[</w:t>
            </w:r>
            <w:hyperlink w:anchor="_ENREF_23" w:tooltip="Samsatli, 2016 #1095" w:history="1">
              <w:r w:rsidR="006210AE">
                <w:rPr>
                  <w:b w:val="0"/>
                  <w:bCs w:val="0"/>
                  <w:noProof/>
                  <w:color w:val="000000"/>
                </w:rPr>
                <w:t>23</w:t>
              </w:r>
            </w:hyperlink>
            <w:r w:rsidR="00AA243F">
              <w:rPr>
                <w:b w:val="0"/>
                <w:bCs w:val="0"/>
                <w:noProof/>
                <w:color w:val="000000"/>
              </w:rPr>
              <w:t>]</w:t>
            </w:r>
            <w:r w:rsidRPr="006916CC">
              <w:rPr>
                <w:color w:val="000000"/>
              </w:rPr>
              <w:fldChar w:fldCharType="end"/>
            </w:r>
          </w:p>
        </w:tc>
        <w:tc>
          <w:tcPr>
            <w:tcW w:w="0" w:type="dxa"/>
            <w:hideMark/>
          </w:tcPr>
          <w:p w14:paraId="3526239A" w14:textId="77777777" w:rsidR="00AD3ACB" w:rsidRPr="00E873EC" w:rsidRDefault="00AD3ACB"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United Kingdom</w:t>
            </w:r>
          </w:p>
        </w:tc>
        <w:tc>
          <w:tcPr>
            <w:tcW w:w="3702" w:type="dxa"/>
            <w:hideMark/>
          </w:tcPr>
          <w:p w14:paraId="13308E4F" w14:textId="77777777" w:rsidR="00AD3ACB" w:rsidRPr="009D1EF7" w:rsidRDefault="00AD3ACB"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Electrolysis from wind turbines.</w:t>
            </w:r>
          </w:p>
        </w:tc>
        <w:tc>
          <w:tcPr>
            <w:tcW w:w="2869" w:type="dxa"/>
            <w:hideMark/>
          </w:tcPr>
          <w:p w14:paraId="48D02B7D" w14:textId="77777777" w:rsidR="00AD3ACB" w:rsidRPr="009D1EF7" w:rsidRDefault="00AD3ACB"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Pipeline (GH2)</w:t>
            </w:r>
          </w:p>
          <w:p w14:paraId="75213C7D" w14:textId="77777777" w:rsidR="00AD3ACB" w:rsidRPr="009D1EF7" w:rsidRDefault="00AD3ACB"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Electricity transmission lines.</w:t>
            </w:r>
          </w:p>
          <w:p w14:paraId="171A7EB3" w14:textId="77777777" w:rsidR="00AD3ACB" w:rsidRPr="009D1EF7" w:rsidRDefault="00AD3ACB"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hideMark/>
          </w:tcPr>
          <w:p w14:paraId="6E7B5318" w14:textId="77777777" w:rsidR="00AD3ACB" w:rsidRPr="00E873EC" w:rsidRDefault="00AD3ACB"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Geological Formations (GH2)</w:t>
            </w:r>
          </w:p>
          <w:p w14:paraId="0C2FB728" w14:textId="77777777" w:rsidR="00AD3ACB" w:rsidRPr="00E873EC" w:rsidRDefault="00AD3ACB"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Storage vessels. (GH2)</w:t>
            </w:r>
          </w:p>
        </w:tc>
        <w:tc>
          <w:tcPr>
            <w:tcW w:w="1506" w:type="dxa"/>
            <w:hideMark/>
          </w:tcPr>
          <w:p w14:paraId="1D9241B1"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Yes</w:t>
            </w:r>
          </w:p>
        </w:tc>
        <w:tc>
          <w:tcPr>
            <w:tcW w:w="0" w:type="dxa"/>
            <w:hideMark/>
          </w:tcPr>
          <w:p w14:paraId="0EEED3B5"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r>
      <w:tr w:rsidR="003C7F9A" w:rsidRPr="00E873EC" w14:paraId="676BA841" w14:textId="77777777" w:rsidTr="003C7F9A">
        <w:trPr>
          <w:trHeight w:val="190"/>
        </w:trPr>
        <w:tc>
          <w:tcPr>
            <w:cnfStyle w:val="001000000000" w:firstRow="0" w:lastRow="0" w:firstColumn="1" w:lastColumn="0" w:oddVBand="0" w:evenVBand="0" w:oddHBand="0" w:evenHBand="0" w:firstRowFirstColumn="0" w:firstRowLastColumn="0" w:lastRowFirstColumn="0" w:lastRowLastColumn="0"/>
            <w:tcW w:w="1107" w:type="dxa"/>
          </w:tcPr>
          <w:p w14:paraId="5C1E249A" w14:textId="012E0DE9" w:rsidR="00AD3ACB" w:rsidRPr="006916CC" w:rsidRDefault="00C167DB" w:rsidP="00132575">
            <w:pPr>
              <w:pStyle w:val="NoSpacing"/>
              <w:rPr>
                <w:b w:val="0"/>
                <w:bCs w:val="0"/>
                <w:szCs w:val="20"/>
                <w:lang w:val="en-GB"/>
              </w:rPr>
            </w:pPr>
            <w:r w:rsidRPr="006916CC">
              <w:rPr>
                <w:color w:val="000000"/>
              </w:rPr>
              <w:fldChar w:fldCharType="begin"/>
            </w:r>
            <w:r w:rsidR="00AA243F">
              <w:rPr>
                <w:b w:val="0"/>
                <w:bCs w:val="0"/>
                <w:color w:val="000000"/>
              </w:rPr>
              <w:instrText xml:space="preserve"> ADDIN EN.CITE &lt;EndNote&gt;&lt;Cite&gt;&lt;Author&gt;Colbertaldo&lt;/Author&gt;&lt;Year&gt;2018&lt;/Year&gt;&lt;RecNum&gt;1045&lt;/RecNum&gt;&lt;DisplayText&gt;[29]&lt;/DisplayText&gt;&lt;record&gt;&lt;rec-number&gt;1045&lt;/rec-number&gt;&lt;foreign-keys&gt;&lt;key app="EN" db-id="w500zpaaheraz8epaw1p29dtf2ff9zrswv50" timestamp="1607697901"&gt;1045&lt;/key&gt;&lt;/foreign-keys&gt;&lt;ref-type name="Journal Article"&gt;17&lt;/ref-type&gt;&lt;contributors&gt;&lt;authors&gt;&lt;author&gt;Colbertaldo, Paolo&lt;/author&gt;&lt;author&gt;Guandalini, Giulio&lt;/author&gt;&lt;author&gt;Campanari, Stefano&lt;/author&gt;&lt;/authors&gt;&lt;/contributors&gt;&lt;titles&gt;&lt;title&gt;Modelling the integrated power and transport energy system: The role of power-to-gas and hydrogen in long-term scenarios for Italy&lt;/title&gt;&lt;secondary-title&gt;Energy&lt;/secondary-title&gt;&lt;/titles&gt;&lt;periodical&gt;&lt;full-title&gt;Energy&lt;/full-title&gt;&lt;/periodical&gt;&lt;pages&gt;592-601&lt;/pages&gt;&lt;volume&gt;154&lt;/volume&gt;&lt;keywords&gt;&lt;keyword&gt;Hydrogen&lt;/keyword&gt;&lt;keyword&gt;Integration&lt;/keyword&gt;&lt;keyword&gt;Long-term scenarios&lt;/keyword&gt;&lt;keyword&gt;Multi-node modelling&lt;/keyword&gt;&lt;keyword&gt;Power and transport&lt;/keyword&gt;&lt;keyword&gt;Power-to-Gas&lt;/keyword&gt;&lt;/keywords&gt;&lt;dates&gt;&lt;year&gt;2018&lt;/year&gt;&lt;/dates&gt;&lt;publisher&gt;Elsevier Ltd&lt;/publisher&gt;&lt;urls&gt;&lt;related-urls&gt;&lt;url&gt;https://doi.org/10.1016/j.energy.2018.04.089&lt;/url&gt;&lt;/related-urls&gt;&lt;pdf-urls&gt;&lt;url&gt;file://Users\David\Library\Application Support\Mendeley Desktop\Downloaded\Colbertaldo, Guandalini, Campanari - 2018 - Modelling the integrated power and transport energy system The role of power-to-gas and hydr.pdf&lt;/url&gt;&lt;/pdf-urls&gt;&lt;/urls&gt;&lt;electronic-resource-num&gt;10.1016/j.energy.2018.04.089&lt;/electronic-resource-num&gt;&lt;/record&gt;&lt;/Cite&gt;&lt;/EndNote&gt;</w:instrText>
            </w:r>
            <w:r w:rsidRPr="006916CC">
              <w:rPr>
                <w:color w:val="000000"/>
              </w:rPr>
              <w:fldChar w:fldCharType="separate"/>
            </w:r>
            <w:r w:rsidR="00AA243F">
              <w:rPr>
                <w:b w:val="0"/>
                <w:bCs w:val="0"/>
                <w:noProof/>
                <w:color w:val="000000"/>
              </w:rPr>
              <w:t>[</w:t>
            </w:r>
            <w:hyperlink w:anchor="_ENREF_29" w:tooltip="Colbertaldo, 2018 #1045" w:history="1">
              <w:r w:rsidR="006210AE">
                <w:rPr>
                  <w:b w:val="0"/>
                  <w:bCs w:val="0"/>
                  <w:noProof/>
                  <w:color w:val="000000"/>
                </w:rPr>
                <w:t>29</w:t>
              </w:r>
            </w:hyperlink>
            <w:r w:rsidR="00AA243F">
              <w:rPr>
                <w:b w:val="0"/>
                <w:bCs w:val="0"/>
                <w:noProof/>
                <w:color w:val="000000"/>
              </w:rPr>
              <w:t>]</w:t>
            </w:r>
            <w:r w:rsidRPr="006916CC">
              <w:rPr>
                <w:color w:val="000000"/>
              </w:rPr>
              <w:fldChar w:fldCharType="end"/>
            </w:r>
          </w:p>
        </w:tc>
        <w:tc>
          <w:tcPr>
            <w:tcW w:w="0" w:type="dxa"/>
          </w:tcPr>
          <w:p w14:paraId="0B6F0D2D" w14:textId="77777777" w:rsidR="00AD3ACB" w:rsidRPr="00E873EC" w:rsidRDefault="00AD3ACB"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Italy</w:t>
            </w:r>
          </w:p>
        </w:tc>
        <w:tc>
          <w:tcPr>
            <w:tcW w:w="3702" w:type="dxa"/>
          </w:tcPr>
          <w:p w14:paraId="3E593A09" w14:textId="77777777" w:rsidR="00AD3ACB" w:rsidRPr="009D1EF7" w:rsidRDefault="00AD3ACB"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SMR</w:t>
            </w:r>
          </w:p>
          <w:p w14:paraId="00143813" w14:textId="77777777" w:rsidR="00AD3ACB" w:rsidRPr="009D1EF7" w:rsidRDefault="00AD3ACB"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Coal Gasification</w:t>
            </w:r>
          </w:p>
          <w:p w14:paraId="22B7EB59" w14:textId="77777777" w:rsidR="00AD3ACB" w:rsidRPr="009D1EF7" w:rsidRDefault="00AD3ACB"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Biomass Gasification</w:t>
            </w:r>
          </w:p>
          <w:p w14:paraId="04CC82E3" w14:textId="77777777" w:rsidR="00AD3ACB" w:rsidRPr="009D1EF7" w:rsidRDefault="00AD3ACB"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Renewable Electricity Sources</w:t>
            </w:r>
          </w:p>
        </w:tc>
        <w:tc>
          <w:tcPr>
            <w:tcW w:w="2869" w:type="dxa"/>
          </w:tcPr>
          <w:p w14:paraId="34C5FF81" w14:textId="77777777" w:rsidR="00AD3ACB" w:rsidRPr="009D1EF7" w:rsidRDefault="00AD3ACB"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Pipeline (GH2)</w:t>
            </w:r>
          </w:p>
          <w:p w14:paraId="2AE7C4D1" w14:textId="77777777" w:rsidR="00AD3ACB" w:rsidRPr="009D1EF7" w:rsidRDefault="00AD3ACB"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Electricity transmission lines.</w:t>
            </w:r>
          </w:p>
          <w:p w14:paraId="18764E4F" w14:textId="77777777" w:rsidR="00AD3ACB" w:rsidRPr="009D1EF7" w:rsidRDefault="00AD3ACB"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tcPr>
          <w:p w14:paraId="0DA6F203" w14:textId="77777777" w:rsidR="00AD3ACB" w:rsidRPr="00E873EC" w:rsidRDefault="00AD3ACB"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 xml:space="preserve">Battery Storage </w:t>
            </w:r>
          </w:p>
          <w:p w14:paraId="276C53D3" w14:textId="77777777" w:rsidR="00AD3ACB" w:rsidRDefault="00AD3ACB"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Pump</w:t>
            </w:r>
            <w:r w:rsidR="00C624B8">
              <w:rPr>
                <w:szCs w:val="20"/>
                <w:lang w:val="en-GB"/>
              </w:rPr>
              <w:t>ed</w:t>
            </w:r>
            <w:r w:rsidRPr="00E873EC">
              <w:rPr>
                <w:szCs w:val="20"/>
                <w:lang w:val="en-GB"/>
              </w:rPr>
              <w:t xml:space="preserve"> Hydro</w:t>
            </w:r>
          </w:p>
          <w:p w14:paraId="589F113D" w14:textId="7E9A7472" w:rsidR="00B222C0" w:rsidRPr="00E873EC" w:rsidRDefault="00B222C0"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Compressed Hydrogen (GH2)</w:t>
            </w:r>
          </w:p>
        </w:tc>
        <w:tc>
          <w:tcPr>
            <w:tcW w:w="1506" w:type="dxa"/>
          </w:tcPr>
          <w:p w14:paraId="69653B2E"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c>
          <w:tcPr>
            <w:tcW w:w="0" w:type="dxa"/>
          </w:tcPr>
          <w:p w14:paraId="6B9C54BC"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r w:rsidR="00134C85" w:rsidRPr="00E873EC" w14:paraId="4D3A2E57" w14:textId="77777777" w:rsidTr="00134C85">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107" w:type="dxa"/>
          </w:tcPr>
          <w:p w14:paraId="52B632CE" w14:textId="42F60BE5" w:rsidR="00134C85" w:rsidRPr="00F715A1" w:rsidRDefault="00F715A1" w:rsidP="00132575">
            <w:pPr>
              <w:pStyle w:val="NoSpacing"/>
              <w:rPr>
                <w:b w:val="0"/>
                <w:bCs w:val="0"/>
                <w:color w:val="000000"/>
              </w:rPr>
            </w:pPr>
            <w:r w:rsidRPr="00F715A1">
              <w:fldChar w:fldCharType="begin"/>
            </w:r>
            <w:r w:rsidRPr="00F715A1">
              <w:rPr>
                <w:b w:val="0"/>
                <w:bCs w:val="0"/>
              </w:rPr>
              <w:instrText xml:space="preserve"> ADDIN EN.CITE &lt;EndNote&gt;&lt;Cite&gt;&lt;Author&gt;Carrera&lt;/Author&gt;&lt;Year&gt;2021&lt;/Year&gt;&lt;RecNum&gt;1376&lt;/RecNum&gt;&lt;DisplayText&gt;[30]&lt;/DisplayText&gt;&lt;record&gt;&lt;rec-number&gt;1376&lt;/rec-number&gt;&lt;foreign-keys&gt;&lt;key app="EN" db-id="w500zpaaheraz8epaw1p29dtf2ff9zrswv50" timestamp="1622834828"&gt;1376&lt;/key&gt;&lt;/foreign-keys&gt;&lt;ref-type name="Journal Article"&gt;17&lt;/ref-type&gt;&lt;contributors&gt;&lt;authors&gt;&lt;author&gt;Carrera, Eduardo&lt;/author&gt;&lt;author&gt;Azzaro-Pantel, Catherine&lt;/author&gt;&lt;/authors&gt;&lt;/contributors&gt;&lt;titles&gt;&lt;title&gt;A methodological design framework for hydrogen and methane supply chain with special focus on Power-to-Gas systems: application to Occitania region, France&lt;/title&gt;&lt;secondary-title&gt;Computers &amp;amp; Chemical Engineering&lt;/secondary-title&gt;&lt;/titles&gt;&lt;periodical&gt;&lt;full-title&gt;Computers &amp;amp; Chemical Engineering&lt;/full-title&gt;&lt;/periodical&gt;&lt;pages&gt;107386&lt;/pages&gt;&lt;keywords&gt;&lt;keyword&gt;Power-to-Gas&lt;/keyword&gt;&lt;keyword&gt;Methanation&lt;/keyword&gt;&lt;keyword&gt;Hydrogen&lt;/keyword&gt;&lt;keyword&gt;MILP&lt;/keyword&gt;&lt;keyword&gt;supply chain&lt;/keyword&gt;&lt;keyword&gt;optimization&lt;/keyword&gt;&lt;/keywords&gt;&lt;dates&gt;&lt;year&gt;2021&lt;/year&gt;&lt;pub-dates&gt;&lt;date&gt;2021/05/31/&lt;/date&gt;&lt;/pub-dates&gt;&lt;/dates&gt;&lt;isbn&gt;0098-1354&lt;/isbn&gt;&lt;urls&gt;&lt;related-urls&gt;&lt;url&gt;https://www.sciencedirect.com/science/article/pii/S0098135421001642&lt;/url&gt;&lt;/related-urls&gt;&lt;/urls&gt;&lt;electronic-resource-num&gt;https://doi.org/10.1016/j.compchemeng.2021.107386&lt;/electronic-resource-num&gt;&lt;/record&gt;&lt;/Cite&gt;&lt;/EndNote&gt;</w:instrText>
            </w:r>
            <w:r w:rsidRPr="00F715A1">
              <w:fldChar w:fldCharType="separate"/>
            </w:r>
            <w:r w:rsidRPr="00F715A1">
              <w:rPr>
                <w:b w:val="0"/>
                <w:bCs w:val="0"/>
                <w:noProof/>
              </w:rPr>
              <w:t>[</w:t>
            </w:r>
            <w:hyperlink w:anchor="_ENREF_30" w:tooltip="Carrera, 2021 #1376" w:history="1">
              <w:r w:rsidR="006210AE" w:rsidRPr="00F715A1">
                <w:rPr>
                  <w:b w:val="0"/>
                  <w:bCs w:val="0"/>
                  <w:noProof/>
                </w:rPr>
                <w:t>30</w:t>
              </w:r>
            </w:hyperlink>
            <w:r w:rsidRPr="00F715A1">
              <w:rPr>
                <w:b w:val="0"/>
                <w:bCs w:val="0"/>
                <w:noProof/>
              </w:rPr>
              <w:t>]</w:t>
            </w:r>
            <w:r w:rsidRPr="00F715A1">
              <w:fldChar w:fldCharType="end"/>
            </w:r>
          </w:p>
        </w:tc>
        <w:tc>
          <w:tcPr>
            <w:tcW w:w="1353" w:type="dxa"/>
          </w:tcPr>
          <w:p w14:paraId="32C7FB7A" w14:textId="041DBF6D" w:rsidR="00134C85" w:rsidRPr="00E873EC" w:rsidRDefault="00134C85"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Occitania, France</w:t>
            </w:r>
          </w:p>
        </w:tc>
        <w:tc>
          <w:tcPr>
            <w:tcW w:w="3702" w:type="dxa"/>
          </w:tcPr>
          <w:p w14:paraId="7C38E877" w14:textId="77777777" w:rsidR="00134C85" w:rsidRDefault="00141F8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SMR</w:t>
            </w:r>
          </w:p>
          <w:p w14:paraId="005C5F13" w14:textId="77777777" w:rsidR="00141F8D" w:rsidRDefault="00141F8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Wind</w:t>
            </w:r>
          </w:p>
          <w:p w14:paraId="6BD7E00E" w14:textId="0DBDF6C2" w:rsidR="00141F8D" w:rsidRDefault="00141F8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Solar</w:t>
            </w:r>
          </w:p>
          <w:p w14:paraId="4BB02693" w14:textId="3FCC6882" w:rsidR="00141F8D" w:rsidRDefault="00141F8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Hydro</w:t>
            </w:r>
          </w:p>
          <w:p w14:paraId="3D074DB7" w14:textId="38B8345F" w:rsidR="00141F8D" w:rsidRPr="009D1EF7" w:rsidRDefault="00141F8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Grid</w:t>
            </w:r>
          </w:p>
        </w:tc>
        <w:tc>
          <w:tcPr>
            <w:tcW w:w="2869" w:type="dxa"/>
          </w:tcPr>
          <w:p w14:paraId="72072D10" w14:textId="77777777" w:rsidR="00134C85" w:rsidRDefault="00141F8D"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Tanker Truck (GH2)</w:t>
            </w:r>
          </w:p>
          <w:p w14:paraId="5C3D2984" w14:textId="51EC6EA0" w:rsidR="00141F8D" w:rsidRPr="009D1EF7" w:rsidRDefault="00141F8D"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Spatial Aspect</w:t>
            </w:r>
          </w:p>
        </w:tc>
        <w:tc>
          <w:tcPr>
            <w:tcW w:w="3907" w:type="dxa"/>
          </w:tcPr>
          <w:p w14:paraId="316E8419" w14:textId="3E09BCE8" w:rsidR="00134C85" w:rsidRPr="00E873EC" w:rsidRDefault="000123E3"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Compressed Hydrogen Tanks (GH2)</w:t>
            </w:r>
          </w:p>
        </w:tc>
        <w:tc>
          <w:tcPr>
            <w:tcW w:w="1506" w:type="dxa"/>
          </w:tcPr>
          <w:p w14:paraId="77CE7012" w14:textId="3D121032" w:rsidR="00134C85" w:rsidRPr="00E873EC" w:rsidRDefault="000123E3"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Yes</w:t>
            </w:r>
          </w:p>
        </w:tc>
        <w:tc>
          <w:tcPr>
            <w:tcW w:w="1179" w:type="dxa"/>
          </w:tcPr>
          <w:p w14:paraId="45AE5D32" w14:textId="2F688112" w:rsidR="00134C85" w:rsidRPr="00E873EC" w:rsidRDefault="000123E3"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No</w:t>
            </w:r>
          </w:p>
        </w:tc>
      </w:tr>
      <w:tr w:rsidR="00E83B79" w:rsidRPr="00E873EC" w14:paraId="6C6A91A1" w14:textId="77777777" w:rsidTr="00134C85">
        <w:trPr>
          <w:trHeight w:val="190"/>
        </w:trPr>
        <w:tc>
          <w:tcPr>
            <w:cnfStyle w:val="001000000000" w:firstRow="0" w:lastRow="0" w:firstColumn="1" w:lastColumn="0" w:oddVBand="0" w:evenVBand="0" w:oddHBand="0" w:evenHBand="0" w:firstRowFirstColumn="0" w:firstRowLastColumn="0" w:lastRowFirstColumn="0" w:lastRowLastColumn="0"/>
            <w:tcW w:w="1107" w:type="dxa"/>
          </w:tcPr>
          <w:p w14:paraId="16DDBF33" w14:textId="1ECB6417" w:rsidR="00E83B79" w:rsidRPr="00F715A1" w:rsidRDefault="00F715A1" w:rsidP="00132575">
            <w:pPr>
              <w:pStyle w:val="NoSpacing"/>
              <w:rPr>
                <w:b w:val="0"/>
                <w:bCs w:val="0"/>
              </w:rPr>
            </w:pPr>
            <w:r w:rsidRPr="00F715A1">
              <w:fldChar w:fldCharType="begin"/>
            </w:r>
            <w:r w:rsidRPr="00F715A1">
              <w:rPr>
                <w:b w:val="0"/>
                <w:bCs w:val="0"/>
              </w:rPr>
              <w:instrText xml:space="preserve"> ADDIN EN.CITE &lt;EndNote&gt;&lt;Cite&gt;&lt;Author&gt;Potrč&lt;/Author&gt;&lt;Year&gt;2021&lt;/Year&gt;&lt;RecNum&gt;1377&lt;/RecNum&gt;&lt;DisplayText&gt;[31]&lt;/DisplayText&gt;&lt;record&gt;&lt;rec-number&gt;1377&lt;/rec-number&gt;&lt;foreign-keys&gt;&lt;key app="EN" db-id="w500zpaaheraz8epaw1p29dtf2ff9zrswv50" timestamp="1622835041"&gt;1377&lt;/key&gt;&lt;/foreign-keys&gt;&lt;ref-type name="Journal Article"&gt;17&lt;/ref-type&gt;&lt;contributors&gt;&lt;authors&gt;&lt;author&gt;Potrč, Sanja&lt;/author&gt;&lt;author&gt;Čuček, Lidija&lt;/author&gt;&lt;author&gt;Martin, Mariano&lt;/author&gt;&lt;author&gt;Kravanja, Zdravko&lt;/author&gt;&lt;/authors&gt;&lt;/contributors&gt;&lt;titles&gt;&lt;title&gt;Sustainable renewable energy supply networks optimization – The gradual transition to a renewable energy system within the European Union by 2050&lt;/title&gt;&lt;secondary-title&gt;Renewable and Sustainable Energy Reviews&lt;/secondary-title&gt;&lt;/titles&gt;&lt;periodical&gt;&lt;full-title&gt;Renewable and Sustainable Energy Reviews&lt;/full-title&gt;&lt;/periodical&gt;&lt;pages&gt;111186&lt;/pages&gt;&lt;volume&gt;146&lt;/volume&gt;&lt;keywords&gt;&lt;keyword&gt;Energy transition&lt;/keyword&gt;&lt;keyword&gt;Renewable energy&lt;/keyword&gt;&lt;keyword&gt;Sustainability&lt;/keyword&gt;&lt;keyword&gt;Biofuels&lt;/keyword&gt;&lt;keyword&gt;Renewable electricity&lt;/keyword&gt;&lt;keyword&gt;Supply network optimization&lt;/keyword&gt;&lt;keyword&gt;European Union&lt;/keyword&gt;&lt;/keywords&gt;&lt;dates&gt;&lt;year&gt;2021&lt;/year&gt;&lt;pub-dates&gt;&lt;date&gt;2021/08/01/&lt;/date&gt;&lt;/pub-dates&gt;&lt;/dates&gt;&lt;isbn&gt;1364-0321&lt;/isbn&gt;&lt;urls&gt;&lt;related-urls&gt;&lt;url&gt;https://www.sciencedirect.com/science/article/pii/S1364032121004743&lt;/url&gt;&lt;/related-urls&gt;&lt;/urls&gt;&lt;electronic-resource-num&gt;https://doi.org/10.1016/j.rser.2021.111186&lt;/electronic-resource-num&gt;&lt;/record&gt;&lt;/Cite&gt;&lt;/EndNote&gt;</w:instrText>
            </w:r>
            <w:r w:rsidRPr="00F715A1">
              <w:fldChar w:fldCharType="separate"/>
            </w:r>
            <w:r w:rsidRPr="00F715A1">
              <w:rPr>
                <w:b w:val="0"/>
                <w:bCs w:val="0"/>
                <w:noProof/>
              </w:rPr>
              <w:t>[</w:t>
            </w:r>
            <w:hyperlink w:anchor="_ENREF_31" w:tooltip="Potrč, 2021 #1377" w:history="1">
              <w:r w:rsidR="006210AE" w:rsidRPr="00F715A1">
                <w:rPr>
                  <w:b w:val="0"/>
                  <w:bCs w:val="0"/>
                  <w:noProof/>
                </w:rPr>
                <w:t>31</w:t>
              </w:r>
            </w:hyperlink>
            <w:r w:rsidRPr="00F715A1">
              <w:rPr>
                <w:b w:val="0"/>
                <w:bCs w:val="0"/>
                <w:noProof/>
              </w:rPr>
              <w:t>]</w:t>
            </w:r>
            <w:r w:rsidRPr="00F715A1">
              <w:fldChar w:fldCharType="end"/>
            </w:r>
          </w:p>
        </w:tc>
        <w:tc>
          <w:tcPr>
            <w:tcW w:w="1353" w:type="dxa"/>
          </w:tcPr>
          <w:p w14:paraId="53FCD54D" w14:textId="513AC965" w:rsidR="00E83B79" w:rsidRDefault="00E83B79"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European Union</w:t>
            </w:r>
          </w:p>
        </w:tc>
        <w:tc>
          <w:tcPr>
            <w:tcW w:w="3702" w:type="dxa"/>
          </w:tcPr>
          <w:p w14:paraId="7377CBF6" w14:textId="77777777" w:rsidR="00E83B79" w:rsidRDefault="00E83B79"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Gasification</w:t>
            </w:r>
          </w:p>
          <w:p w14:paraId="279B428D" w14:textId="77777777" w:rsidR="00E83B79" w:rsidRDefault="00E83B79"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SMR</w:t>
            </w:r>
          </w:p>
          <w:p w14:paraId="258FD9A5" w14:textId="4B665FDD" w:rsidR="001D4EB1" w:rsidRDefault="001D4EB1" w:rsidP="00F715A1">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Electrolysis</w:t>
            </w:r>
          </w:p>
        </w:tc>
        <w:tc>
          <w:tcPr>
            <w:tcW w:w="2869" w:type="dxa"/>
          </w:tcPr>
          <w:p w14:paraId="1A9D4D49" w14:textId="760C3F7C" w:rsidR="00E83B79" w:rsidRDefault="009F48D2"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Not Considered</w:t>
            </w:r>
          </w:p>
        </w:tc>
        <w:tc>
          <w:tcPr>
            <w:tcW w:w="3907" w:type="dxa"/>
          </w:tcPr>
          <w:p w14:paraId="1FAAA1CB" w14:textId="2F5499BD" w:rsidR="00E83B79" w:rsidRDefault="009F48D2"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Not Considered</w:t>
            </w:r>
          </w:p>
        </w:tc>
        <w:tc>
          <w:tcPr>
            <w:tcW w:w="1506" w:type="dxa"/>
          </w:tcPr>
          <w:p w14:paraId="700DAC07" w14:textId="5899D8B8" w:rsidR="00E83B79" w:rsidRDefault="009F48D2"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No</w:t>
            </w:r>
          </w:p>
        </w:tc>
        <w:tc>
          <w:tcPr>
            <w:tcW w:w="1179" w:type="dxa"/>
          </w:tcPr>
          <w:p w14:paraId="578D8D17" w14:textId="456047E9" w:rsidR="00E83B79" w:rsidRDefault="009F48D2"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No</w:t>
            </w:r>
          </w:p>
        </w:tc>
      </w:tr>
      <w:tr w:rsidR="003C7F9A" w:rsidRPr="00E873EC" w14:paraId="39FD4C36" w14:textId="77777777" w:rsidTr="00F715A1">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107" w:type="dxa"/>
            <w:hideMark/>
          </w:tcPr>
          <w:p w14:paraId="57F20145" w14:textId="622303AD" w:rsidR="00AD3ACB" w:rsidRPr="00F715A1" w:rsidRDefault="00C167DB" w:rsidP="006916CC">
            <w:pPr>
              <w:pStyle w:val="NoSpacing"/>
              <w:rPr>
                <w:b w:val="0"/>
                <w:bCs w:val="0"/>
                <w:szCs w:val="20"/>
                <w:lang w:val="en-GB"/>
              </w:rPr>
            </w:pPr>
            <w:r w:rsidRPr="00F715A1">
              <w:rPr>
                <w:color w:val="000000"/>
              </w:rPr>
              <w:lastRenderedPageBreak/>
              <w:fldChar w:fldCharType="begin"/>
            </w:r>
            <w:r w:rsidR="00F715A1" w:rsidRPr="00F715A1">
              <w:rPr>
                <w:b w:val="0"/>
                <w:bCs w:val="0"/>
                <w:color w:val="000000"/>
              </w:rPr>
              <w:instrText xml:space="preserve"> ADDIN EN.CITE &lt;EndNote&gt;&lt;Cite&gt;&lt;Author&gt;Moreno-Benito&lt;/Author&gt;&lt;Year&gt;2017&lt;/Year&gt;&lt;RecNum&gt;1098&lt;/RecNum&gt;&lt;DisplayText&gt;[33]&lt;/DisplayText&gt;&lt;record&gt;&lt;rec-number&gt;1098&lt;/rec-number&gt;&lt;foreign-keys&gt;&lt;key app="EN" db-id="w500zpaaheraz8epaw1p29dtf2ff9zrswv50" timestamp="1607697901"&gt;1098&lt;/key&gt;&lt;/foreign-keys&gt;&lt;ref-type name="Journal Article"&gt;17&lt;/ref-type&gt;&lt;contributors&gt;&lt;authors&gt;&lt;author&gt;Moreno-Benito, Marta&lt;/author&gt;&lt;author&gt;Agnolucci, Paolo&lt;/author&gt;&lt;author&gt;Papageorgiou, Lazaros G.&lt;/author&gt;&lt;/authors&gt;&lt;/contributors&gt;&lt;titles&gt;&lt;title&gt;Towards a sustainable hydrogen economy: Optimisation-based framework for hydrogen infrastructure development&lt;/title&gt;&lt;secondary-title&gt;Computers &amp;amp; Chemical Engineering&lt;/secondary-title&gt;&lt;/titles&gt;&lt;periodical&gt;&lt;full-title&gt;Computers &amp;amp; Chemical Engineering&lt;/full-title&gt;&lt;/periodical&gt;&lt;pages&gt;110-127&lt;/pages&gt;&lt;volume&gt;102&lt;/volume&gt;&lt;dates&gt;&lt;year&gt;2017&lt;/year&gt;&lt;/dates&gt;&lt;publisher&gt;Pergamon&lt;/publisher&gt;&lt;urls&gt;&lt;related-urls&gt;&lt;url&gt;https://www.sciencedirect.com/science/article/pii/S0098135416302666&lt;/url&gt;&lt;/related-urls&gt;&lt;pdf-urls&gt;&lt;url&gt;file://Users\David\Library\Application Support\Mendeley Desktop\Downloaded\Moreno-Benito, Agnolucci, Papageorgiou - 2017 - Towards a sustainable hydrogen economy Optimisation-based framework for hydrogen infrast.pdf&lt;/url&gt;&lt;/pdf-urls&gt;&lt;/urls&gt;&lt;electronic-resource-num&gt;10.1016/J.COMPCHEMENG.2016.08.005&lt;/electronic-resource-num&gt;&lt;/record&gt;&lt;/Cite&gt;&lt;/EndNote&gt;</w:instrText>
            </w:r>
            <w:r w:rsidRPr="00F715A1">
              <w:rPr>
                <w:color w:val="000000"/>
              </w:rPr>
              <w:fldChar w:fldCharType="separate"/>
            </w:r>
            <w:r w:rsidR="00F715A1" w:rsidRPr="00F715A1">
              <w:rPr>
                <w:b w:val="0"/>
                <w:bCs w:val="0"/>
                <w:noProof/>
                <w:color w:val="000000"/>
              </w:rPr>
              <w:t>[</w:t>
            </w:r>
            <w:hyperlink w:anchor="_ENREF_33" w:tooltip="Moreno-Benito, 2017 #1098" w:history="1">
              <w:r w:rsidR="006210AE" w:rsidRPr="00F715A1">
                <w:rPr>
                  <w:b w:val="0"/>
                  <w:bCs w:val="0"/>
                  <w:noProof/>
                  <w:color w:val="000000"/>
                </w:rPr>
                <w:t>33</w:t>
              </w:r>
            </w:hyperlink>
            <w:r w:rsidR="00F715A1" w:rsidRPr="00F715A1">
              <w:rPr>
                <w:b w:val="0"/>
                <w:bCs w:val="0"/>
                <w:noProof/>
                <w:color w:val="000000"/>
              </w:rPr>
              <w:t>]</w:t>
            </w:r>
            <w:r w:rsidRPr="00F715A1">
              <w:rPr>
                <w:color w:val="000000"/>
              </w:rPr>
              <w:fldChar w:fldCharType="end"/>
            </w:r>
          </w:p>
        </w:tc>
        <w:tc>
          <w:tcPr>
            <w:tcW w:w="0" w:type="dxa"/>
            <w:hideMark/>
          </w:tcPr>
          <w:p w14:paraId="7A27A1AF" w14:textId="77777777" w:rsidR="00AD3ACB" w:rsidRPr="00E873EC" w:rsidRDefault="00AD3ACB"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United Kingdom</w:t>
            </w:r>
          </w:p>
        </w:tc>
        <w:tc>
          <w:tcPr>
            <w:tcW w:w="3702" w:type="dxa"/>
            <w:hideMark/>
          </w:tcPr>
          <w:p w14:paraId="5D72ACCF" w14:textId="77777777" w:rsidR="00AD3ACB" w:rsidRPr="009D1EF7" w:rsidRDefault="00AD3ACB"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SMR; Coal gasification; Biomass gasification (with/without CCS)</w:t>
            </w:r>
          </w:p>
          <w:p w14:paraId="135C7351" w14:textId="77777777" w:rsidR="00AD3ACB" w:rsidRPr="009D1EF7" w:rsidRDefault="00AD3ACB"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Electrolysis from wind</w:t>
            </w:r>
          </w:p>
        </w:tc>
        <w:tc>
          <w:tcPr>
            <w:tcW w:w="2869" w:type="dxa"/>
            <w:hideMark/>
          </w:tcPr>
          <w:p w14:paraId="5CC0B667" w14:textId="77777777" w:rsidR="00AD3ACB" w:rsidRPr="009D1EF7" w:rsidRDefault="00AD3ACB"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Tanker (LH2 &amp; GH2)</w:t>
            </w:r>
          </w:p>
          <w:p w14:paraId="68226E4C" w14:textId="77777777" w:rsidR="00AD3ACB" w:rsidRPr="009D1EF7" w:rsidRDefault="00AD3ACB"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Pipelines (GH2)</w:t>
            </w:r>
          </w:p>
          <w:p w14:paraId="0BEE547F" w14:textId="77777777" w:rsidR="00AD3ACB" w:rsidRPr="009D1EF7" w:rsidRDefault="00AD3ACB"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hideMark/>
          </w:tcPr>
          <w:p w14:paraId="512C3B6A" w14:textId="77777777" w:rsidR="00AD3ACB" w:rsidRPr="00E873EC" w:rsidRDefault="00AD3ACB"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Storage Vessels (GH2)</w:t>
            </w:r>
          </w:p>
          <w:p w14:paraId="28F042F3" w14:textId="77777777" w:rsidR="00AD3ACB" w:rsidRPr="00E873EC" w:rsidRDefault="00AD3ACB"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Super Insulated Storage Vessels (LH2)</w:t>
            </w:r>
          </w:p>
        </w:tc>
        <w:tc>
          <w:tcPr>
            <w:tcW w:w="1506" w:type="dxa"/>
            <w:hideMark/>
          </w:tcPr>
          <w:p w14:paraId="24453E45"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Yes</w:t>
            </w:r>
          </w:p>
        </w:tc>
        <w:tc>
          <w:tcPr>
            <w:tcW w:w="0" w:type="dxa"/>
            <w:hideMark/>
          </w:tcPr>
          <w:p w14:paraId="0F729651" w14:textId="77777777" w:rsidR="00AD3ACB" w:rsidRPr="00E873EC" w:rsidRDefault="00AD3ACB"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sidRPr="00E873EC">
              <w:rPr>
                <w:szCs w:val="20"/>
                <w:lang w:val="en-GB"/>
              </w:rPr>
              <w:t>No</w:t>
            </w:r>
          </w:p>
        </w:tc>
      </w:tr>
      <w:tr w:rsidR="003C7F9A" w:rsidRPr="00E873EC" w14:paraId="0B1A3522" w14:textId="77777777" w:rsidTr="00F715A1">
        <w:trPr>
          <w:trHeight w:val="139"/>
        </w:trPr>
        <w:tc>
          <w:tcPr>
            <w:cnfStyle w:val="001000000000" w:firstRow="0" w:lastRow="0" w:firstColumn="1" w:lastColumn="0" w:oddVBand="0" w:evenVBand="0" w:oddHBand="0" w:evenHBand="0" w:firstRowFirstColumn="0" w:firstRowLastColumn="0" w:lastRowFirstColumn="0" w:lastRowLastColumn="0"/>
            <w:tcW w:w="1107" w:type="dxa"/>
            <w:hideMark/>
          </w:tcPr>
          <w:p w14:paraId="45618297" w14:textId="0E1FC613" w:rsidR="00AD3ACB" w:rsidRPr="00F715A1" w:rsidRDefault="00C167DB" w:rsidP="00132575">
            <w:pPr>
              <w:pStyle w:val="NoSpacing"/>
              <w:rPr>
                <w:b w:val="0"/>
                <w:bCs w:val="0"/>
                <w:szCs w:val="20"/>
                <w:lang w:val="en-GB"/>
              </w:rPr>
            </w:pPr>
            <w:r w:rsidRPr="00F715A1">
              <w:rPr>
                <w:color w:val="000000"/>
              </w:rPr>
              <w:fldChar w:fldCharType="begin"/>
            </w:r>
            <w:r w:rsidR="00F715A1" w:rsidRPr="00F715A1">
              <w:rPr>
                <w:b w:val="0"/>
                <w:bCs w:val="0"/>
                <w:color w:val="000000"/>
              </w:rPr>
              <w:instrText xml:space="preserve"> ADDIN EN.CITE &lt;EndNote&gt;&lt;Cite&gt;&lt;Author&gt;Almansoori&lt;/Author&gt;&lt;Year&gt;2016&lt;/Year&gt;&lt;RecNum&gt;1297&lt;/RecNum&gt;&lt;DisplayText&gt;[32]&lt;/DisplayText&gt;&lt;record&gt;&lt;rec-number&gt;1297&lt;/rec-number&gt;&lt;foreign-keys&gt;&lt;key app="EN" db-id="w500zpaaheraz8epaw1p29dtf2ff9zrswv50" timestamp="1607697983"&gt;1297&lt;/key&gt;&lt;/foreign-keys&gt;&lt;contributors&gt;&lt;authors&gt;&lt;author&gt;Almansoori, A.&lt;/author&gt;&lt;author&gt;Betancourt-Torcat, A.&lt;/author&gt;&lt;/authors&gt;&lt;/contributors&gt;&lt;titles&gt;&lt;title&gt;Design of optimization model for a hydrogen supply chain under emission constraints - A case study of Germany&lt;/title&gt;&lt;secondary-title&gt;Energy&lt;/secondary-title&gt;&lt;/titles&gt;&lt;periodical&gt;&lt;full-title&gt;Energy&lt;/full-title&gt;&lt;/periodical&gt;&lt;pages&gt;414-429&lt;/pages&gt;&lt;volume&gt;111&lt;/volume&gt;&lt;keywords&gt;&lt;keyword&gt;Design&lt;/keyword&gt;&lt;keyword&gt;Emission constraints&lt;/keyword&gt;&lt;keyword&gt;Germany&lt;/keyword&gt;&lt;keyword&gt;Hydrogen supply chain&lt;/keyword&gt;&lt;keyword&gt;Mixed integer linear programming&lt;/keyword&gt;&lt;/keywords&gt;&lt;dates&gt;&lt;year&gt;2016&lt;/year&gt;&lt;/dates&gt;&lt;publisher&gt;Pergamon&lt;/publisher&gt;&lt;urls&gt;&lt;/urls&gt;&lt;electronic-resource-num&gt;10.1016/j.energy.2016.05.123&lt;/electronic-resource-num&gt;&lt;/record&gt;&lt;/Cite&gt;&lt;/EndNote&gt;</w:instrText>
            </w:r>
            <w:r w:rsidRPr="00F715A1">
              <w:rPr>
                <w:color w:val="000000"/>
              </w:rPr>
              <w:fldChar w:fldCharType="separate"/>
            </w:r>
            <w:r w:rsidR="00F715A1" w:rsidRPr="00F715A1">
              <w:rPr>
                <w:b w:val="0"/>
                <w:bCs w:val="0"/>
                <w:noProof/>
                <w:color w:val="000000"/>
              </w:rPr>
              <w:t>[</w:t>
            </w:r>
            <w:hyperlink w:anchor="_ENREF_32" w:tooltip="Almansoori, 2016 #1297" w:history="1">
              <w:r w:rsidR="006210AE" w:rsidRPr="00F715A1">
                <w:rPr>
                  <w:b w:val="0"/>
                  <w:bCs w:val="0"/>
                  <w:noProof/>
                  <w:color w:val="000000"/>
                </w:rPr>
                <w:t>32</w:t>
              </w:r>
            </w:hyperlink>
            <w:r w:rsidR="00F715A1" w:rsidRPr="00F715A1">
              <w:rPr>
                <w:b w:val="0"/>
                <w:bCs w:val="0"/>
                <w:noProof/>
                <w:color w:val="000000"/>
              </w:rPr>
              <w:t>]</w:t>
            </w:r>
            <w:r w:rsidRPr="00F715A1">
              <w:rPr>
                <w:color w:val="000000"/>
              </w:rPr>
              <w:fldChar w:fldCharType="end"/>
            </w:r>
          </w:p>
        </w:tc>
        <w:tc>
          <w:tcPr>
            <w:tcW w:w="0" w:type="dxa"/>
            <w:hideMark/>
          </w:tcPr>
          <w:p w14:paraId="48DBC5EE" w14:textId="77777777" w:rsidR="00AD3ACB" w:rsidRPr="00E873EC" w:rsidRDefault="00AD3ACB" w:rsidP="00132575">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Germany</w:t>
            </w:r>
          </w:p>
        </w:tc>
        <w:tc>
          <w:tcPr>
            <w:tcW w:w="3702" w:type="dxa"/>
            <w:hideMark/>
          </w:tcPr>
          <w:p w14:paraId="32450498" w14:textId="77777777" w:rsidR="00AD3ACB" w:rsidRPr="009D1EF7" w:rsidRDefault="00AD3ACB"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SMR; Coal gasification; (with CCS)</w:t>
            </w:r>
          </w:p>
          <w:p w14:paraId="1CCDF97D" w14:textId="77777777" w:rsidR="00AD3ACB" w:rsidRPr="009D1EF7" w:rsidRDefault="00AD3ACB" w:rsidP="00AD3ACB">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Biomass gasification</w:t>
            </w:r>
          </w:p>
        </w:tc>
        <w:tc>
          <w:tcPr>
            <w:tcW w:w="2869" w:type="dxa"/>
            <w:hideMark/>
          </w:tcPr>
          <w:p w14:paraId="24E8E1B7" w14:textId="77777777" w:rsidR="00AD3ACB" w:rsidRPr="009D1EF7" w:rsidRDefault="00AD3ACB"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Tanker Trucks (GH2 &amp; LH2)</w:t>
            </w:r>
          </w:p>
          <w:p w14:paraId="1527F0E4" w14:textId="77777777" w:rsidR="00AD3ACB" w:rsidRPr="009D1EF7" w:rsidRDefault="00AD3ACB"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Rail Car (GH2 &amp; LH2)</w:t>
            </w:r>
          </w:p>
          <w:p w14:paraId="38511247" w14:textId="77777777" w:rsidR="00AD3ACB" w:rsidRPr="009D1EF7" w:rsidRDefault="00AD3ACB" w:rsidP="00AD3ACB">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Spatial Aspect</w:t>
            </w:r>
          </w:p>
        </w:tc>
        <w:tc>
          <w:tcPr>
            <w:tcW w:w="3907" w:type="dxa"/>
            <w:hideMark/>
          </w:tcPr>
          <w:p w14:paraId="1936F128" w14:textId="77777777" w:rsidR="00AD3ACB" w:rsidRPr="00E873EC" w:rsidRDefault="00AD3ACB"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Storage Vessels (GH2)</w:t>
            </w:r>
          </w:p>
          <w:p w14:paraId="6BCE4A52" w14:textId="77777777" w:rsidR="00AD3ACB" w:rsidRPr="00E873EC" w:rsidRDefault="00AD3ACB" w:rsidP="00AD3ACB">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Super Insulated Storage Vessels (LH2)</w:t>
            </w:r>
          </w:p>
        </w:tc>
        <w:tc>
          <w:tcPr>
            <w:tcW w:w="1506" w:type="dxa"/>
            <w:hideMark/>
          </w:tcPr>
          <w:p w14:paraId="64060DDE"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c>
          <w:tcPr>
            <w:tcW w:w="0" w:type="dxa"/>
            <w:hideMark/>
          </w:tcPr>
          <w:p w14:paraId="574EF502" w14:textId="77777777" w:rsidR="00AD3ACB" w:rsidRPr="00E873EC" w:rsidRDefault="00AD3ACB" w:rsidP="00132575">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r w:rsidR="003C7F9A" w:rsidRPr="00E873EC" w14:paraId="2D1A1C63" w14:textId="77777777" w:rsidTr="00F715A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tcPr>
          <w:p w14:paraId="63D873A0" w14:textId="1DEA89FC" w:rsidR="00642E2D" w:rsidRPr="00F715A1" w:rsidRDefault="00642E2D" w:rsidP="00132575">
            <w:pPr>
              <w:pStyle w:val="NoSpacing"/>
              <w:rPr>
                <w:b w:val="0"/>
                <w:bCs w:val="0"/>
                <w:color w:val="000000"/>
              </w:rPr>
            </w:pPr>
            <w:r w:rsidRPr="00F715A1">
              <w:fldChar w:fldCharType="begin"/>
            </w:r>
            <w:r w:rsidR="00F715A1">
              <w:rPr>
                <w:b w:val="0"/>
                <w:bCs w:val="0"/>
              </w:rPr>
              <w:instrText xml:space="preserve"> ADDIN EN.CITE &lt;EndNote&gt;&lt;Cite&gt;&lt;Author&gt;Ochoa&lt;/Author&gt;&lt;Year&gt;2020&lt;/Year&gt;&lt;RecNum&gt;1334&lt;/RecNum&gt;&lt;DisplayText&gt;[34]&lt;/DisplayText&gt;&lt;record&gt;&lt;rec-number&gt;1334&lt;/rec-number&gt;&lt;foreign-keys&gt;&lt;key app="EN" db-id="w500zpaaheraz8epaw1p29dtf2ff9zrswv50" timestamp="1612993949"&gt;1334&lt;/key&gt;&lt;/foreign-keys&gt;&lt;ref-type name="Journal Article"&gt;17&lt;/ref-type&gt;&lt;contributors&gt;&lt;authors&gt;&lt;author&gt;Ochoa, Jesus &lt;/author&gt;&lt;author&gt;Azzaro-Pantel, Catherine&lt;/author&gt;&lt;author&gt;Aguilar-Lasserre, Alberto&lt;/author&gt;&lt;/authors&gt;&lt;/contributors&gt;&lt;titles&gt;&lt;title&gt;Optimization of a hydrogen supply chain network design under demand uncertainty by multi-objective genetic algorithms&lt;/title&gt;&lt;secondary-title&gt;Computers &amp;amp; Chemical Engineering&lt;/secondary-title&gt;&lt;/titles&gt;&lt;periodical&gt;&lt;full-title&gt;Computers &amp;amp; Chemical Engineering&lt;/full-title&gt;&lt;/periodical&gt;&lt;pages&gt;106853&lt;/pages&gt;&lt;volume&gt;140&lt;/volume&gt;&lt;keywords&gt;&lt;keyword&gt;Hydrogen supply chain&lt;/keyword&gt;&lt;keyword&gt;Multiobjective optimization&lt;/keyword&gt;&lt;keyword&gt;Genetic algorithm&lt;/keyword&gt;&lt;keyword&gt;Fuzzy techniques&lt;/keyword&gt;&lt;keyword&gt;TOPSIS&lt;/keyword&gt;&lt;/keywords&gt;&lt;dates&gt;&lt;year&gt;2020&lt;/year&gt;&lt;pub-dates&gt;&lt;date&gt;2020/09/02/&lt;/date&gt;&lt;/pub-dates&gt;&lt;/dates&gt;&lt;isbn&gt;0098-1354&lt;/isbn&gt;&lt;urls&gt;&lt;related-urls&gt;&lt;url&gt;https://www.sciencedirect.com/science/article/pii/S0098135419307161&lt;/url&gt;&lt;/related-urls&gt;&lt;/urls&gt;&lt;electronic-resource-num&gt;https://doi.org/10.1016/j.compchemeng.2020.106853&lt;/electronic-resource-num&gt;&lt;/record&gt;&lt;/Cite&gt;&lt;/EndNote&gt;</w:instrText>
            </w:r>
            <w:r w:rsidRPr="00F715A1">
              <w:fldChar w:fldCharType="separate"/>
            </w:r>
            <w:r w:rsidR="00F715A1">
              <w:rPr>
                <w:b w:val="0"/>
                <w:bCs w:val="0"/>
                <w:noProof/>
              </w:rPr>
              <w:t>[</w:t>
            </w:r>
            <w:hyperlink w:anchor="_ENREF_34" w:tooltip="Ochoa, 2020 #1334" w:history="1">
              <w:r w:rsidR="006210AE">
                <w:rPr>
                  <w:b w:val="0"/>
                  <w:bCs w:val="0"/>
                  <w:noProof/>
                </w:rPr>
                <w:t>34</w:t>
              </w:r>
            </w:hyperlink>
            <w:r w:rsidR="00F715A1">
              <w:rPr>
                <w:b w:val="0"/>
                <w:bCs w:val="0"/>
                <w:noProof/>
              </w:rPr>
              <w:t>]</w:t>
            </w:r>
            <w:r w:rsidRPr="00F715A1">
              <w:fldChar w:fldCharType="end"/>
            </w:r>
          </w:p>
        </w:tc>
        <w:tc>
          <w:tcPr>
            <w:tcW w:w="0" w:type="dxa"/>
          </w:tcPr>
          <w:p w14:paraId="01D8A48F" w14:textId="1AFF85EA" w:rsidR="00642E2D" w:rsidRPr="00E873EC" w:rsidRDefault="00642E2D" w:rsidP="00132575">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Occitania, France</w:t>
            </w:r>
          </w:p>
        </w:tc>
        <w:tc>
          <w:tcPr>
            <w:tcW w:w="3702" w:type="dxa"/>
          </w:tcPr>
          <w:p w14:paraId="46930DC7" w14:textId="77777777" w:rsidR="00642E2D" w:rsidRDefault="00642E2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 xml:space="preserve">SMR, </w:t>
            </w:r>
          </w:p>
          <w:p w14:paraId="6F2DB6D9" w14:textId="79708A96" w:rsidR="00642E2D" w:rsidRPr="009D1EF7" w:rsidRDefault="00642E2D" w:rsidP="00AD3ACB">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Central electrolysis, and distributed electrolysis</w:t>
            </w:r>
          </w:p>
        </w:tc>
        <w:tc>
          <w:tcPr>
            <w:tcW w:w="2869" w:type="dxa"/>
          </w:tcPr>
          <w:p w14:paraId="47CC85D1" w14:textId="2178FE5B" w:rsidR="00642E2D" w:rsidRPr="009D1EF7" w:rsidRDefault="00642E2D" w:rsidP="00AD3ACB">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Tanker Truck (LH2)</w:t>
            </w:r>
          </w:p>
        </w:tc>
        <w:tc>
          <w:tcPr>
            <w:tcW w:w="3907" w:type="dxa"/>
          </w:tcPr>
          <w:p w14:paraId="0C366B63" w14:textId="3B2275B9" w:rsidR="00642E2D" w:rsidRPr="00E873EC" w:rsidRDefault="00642E2D" w:rsidP="00AD3ACB">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Storage vessels (LH2)</w:t>
            </w:r>
          </w:p>
        </w:tc>
        <w:tc>
          <w:tcPr>
            <w:tcW w:w="1506" w:type="dxa"/>
          </w:tcPr>
          <w:p w14:paraId="1EC25AE2" w14:textId="104973D0" w:rsidR="00642E2D" w:rsidRPr="00E873EC" w:rsidRDefault="00A55627"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Yes, existing stations</w:t>
            </w:r>
          </w:p>
        </w:tc>
        <w:tc>
          <w:tcPr>
            <w:tcW w:w="0" w:type="dxa"/>
          </w:tcPr>
          <w:p w14:paraId="21254022" w14:textId="4CC4A9A6" w:rsidR="00642E2D" w:rsidRPr="00E873EC" w:rsidRDefault="00A55627" w:rsidP="00132575">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No</w:t>
            </w:r>
          </w:p>
        </w:tc>
      </w:tr>
      <w:tr w:rsidR="003C7F9A" w:rsidRPr="00E873EC" w14:paraId="19E033F8" w14:textId="77777777" w:rsidTr="00F715A1">
        <w:trPr>
          <w:trHeight w:val="70"/>
        </w:trPr>
        <w:tc>
          <w:tcPr>
            <w:cnfStyle w:val="001000000000" w:firstRow="0" w:lastRow="0" w:firstColumn="1" w:lastColumn="0" w:oddVBand="0" w:evenVBand="0" w:oddHBand="0" w:evenHBand="0" w:firstRowFirstColumn="0" w:firstRowLastColumn="0" w:lastRowFirstColumn="0" w:lastRowLastColumn="0"/>
            <w:tcW w:w="1107" w:type="dxa"/>
          </w:tcPr>
          <w:p w14:paraId="08DB61BF" w14:textId="3FE352A0" w:rsidR="00991A30" w:rsidRPr="00F715A1" w:rsidRDefault="00F715A1" w:rsidP="00991A30">
            <w:pPr>
              <w:pStyle w:val="NoSpacing"/>
              <w:rPr>
                <w:b w:val="0"/>
                <w:bCs w:val="0"/>
              </w:rPr>
            </w:pPr>
            <w:r w:rsidRPr="00F715A1">
              <w:fldChar w:fldCharType="begin"/>
            </w:r>
            <w:r w:rsidRPr="00F715A1">
              <w:rPr>
                <w:b w:val="0"/>
                <w:bCs w:val="0"/>
              </w:rPr>
              <w:instrText xml:space="preserve"> ADDIN EN.CITE &lt;EndNote&gt;&lt;Cite&gt;&lt;Author&gt;Ehrenstein&lt;/Author&gt;&lt;Year&gt;2020&lt;/Year&gt;&lt;RecNum&gt;1378&lt;/RecNum&gt;&lt;DisplayText&gt;[36]&lt;/DisplayText&gt;&lt;record&gt;&lt;rec-number&gt;1378&lt;/rec-number&gt;&lt;foreign-keys&gt;&lt;key app="EN" db-id="w500zpaaheraz8epaw1p29dtf2ff9zrswv50" timestamp="1622835485"&gt;1378&lt;/key&gt;&lt;/foreign-keys&gt;&lt;ref-type name="Journal Article"&gt;17&lt;/ref-type&gt;&lt;contributors&gt;&lt;authors&gt;&lt;author&gt;Ehrenstein, Michael&lt;/author&gt;&lt;author&gt;Galán-Martín, Ángel&lt;/author&gt;&lt;author&gt;Tulus, Victor&lt;/author&gt;&lt;author&gt;Guillén-Gosálbez, Gonzalo&lt;/author&gt;&lt;/authors&gt;&lt;/contributors&gt;&lt;titles&gt;&lt;title&gt;Optimising fuel supply chains within planetary boundaries: A case study of hydrogen for road transport in the UK&lt;/title&gt;&lt;secondary-title&gt;Applied Energy&lt;/secondary-title&gt;&lt;/titles&gt;&lt;periodical&gt;&lt;full-title&gt;Applied Energy&lt;/full-title&gt;&lt;/periodical&gt;&lt;pages&gt;115486&lt;/pages&gt;&lt;volume&gt;276&lt;/volume&gt;&lt;keywords&gt;&lt;keyword&gt;Hydrogen&lt;/keyword&gt;&lt;keyword&gt;Transport&lt;/keyword&gt;&lt;keyword&gt;Planetary boundaries&lt;/keyword&gt;&lt;keyword&gt;Supply chain&lt;/keyword&gt;&lt;keyword&gt;Optimisation&lt;/keyword&gt;&lt;/keywords&gt;&lt;dates&gt;&lt;year&gt;2020&lt;/year&gt;&lt;pub-dates&gt;&lt;date&gt;2020/10/15/&lt;/date&gt;&lt;/pub-dates&gt;&lt;/dates&gt;&lt;isbn&gt;0306-2619&lt;/isbn&gt;&lt;urls&gt;&lt;related-urls&gt;&lt;url&gt;https://www.sciencedirect.com/science/article/pii/S0306261920309983&lt;/url&gt;&lt;/related-urls&gt;&lt;/urls&gt;&lt;electronic-resource-num&gt;https://doi.org/10.1016/j.apenergy.2020.115486&lt;/electronic-resource-num&gt;&lt;/record&gt;&lt;/Cite&gt;&lt;/EndNote&gt;</w:instrText>
            </w:r>
            <w:r w:rsidRPr="00F715A1">
              <w:fldChar w:fldCharType="separate"/>
            </w:r>
            <w:r w:rsidRPr="00F715A1">
              <w:rPr>
                <w:b w:val="0"/>
                <w:bCs w:val="0"/>
                <w:noProof/>
              </w:rPr>
              <w:t>[</w:t>
            </w:r>
            <w:hyperlink w:anchor="_ENREF_36" w:tooltip="Ehrenstein, 2020 #1378" w:history="1">
              <w:r w:rsidR="006210AE" w:rsidRPr="00F715A1">
                <w:rPr>
                  <w:b w:val="0"/>
                  <w:bCs w:val="0"/>
                  <w:noProof/>
                </w:rPr>
                <w:t>36</w:t>
              </w:r>
            </w:hyperlink>
            <w:r w:rsidRPr="00F715A1">
              <w:rPr>
                <w:b w:val="0"/>
                <w:bCs w:val="0"/>
                <w:noProof/>
              </w:rPr>
              <w:t>]</w:t>
            </w:r>
            <w:r w:rsidRPr="00F715A1">
              <w:fldChar w:fldCharType="end"/>
            </w:r>
          </w:p>
        </w:tc>
        <w:tc>
          <w:tcPr>
            <w:tcW w:w="0" w:type="dxa"/>
          </w:tcPr>
          <w:p w14:paraId="63419734" w14:textId="1F764F6F" w:rsidR="00991A30" w:rsidRDefault="00991A30" w:rsidP="00991A30">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United Kingdom</w:t>
            </w:r>
          </w:p>
        </w:tc>
        <w:tc>
          <w:tcPr>
            <w:tcW w:w="3702" w:type="dxa"/>
          </w:tcPr>
          <w:p w14:paraId="18D20668" w14:textId="77777777" w:rsidR="00991A30" w:rsidRDefault="00991A30" w:rsidP="00991A30">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SMR</w:t>
            </w:r>
          </w:p>
          <w:p w14:paraId="4C4C7648" w14:textId="77777777" w:rsidR="00991A30" w:rsidRDefault="00991A30" w:rsidP="00991A30">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Electrolysis from wind</w:t>
            </w:r>
          </w:p>
          <w:p w14:paraId="2C629255" w14:textId="77777777" w:rsidR="00991A30" w:rsidRDefault="00991A30" w:rsidP="00991A30">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Electrolysis from solar PV</w:t>
            </w:r>
          </w:p>
          <w:p w14:paraId="66529648" w14:textId="5C94891D" w:rsidR="00991A30" w:rsidRDefault="00991A30" w:rsidP="00991A30">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Pr>
                <w:rFonts w:cstheme="minorHAnsi"/>
                <w:szCs w:val="20"/>
                <w:lang w:val="en-GB"/>
              </w:rPr>
              <w:t>Electrolysis from nuclear</w:t>
            </w:r>
          </w:p>
        </w:tc>
        <w:tc>
          <w:tcPr>
            <w:tcW w:w="2869" w:type="dxa"/>
          </w:tcPr>
          <w:p w14:paraId="495D0D41" w14:textId="77777777" w:rsidR="00991A30" w:rsidRPr="009D1EF7" w:rsidRDefault="00991A30" w:rsidP="00991A30">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Tanker Trucks (GH2 &amp; LH2)</w:t>
            </w:r>
          </w:p>
          <w:p w14:paraId="11D249C9" w14:textId="77777777" w:rsidR="00991A30" w:rsidRPr="009D1EF7" w:rsidRDefault="00991A30" w:rsidP="00991A30">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Rail Car (GH2 &amp; LH2)</w:t>
            </w:r>
          </w:p>
          <w:p w14:paraId="095C33AF" w14:textId="77777777" w:rsidR="00991A30" w:rsidRDefault="00991A30" w:rsidP="00F715A1">
            <w:pPr>
              <w:pStyle w:val="NoSpacing"/>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07" w:type="dxa"/>
          </w:tcPr>
          <w:p w14:paraId="4B656F52" w14:textId="77777777" w:rsidR="00991A30" w:rsidRPr="00E873EC" w:rsidRDefault="00991A30" w:rsidP="00991A30">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Storage Vessels (GH2)</w:t>
            </w:r>
          </w:p>
          <w:p w14:paraId="313766CA" w14:textId="0D6C8BB0" w:rsidR="00991A30" w:rsidRDefault="00991A30" w:rsidP="00991A30">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Super Insulated Storage Vessels (LH2)</w:t>
            </w:r>
          </w:p>
        </w:tc>
        <w:tc>
          <w:tcPr>
            <w:tcW w:w="1506" w:type="dxa"/>
          </w:tcPr>
          <w:p w14:paraId="356F1F49" w14:textId="0E1E520F" w:rsidR="00991A30" w:rsidRDefault="00991A30" w:rsidP="00991A30">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No</w:t>
            </w:r>
          </w:p>
        </w:tc>
        <w:tc>
          <w:tcPr>
            <w:tcW w:w="0" w:type="dxa"/>
          </w:tcPr>
          <w:p w14:paraId="03100D70" w14:textId="4F4FB158" w:rsidR="00991A30" w:rsidRDefault="00991A30" w:rsidP="00991A30">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Pr>
                <w:szCs w:val="20"/>
                <w:lang w:val="en-GB"/>
              </w:rPr>
              <w:t>No</w:t>
            </w:r>
          </w:p>
        </w:tc>
      </w:tr>
      <w:tr w:rsidR="00866FEA" w:rsidRPr="00E873EC" w14:paraId="33F8BDA5" w14:textId="77777777" w:rsidTr="00991A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7" w:type="dxa"/>
          </w:tcPr>
          <w:p w14:paraId="697F58A6" w14:textId="5B2552F0" w:rsidR="00866FEA" w:rsidRPr="003C7F9A" w:rsidRDefault="003C7F9A" w:rsidP="00991A30">
            <w:pPr>
              <w:pStyle w:val="NoSpacing"/>
              <w:rPr>
                <w:b w:val="0"/>
                <w:bCs w:val="0"/>
              </w:rPr>
            </w:pPr>
            <w:r w:rsidRPr="003C7F9A">
              <w:fldChar w:fldCharType="begin"/>
            </w:r>
            <w:r w:rsidRPr="003C7F9A">
              <w:rPr>
                <w:b w:val="0"/>
                <w:bCs w:val="0"/>
              </w:rPr>
              <w:instrText xml:space="preserve"> ADDIN EN.CITE &lt;EndNote&gt;&lt;Cite&gt;&lt;Author&gt;Cantú&lt;/Author&gt;&lt;Year&gt;2021&lt;/Year&gt;&lt;RecNum&gt;1379&lt;/RecNum&gt;&lt;DisplayText&gt;[37]&lt;/DisplayText&gt;&lt;record&gt;&lt;rec-number&gt;1379&lt;/rec-number&gt;&lt;foreign-keys&gt;&lt;key app="EN" db-id="w500zpaaheraz8epaw1p29dtf2ff9zrswv50" timestamp="1622835912"&gt;1379&lt;/key&gt;&lt;/foreign-keys&gt;&lt;ref-type name="Journal Article"&gt;17&lt;/ref-type&gt;&lt;contributors&gt;&lt;authors&gt;&lt;author&gt;Cantú, Victor H.&lt;/author&gt;&lt;author&gt;Azzaro-Pantel, Catherine&lt;/author&gt;&lt;author&gt;Ponsich, Antonin&lt;/author&gt;&lt;/authors&gt;&lt;/contributors&gt;&lt;titles&gt;&lt;title&gt;A Novel Matheuristic based on bi-level optimization for the multi-Objective design of hydrogen supply chains&lt;/title&gt;&lt;secondary-title&gt;Computers &amp;amp; Chemical Engineering&lt;/secondary-title&gt;&lt;/titles&gt;&lt;periodical&gt;&lt;full-title&gt;Computers &amp;amp; Chemical Engineering&lt;/full-title&gt;&lt;/periodical&gt;&lt;pages&gt;107370&lt;/pages&gt;&lt;volume&gt;152&lt;/volume&gt;&lt;dates&gt;&lt;year&gt;2021&lt;/year&gt;&lt;pub-dates&gt;&lt;date&gt;2021/09/01/&lt;/date&gt;&lt;/pub-dates&gt;&lt;/dates&gt;&lt;isbn&gt;0098-1354&lt;/isbn&gt;&lt;urls&gt;&lt;related-urls&gt;&lt;url&gt;https://www.sciencedirect.com/science/article/pii/S0098135421001484&lt;/url&gt;&lt;/related-urls&gt;&lt;/urls&gt;&lt;electronic-resource-num&gt;https://doi.org/10.1016/j.compchemeng.2021.107370&lt;/electronic-resource-num&gt;&lt;/record&gt;&lt;/Cite&gt;&lt;/EndNote&gt;</w:instrText>
            </w:r>
            <w:r w:rsidRPr="003C7F9A">
              <w:fldChar w:fldCharType="separate"/>
            </w:r>
            <w:r w:rsidRPr="003C7F9A">
              <w:rPr>
                <w:b w:val="0"/>
                <w:bCs w:val="0"/>
                <w:noProof/>
              </w:rPr>
              <w:t>[</w:t>
            </w:r>
            <w:hyperlink w:anchor="_ENREF_37" w:tooltip="Cantú, 2021 #1379" w:history="1">
              <w:r w:rsidR="006210AE" w:rsidRPr="003C7F9A">
                <w:rPr>
                  <w:b w:val="0"/>
                  <w:bCs w:val="0"/>
                  <w:noProof/>
                </w:rPr>
                <w:t>37</w:t>
              </w:r>
            </w:hyperlink>
            <w:r w:rsidRPr="003C7F9A">
              <w:rPr>
                <w:b w:val="0"/>
                <w:bCs w:val="0"/>
                <w:noProof/>
              </w:rPr>
              <w:t>]</w:t>
            </w:r>
            <w:r w:rsidRPr="003C7F9A">
              <w:fldChar w:fldCharType="end"/>
            </w:r>
          </w:p>
        </w:tc>
        <w:tc>
          <w:tcPr>
            <w:tcW w:w="1353" w:type="dxa"/>
          </w:tcPr>
          <w:p w14:paraId="5578D103" w14:textId="4FB6D22A" w:rsidR="00866FEA" w:rsidRDefault="00134C85" w:rsidP="00991A30">
            <w:pPr>
              <w:pStyle w:val="NoSpacing"/>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United Kingdom</w:t>
            </w:r>
          </w:p>
        </w:tc>
        <w:tc>
          <w:tcPr>
            <w:tcW w:w="3702" w:type="dxa"/>
          </w:tcPr>
          <w:p w14:paraId="5FF2CC89" w14:textId="77777777" w:rsidR="00866FEA" w:rsidRDefault="00D600FE" w:rsidP="00991A30">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SMR</w:t>
            </w:r>
          </w:p>
          <w:p w14:paraId="6E87AA83" w14:textId="77777777" w:rsidR="00D600FE" w:rsidRDefault="00D600FE" w:rsidP="00991A30">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wind</w:t>
            </w:r>
          </w:p>
          <w:p w14:paraId="580089F0" w14:textId="77777777" w:rsidR="00D600FE" w:rsidRDefault="00D600FE" w:rsidP="00991A30">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solar PV</w:t>
            </w:r>
          </w:p>
          <w:p w14:paraId="3FA1DAD2" w14:textId="63C3496B" w:rsidR="00D600FE" w:rsidRDefault="00D600FE" w:rsidP="00991A30">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hydro</w:t>
            </w:r>
          </w:p>
          <w:p w14:paraId="16F751D5" w14:textId="4E44969E" w:rsidR="00D600FE" w:rsidRDefault="00D600FE" w:rsidP="00991A30">
            <w:pPr>
              <w:pStyle w:val="NoSpacing"/>
              <w:numPr>
                <w:ilvl w:val="0"/>
                <w:numId w:val="7"/>
              </w:numPr>
              <w:ind w:left="355"/>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Electrolysis from nuclear</w:t>
            </w:r>
          </w:p>
        </w:tc>
        <w:tc>
          <w:tcPr>
            <w:tcW w:w="2869" w:type="dxa"/>
          </w:tcPr>
          <w:p w14:paraId="290B27E1" w14:textId="20CC3896" w:rsidR="00866FEA" w:rsidRPr="009D1EF7" w:rsidRDefault="0089702F" w:rsidP="00991A30">
            <w:pPr>
              <w:pStyle w:val="NoSpacing"/>
              <w:numPr>
                <w:ilvl w:val="0"/>
                <w:numId w:val="7"/>
              </w:numPr>
              <w:ind w:left="318"/>
              <w:cnfStyle w:val="000000100000" w:firstRow="0" w:lastRow="0" w:firstColumn="0" w:lastColumn="0" w:oddVBand="0" w:evenVBand="0" w:oddHBand="1" w:evenHBand="0" w:firstRowFirstColumn="0" w:firstRowLastColumn="0" w:lastRowFirstColumn="0" w:lastRowLastColumn="0"/>
              <w:rPr>
                <w:rFonts w:cstheme="minorHAnsi"/>
                <w:szCs w:val="20"/>
                <w:lang w:val="en-GB"/>
              </w:rPr>
            </w:pPr>
            <w:r>
              <w:rPr>
                <w:rFonts w:cstheme="minorHAnsi"/>
                <w:szCs w:val="20"/>
                <w:lang w:val="en-GB"/>
              </w:rPr>
              <w:t>Tanker Truck (LH2)</w:t>
            </w:r>
          </w:p>
        </w:tc>
        <w:tc>
          <w:tcPr>
            <w:tcW w:w="3907" w:type="dxa"/>
          </w:tcPr>
          <w:p w14:paraId="2C05B1DD" w14:textId="64BB5A5D" w:rsidR="00866FEA" w:rsidRPr="00E873EC" w:rsidRDefault="0089702F" w:rsidP="00991A30">
            <w:pPr>
              <w:pStyle w:val="NoSpacing"/>
              <w:numPr>
                <w:ilvl w:val="0"/>
                <w:numId w:val="7"/>
              </w:numPr>
              <w:ind w:left="315"/>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None</w:t>
            </w:r>
          </w:p>
        </w:tc>
        <w:tc>
          <w:tcPr>
            <w:tcW w:w="1506" w:type="dxa"/>
          </w:tcPr>
          <w:p w14:paraId="71853DEE" w14:textId="01ADDC56" w:rsidR="00866FEA" w:rsidRDefault="0089702F" w:rsidP="00991A30">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No</w:t>
            </w:r>
          </w:p>
        </w:tc>
        <w:tc>
          <w:tcPr>
            <w:tcW w:w="1179" w:type="dxa"/>
          </w:tcPr>
          <w:p w14:paraId="1FA5BAB7" w14:textId="113E0EAA" w:rsidR="00866FEA" w:rsidRDefault="0089702F" w:rsidP="00991A30">
            <w:pPr>
              <w:pStyle w:val="NoSpacing"/>
              <w:jc w:val="center"/>
              <w:cnfStyle w:val="000000100000" w:firstRow="0" w:lastRow="0" w:firstColumn="0" w:lastColumn="0" w:oddVBand="0" w:evenVBand="0" w:oddHBand="1" w:evenHBand="0" w:firstRowFirstColumn="0" w:firstRowLastColumn="0" w:lastRowFirstColumn="0" w:lastRowLastColumn="0"/>
              <w:rPr>
                <w:szCs w:val="20"/>
                <w:lang w:val="en-GB"/>
              </w:rPr>
            </w:pPr>
            <w:r>
              <w:rPr>
                <w:szCs w:val="20"/>
                <w:lang w:val="en-GB"/>
              </w:rPr>
              <w:t>No</w:t>
            </w:r>
          </w:p>
        </w:tc>
      </w:tr>
      <w:tr w:rsidR="003C7F9A" w:rsidRPr="00E873EC" w14:paraId="6838FB10" w14:textId="77777777" w:rsidTr="00134C85">
        <w:trPr>
          <w:trHeight w:val="70"/>
        </w:trPr>
        <w:tc>
          <w:tcPr>
            <w:cnfStyle w:val="001000000000" w:firstRow="0" w:lastRow="0" w:firstColumn="1" w:lastColumn="0" w:oddVBand="0" w:evenVBand="0" w:oddHBand="0" w:evenHBand="0" w:firstRowFirstColumn="0" w:firstRowLastColumn="0" w:lastRowFirstColumn="0" w:lastRowLastColumn="0"/>
            <w:tcW w:w="1107" w:type="dxa"/>
          </w:tcPr>
          <w:p w14:paraId="0774FFF2" w14:textId="5E0913F6" w:rsidR="00991A30" w:rsidRPr="00F715A1" w:rsidRDefault="00991A30" w:rsidP="00991A30">
            <w:pPr>
              <w:pStyle w:val="NoSpacing"/>
              <w:rPr>
                <w:b w:val="0"/>
                <w:bCs w:val="0"/>
                <w:szCs w:val="20"/>
                <w:lang w:val="en-GB"/>
              </w:rPr>
            </w:pPr>
            <w:r w:rsidRPr="00F715A1">
              <w:rPr>
                <w:color w:val="000000"/>
              </w:rPr>
              <w:fldChar w:fldCharType="begin">
                <w:fldData xml:space="preserve">PEVuZE5vdGU+PENpdGU+PEF1dGhvcj5Cb2xhdDwvQXV0aG9yPjxZZWFyPjIwMTQ8L1llYXI+PFJl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</w:fldData>
              </w:fldChar>
            </w:r>
            <w:r w:rsidR="003C7F9A">
              <w:rPr>
                <w:b w:val="0"/>
                <w:bCs w:val="0"/>
                <w:color w:val="000000"/>
              </w:rPr>
              <w:instrText xml:space="preserve"> ADDIN EN.CITE </w:instrText>
            </w:r>
            <w:r w:rsidR="003C7F9A">
              <w:rPr>
                <w:color w:val="000000"/>
              </w:rPr>
              <w:fldChar w:fldCharType="begin">
                <w:fldData xml:space="preserve">PEVuZE5vdGU+PENpdGU+PEF1dGhvcj5Cb2xhdDwvQXV0aG9yPjxZZWFyPjIwMTQ8L1llYXI+PFJl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</w:fldData>
              </w:fldChar>
            </w:r>
            <w:r w:rsidR="003C7F9A">
              <w:rPr>
                <w:b w:val="0"/>
                <w:bCs w:val="0"/>
                <w:color w:val="000000"/>
              </w:rPr>
              <w:instrText xml:space="preserve"> ADDIN EN.CITE.DATA </w:instrText>
            </w:r>
            <w:r w:rsidR="003C7F9A">
              <w:rPr>
                <w:color w:val="000000"/>
              </w:rPr>
            </w:r>
            <w:r w:rsidR="003C7F9A">
              <w:rPr>
                <w:color w:val="000000"/>
              </w:rPr>
              <w:fldChar w:fldCharType="end"/>
            </w:r>
            <w:r w:rsidRPr="00F715A1">
              <w:rPr>
                <w:color w:val="000000"/>
              </w:rPr>
            </w:r>
            <w:r w:rsidRPr="00F715A1">
              <w:rPr>
                <w:color w:val="000000"/>
              </w:rPr>
              <w:fldChar w:fldCharType="separate"/>
            </w:r>
            <w:r w:rsidR="003C7F9A">
              <w:rPr>
                <w:b w:val="0"/>
                <w:bCs w:val="0"/>
                <w:noProof/>
                <w:color w:val="000000"/>
              </w:rPr>
              <w:t>[</w:t>
            </w:r>
            <w:hyperlink w:anchor="_ENREF_38" w:tooltip="Bolat, 2014 #1052" w:history="1">
              <w:r w:rsidR="006210AE">
                <w:rPr>
                  <w:b w:val="0"/>
                  <w:bCs w:val="0"/>
                  <w:noProof/>
                  <w:color w:val="000000"/>
                </w:rPr>
                <w:t>38</w:t>
              </w:r>
            </w:hyperlink>
            <w:r w:rsidR="003C7F9A">
              <w:rPr>
                <w:b w:val="0"/>
                <w:bCs w:val="0"/>
                <w:noProof/>
                <w:color w:val="000000"/>
              </w:rPr>
              <w:t xml:space="preserve">, </w:t>
            </w:r>
            <w:hyperlink w:anchor="_ENREF_39" w:tooltip="Bolat, 2014 #1053" w:history="1">
              <w:r w:rsidR="006210AE">
                <w:rPr>
                  <w:b w:val="0"/>
                  <w:bCs w:val="0"/>
                  <w:noProof/>
                  <w:color w:val="000000"/>
                </w:rPr>
                <w:t>39</w:t>
              </w:r>
            </w:hyperlink>
            <w:r w:rsidR="003C7F9A">
              <w:rPr>
                <w:b w:val="0"/>
                <w:bCs w:val="0"/>
                <w:noProof/>
                <w:color w:val="000000"/>
              </w:rPr>
              <w:t>]</w:t>
            </w:r>
            <w:r w:rsidRPr="00F715A1">
              <w:rPr>
                <w:color w:val="000000"/>
              </w:rPr>
              <w:fldChar w:fldCharType="end"/>
            </w:r>
          </w:p>
        </w:tc>
        <w:tc>
          <w:tcPr>
            <w:tcW w:w="0" w:type="dxa"/>
          </w:tcPr>
          <w:p w14:paraId="2E8B88EF" w14:textId="77777777" w:rsidR="00991A30" w:rsidRPr="00E873EC" w:rsidRDefault="00991A30" w:rsidP="00991A30">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N/A</w:t>
            </w:r>
          </w:p>
        </w:tc>
        <w:tc>
          <w:tcPr>
            <w:tcW w:w="3702" w:type="dxa"/>
          </w:tcPr>
          <w:p w14:paraId="3A10FE22" w14:textId="77777777" w:rsidR="00991A30" w:rsidRPr="009D1EF7" w:rsidRDefault="00991A30" w:rsidP="00991A30">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SMR; Coal gasification; Biomass gasification (with/without CCS)</w:t>
            </w:r>
          </w:p>
          <w:p w14:paraId="38F238DE" w14:textId="77777777" w:rsidR="00991A30" w:rsidRPr="009D1EF7" w:rsidRDefault="00991A30" w:rsidP="00991A30">
            <w:pPr>
              <w:pStyle w:val="NoSpacing"/>
              <w:numPr>
                <w:ilvl w:val="0"/>
                <w:numId w:val="7"/>
              </w:numPr>
              <w:ind w:left="355"/>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 xml:space="preserve">Electrolysis </w:t>
            </w:r>
          </w:p>
        </w:tc>
        <w:tc>
          <w:tcPr>
            <w:tcW w:w="2869" w:type="dxa"/>
          </w:tcPr>
          <w:p w14:paraId="3F7C604F" w14:textId="77777777" w:rsidR="00991A30" w:rsidRPr="009D1EF7" w:rsidRDefault="00991A30" w:rsidP="00991A30">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Tank trucks (GH2 &amp; LH2)</w:t>
            </w:r>
          </w:p>
          <w:p w14:paraId="2187915D" w14:textId="77777777" w:rsidR="00991A30" w:rsidRPr="009D1EF7" w:rsidRDefault="00991A30" w:rsidP="00991A30">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9D1EF7">
              <w:rPr>
                <w:rFonts w:cstheme="minorHAnsi"/>
                <w:szCs w:val="20"/>
                <w:lang w:val="en-GB"/>
              </w:rPr>
              <w:t>Shipping (LH2)</w:t>
            </w:r>
          </w:p>
          <w:p w14:paraId="68E06E61" w14:textId="77777777" w:rsidR="00991A30" w:rsidRPr="009D1EF7" w:rsidRDefault="00991A30" w:rsidP="00991A30">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Style w:val="CommentReference"/>
                <w:rFonts w:cstheme="minorHAnsi"/>
                <w:sz w:val="20"/>
                <w:szCs w:val="20"/>
                <w:lang w:val="en-GB"/>
              </w:rPr>
            </w:pPr>
            <w:r w:rsidRPr="009D1EF7">
              <w:rPr>
                <w:rStyle w:val="CommentReference"/>
                <w:rFonts w:cstheme="minorHAnsi"/>
                <w:sz w:val="20"/>
                <w:szCs w:val="20"/>
                <w:lang w:val="en-GB"/>
              </w:rPr>
              <w:t>Pipeline (GH</w:t>
            </w:r>
            <w:r w:rsidRPr="009D1EF7">
              <w:rPr>
                <w:rFonts w:cstheme="minorHAnsi"/>
                <w:szCs w:val="20"/>
                <w:lang w:val="en-GB"/>
              </w:rPr>
              <w:t>2</w:t>
            </w:r>
            <w:r w:rsidRPr="009D1EF7">
              <w:rPr>
                <w:rStyle w:val="CommentReference"/>
                <w:rFonts w:cstheme="minorHAnsi"/>
                <w:sz w:val="20"/>
                <w:szCs w:val="20"/>
                <w:lang w:val="en-GB"/>
              </w:rPr>
              <w:t>)</w:t>
            </w:r>
          </w:p>
          <w:p w14:paraId="04F77807" w14:textId="77777777" w:rsidR="00991A30" w:rsidRPr="009D1EF7" w:rsidRDefault="00991A30" w:rsidP="00991A30">
            <w:pPr>
              <w:pStyle w:val="NoSpacing"/>
              <w:numPr>
                <w:ilvl w:val="0"/>
                <w:numId w:val="7"/>
              </w:numPr>
              <w:ind w:left="318"/>
              <w:cnfStyle w:val="000000000000" w:firstRow="0" w:lastRow="0" w:firstColumn="0" w:lastColumn="0" w:oddVBand="0" w:evenVBand="0" w:oddHBand="0" w:evenHBand="0" w:firstRowFirstColumn="0" w:firstRowLastColumn="0" w:lastRowFirstColumn="0" w:lastRowLastColumn="0"/>
              <w:rPr>
                <w:rStyle w:val="CommentReference"/>
                <w:rFonts w:cstheme="minorHAnsi"/>
                <w:sz w:val="20"/>
                <w:szCs w:val="20"/>
                <w:lang w:val="en-GB"/>
              </w:rPr>
            </w:pPr>
            <w:r w:rsidRPr="009D1EF7">
              <w:rPr>
                <w:rFonts w:cstheme="minorHAnsi"/>
                <w:szCs w:val="20"/>
                <w:lang w:val="en-GB"/>
              </w:rPr>
              <w:t>No Spatial Aspect</w:t>
            </w:r>
          </w:p>
        </w:tc>
        <w:tc>
          <w:tcPr>
            <w:tcW w:w="3907" w:type="dxa"/>
          </w:tcPr>
          <w:p w14:paraId="24C45087" w14:textId="77777777" w:rsidR="00991A30" w:rsidRPr="00E873EC" w:rsidRDefault="00991A30" w:rsidP="00991A30">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Super insulated storage vessels (LH2)</w:t>
            </w:r>
          </w:p>
          <w:p w14:paraId="1A52166C" w14:textId="77777777" w:rsidR="00991A30" w:rsidRPr="00E873EC" w:rsidRDefault="00991A30" w:rsidP="00991A30">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Geological Formations (GH2)</w:t>
            </w:r>
          </w:p>
          <w:p w14:paraId="5A32FCBB" w14:textId="77777777" w:rsidR="00991A30" w:rsidRPr="00E873EC" w:rsidRDefault="00991A30" w:rsidP="00991A30">
            <w:pPr>
              <w:pStyle w:val="NoSpacing"/>
              <w:numPr>
                <w:ilvl w:val="0"/>
                <w:numId w:val="7"/>
              </w:numPr>
              <w:ind w:left="315"/>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Storage vessels (GH2)</w:t>
            </w:r>
          </w:p>
        </w:tc>
        <w:tc>
          <w:tcPr>
            <w:tcW w:w="1506" w:type="dxa"/>
          </w:tcPr>
          <w:p w14:paraId="7116876B" w14:textId="77777777" w:rsidR="00991A30" w:rsidRPr="00E873EC" w:rsidRDefault="00991A30" w:rsidP="00991A30">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Yes</w:t>
            </w:r>
          </w:p>
        </w:tc>
        <w:tc>
          <w:tcPr>
            <w:tcW w:w="0" w:type="dxa"/>
          </w:tcPr>
          <w:p w14:paraId="08560CE2" w14:textId="77777777" w:rsidR="00991A30" w:rsidRPr="00E873EC" w:rsidRDefault="00991A30" w:rsidP="00991A30">
            <w:pPr>
              <w:pStyle w:val="NoSpacing"/>
              <w:jc w:val="center"/>
              <w:cnfStyle w:val="000000000000" w:firstRow="0" w:lastRow="0" w:firstColumn="0" w:lastColumn="0" w:oddVBand="0" w:evenVBand="0" w:oddHBand="0" w:evenHBand="0" w:firstRowFirstColumn="0" w:firstRowLastColumn="0" w:lastRowFirstColumn="0" w:lastRowLastColumn="0"/>
              <w:rPr>
                <w:szCs w:val="20"/>
                <w:lang w:val="en-GB"/>
              </w:rPr>
            </w:pPr>
            <w:r w:rsidRPr="00E873EC">
              <w:rPr>
                <w:szCs w:val="20"/>
                <w:lang w:val="en-GB"/>
              </w:rPr>
              <w:t>No</w:t>
            </w:r>
          </w:p>
        </w:tc>
      </w:tr>
    </w:tbl>
    <w:p w14:paraId="6D048128" w14:textId="77777777" w:rsidR="00AD3ACB" w:rsidRPr="001826E9" w:rsidRDefault="00AD3ACB" w:rsidP="00AD3ACB">
      <w:pPr>
        <w:sectPr w:rsidR="00AD3ACB" w:rsidRPr="001826E9" w:rsidSect="00132575">
          <w:pgSz w:w="16838" w:h="11906" w:orient="landscape"/>
          <w:pgMar w:top="720" w:right="720" w:bottom="720" w:left="720" w:header="708" w:footer="708" w:gutter="0"/>
          <w:cols w:space="708"/>
          <w:docGrid w:linePitch="360"/>
        </w:sectPr>
      </w:pPr>
    </w:p>
    <w:p w14:paraId="60DBCE65" w14:textId="77777777" w:rsidR="00AD3ACB" w:rsidRPr="00E873EC" w:rsidRDefault="00AD3ACB" w:rsidP="00AD3ACB">
      <w:pPr>
        <w:pStyle w:val="Heading2"/>
      </w:pPr>
      <w:bookmarkStart w:id="15" w:name="_Hlk57384940"/>
      <w:r w:rsidRPr="00E873EC">
        <w:lastRenderedPageBreak/>
        <w:t>Conclusion from the literature and aims of this work</w:t>
      </w:r>
    </w:p>
    <w:bookmarkEnd w:id="15"/>
    <w:p w14:paraId="6B89E410" w14:textId="0150CF79" w:rsidR="00AD3ACB" w:rsidRPr="00E873EC" w:rsidRDefault="00AD3ACB" w:rsidP="00AD3ACB">
      <w:r w:rsidRPr="00E873EC">
        <w:t xml:space="preserve">As discussed in this review, several HSC models have been proposed in the literature, with differing approaches and assumptions. </w:t>
      </w:r>
      <w:r>
        <w:t xml:space="preserve">More recent developments in hydrogen supply chain model development </w:t>
      </w:r>
      <w:r w:rsidRPr="00E873EC">
        <w:t xml:space="preserve">mainly fall into </w:t>
      </w:r>
      <w:r>
        <w:t>three</w:t>
      </w:r>
      <w:r w:rsidRPr="00E873EC">
        <w:t xml:space="preserve"> categories: The first focusing on high technical details of specific aspects of the HSC</w:t>
      </w:r>
      <w:r>
        <w:t xml:space="preserve">; </w:t>
      </w:r>
      <w:r w:rsidRPr="00E873EC">
        <w:t xml:space="preserve">the second taking the whole supply chain into </w:t>
      </w:r>
      <w:r>
        <w:t>the power sector (sector coupling); and finally, those that take into consideration emissions as well as economics in the objective function</w:t>
      </w:r>
      <w:r w:rsidR="003F3A56">
        <w:t xml:space="preserve"> (</w:t>
      </w:r>
      <w:r w:rsidR="003F3A56" w:rsidRPr="003F3A56">
        <w:t>either through carbon emissions costs, or multi-objective optimisation methods)</w:t>
      </w:r>
      <w:r w:rsidRPr="00E873EC">
        <w:t>. However, to the best of the authors’ knowledge,</w:t>
      </w:r>
      <w:r>
        <w:t xml:space="preserve"> t</w:t>
      </w:r>
      <w:r w:rsidRPr="00E873EC">
        <w:t xml:space="preserve">here have been no models developed that include the costing of purification technologies while simultaneously including the whole supply chain from production through to refuelling stations. </w:t>
      </w:r>
      <w:r>
        <w:t>N</w:t>
      </w:r>
      <w:r w:rsidRPr="00E873EC">
        <w:t>o</w:t>
      </w:r>
      <w:r>
        <w:t xml:space="preserve"> current</w:t>
      </w:r>
      <w:r w:rsidRPr="00E873EC">
        <w:t xml:space="preserve"> model has taken into consideration hydrogen purification technologies</w:t>
      </w:r>
      <w:r>
        <w:t xml:space="preserve"> and purity grades</w:t>
      </w:r>
      <w:r w:rsidRPr="00E873EC">
        <w:t xml:space="preserve"> that would be required to meeting FCEVs standards as menti</w:t>
      </w:r>
      <w:r>
        <w:t>o</w:t>
      </w:r>
      <w:r w:rsidRPr="00E873EC">
        <w:t>ned</w:t>
      </w:r>
      <w:r>
        <w:t xml:space="preserve"> in Section </w:t>
      </w:r>
      <w:r>
        <w:fldChar w:fldCharType="begin"/>
      </w:r>
      <w:r>
        <w:instrText xml:space="preserve"> REF _Ref63703958 \r \h </w:instrText>
      </w:r>
      <w:r>
        <w:fldChar w:fldCharType="separate"/>
      </w:r>
      <w:r w:rsidR="005851DD">
        <w:t>2.1</w:t>
      </w:r>
      <w:r>
        <w:fldChar w:fldCharType="end"/>
      </w:r>
      <w:r>
        <w:t>.</w:t>
      </w:r>
    </w:p>
    <w:p w14:paraId="23FF1ED1" w14:textId="506AC564" w:rsidR="00AD3ACB" w:rsidRPr="00CD1972" w:rsidRDefault="00AD3ACB" w:rsidP="00AD3ACB">
      <w:pPr>
        <w:rPr>
          <w:rFonts w:cstheme="majorBidi"/>
          <w:sz w:val="28"/>
          <w:szCs w:val="28"/>
        </w:rPr>
      </w:pPr>
      <w:r w:rsidRPr="00E873EC">
        <w:t>Therefore, the main objective of this work is</w:t>
      </w:r>
      <w:r>
        <w:t xml:space="preserve"> to</w:t>
      </w:r>
      <w:r w:rsidRPr="00E873EC">
        <w:t xml:space="preserve"> formulate and implement a spatially-resolved optimisation model to assess cost-effective pathways for full hydrogen </w:t>
      </w:r>
      <w:r w:rsidR="00AA243F">
        <w:t xml:space="preserve">for transport </w:t>
      </w:r>
      <w:r w:rsidRPr="00E873EC">
        <w:t>supply chains, from production to refuelling stations, while taking into consideration purification technologies and purity grades</w:t>
      </w:r>
      <w:r>
        <w:t>. The model will then be applied</w:t>
      </w:r>
      <w:r w:rsidRPr="00E873EC">
        <w:t xml:space="preserve"> </w:t>
      </w:r>
      <w:r>
        <w:t xml:space="preserve">to </w:t>
      </w:r>
      <w:r w:rsidRPr="00E873EC">
        <w:t>the transport sector of Great Britain</w:t>
      </w:r>
      <w:r w:rsidR="00AA243F">
        <w:t>,</w:t>
      </w:r>
      <w:r>
        <w:t xml:space="preserve"> to display its robustness and applicability for different research questions, serving as a basis for researchers to apply this framework in future models and analyses with an international focus.</w:t>
      </w:r>
    </w:p>
    <w:p w14:paraId="77D4ADED" w14:textId="515EAEE2" w:rsidR="00103080" w:rsidRPr="00A6252F" w:rsidRDefault="00103080" w:rsidP="00A6252F">
      <w:pPr>
        <w:pStyle w:val="Heading1"/>
      </w:pPr>
      <w:r w:rsidRPr="00A6252F">
        <w:t>M</w:t>
      </w:r>
      <w:r w:rsidR="00065ED0">
        <w:t>aterials and methods</w:t>
      </w:r>
    </w:p>
    <w:p w14:paraId="35215702" w14:textId="4DCC3311" w:rsidR="009D3088" w:rsidRDefault="00C474A9" w:rsidP="00A6252F">
      <w:pPr>
        <w:pStyle w:val="Heading2"/>
      </w:pPr>
      <w:r w:rsidRPr="00A6252F">
        <w:t>Model description</w:t>
      </w:r>
    </w:p>
    <w:p w14:paraId="2DCFE66C" w14:textId="640B297D" w:rsidR="008B7C57" w:rsidRDefault="008B7C57" w:rsidP="008B7C57">
      <w:r>
        <w:t>This work proposes a</w:t>
      </w:r>
      <w:r w:rsidR="008B286A">
        <w:t xml:space="preserve"> linear programme</w:t>
      </w:r>
      <w:r>
        <w:t xml:space="preserve"> model that optimises a hydrogen supply chain </w:t>
      </w:r>
      <w:r w:rsidR="008B286A">
        <w:t xml:space="preserve">to provide </w:t>
      </w:r>
      <w:r>
        <w:t>hydrogen demands for transport</w:t>
      </w:r>
      <w:r w:rsidR="008B286A">
        <w:t>.</w:t>
      </w:r>
      <w:r w:rsidR="008B286A" w:rsidRPr="008B286A">
        <w:t xml:space="preserve"> </w:t>
      </w:r>
      <w:r>
        <w:t xml:space="preserve">It takes into account different components </w:t>
      </w:r>
      <w:r w:rsidR="008B286A">
        <w:t>of</w:t>
      </w:r>
      <w:r>
        <w:t xml:space="preserve"> a hydrogen supply chai</w:t>
      </w:r>
      <w:r w:rsidR="008B286A">
        <w:t>n</w:t>
      </w:r>
      <w:r>
        <w:t xml:space="preserve"> </w:t>
      </w:r>
      <w:r w:rsidR="008B286A">
        <w:t xml:space="preserve">and minimises the total net present value of the system’s costs for a modelled time horizon from 2020 to 2050. </w:t>
      </w:r>
    </w:p>
    <w:p w14:paraId="268DB69F" w14:textId="0F31DDF4" w:rsidR="008B286A" w:rsidRDefault="008B286A" w:rsidP="008B7C57">
      <w:r>
        <w:t xml:space="preserve">The model makes decisions on investment and decommissioning of equipment every 5-year periods, for production, regional transportation, local transportation, purification, and refuelling station technologies and infrastructure. The decision variables include the capacity and operation of different technologies available in the components of the supply chain, their location, and the year in which they are installed. Furthermore, the model can also choose the grade of hydrogen at each component of the supply chain, by either purifying or not, leading to clarification of what layout of purification is most cost-effective (i.e. hub and spoke, or distributed purification). Operational decisions include the total rate of production in each zone, the total </w:t>
      </w:r>
      <w:r w:rsidRPr="00445515">
        <w:t>transportation rate from one zone to another, the total transportation rate within each zone, and the total purification rate of hydrogen in each zone.</w:t>
      </w:r>
    </w:p>
    <w:p w14:paraId="071C888D" w14:textId="61BE74DA" w:rsidR="0063474F" w:rsidRDefault="0063474F" w:rsidP="008B7C57">
      <w:r>
        <w:t>Hydrogen grade is assumed to take on one of four forms - pure, which is assumed to be ~100-99.97% hydrogen; clean, assumed to be ~99</w:t>
      </w:r>
      <w:r w:rsidR="00681113">
        <w:t>.97-99</w:t>
      </w:r>
      <w:r>
        <w:t>% hydrogen; dirty, assumed to be ~9</w:t>
      </w:r>
      <w:r w:rsidR="00681113">
        <w:t>9</w:t>
      </w:r>
      <w:r>
        <w:t>-9</w:t>
      </w:r>
      <w:r w:rsidR="00681113">
        <w:t>5</w:t>
      </w:r>
      <w:r>
        <w:t>% hydrogen; and blended, assumed to be ~20% hydrogen.</w:t>
      </w:r>
    </w:p>
    <w:p w14:paraId="3C7E9173" w14:textId="4AD47BCA" w:rsidR="008B7C57" w:rsidRPr="00B41614" w:rsidRDefault="008B7C57" w:rsidP="008B7C57">
      <w:r>
        <w:t xml:space="preserve">The model </w:t>
      </w:r>
      <w:r w:rsidR="008B286A">
        <w:t>is</w:t>
      </w:r>
      <w:r>
        <w:t xml:space="preserve"> formulated so that hydrogen can be delivered at a specific grade </w:t>
      </w:r>
      <m:oMath>
        <m:r>
          <w:rPr>
            <w:rFonts w:ascii="Cambria Math" w:hAnsi="Cambria Math"/>
          </w:rPr>
          <m:t>g</m:t>
        </m:r>
      </m:oMath>
      <w:r>
        <w:rPr>
          <w:rFonts w:eastAsiaTheme="minorEastAsia"/>
        </w:rPr>
        <w:t xml:space="preserve">; produced through production technology </w:t>
      </w:r>
      <m:oMath>
        <m:r>
          <w:rPr>
            <w:rFonts w:ascii="Cambria Math" w:eastAsiaTheme="minorEastAsia" w:hAnsi="Cambria Math"/>
          </w:rPr>
          <m:t>p</m:t>
        </m:r>
      </m:oMath>
      <w:r>
        <w:rPr>
          <w:rFonts w:eastAsiaTheme="minorEastAsia"/>
        </w:rPr>
        <w:t xml:space="preserve">; transmitted through transportation technology </w:t>
      </w:r>
      <m:oMath>
        <m:r>
          <w:rPr>
            <w:rFonts w:ascii="Cambria Math" w:eastAsiaTheme="minorEastAsia" w:hAnsi="Cambria Math"/>
          </w:rPr>
          <m:t>l</m:t>
        </m:r>
      </m:oMath>
      <w:r>
        <w:rPr>
          <w:rFonts w:eastAsiaTheme="minorEastAsia"/>
        </w:rPr>
        <w:t xml:space="preserve"> from zone </w:t>
      </w:r>
      <m:oMath>
        <m:r>
          <w:rPr>
            <w:rFonts w:ascii="Cambria Math" w:eastAsiaTheme="minorEastAsia" w:hAnsi="Cambria Math"/>
          </w:rPr>
          <m:t>z</m:t>
        </m:r>
      </m:oMath>
      <w:r>
        <w:rPr>
          <w:rFonts w:eastAsiaTheme="minorEastAsia"/>
        </w:rPr>
        <w:t xml:space="preserve"> to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oMath>
      <w:r>
        <w:rPr>
          <w:rFonts w:eastAsiaTheme="minorEastAsia"/>
        </w:rPr>
        <w:t xml:space="preserve">, and distributed through transportation technology </w:t>
      </w:r>
      <m:oMath>
        <m:r>
          <w:rPr>
            <w:rFonts w:ascii="Cambria Math" w:eastAsiaTheme="minorEastAsia" w:hAnsi="Cambria Math"/>
          </w:rPr>
          <m:t>l</m:t>
        </m:r>
      </m:oMath>
      <w:r>
        <w:rPr>
          <w:rFonts w:eastAsiaTheme="minorEastAsia"/>
        </w:rPr>
        <w:t xml:space="preserve"> in zone </w:t>
      </w:r>
      <m:oMath>
        <m:r>
          <w:rPr>
            <w:rFonts w:ascii="Cambria Math" w:eastAsiaTheme="minorEastAsia" w:hAnsi="Cambria Math"/>
          </w:rPr>
          <m:t>z</m:t>
        </m:r>
      </m:oMath>
      <w:r>
        <w:rPr>
          <w:rFonts w:eastAsiaTheme="minorEastAsia"/>
        </w:rPr>
        <w:t xml:space="preserve">; purified either at a central location in each zone, or localised at the refuelling station using purification technology </w:t>
      </w:r>
      <m:oMath>
        <m:r>
          <w:rPr>
            <w:rFonts w:ascii="Cambria Math" w:eastAsiaTheme="minorEastAsia" w:hAnsi="Cambria Math"/>
          </w:rPr>
          <m:t>c</m:t>
        </m:r>
      </m:oMath>
      <w:r>
        <w:rPr>
          <w:rFonts w:eastAsiaTheme="minorEastAsia"/>
        </w:rPr>
        <w:t xml:space="preserve">. </w:t>
      </w:r>
      <w:r>
        <w:rPr>
          <w:rFonts w:eastAsiaTheme="minorEastAsia"/>
        </w:rPr>
        <w:fldChar w:fldCharType="begin"/>
      </w:r>
      <w:r>
        <w:rPr>
          <w:rFonts w:eastAsiaTheme="minorEastAsia"/>
        </w:rPr>
        <w:instrText xml:space="preserve"> REF _Ref49777665 \h </w:instrText>
      </w:r>
      <w:r>
        <w:rPr>
          <w:rFonts w:eastAsiaTheme="minorEastAsia"/>
        </w:rPr>
      </w:r>
      <w:r>
        <w:rPr>
          <w:rFonts w:eastAsiaTheme="minorEastAsia"/>
        </w:rPr>
        <w:fldChar w:fldCharType="separate"/>
      </w:r>
      <w:r w:rsidR="005851DD">
        <w:t xml:space="preserve">Figure </w:t>
      </w:r>
      <w:r w:rsidR="005851DD">
        <w:rPr>
          <w:noProof/>
        </w:rPr>
        <w:t>2</w:t>
      </w:r>
      <w:r>
        <w:rPr>
          <w:rFonts w:eastAsiaTheme="minorEastAsia"/>
        </w:rPr>
        <w:fldChar w:fldCharType="end"/>
      </w:r>
      <w:r>
        <w:rPr>
          <w:rFonts w:eastAsiaTheme="minorEastAsia"/>
        </w:rPr>
        <w:t xml:space="preserve"> shows a schematic of all the potential pathways hydrogen can take in the supply chain model.</w:t>
      </w:r>
    </w:p>
    <w:p w14:paraId="5E9ECFBA" w14:textId="6531A0D3" w:rsidR="008B7C57" w:rsidRDefault="004C73FA" w:rsidP="008B7C57">
      <w:pPr>
        <w:pStyle w:val="NoSpacing"/>
        <w:ind w:left="-1418" w:right="-1180"/>
        <w:jc w:val="center"/>
      </w:pPr>
      <w:r>
        <w:rPr>
          <w:noProof/>
        </w:rPr>
        <w:lastRenderedPageBreak/>
        <w:drawing>
          <wp:inline distT="0" distB="0" distL="0" distR="0" wp14:anchorId="4CE63D92" wp14:editId="73816F34">
            <wp:extent cx="5731510" cy="423164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231640"/>
                    </a:xfrm>
                    <a:prstGeom prst="rect">
                      <a:avLst/>
                    </a:prstGeom>
                    <a:noFill/>
                    <a:ln>
                      <a:noFill/>
                    </a:ln>
                  </pic:spPr>
                </pic:pic>
              </a:graphicData>
            </a:graphic>
          </wp:inline>
        </w:drawing>
      </w:r>
    </w:p>
    <w:p w14:paraId="022E63CC" w14:textId="01D38C53" w:rsidR="008B7C57" w:rsidRDefault="008B7C57" w:rsidP="008B7C57">
      <w:pPr>
        <w:pStyle w:val="Caption"/>
      </w:pPr>
      <w:bookmarkStart w:id="16" w:name="_Ref49777665"/>
      <w:bookmarkStart w:id="17" w:name="_Toc50359045"/>
      <w:r>
        <w:t xml:space="preserve">Figure </w:t>
      </w:r>
      <w:fldSimple w:instr=" SEQ Figure \* ARABIC ">
        <w:r w:rsidR="0031241E">
          <w:rPr>
            <w:noProof/>
          </w:rPr>
          <w:t>2</w:t>
        </w:r>
      </w:fldSimple>
      <w:bookmarkEnd w:id="16"/>
      <w:r w:rsidR="00866696">
        <w:t xml:space="preserve">: </w:t>
      </w:r>
      <w:r>
        <w:t>Hydrogen infrastructure network diagram showing all potential supply chain pathways; Green blocks show production technologies; blue blocks show transportation technologies; red blocks show purification technologies.</w:t>
      </w:r>
      <w:bookmarkEnd w:id="17"/>
    </w:p>
    <w:p w14:paraId="46E0AD09" w14:textId="6D6FB31D" w:rsidR="0041538E" w:rsidRDefault="00C474A9" w:rsidP="00A6252F">
      <w:pPr>
        <w:pStyle w:val="Heading2"/>
      </w:pPr>
      <w:bookmarkStart w:id="18" w:name="_Toc50359416"/>
      <w:r>
        <w:t>M</w:t>
      </w:r>
      <w:r w:rsidR="00F064F7">
        <w:t>odel formulation: m</w:t>
      </w:r>
      <w:r>
        <w:t>ain constraints</w:t>
      </w:r>
    </w:p>
    <w:p w14:paraId="345B018B" w14:textId="60F8AC5E" w:rsidR="003B7396" w:rsidRDefault="00DF20CA" w:rsidP="00C474A9">
      <w:r>
        <w:t xml:space="preserve">The model proposed in this research is formulated as a </w:t>
      </w:r>
      <w:r w:rsidR="00EA3E74">
        <w:t xml:space="preserve">linear programme optimisation model that minimises the net present value of the total system’s cost through 2050. </w:t>
      </w:r>
      <w:r w:rsidR="00F064F7">
        <w:t>This section shows the main constraints for the model formulation. The</w:t>
      </w:r>
      <w:r w:rsidR="000D4A0E">
        <w:t xml:space="preserve"> nomenclature and</w:t>
      </w:r>
      <w:r w:rsidR="00F064F7">
        <w:t xml:space="preserve"> whole formulation can be found in </w:t>
      </w:r>
      <w:r w:rsidR="000D4A0E">
        <w:fldChar w:fldCharType="begin"/>
      </w:r>
      <w:r w:rsidR="000D4A0E">
        <w:instrText xml:space="preserve"> REF _Ref55564628 \r \h </w:instrText>
      </w:r>
      <w:r w:rsidR="000D4A0E">
        <w:fldChar w:fldCharType="separate"/>
      </w:r>
      <w:r w:rsidR="005851DD">
        <w:t>Appendix A</w:t>
      </w:r>
      <w:r w:rsidR="000D4A0E">
        <w:fldChar w:fldCharType="end"/>
      </w:r>
      <w:r w:rsidR="000D4A0E">
        <w:t xml:space="preserve"> and </w:t>
      </w:r>
      <w:bookmarkStart w:id="19" w:name="_Hlk55565792"/>
      <w:r w:rsidR="000D4A0E">
        <w:fldChar w:fldCharType="begin"/>
      </w:r>
      <w:r w:rsidR="000D4A0E">
        <w:instrText xml:space="preserve"> REF _Ref55564654 \r \h </w:instrText>
      </w:r>
      <w:r w:rsidR="000D4A0E">
        <w:fldChar w:fldCharType="separate"/>
      </w:r>
      <w:r w:rsidR="005851DD">
        <w:t>Appendix B</w:t>
      </w:r>
      <w:r w:rsidR="000D4A0E">
        <w:fldChar w:fldCharType="end"/>
      </w:r>
      <w:bookmarkEnd w:id="19"/>
      <w:r w:rsidR="000D4A0E">
        <w:t>, respectively.</w:t>
      </w:r>
    </w:p>
    <w:p w14:paraId="4FB0E29C" w14:textId="40866B95" w:rsidR="00A6252F" w:rsidRDefault="00A6252F" w:rsidP="00A6252F">
      <w:pPr>
        <w:pStyle w:val="Heading3"/>
      </w:pPr>
      <w:r>
        <w:t>Objective function</w:t>
      </w:r>
    </w:p>
    <w:p w14:paraId="01D02DA0" w14:textId="36AED96E" w:rsidR="00A6252F" w:rsidRPr="00B12896" w:rsidRDefault="00A6252F" w:rsidP="00A6252F">
      <w:r>
        <w:t xml:space="preserve">The objective function, shown in Equation </w:t>
      </w:r>
      <w:r>
        <w:fldChar w:fldCharType="begin"/>
      </w:r>
      <w:r>
        <w:instrText xml:space="preserve"> REF _Ref54160519 \h </w:instrText>
      </w:r>
      <w:r>
        <w:fldChar w:fldCharType="separate"/>
      </w:r>
      <w:r w:rsidR="005851DD" w:rsidRPr="00BF2BA0">
        <w:t>(</w:t>
      </w:r>
      <w:r w:rsidR="005851DD">
        <w:rPr>
          <w:noProof/>
        </w:rPr>
        <w:t>1</w:t>
      </w:r>
      <w:r w:rsidR="005851DD" w:rsidRPr="00BF2BA0">
        <w:t>)</w:t>
      </w:r>
      <w:r>
        <w:fldChar w:fldCharType="end"/>
      </w:r>
      <w:r>
        <w:t xml:space="preserve">, minimises the total </w:t>
      </w:r>
      <w:r w:rsidR="002956A8">
        <w:t xml:space="preserve">net present value of the </w:t>
      </w:r>
      <w:r>
        <w:t>capital and operating costs of the hydrogen supply chain</w:t>
      </w:r>
      <w:r w:rsidR="002956A8">
        <w:t xml:space="preserve">. The total cost includes </w:t>
      </w:r>
      <w:r>
        <w:t>production facilities operating and capital costs (</w:t>
      </w:r>
      <m:oMath>
        <m:r>
          <w:rPr>
            <w:rFonts w:ascii="Cambria Math" w:hAnsi="Cambria Math"/>
          </w:rPr>
          <m:t>POC</m:t>
        </m:r>
      </m:oMath>
      <w:r>
        <w:rPr>
          <w:rFonts w:eastAsiaTheme="minorEastAsia"/>
        </w:rPr>
        <w:t xml:space="preserve"> and </w:t>
      </w:r>
      <m:oMath>
        <m:r>
          <w:rPr>
            <w:rFonts w:ascii="Cambria Math" w:hAnsi="Cambria Math"/>
          </w:rPr>
          <m:t>PCC</m:t>
        </m:r>
      </m:oMath>
      <w:r>
        <w:rPr>
          <w:rFonts w:eastAsiaTheme="minorEastAsia"/>
        </w:rPr>
        <w:t>); transportation operating costs and capital costs (</w:t>
      </w:r>
      <m:oMath>
        <m:r>
          <w:rPr>
            <w:rFonts w:ascii="Cambria Math" w:hAnsi="Cambria Math"/>
          </w:rPr>
          <m:t>TOC</m:t>
        </m:r>
      </m:oMath>
      <w:r>
        <w:rPr>
          <w:rFonts w:eastAsiaTheme="minorEastAsia"/>
        </w:rPr>
        <w:t xml:space="preserve"> and </w:t>
      </w:r>
      <m:oMath>
        <m:r>
          <w:rPr>
            <w:rFonts w:ascii="Cambria Math" w:hAnsi="Cambria Math"/>
          </w:rPr>
          <m:t>TCC</m:t>
        </m:r>
      </m:oMath>
      <w:r>
        <w:rPr>
          <w:rFonts w:eastAsiaTheme="minorEastAsia"/>
        </w:rPr>
        <w:t>); purification facilities operating costs and capital costs (</w:t>
      </w:r>
      <m:oMath>
        <m:r>
          <w:rPr>
            <w:rFonts w:ascii="Cambria Math" w:hAnsi="Cambria Math"/>
          </w:rPr>
          <m:t>PurOC</m:t>
        </m:r>
      </m:oMath>
      <w:r>
        <w:rPr>
          <w:rFonts w:eastAsiaTheme="minorEastAsia"/>
        </w:rPr>
        <w:t xml:space="preserve"> and </w:t>
      </w:r>
      <m:oMath>
        <m:r>
          <w:rPr>
            <w:rFonts w:ascii="Cambria Math" w:hAnsi="Cambria Math"/>
          </w:rPr>
          <m:t>PurCC</m:t>
        </m:r>
      </m:oMath>
      <w:r>
        <w:rPr>
          <w:rFonts w:eastAsiaTheme="minorEastAsia"/>
        </w:rPr>
        <w:t>); refuelling station facilities operating and capital costs (</w:t>
      </w:r>
      <m:oMath>
        <m:r>
          <w:rPr>
            <w:rFonts w:ascii="Cambria Math" w:hAnsi="Cambria Math"/>
          </w:rPr>
          <m:t>RFOC</m:t>
        </m:r>
      </m:oMath>
      <w:r>
        <w:rPr>
          <w:rFonts w:eastAsiaTheme="minorEastAsia"/>
        </w:rPr>
        <w:t xml:space="preserve"> and </w:t>
      </w:r>
      <m:oMath>
        <m:r>
          <w:rPr>
            <w:rFonts w:ascii="Cambria Math" w:hAnsi="Cambria Math"/>
          </w:rPr>
          <m:t>RFCC</m:t>
        </m:r>
      </m:oMath>
      <w:r>
        <w:rPr>
          <w:rFonts w:eastAsiaTheme="minorEastAsia"/>
        </w:rPr>
        <w:t>); and the cost associated with carbon emissions (</w:t>
      </w:r>
      <m:oMath>
        <m:r>
          <w:rPr>
            <w:rFonts w:ascii="Cambria Math" w:hAnsi="Cambria Math"/>
          </w:rPr>
          <m:t>CARBON</m:t>
        </m:r>
      </m:oMath>
      <w:r>
        <w:rPr>
          <w:rFonts w:eastAsiaTheme="minorEastAsia"/>
        </w:rPr>
        <w:t xml:space="preserve">). The total cost </w:t>
      </w:r>
      <w:r w:rsidR="002956A8">
        <w:rPr>
          <w:rFonts w:eastAsiaTheme="minorEastAsia"/>
        </w:rPr>
        <w:t xml:space="preserve">subtracts </w:t>
      </w:r>
      <w:r>
        <w:rPr>
          <w:rFonts w:eastAsiaTheme="minorEastAsia"/>
        </w:rPr>
        <w:t xml:space="preserve">the salvage cost of </w:t>
      </w:r>
      <w:r w:rsidR="002956A8">
        <w:rPr>
          <w:rFonts w:eastAsiaTheme="minorEastAsia"/>
        </w:rPr>
        <w:t>assets at the end of the modelling time horizon</w:t>
      </w:r>
      <w:r w:rsidR="00911046">
        <w:rPr>
          <w:rFonts w:eastAsiaTheme="minorEastAsia"/>
        </w:rPr>
        <w:t xml:space="preserve"> (</w:t>
      </w:r>
      <m:oMath>
        <m:r>
          <w:rPr>
            <w:rFonts w:ascii="Cambria Math" w:hAnsi="Cambria Math"/>
          </w:rPr>
          <m:t>PSV</m:t>
        </m:r>
      </m:oMath>
      <w:r w:rsidR="00911046" w:rsidRPr="00911046">
        <w:rPr>
          <w:rFonts w:eastAsiaTheme="minorEastAsia"/>
        </w:rPr>
        <w:t xml:space="preserve">, </w:t>
      </w:r>
      <m:oMath>
        <m:r>
          <w:rPr>
            <w:rFonts w:ascii="Cambria Math" w:hAnsi="Cambria Math"/>
          </w:rPr>
          <m:t>TSV</m:t>
        </m:r>
      </m:oMath>
      <w:r w:rsidR="00911046" w:rsidRPr="00911046">
        <w:rPr>
          <w:rFonts w:eastAsiaTheme="minorEastAsia"/>
        </w:rPr>
        <w:t xml:space="preserve">, </w:t>
      </w:r>
      <m:oMath>
        <m:r>
          <w:rPr>
            <w:rFonts w:ascii="Cambria Math" w:hAnsi="Cambria Math"/>
          </w:rPr>
          <m:t>PurSV</m:t>
        </m:r>
      </m:oMath>
      <w:r w:rsidR="00911046" w:rsidRPr="00911046">
        <w:rPr>
          <w:rFonts w:eastAsiaTheme="minorEastAsia"/>
        </w:rPr>
        <w:t xml:space="preserve"> and </w:t>
      </w:r>
      <m:oMath>
        <m:r>
          <w:rPr>
            <w:rFonts w:ascii="Cambria Math" w:hAnsi="Cambria Math"/>
          </w:rPr>
          <m:t>RFSV</m:t>
        </m:r>
      </m:oMath>
      <w:r w:rsidR="00911046" w:rsidRPr="00911046">
        <w:rPr>
          <w:rFonts w:eastAsiaTheme="minorEastAsia"/>
        </w:rPr>
        <w:t xml:space="preserve"> </w:t>
      </w:r>
      <w:r w:rsidR="00911046">
        <w:rPr>
          <w:rFonts w:eastAsiaTheme="minorEastAsia"/>
        </w:rPr>
        <w:t xml:space="preserve">for </w:t>
      </w:r>
      <w:r w:rsidRPr="00911046">
        <w:rPr>
          <w:rFonts w:eastAsiaTheme="minorEastAsia"/>
        </w:rPr>
        <w:t>production facilities, transportation facilities, purification facilities and refuelling station facilities</w:t>
      </w:r>
      <w:r w:rsidR="00911046">
        <w:rPr>
          <w:rFonts w:eastAsiaTheme="minorEastAsia"/>
        </w:rPr>
        <w:t>, respectively</w:t>
      </w:r>
      <w:r w:rsidRPr="00911046">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119"/>
        <w:gridCol w:w="461"/>
      </w:tblGrid>
      <w:tr w:rsidR="00A6252F" w14:paraId="38AD1D96" w14:textId="77777777" w:rsidTr="00A6252F">
        <w:tc>
          <w:tcPr>
            <w:tcW w:w="250" w:type="pct"/>
            <w:shd w:val="clear" w:color="auto" w:fill="auto"/>
          </w:tcPr>
          <w:p w14:paraId="2A72FDFC" w14:textId="77777777" w:rsidR="00A6252F" w:rsidRDefault="00A6252F" w:rsidP="00A6252F"/>
        </w:tc>
        <w:tc>
          <w:tcPr>
            <w:tcW w:w="4500" w:type="pct"/>
            <w:shd w:val="clear" w:color="auto" w:fill="auto"/>
            <w:vAlign w:val="center"/>
          </w:tcPr>
          <w:p w14:paraId="1886827F" w14:textId="3D7AD824" w:rsidR="00A6252F" w:rsidRDefault="00903D45" w:rsidP="00A6252F">
            <w:pPr>
              <w:jc w:val="center"/>
            </w:pPr>
            <m:oMathPara>
              <m:oMath>
                <m:func>
                  <m:funcPr>
                    <m:ctrlPr>
                      <w:rPr>
                        <w:rFonts w:ascii="Cambria Math" w:hAnsi="Cambria Math"/>
                        <w:i/>
                      </w:rPr>
                    </m:ctrlPr>
                  </m:funcPr>
                  <m:fName>
                    <m:r>
                      <m:rPr>
                        <m:sty m:val="p"/>
                      </m:rPr>
                      <w:rPr>
                        <w:rFonts w:ascii="Cambria Math" w:hAnsi="Cambria Math"/>
                      </w:rPr>
                      <m:t>min</m:t>
                    </m:r>
                  </m:fName>
                  <m:e>
                    <m:r>
                      <w:rPr>
                        <w:rFonts w:ascii="Cambria Math" w:hAnsi="Cambria Math"/>
                      </w:rPr>
                      <m:t>TC</m:t>
                    </m:r>
                  </m:e>
                </m:func>
                <m:r>
                  <w:rPr>
                    <w:rFonts w:ascii="Cambria Math" w:hAnsi="Cambria Math"/>
                  </w:rPr>
                  <m:t>=</m:t>
                </m:r>
                <m:func>
                  <m:funcPr>
                    <m:ctrlPr>
                      <w:rPr>
                        <w:rFonts w:ascii="Cambria Math" w:hAnsi="Cambria Math"/>
                        <w:i/>
                      </w:rPr>
                    </m:ctrlPr>
                  </m:funcPr>
                  <m:fName>
                    <m:r>
                      <m:rPr>
                        <m:sty m:val="p"/>
                      </m:rPr>
                      <w:rPr>
                        <w:rFonts w:ascii="Cambria Math" w:hAnsi="Cambria Math"/>
                      </w:rPr>
                      <m:t>min</m:t>
                    </m:r>
                  </m:fName>
                  <m:e>
                    <m:d>
                      <m:dPr>
                        <m:begChr m:val="["/>
                        <m:endChr m:val="]"/>
                        <m:ctrlPr>
                          <w:rPr>
                            <w:rFonts w:ascii="Cambria Math" w:hAnsi="Cambria Math"/>
                            <w:i/>
                          </w:rPr>
                        </m:ctrlPr>
                      </m:dPr>
                      <m:e>
                        <m:r>
                          <w:rPr>
                            <w:rFonts w:ascii="Cambria Math" w:hAnsi="Cambria Math"/>
                          </w:rPr>
                          <m:t>POC+PCC+TOC+TCC+PurOC+PurCC+RFOC+RFCC-PSV-TSV-PurSV-RFSV+CARBON</m:t>
                        </m:r>
                      </m:e>
                    </m:d>
                  </m:e>
                </m:func>
              </m:oMath>
            </m:oMathPara>
          </w:p>
        </w:tc>
        <w:tc>
          <w:tcPr>
            <w:tcW w:w="250" w:type="pct"/>
            <w:shd w:val="clear" w:color="auto" w:fill="auto"/>
            <w:vAlign w:val="center"/>
          </w:tcPr>
          <w:p w14:paraId="7B48F35C" w14:textId="04513C53" w:rsidR="00A6252F" w:rsidRPr="00BF2BA0" w:rsidRDefault="00A6252F" w:rsidP="00A6252F">
            <w:pPr>
              <w:jc w:val="center"/>
            </w:pPr>
            <w:bookmarkStart w:id="20" w:name="_Ref54160519"/>
            <w:r w:rsidRPr="00BF2BA0">
              <w:t>(</w:t>
            </w:r>
            <w:fldSimple w:instr=" SEQ Equation \* MERGEFORMAT ">
              <w:r w:rsidR="005851DD">
                <w:rPr>
                  <w:noProof/>
                </w:rPr>
                <w:t>1</w:t>
              </w:r>
            </w:fldSimple>
            <w:r w:rsidRPr="00BF2BA0">
              <w:t>)</w:t>
            </w:r>
            <w:bookmarkEnd w:id="20"/>
          </w:p>
        </w:tc>
      </w:tr>
    </w:tbl>
    <w:p w14:paraId="514405D6" w14:textId="7C75713F" w:rsidR="00A6252F" w:rsidRPr="00A6252F" w:rsidRDefault="00A6252F" w:rsidP="00A6252F">
      <w:pPr>
        <w:pStyle w:val="Heading3"/>
      </w:pPr>
      <w:r w:rsidRPr="00A6252F">
        <w:lastRenderedPageBreak/>
        <w:t xml:space="preserve">Material </w:t>
      </w:r>
      <w:r>
        <w:t>b</w:t>
      </w:r>
      <w:r w:rsidRPr="00A6252F">
        <w:t>alances</w:t>
      </w:r>
    </w:p>
    <w:p w14:paraId="22571215" w14:textId="428633C8" w:rsidR="00F90188" w:rsidRDefault="00F90188" w:rsidP="00F90188">
      <w:pPr>
        <w:rPr>
          <w:rFonts w:eastAsiaTheme="minorEastAsia"/>
        </w:rPr>
      </w:pPr>
      <w:r>
        <w:t xml:space="preserve">Equation </w:t>
      </w:r>
      <w:r>
        <w:fldChar w:fldCharType="begin"/>
      </w:r>
      <w:r>
        <w:instrText xml:space="preserve"> REF _Ref52988405 \h </w:instrText>
      </w:r>
      <w:r>
        <w:fldChar w:fldCharType="separate"/>
      </w:r>
      <w:r w:rsidR="005851DD" w:rsidRPr="00BF2BA0">
        <w:t>(</w:t>
      </w:r>
      <w:r w:rsidR="005851DD">
        <w:rPr>
          <w:noProof/>
        </w:rPr>
        <w:t>2</w:t>
      </w:r>
      <w:r w:rsidR="005851DD" w:rsidRPr="00BF2BA0">
        <w:t>)</w:t>
      </w:r>
      <w:r>
        <w:fldChar w:fldCharType="end"/>
      </w:r>
      <w:r>
        <w:t xml:space="preserve"> shows the material balance in a zone </w:t>
      </w:r>
      <m:oMath>
        <m:r>
          <w:rPr>
            <w:rFonts w:ascii="Cambria Math" w:hAnsi="Cambria Math"/>
          </w:rPr>
          <m:t>z</m:t>
        </m:r>
      </m:oMath>
      <w:r>
        <w:rPr>
          <w:rFonts w:eastAsiaTheme="minorEastAsia"/>
        </w:rPr>
        <w:t>. This equation states that</w:t>
      </w:r>
      <w:r w:rsidR="00816BB9">
        <w:rPr>
          <w:rFonts w:eastAsiaTheme="minorEastAsia"/>
        </w:rPr>
        <w:t xml:space="preserve"> the hydrogen that is being produced in a zone </w:t>
      </w:r>
      <w:r w:rsidR="008C2236">
        <w:rPr>
          <w:rFonts w:eastAsiaTheme="minorEastAsia"/>
        </w:rPr>
        <w:t>(</w:t>
      </w:r>
      <m:oMath>
        <m:sSub>
          <m:sSubPr>
            <m:ctrlPr>
              <w:rPr>
                <w:rFonts w:ascii="Cambria Math" w:hAnsi="Cambria Math"/>
                <w:i/>
              </w:rPr>
            </m:ctrlPr>
          </m:sSubPr>
          <m:e>
            <m:r>
              <w:rPr>
                <w:rFonts w:ascii="Cambria Math" w:hAnsi="Cambria Math"/>
              </w:rPr>
              <m:t>PR</m:t>
            </m:r>
          </m:e>
          <m:sub>
            <m:r>
              <w:rPr>
                <w:rFonts w:ascii="Cambria Math" w:hAnsi="Cambria Math"/>
              </w:rPr>
              <m:t>p,z,g,y</m:t>
            </m:r>
          </m:sub>
        </m:sSub>
      </m:oMath>
      <w:r w:rsidR="008C2236">
        <w:rPr>
          <w:rFonts w:eastAsiaTheme="minorEastAsia"/>
        </w:rPr>
        <w:t xml:space="preserve">) </w:t>
      </w:r>
      <w:r w:rsidR="00816BB9">
        <w:rPr>
          <w:rFonts w:eastAsiaTheme="minorEastAsia"/>
        </w:rPr>
        <w:t>plus the hydrogen that is being transported into the zone</w:t>
      </w:r>
      <w:r w:rsidR="008C2236">
        <w:rPr>
          <w:rFonts w:eastAsiaTheme="minorEastAsia"/>
        </w:rPr>
        <w:t xml:space="preserve"> (</w:t>
      </w:r>
      <m:oMath>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,z,g,y</m:t>
            </m:r>
          </m:sub>
        </m:sSub>
      </m:oMath>
      <w:r w:rsidR="008C2236">
        <w:rPr>
          <w:rFonts w:eastAsiaTheme="minorEastAsia"/>
        </w:rPr>
        <w:t>)</w:t>
      </w:r>
      <w:r w:rsidR="00816BB9">
        <w:rPr>
          <w:rFonts w:eastAsiaTheme="minorEastAsia"/>
        </w:rPr>
        <w:t xml:space="preserve">, need to equate the flow of hydrogen leaving the zone </w:t>
      </w:r>
      <w:r w:rsidR="008C2236">
        <w:rPr>
          <w:rFonts w:eastAsiaTheme="minorEastAsia"/>
        </w:rPr>
        <w:t>(</w:t>
      </w:r>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oMath>
      <w:r w:rsidR="008C2236">
        <w:rPr>
          <w:rFonts w:eastAsiaTheme="minorEastAsia"/>
        </w:rPr>
        <w:t xml:space="preserve">) </w:t>
      </w:r>
      <w:r w:rsidR="00816BB9">
        <w:rPr>
          <w:rFonts w:eastAsiaTheme="minorEastAsia"/>
        </w:rPr>
        <w:t>plus the hydrogen that is being consumed within</w:t>
      </w:r>
      <w:r w:rsidR="008C2236">
        <w:rPr>
          <w:rFonts w:eastAsiaTheme="minorEastAsia"/>
        </w:rPr>
        <w:t xml:space="preserve">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r>
          <w:rPr>
            <w:rFonts w:ascii="Cambria Math" w:hAnsi="Cambria Math"/>
          </w:rPr>
          <m:t>)</m:t>
        </m:r>
      </m:oMath>
      <w:r w:rsidR="008C2236">
        <w:rPr>
          <w:rFonts w:eastAsiaTheme="minorEastAsia"/>
        </w:rPr>
        <w:t>, for each time period</w:t>
      </w:r>
      <w:r w:rsidR="00816BB9">
        <w:rPr>
          <w:rFonts w:eastAsiaTheme="minorEastAsia"/>
        </w:rPr>
        <w:t xml:space="preserve">. </w:t>
      </w:r>
      <w:r w:rsidR="008C2236">
        <w:rPr>
          <w:rFonts w:eastAsiaTheme="minorEastAsia"/>
        </w:rPr>
        <w:t xml:space="preserve">The term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oMath>
      <w:r w:rsidR="008C2236">
        <w:rPr>
          <w:rFonts w:eastAsiaTheme="minorEastAsia"/>
        </w:rPr>
        <w:t xml:space="preserve"> is the flow of hydrogen that is going into the local transportation network via transportation mode </w:t>
      </w:r>
      <m:oMath>
        <m:r>
          <w:rPr>
            <w:rFonts w:ascii="Cambria Math" w:eastAsiaTheme="minorEastAsia" w:hAnsi="Cambria Math"/>
          </w:rPr>
          <m:t>l</m:t>
        </m:r>
      </m:oMath>
      <w:r w:rsidR="008C2236">
        <w:rPr>
          <w:rFonts w:eastAsiaTheme="minorEastAsia"/>
        </w:rPr>
        <w:t xml:space="preserve">. As shown in Equation </w:t>
      </w:r>
      <w:r w:rsidR="008C2236">
        <w:rPr>
          <w:rFonts w:eastAsiaTheme="minorEastAsia"/>
        </w:rPr>
        <w:fldChar w:fldCharType="begin"/>
      </w:r>
      <w:r w:rsidR="008C2236">
        <w:rPr>
          <w:rFonts w:eastAsiaTheme="minorEastAsia"/>
        </w:rPr>
        <w:instrText xml:space="preserve"> REF _Ref52989911 \h </w:instrText>
      </w:r>
      <w:r w:rsidR="008C2236">
        <w:rPr>
          <w:rFonts w:eastAsiaTheme="minorEastAsia"/>
        </w:rPr>
      </w:r>
      <w:r w:rsidR="008C2236">
        <w:rPr>
          <w:rFonts w:eastAsiaTheme="minorEastAsia"/>
        </w:rPr>
        <w:fldChar w:fldCharType="separate"/>
      </w:r>
      <w:r w:rsidR="005851DD" w:rsidRPr="00BF2BA0">
        <w:t>(</w:t>
      </w:r>
      <w:r w:rsidR="005851DD">
        <w:rPr>
          <w:noProof/>
        </w:rPr>
        <w:t>3</w:t>
      </w:r>
      <w:r w:rsidR="005851DD" w:rsidRPr="00BF2BA0">
        <w:t>)</w:t>
      </w:r>
      <w:r w:rsidR="008C2236">
        <w:rPr>
          <w:rFonts w:eastAsiaTheme="minorEastAsia"/>
        </w:rPr>
        <w:fldChar w:fldCharType="end"/>
      </w:r>
      <w:r w:rsidR="008C2236">
        <w:rPr>
          <w:rFonts w:eastAsiaTheme="minorEastAsia"/>
        </w:rPr>
        <w:t xml:space="preserve">, </w:t>
      </w:r>
      <w:r w:rsidR="008C2236">
        <w:t xml:space="preserve">it is assumed that all the hydrogen flowing to the localised distribution network in zone </w:t>
      </w:r>
      <m:oMath>
        <m:r>
          <w:rPr>
            <w:rFonts w:ascii="Cambria Math" w:hAnsi="Cambria Math"/>
          </w:rPr>
          <m:t>z</m:t>
        </m:r>
      </m:oMath>
      <w:r w:rsidR="008C2236">
        <w:rPr>
          <w:rFonts w:eastAsiaTheme="minorEastAsia"/>
        </w:rPr>
        <w:t xml:space="preserve"> is being used to supply the refuelling station demand of the same zone.</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
        <w:gridCol w:w="7567"/>
        <w:gridCol w:w="32"/>
        <w:gridCol w:w="1204"/>
      </w:tblGrid>
      <w:tr w:rsidR="00F90188" w14:paraId="293FECA9" w14:textId="77777777" w:rsidTr="00D37CB8">
        <w:tc>
          <w:tcPr>
            <w:tcW w:w="123" w:type="pct"/>
            <w:shd w:val="clear" w:color="auto" w:fill="auto"/>
          </w:tcPr>
          <w:p w14:paraId="015D6847" w14:textId="77777777" w:rsidR="00F90188" w:rsidRDefault="00F90188" w:rsidP="00064507"/>
        </w:tc>
        <w:tc>
          <w:tcPr>
            <w:tcW w:w="4210" w:type="pct"/>
            <w:gridSpan w:val="2"/>
            <w:shd w:val="clear" w:color="auto" w:fill="auto"/>
            <w:vAlign w:val="center"/>
          </w:tcPr>
          <w:p w14:paraId="77762B8E" w14:textId="77777777" w:rsidR="00F90188" w:rsidRDefault="00903D45" w:rsidP="00064507">
            <w:pPr>
              <w:jc w:val="center"/>
            </w:pPr>
            <m:oMathPara>
              <m:oMath>
                <m:nary>
                  <m:naryPr>
                    <m:chr m:val="∑"/>
                    <m:limLoc m:val="undOvr"/>
                    <m:supHide m:val="1"/>
                    <m:ctrlPr>
                      <w:rPr>
                        <w:rFonts w:ascii="Cambria Math" w:hAnsi="Cambria Math"/>
                        <w:i/>
                      </w:rPr>
                    </m:ctrlPr>
                  </m:naryPr>
                  <m:sub>
                    <m:r>
                      <w:rPr>
                        <w:rFonts w:ascii="Cambria Math" w:hAnsi="Cambria Math"/>
                      </w:rPr>
                      <m:t>p,g</m:t>
                    </m:r>
                  </m:sub>
                  <m:sup/>
                  <m:e>
                    <m:sSub>
                      <m:sSubPr>
                        <m:ctrlPr>
                          <w:rPr>
                            <w:rFonts w:ascii="Cambria Math" w:hAnsi="Cambria Math"/>
                            <w:i/>
                          </w:rPr>
                        </m:ctrlPr>
                      </m:sSubPr>
                      <m:e>
                        <m:r>
                          <w:rPr>
                            <w:rFonts w:ascii="Cambria Math" w:hAnsi="Cambria Math"/>
                          </w:rPr>
                          <m:t>PR</m:t>
                        </m:r>
                      </m:e>
                      <m:sub>
                        <m:r>
                          <w:rPr>
                            <w:rFonts w:ascii="Cambria Math" w:hAnsi="Cambria Math"/>
                          </w:rPr>
                          <m:t>p,z,g,y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ub>
                  <m:sup/>
                  <m:e>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l,g</m:t>
                    </m:r>
                  </m:sub>
                  <m:sup/>
                  <m:e>
                    <m:r>
                      <w:rPr>
                        <w:rFonts w:ascii="Cambria Math" w:hAnsi="Cambria Math"/>
                      </w:rPr>
                      <m:t>QLO</m:t>
                    </m:r>
                    <m:sSub>
                      <m:sSubPr>
                        <m:ctrlPr>
                          <w:rPr>
                            <w:rFonts w:ascii="Cambria Math" w:hAnsi="Cambria Math"/>
                          </w:rPr>
                        </m:ctrlPr>
                      </m:sSubPr>
                      <m:e>
                        <m:r>
                          <w:rPr>
                            <w:rFonts w:ascii="Cambria Math" w:hAnsi="Cambria Math"/>
                          </w:rPr>
                          <m:t>C</m:t>
                        </m:r>
                      </m:e>
                      <m:sub>
                        <m:r>
                          <w:rPr>
                            <w:rFonts w:ascii="Cambria Math" w:hAnsi="Cambria Math"/>
                          </w:rPr>
                          <m:t>l,z,g,y</m:t>
                        </m:r>
                      </m:sub>
                    </m:sSub>
                  </m:e>
                </m:nary>
                <m:r>
                  <w:rPr>
                    <w:rFonts w:ascii="Cambria Math" w:eastAsiaTheme="minorEastAsia" w:hAnsi="Cambria Math"/>
                  </w:rPr>
                  <m:t>=0      ∀z,y</m:t>
                </m:r>
              </m:oMath>
            </m:oMathPara>
          </w:p>
        </w:tc>
        <w:tc>
          <w:tcPr>
            <w:tcW w:w="667" w:type="pct"/>
            <w:shd w:val="clear" w:color="auto" w:fill="auto"/>
            <w:vAlign w:val="center"/>
          </w:tcPr>
          <w:p w14:paraId="0B71D689" w14:textId="1C8D2C2B" w:rsidR="00F90188" w:rsidRPr="00BF2BA0" w:rsidRDefault="00F90188" w:rsidP="00064507">
            <w:pPr>
              <w:jc w:val="center"/>
            </w:pPr>
            <w:bookmarkStart w:id="21" w:name="_Ref52988405"/>
            <w:r w:rsidRPr="00BF2BA0">
              <w:t>(</w:t>
            </w:r>
            <w:fldSimple w:instr=" SEQ Equation \* MERGEFORMAT ">
              <w:r w:rsidR="005851DD">
                <w:rPr>
                  <w:noProof/>
                </w:rPr>
                <w:t>2</w:t>
              </w:r>
            </w:fldSimple>
            <w:r w:rsidRPr="00BF2BA0">
              <w:t>)</w:t>
            </w:r>
            <w:bookmarkEnd w:id="21"/>
          </w:p>
        </w:tc>
      </w:tr>
      <w:tr w:rsidR="008C2236" w:rsidRPr="00BF2BA0" w14:paraId="57FEAFC4" w14:textId="77777777" w:rsidTr="00D37CB8">
        <w:tc>
          <w:tcPr>
            <w:tcW w:w="4315" w:type="pct"/>
            <w:gridSpan w:val="2"/>
            <w:shd w:val="clear" w:color="auto" w:fill="auto"/>
            <w:vAlign w:val="center"/>
          </w:tcPr>
          <w:p w14:paraId="1466CD4A" w14:textId="77777777" w:rsidR="008C2236" w:rsidRDefault="00903D45" w:rsidP="00064507">
            <w:pPr>
              <w:jc w:val="center"/>
            </w:pPr>
            <m:oMathPara>
              <m:oMath>
                <m:f>
                  <m:fPr>
                    <m:ctrlPr>
                      <w:rPr>
                        <w:rFonts w:ascii="Cambria Math" w:hAnsi="Cambria Math"/>
                        <w:i/>
                      </w:rPr>
                    </m:ctrlPr>
                  </m:fPr>
                  <m:num>
                    <m:bar>
                      <m:barPr>
                        <m:pos m:val="top"/>
                        <m:ctrlPr>
                          <w:rPr>
                            <w:rFonts w:ascii="Cambria Math" w:hAnsi="Cambria Math"/>
                            <w:i/>
                          </w:rPr>
                        </m:ctrlPr>
                      </m:barPr>
                      <m:e>
                        <m:sSub>
                          <m:sSubPr>
                            <m:ctrlPr>
                              <w:rPr>
                                <w:rFonts w:ascii="Cambria Math" w:hAnsi="Cambria Math"/>
                                <w:i/>
                              </w:rPr>
                            </m:ctrlPr>
                          </m:sSubPr>
                          <m:e>
                            <m:r>
                              <w:rPr>
                                <w:rFonts w:ascii="Cambria Math" w:hAnsi="Cambria Math"/>
                              </w:rPr>
                              <m:t>D</m:t>
                            </m:r>
                          </m:e>
                          <m:sub>
                            <m:r>
                              <w:rPr>
                                <w:rFonts w:ascii="Cambria Math" w:hAnsi="Cambria Math"/>
                              </w:rPr>
                              <m:t>z,y</m:t>
                            </m:r>
                          </m:sub>
                        </m:sSub>
                      </m:e>
                    </m:bar>
                  </m:num>
                  <m:den>
                    <m:r>
                      <w:rPr>
                        <w:rFonts w:ascii="Cambria Math" w:hAnsi="Cambria Math"/>
                      </w:rPr>
                      <m:t>α</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l,g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eastAsiaTheme="minorEastAsia" w:hAnsi="Cambria Math"/>
                  </w:rPr>
                  <m:t xml:space="preserve">           ∀z,y</m:t>
                </m:r>
              </m:oMath>
            </m:oMathPara>
          </w:p>
        </w:tc>
        <w:tc>
          <w:tcPr>
            <w:tcW w:w="685" w:type="pct"/>
            <w:gridSpan w:val="2"/>
            <w:shd w:val="clear" w:color="auto" w:fill="auto"/>
            <w:vAlign w:val="center"/>
          </w:tcPr>
          <w:p w14:paraId="46DE44B5" w14:textId="75AC45D1" w:rsidR="008C2236" w:rsidRPr="00BF2BA0" w:rsidRDefault="008C2236" w:rsidP="00064507">
            <w:pPr>
              <w:jc w:val="center"/>
            </w:pPr>
            <w:bookmarkStart w:id="22" w:name="_Ref52989911"/>
            <w:r w:rsidRPr="00BF2BA0">
              <w:t>(</w:t>
            </w:r>
            <w:fldSimple w:instr=" SEQ Equation \* MERGEFORMAT ">
              <w:r w:rsidR="005851DD">
                <w:rPr>
                  <w:noProof/>
                </w:rPr>
                <w:t>3</w:t>
              </w:r>
            </w:fldSimple>
            <w:r w:rsidRPr="00BF2BA0">
              <w:t>)</w:t>
            </w:r>
            <w:bookmarkEnd w:id="22"/>
          </w:p>
        </w:tc>
      </w:tr>
    </w:tbl>
    <w:p w14:paraId="60A9CE23" w14:textId="77777777" w:rsidR="00D37CB8" w:rsidRDefault="00D37CB8" w:rsidP="00D37CB8">
      <w:pPr>
        <w:rPr>
          <w:rFonts w:eastAsiaTheme="minorEastAsia"/>
        </w:rPr>
      </w:pPr>
      <w:r>
        <w:t>Next</w:t>
      </w:r>
      <w:r w:rsidR="00064507">
        <w:t>,</w:t>
      </w:r>
      <w:r>
        <w:t xml:space="preserve"> the </w:t>
      </w:r>
      <w:r w:rsidR="00025925">
        <w:t>material balance</w:t>
      </w:r>
      <w:r>
        <w:t xml:space="preserve"> for clean hydrogen grade was considered. Clean</w:t>
      </w:r>
      <w:r w:rsidR="00064507">
        <w:t xml:space="preserve"> hydrogen can either be produced in zone </w:t>
      </w:r>
      <m:oMath>
        <m:r>
          <w:rPr>
            <w:rFonts w:ascii="Cambria Math" w:hAnsi="Cambria Math"/>
          </w:rPr>
          <m:t>z</m:t>
        </m:r>
      </m:oMath>
      <w:r>
        <w:t xml:space="preserve"> by clean</w:t>
      </w:r>
      <w:r w:rsidR="00064507">
        <w:t xml:space="preserve"> hydrogen production technology</w:t>
      </w:r>
      <w:r>
        <w:t xml:space="preserve"> </w:t>
      </w:r>
      <m:oMath>
        <m:r>
          <w:rPr>
            <w:rFonts w:ascii="Cambria Math" w:hAnsi="Cambria Math"/>
          </w:rPr>
          <m:t>p</m:t>
        </m:r>
      </m:oMath>
      <w:r>
        <w:rPr>
          <w:rFonts w:eastAsiaTheme="minorEastAsia"/>
        </w:rPr>
        <w:t xml:space="preserve"> </w:t>
      </w:r>
      <w:r w:rsidR="00064507">
        <w:t xml:space="preserve">(such as electrolysis) </w:t>
      </w:r>
      <w:r>
        <w:rPr>
          <w:rFonts w:eastAsiaTheme="minorEastAsia"/>
        </w:rPr>
        <w:t xml:space="preserve">in the subset </w:t>
      </w:r>
      <m:oMath>
        <m:r>
          <w:rPr>
            <w:rFonts w:ascii="Cambria Math" w:eastAsiaTheme="minorEastAsia" w:hAnsi="Cambria Math"/>
          </w:rPr>
          <m:t>CP(p)</m:t>
        </m:r>
      </m:oMath>
      <w:r>
        <w:rPr>
          <w:rFonts w:eastAsiaTheme="minorEastAsia"/>
        </w:rPr>
        <w:t xml:space="preserve">, </w:t>
      </w:r>
      <w:r w:rsidR="00064507">
        <w:rPr>
          <w:rFonts w:eastAsiaTheme="minorEastAsia"/>
        </w:rPr>
        <w:t xml:space="preserve">or it can enter zone </w:t>
      </w:r>
      <m:oMath>
        <m:r>
          <w:rPr>
            <w:rFonts w:ascii="Cambria Math" w:eastAsiaTheme="minorEastAsia" w:hAnsi="Cambria Math"/>
          </w:rPr>
          <m:t>z</m:t>
        </m:r>
      </m:oMath>
      <w:r w:rsidR="00064507">
        <w:rPr>
          <w:rFonts w:eastAsiaTheme="minorEastAsia"/>
        </w:rPr>
        <w:t xml:space="preserve"> from transmission from zone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oMath>
      <w:r w:rsidR="00064507">
        <w:rPr>
          <w:rFonts w:eastAsiaTheme="minorEastAsia"/>
        </w:rPr>
        <w:t xml:space="preserve">, </w:t>
      </w:r>
      <w:r>
        <w:rPr>
          <w:rFonts w:eastAsiaTheme="minorEastAsia"/>
        </w:rPr>
        <w:t xml:space="preserve">through transportation technology </w:t>
      </w:r>
      <m:oMath>
        <m:r>
          <w:rPr>
            <w:rFonts w:ascii="Cambria Math" w:eastAsiaTheme="minorEastAsia" w:hAnsi="Cambria Math"/>
          </w:rPr>
          <m:t>l</m:t>
        </m:r>
      </m:oMath>
      <w:r>
        <w:rPr>
          <w:rFonts w:eastAsiaTheme="minorEastAsia"/>
        </w:rPr>
        <w:t xml:space="preserve"> transporting clean hydrogen, in the subset </w:t>
      </w:r>
      <m:oMath>
        <m:r>
          <w:rPr>
            <w:rFonts w:ascii="Cambria Math" w:eastAsiaTheme="minorEastAsia" w:hAnsi="Cambria Math"/>
          </w:rPr>
          <m:t>CL(l)</m:t>
        </m:r>
      </m:oMath>
      <w:r w:rsidR="00064507">
        <w:rPr>
          <w:rFonts w:eastAsiaTheme="minorEastAsia"/>
        </w:rPr>
        <w:t>.</w:t>
      </w:r>
      <w:r>
        <w:rPr>
          <w:rFonts w:eastAsiaTheme="minorEastAsia"/>
        </w:rPr>
        <w:t xml:space="preserve"> </w:t>
      </w:r>
      <w:r w:rsidR="00064507">
        <w:rPr>
          <w:rFonts w:eastAsiaTheme="minorEastAsia"/>
        </w:rPr>
        <w:t xml:space="preserve">A third way clean hydrogen can enter a zone is by dirty </w:t>
      </w:r>
      <w:r>
        <w:rPr>
          <w:rFonts w:eastAsiaTheme="minorEastAsia"/>
        </w:rPr>
        <w:t xml:space="preserve">hydrogen </w:t>
      </w:r>
      <w:r w:rsidR="00064507">
        <w:rPr>
          <w:rFonts w:eastAsiaTheme="minorEastAsia"/>
        </w:rPr>
        <w:t xml:space="preserve">being </w:t>
      </w:r>
      <w:r>
        <w:rPr>
          <w:rFonts w:eastAsiaTheme="minorEastAsia"/>
        </w:rPr>
        <w:t xml:space="preserve">cleaned in a centralised hub in zone </w:t>
      </w:r>
      <m:oMath>
        <m:r>
          <w:rPr>
            <w:rFonts w:ascii="Cambria Math" w:eastAsiaTheme="minorEastAsia" w:hAnsi="Cambria Math"/>
          </w:rPr>
          <m:t>z</m:t>
        </m:r>
      </m:oMath>
      <w:r w:rsidR="00064507">
        <w:rPr>
          <w:rFonts w:eastAsiaTheme="minorEastAsia"/>
        </w:rPr>
        <w:t>,</w:t>
      </w:r>
      <w:r>
        <w:rPr>
          <w:rFonts w:eastAsiaTheme="minorEastAsia"/>
        </w:rPr>
        <w:t xml:space="preserve"> so that it may enter clean hydrogen distribution</w:t>
      </w:r>
      <w:r w:rsidR="00064507">
        <w:rPr>
          <w:rFonts w:eastAsiaTheme="minorEastAsia"/>
        </w:rPr>
        <w:t>,</w:t>
      </w:r>
      <w:r>
        <w:rPr>
          <w:rFonts w:eastAsiaTheme="minorEastAsia"/>
        </w:rPr>
        <w:t xml:space="preserve"> </w:t>
      </w:r>
      <w:r w:rsidR="00064507">
        <w:rPr>
          <w:rFonts w:eastAsiaTheme="minorEastAsia"/>
        </w:rPr>
        <w:t>r</w:t>
      </w:r>
      <w:r>
        <w:rPr>
          <w:rFonts w:eastAsiaTheme="minorEastAsia"/>
        </w:rPr>
        <w:t xml:space="preserve">epresented by the </w:t>
      </w:r>
      <w:r w:rsidR="00064507">
        <w:rPr>
          <w:rFonts w:eastAsiaTheme="minorEastAsia"/>
        </w:rPr>
        <w:t xml:space="preserve">flow </w:t>
      </w:r>
      <w:r>
        <w:rPr>
          <w:rFonts w:eastAsiaTheme="minorEastAsia"/>
        </w:rPr>
        <w:t xml:space="preserve">variable </w:t>
      </w:r>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w:t>
      </w:r>
    </w:p>
    <w:p w14:paraId="6D56100B" w14:textId="3DC8CC68" w:rsidR="00D37CB8" w:rsidRDefault="00D37CB8" w:rsidP="00D37CB8">
      <w:pPr>
        <w:rPr>
          <w:rFonts w:eastAsiaTheme="minorEastAsia"/>
        </w:rPr>
      </w:pPr>
      <w:r>
        <w:rPr>
          <w:rFonts w:eastAsiaTheme="minorEastAsia"/>
        </w:rPr>
        <w:t xml:space="preserve">Clean hydrogen may leave zone </w:t>
      </w:r>
      <m:oMath>
        <m:r>
          <w:rPr>
            <w:rFonts w:ascii="Cambria Math" w:eastAsiaTheme="minorEastAsia" w:hAnsi="Cambria Math"/>
          </w:rPr>
          <m:t>z</m:t>
        </m:r>
      </m:oMath>
      <w:r>
        <w:rPr>
          <w:rFonts w:eastAsiaTheme="minorEastAsia"/>
          <w:iCs/>
        </w:rPr>
        <w:t xml:space="preserve">, by transmission out to zone </w:t>
      </w:r>
      <m:oMath>
        <m:sSup>
          <m:sSupPr>
            <m:ctrlPr>
              <w:rPr>
                <w:rFonts w:ascii="Cambria Math" w:eastAsiaTheme="minorEastAsia" w:hAnsi="Cambria Math"/>
                <w:i/>
                <w:iCs/>
              </w:rPr>
            </m:ctrlPr>
          </m:sSupPr>
          <m:e>
            <m:r>
              <w:rPr>
                <w:rFonts w:ascii="Cambria Math" w:eastAsiaTheme="minorEastAsia" w:hAnsi="Cambria Math"/>
              </w:rPr>
              <m:t>z</m:t>
            </m:r>
          </m:e>
          <m:sup>
            <m:r>
              <w:rPr>
                <w:rFonts w:ascii="Cambria Math" w:eastAsiaTheme="minorEastAsia" w:hAnsi="Cambria Math"/>
              </w:rPr>
              <m:t>'</m:t>
            </m:r>
          </m:sup>
        </m:sSup>
      </m:oMath>
      <w:r>
        <w:rPr>
          <w:rFonts w:eastAsiaTheme="minorEastAsia"/>
          <w:iCs/>
        </w:rPr>
        <w:t xml:space="preserve"> through transportation technology </w:t>
      </w:r>
      <m:oMath>
        <m:r>
          <w:rPr>
            <w:rFonts w:ascii="Cambria Math" w:eastAsiaTheme="minorEastAsia" w:hAnsi="Cambria Math"/>
          </w:rPr>
          <m:t>l</m:t>
        </m:r>
      </m:oMath>
      <w:r w:rsidRPr="00317908">
        <w:rPr>
          <w:rFonts w:eastAsiaTheme="minorEastAsia"/>
        </w:rPr>
        <w:t xml:space="preserve"> </w:t>
      </w:r>
      <w:r>
        <w:rPr>
          <w:rFonts w:eastAsiaTheme="minorEastAsia"/>
        </w:rPr>
        <w:t xml:space="preserve">in the subset </w:t>
      </w:r>
      <m:oMath>
        <m:r>
          <w:rPr>
            <w:rFonts w:ascii="Cambria Math" w:eastAsiaTheme="minorEastAsia" w:hAnsi="Cambria Math"/>
          </w:rPr>
          <m:t>CL(l)</m:t>
        </m:r>
      </m:oMath>
      <w:r w:rsidR="00AC2A0E">
        <w:rPr>
          <w:rFonts w:eastAsiaTheme="minorEastAsia"/>
        </w:rPr>
        <w:t>.</w:t>
      </w:r>
      <w:r>
        <w:rPr>
          <w:rFonts w:eastAsiaTheme="minorEastAsia"/>
        </w:rPr>
        <w:t xml:space="preserve"> It can also flow into the localised clean distribution system in zone </w:t>
      </w:r>
      <m:oMath>
        <m:r>
          <w:rPr>
            <w:rFonts w:ascii="Cambria Math" w:eastAsiaTheme="minorEastAsia" w:hAnsi="Cambria Math"/>
          </w:rPr>
          <m:t>z</m:t>
        </m:r>
      </m:oMath>
      <w:r>
        <w:rPr>
          <w:rFonts w:eastAsiaTheme="minorEastAsia"/>
        </w:rPr>
        <w:t xml:space="preserve"> through transportation technology </w:t>
      </w:r>
      <m:oMath>
        <m:r>
          <w:rPr>
            <w:rFonts w:ascii="Cambria Math" w:eastAsiaTheme="minorEastAsia" w:hAnsi="Cambria Math"/>
          </w:rPr>
          <m:t>l</m:t>
        </m:r>
      </m:oMath>
      <w:r>
        <w:rPr>
          <w:rFonts w:eastAsiaTheme="minorEastAsia"/>
        </w:rPr>
        <w:t xml:space="preserve"> in the subset </w:t>
      </w:r>
      <m:oMath>
        <m:r>
          <w:rPr>
            <w:rFonts w:ascii="Cambria Math" w:eastAsiaTheme="minorEastAsia" w:hAnsi="Cambria Math"/>
          </w:rPr>
          <m:t>CL(l)</m:t>
        </m:r>
      </m:oMath>
      <w:r w:rsidR="00AC2A0E">
        <w:rPr>
          <w:rFonts w:eastAsiaTheme="minorEastAsia"/>
        </w:rPr>
        <w:t>.</w:t>
      </w:r>
      <w:r>
        <w:rPr>
          <w:rFonts w:eastAsiaTheme="minorEastAsia"/>
        </w:rPr>
        <w:t xml:space="preserve"> Finally, </w:t>
      </w:r>
      <w:r w:rsidR="00AC2A0E">
        <w:rPr>
          <w:rFonts w:eastAsiaTheme="minorEastAsia"/>
        </w:rPr>
        <w:t>it</w:t>
      </w:r>
      <w:r>
        <w:rPr>
          <w:rFonts w:eastAsiaTheme="minorEastAsia"/>
        </w:rPr>
        <w:t xml:space="preserve"> can be added into dirty hydrogen distribution, or blend</w:t>
      </w:r>
      <w:r w:rsidR="00AC2A0E">
        <w:rPr>
          <w:rFonts w:eastAsiaTheme="minorEastAsia"/>
        </w:rPr>
        <w:t>ed</w:t>
      </w:r>
      <w:r>
        <w:rPr>
          <w:rFonts w:eastAsiaTheme="minorEastAsia"/>
        </w:rPr>
        <w:t xml:space="preserve"> into</w:t>
      </w:r>
      <w:r w:rsidR="00025925">
        <w:rPr>
          <w:rFonts w:eastAsiaTheme="minorEastAsia"/>
        </w:rPr>
        <w:t xml:space="preserve"> the</w:t>
      </w:r>
      <w:r>
        <w:rPr>
          <w:rFonts w:eastAsiaTheme="minorEastAsia"/>
        </w:rPr>
        <w:t xml:space="preserve"> local gas distribution network represented by the variables </w:t>
      </w:r>
      <m:oMath>
        <m:r>
          <w:rPr>
            <w:rFonts w:ascii="Cambria Math" w:eastAsiaTheme="minorEastAsia" w:hAnsi="Cambria Math"/>
          </w:rPr>
          <m:t>QDIRTIE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 xml:space="preserve"> and </w:t>
      </w:r>
      <m:oMath>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oMath>
      <w:r w:rsidR="00AC2A0E">
        <w:rPr>
          <w:rFonts w:eastAsiaTheme="minorEastAsia"/>
        </w:rPr>
        <w:t>, respectively. This is shown in</w:t>
      </w:r>
      <w:r>
        <w:rPr>
          <w:rFonts w:eastAsiaTheme="minorEastAsia"/>
        </w:rPr>
        <w:t xml:space="preserve"> Equation</w:t>
      </w:r>
      <w:r w:rsidR="003B7396">
        <w:rPr>
          <w:rFonts w:eastAsiaTheme="minorEastAsia"/>
        </w:rPr>
        <w:t xml:space="preserve"> </w:t>
      </w:r>
      <w:r w:rsidR="003B7396">
        <w:rPr>
          <w:rFonts w:eastAsiaTheme="minorEastAsia"/>
        </w:rPr>
        <w:fldChar w:fldCharType="begin"/>
      </w:r>
      <w:r w:rsidR="003B7396">
        <w:rPr>
          <w:rFonts w:eastAsiaTheme="minorEastAsia"/>
        </w:rPr>
        <w:instrText xml:space="preserve"> REF _Ref53730534 \h </w:instrText>
      </w:r>
      <w:r w:rsidR="003B7396">
        <w:rPr>
          <w:rFonts w:eastAsiaTheme="minorEastAsia"/>
        </w:rPr>
      </w:r>
      <w:r w:rsidR="003B7396">
        <w:rPr>
          <w:rFonts w:eastAsiaTheme="minorEastAsia"/>
        </w:rPr>
        <w:fldChar w:fldCharType="separate"/>
      </w:r>
      <w:r w:rsidR="005851DD" w:rsidRPr="00BF2BA0">
        <w:t>(</w:t>
      </w:r>
      <w:r w:rsidR="005851DD">
        <w:rPr>
          <w:noProof/>
        </w:rPr>
        <w:t>4</w:t>
      </w:r>
      <w:r w:rsidR="005851DD" w:rsidRPr="00BF2BA0">
        <w:t>)</w:t>
      </w:r>
      <w:r w:rsidR="003B7396">
        <w:rPr>
          <w:rFonts w:eastAsiaTheme="minorEastAsia"/>
        </w:rPr>
        <w:fldChar w:fldCharType="end"/>
      </w:r>
      <w:r>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119"/>
        <w:gridCol w:w="461"/>
      </w:tblGrid>
      <w:tr w:rsidR="00D37CB8" w14:paraId="6055AA75" w14:textId="77777777" w:rsidTr="00064507">
        <w:tc>
          <w:tcPr>
            <w:tcW w:w="250" w:type="pct"/>
            <w:shd w:val="clear" w:color="auto" w:fill="auto"/>
          </w:tcPr>
          <w:p w14:paraId="19B27574" w14:textId="77777777" w:rsidR="00D37CB8" w:rsidRDefault="00D37CB8" w:rsidP="00064507"/>
        </w:tc>
        <w:tc>
          <w:tcPr>
            <w:tcW w:w="4500" w:type="pct"/>
            <w:shd w:val="clear" w:color="auto" w:fill="auto"/>
            <w:vAlign w:val="center"/>
          </w:tcPr>
          <w:p w14:paraId="6E509591" w14:textId="77777777" w:rsidR="00D37CB8" w:rsidRDefault="00903D45" w:rsidP="00025925">
            <w:pPr>
              <w:jc w:val="center"/>
            </w:pPr>
            <m:oMathPara>
              <m:oMath>
                <m:nary>
                  <m:naryPr>
                    <m:chr m:val="∑"/>
                    <m:limLoc m:val="undOvr"/>
                    <m:supHide m:val="1"/>
                    <m:ctrlPr>
                      <w:rPr>
                        <w:rFonts w:ascii="Cambria Math" w:hAnsi="Cambria Math"/>
                        <w:i/>
                      </w:rPr>
                    </m:ctrlPr>
                  </m:naryPr>
                  <m:sub>
                    <m:r>
                      <w:rPr>
                        <w:rFonts w:ascii="Cambria Math" w:hAnsi="Cambria Math"/>
                      </w:rPr>
                      <m:t>p∈CP(p)</m:t>
                    </m:r>
                  </m:sub>
                  <m:sup/>
                  <m:e>
                    <m:sSub>
                      <m:sSubPr>
                        <m:ctrlPr>
                          <w:rPr>
                            <w:rFonts w:ascii="Cambria Math" w:hAnsi="Cambria Math"/>
                            <w:i/>
                          </w:rPr>
                        </m:ctrlPr>
                      </m:sSubPr>
                      <m:e>
                        <m:r>
                          <w:rPr>
                            <w:rFonts w:ascii="Cambria Math" w:hAnsi="Cambria Math"/>
                          </w:rPr>
                          <m:t>PR</m:t>
                        </m:r>
                      </m:e>
                      <m:sub>
                        <m:r>
                          <w:rPr>
                            <w:rFonts w:ascii="Cambria Math" w:hAnsi="Cambria Math"/>
                          </w:rPr>
                          <m:t>p,z, clean,y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l∈CL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,z,clean,y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l∈CL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z,z</m:t>
                            </m:r>
                          </m:e>
                          <m:sup>
                            <m:r>
                              <w:rPr>
                                <w:rFonts w:ascii="Cambria Math" w:hAnsi="Cambria Math"/>
                              </w:rPr>
                              <m:t>'</m:t>
                            </m:r>
                          </m:sup>
                        </m:sSup>
                        <m:r>
                          <w:rPr>
                            <w:rFonts w:ascii="Cambria Math" w:hAnsi="Cambria Math"/>
                          </w:rPr>
                          <m:t>,clean,y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l∈CL</m:t>
                    </m:r>
                    <m:d>
                      <m:dPr>
                        <m:ctrlPr>
                          <w:rPr>
                            <w:rFonts w:ascii="Cambria Math" w:hAnsi="Cambria Math"/>
                            <w:i/>
                          </w:rPr>
                        </m:ctrlPr>
                      </m:dPr>
                      <m:e>
                        <m:r>
                          <w:rPr>
                            <w:rFonts w:ascii="Cambria Math" w:hAnsi="Cambria Math"/>
                          </w:rPr>
                          <m:t>l</m:t>
                        </m:r>
                      </m:e>
                    </m:d>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l,z,clean,y</m:t>
                        </m:r>
                      </m:sub>
                    </m:sSub>
                  </m:e>
                </m:nary>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-QDIRTIE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r>
                  <w:rPr>
                    <w:rFonts w:ascii="Cambria Math" w:eastAsiaTheme="minorEastAsia" w:hAnsi="Cambria Math"/>
                  </w:rPr>
                  <m:t>=0      ∀z,y</m:t>
                </m:r>
              </m:oMath>
            </m:oMathPara>
          </w:p>
        </w:tc>
        <w:tc>
          <w:tcPr>
            <w:tcW w:w="250" w:type="pct"/>
            <w:shd w:val="clear" w:color="auto" w:fill="auto"/>
            <w:vAlign w:val="center"/>
          </w:tcPr>
          <w:p w14:paraId="2486BEE2" w14:textId="59564E1B" w:rsidR="00D37CB8" w:rsidRPr="00BF2BA0" w:rsidRDefault="00D37CB8" w:rsidP="00064507">
            <w:pPr>
              <w:jc w:val="center"/>
            </w:pPr>
            <w:bookmarkStart w:id="23" w:name="_Ref53730534"/>
            <w:r w:rsidRPr="00BF2BA0">
              <w:t>(</w:t>
            </w:r>
            <w:fldSimple w:instr=" SEQ Equation \* MERGEFORMAT ">
              <w:r w:rsidR="005851DD">
                <w:rPr>
                  <w:noProof/>
                </w:rPr>
                <w:t>4</w:t>
              </w:r>
            </w:fldSimple>
            <w:r w:rsidRPr="00BF2BA0">
              <w:t>)</w:t>
            </w:r>
            <w:bookmarkEnd w:id="23"/>
          </w:p>
        </w:tc>
      </w:tr>
    </w:tbl>
    <w:p w14:paraId="32AD1086" w14:textId="77777777" w:rsidR="00D37CB8" w:rsidRDefault="00025925" w:rsidP="00D37CB8">
      <w:pPr>
        <w:rPr>
          <w:rFonts w:eastAsiaTheme="minorEastAsia"/>
        </w:rPr>
      </w:pPr>
      <w:r>
        <w:t xml:space="preserve">A third material balance considered is for dirty hydrogen. </w:t>
      </w:r>
      <w:r w:rsidR="00D37CB8">
        <w:t xml:space="preserve">Dirty hydrogen may enter zone </w:t>
      </w:r>
      <m:oMath>
        <m:r>
          <w:rPr>
            <w:rFonts w:ascii="Cambria Math" w:hAnsi="Cambria Math"/>
          </w:rPr>
          <m:t>z</m:t>
        </m:r>
      </m:oMath>
      <w:r w:rsidR="00D37CB8">
        <w:rPr>
          <w:rFonts w:eastAsiaTheme="minorEastAsia"/>
        </w:rPr>
        <w:t xml:space="preserve"> through production from a dirty production technology </w:t>
      </w:r>
      <m:oMath>
        <m:r>
          <w:rPr>
            <w:rFonts w:ascii="Cambria Math" w:eastAsiaTheme="minorEastAsia" w:hAnsi="Cambria Math"/>
          </w:rPr>
          <m:t>p</m:t>
        </m:r>
      </m:oMath>
      <w:r w:rsidR="00D37CB8">
        <w:rPr>
          <w:rFonts w:eastAsiaTheme="minorEastAsia"/>
        </w:rPr>
        <w:t xml:space="preserve"> in the subset of </w:t>
      </w:r>
      <m:oMath>
        <m:r>
          <w:rPr>
            <w:rFonts w:ascii="Cambria Math" w:eastAsiaTheme="minorEastAsia" w:hAnsi="Cambria Math"/>
          </w:rPr>
          <m:t>DP(p)</m:t>
        </m:r>
      </m:oMath>
      <w:r>
        <w:rPr>
          <w:rFonts w:eastAsiaTheme="minorEastAsia"/>
        </w:rPr>
        <w:t xml:space="preserve">; or it </w:t>
      </w:r>
      <w:r w:rsidR="00D37CB8">
        <w:rPr>
          <w:rFonts w:eastAsiaTheme="minorEastAsia"/>
        </w:rPr>
        <w:t xml:space="preserve">may </w:t>
      </w:r>
      <w:r>
        <w:rPr>
          <w:rFonts w:eastAsiaTheme="minorEastAsia"/>
        </w:rPr>
        <w:t>flow</w:t>
      </w:r>
      <w:r w:rsidR="00D37CB8">
        <w:rPr>
          <w:rFonts w:eastAsiaTheme="minorEastAsia"/>
        </w:rPr>
        <w:t xml:space="preserve"> into the zone </w:t>
      </w:r>
      <m:oMath>
        <m:r>
          <w:rPr>
            <w:rFonts w:ascii="Cambria Math" w:eastAsiaTheme="minorEastAsia" w:hAnsi="Cambria Math"/>
          </w:rPr>
          <m:t>z</m:t>
        </m:r>
      </m:oMath>
      <w:r w:rsidR="00D37CB8">
        <w:rPr>
          <w:rFonts w:eastAsiaTheme="minorEastAsia"/>
        </w:rPr>
        <w:t xml:space="preserve"> through transmission from zone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oMath>
      <w:r>
        <w:rPr>
          <w:rFonts w:eastAsiaTheme="minorEastAsia"/>
        </w:rPr>
        <w:t>,</w:t>
      </w:r>
      <w:r w:rsidR="00D37CB8">
        <w:rPr>
          <w:rFonts w:eastAsiaTheme="minorEastAsia"/>
        </w:rPr>
        <w:t xml:space="preserve"> using transportation technology </w:t>
      </w:r>
      <m:oMath>
        <m:r>
          <w:rPr>
            <w:rFonts w:ascii="Cambria Math" w:eastAsiaTheme="minorEastAsia" w:hAnsi="Cambria Math"/>
          </w:rPr>
          <m:t>l</m:t>
        </m:r>
      </m:oMath>
      <w:r w:rsidR="00D37CB8">
        <w:rPr>
          <w:rFonts w:eastAsiaTheme="minorEastAsia"/>
        </w:rPr>
        <w:t xml:space="preserve"> in the subset of </w:t>
      </w:r>
      <m:oMath>
        <m:r>
          <w:rPr>
            <w:rFonts w:ascii="Cambria Math" w:eastAsiaTheme="minorEastAsia" w:hAnsi="Cambria Math"/>
          </w:rPr>
          <m:t>l∈DL(l)</m:t>
        </m:r>
      </m:oMath>
      <w:r w:rsidR="00D37CB8">
        <w:rPr>
          <w:rFonts w:eastAsiaTheme="minorEastAsia"/>
        </w:rPr>
        <w:t>.</w:t>
      </w:r>
    </w:p>
    <w:p w14:paraId="345FC497" w14:textId="2A91C1BC" w:rsidR="00D37CB8" w:rsidRDefault="00D37CB8" w:rsidP="00D37CB8">
      <w:pPr>
        <w:rPr>
          <w:rFonts w:eastAsiaTheme="minorEastAsia"/>
        </w:rPr>
      </w:pPr>
      <w:r>
        <w:rPr>
          <w:rFonts w:eastAsiaTheme="minorEastAsia"/>
        </w:rPr>
        <w:t xml:space="preserve">Dirty hydrogen can flow out of zone </w:t>
      </w:r>
      <m:oMath>
        <m:r>
          <w:rPr>
            <w:rFonts w:ascii="Cambria Math" w:eastAsiaTheme="minorEastAsia" w:hAnsi="Cambria Math"/>
          </w:rPr>
          <m:t>z</m:t>
        </m:r>
      </m:oMath>
      <w:r>
        <w:rPr>
          <w:rFonts w:eastAsiaTheme="minorEastAsia"/>
        </w:rPr>
        <w:t xml:space="preserve"> through transmission to an external zone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oMath>
      <w:r w:rsidR="00025925">
        <w:rPr>
          <w:rFonts w:eastAsiaTheme="minorEastAsia"/>
        </w:rPr>
        <w:t xml:space="preserve"> using </w:t>
      </w:r>
      <w:r>
        <w:rPr>
          <w:rFonts w:eastAsiaTheme="minorEastAsia"/>
        </w:rPr>
        <w:t xml:space="preserve">transportation technology </w:t>
      </w:r>
      <m:oMath>
        <m:r>
          <w:rPr>
            <w:rFonts w:ascii="Cambria Math" w:eastAsiaTheme="minorEastAsia" w:hAnsi="Cambria Math"/>
          </w:rPr>
          <m:t>l</m:t>
        </m:r>
      </m:oMath>
      <w:r w:rsidR="00025925">
        <w:rPr>
          <w:rFonts w:eastAsiaTheme="minorEastAsia"/>
        </w:rPr>
        <w:t>;</w:t>
      </w:r>
      <w:r>
        <w:rPr>
          <w:rFonts w:eastAsiaTheme="minorEastAsia"/>
        </w:rPr>
        <w:t xml:space="preserve"> </w:t>
      </w:r>
      <w:r w:rsidR="00025925">
        <w:rPr>
          <w:rFonts w:eastAsiaTheme="minorEastAsia"/>
        </w:rPr>
        <w:t>or i</w:t>
      </w:r>
      <w:r>
        <w:rPr>
          <w:rFonts w:eastAsiaTheme="minorEastAsia"/>
        </w:rPr>
        <w:t xml:space="preserve">t may </w:t>
      </w:r>
      <w:r w:rsidR="00025925">
        <w:rPr>
          <w:rFonts w:eastAsiaTheme="minorEastAsia"/>
        </w:rPr>
        <w:t>enter</w:t>
      </w:r>
      <w:r>
        <w:rPr>
          <w:rFonts w:eastAsiaTheme="minorEastAsia"/>
        </w:rPr>
        <w:t xml:space="preserve"> the dirty localised distribution network using transportation technology </w:t>
      </w:r>
      <m:oMath>
        <m:r>
          <w:rPr>
            <w:rFonts w:ascii="Cambria Math" w:eastAsiaTheme="minorEastAsia" w:hAnsi="Cambria Math"/>
          </w:rPr>
          <m:t>l</m:t>
        </m:r>
      </m:oMath>
      <w:r>
        <w:rPr>
          <w:rFonts w:eastAsiaTheme="minorEastAsia"/>
        </w:rPr>
        <w:t xml:space="preserve"> in the subset of </w:t>
      </w:r>
      <m:oMath>
        <m:r>
          <w:rPr>
            <w:rFonts w:ascii="Cambria Math" w:eastAsiaTheme="minorEastAsia" w:hAnsi="Cambria Math"/>
          </w:rPr>
          <m:t>l∈DL(l)</m:t>
        </m:r>
      </m:oMath>
      <w:r w:rsidR="00025925">
        <w:rPr>
          <w:rFonts w:eastAsiaTheme="minorEastAsia"/>
        </w:rPr>
        <w:t xml:space="preserve">. </w:t>
      </w:r>
      <w:r>
        <w:rPr>
          <w:rFonts w:eastAsiaTheme="minorEastAsia"/>
        </w:rPr>
        <w:t xml:space="preserve">It was also assumed that dirty hydrogen </w:t>
      </w:r>
      <w:r w:rsidR="00025925">
        <w:rPr>
          <w:rFonts w:eastAsiaTheme="minorEastAsia"/>
        </w:rPr>
        <w:t>can</w:t>
      </w:r>
      <w:r>
        <w:rPr>
          <w:rFonts w:eastAsiaTheme="minorEastAsia"/>
        </w:rPr>
        <w:t xml:space="preserve"> flow into the clean material balance by passing through a centralised purification hub, or </w:t>
      </w:r>
      <w:r w:rsidR="00025925">
        <w:rPr>
          <w:rFonts w:eastAsiaTheme="minorEastAsia"/>
        </w:rPr>
        <w:t xml:space="preserve">it can be </w:t>
      </w:r>
      <w:r>
        <w:rPr>
          <w:rFonts w:eastAsiaTheme="minorEastAsia"/>
        </w:rPr>
        <w:t xml:space="preserve">blended into the local gas distribution network, shown by the variables </w:t>
      </w:r>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 xml:space="preserve"> and </w:t>
      </w:r>
      <m:oMath>
        <m:r>
          <w:rPr>
            <w:rFonts w:ascii="Cambria Math" w:hAnsi="Cambria Math"/>
          </w:rPr>
          <m:t>QBLEN</m:t>
        </m:r>
        <m:sSubSup>
          <m:sSubSupPr>
            <m:ctrlPr>
              <w:rPr>
                <w:rFonts w:ascii="Cambria Math" w:hAnsi="Cambria Math"/>
              </w:rPr>
            </m:ctrlPr>
          </m:sSubSupPr>
          <m:e>
            <m:r>
              <w:rPr>
                <w:rFonts w:ascii="Cambria Math" w:hAnsi="Cambria Math"/>
              </w:rPr>
              <m:t>D</m:t>
            </m:r>
          </m:e>
          <m:sub>
            <m:r>
              <w:rPr>
                <w:rFonts w:ascii="Cambria Math" w:hAnsi="Cambria Math"/>
              </w:rPr>
              <m:t>z,y</m:t>
            </m:r>
          </m:sub>
          <m:sup>
            <m:r>
              <w:rPr>
                <w:rFonts w:ascii="Cambria Math" w:hAnsi="Cambria Math"/>
              </w:rPr>
              <m:t>Dirty</m:t>
            </m:r>
          </m:sup>
        </m:sSubSup>
      </m:oMath>
      <w:r>
        <w:rPr>
          <w:rFonts w:eastAsiaTheme="minorEastAsia"/>
        </w:rPr>
        <w:t xml:space="preserve">, respectively. </w:t>
      </w:r>
      <w:r w:rsidR="003B7396">
        <w:rPr>
          <w:rFonts w:eastAsiaTheme="minorEastAsia"/>
        </w:rPr>
        <w:t xml:space="preserve">The material balance for dirty hydrogen is </w:t>
      </w:r>
      <w:r>
        <w:rPr>
          <w:rFonts w:eastAsiaTheme="minorEastAsia"/>
        </w:rPr>
        <w:t>represented by Equation</w:t>
      </w:r>
      <w:r w:rsidR="003B7396">
        <w:rPr>
          <w:rFonts w:eastAsiaTheme="minorEastAsia"/>
        </w:rPr>
        <w:t xml:space="preserve"> </w:t>
      </w:r>
      <w:r w:rsidR="003B7396">
        <w:rPr>
          <w:rFonts w:eastAsiaTheme="minorEastAsia"/>
        </w:rPr>
        <w:fldChar w:fldCharType="begin"/>
      </w:r>
      <w:r w:rsidR="003B7396">
        <w:rPr>
          <w:rFonts w:eastAsiaTheme="minorEastAsia"/>
        </w:rPr>
        <w:instrText xml:space="preserve"> REF _Ref53730547 \h </w:instrText>
      </w:r>
      <w:r w:rsidR="003B7396">
        <w:rPr>
          <w:rFonts w:eastAsiaTheme="minorEastAsia"/>
        </w:rPr>
      </w:r>
      <w:r w:rsidR="003B7396">
        <w:rPr>
          <w:rFonts w:eastAsiaTheme="minorEastAsia"/>
        </w:rPr>
        <w:fldChar w:fldCharType="separate"/>
      </w:r>
      <w:r w:rsidR="005851DD" w:rsidRPr="00BF2BA0">
        <w:t>(</w:t>
      </w:r>
      <w:r w:rsidR="005851DD">
        <w:rPr>
          <w:noProof/>
        </w:rPr>
        <w:t>5</w:t>
      </w:r>
      <w:r w:rsidR="005851DD" w:rsidRPr="00BF2BA0">
        <w:t>)</w:t>
      </w:r>
      <w:r w:rsidR="003B7396">
        <w:rPr>
          <w:rFonts w:eastAsiaTheme="minorEastAsia"/>
        </w:rPr>
        <w:fldChar w:fldCharType="end"/>
      </w:r>
      <w:r>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119"/>
        <w:gridCol w:w="461"/>
      </w:tblGrid>
      <w:tr w:rsidR="00D37CB8" w14:paraId="0C2A812C" w14:textId="77777777" w:rsidTr="00064507">
        <w:tc>
          <w:tcPr>
            <w:tcW w:w="250" w:type="pct"/>
            <w:shd w:val="clear" w:color="auto" w:fill="auto"/>
          </w:tcPr>
          <w:p w14:paraId="59059B83" w14:textId="77777777" w:rsidR="00D37CB8" w:rsidRDefault="00D37CB8" w:rsidP="00064507"/>
        </w:tc>
        <w:tc>
          <w:tcPr>
            <w:tcW w:w="4500" w:type="pct"/>
            <w:shd w:val="clear" w:color="auto" w:fill="auto"/>
            <w:vAlign w:val="center"/>
          </w:tcPr>
          <w:p w14:paraId="472BD571" w14:textId="77777777" w:rsidR="00D37CB8" w:rsidRDefault="00903D45" w:rsidP="00064507">
            <w:pPr>
              <w:jc w:val="center"/>
            </w:pPr>
            <m:oMathPara>
              <m:oMath>
                <m:nary>
                  <m:naryPr>
                    <m:chr m:val="∑"/>
                    <m:limLoc m:val="undOvr"/>
                    <m:supHide m:val="1"/>
                    <m:ctrlPr>
                      <w:rPr>
                        <w:rFonts w:ascii="Cambria Math" w:hAnsi="Cambria Math"/>
                        <w:i/>
                      </w:rPr>
                    </m:ctrlPr>
                  </m:naryPr>
                  <m:sub>
                    <m:r>
                      <w:rPr>
                        <w:rFonts w:ascii="Cambria Math" w:hAnsi="Cambria Math"/>
                      </w:rPr>
                      <m:t>p∈DP(p)</m:t>
                    </m:r>
                  </m:sub>
                  <m:sup/>
                  <m:e>
                    <m:sSub>
                      <m:sSubPr>
                        <m:ctrlPr>
                          <w:rPr>
                            <w:rFonts w:ascii="Cambria Math" w:hAnsi="Cambria Math"/>
                            <w:i/>
                          </w:rPr>
                        </m:ctrlPr>
                      </m:sSubPr>
                      <m:e>
                        <m:r>
                          <w:rPr>
                            <w:rFonts w:ascii="Cambria Math" w:hAnsi="Cambria Math"/>
                          </w:rPr>
                          <m:t>PR</m:t>
                        </m:r>
                      </m:e>
                      <m:sub>
                        <m:r>
                          <w:rPr>
                            <w:rFonts w:ascii="Cambria Math" w:hAnsi="Cambria Math"/>
                          </w:rPr>
                          <m:t>p,z,dirty,y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l∈DL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  dirty,y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l∈DL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z,z</m:t>
                            </m:r>
                          </m:e>
                          <m:sup>
                            <m:r>
                              <w:rPr>
                                <w:rFonts w:ascii="Cambria Math" w:hAnsi="Cambria Math"/>
                              </w:rPr>
                              <m:t>'</m:t>
                            </m:r>
                          </m:sup>
                        </m:sSup>
                        <m:r>
                          <w:rPr>
                            <w:rFonts w:ascii="Cambria Math" w:hAnsi="Cambria Math"/>
                          </w:rPr>
                          <m:t>,dirty,y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l∈Dl</m:t>
                    </m:r>
                    <m:d>
                      <m:dPr>
                        <m:ctrlPr>
                          <w:rPr>
                            <w:rFonts w:ascii="Cambria Math" w:hAnsi="Cambria Math"/>
                            <w:i/>
                          </w:rPr>
                        </m:ctrlPr>
                      </m:dPr>
                      <m:e>
                        <m:r>
                          <w:rPr>
                            <w:rFonts w:ascii="Cambria Math" w:hAnsi="Cambria Math"/>
                          </w:rPr>
                          <m:t>l</m:t>
                        </m:r>
                      </m:e>
                    </m:d>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l,z,dirty,y</m:t>
                        </m:r>
                      </m:sub>
                    </m:sSub>
                  </m:e>
                </m:nary>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+QDIRTIE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m:t>
                </m:r>
                <m:r>
                  <w:rPr>
                    <w:rFonts w:ascii="Cambria Math" w:hAnsi="Cambria Math"/>
                  </w:rPr>
                  <m:t>QBLEN</m:t>
                </m:r>
                <m:sSubSup>
                  <m:sSubSupPr>
                    <m:ctrlPr>
                      <w:rPr>
                        <w:rFonts w:ascii="Cambria Math" w:hAnsi="Cambria Math"/>
                      </w:rPr>
                    </m:ctrlPr>
                  </m:sSubSupPr>
                  <m:e>
                    <m:r>
                      <w:rPr>
                        <w:rFonts w:ascii="Cambria Math" w:hAnsi="Cambria Math"/>
                      </w:rPr>
                      <m:t>D</m:t>
                    </m:r>
                  </m:e>
                  <m:sub>
                    <m:r>
                      <w:rPr>
                        <w:rFonts w:ascii="Cambria Math" w:hAnsi="Cambria Math"/>
                      </w:rPr>
                      <m:t>z,y</m:t>
                    </m:r>
                  </m:sub>
                  <m:sup>
                    <m:r>
                      <w:rPr>
                        <w:rFonts w:ascii="Cambria Math" w:hAnsi="Cambria Math"/>
                      </w:rPr>
                      <m:t>Dirty</m:t>
                    </m:r>
                  </m:sup>
                </m:sSubSup>
                <m:r>
                  <w:rPr>
                    <w:rFonts w:ascii="Cambria Math" w:eastAsiaTheme="minorEastAsia" w:hAnsi="Cambria Math"/>
                  </w:rPr>
                  <m:t>=0      ∀z,y</m:t>
                </m:r>
              </m:oMath>
            </m:oMathPara>
          </w:p>
        </w:tc>
        <w:tc>
          <w:tcPr>
            <w:tcW w:w="250" w:type="pct"/>
            <w:shd w:val="clear" w:color="auto" w:fill="auto"/>
            <w:vAlign w:val="center"/>
          </w:tcPr>
          <w:p w14:paraId="77A83C9E" w14:textId="201AC79B" w:rsidR="00D37CB8" w:rsidRPr="00BF2BA0" w:rsidRDefault="00D37CB8" w:rsidP="00064507">
            <w:pPr>
              <w:jc w:val="center"/>
            </w:pPr>
            <w:bookmarkStart w:id="24" w:name="_Ref53730547"/>
            <w:r w:rsidRPr="00BF2BA0">
              <w:t>(</w:t>
            </w:r>
            <w:fldSimple w:instr=" SEQ Equation \* MERGEFORMAT ">
              <w:r w:rsidR="005851DD">
                <w:rPr>
                  <w:noProof/>
                </w:rPr>
                <w:t>5</w:t>
              </w:r>
            </w:fldSimple>
            <w:r w:rsidRPr="00BF2BA0">
              <w:t>)</w:t>
            </w:r>
            <w:bookmarkEnd w:id="24"/>
          </w:p>
        </w:tc>
      </w:tr>
    </w:tbl>
    <w:p w14:paraId="55AA2D8E" w14:textId="653F0F5F" w:rsidR="00D37CB8" w:rsidRDefault="00D37CB8" w:rsidP="00D37CB8">
      <w:r>
        <w:t>Finally, as blending into the gas distribution network was considered, the flow of clean hydrogen and dirty hydrogen into the blended distribution network are represented by the variables</w:t>
      </w:r>
      <m:oMath>
        <m:r>
          <w:rPr>
            <w:rFonts w:ascii="Cambria Math" w:eastAsiaTheme="minorEastAsia" w:hAnsi="Cambria Math"/>
          </w:rPr>
          <m:t xml:space="preserve"> 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oMath>
      <w:r>
        <w:rPr>
          <w:rFonts w:eastAsiaTheme="minorEastAsia"/>
        </w:rPr>
        <w:t xml:space="preserve"> and </w:t>
      </w:r>
      <m:oMath>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Dirty</m:t>
            </m:r>
          </m:sup>
        </m:sSubSup>
      </m:oMath>
      <w:r>
        <w:rPr>
          <w:rFonts w:eastAsiaTheme="minorEastAsia"/>
        </w:rPr>
        <w:t>, respectively</w:t>
      </w:r>
      <w:r w:rsidR="003B7396">
        <w:rPr>
          <w:rFonts w:eastAsiaTheme="minorEastAsia"/>
        </w:rPr>
        <w:t xml:space="preserve">, shown in Equation </w:t>
      </w:r>
      <w:r w:rsidR="003B7396">
        <w:rPr>
          <w:rFonts w:eastAsiaTheme="minorEastAsia"/>
        </w:rPr>
        <w:fldChar w:fldCharType="begin"/>
      </w:r>
      <w:r w:rsidR="003B7396">
        <w:rPr>
          <w:rFonts w:eastAsiaTheme="minorEastAsia"/>
        </w:rPr>
        <w:instrText xml:space="preserve"> REF _Ref53730612 \h </w:instrText>
      </w:r>
      <w:r w:rsidR="003B7396">
        <w:rPr>
          <w:rFonts w:eastAsiaTheme="minorEastAsia"/>
        </w:rPr>
      </w:r>
      <w:r w:rsidR="003B7396">
        <w:rPr>
          <w:rFonts w:eastAsiaTheme="minorEastAsia"/>
        </w:rPr>
        <w:fldChar w:fldCharType="separate"/>
      </w:r>
      <w:r w:rsidR="005851DD" w:rsidRPr="00BF2BA0">
        <w:t>(</w:t>
      </w:r>
      <w:r w:rsidR="005851DD">
        <w:rPr>
          <w:noProof/>
        </w:rPr>
        <w:t>6</w:t>
      </w:r>
      <w:r w:rsidR="005851DD" w:rsidRPr="00BF2BA0">
        <w:t>)</w:t>
      </w:r>
      <w:r w:rsidR="003B7396">
        <w:rPr>
          <w:rFonts w:eastAsiaTheme="minorEastAsia"/>
        </w:rPr>
        <w:fldChar w:fldCharType="end"/>
      </w:r>
      <w:r>
        <w:rPr>
          <w:rFonts w:eastAsiaTheme="minorEastAsia"/>
        </w:rPr>
        <w:t>.</w:t>
      </w:r>
      <w: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119"/>
        <w:gridCol w:w="461"/>
      </w:tblGrid>
      <w:tr w:rsidR="00D37CB8" w14:paraId="2302E600" w14:textId="77777777" w:rsidTr="00064507">
        <w:tc>
          <w:tcPr>
            <w:tcW w:w="250" w:type="pct"/>
            <w:shd w:val="clear" w:color="auto" w:fill="auto"/>
          </w:tcPr>
          <w:p w14:paraId="7CA27FBE" w14:textId="77777777" w:rsidR="00D37CB8" w:rsidRDefault="00D37CB8" w:rsidP="00064507"/>
        </w:tc>
        <w:tc>
          <w:tcPr>
            <w:tcW w:w="4500" w:type="pct"/>
            <w:shd w:val="clear" w:color="auto" w:fill="auto"/>
            <w:vAlign w:val="center"/>
          </w:tcPr>
          <w:p w14:paraId="010B9017" w14:textId="77777777" w:rsidR="00D37CB8" w:rsidRDefault="00D37CB8" w:rsidP="00064507">
            <w:pPr>
              <w:jc w:val="center"/>
            </w:pPr>
            <m:oMathPara>
              <m:oMath>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Dirty</m:t>
                    </m:r>
                  </m:sup>
                </m:sSubSup>
                <m:r>
                  <w:rPr>
                    <w:rFonts w:ascii="Cambria Math" w:eastAsiaTheme="minorEastAsia" w:hAnsi="Cambria Math"/>
                  </w:rPr>
                  <m:t>-</m:t>
                </m:r>
                <m:nary>
                  <m:naryPr>
                    <m:chr m:val="∑"/>
                    <m:limLoc m:val="undOvr"/>
                    <m:supHide m:val="1"/>
                    <m:ctrlPr>
                      <w:rPr>
                        <w:rFonts w:ascii="Cambria Math" w:hAnsi="Cambria Math"/>
                        <w:i/>
                      </w:rPr>
                    </m:ctrlPr>
                  </m:naryPr>
                  <m:sub>
                    <m:r>
                      <w:rPr>
                        <w:rFonts w:ascii="Cambria Math" w:hAnsi="Cambria Math"/>
                      </w:rPr>
                      <m:t>l∈Bl</m:t>
                    </m:r>
                    <m:d>
                      <m:dPr>
                        <m:ctrlPr>
                          <w:rPr>
                            <w:rFonts w:ascii="Cambria Math" w:hAnsi="Cambria Math"/>
                            <w:i/>
                          </w:rPr>
                        </m:ctrlPr>
                      </m:dPr>
                      <m:e>
                        <m:r>
                          <w:rPr>
                            <w:rFonts w:ascii="Cambria Math" w:hAnsi="Cambria Math"/>
                          </w:rPr>
                          <m:t>l</m:t>
                        </m:r>
                      </m:e>
                    </m:d>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 blend,y</m:t>
                        </m:r>
                      </m:sub>
                    </m:sSub>
                  </m:e>
                </m:nary>
                <m:r>
                  <w:rPr>
                    <w:rFonts w:ascii="Cambria Math" w:hAnsi="Cambria Math"/>
                  </w:rPr>
                  <m:t>=0</m:t>
                </m:r>
                <m:r>
                  <w:rPr>
                    <w:rFonts w:ascii="Cambria Math" w:eastAsiaTheme="minorEastAsia" w:hAnsi="Cambria Math"/>
                  </w:rPr>
                  <m:t xml:space="preserve">      ∀z,y</m:t>
                </m:r>
              </m:oMath>
            </m:oMathPara>
          </w:p>
        </w:tc>
        <w:tc>
          <w:tcPr>
            <w:tcW w:w="250" w:type="pct"/>
            <w:shd w:val="clear" w:color="auto" w:fill="auto"/>
            <w:vAlign w:val="center"/>
          </w:tcPr>
          <w:p w14:paraId="33A383C5" w14:textId="72AC0DD9" w:rsidR="00D37CB8" w:rsidRPr="00BF2BA0" w:rsidRDefault="00D37CB8" w:rsidP="00064507">
            <w:pPr>
              <w:jc w:val="center"/>
            </w:pPr>
            <w:bookmarkStart w:id="25" w:name="_Ref53730612"/>
            <w:r w:rsidRPr="00BF2BA0">
              <w:t>(</w:t>
            </w:r>
            <w:fldSimple w:instr=" SEQ Equation \* MERGEFORMAT ">
              <w:r w:rsidR="005851DD">
                <w:rPr>
                  <w:noProof/>
                </w:rPr>
                <w:t>6</w:t>
              </w:r>
            </w:fldSimple>
            <w:r w:rsidRPr="00BF2BA0">
              <w:t>)</w:t>
            </w:r>
            <w:bookmarkEnd w:id="25"/>
          </w:p>
        </w:tc>
      </w:tr>
    </w:tbl>
    <w:p w14:paraId="413E4D47" w14:textId="48F4B07F" w:rsidR="008C2236" w:rsidRDefault="003B7396" w:rsidP="00C474A9">
      <w:r>
        <w:t xml:space="preserve">Further flow constraints, such as hydrogen being </w:t>
      </w:r>
      <w:r w:rsidR="008C2236">
        <w:t>transported between neighbour zones,</w:t>
      </w:r>
      <w:r>
        <w:t xml:space="preserve"> or positive flow variables were included, and can be found in</w:t>
      </w:r>
      <w:r w:rsidR="008C2236">
        <w:t xml:space="preserve"> </w:t>
      </w:r>
      <w:r w:rsidR="00FC15DB">
        <w:fldChar w:fldCharType="begin"/>
      </w:r>
      <w:r w:rsidR="00FC15DB">
        <w:instrText xml:space="preserve"> REF _Ref55564654 \r \h </w:instrText>
      </w:r>
      <w:r w:rsidR="00FC15DB">
        <w:fldChar w:fldCharType="separate"/>
      </w:r>
      <w:r w:rsidR="005851DD">
        <w:t>Appendix B</w:t>
      </w:r>
      <w:r w:rsidR="00FC15DB">
        <w:fldChar w:fldCharType="end"/>
      </w:r>
      <w:r>
        <w:t>.</w:t>
      </w:r>
    </w:p>
    <w:p w14:paraId="09C9E798" w14:textId="55458077" w:rsidR="00A6252F" w:rsidRDefault="00A6252F" w:rsidP="00A6252F">
      <w:pPr>
        <w:pStyle w:val="Heading3"/>
      </w:pPr>
      <w:r>
        <w:t>Production facility constraints</w:t>
      </w:r>
    </w:p>
    <w:p w14:paraId="47CA657E" w14:textId="230B42AA" w:rsidR="001B3FFF" w:rsidRDefault="001B3FFF" w:rsidP="001B3FFF">
      <w:r>
        <w:t xml:space="preserve">Installed production facility capacity must be greater than, or equal to the rate of production of hydrogen, multiplied by the associated capacity factor of the production technology, as seen in Equation </w:t>
      </w:r>
      <w:r>
        <w:fldChar w:fldCharType="begin"/>
      </w:r>
      <w:r>
        <w:instrText xml:space="preserve"> REF _Ref54161537 \h </w:instrText>
      </w:r>
      <w:r>
        <w:fldChar w:fldCharType="separate"/>
      </w:r>
      <w:r w:rsidR="005851DD" w:rsidRPr="00A30E3B">
        <w:t>(</w:t>
      </w:r>
      <w:r w:rsidR="005851DD">
        <w:rPr>
          <w:noProof/>
        </w:rPr>
        <w:t>7</w:t>
      </w:r>
      <w:r w:rsidR="005851DD" w:rsidRPr="00A30E3B">
        <w:t>)</w:t>
      </w:r>
      <w:r>
        <w:fldChar w:fldCharType="end"/>
      </w:r>
      <w: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119"/>
        <w:gridCol w:w="461"/>
      </w:tblGrid>
      <w:tr w:rsidR="001B3FFF" w14:paraId="1C148EDB" w14:textId="77777777" w:rsidTr="00DF20CA">
        <w:tc>
          <w:tcPr>
            <w:tcW w:w="250" w:type="pct"/>
            <w:shd w:val="clear" w:color="auto" w:fill="auto"/>
          </w:tcPr>
          <w:p w14:paraId="3AA47707" w14:textId="77777777" w:rsidR="001B3FFF" w:rsidRDefault="001B3FFF" w:rsidP="00DF20CA"/>
        </w:tc>
        <w:tc>
          <w:tcPr>
            <w:tcW w:w="4500" w:type="pct"/>
            <w:shd w:val="clear" w:color="auto" w:fill="auto"/>
            <w:vAlign w:val="center"/>
          </w:tcPr>
          <w:p w14:paraId="527722BB" w14:textId="77777777" w:rsidR="001B3FFF" w:rsidRPr="00A30E3B" w:rsidRDefault="001B3FFF" w:rsidP="00DF20CA">
            <w:pPr>
              <w:jc w:val="center"/>
            </w:pPr>
            <m:oMathPara>
              <m:oMath>
                <m:r>
                  <w:rPr>
                    <w:rFonts w:ascii="Cambria Math" w:hAnsi="Cambria Math"/>
                  </w:rPr>
                  <m:t>P</m:t>
                </m:r>
                <m:sSub>
                  <m:sSubPr>
                    <m:ctrlPr>
                      <w:rPr>
                        <w:rFonts w:ascii="Cambria Math" w:hAnsi="Cambria Math"/>
                        <w:i/>
                      </w:rPr>
                    </m:ctrlPr>
                  </m:sSubPr>
                  <m:e>
                    <m:r>
                      <w:rPr>
                        <w:rFonts w:ascii="Cambria Math" w:hAnsi="Cambria Math"/>
                      </w:rPr>
                      <m:t>R</m:t>
                    </m:r>
                  </m:e>
                  <m:sub>
                    <m:r>
                      <w:rPr>
                        <w:rFonts w:ascii="Cambria Math" w:hAnsi="Cambria Math"/>
                      </w:rPr>
                      <m:t>p,z,g,y</m:t>
                    </m:r>
                  </m:sub>
                </m:sSub>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hAnsi="Cambria Math"/>
                      </w:rPr>
                      <m:t>p,z,g,y</m:t>
                    </m:r>
                  </m:sub>
                </m:sSub>
                <m:r>
                  <w:rPr>
                    <w:rFonts w:ascii="Cambria Math" w:eastAsiaTheme="minorEastAsia" w:hAnsi="Cambria Math"/>
                  </w:rPr>
                  <m:t>⋅CapFacto</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p,z</m:t>
                    </m:r>
                  </m:sub>
                </m:sSub>
                <m:r>
                  <w:rPr>
                    <w:rFonts w:ascii="Cambria Math" w:eastAsiaTheme="minorEastAsia" w:hAnsi="Cambria Math"/>
                  </w:rPr>
                  <m:t xml:space="preserve">     ∀p,z,g,y</m:t>
                </m:r>
              </m:oMath>
            </m:oMathPara>
          </w:p>
        </w:tc>
        <w:tc>
          <w:tcPr>
            <w:tcW w:w="250" w:type="pct"/>
            <w:shd w:val="clear" w:color="auto" w:fill="auto"/>
            <w:vAlign w:val="center"/>
          </w:tcPr>
          <w:p w14:paraId="3F7C3BF2" w14:textId="7151DD6F" w:rsidR="001B3FFF" w:rsidRPr="00BF2BA0" w:rsidRDefault="001B3FFF" w:rsidP="00DF20CA">
            <w:pPr>
              <w:jc w:val="center"/>
            </w:pPr>
            <w:bookmarkStart w:id="26" w:name="_Ref54161537"/>
            <w:r w:rsidRPr="00A30E3B">
              <w:t>(</w:t>
            </w:r>
            <w:fldSimple w:instr=" SEQ Equation \* MERGEFORMAT ">
              <w:r w:rsidR="005851DD">
                <w:rPr>
                  <w:noProof/>
                </w:rPr>
                <w:t>7</w:t>
              </w:r>
            </w:fldSimple>
            <w:r w:rsidRPr="00A30E3B">
              <w:t>)</w:t>
            </w:r>
            <w:bookmarkEnd w:id="26"/>
          </w:p>
        </w:tc>
      </w:tr>
    </w:tbl>
    <w:p w14:paraId="5BB9162A" w14:textId="205C4E7F" w:rsidR="001B3FFF" w:rsidRDefault="001B3FFF" w:rsidP="001B3FFF">
      <w:r>
        <w:t>Furthermore, since installed onshore wind farms</w:t>
      </w:r>
      <w:r w:rsidR="003F3A56">
        <w:t xml:space="preserve"> and solar PV</w:t>
      </w:r>
      <w:r>
        <w:t xml:space="preserve"> raise concerns around land availability, Equation </w:t>
      </w:r>
      <w:r>
        <w:fldChar w:fldCharType="begin"/>
      </w:r>
      <w:r>
        <w:instrText xml:space="preserve"> REF _Ref54161569 \h </w:instrText>
      </w:r>
      <w:r>
        <w:fldChar w:fldCharType="separate"/>
      </w:r>
      <w:r w:rsidR="005851DD" w:rsidRPr="00BF2BA0">
        <w:t>(</w:t>
      </w:r>
      <w:r w:rsidR="005851DD">
        <w:rPr>
          <w:noProof/>
        </w:rPr>
        <w:t>8</w:t>
      </w:r>
      <w:r w:rsidR="005851DD" w:rsidRPr="00BF2BA0">
        <w:t>)</w:t>
      </w:r>
      <w:r>
        <w:fldChar w:fldCharType="end"/>
      </w:r>
      <w:r>
        <w:t xml:space="preserve"> limits the installed capacity of electrolysis production from onshore wind</w:t>
      </w:r>
      <w:r w:rsidR="003F3A56">
        <w:t xml:space="preserve"> and Equation </w:t>
      </w:r>
      <w:r w:rsidR="003F3A56">
        <w:fldChar w:fldCharType="begin"/>
      </w:r>
      <w:r w:rsidR="003F3A56">
        <w:instrText xml:space="preserve"> REF _Ref77097801 \h </w:instrText>
      </w:r>
      <w:r w:rsidR="003F3A56">
        <w:fldChar w:fldCharType="separate"/>
      </w:r>
      <w:r w:rsidR="005851DD" w:rsidRPr="00BF2BA0">
        <w:t>(</w:t>
      </w:r>
      <w:r w:rsidR="005851DD">
        <w:rPr>
          <w:noProof/>
        </w:rPr>
        <w:t>9</w:t>
      </w:r>
      <w:r w:rsidR="005851DD" w:rsidRPr="00BF2BA0">
        <w:t>)</w:t>
      </w:r>
      <w:r w:rsidR="003F3A56">
        <w:fldChar w:fldCharType="end"/>
      </w:r>
      <w:r w:rsidR="003F3A56">
        <w:t xml:space="preserve"> limits the installed capacity of hydrogen production from solar PV</w:t>
      </w:r>
      <w:r>
        <w:t xml:space="preserve">. The factor </w:t>
      </w:r>
      <m:oMath>
        <m:r>
          <w:rPr>
            <w:rFonts w:ascii="Cambria Math" w:hAnsi="Cambria Math"/>
          </w:rPr>
          <m:t>2</m:t>
        </m:r>
        <m:rad>
          <m:radPr>
            <m:degHide m:val="1"/>
            <m:ctrlPr>
              <w:rPr>
                <w:rFonts w:ascii="Cambria Math" w:hAnsi="Cambria Math"/>
                <w:i/>
              </w:rPr>
            </m:ctrlPr>
          </m:radPr>
          <m:deg/>
          <m:e>
            <m:r>
              <w:rPr>
                <w:rFonts w:ascii="Cambria Math" w:hAnsi="Cambria Math"/>
              </w:rPr>
              <m:t>3</m:t>
            </m:r>
          </m:e>
        </m:rad>
      </m:oMath>
      <w:r>
        <w:rPr>
          <w:rFonts w:eastAsiaTheme="minorEastAsia"/>
        </w:rPr>
        <w:t xml:space="preserve"> assumes the wind turbines are installed in a hexagonal grid; </w:t>
      </w:r>
      <m:oMath>
        <m:r>
          <w:rPr>
            <w:rFonts w:ascii="Cambria Math" w:hAnsi="Cambria Math"/>
          </w:rPr>
          <m:t>5⋅</m:t>
        </m:r>
        <m:sSup>
          <m:sSupPr>
            <m:ctrlPr>
              <w:rPr>
                <w:rFonts w:ascii="Cambria Math" w:hAnsi="Cambria Math"/>
                <w:i/>
              </w:rPr>
            </m:ctrlPr>
          </m:sSupPr>
          <m:e>
            <m:r>
              <w:rPr>
                <w:rFonts w:ascii="Cambria Math" w:hAnsi="Cambria Math"/>
              </w:rPr>
              <m:t>R</m:t>
            </m:r>
          </m:e>
          <m:sup>
            <m:r>
              <w:rPr>
                <w:rFonts w:ascii="Cambria Math" w:hAnsi="Cambria Math"/>
              </w:rPr>
              <m:t>W</m:t>
            </m:r>
          </m:sup>
        </m:sSup>
      </m:oMath>
      <w:r>
        <w:rPr>
          <w:rFonts w:eastAsiaTheme="minorEastAsia"/>
        </w:rPr>
        <w:t xml:space="preserve"> assumes the turbines will be spaced 5 turbine radii away from each other (where </w:t>
      </w:r>
      <m:oMath>
        <m:sSup>
          <m:sSupPr>
            <m:ctrlPr>
              <w:rPr>
                <w:rFonts w:ascii="Cambria Math" w:hAnsi="Cambria Math"/>
                <w:i/>
              </w:rPr>
            </m:ctrlPr>
          </m:sSupPr>
          <m:e>
            <m:r>
              <w:rPr>
                <w:rFonts w:ascii="Cambria Math" w:hAnsi="Cambria Math"/>
              </w:rPr>
              <m:t>R</m:t>
            </m:r>
          </m:e>
          <m:sup>
            <m:r>
              <w:rPr>
                <w:rFonts w:ascii="Cambria Math" w:hAnsi="Cambria Math"/>
              </w:rPr>
              <m:t>W</m:t>
            </m:r>
          </m:sup>
        </m:sSup>
      </m:oMath>
      <w:r>
        <w:rPr>
          <w:rFonts w:eastAsiaTheme="minorEastAsia"/>
        </w:rPr>
        <w:t xml:space="preserve"> is the radius of one turbine); </w:t>
      </w:r>
      <m:oMath>
        <m:r>
          <w:rPr>
            <w:rFonts w:ascii="Cambria Math" w:hAnsi="Cambria Math"/>
          </w:rPr>
          <m:t>PCa</m:t>
        </m:r>
        <m:sSup>
          <m:sSupPr>
            <m:ctrlPr>
              <w:rPr>
                <w:rFonts w:ascii="Cambria Math" w:hAnsi="Cambria Math"/>
                <w:i/>
              </w:rPr>
            </m:ctrlPr>
          </m:sSupPr>
          <m:e>
            <m:r>
              <w:rPr>
                <w:rFonts w:ascii="Cambria Math" w:hAnsi="Cambria Math"/>
              </w:rPr>
              <m:t>p</m:t>
            </m:r>
          </m:e>
          <m:sup>
            <m:r>
              <w:rPr>
                <w:rFonts w:ascii="Cambria Math" w:hAnsi="Cambria Math"/>
              </w:rPr>
              <m:t>Turbine,Max</m:t>
            </m:r>
          </m:sup>
        </m:sSup>
      </m:oMath>
      <w:r>
        <w:rPr>
          <w:rFonts w:eastAsiaTheme="minorEastAsia"/>
        </w:rPr>
        <w:t xml:space="preserve"> is the maximum production capacity of a wind turbine; and </w:t>
      </w:r>
      <m:oMath>
        <m:sSub>
          <m:sSubPr>
            <m:ctrlPr>
              <w:rPr>
                <w:rFonts w:ascii="Cambria Math" w:hAnsi="Cambria Math"/>
                <w:i/>
              </w:rPr>
            </m:ctrlPr>
          </m:sSubPr>
          <m:e>
            <m:r>
              <w:rPr>
                <w:rFonts w:ascii="Cambria Math" w:hAnsi="Cambria Math"/>
              </w:rPr>
              <m:t>A</m:t>
            </m:r>
          </m:e>
          <m:sub>
            <m:r>
              <w:rPr>
                <w:rFonts w:ascii="Cambria Math" w:hAnsi="Cambria Math"/>
              </w:rPr>
              <m:t>z</m:t>
            </m:r>
          </m:sub>
        </m:sSub>
      </m:oMath>
      <w:r>
        <w:rPr>
          <w:rFonts w:eastAsiaTheme="minorEastAsia"/>
        </w:rPr>
        <w:t xml:space="preserve"> is the land availability for onshore wind turbine farms in each zone.</w:t>
      </w:r>
      <w:r w:rsidR="003F3A56">
        <w:rPr>
          <w:rFonts w:eastAsiaTheme="minorEastAsia"/>
        </w:rPr>
        <w:t xml:space="preserve"> </w:t>
      </w:r>
      <m:oMath>
        <m:r>
          <w:rPr>
            <w:rFonts w:ascii="Cambria Math" w:hAnsi="Cambria Math"/>
          </w:rPr>
          <m:t>PCa</m:t>
        </m:r>
        <m:sSup>
          <m:sSupPr>
            <m:ctrlPr>
              <w:rPr>
                <w:rFonts w:ascii="Cambria Math" w:hAnsi="Cambria Math"/>
                <w:i/>
              </w:rPr>
            </m:ctrlPr>
          </m:sSupPr>
          <m:e>
            <m:r>
              <w:rPr>
                <w:rFonts w:ascii="Cambria Math" w:hAnsi="Cambria Math"/>
              </w:rPr>
              <m:t>p</m:t>
            </m:r>
          </m:e>
          <m:sup>
            <m:r>
              <w:rPr>
                <w:rFonts w:ascii="Cambria Math" w:hAnsi="Cambria Math"/>
              </w:rPr>
              <m:t>SolarPV</m:t>
            </m:r>
          </m:sup>
        </m:sSup>
      </m:oMath>
      <w:r w:rsidR="003F3A56">
        <w:rPr>
          <w:rFonts w:eastAsiaTheme="minorEastAsia"/>
        </w:rPr>
        <w:t xml:space="preserve"> represents the installed area of which 1kWp of solar PV takes up.</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120"/>
        <w:gridCol w:w="461"/>
      </w:tblGrid>
      <w:tr w:rsidR="001B3FFF" w14:paraId="0B1D5110" w14:textId="77777777" w:rsidTr="003F3A56">
        <w:tc>
          <w:tcPr>
            <w:tcW w:w="247" w:type="pct"/>
            <w:shd w:val="clear" w:color="auto" w:fill="auto"/>
          </w:tcPr>
          <w:p w14:paraId="66942258" w14:textId="77777777" w:rsidR="001B3FFF" w:rsidRDefault="001B3FFF" w:rsidP="00DF20CA"/>
        </w:tc>
        <w:tc>
          <w:tcPr>
            <w:tcW w:w="4498" w:type="pct"/>
            <w:shd w:val="clear" w:color="auto" w:fill="auto"/>
            <w:vAlign w:val="center"/>
          </w:tcPr>
          <w:p w14:paraId="5BF6890C" w14:textId="71E703C8" w:rsidR="001B3FFF" w:rsidRDefault="00AD2CA3" w:rsidP="00DF20CA">
            <w:pPr>
              <w:jc w:val="center"/>
            </w:pPr>
            <m:oMathPara>
              <m:oMath>
                <m:r>
                  <w:rPr>
                    <w:rFonts w:ascii="Cambria Math" w:hAnsi="Cambria Math"/>
                  </w:rPr>
                  <m:t>2</m:t>
                </m:r>
                <m:rad>
                  <m:radPr>
                    <m:degHide m:val="1"/>
                    <m:ctrlPr>
                      <w:rPr>
                        <w:rFonts w:ascii="Cambria Math" w:hAnsi="Cambria Math"/>
                        <w:i/>
                      </w:rPr>
                    </m:ctrlPr>
                  </m:radPr>
                  <m:deg/>
                  <m:e>
                    <m:r>
                      <w:rPr>
                        <w:rFonts w:ascii="Cambria Math" w:hAnsi="Cambria Math"/>
                      </w:rPr>
                      <m:t>3</m:t>
                    </m:r>
                  </m:e>
                </m:ra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m:t>
                        </m:r>
                        <m:sSup>
                          <m:sSupPr>
                            <m:ctrlPr>
                              <w:rPr>
                                <w:rFonts w:ascii="Cambria Math" w:hAnsi="Cambria Math"/>
                                <w:i/>
                              </w:rPr>
                            </m:ctrlPr>
                          </m:sSupPr>
                          <m:e>
                            <m:r>
                              <w:rPr>
                                <w:rFonts w:ascii="Cambria Math" w:hAnsi="Cambria Math"/>
                              </w:rPr>
                              <m:t>R</m:t>
                            </m:r>
                          </m:e>
                          <m:sup>
                            <m:r>
                              <w:rPr>
                                <w:rFonts w:ascii="Cambria Math" w:hAnsi="Cambria Math"/>
                              </w:rPr>
                              <m:t>W</m:t>
                            </m:r>
                          </m:sup>
                        </m:sSup>
                      </m:e>
                    </m:d>
                  </m:e>
                  <m:sup>
                    <m:r>
                      <w:rPr>
                        <w:rFonts w:ascii="Cambria Math" w:hAnsi="Cambria Math"/>
                      </w:rPr>
                      <m:t>2</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eastAsiaTheme="minorEastAsia" w:hAnsi="Cambria Math"/>
                              </w:rPr>
                              <m:t>OnshoreWind</m:t>
                            </m:r>
                            <m:r>
                              <w:rPr>
                                <w:rFonts w:ascii="Cambria Math" w:hAnsi="Cambria Math"/>
                              </w:rPr>
                              <m:t>,z,g,y</m:t>
                            </m:r>
                          </m:sub>
                        </m:sSub>
                      </m:num>
                      <m:den>
                        <m:r>
                          <w:rPr>
                            <w:rFonts w:ascii="Cambria Math" w:hAnsi="Cambria Math"/>
                          </w:rPr>
                          <m:t>PCa</m:t>
                        </m:r>
                        <m:sSup>
                          <m:sSupPr>
                            <m:ctrlPr>
                              <w:rPr>
                                <w:rFonts w:ascii="Cambria Math" w:hAnsi="Cambria Math"/>
                                <w:i/>
                              </w:rPr>
                            </m:ctrlPr>
                          </m:sSupPr>
                          <m:e>
                            <m:r>
                              <w:rPr>
                                <w:rFonts w:ascii="Cambria Math" w:hAnsi="Cambria Math"/>
                              </w:rPr>
                              <m:t>p</m:t>
                            </m:r>
                          </m:e>
                          <m:sup>
                            <m:r>
                              <w:rPr>
                                <w:rFonts w:ascii="Cambria Math" w:hAnsi="Cambria Math"/>
                              </w:rPr>
                              <m:t>Turbine,Max</m:t>
                            </m:r>
                          </m:sup>
                        </m:sSup>
                      </m:den>
                    </m:f>
                  </m:e>
                </m:d>
                <m: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z</m:t>
                    </m:r>
                  </m:sub>
                </m:sSub>
                <m:r>
                  <w:rPr>
                    <w:rFonts w:ascii="Cambria Math" w:eastAsiaTheme="minorEastAsia" w:hAnsi="Cambria Math"/>
                  </w:rPr>
                  <m:t xml:space="preserve">    ∀z,g,y</m:t>
                </m:r>
              </m:oMath>
            </m:oMathPara>
          </w:p>
        </w:tc>
        <w:tc>
          <w:tcPr>
            <w:tcW w:w="255" w:type="pct"/>
            <w:shd w:val="clear" w:color="auto" w:fill="auto"/>
            <w:vAlign w:val="center"/>
          </w:tcPr>
          <w:p w14:paraId="1BF46D99" w14:textId="6DD4A0D0" w:rsidR="001B3FFF" w:rsidRPr="00BF2BA0" w:rsidRDefault="001B3FFF" w:rsidP="00DF20CA">
            <w:pPr>
              <w:jc w:val="center"/>
            </w:pPr>
            <w:bookmarkStart w:id="27" w:name="_Ref54161569"/>
            <w:r w:rsidRPr="00BF2BA0">
              <w:t>(</w:t>
            </w:r>
            <w:fldSimple w:instr=" SEQ Equation \* MERGEFORMAT ">
              <w:r w:rsidR="005851DD">
                <w:rPr>
                  <w:noProof/>
                </w:rPr>
                <w:t>8</w:t>
              </w:r>
            </w:fldSimple>
            <w:r w:rsidRPr="00BF2BA0">
              <w:t>)</w:t>
            </w:r>
            <w:bookmarkEnd w:id="27"/>
          </w:p>
        </w:tc>
      </w:tr>
      <w:tr w:rsidR="003F3A56" w14:paraId="67CE6BB5" w14:textId="77777777" w:rsidTr="003F3A56">
        <w:tc>
          <w:tcPr>
            <w:tcW w:w="247" w:type="pct"/>
            <w:shd w:val="clear" w:color="auto" w:fill="auto"/>
          </w:tcPr>
          <w:p w14:paraId="2F4CECDB" w14:textId="77777777" w:rsidR="003F3A56" w:rsidRDefault="003F3A56" w:rsidP="003F3A56"/>
        </w:tc>
        <w:tc>
          <w:tcPr>
            <w:tcW w:w="4498" w:type="pct"/>
            <w:shd w:val="clear" w:color="auto" w:fill="auto"/>
            <w:vAlign w:val="center"/>
          </w:tcPr>
          <w:p w14:paraId="35276633" w14:textId="22C2EAA1" w:rsidR="003F3A56" w:rsidRDefault="00903D45" w:rsidP="003F3A56">
            <w:pPr>
              <w:jc w:val="center"/>
              <w:rPr>
                <w:rFonts w:ascii="Calibri" w:eastAsia="Calibri" w:hAnsi="Calibri" w:cs="Times New Roman"/>
              </w:rPr>
            </w:pPr>
            <m:oMathPara>
              <m:oMath>
                <m:f>
                  <m:fPr>
                    <m:ctrlPr>
                      <w:rPr>
                        <w:rFonts w:ascii="Cambria Math" w:hAnsi="Cambria Math"/>
                        <w:i/>
                      </w:rPr>
                    </m:ctrlPr>
                  </m:fPr>
                  <m:num>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eastAsiaTheme="minorEastAsia" w:hAnsi="Cambria Math"/>
                          </w:rPr>
                          <m:t>SolarPV</m:t>
                        </m:r>
                        <m:r>
                          <w:rPr>
                            <w:rFonts w:ascii="Cambria Math" w:hAnsi="Cambria Math"/>
                          </w:rPr>
                          <m:t>,z,g,y</m:t>
                        </m:r>
                      </m:sub>
                    </m:sSub>
                  </m:num>
                  <m:den>
                    <m:r>
                      <w:rPr>
                        <w:rFonts w:ascii="Cambria Math" w:hAnsi="Cambria Math"/>
                      </w:rPr>
                      <m:t>PCa</m:t>
                    </m:r>
                    <m:sSup>
                      <m:sSupPr>
                        <m:ctrlPr>
                          <w:rPr>
                            <w:rFonts w:ascii="Cambria Math" w:hAnsi="Cambria Math"/>
                            <w:i/>
                          </w:rPr>
                        </m:ctrlPr>
                      </m:sSupPr>
                      <m:e>
                        <m:r>
                          <w:rPr>
                            <w:rFonts w:ascii="Cambria Math" w:hAnsi="Cambria Math"/>
                          </w:rPr>
                          <m:t>p</m:t>
                        </m:r>
                      </m:e>
                      <m:sup>
                        <m:r>
                          <w:rPr>
                            <w:rFonts w:ascii="Cambria Math" w:hAnsi="Cambria Math"/>
                          </w:rPr>
                          <m:t>SolarPV</m:t>
                        </m:r>
                      </m:sup>
                    </m:sSup>
                  </m:den>
                </m:f>
                <m: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z</m:t>
                    </m:r>
                  </m:sub>
                </m:sSub>
                <m:r>
                  <w:rPr>
                    <w:rFonts w:ascii="Cambria Math" w:eastAsiaTheme="minorEastAsia" w:hAnsi="Cambria Math"/>
                  </w:rPr>
                  <m:t xml:space="preserve">    ∀z,g,y</m:t>
                </m:r>
              </m:oMath>
            </m:oMathPara>
          </w:p>
        </w:tc>
        <w:tc>
          <w:tcPr>
            <w:tcW w:w="255" w:type="pct"/>
            <w:shd w:val="clear" w:color="auto" w:fill="auto"/>
            <w:vAlign w:val="center"/>
          </w:tcPr>
          <w:p w14:paraId="438887CC" w14:textId="1ACB3BDD" w:rsidR="003F3A56" w:rsidRPr="00BF2BA0" w:rsidRDefault="003F3A56" w:rsidP="003F3A56">
            <w:pPr>
              <w:jc w:val="center"/>
            </w:pPr>
            <w:bookmarkStart w:id="28" w:name="_Ref77097801"/>
            <w:r w:rsidRPr="00BF2BA0">
              <w:t>(</w:t>
            </w:r>
            <w:fldSimple w:instr=" SEQ Equation \* MERGEFORMAT ">
              <w:r w:rsidR="005851DD">
                <w:rPr>
                  <w:noProof/>
                </w:rPr>
                <w:t>9</w:t>
              </w:r>
            </w:fldSimple>
            <w:r w:rsidRPr="00BF2BA0">
              <w:t>)</w:t>
            </w:r>
            <w:bookmarkEnd w:id="28"/>
          </w:p>
        </w:tc>
      </w:tr>
    </w:tbl>
    <w:p w14:paraId="665E3955" w14:textId="0098FC5C" w:rsidR="001B3FFF" w:rsidRPr="001B3FFF" w:rsidRDefault="001B3FFF" w:rsidP="001B3FFF">
      <w:r>
        <w:t xml:space="preserve">Further production facility constraints include standard lifetime constraints and non-negative variables, which are found in </w:t>
      </w:r>
      <w:r w:rsidR="00FC15DB">
        <w:fldChar w:fldCharType="begin"/>
      </w:r>
      <w:r w:rsidR="00FC15DB">
        <w:instrText xml:space="preserve"> REF _Ref55564654 \r \h </w:instrText>
      </w:r>
      <w:r w:rsidR="00FC15DB">
        <w:fldChar w:fldCharType="separate"/>
      </w:r>
      <w:r w:rsidR="005851DD">
        <w:t>Appendix B</w:t>
      </w:r>
      <w:r w:rsidR="00FC15DB">
        <w:fldChar w:fldCharType="end"/>
      </w:r>
      <w:r w:rsidR="00E865F4">
        <w:t>.</w:t>
      </w:r>
      <w:r>
        <w:t xml:space="preserve"> </w:t>
      </w:r>
    </w:p>
    <w:p w14:paraId="49700311" w14:textId="20CFD403" w:rsidR="00A6252F" w:rsidRDefault="001B3FFF" w:rsidP="001B3FFF">
      <w:pPr>
        <w:pStyle w:val="Heading3"/>
      </w:pPr>
      <w:r>
        <w:t>Transportation constraints</w:t>
      </w:r>
    </w:p>
    <w:p w14:paraId="44160DA1" w14:textId="68F7A9E9" w:rsidR="00A95D5F" w:rsidRDefault="00A95D5F" w:rsidP="00A95D5F">
      <w:r>
        <w:t xml:space="preserve">Transportation is composed by local intra-zonal distribution and regional inter-zonal transmission. This is represented in the model by having two different variables for flow of hydrogen,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oMath>
      <w:r>
        <w:rPr>
          <w:rFonts w:eastAsiaTheme="minor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oMath>
      <w:r>
        <w:rPr>
          <w:rFonts w:eastAsiaTheme="minorEastAsia"/>
        </w:rPr>
        <w:t>, respectively.</w:t>
      </w:r>
      <w:r>
        <w:t xml:space="preserve"> The installed transport capacity for both local distribution and regional transmission must be greater than their respective flows, as represented by Equations </w:t>
      </w:r>
      <w:r w:rsidR="00AD2CA3">
        <w:fldChar w:fldCharType="begin"/>
      </w:r>
      <w:r w:rsidR="00AD2CA3">
        <w:instrText xml:space="preserve"> REF _Ref54175711 \h </w:instrText>
      </w:r>
      <w:r w:rsidR="00AD2CA3">
        <w:fldChar w:fldCharType="separate"/>
      </w:r>
      <w:r w:rsidR="005851DD" w:rsidRPr="00BF2BA0">
        <w:t>(</w:t>
      </w:r>
      <w:r w:rsidR="005851DD">
        <w:rPr>
          <w:noProof/>
        </w:rPr>
        <w:t>10</w:t>
      </w:r>
      <w:r w:rsidR="005851DD" w:rsidRPr="00BF2BA0">
        <w:t>)</w:t>
      </w:r>
      <w:r w:rsidR="00AD2CA3">
        <w:fldChar w:fldCharType="end"/>
      </w:r>
      <w:r w:rsidR="00AD2CA3">
        <w:t xml:space="preserve"> and </w:t>
      </w:r>
      <w:r w:rsidR="00AD2CA3">
        <w:fldChar w:fldCharType="begin"/>
      </w:r>
      <w:r w:rsidR="00AD2CA3">
        <w:instrText xml:space="preserve"> REF _Ref54175713 \h </w:instrText>
      </w:r>
      <w:r w:rsidR="00AD2CA3">
        <w:fldChar w:fldCharType="separate"/>
      </w:r>
      <w:r w:rsidR="005851DD" w:rsidRPr="00BF2BA0">
        <w:t>(</w:t>
      </w:r>
      <w:r w:rsidR="005851DD">
        <w:rPr>
          <w:noProof/>
        </w:rPr>
        <w:t>11</w:t>
      </w:r>
      <w:r w:rsidR="005851DD" w:rsidRPr="00BF2BA0">
        <w:t>)</w:t>
      </w:r>
      <w:r w:rsidR="00AD2CA3">
        <w:fldChar w:fldCharType="end"/>
      </w:r>
      <w:r w:rsidR="00AD2CA3">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A95D5F" w14:paraId="5A04F892" w14:textId="77777777" w:rsidTr="00DF20CA">
        <w:tc>
          <w:tcPr>
            <w:tcW w:w="123" w:type="pct"/>
            <w:shd w:val="clear" w:color="auto" w:fill="auto"/>
          </w:tcPr>
          <w:p w14:paraId="1D15AC10" w14:textId="77777777" w:rsidR="00A95D5F" w:rsidRDefault="00A95D5F" w:rsidP="00DF20CA"/>
        </w:tc>
        <w:tc>
          <w:tcPr>
            <w:tcW w:w="4141" w:type="pct"/>
            <w:shd w:val="clear" w:color="auto" w:fill="auto"/>
            <w:vAlign w:val="center"/>
          </w:tcPr>
          <w:p w14:paraId="63769BBB" w14:textId="77777777" w:rsidR="00A95D5F" w:rsidRDefault="00A95D5F" w:rsidP="00DF20CA">
            <w:pPr>
              <w:jc w:val="center"/>
            </w:pPr>
            <m:oMathPara>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l,z,g,y</m:t>
                    </m:r>
                  </m:sub>
                  <m:sup>
                    <m:r>
                      <w:rPr>
                        <w:rFonts w:ascii="Cambria Math" w:hAnsi="Cambria Math"/>
                      </w:rPr>
                      <m:t>L</m:t>
                    </m:r>
                  </m:sup>
                </m:sSubSup>
                <m:r>
                  <w:rPr>
                    <w:rFonts w:ascii="Cambria Math" w:eastAsiaTheme="minorEastAsia" w:hAnsi="Cambria Math"/>
                  </w:rPr>
                  <m:t xml:space="preserve">      ∀l,z,g,y</m:t>
                </m:r>
              </m:oMath>
            </m:oMathPara>
          </w:p>
        </w:tc>
        <w:tc>
          <w:tcPr>
            <w:tcW w:w="736" w:type="pct"/>
            <w:shd w:val="clear" w:color="auto" w:fill="auto"/>
            <w:vAlign w:val="center"/>
          </w:tcPr>
          <w:p w14:paraId="58413E6E" w14:textId="003E30FB" w:rsidR="00A95D5F" w:rsidRPr="00BF2BA0" w:rsidRDefault="00A95D5F" w:rsidP="00AD2CA3">
            <w:pPr>
              <w:jc w:val="right"/>
            </w:pPr>
            <w:bookmarkStart w:id="29" w:name="_Ref54175711"/>
            <w:r w:rsidRPr="00BF2BA0">
              <w:t>(</w:t>
            </w:r>
            <w:fldSimple w:instr=" SEQ Equation \* MERGEFORMAT ">
              <w:r w:rsidR="005851DD">
                <w:rPr>
                  <w:noProof/>
                </w:rPr>
                <w:t>10</w:t>
              </w:r>
            </w:fldSimple>
            <w:r w:rsidRPr="00BF2BA0">
              <w:t>)</w:t>
            </w:r>
            <w:bookmarkEnd w:id="29"/>
          </w:p>
        </w:tc>
      </w:tr>
      <w:tr w:rsidR="00A95D5F" w14:paraId="1C1E49C3" w14:textId="77777777" w:rsidTr="00DF20CA">
        <w:tc>
          <w:tcPr>
            <w:tcW w:w="123" w:type="pct"/>
            <w:shd w:val="clear" w:color="auto" w:fill="auto"/>
          </w:tcPr>
          <w:p w14:paraId="0BC0E77D" w14:textId="77777777" w:rsidR="00A95D5F" w:rsidRDefault="00A95D5F" w:rsidP="00DF20CA"/>
        </w:tc>
        <w:tc>
          <w:tcPr>
            <w:tcW w:w="4141" w:type="pct"/>
            <w:shd w:val="clear" w:color="auto" w:fill="auto"/>
            <w:vAlign w:val="center"/>
          </w:tcPr>
          <w:p w14:paraId="027D4FD9" w14:textId="77777777" w:rsidR="00A95D5F" w:rsidRDefault="00903D45" w:rsidP="00DF20CA">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r>
                  <w:rPr>
                    <w:rFonts w:ascii="Cambria Math" w:hAnsi="Cambria Math"/>
                  </w:rPr>
                  <m:t>≤ 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eastAsiaTheme="minorEastAsia" w:hAnsi="Cambria Math"/>
                  </w:rPr>
                  <m:t xml:space="preserve">      ∀l,z,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g,y</m:t>
                </m:r>
              </m:oMath>
            </m:oMathPara>
          </w:p>
        </w:tc>
        <w:tc>
          <w:tcPr>
            <w:tcW w:w="736" w:type="pct"/>
            <w:shd w:val="clear" w:color="auto" w:fill="auto"/>
            <w:vAlign w:val="center"/>
          </w:tcPr>
          <w:p w14:paraId="1C6CFC78" w14:textId="6CE9BEC9" w:rsidR="00A95D5F" w:rsidRPr="00BF2BA0" w:rsidRDefault="00A95D5F" w:rsidP="00AD2CA3">
            <w:pPr>
              <w:jc w:val="right"/>
            </w:pPr>
            <w:bookmarkStart w:id="30" w:name="_Ref54175713"/>
            <w:r w:rsidRPr="00BF2BA0">
              <w:t>(</w:t>
            </w:r>
            <w:fldSimple w:instr=" SEQ Equation \* MERGEFORMAT ">
              <w:r w:rsidR="005851DD">
                <w:rPr>
                  <w:noProof/>
                </w:rPr>
                <w:t>11</w:t>
              </w:r>
            </w:fldSimple>
            <w:r w:rsidRPr="00BF2BA0">
              <w:t>)</w:t>
            </w:r>
            <w:bookmarkEnd w:id="30"/>
          </w:p>
        </w:tc>
      </w:tr>
    </w:tbl>
    <w:p w14:paraId="510070DE" w14:textId="7C43F8DE" w:rsidR="00A95D5F" w:rsidRDefault="00A95D5F" w:rsidP="00A95D5F">
      <w:r>
        <w:t xml:space="preserve">Regional transmission capacity can only be established between neighbouring zones, as expressed in Equation </w:t>
      </w:r>
      <w:r w:rsidR="00AD2CA3">
        <w:fldChar w:fldCharType="begin"/>
      </w:r>
      <w:r w:rsidR="00AD2CA3">
        <w:instrText xml:space="preserve"> REF _Ref54162299 \h </w:instrText>
      </w:r>
      <w:r w:rsidR="00AD2CA3">
        <w:fldChar w:fldCharType="separate"/>
      </w:r>
      <w:r w:rsidR="005851DD" w:rsidRPr="00BF2BA0">
        <w:t>(</w:t>
      </w:r>
      <w:r w:rsidR="005851DD">
        <w:rPr>
          <w:noProof/>
        </w:rPr>
        <w:t>12</w:t>
      </w:r>
      <w:r w:rsidR="005851DD" w:rsidRPr="00BF2BA0">
        <w:t>)</w:t>
      </w:r>
      <w:r w:rsidR="00AD2CA3">
        <w:fldChar w:fldCharType="end"/>
      </w:r>
      <w:r w:rsidR="00AD2CA3">
        <w:t>.</w:t>
      </w:r>
      <w:r w:rsidR="003E7BD5">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8063"/>
        <w:gridCol w:w="573"/>
      </w:tblGrid>
      <w:tr w:rsidR="00A95D5F" w14:paraId="32235C9D" w14:textId="77777777" w:rsidTr="00DF20CA">
        <w:tc>
          <w:tcPr>
            <w:tcW w:w="250" w:type="pct"/>
            <w:shd w:val="clear" w:color="auto" w:fill="auto"/>
          </w:tcPr>
          <w:p w14:paraId="18F6C2E0" w14:textId="77777777" w:rsidR="00A95D5F" w:rsidRDefault="00A95D5F" w:rsidP="00DF20CA"/>
        </w:tc>
        <w:tc>
          <w:tcPr>
            <w:tcW w:w="4500" w:type="pct"/>
            <w:shd w:val="clear" w:color="auto" w:fill="auto"/>
            <w:vAlign w:val="center"/>
          </w:tcPr>
          <w:p w14:paraId="4D9ED721" w14:textId="03150DF9" w:rsidR="00A95D5F" w:rsidRDefault="00A95D5F" w:rsidP="00DF20CA">
            <w:pPr>
              <w:jc w:val="center"/>
            </w:pPr>
            <m:oMathPara>
              <m:oMath>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eastAsiaTheme="minorEastAsia" w:hAnsi="Cambria Math"/>
                  </w:rPr>
                  <m:t>≤M⋅Neigh</m:t>
                </m:r>
                <m:d>
                  <m:dPr>
                    <m:ctrlPr>
                      <w:rPr>
                        <w:rFonts w:ascii="Cambria Math" w:eastAsiaTheme="minorEastAsia" w:hAnsi="Cambria Math"/>
                        <w:i/>
                      </w:rPr>
                    </m:ctrlPr>
                  </m:dPr>
                  <m:e>
                    <m:r>
                      <w:rPr>
                        <w:rFonts w:ascii="Cambria Math" w:eastAsiaTheme="minorEastAsia" w:hAnsi="Cambria Math"/>
                      </w:rPr>
                      <m:t>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e>
                </m:d>
                <m:r>
                  <w:rPr>
                    <w:rFonts w:ascii="Cambria Math" w:eastAsiaTheme="minorEastAsia" w:hAnsi="Cambria Math"/>
                  </w:rPr>
                  <m:t xml:space="preserve">     ∀l,z,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,g,y</m:t>
                </m:r>
              </m:oMath>
            </m:oMathPara>
          </w:p>
        </w:tc>
        <w:tc>
          <w:tcPr>
            <w:tcW w:w="250" w:type="pct"/>
            <w:shd w:val="clear" w:color="auto" w:fill="auto"/>
            <w:vAlign w:val="center"/>
          </w:tcPr>
          <w:p w14:paraId="61AFD8F7" w14:textId="56AF6458" w:rsidR="00A95D5F" w:rsidRPr="00BF2BA0" w:rsidRDefault="00A95D5F" w:rsidP="00DF20CA">
            <w:pPr>
              <w:jc w:val="center"/>
            </w:pPr>
            <w:bookmarkStart w:id="31" w:name="_Ref54162299"/>
            <w:r w:rsidRPr="00BF2BA0">
              <w:t>(</w:t>
            </w:r>
            <w:fldSimple w:instr=" SEQ Equation \* MERGEFORMAT ">
              <w:r w:rsidR="005851DD">
                <w:rPr>
                  <w:noProof/>
                </w:rPr>
                <w:t>12</w:t>
              </w:r>
            </w:fldSimple>
            <w:r w:rsidRPr="00BF2BA0">
              <w:t>)</w:t>
            </w:r>
            <w:bookmarkEnd w:id="31"/>
          </w:p>
        </w:tc>
      </w:tr>
    </w:tbl>
    <w:p w14:paraId="2EC3B421" w14:textId="4E6AD340" w:rsidR="001B3FFF" w:rsidRDefault="00A95D5F" w:rsidP="001B3FFF">
      <w:r>
        <w:t xml:space="preserve">Further non-negativity and lifetime constraints can be found in </w:t>
      </w:r>
      <w:r w:rsidR="003E7BD5">
        <w:fldChar w:fldCharType="begin"/>
      </w:r>
      <w:r w:rsidR="003E7BD5">
        <w:instrText xml:space="preserve"> REF _Ref55564654 \r \h </w:instrText>
      </w:r>
      <w:r w:rsidR="003E7BD5">
        <w:fldChar w:fldCharType="separate"/>
      </w:r>
      <w:r w:rsidR="005851DD">
        <w:t>Appendix B</w:t>
      </w:r>
      <w:r w:rsidR="003E7BD5">
        <w:fldChar w:fldCharType="end"/>
      </w:r>
      <w:r>
        <w:t>.</w:t>
      </w:r>
    </w:p>
    <w:p w14:paraId="0FF37C00" w14:textId="77165629" w:rsidR="001B3FFF" w:rsidRDefault="001B3FFF" w:rsidP="001B3FFF">
      <w:pPr>
        <w:pStyle w:val="Heading3"/>
      </w:pPr>
      <w:r>
        <w:t>Purification constraints</w:t>
      </w:r>
    </w:p>
    <w:p w14:paraId="4E26813F" w14:textId="77777777" w:rsidR="000F41AB" w:rsidRDefault="000F41AB" w:rsidP="000F41AB">
      <w:r>
        <w:t>Purification was considered at two stages:</w:t>
      </w:r>
    </w:p>
    <w:p w14:paraId="363930B8" w14:textId="77777777" w:rsidR="000F41AB" w:rsidRDefault="000F41AB" w:rsidP="002D6D3B">
      <w:pPr>
        <w:pStyle w:val="ListParagraph"/>
        <w:numPr>
          <w:ilvl w:val="0"/>
          <w:numId w:val="13"/>
        </w:numPr>
        <w:spacing w:line="240" w:lineRule="auto"/>
        <w:ind w:left="1434" w:hanging="357"/>
      </w:pPr>
      <w:r>
        <w:t>Centralised – Large scale, in the centroid of a zone where hydrogen can be purified from dirty grade to clean grade.</w:t>
      </w:r>
    </w:p>
    <w:p w14:paraId="4B0ECCB9" w14:textId="0E480CF8" w:rsidR="000F41AB" w:rsidRDefault="000F41AB" w:rsidP="002D6D3B">
      <w:pPr>
        <w:pStyle w:val="ListParagraph"/>
        <w:numPr>
          <w:ilvl w:val="0"/>
          <w:numId w:val="13"/>
        </w:numPr>
        <w:spacing w:line="240" w:lineRule="auto"/>
        <w:ind w:left="1434" w:hanging="357"/>
      </w:pPr>
      <w:r>
        <w:t>Localised – At the refuelling station, where hydrogen can be purified from dirty grade to pure grade; from clean grade to pure grade</w:t>
      </w:r>
      <w:r w:rsidR="002D6D3B">
        <w:t>;</w:t>
      </w:r>
      <w:r>
        <w:t xml:space="preserve"> or it can be separated and purified from a blend to pure grade.</w:t>
      </w:r>
    </w:p>
    <w:p w14:paraId="11D0B2CC" w14:textId="69E0C908" w:rsidR="000F41AB" w:rsidRDefault="000F41AB" w:rsidP="000F41AB">
      <w:pPr>
        <w:rPr>
          <w:rFonts w:eastAsiaTheme="minorEastAsia"/>
        </w:rPr>
      </w:pPr>
      <w:r>
        <w:t>The centralised flow of hydrogen that needs to be purified from a dirty to</w:t>
      </w:r>
      <w:r w:rsidR="002D6D3B">
        <w:t xml:space="preserve"> a</w:t>
      </w:r>
      <w:r>
        <w:t xml:space="preserve"> clean grade is represented by the variable </w:t>
      </w:r>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 xml:space="preserve">, whereas the localised flow of hydrogen to be purified from a dirty grade; a clean grade; and separated and purified </w:t>
      </w:r>
      <w:r w:rsidR="002D6D3B">
        <w:rPr>
          <w:rFonts w:eastAsiaTheme="minorEastAsia"/>
        </w:rPr>
        <w:t>are</w:t>
      </w:r>
      <w:r>
        <w:rPr>
          <w:rFonts w:eastAsiaTheme="minorEastAsia"/>
        </w:rPr>
        <w:t xml:space="preserve"> represented by the variables</w:t>
      </w:r>
      <m:oMath>
        <m:r>
          <w:rPr>
            <w:rFonts w:ascii="Cambria Math" w:hAnsi="Cambria Math"/>
          </w:rPr>
          <m:t xml:space="preserve"> QLO</m:t>
        </m:r>
        <m:sSub>
          <m:sSubPr>
            <m:ctrlPr>
              <w:rPr>
                <w:rFonts w:ascii="Cambria Math" w:hAnsi="Cambria Math"/>
                <w:i/>
              </w:rPr>
            </m:ctrlPr>
          </m:sSubPr>
          <m:e>
            <m:r>
              <w:rPr>
                <w:rFonts w:ascii="Cambria Math" w:hAnsi="Cambria Math"/>
              </w:rPr>
              <m:t>C</m:t>
            </m:r>
          </m:e>
          <m:sub>
            <m:r>
              <w:rPr>
                <w:rFonts w:ascii="Cambria Math" w:hAnsi="Cambria Math"/>
              </w:rPr>
              <m:t>l,z,dirty,y</m:t>
            </m:r>
          </m:sub>
        </m:sSub>
      </m:oMath>
      <w:r>
        <w:rPr>
          <w:rFonts w:eastAsiaTheme="minorEastAsia"/>
        </w:rPr>
        <w:t xml:space="preserve">,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l,z,clean,y</m:t>
            </m:r>
          </m:sub>
        </m:sSub>
      </m:oMath>
      <w:r>
        <w:rPr>
          <w:rFonts w:eastAsiaTheme="minorEastAsia"/>
        </w:rPr>
        <w:t xml:space="preserve"> and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l,z,blend,y</m:t>
            </m:r>
          </m:sub>
        </m:sSub>
      </m:oMath>
      <w:r>
        <w:rPr>
          <w:rFonts w:eastAsiaTheme="minorEastAsia"/>
        </w:rPr>
        <w:t xml:space="preserve">, respectively. </w:t>
      </w:r>
    </w:p>
    <w:p w14:paraId="0E67EA91" w14:textId="7FE81A06" w:rsidR="000F41AB" w:rsidRDefault="000F41AB" w:rsidP="000F41AB">
      <w:pPr>
        <w:rPr>
          <w:rFonts w:eastAsiaTheme="minorEastAsia"/>
        </w:rPr>
      </w:pPr>
      <w:r>
        <w:rPr>
          <w:rFonts w:eastAsiaTheme="minorEastAsia"/>
        </w:rPr>
        <w:t>The sum of all centralised purification technology capacity must be larger than the flow of hydrogen from a dirty to</w:t>
      </w:r>
      <w:r w:rsidR="002D6D3B">
        <w:rPr>
          <w:rFonts w:eastAsiaTheme="minorEastAsia"/>
        </w:rPr>
        <w:t xml:space="preserve"> a</w:t>
      </w:r>
      <w:r>
        <w:rPr>
          <w:rFonts w:eastAsiaTheme="minorEastAsia"/>
        </w:rPr>
        <w:t xml:space="preserve"> clean grade, and is represented by Equation</w:t>
      </w:r>
      <w:r w:rsidR="002D6D3B">
        <w:rPr>
          <w:rFonts w:eastAsiaTheme="minorEastAsia"/>
        </w:rPr>
        <w:t xml:space="preserve"> </w:t>
      </w:r>
      <w:r w:rsidR="002D6D3B">
        <w:rPr>
          <w:rFonts w:eastAsiaTheme="minorEastAsia"/>
        </w:rPr>
        <w:fldChar w:fldCharType="begin"/>
      </w:r>
      <w:r w:rsidR="002D6D3B">
        <w:rPr>
          <w:rFonts w:eastAsiaTheme="minorEastAsia"/>
        </w:rPr>
        <w:instrText xml:space="preserve"> REF _Ref54180798 \h </w:instrText>
      </w:r>
      <w:r w:rsidR="002D6D3B">
        <w:rPr>
          <w:rFonts w:eastAsiaTheme="minorEastAsia"/>
        </w:rPr>
      </w:r>
      <w:r w:rsidR="002D6D3B">
        <w:rPr>
          <w:rFonts w:eastAsiaTheme="minorEastAsia"/>
        </w:rPr>
        <w:fldChar w:fldCharType="separate"/>
      </w:r>
      <w:r w:rsidR="005851DD" w:rsidRPr="00BF2BA0">
        <w:t>(</w:t>
      </w:r>
      <w:r w:rsidR="005851DD">
        <w:rPr>
          <w:noProof/>
        </w:rPr>
        <w:t>13</w:t>
      </w:r>
      <w:r w:rsidR="005851DD" w:rsidRPr="00BF2BA0">
        <w:t>)</w:t>
      </w:r>
      <w:r w:rsidR="002D6D3B">
        <w:rPr>
          <w:rFonts w:eastAsiaTheme="minorEastAsia"/>
        </w:rPr>
        <w:fldChar w:fldCharType="end"/>
      </w:r>
      <w:r>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0F41AB" w14:paraId="463BE470" w14:textId="77777777" w:rsidTr="00DF20CA">
        <w:tc>
          <w:tcPr>
            <w:tcW w:w="123" w:type="pct"/>
            <w:shd w:val="clear" w:color="auto" w:fill="auto"/>
          </w:tcPr>
          <w:p w14:paraId="439E87D4" w14:textId="77777777" w:rsidR="000F41AB" w:rsidRDefault="000F41AB" w:rsidP="00DF20CA"/>
        </w:tc>
        <w:tc>
          <w:tcPr>
            <w:tcW w:w="4141" w:type="pct"/>
            <w:shd w:val="clear" w:color="auto" w:fill="auto"/>
            <w:vAlign w:val="center"/>
          </w:tcPr>
          <w:p w14:paraId="33CDB0F9" w14:textId="77777777" w:rsidR="000F41AB" w:rsidRDefault="000F41AB" w:rsidP="00DF20CA">
            <w:pPr>
              <w:jc w:val="center"/>
            </w:pPr>
            <m:oMathPara>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C,Dirty</m:t>
                        </m:r>
                      </m:sup>
                    </m:sSubSup>
                  </m:e>
                </m:nary>
                <m:r>
                  <w:rPr>
                    <w:rFonts w:ascii="Cambria Math" w:eastAsiaTheme="minorEastAsia" w:hAnsi="Cambria Math"/>
                  </w:rPr>
                  <m:t xml:space="preserve">      ∀z,y</m:t>
                </m:r>
              </m:oMath>
            </m:oMathPara>
          </w:p>
        </w:tc>
        <w:tc>
          <w:tcPr>
            <w:tcW w:w="736" w:type="pct"/>
            <w:shd w:val="clear" w:color="auto" w:fill="auto"/>
            <w:vAlign w:val="center"/>
          </w:tcPr>
          <w:p w14:paraId="750B1BF1" w14:textId="063B43DB" w:rsidR="000F41AB" w:rsidRPr="00BF2BA0" w:rsidRDefault="000F41AB" w:rsidP="00DF20CA">
            <w:pPr>
              <w:jc w:val="center"/>
            </w:pPr>
            <w:bookmarkStart w:id="32" w:name="_Ref54180798"/>
            <w:r w:rsidRPr="00BF2BA0">
              <w:t>(</w:t>
            </w:r>
            <w:fldSimple w:instr=" SEQ Equation \* MERGEFORMAT ">
              <w:r w:rsidR="005851DD">
                <w:rPr>
                  <w:noProof/>
                </w:rPr>
                <w:t>13</w:t>
              </w:r>
            </w:fldSimple>
            <w:r w:rsidRPr="00BF2BA0">
              <w:t>)</w:t>
            </w:r>
            <w:bookmarkEnd w:id="32"/>
          </w:p>
        </w:tc>
      </w:tr>
    </w:tbl>
    <w:p w14:paraId="02B76825" w14:textId="29C117D9" w:rsidR="000F41AB" w:rsidRPr="009F709A" w:rsidRDefault="000F41AB" w:rsidP="000F41AB">
      <w:r>
        <w:t xml:space="preserve">The sum of all localised purification technologies purifying hydrogen from a clean to </w:t>
      </w:r>
      <w:r w:rsidR="002D6D3B">
        <w:t xml:space="preserve">a </w:t>
      </w:r>
      <w:r>
        <w:t xml:space="preserve">pure grade must be larger than the sum of all flows from transport technology </w:t>
      </w:r>
      <m:oMath>
        <m:r>
          <w:rPr>
            <w:rFonts w:ascii="Cambria Math" w:hAnsi="Cambria Math"/>
          </w:rPr>
          <m:t>l</m:t>
        </m:r>
      </m:oMath>
      <w:r>
        <w:rPr>
          <w:rFonts w:eastAsiaTheme="minorEastAsia"/>
        </w:rPr>
        <w:t>, transporting clean hydrogen entering the localised distribution network</w:t>
      </w:r>
      <w:r w:rsidR="002D6D3B">
        <w:rPr>
          <w:rFonts w:eastAsiaTheme="minorEastAsia"/>
        </w:rPr>
        <w:t>. This is</w:t>
      </w:r>
      <w:r>
        <w:rPr>
          <w:rFonts w:eastAsiaTheme="minorEastAsia"/>
        </w:rPr>
        <w:t xml:space="preserve"> represented by Equation</w:t>
      </w:r>
      <w:r w:rsidR="002D6D3B">
        <w:rPr>
          <w:rFonts w:eastAsiaTheme="minorEastAsia"/>
        </w:rPr>
        <w:t xml:space="preserve"> </w:t>
      </w:r>
      <w:r w:rsidR="002D6D3B">
        <w:rPr>
          <w:rFonts w:eastAsiaTheme="minorEastAsia"/>
        </w:rPr>
        <w:fldChar w:fldCharType="begin"/>
      </w:r>
      <w:r w:rsidR="002D6D3B">
        <w:rPr>
          <w:rFonts w:eastAsiaTheme="minorEastAsia"/>
        </w:rPr>
        <w:instrText xml:space="preserve"> REF _Ref54180808 \h </w:instrText>
      </w:r>
      <w:r w:rsidR="002D6D3B">
        <w:rPr>
          <w:rFonts w:eastAsiaTheme="minorEastAsia"/>
        </w:rPr>
      </w:r>
      <w:r w:rsidR="002D6D3B">
        <w:rPr>
          <w:rFonts w:eastAsiaTheme="minorEastAsia"/>
        </w:rPr>
        <w:fldChar w:fldCharType="separate"/>
      </w:r>
      <w:r w:rsidR="005851DD" w:rsidRPr="009F709A">
        <w:t>(</w:t>
      </w:r>
      <w:r w:rsidR="005851DD">
        <w:rPr>
          <w:noProof/>
        </w:rPr>
        <w:t>14</w:t>
      </w:r>
      <w:r w:rsidR="005851DD" w:rsidRPr="009F709A">
        <w:t>)</w:t>
      </w:r>
      <w:r w:rsidR="002D6D3B">
        <w:rPr>
          <w:rFonts w:eastAsiaTheme="minorEastAsia"/>
        </w:rPr>
        <w:fldChar w:fldCharType="end"/>
      </w:r>
      <w:r w:rsidRPr="009F709A">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0F41AB" w:rsidRPr="009F709A" w14:paraId="6FFD555C" w14:textId="77777777" w:rsidTr="00DF20CA">
        <w:tc>
          <w:tcPr>
            <w:tcW w:w="123" w:type="pct"/>
            <w:shd w:val="clear" w:color="auto" w:fill="auto"/>
          </w:tcPr>
          <w:p w14:paraId="5123038B" w14:textId="77777777" w:rsidR="000F41AB" w:rsidRPr="009F709A" w:rsidRDefault="000F41AB" w:rsidP="00DF20CA"/>
        </w:tc>
        <w:tc>
          <w:tcPr>
            <w:tcW w:w="4141" w:type="pct"/>
            <w:shd w:val="clear" w:color="auto" w:fill="auto"/>
            <w:vAlign w:val="center"/>
          </w:tcPr>
          <w:p w14:paraId="474BDCDD" w14:textId="77777777" w:rsidR="000F41AB" w:rsidRPr="009F709A" w:rsidRDefault="00903D45" w:rsidP="00DF20CA">
            <w:pPr>
              <w:jc w:val="center"/>
            </w:pPr>
            <m:oMathPara>
              <m:oMath>
                <m:nary>
                  <m:naryPr>
                    <m:chr m:val="∑"/>
                    <m:limLoc m:val="undOvr"/>
                    <m:supHide m:val="1"/>
                    <m:ctrlPr>
                      <w:rPr>
                        <w:rFonts w:ascii="Cambria Math" w:hAnsi="Cambria Math"/>
                        <w:i/>
                      </w:rPr>
                    </m:ctrlPr>
                  </m:naryPr>
                  <m:sub>
                    <m:r>
                      <w:rPr>
                        <w:rFonts w:ascii="Cambria Math" w:eastAsiaTheme="minorEastAsia" w:hAnsi="Cambria Math"/>
                      </w:rPr>
                      <m:t>l</m:t>
                    </m:r>
                    <m:r>
                      <w:rPr>
                        <w:rFonts w:ascii="Cambria Math" w:hAnsi="Cambria Math"/>
                      </w:rPr>
                      <m:t>∈CL</m:t>
                    </m:r>
                    <m:d>
                      <m:dPr>
                        <m:ctrlPr>
                          <w:rPr>
                            <w:rFonts w:ascii="Cambria Math" w:hAnsi="Cambria Math"/>
                            <w:i/>
                          </w:rPr>
                        </m:ctrlPr>
                      </m:dPr>
                      <m:e>
                        <m:r>
                          <w:rPr>
                            <w:rFonts w:ascii="Cambria Math" w:hAnsi="Cambria Math"/>
                          </w:rPr>
                          <m:t>l</m:t>
                        </m:r>
                      </m:e>
                    </m:d>
                    <m:r>
                      <w:rPr>
                        <w:rFonts w:ascii="Cambria Math" w:hAnsi="Cambria Math"/>
                      </w:rPr>
                      <m:t>,  g∈CG(g)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L,Clean</m:t>
                        </m:r>
                      </m:sup>
                    </m:sSubSup>
                  </m:e>
                </m:nary>
                <m:r>
                  <w:rPr>
                    <w:rFonts w:ascii="Cambria Math" w:eastAsiaTheme="minorEastAsia" w:hAnsi="Cambria Math"/>
                  </w:rPr>
                  <m:t xml:space="preserve">      ∀z,y</m:t>
                </m:r>
              </m:oMath>
            </m:oMathPara>
          </w:p>
        </w:tc>
        <w:tc>
          <w:tcPr>
            <w:tcW w:w="736" w:type="pct"/>
            <w:shd w:val="clear" w:color="auto" w:fill="auto"/>
            <w:vAlign w:val="center"/>
          </w:tcPr>
          <w:p w14:paraId="4464F44F" w14:textId="6FBCB1CD" w:rsidR="000F41AB" w:rsidRPr="009F709A" w:rsidRDefault="000F41AB" w:rsidP="00DF20CA">
            <w:pPr>
              <w:jc w:val="center"/>
            </w:pPr>
            <w:bookmarkStart w:id="33" w:name="_Ref54180808"/>
            <w:r w:rsidRPr="009F709A">
              <w:t>(</w:t>
            </w:r>
            <w:fldSimple w:instr=" SEQ Equation \* MERGEFORMAT ">
              <w:r w:rsidR="005851DD">
                <w:rPr>
                  <w:noProof/>
                </w:rPr>
                <w:t>14</w:t>
              </w:r>
            </w:fldSimple>
            <w:r w:rsidRPr="009F709A">
              <w:t>)</w:t>
            </w:r>
            <w:bookmarkEnd w:id="33"/>
          </w:p>
        </w:tc>
      </w:tr>
    </w:tbl>
    <w:p w14:paraId="64C0A261" w14:textId="3465368A" w:rsidR="000F41AB" w:rsidRPr="009F709A" w:rsidRDefault="000F41AB" w:rsidP="000F41AB">
      <w:r w:rsidRPr="009F709A">
        <w:t>The sum of all localised purification technologies purifying</w:t>
      </w:r>
      <w:r>
        <w:t xml:space="preserve"> hydrogen</w:t>
      </w:r>
      <w:r w:rsidRPr="009F709A">
        <w:t xml:space="preserve"> </w:t>
      </w:r>
      <w:r>
        <w:t xml:space="preserve">from a </w:t>
      </w:r>
      <w:r w:rsidRPr="009F709A">
        <w:t>dirty to</w:t>
      </w:r>
      <w:r w:rsidR="002D6D3B">
        <w:t xml:space="preserve"> a</w:t>
      </w:r>
      <w:r w:rsidRPr="009F709A">
        <w:t xml:space="preserve"> pure </w:t>
      </w:r>
      <w:r>
        <w:t>grade</w:t>
      </w:r>
      <w:r w:rsidRPr="009F709A">
        <w:t xml:space="preserve"> must be larger than the sum of all flows from transport technology </w:t>
      </w:r>
      <m:oMath>
        <m:r>
          <w:rPr>
            <w:rFonts w:ascii="Cambria Math" w:hAnsi="Cambria Math"/>
          </w:rPr>
          <m:t>l</m:t>
        </m:r>
      </m:oMath>
      <w:r w:rsidRPr="009F709A">
        <w:rPr>
          <w:rFonts w:eastAsiaTheme="minorEastAsia"/>
        </w:rPr>
        <w:t>, transporting dirty hydrogen entering the localised distribution network</w:t>
      </w:r>
      <w:r w:rsidR="002D6D3B">
        <w:rPr>
          <w:rFonts w:eastAsiaTheme="minorEastAsia"/>
        </w:rPr>
        <w:t>. This is</w:t>
      </w:r>
      <w:r w:rsidRPr="009F709A">
        <w:rPr>
          <w:rFonts w:eastAsiaTheme="minorEastAsia"/>
        </w:rPr>
        <w:t xml:space="preserve"> represented by Equation</w:t>
      </w:r>
      <w:r w:rsidR="002D6D3B">
        <w:rPr>
          <w:rFonts w:eastAsiaTheme="minorEastAsia"/>
        </w:rPr>
        <w:t xml:space="preserve"> </w:t>
      </w:r>
      <w:r w:rsidR="002D6D3B">
        <w:rPr>
          <w:rFonts w:eastAsiaTheme="minorEastAsia"/>
        </w:rPr>
        <w:fldChar w:fldCharType="begin"/>
      </w:r>
      <w:r w:rsidR="002D6D3B">
        <w:rPr>
          <w:rFonts w:eastAsiaTheme="minorEastAsia"/>
        </w:rPr>
        <w:instrText xml:space="preserve"> REF _Ref54180818 \h </w:instrText>
      </w:r>
      <w:r w:rsidR="002D6D3B">
        <w:rPr>
          <w:rFonts w:eastAsiaTheme="minorEastAsia"/>
        </w:rPr>
      </w:r>
      <w:r w:rsidR="002D6D3B">
        <w:rPr>
          <w:rFonts w:eastAsiaTheme="minorEastAsia"/>
        </w:rPr>
        <w:fldChar w:fldCharType="separate"/>
      </w:r>
      <w:r w:rsidR="005851DD" w:rsidRPr="009F709A">
        <w:t>(</w:t>
      </w:r>
      <w:r w:rsidR="005851DD">
        <w:rPr>
          <w:noProof/>
        </w:rPr>
        <w:t>15</w:t>
      </w:r>
      <w:r w:rsidR="005851DD" w:rsidRPr="009F709A">
        <w:t>)</w:t>
      </w:r>
      <w:r w:rsidR="002D6D3B">
        <w:rPr>
          <w:rFonts w:eastAsiaTheme="minorEastAsia"/>
        </w:rPr>
        <w:fldChar w:fldCharType="end"/>
      </w:r>
      <w:r w:rsidRPr="009F709A">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0F41AB" w14:paraId="3475C0F0" w14:textId="77777777" w:rsidTr="00DF20CA">
        <w:tc>
          <w:tcPr>
            <w:tcW w:w="123" w:type="pct"/>
            <w:shd w:val="clear" w:color="auto" w:fill="auto"/>
          </w:tcPr>
          <w:p w14:paraId="4D225C19" w14:textId="77777777" w:rsidR="000F41AB" w:rsidRPr="009F709A" w:rsidRDefault="000F41AB" w:rsidP="00DF20CA"/>
        </w:tc>
        <w:tc>
          <w:tcPr>
            <w:tcW w:w="4141" w:type="pct"/>
            <w:shd w:val="clear" w:color="auto" w:fill="auto"/>
            <w:vAlign w:val="center"/>
          </w:tcPr>
          <w:p w14:paraId="3A340466" w14:textId="77777777" w:rsidR="000F41AB" w:rsidRPr="009F709A" w:rsidRDefault="00903D45" w:rsidP="00DF20CA">
            <w:pPr>
              <w:jc w:val="center"/>
            </w:pPr>
            <m:oMathPara>
              <m:oMath>
                <m:nary>
                  <m:naryPr>
                    <m:chr m:val="∑"/>
                    <m:limLoc m:val="undOvr"/>
                    <m:supHide m:val="1"/>
                    <m:ctrlPr>
                      <w:rPr>
                        <w:rFonts w:ascii="Cambria Math" w:hAnsi="Cambria Math"/>
                        <w:i/>
                      </w:rPr>
                    </m:ctrlPr>
                  </m:naryPr>
                  <m:sub>
                    <m:r>
                      <w:rPr>
                        <w:rFonts w:ascii="Cambria Math" w:eastAsiaTheme="minorEastAsia" w:hAnsi="Cambria Math"/>
                      </w:rPr>
                      <m:t>l</m:t>
                    </m:r>
                    <m:r>
                      <w:rPr>
                        <w:rFonts w:ascii="Cambria Math" w:hAnsi="Cambria Math"/>
                      </w:rPr>
                      <m:t>∈DL</m:t>
                    </m:r>
                    <m:d>
                      <m:dPr>
                        <m:ctrlPr>
                          <w:rPr>
                            <w:rFonts w:ascii="Cambria Math" w:hAnsi="Cambria Math"/>
                            <w:i/>
                          </w:rPr>
                        </m:ctrlPr>
                      </m:dPr>
                      <m:e>
                        <m:r>
                          <w:rPr>
                            <w:rFonts w:ascii="Cambria Math" w:hAnsi="Cambria Math"/>
                          </w:rPr>
                          <m:t>l</m:t>
                        </m:r>
                      </m:e>
                    </m:d>
                    <m:r>
                      <w:rPr>
                        <w:rFonts w:ascii="Cambria Math" w:hAnsi="Cambria Math"/>
                      </w:rPr>
                      <m:t>,g∈DG(g)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L,Dirty</m:t>
                        </m:r>
                      </m:sup>
                    </m:sSubSup>
                  </m:e>
                </m:nary>
                <m:r>
                  <w:rPr>
                    <w:rFonts w:ascii="Cambria Math" w:eastAsiaTheme="minorEastAsia" w:hAnsi="Cambria Math"/>
                  </w:rPr>
                  <m:t xml:space="preserve">      ∀z,y</m:t>
                </m:r>
              </m:oMath>
            </m:oMathPara>
          </w:p>
        </w:tc>
        <w:tc>
          <w:tcPr>
            <w:tcW w:w="736" w:type="pct"/>
            <w:shd w:val="clear" w:color="auto" w:fill="auto"/>
            <w:vAlign w:val="center"/>
          </w:tcPr>
          <w:p w14:paraId="7899844F" w14:textId="29EA2C44" w:rsidR="000F41AB" w:rsidRPr="00BF2BA0" w:rsidRDefault="000F41AB" w:rsidP="00DF20CA">
            <w:pPr>
              <w:jc w:val="center"/>
            </w:pPr>
            <w:bookmarkStart w:id="34" w:name="_Ref54180818"/>
            <w:r w:rsidRPr="009F709A">
              <w:t>(</w:t>
            </w:r>
            <w:fldSimple w:instr=" SEQ Equation \* MERGEFORMAT ">
              <w:r w:rsidR="005851DD">
                <w:rPr>
                  <w:noProof/>
                </w:rPr>
                <w:t>15</w:t>
              </w:r>
            </w:fldSimple>
            <w:r w:rsidRPr="009F709A">
              <w:t>)</w:t>
            </w:r>
            <w:bookmarkEnd w:id="34"/>
          </w:p>
        </w:tc>
      </w:tr>
    </w:tbl>
    <w:p w14:paraId="247782F1" w14:textId="22AFD27F" w:rsidR="000F41AB" w:rsidRPr="009F709A" w:rsidRDefault="002D6D3B" w:rsidP="000F41AB">
      <w:r>
        <w:t>Finally, t</w:t>
      </w:r>
      <w:r w:rsidR="000F41AB" w:rsidRPr="009F709A">
        <w:t xml:space="preserve">he sum of all localised </w:t>
      </w:r>
      <w:r w:rsidR="000F41AB">
        <w:t>separation</w:t>
      </w:r>
      <w:r w:rsidR="000F41AB" w:rsidRPr="009F709A">
        <w:t xml:space="preserve"> technologies, </w:t>
      </w:r>
      <w:r w:rsidR="000F41AB">
        <w:t>separating and purifying hydrogen</w:t>
      </w:r>
      <w:r w:rsidR="000F41AB" w:rsidRPr="009F709A">
        <w:t xml:space="preserve"> </w:t>
      </w:r>
      <w:r w:rsidR="000F41AB">
        <w:t>from a blended</w:t>
      </w:r>
      <w:r w:rsidR="000F41AB" w:rsidRPr="009F709A">
        <w:t xml:space="preserve"> to </w:t>
      </w:r>
      <w:r>
        <w:t xml:space="preserve">a </w:t>
      </w:r>
      <w:r w:rsidR="000F41AB" w:rsidRPr="009F709A">
        <w:t xml:space="preserve">pure </w:t>
      </w:r>
      <w:r w:rsidR="000F41AB">
        <w:t>grade</w:t>
      </w:r>
      <w:r w:rsidR="000F41AB" w:rsidRPr="009F709A">
        <w:t xml:space="preserve"> must be larger than the sum of all flows from transport technology </w:t>
      </w:r>
      <m:oMath>
        <m:r>
          <w:rPr>
            <w:rFonts w:ascii="Cambria Math" w:hAnsi="Cambria Math"/>
          </w:rPr>
          <m:t>l</m:t>
        </m:r>
      </m:oMath>
      <w:r w:rsidR="000F41AB" w:rsidRPr="009F709A">
        <w:rPr>
          <w:rFonts w:eastAsiaTheme="minorEastAsia"/>
        </w:rPr>
        <w:t xml:space="preserve">, transporting </w:t>
      </w:r>
      <w:r w:rsidR="000F41AB">
        <w:rPr>
          <w:rFonts w:eastAsiaTheme="minorEastAsia"/>
        </w:rPr>
        <w:t>blended</w:t>
      </w:r>
      <w:r w:rsidR="000F41AB" w:rsidRPr="009F709A">
        <w:rPr>
          <w:rFonts w:eastAsiaTheme="minorEastAsia"/>
        </w:rPr>
        <w:t xml:space="preserve"> hydrogen entering the localised distribution network</w:t>
      </w:r>
      <w:r>
        <w:rPr>
          <w:rFonts w:eastAsiaTheme="minorEastAsia"/>
        </w:rPr>
        <w:t>. This is shown in</w:t>
      </w:r>
      <w:r w:rsidR="000F41AB" w:rsidRPr="009F709A">
        <w:rPr>
          <w:rFonts w:eastAsiaTheme="minorEastAsia"/>
        </w:rPr>
        <w:t xml:space="preserve"> Equation</w:t>
      </w:r>
      <w:r>
        <w:rPr>
          <w:rFonts w:eastAsiaTheme="minorEastAsia"/>
        </w:rPr>
        <w:t xml:space="preserve"> </w:t>
      </w:r>
      <w:r>
        <w:rPr>
          <w:rFonts w:eastAsiaTheme="minorEastAsia"/>
        </w:rPr>
        <w:fldChar w:fldCharType="begin"/>
      </w:r>
      <w:r>
        <w:rPr>
          <w:rFonts w:eastAsiaTheme="minorEastAsia"/>
        </w:rPr>
        <w:instrText xml:space="preserve"> REF _Ref54180826 \h </w:instrText>
      </w:r>
      <w:r>
        <w:rPr>
          <w:rFonts w:eastAsiaTheme="minorEastAsia"/>
        </w:rPr>
      </w:r>
      <w:r>
        <w:rPr>
          <w:rFonts w:eastAsiaTheme="minorEastAsia"/>
        </w:rPr>
        <w:fldChar w:fldCharType="separate"/>
      </w:r>
      <w:r w:rsidR="005851DD" w:rsidRPr="009F709A">
        <w:t>(</w:t>
      </w:r>
      <w:r w:rsidR="005851DD">
        <w:rPr>
          <w:noProof/>
        </w:rPr>
        <w:t>16</w:t>
      </w:r>
      <w:r w:rsidR="005851DD" w:rsidRPr="009F709A">
        <w:t>)</w:t>
      </w:r>
      <w:r>
        <w:rPr>
          <w:rFonts w:eastAsiaTheme="minorEastAsia"/>
        </w:rPr>
        <w:fldChar w:fldCharType="end"/>
      </w:r>
      <w:r w:rsidR="000F41AB" w:rsidRPr="009F709A">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0F41AB" w14:paraId="6F8D5D0A" w14:textId="77777777" w:rsidTr="00DF20CA">
        <w:tc>
          <w:tcPr>
            <w:tcW w:w="123" w:type="pct"/>
            <w:shd w:val="clear" w:color="auto" w:fill="auto"/>
          </w:tcPr>
          <w:p w14:paraId="17E72388" w14:textId="77777777" w:rsidR="000F41AB" w:rsidRPr="009F709A" w:rsidRDefault="000F41AB" w:rsidP="00DF20CA"/>
        </w:tc>
        <w:tc>
          <w:tcPr>
            <w:tcW w:w="4141" w:type="pct"/>
            <w:shd w:val="clear" w:color="auto" w:fill="auto"/>
            <w:vAlign w:val="center"/>
          </w:tcPr>
          <w:p w14:paraId="194AD2EE" w14:textId="77777777" w:rsidR="000F41AB" w:rsidRPr="009F709A" w:rsidRDefault="00903D45" w:rsidP="00DF20CA">
            <w:pPr>
              <w:jc w:val="center"/>
            </w:pPr>
            <m:oMathPara>
              <m:oMath>
                <m:nary>
                  <m:naryPr>
                    <m:chr m:val="∑"/>
                    <m:limLoc m:val="undOvr"/>
                    <m:supHide m:val="1"/>
                    <m:ctrlPr>
                      <w:rPr>
                        <w:rFonts w:ascii="Cambria Math" w:hAnsi="Cambria Math"/>
                        <w:i/>
                      </w:rPr>
                    </m:ctrlPr>
                  </m:naryPr>
                  <m:sub>
                    <m:r>
                      <w:rPr>
                        <w:rFonts w:ascii="Cambria Math" w:eastAsiaTheme="minorEastAsia" w:hAnsi="Cambria Math"/>
                      </w:rPr>
                      <m:t>l</m:t>
                    </m:r>
                    <m:r>
                      <w:rPr>
                        <w:rFonts w:ascii="Cambria Math" w:hAnsi="Cambria Math"/>
                      </w:rPr>
                      <m:t>∈BL</m:t>
                    </m:r>
                    <m:d>
                      <m:dPr>
                        <m:ctrlPr>
                          <w:rPr>
                            <w:rFonts w:ascii="Cambria Math" w:hAnsi="Cambria Math"/>
                            <w:i/>
                          </w:rPr>
                        </m:ctrlPr>
                      </m:dPr>
                      <m:e>
                        <m:r>
                          <w:rPr>
                            <w:rFonts w:ascii="Cambria Math" w:hAnsi="Cambria Math"/>
                          </w:rPr>
                          <m:t>l</m:t>
                        </m:r>
                      </m:e>
                    </m:d>
                    <m:r>
                      <w:rPr>
                        <w:rFonts w:ascii="Cambria Math" w:hAnsi="Cambria Math"/>
                      </w:rPr>
                      <m:t>,g∈BG(g)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L,Blend</m:t>
                        </m:r>
                      </m:sup>
                    </m:sSubSup>
                  </m:e>
                </m:nary>
                <m:r>
                  <w:rPr>
                    <w:rFonts w:ascii="Cambria Math" w:eastAsiaTheme="minorEastAsia" w:hAnsi="Cambria Math"/>
                  </w:rPr>
                  <m:t xml:space="preserve">      ∀z,y</m:t>
                </m:r>
              </m:oMath>
            </m:oMathPara>
          </w:p>
        </w:tc>
        <w:tc>
          <w:tcPr>
            <w:tcW w:w="736" w:type="pct"/>
            <w:shd w:val="clear" w:color="auto" w:fill="auto"/>
            <w:vAlign w:val="center"/>
          </w:tcPr>
          <w:p w14:paraId="668AA29D" w14:textId="4E2B28FA" w:rsidR="000F41AB" w:rsidRPr="00BF2BA0" w:rsidRDefault="000F41AB" w:rsidP="00DF20CA">
            <w:pPr>
              <w:jc w:val="center"/>
            </w:pPr>
            <w:bookmarkStart w:id="35" w:name="_Ref54180826"/>
            <w:r w:rsidRPr="009F709A">
              <w:t>(</w:t>
            </w:r>
            <w:fldSimple w:instr=" SEQ Equation \* MERGEFORMAT ">
              <w:r w:rsidR="005851DD">
                <w:rPr>
                  <w:noProof/>
                </w:rPr>
                <w:t>16</w:t>
              </w:r>
            </w:fldSimple>
            <w:r w:rsidRPr="009F709A">
              <w:t>)</w:t>
            </w:r>
            <w:bookmarkEnd w:id="35"/>
          </w:p>
        </w:tc>
      </w:tr>
    </w:tbl>
    <w:p w14:paraId="5CED50DD" w14:textId="21D88D3A" w:rsidR="001B3FFF" w:rsidRPr="001B3FFF" w:rsidRDefault="001B3FFF" w:rsidP="001B3FFF">
      <w:pPr>
        <w:pStyle w:val="Heading3"/>
      </w:pPr>
      <w:r>
        <w:t>Refuelling station constraints</w:t>
      </w:r>
      <w:r w:rsidR="000F3514">
        <w:t xml:space="preserve"> and storage</w:t>
      </w:r>
    </w:p>
    <w:p w14:paraId="44E21245" w14:textId="0A81DF60" w:rsidR="000F41AB" w:rsidRPr="008E37CC" w:rsidRDefault="000F41AB" w:rsidP="000F41AB">
      <w:pPr>
        <w:rPr>
          <w:rFonts w:eastAsiaTheme="minorEastAsia"/>
        </w:rPr>
      </w:pPr>
      <w:r>
        <w:t xml:space="preserve">It was assumed </w:t>
      </w:r>
      <w:r w:rsidR="003A57AD">
        <w:t xml:space="preserve">that </w:t>
      </w:r>
      <w:r>
        <w:t xml:space="preserve">the installed refuelling station capacity for hydrogen in zone </w:t>
      </w:r>
      <m:oMath>
        <m:r>
          <w:rPr>
            <w:rFonts w:ascii="Cambria Math" w:hAnsi="Cambria Math"/>
          </w:rPr>
          <m:t>z</m:t>
        </m:r>
      </m:oMath>
      <w:r>
        <w:rPr>
          <w:rFonts w:eastAsiaTheme="minorEastAsia"/>
        </w:rPr>
        <w:t xml:space="preserve"> and time-period </w:t>
      </w:r>
      <m:oMath>
        <m:r>
          <w:rPr>
            <w:rFonts w:ascii="Cambria Math" w:eastAsiaTheme="minorEastAsia" w:hAnsi="Cambria Math"/>
          </w:rPr>
          <m:t>y</m:t>
        </m:r>
      </m:oMath>
      <w:r>
        <w:rPr>
          <w:rFonts w:eastAsiaTheme="minorEastAsia"/>
        </w:rPr>
        <w:t xml:space="preserve"> must be equal</w:t>
      </w:r>
      <w:r w:rsidR="003A57AD">
        <w:rPr>
          <w:rFonts w:eastAsiaTheme="minorEastAsia"/>
        </w:rPr>
        <w:t xml:space="preserve"> to</w:t>
      </w:r>
      <w:r>
        <w:rPr>
          <w:rFonts w:eastAsiaTheme="minorEastAsia"/>
        </w:rPr>
        <w:t xml:space="preserve"> or larger than the total amount of hydrogen delivered in the same zone in the same time period, as represented by </w:t>
      </w:r>
      <w:r w:rsidRPr="008E37CC">
        <w:rPr>
          <w:rFonts w:eastAsiaTheme="minorEastAsia"/>
        </w:rPr>
        <w:t>Equation</w:t>
      </w:r>
      <w:r w:rsidR="00F21D3F">
        <w:rPr>
          <w:rFonts w:eastAsiaTheme="minorEastAsia"/>
        </w:rPr>
        <w:t xml:space="preserve"> </w:t>
      </w:r>
      <w:r w:rsidR="00F21D3F">
        <w:rPr>
          <w:rFonts w:eastAsiaTheme="minorEastAsia"/>
        </w:rPr>
        <w:fldChar w:fldCharType="begin"/>
      </w:r>
      <w:r w:rsidR="00F21D3F">
        <w:rPr>
          <w:rFonts w:eastAsiaTheme="minorEastAsia"/>
        </w:rPr>
        <w:instrText xml:space="preserve"> REF _Ref55567970 \h </w:instrText>
      </w:r>
      <w:r w:rsidR="00F21D3F">
        <w:rPr>
          <w:rFonts w:eastAsiaTheme="minorEastAsia"/>
        </w:rPr>
      </w:r>
      <w:r w:rsidR="00F21D3F">
        <w:rPr>
          <w:rFonts w:eastAsiaTheme="minorEastAsia"/>
        </w:rPr>
        <w:fldChar w:fldCharType="separate"/>
      </w:r>
      <w:r w:rsidR="005851DD" w:rsidRPr="008E37CC">
        <w:t>(</w:t>
      </w:r>
      <w:r w:rsidR="005851DD">
        <w:rPr>
          <w:noProof/>
        </w:rPr>
        <w:t>17</w:t>
      </w:r>
      <w:r w:rsidR="005851DD" w:rsidRPr="008E37CC">
        <w:t>)</w:t>
      </w:r>
      <w:r w:rsidR="00F21D3F">
        <w:rPr>
          <w:rFonts w:eastAsiaTheme="minorEastAsia"/>
        </w:rPr>
        <w:fldChar w:fldCharType="end"/>
      </w:r>
      <w:r w:rsidRPr="008E37CC">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064"/>
        <w:gridCol w:w="573"/>
      </w:tblGrid>
      <w:tr w:rsidR="000F41AB" w14:paraId="3DAD0B7F" w14:textId="77777777" w:rsidTr="000F3514">
        <w:tc>
          <w:tcPr>
            <w:tcW w:w="216" w:type="pct"/>
            <w:shd w:val="clear" w:color="auto" w:fill="auto"/>
          </w:tcPr>
          <w:p w14:paraId="2FE3CA31" w14:textId="77777777" w:rsidR="000F41AB" w:rsidRPr="008E37CC" w:rsidRDefault="000F41AB" w:rsidP="00DF20CA"/>
        </w:tc>
        <w:tc>
          <w:tcPr>
            <w:tcW w:w="4467" w:type="pct"/>
            <w:shd w:val="clear" w:color="auto" w:fill="auto"/>
            <w:vAlign w:val="center"/>
          </w:tcPr>
          <w:p w14:paraId="50D08D92" w14:textId="77777777" w:rsidR="000F41AB" w:rsidRPr="008E37CC" w:rsidRDefault="00903D45" w:rsidP="00DF20CA">
            <w:pPr>
              <w:jc w:val="center"/>
            </w:pPr>
            <m:oMathPara>
              <m:oMath>
                <m:f>
                  <m:fPr>
                    <m:ctrlPr>
                      <w:rPr>
                        <w:rFonts w:ascii="Cambria Math" w:eastAsiaTheme="minorEastAsia" w:hAnsi="Cambria Math"/>
                        <w:i/>
                      </w:rPr>
                    </m:ctrlPr>
                  </m:fPr>
                  <m:num>
                    <m:bar>
                      <m:barPr>
                        <m:pos m:val="top"/>
                        <m:ctrlPr>
                          <w:rPr>
                            <w:rFonts w:ascii="Cambria Math" w:hAnsi="Cambria Math"/>
                            <w:i/>
                          </w:rPr>
                        </m:ctrlPr>
                      </m:barPr>
                      <m:e>
                        <m:sSub>
                          <m:sSubPr>
                            <m:ctrlPr>
                              <w:rPr>
                                <w:rFonts w:ascii="Cambria Math" w:hAnsi="Cambria Math"/>
                                <w:i/>
                              </w:rPr>
                            </m:ctrlPr>
                          </m:sSubPr>
                          <m:e>
                            <m:r>
                              <w:rPr>
                                <w:rFonts w:ascii="Cambria Math" w:hAnsi="Cambria Math"/>
                              </w:rPr>
                              <m:t>D</m:t>
                            </m:r>
                          </m:e>
                          <m:sub>
                            <m:r>
                              <w:rPr>
                                <w:rFonts w:ascii="Cambria Math" w:hAnsi="Cambria Math"/>
                              </w:rPr>
                              <m:t>z,y</m:t>
                            </m:r>
                          </m:sub>
                        </m:sSub>
                      </m:e>
                    </m:bar>
                  </m:num>
                  <m:den>
                    <m:r>
                      <w:rPr>
                        <w:rFonts w:ascii="Cambria Math" w:eastAsiaTheme="minorEastAsia" w:hAnsi="Cambria Math"/>
                      </w:rPr>
                      <m:t>α</m:t>
                    </m:r>
                  </m:den>
                </m:f>
                <m:r>
                  <w:rPr>
                    <w:rFonts w:ascii="Cambria Math" w:eastAsiaTheme="minorEastAsia" w:hAnsi="Cambria Math"/>
                  </w:rPr>
                  <m:t>≤IRFCa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ub>
                </m:sSub>
                <m:r>
                  <w:rPr>
                    <w:rFonts w:ascii="Cambria Math" w:eastAsiaTheme="minorEastAsia" w:hAnsi="Cambria Math"/>
                  </w:rPr>
                  <m:t xml:space="preserve">      ∀z,y</m:t>
                </m:r>
              </m:oMath>
            </m:oMathPara>
          </w:p>
        </w:tc>
        <w:tc>
          <w:tcPr>
            <w:tcW w:w="317" w:type="pct"/>
            <w:shd w:val="clear" w:color="auto" w:fill="auto"/>
            <w:vAlign w:val="center"/>
          </w:tcPr>
          <w:p w14:paraId="6BD3F6B9" w14:textId="3363250A" w:rsidR="000F41AB" w:rsidRPr="00BF2BA0" w:rsidRDefault="000F41AB" w:rsidP="00DF20CA">
            <w:pPr>
              <w:jc w:val="center"/>
            </w:pPr>
            <w:bookmarkStart w:id="36" w:name="_Ref55567970"/>
            <w:r w:rsidRPr="008E37CC">
              <w:t>(</w:t>
            </w:r>
            <w:fldSimple w:instr=" SEQ Equation \* MERGEFORMAT ">
              <w:r w:rsidR="005851DD">
                <w:rPr>
                  <w:noProof/>
                </w:rPr>
                <w:t>17</w:t>
              </w:r>
            </w:fldSimple>
            <w:r w:rsidRPr="008E37CC">
              <w:t>)</w:t>
            </w:r>
            <w:bookmarkEnd w:id="36"/>
          </w:p>
        </w:tc>
      </w:tr>
    </w:tbl>
    <w:p w14:paraId="785F3018" w14:textId="1EFC1432" w:rsidR="000F3514" w:rsidRPr="00D079EF" w:rsidRDefault="000F3514" w:rsidP="000F3514">
      <w:r w:rsidRPr="00914A8E">
        <w:t>Since hydrogen demand for transport does not have a significant seasonal variance</w:t>
      </w:r>
      <w:r>
        <w:t xml:space="preserve">, </w:t>
      </w:r>
      <w:r w:rsidRPr="00914A8E">
        <w:t>there would be no driver for the model to choose hydrogen storage if it were considered as an independent part of the supply chain, and thus the model would not appropriately size hydrogen storage</w:t>
      </w:r>
      <w:r>
        <w:t>. S</w:t>
      </w:r>
      <w:r w:rsidRPr="00914A8E">
        <w:t>torage was only considered to be located at the refuelling station</w:t>
      </w:r>
      <w:r>
        <w:t>s. T</w:t>
      </w:r>
      <w:r w:rsidRPr="00914A8E">
        <w:t xml:space="preserve">he cost associated with hydrogen storage was </w:t>
      </w:r>
      <w:r>
        <w:t xml:space="preserve">added onto </w:t>
      </w:r>
      <w:r w:rsidRPr="00914A8E">
        <w:t>the refuelling station costing parameters</w:t>
      </w:r>
      <w:r>
        <w:t xml:space="preserve">, shown in detail in Appendix </w:t>
      </w:r>
      <w:r>
        <w:fldChar w:fldCharType="begin"/>
      </w:r>
      <w:r>
        <w:instrText xml:space="preserve"> REF _Ref55414260 \r \h </w:instrText>
      </w:r>
      <w:r>
        <w:fldChar w:fldCharType="separate"/>
      </w:r>
      <w:r w:rsidR="005851DD">
        <w:t>C.13</w:t>
      </w:r>
      <w:r>
        <w:fldChar w:fldCharType="end"/>
      </w:r>
      <w:r w:rsidRPr="00E0306C">
        <w:t>.</w:t>
      </w:r>
    </w:p>
    <w:p w14:paraId="0DBF3E90" w14:textId="49B89DAA" w:rsidR="00A6252F" w:rsidRDefault="000F41AB" w:rsidP="000F41AB">
      <w:pPr>
        <w:pStyle w:val="Heading3"/>
      </w:pPr>
      <w:r>
        <w:t>Carbon emissions</w:t>
      </w:r>
    </w:p>
    <w:p w14:paraId="70B6DDA9" w14:textId="323B08D0" w:rsidR="000F41AB" w:rsidRDefault="000F41AB" w:rsidP="000F41AB">
      <w:r>
        <w:t xml:space="preserve">Carbon emissions were included </w:t>
      </w:r>
      <w:r w:rsidR="009420A1">
        <w:t xml:space="preserve">and costed </w:t>
      </w:r>
      <w:r>
        <w:t>in the model</w:t>
      </w:r>
      <w:r w:rsidR="009420A1">
        <w:t xml:space="preserve">, </w:t>
      </w:r>
      <w:r>
        <w:t xml:space="preserve">and </w:t>
      </w:r>
      <w:r w:rsidR="009420A1">
        <w:t>were</w:t>
      </w:r>
      <w:r>
        <w:t xml:space="preserve"> assumed to arise from three main parts:</w:t>
      </w:r>
    </w:p>
    <w:p w14:paraId="32629841" w14:textId="77777777" w:rsidR="000F41AB" w:rsidRDefault="000F41AB" w:rsidP="009420A1">
      <w:pPr>
        <w:pStyle w:val="ListParagraph"/>
        <w:numPr>
          <w:ilvl w:val="0"/>
          <w:numId w:val="17"/>
        </w:numPr>
        <w:spacing w:line="240" w:lineRule="auto"/>
        <w:ind w:left="1434" w:hanging="357"/>
      </w:pPr>
      <w:r>
        <w:t>Production</w:t>
      </w:r>
    </w:p>
    <w:p w14:paraId="0B77B2D5" w14:textId="77777777" w:rsidR="000F41AB" w:rsidRDefault="000F41AB" w:rsidP="009420A1">
      <w:pPr>
        <w:pStyle w:val="ListParagraph"/>
        <w:numPr>
          <w:ilvl w:val="0"/>
          <w:numId w:val="17"/>
        </w:numPr>
        <w:spacing w:line="240" w:lineRule="auto"/>
        <w:ind w:left="1434" w:hanging="357"/>
      </w:pPr>
      <w:r>
        <w:t>Transportation</w:t>
      </w:r>
    </w:p>
    <w:p w14:paraId="0A145838" w14:textId="77777777" w:rsidR="000F41AB" w:rsidRDefault="000F41AB" w:rsidP="009420A1">
      <w:pPr>
        <w:pStyle w:val="ListParagraph"/>
        <w:numPr>
          <w:ilvl w:val="0"/>
          <w:numId w:val="17"/>
        </w:numPr>
        <w:spacing w:line="240" w:lineRule="auto"/>
        <w:ind w:left="1434" w:hanging="357"/>
      </w:pPr>
      <w:r>
        <w:t>Purification</w:t>
      </w:r>
    </w:p>
    <w:p w14:paraId="23E43176" w14:textId="4F399AAB" w:rsidR="00BB59CB" w:rsidRDefault="000F41AB" w:rsidP="000F41AB">
      <w:r>
        <w:t>Annual carbon emissions from production</w:t>
      </w:r>
      <w:r w:rsidR="00BB59CB">
        <w:t xml:space="preserve">, transportation, and purification technologies are calculated using the emission factors for each technology and multiplying by the relevant operation units. Details can be found in </w:t>
      </w:r>
      <w:r w:rsidR="0044596C">
        <w:fldChar w:fldCharType="begin"/>
      </w:r>
      <w:r w:rsidR="0044596C">
        <w:instrText xml:space="preserve"> REF _Ref55564654 \r \h </w:instrText>
      </w:r>
      <w:r w:rsidR="0044596C">
        <w:fldChar w:fldCharType="separate"/>
      </w:r>
      <w:r w:rsidR="005851DD">
        <w:t>Appendix B</w:t>
      </w:r>
      <w:r w:rsidR="0044596C">
        <w:fldChar w:fldCharType="end"/>
      </w:r>
      <w:r w:rsidR="00BB59CB">
        <w:t>. Annual carbon emissions for the system are costed in the objective function using UK carbon prices.</w:t>
      </w:r>
    </w:p>
    <w:p w14:paraId="0E2772A0" w14:textId="0657931D" w:rsidR="0041538E" w:rsidRDefault="0041538E" w:rsidP="00A6252F">
      <w:pPr>
        <w:pStyle w:val="Heading2"/>
      </w:pPr>
      <w:r>
        <w:t>Modelled area and input parameters</w:t>
      </w:r>
    </w:p>
    <w:p w14:paraId="484180E6" w14:textId="50DB47B8" w:rsidR="00EA3E74" w:rsidRDefault="00EA3E74" w:rsidP="00C159C5">
      <w:r w:rsidRPr="00C159C5">
        <w:t xml:space="preserve">Great Britain </w:t>
      </w:r>
      <w:r w:rsidR="00C159C5">
        <w:t xml:space="preserve">(GB) </w:t>
      </w:r>
      <w:r w:rsidRPr="00C159C5">
        <w:t>was chosen as the case study, because as previous</w:t>
      </w:r>
      <w:r w:rsidR="00C159C5">
        <w:t>ly</w:t>
      </w:r>
      <w:r w:rsidRPr="00C159C5">
        <w:t xml:space="preserve"> stated, it has strong intentions of decarbonising the transport industry. Furthermore, Great Britain shows potential and interest in utilising its current gas distribution network to either repurpose to supply 100% hydrogen, or to blend into the network. Therefore, this provided a strong grounding for researching and gaining a better understanding of how hydrogen grades and purification play a role in the hydrogen supply chain.</w:t>
      </w:r>
    </w:p>
    <w:p w14:paraId="537C4ED6" w14:textId="4DD43C23" w:rsidR="00B87DCC" w:rsidRDefault="00B87DCC" w:rsidP="00B87DCC">
      <w:r w:rsidRPr="00AD5A2A">
        <w:t xml:space="preserve">This </w:t>
      </w:r>
      <w:r>
        <w:t>se</w:t>
      </w:r>
      <w:r w:rsidRPr="00AD5A2A">
        <w:t xml:space="preserve">ction </w:t>
      </w:r>
      <w:r>
        <w:t xml:space="preserve">provides a summary of the collected data and assumptions used in this work. A more detailed and comprehensive walkthrough of the methodology and assumptions applied to result in the techno-economic parameters for each supply chain component entered in the model can be found in </w:t>
      </w:r>
      <w:r>
        <w:fldChar w:fldCharType="begin"/>
      </w:r>
      <w:r>
        <w:instrText xml:space="preserve"> REF _Ref54859703 \r \h </w:instrText>
      </w:r>
      <w:r>
        <w:fldChar w:fldCharType="separate"/>
      </w:r>
      <w:r w:rsidR="005851DD">
        <w:t>Appendix C</w:t>
      </w:r>
      <w:r>
        <w:fldChar w:fldCharType="end"/>
      </w:r>
      <w:r>
        <w:t>.</w:t>
      </w:r>
    </w:p>
    <w:p w14:paraId="626E292C" w14:textId="3F071B47" w:rsidR="00B87DCC" w:rsidRPr="00C159C5" w:rsidRDefault="00B87DCC" w:rsidP="00B87DCC">
      <w:pPr>
        <w:pStyle w:val="Heading3"/>
      </w:pPr>
      <w:r>
        <w:t>Spatial parameters</w:t>
      </w:r>
    </w:p>
    <w:p w14:paraId="13FAD00C" w14:textId="37696D7B" w:rsidR="00EA3E74" w:rsidRDefault="00EA3E74" w:rsidP="00C159C5">
      <w:r w:rsidRPr="00C159C5">
        <w:t xml:space="preserve">In this work, GB was divided into 34 zones based on counties. </w:t>
      </w:r>
      <w:r w:rsidRPr="00C159C5">
        <w:fldChar w:fldCharType="begin"/>
      </w:r>
      <w:r w:rsidRPr="00C159C5">
        <w:instrText xml:space="preserve"> REF _Ref48730130 \h  \* MERGEFORMAT </w:instrText>
      </w:r>
      <w:r w:rsidRPr="00C159C5">
        <w:fldChar w:fldCharType="separate"/>
      </w:r>
      <w:r w:rsidR="005851DD" w:rsidRPr="00F80F3B">
        <w:t xml:space="preserve">Table </w:t>
      </w:r>
      <w:r w:rsidR="005851DD">
        <w:rPr>
          <w:noProof/>
        </w:rPr>
        <w:t>3</w:t>
      </w:r>
      <w:r w:rsidRPr="00C159C5">
        <w:fldChar w:fldCharType="end"/>
      </w:r>
      <w:r w:rsidRPr="00C159C5">
        <w:t xml:space="preserve"> </w:t>
      </w:r>
      <w:r w:rsidR="00C159C5">
        <w:t xml:space="preserve">and </w:t>
      </w:r>
      <w:r w:rsidR="00C159C5">
        <w:fldChar w:fldCharType="begin"/>
      </w:r>
      <w:r w:rsidR="00C159C5">
        <w:instrText xml:space="preserve"> REF _Ref54858625 \h </w:instrText>
      </w:r>
      <w:r w:rsidR="00C159C5">
        <w:fldChar w:fldCharType="separate"/>
      </w:r>
      <w:r w:rsidR="005851DD">
        <w:t xml:space="preserve">Figure </w:t>
      </w:r>
      <w:r w:rsidR="005851DD">
        <w:rPr>
          <w:noProof/>
        </w:rPr>
        <w:t>3</w:t>
      </w:r>
      <w:r w:rsidR="00C159C5">
        <w:fldChar w:fldCharType="end"/>
      </w:r>
      <w:r w:rsidR="00C159C5" w:rsidRPr="00C159C5">
        <w:t xml:space="preserve"> </w:t>
      </w:r>
      <w:r w:rsidRPr="00C159C5">
        <w:t>display the zone number</w:t>
      </w:r>
      <w:r w:rsidR="00C159C5">
        <w:t>s</w:t>
      </w:r>
      <w:r w:rsidRPr="00C159C5">
        <w:t xml:space="preserve"> with the associated counties</w:t>
      </w:r>
      <w:r w:rsidR="00C159C5">
        <w:t xml:space="preserve">. </w:t>
      </w:r>
      <w:r w:rsidRPr="00C159C5">
        <w:t xml:space="preserve">Splitting GB into zones allows the model to have a spatial aspect applied to it, where hydrogen demand is assumed in each zone, and the model can choose </w:t>
      </w:r>
      <w:r w:rsidRPr="00C159C5">
        <w:lastRenderedPageBreak/>
        <w:t>what zone to install various components of the supply chain, as well as regional transport capacity from one to another.</w:t>
      </w:r>
    </w:p>
    <w:p w14:paraId="180C23B2" w14:textId="380C97AB" w:rsidR="00EA3E74" w:rsidRPr="00F80F3B" w:rsidRDefault="00EA3E74" w:rsidP="00EA3E74">
      <w:pPr>
        <w:pStyle w:val="Caption"/>
        <w:keepNext/>
        <w:rPr>
          <w:color w:val="auto"/>
        </w:rPr>
      </w:pPr>
      <w:bookmarkStart w:id="37" w:name="_Ref48730130"/>
      <w:bookmarkStart w:id="38" w:name="_Toc50359147"/>
      <w:r w:rsidRPr="00F80F3B">
        <w:rPr>
          <w:color w:val="auto"/>
        </w:rPr>
        <w:t xml:space="preserve">Table </w:t>
      </w:r>
      <w:r w:rsidRPr="00F80F3B">
        <w:rPr>
          <w:color w:val="auto"/>
        </w:rPr>
        <w:fldChar w:fldCharType="begin"/>
      </w:r>
      <w:r w:rsidRPr="00F80F3B">
        <w:rPr>
          <w:color w:val="auto"/>
        </w:rPr>
        <w:instrText xml:space="preserve"> SEQ Table \* ARABIC </w:instrText>
      </w:r>
      <w:r w:rsidRPr="00F80F3B">
        <w:rPr>
          <w:color w:val="auto"/>
        </w:rPr>
        <w:fldChar w:fldCharType="separate"/>
      </w:r>
      <w:r w:rsidR="005851DD">
        <w:rPr>
          <w:noProof/>
          <w:color w:val="auto"/>
        </w:rPr>
        <w:t>3</w:t>
      </w:r>
      <w:r w:rsidRPr="00F80F3B">
        <w:rPr>
          <w:noProof/>
          <w:color w:val="auto"/>
        </w:rPr>
        <w:fldChar w:fldCharType="end"/>
      </w:r>
      <w:bookmarkEnd w:id="37"/>
      <w:r w:rsidR="000339F8">
        <w:rPr>
          <w:color w:val="auto"/>
        </w:rPr>
        <w:t>:</w:t>
      </w:r>
      <w:r w:rsidRPr="00F80F3B">
        <w:rPr>
          <w:color w:val="auto"/>
        </w:rPr>
        <w:t xml:space="preserve"> Number and name of zones</w:t>
      </w:r>
      <w:r>
        <w:rPr>
          <w:color w:val="auto"/>
        </w:rPr>
        <w:t xml:space="preserve"> of G</w:t>
      </w:r>
      <w:r w:rsidR="003032CA">
        <w:rPr>
          <w:color w:val="auto"/>
        </w:rPr>
        <w:t xml:space="preserve">reat </w:t>
      </w:r>
      <w:r>
        <w:rPr>
          <w:color w:val="auto"/>
        </w:rPr>
        <w:t>B</w:t>
      </w:r>
      <w:r w:rsidR="003032CA">
        <w:rPr>
          <w:color w:val="auto"/>
        </w:rPr>
        <w:t>ritain</w:t>
      </w:r>
      <w:r w:rsidRPr="00F80F3B">
        <w:rPr>
          <w:color w:val="auto"/>
        </w:rPr>
        <w:t xml:space="preserve"> considered in this </w:t>
      </w:r>
      <w:r>
        <w:rPr>
          <w:color w:val="auto"/>
        </w:rPr>
        <w:t>work</w:t>
      </w:r>
      <w:r w:rsidRPr="00F80F3B">
        <w:rPr>
          <w:color w:val="auto"/>
        </w:rPr>
        <w:t>.</w:t>
      </w:r>
      <w:bookmarkEnd w:id="38"/>
    </w:p>
    <w:tbl>
      <w:tblPr>
        <w:tblStyle w:val="PlainTable2"/>
        <w:tblW w:w="0" w:type="auto"/>
        <w:tblLook w:val="04A0" w:firstRow="1" w:lastRow="0" w:firstColumn="1" w:lastColumn="0" w:noHBand="0" w:noVBand="1"/>
      </w:tblPr>
      <w:tblGrid>
        <w:gridCol w:w="897"/>
        <w:gridCol w:w="3691"/>
        <w:gridCol w:w="897"/>
        <w:gridCol w:w="3541"/>
      </w:tblGrid>
      <w:tr w:rsidR="00EA3E74" w:rsidRPr="00F80F3B" w14:paraId="07770855" w14:textId="77777777" w:rsidTr="00A31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C21425" w14:textId="77777777" w:rsidR="00EA3E74" w:rsidRPr="00225B08" w:rsidRDefault="00EA3E74" w:rsidP="00121C83">
            <w:pPr>
              <w:pStyle w:val="NoSpacing"/>
              <w:keepNext/>
              <w:widowControl w:val="0"/>
              <w:jc w:val="center"/>
            </w:pPr>
            <w:r w:rsidRPr="00225B08">
              <w:t>Number</w:t>
            </w:r>
          </w:p>
        </w:tc>
        <w:tc>
          <w:tcPr>
            <w:tcW w:w="0" w:type="auto"/>
          </w:tcPr>
          <w:p w14:paraId="448B96EC" w14:textId="77777777" w:rsidR="00EA3E74" w:rsidRPr="00225B08" w:rsidRDefault="00EA3E74" w:rsidP="00121C83">
            <w:pPr>
              <w:pStyle w:val="NoSpacing"/>
              <w:keepNext/>
              <w:widowControl w:val="0"/>
              <w:jc w:val="center"/>
              <w:cnfStyle w:val="100000000000" w:firstRow="1" w:lastRow="0" w:firstColumn="0" w:lastColumn="0" w:oddVBand="0" w:evenVBand="0" w:oddHBand="0" w:evenHBand="0" w:firstRowFirstColumn="0" w:firstRowLastColumn="0" w:lastRowFirstColumn="0" w:lastRowLastColumn="0"/>
            </w:pPr>
            <w:r w:rsidRPr="00225B08">
              <w:t>Area</w:t>
            </w:r>
          </w:p>
        </w:tc>
        <w:tc>
          <w:tcPr>
            <w:tcW w:w="0" w:type="auto"/>
          </w:tcPr>
          <w:p w14:paraId="3A29C083" w14:textId="77777777" w:rsidR="00EA3E74" w:rsidRPr="00225B08" w:rsidRDefault="00EA3E74" w:rsidP="00121C83">
            <w:pPr>
              <w:pStyle w:val="NoSpacing"/>
              <w:keepNext/>
              <w:widowControl w:val="0"/>
              <w:jc w:val="center"/>
              <w:cnfStyle w:val="100000000000" w:firstRow="1" w:lastRow="0" w:firstColumn="0" w:lastColumn="0" w:oddVBand="0" w:evenVBand="0" w:oddHBand="0" w:evenHBand="0" w:firstRowFirstColumn="0" w:firstRowLastColumn="0" w:lastRowFirstColumn="0" w:lastRowLastColumn="0"/>
            </w:pPr>
            <w:r w:rsidRPr="00225B08">
              <w:t>Number</w:t>
            </w:r>
          </w:p>
        </w:tc>
        <w:tc>
          <w:tcPr>
            <w:tcW w:w="0" w:type="auto"/>
          </w:tcPr>
          <w:p w14:paraId="6ECB4731" w14:textId="77777777" w:rsidR="00EA3E74" w:rsidRPr="00225B08" w:rsidRDefault="00EA3E74" w:rsidP="00121C83">
            <w:pPr>
              <w:pStyle w:val="NoSpacing"/>
              <w:keepNext/>
              <w:widowControl w:val="0"/>
              <w:jc w:val="center"/>
              <w:cnfStyle w:val="100000000000" w:firstRow="1" w:lastRow="0" w:firstColumn="0" w:lastColumn="0" w:oddVBand="0" w:evenVBand="0" w:oddHBand="0" w:evenHBand="0" w:firstRowFirstColumn="0" w:firstRowLastColumn="0" w:lastRowFirstColumn="0" w:lastRowLastColumn="0"/>
            </w:pPr>
            <w:r w:rsidRPr="00225B08">
              <w:t>Area</w:t>
            </w:r>
          </w:p>
        </w:tc>
      </w:tr>
      <w:tr w:rsidR="00EA3E74" w:rsidRPr="00F80F3B" w14:paraId="05059943"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875D26" w14:textId="77777777" w:rsidR="00EA3E74" w:rsidRPr="00225B08" w:rsidRDefault="00EA3E74" w:rsidP="00121C83">
            <w:pPr>
              <w:pStyle w:val="NoSpacing"/>
              <w:keepNext/>
              <w:widowControl w:val="0"/>
              <w:jc w:val="center"/>
            </w:pPr>
            <w:r w:rsidRPr="00225B08">
              <w:t>1</w:t>
            </w:r>
          </w:p>
        </w:tc>
        <w:tc>
          <w:tcPr>
            <w:tcW w:w="0" w:type="auto"/>
          </w:tcPr>
          <w:p w14:paraId="700D6473"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Bedfordshire and Hertfordshire</w:t>
            </w:r>
          </w:p>
        </w:tc>
        <w:tc>
          <w:tcPr>
            <w:tcW w:w="0" w:type="auto"/>
          </w:tcPr>
          <w:p w14:paraId="4CD3947A"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18</w:t>
            </w:r>
          </w:p>
        </w:tc>
        <w:tc>
          <w:tcPr>
            <w:tcW w:w="0" w:type="auto"/>
          </w:tcPr>
          <w:p w14:paraId="6BF3DA2B"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Kent</w:t>
            </w:r>
          </w:p>
        </w:tc>
      </w:tr>
      <w:tr w:rsidR="00EA3E74" w:rsidRPr="00F80F3B" w14:paraId="413C6846"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42D559B6" w14:textId="77777777" w:rsidR="00EA3E74" w:rsidRPr="00225B08" w:rsidRDefault="00EA3E74" w:rsidP="00121C83">
            <w:pPr>
              <w:pStyle w:val="NoSpacing"/>
              <w:keepNext/>
              <w:widowControl w:val="0"/>
              <w:jc w:val="center"/>
            </w:pPr>
            <w:r w:rsidRPr="00225B08">
              <w:t>2</w:t>
            </w:r>
          </w:p>
        </w:tc>
        <w:tc>
          <w:tcPr>
            <w:tcW w:w="0" w:type="auto"/>
          </w:tcPr>
          <w:p w14:paraId="0DDF61B4"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Berkshire, Buckinghamshire and Oxfordshire</w:t>
            </w:r>
          </w:p>
        </w:tc>
        <w:tc>
          <w:tcPr>
            <w:tcW w:w="0" w:type="auto"/>
          </w:tcPr>
          <w:p w14:paraId="4DB3EDE9"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19</w:t>
            </w:r>
          </w:p>
        </w:tc>
        <w:tc>
          <w:tcPr>
            <w:tcW w:w="0" w:type="auto"/>
          </w:tcPr>
          <w:p w14:paraId="0ABAF457"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Lancashire</w:t>
            </w:r>
          </w:p>
        </w:tc>
      </w:tr>
      <w:tr w:rsidR="00EA3E74" w:rsidRPr="00F80F3B" w14:paraId="112C5878"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7927E3" w14:textId="77777777" w:rsidR="00EA3E74" w:rsidRPr="00225B08" w:rsidRDefault="00EA3E74" w:rsidP="00121C83">
            <w:pPr>
              <w:pStyle w:val="NoSpacing"/>
              <w:keepNext/>
              <w:widowControl w:val="0"/>
              <w:jc w:val="center"/>
            </w:pPr>
            <w:r w:rsidRPr="00225B08">
              <w:t>3</w:t>
            </w:r>
          </w:p>
        </w:tc>
        <w:tc>
          <w:tcPr>
            <w:tcW w:w="0" w:type="auto"/>
          </w:tcPr>
          <w:p w14:paraId="53FBFCDD"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Cheshire</w:t>
            </w:r>
          </w:p>
        </w:tc>
        <w:tc>
          <w:tcPr>
            <w:tcW w:w="0" w:type="auto"/>
          </w:tcPr>
          <w:p w14:paraId="05209C7B"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20</w:t>
            </w:r>
          </w:p>
        </w:tc>
        <w:tc>
          <w:tcPr>
            <w:tcW w:w="0" w:type="auto"/>
          </w:tcPr>
          <w:p w14:paraId="4F1FC744"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Leicestershire, Rutland and Northamptonshire</w:t>
            </w:r>
          </w:p>
        </w:tc>
      </w:tr>
      <w:tr w:rsidR="00EA3E74" w:rsidRPr="00F80F3B" w14:paraId="49476C0A"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6D4AA21F" w14:textId="77777777" w:rsidR="00EA3E74" w:rsidRPr="00225B08" w:rsidRDefault="00EA3E74" w:rsidP="00121C83">
            <w:pPr>
              <w:pStyle w:val="NoSpacing"/>
              <w:keepNext/>
              <w:widowControl w:val="0"/>
              <w:jc w:val="center"/>
            </w:pPr>
            <w:r w:rsidRPr="00225B08">
              <w:t>4</w:t>
            </w:r>
          </w:p>
        </w:tc>
        <w:tc>
          <w:tcPr>
            <w:tcW w:w="0" w:type="auto"/>
          </w:tcPr>
          <w:p w14:paraId="633A77BF"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Cornwall and Isles of Scilly</w:t>
            </w:r>
          </w:p>
        </w:tc>
        <w:tc>
          <w:tcPr>
            <w:tcW w:w="0" w:type="auto"/>
          </w:tcPr>
          <w:p w14:paraId="5510B739"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21</w:t>
            </w:r>
          </w:p>
        </w:tc>
        <w:tc>
          <w:tcPr>
            <w:tcW w:w="0" w:type="auto"/>
          </w:tcPr>
          <w:p w14:paraId="7D51E191"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Lincolnshire</w:t>
            </w:r>
          </w:p>
        </w:tc>
      </w:tr>
      <w:tr w:rsidR="00EA3E74" w:rsidRPr="00F80F3B" w14:paraId="2400B875"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0898EB" w14:textId="77777777" w:rsidR="00EA3E74" w:rsidRPr="00225B08" w:rsidRDefault="00EA3E74" w:rsidP="00121C83">
            <w:pPr>
              <w:pStyle w:val="NoSpacing"/>
              <w:keepNext/>
              <w:widowControl w:val="0"/>
              <w:jc w:val="center"/>
            </w:pPr>
            <w:r w:rsidRPr="00225B08">
              <w:t>5</w:t>
            </w:r>
          </w:p>
        </w:tc>
        <w:tc>
          <w:tcPr>
            <w:tcW w:w="0" w:type="auto"/>
          </w:tcPr>
          <w:p w14:paraId="68DF4EAD"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Cumbria</w:t>
            </w:r>
          </w:p>
        </w:tc>
        <w:tc>
          <w:tcPr>
            <w:tcW w:w="0" w:type="auto"/>
          </w:tcPr>
          <w:p w14:paraId="59DA44D9"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22</w:t>
            </w:r>
          </w:p>
        </w:tc>
        <w:tc>
          <w:tcPr>
            <w:tcW w:w="0" w:type="auto"/>
          </w:tcPr>
          <w:p w14:paraId="2590184B"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London</w:t>
            </w:r>
          </w:p>
        </w:tc>
      </w:tr>
      <w:tr w:rsidR="00EA3E74" w:rsidRPr="00F80F3B" w14:paraId="3880E6B4"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4AB137B8" w14:textId="77777777" w:rsidR="00EA3E74" w:rsidRPr="00225B08" w:rsidRDefault="00EA3E74" w:rsidP="00121C83">
            <w:pPr>
              <w:pStyle w:val="NoSpacing"/>
              <w:keepNext/>
              <w:widowControl w:val="0"/>
              <w:jc w:val="center"/>
            </w:pPr>
            <w:r w:rsidRPr="00225B08">
              <w:t>6</w:t>
            </w:r>
          </w:p>
        </w:tc>
        <w:tc>
          <w:tcPr>
            <w:tcW w:w="0" w:type="auto"/>
          </w:tcPr>
          <w:p w14:paraId="0BB3782C"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Derbyshire and Nottinghamshire</w:t>
            </w:r>
          </w:p>
        </w:tc>
        <w:tc>
          <w:tcPr>
            <w:tcW w:w="0" w:type="auto"/>
          </w:tcPr>
          <w:p w14:paraId="7F15D9CA"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23</w:t>
            </w:r>
          </w:p>
        </w:tc>
        <w:tc>
          <w:tcPr>
            <w:tcW w:w="0" w:type="auto"/>
          </w:tcPr>
          <w:p w14:paraId="0451283A"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Manchester and Merseyside</w:t>
            </w:r>
          </w:p>
        </w:tc>
      </w:tr>
      <w:tr w:rsidR="00EA3E74" w:rsidRPr="00F80F3B" w14:paraId="1E6D6B6A"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1F529E" w14:textId="77777777" w:rsidR="00EA3E74" w:rsidRPr="00225B08" w:rsidRDefault="00EA3E74" w:rsidP="00121C83">
            <w:pPr>
              <w:pStyle w:val="NoSpacing"/>
              <w:keepNext/>
              <w:widowControl w:val="0"/>
              <w:jc w:val="center"/>
            </w:pPr>
            <w:r w:rsidRPr="00225B08">
              <w:t>7</w:t>
            </w:r>
          </w:p>
        </w:tc>
        <w:tc>
          <w:tcPr>
            <w:tcW w:w="0" w:type="auto"/>
          </w:tcPr>
          <w:p w14:paraId="00B15F54"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Devon</w:t>
            </w:r>
          </w:p>
        </w:tc>
        <w:tc>
          <w:tcPr>
            <w:tcW w:w="0" w:type="auto"/>
          </w:tcPr>
          <w:p w14:paraId="2FA2CA85"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24</w:t>
            </w:r>
          </w:p>
        </w:tc>
        <w:tc>
          <w:tcPr>
            <w:tcW w:w="0" w:type="auto"/>
          </w:tcPr>
          <w:p w14:paraId="13402238"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North Eastern Scotland</w:t>
            </w:r>
          </w:p>
        </w:tc>
      </w:tr>
      <w:tr w:rsidR="00EA3E74" w:rsidRPr="00F80F3B" w14:paraId="31B5FEF9"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66BE9204" w14:textId="77777777" w:rsidR="00EA3E74" w:rsidRPr="00225B08" w:rsidRDefault="00EA3E74" w:rsidP="00121C83">
            <w:pPr>
              <w:pStyle w:val="NoSpacing"/>
              <w:keepNext/>
              <w:widowControl w:val="0"/>
              <w:jc w:val="center"/>
            </w:pPr>
            <w:r w:rsidRPr="00225B08">
              <w:t>8</w:t>
            </w:r>
          </w:p>
        </w:tc>
        <w:tc>
          <w:tcPr>
            <w:tcW w:w="0" w:type="auto"/>
          </w:tcPr>
          <w:p w14:paraId="37F4971B"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Dorset and Somerset</w:t>
            </w:r>
          </w:p>
        </w:tc>
        <w:tc>
          <w:tcPr>
            <w:tcW w:w="0" w:type="auto"/>
          </w:tcPr>
          <w:p w14:paraId="3D55BB54"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25</w:t>
            </w:r>
          </w:p>
        </w:tc>
        <w:tc>
          <w:tcPr>
            <w:tcW w:w="0" w:type="auto"/>
          </w:tcPr>
          <w:p w14:paraId="1D005B29"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North Yorkshire</w:t>
            </w:r>
          </w:p>
        </w:tc>
      </w:tr>
      <w:tr w:rsidR="00EA3E74" w:rsidRPr="00F80F3B" w14:paraId="70133F7B"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037073" w14:textId="77777777" w:rsidR="00EA3E74" w:rsidRPr="00225B08" w:rsidRDefault="00EA3E74" w:rsidP="00121C83">
            <w:pPr>
              <w:pStyle w:val="NoSpacing"/>
              <w:keepNext/>
              <w:widowControl w:val="0"/>
              <w:jc w:val="center"/>
            </w:pPr>
            <w:r w:rsidRPr="00225B08">
              <w:t>9</w:t>
            </w:r>
          </w:p>
        </w:tc>
        <w:tc>
          <w:tcPr>
            <w:tcW w:w="0" w:type="auto"/>
          </w:tcPr>
          <w:p w14:paraId="54FDA506"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East Anglia</w:t>
            </w:r>
          </w:p>
        </w:tc>
        <w:tc>
          <w:tcPr>
            <w:tcW w:w="0" w:type="auto"/>
          </w:tcPr>
          <w:p w14:paraId="21B0A854"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26</w:t>
            </w:r>
          </w:p>
        </w:tc>
        <w:tc>
          <w:tcPr>
            <w:tcW w:w="0" w:type="auto"/>
          </w:tcPr>
          <w:p w14:paraId="11366D7E"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Northumberland and Tyne and Wear</w:t>
            </w:r>
          </w:p>
        </w:tc>
      </w:tr>
      <w:tr w:rsidR="00EA3E74" w:rsidRPr="00F80F3B" w14:paraId="7074E2BC"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2D77412E" w14:textId="77777777" w:rsidR="00EA3E74" w:rsidRPr="00225B08" w:rsidRDefault="00EA3E74" w:rsidP="00121C83">
            <w:pPr>
              <w:pStyle w:val="NoSpacing"/>
              <w:keepNext/>
              <w:widowControl w:val="0"/>
              <w:jc w:val="center"/>
            </w:pPr>
            <w:r w:rsidRPr="00225B08">
              <w:t>10</w:t>
            </w:r>
          </w:p>
        </w:tc>
        <w:tc>
          <w:tcPr>
            <w:tcW w:w="0" w:type="auto"/>
          </w:tcPr>
          <w:p w14:paraId="530C3FFA"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East Wales</w:t>
            </w:r>
          </w:p>
        </w:tc>
        <w:tc>
          <w:tcPr>
            <w:tcW w:w="0" w:type="auto"/>
          </w:tcPr>
          <w:p w14:paraId="17FF317D"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27</w:t>
            </w:r>
          </w:p>
        </w:tc>
        <w:tc>
          <w:tcPr>
            <w:tcW w:w="0" w:type="auto"/>
          </w:tcPr>
          <w:p w14:paraId="341A4FD1"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Shropshire and Staffordshire</w:t>
            </w:r>
          </w:p>
        </w:tc>
      </w:tr>
      <w:tr w:rsidR="00EA3E74" w:rsidRPr="00F80F3B" w14:paraId="7AD64AB3"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2B3005" w14:textId="77777777" w:rsidR="00EA3E74" w:rsidRPr="00225B08" w:rsidRDefault="00EA3E74" w:rsidP="00121C83">
            <w:pPr>
              <w:pStyle w:val="NoSpacing"/>
              <w:keepNext/>
              <w:widowControl w:val="0"/>
              <w:jc w:val="center"/>
            </w:pPr>
            <w:r w:rsidRPr="00225B08">
              <w:t>11</w:t>
            </w:r>
          </w:p>
        </w:tc>
        <w:tc>
          <w:tcPr>
            <w:tcW w:w="0" w:type="auto"/>
          </w:tcPr>
          <w:p w14:paraId="46DE150B"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East Yorkshire</w:t>
            </w:r>
          </w:p>
        </w:tc>
        <w:tc>
          <w:tcPr>
            <w:tcW w:w="0" w:type="auto"/>
          </w:tcPr>
          <w:p w14:paraId="50DA300B"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28</w:t>
            </w:r>
          </w:p>
        </w:tc>
        <w:tc>
          <w:tcPr>
            <w:tcW w:w="0" w:type="auto"/>
          </w:tcPr>
          <w:p w14:paraId="5D720929"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South Western Scotland</w:t>
            </w:r>
          </w:p>
        </w:tc>
      </w:tr>
      <w:tr w:rsidR="00EA3E74" w:rsidRPr="00F80F3B" w14:paraId="05B158A2"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09FCA8F2" w14:textId="77777777" w:rsidR="00EA3E74" w:rsidRPr="00225B08" w:rsidRDefault="00EA3E74" w:rsidP="00121C83">
            <w:pPr>
              <w:pStyle w:val="NoSpacing"/>
              <w:keepNext/>
              <w:widowControl w:val="0"/>
              <w:jc w:val="center"/>
            </w:pPr>
            <w:r w:rsidRPr="00225B08">
              <w:t>12</w:t>
            </w:r>
          </w:p>
        </w:tc>
        <w:tc>
          <w:tcPr>
            <w:tcW w:w="0" w:type="auto"/>
          </w:tcPr>
          <w:p w14:paraId="3CE9FF64"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Eastern Scotland</w:t>
            </w:r>
          </w:p>
        </w:tc>
        <w:tc>
          <w:tcPr>
            <w:tcW w:w="0" w:type="auto"/>
          </w:tcPr>
          <w:p w14:paraId="77F770FF"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29</w:t>
            </w:r>
          </w:p>
        </w:tc>
        <w:tc>
          <w:tcPr>
            <w:tcW w:w="0" w:type="auto"/>
          </w:tcPr>
          <w:p w14:paraId="6AB6E663"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South Yorkshire</w:t>
            </w:r>
          </w:p>
        </w:tc>
      </w:tr>
      <w:tr w:rsidR="00EA3E74" w:rsidRPr="00F80F3B" w14:paraId="4921861D"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A1EB35" w14:textId="77777777" w:rsidR="00EA3E74" w:rsidRPr="00225B08" w:rsidRDefault="00EA3E74" w:rsidP="00121C83">
            <w:pPr>
              <w:pStyle w:val="NoSpacing"/>
              <w:keepNext/>
              <w:widowControl w:val="0"/>
              <w:jc w:val="center"/>
            </w:pPr>
            <w:r w:rsidRPr="00225B08">
              <w:t>13</w:t>
            </w:r>
          </w:p>
        </w:tc>
        <w:tc>
          <w:tcPr>
            <w:tcW w:w="0" w:type="auto"/>
          </w:tcPr>
          <w:p w14:paraId="01C93E7A"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Essex</w:t>
            </w:r>
          </w:p>
        </w:tc>
        <w:tc>
          <w:tcPr>
            <w:tcW w:w="0" w:type="auto"/>
          </w:tcPr>
          <w:p w14:paraId="206E894B"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30</w:t>
            </w:r>
          </w:p>
        </w:tc>
        <w:tc>
          <w:tcPr>
            <w:tcW w:w="0" w:type="auto"/>
          </w:tcPr>
          <w:p w14:paraId="4B95B3DA"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Surrey, East and West Sussex</w:t>
            </w:r>
          </w:p>
        </w:tc>
      </w:tr>
      <w:tr w:rsidR="00EA3E74" w:rsidRPr="00F80F3B" w14:paraId="53D08FBA"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2622F129" w14:textId="77777777" w:rsidR="00EA3E74" w:rsidRPr="00225B08" w:rsidRDefault="00EA3E74" w:rsidP="00121C83">
            <w:pPr>
              <w:pStyle w:val="NoSpacing"/>
              <w:keepNext/>
              <w:widowControl w:val="0"/>
              <w:jc w:val="center"/>
            </w:pPr>
            <w:r w:rsidRPr="00225B08">
              <w:t>14</w:t>
            </w:r>
          </w:p>
        </w:tc>
        <w:tc>
          <w:tcPr>
            <w:tcW w:w="0" w:type="auto"/>
          </w:tcPr>
          <w:p w14:paraId="258A7794"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Gloucestershire, Wiltshire and Bristol/Bath Area</w:t>
            </w:r>
          </w:p>
        </w:tc>
        <w:tc>
          <w:tcPr>
            <w:tcW w:w="0" w:type="auto"/>
          </w:tcPr>
          <w:p w14:paraId="4C1A3FC2"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31</w:t>
            </w:r>
          </w:p>
        </w:tc>
        <w:tc>
          <w:tcPr>
            <w:tcW w:w="0" w:type="auto"/>
          </w:tcPr>
          <w:p w14:paraId="260CCAE6"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Tees Valley and Durham</w:t>
            </w:r>
          </w:p>
        </w:tc>
      </w:tr>
      <w:tr w:rsidR="00EA3E74" w:rsidRPr="00F80F3B" w14:paraId="32472649"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26B8ED" w14:textId="77777777" w:rsidR="00EA3E74" w:rsidRPr="00225B08" w:rsidRDefault="00EA3E74" w:rsidP="00121C83">
            <w:pPr>
              <w:pStyle w:val="NoSpacing"/>
              <w:keepNext/>
              <w:widowControl w:val="0"/>
              <w:jc w:val="center"/>
            </w:pPr>
            <w:r w:rsidRPr="00225B08">
              <w:t>15</w:t>
            </w:r>
          </w:p>
        </w:tc>
        <w:tc>
          <w:tcPr>
            <w:tcW w:w="0" w:type="auto"/>
          </w:tcPr>
          <w:p w14:paraId="7F911437"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Hampshire and Isle of Wight</w:t>
            </w:r>
          </w:p>
        </w:tc>
        <w:tc>
          <w:tcPr>
            <w:tcW w:w="0" w:type="auto"/>
          </w:tcPr>
          <w:p w14:paraId="7BC1840E" w14:textId="77777777" w:rsidR="00EA3E74" w:rsidRPr="00225B08" w:rsidRDefault="00EA3E74" w:rsidP="00121C83">
            <w:pPr>
              <w:pStyle w:val="NoSpacing"/>
              <w:keepNext/>
              <w:widowControl w:val="0"/>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32</w:t>
            </w:r>
          </w:p>
        </w:tc>
        <w:tc>
          <w:tcPr>
            <w:tcW w:w="0" w:type="auto"/>
          </w:tcPr>
          <w:p w14:paraId="49F40A97" w14:textId="77777777" w:rsidR="00EA3E74" w:rsidRPr="00225B08" w:rsidRDefault="00EA3E74" w:rsidP="00121C83">
            <w:pPr>
              <w:pStyle w:val="NoSpacing"/>
              <w:keepNext/>
              <w:widowControl w:val="0"/>
              <w:cnfStyle w:val="000000100000" w:firstRow="0" w:lastRow="0" w:firstColumn="0" w:lastColumn="0" w:oddVBand="0" w:evenVBand="0" w:oddHBand="1" w:evenHBand="0" w:firstRowFirstColumn="0" w:firstRowLastColumn="0" w:lastRowFirstColumn="0" w:lastRowLastColumn="0"/>
              <w:rPr>
                <w:i/>
                <w:iCs/>
              </w:rPr>
            </w:pPr>
            <w:r w:rsidRPr="00225B08">
              <w:rPr>
                <w:i/>
                <w:iCs/>
              </w:rPr>
              <w:t>West Midlands</w:t>
            </w:r>
          </w:p>
        </w:tc>
      </w:tr>
      <w:tr w:rsidR="00EA3E74" w:rsidRPr="00F80F3B" w14:paraId="76A81BB5" w14:textId="77777777" w:rsidTr="00A31B1B">
        <w:tc>
          <w:tcPr>
            <w:cnfStyle w:val="001000000000" w:firstRow="0" w:lastRow="0" w:firstColumn="1" w:lastColumn="0" w:oddVBand="0" w:evenVBand="0" w:oddHBand="0" w:evenHBand="0" w:firstRowFirstColumn="0" w:firstRowLastColumn="0" w:lastRowFirstColumn="0" w:lastRowLastColumn="0"/>
            <w:tcW w:w="0" w:type="auto"/>
          </w:tcPr>
          <w:p w14:paraId="6E9499C8" w14:textId="77777777" w:rsidR="00EA3E74" w:rsidRPr="00225B08" w:rsidRDefault="00EA3E74" w:rsidP="00121C83">
            <w:pPr>
              <w:pStyle w:val="NoSpacing"/>
              <w:keepNext/>
              <w:widowControl w:val="0"/>
              <w:jc w:val="center"/>
            </w:pPr>
            <w:r w:rsidRPr="00225B08">
              <w:t>16</w:t>
            </w:r>
          </w:p>
        </w:tc>
        <w:tc>
          <w:tcPr>
            <w:tcW w:w="0" w:type="auto"/>
          </w:tcPr>
          <w:p w14:paraId="55DC70A3"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Herefordshire, Worcestershire and Warwickshire</w:t>
            </w:r>
          </w:p>
        </w:tc>
        <w:tc>
          <w:tcPr>
            <w:tcW w:w="0" w:type="auto"/>
          </w:tcPr>
          <w:p w14:paraId="04D9F51C" w14:textId="77777777" w:rsidR="00EA3E74" w:rsidRPr="00225B08" w:rsidRDefault="00EA3E74" w:rsidP="00121C83">
            <w:pPr>
              <w:pStyle w:val="NoSpacing"/>
              <w:keepNext/>
              <w:widowControl w:val="0"/>
              <w:jc w:val="center"/>
              <w:cnfStyle w:val="000000000000" w:firstRow="0" w:lastRow="0" w:firstColumn="0" w:lastColumn="0" w:oddVBand="0" w:evenVBand="0" w:oddHBand="0" w:evenHBand="0" w:firstRowFirstColumn="0" w:firstRowLastColumn="0" w:lastRowFirstColumn="0" w:lastRowLastColumn="0"/>
              <w:rPr>
                <w:b/>
                <w:bCs/>
              </w:rPr>
            </w:pPr>
            <w:r w:rsidRPr="00225B08">
              <w:rPr>
                <w:b/>
                <w:bCs/>
              </w:rPr>
              <w:t>33</w:t>
            </w:r>
          </w:p>
        </w:tc>
        <w:tc>
          <w:tcPr>
            <w:tcW w:w="0" w:type="auto"/>
          </w:tcPr>
          <w:p w14:paraId="389CE91F" w14:textId="77777777" w:rsidR="00EA3E74" w:rsidRPr="00225B08" w:rsidRDefault="00EA3E74" w:rsidP="00121C83">
            <w:pPr>
              <w:pStyle w:val="NoSpacing"/>
              <w:keepNext/>
              <w:widowControl w:val="0"/>
              <w:cnfStyle w:val="000000000000" w:firstRow="0" w:lastRow="0" w:firstColumn="0" w:lastColumn="0" w:oddVBand="0" w:evenVBand="0" w:oddHBand="0" w:evenHBand="0" w:firstRowFirstColumn="0" w:firstRowLastColumn="0" w:lastRowFirstColumn="0" w:lastRowLastColumn="0"/>
              <w:rPr>
                <w:i/>
                <w:iCs/>
              </w:rPr>
            </w:pPr>
            <w:r w:rsidRPr="00225B08">
              <w:rPr>
                <w:i/>
                <w:iCs/>
              </w:rPr>
              <w:t>West Wales and The Valleys</w:t>
            </w:r>
          </w:p>
        </w:tc>
      </w:tr>
      <w:tr w:rsidR="00EA3E74" w:rsidRPr="00F80F3B" w14:paraId="2F0FD3F6" w14:textId="77777777" w:rsidTr="00A31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3BD99A" w14:textId="77777777" w:rsidR="00EA3E74" w:rsidRPr="00225B08" w:rsidRDefault="00EA3E74" w:rsidP="00A31B1B">
            <w:pPr>
              <w:pStyle w:val="NoSpacing"/>
              <w:jc w:val="center"/>
            </w:pPr>
            <w:r w:rsidRPr="00225B08">
              <w:t>17</w:t>
            </w:r>
          </w:p>
        </w:tc>
        <w:tc>
          <w:tcPr>
            <w:tcW w:w="0" w:type="auto"/>
          </w:tcPr>
          <w:p w14:paraId="5517C3AF" w14:textId="77777777" w:rsidR="00EA3E74" w:rsidRPr="00225B08" w:rsidRDefault="00EA3E74" w:rsidP="00A31B1B">
            <w:pPr>
              <w:pStyle w:val="NoSpacing"/>
              <w:cnfStyle w:val="000000100000" w:firstRow="0" w:lastRow="0" w:firstColumn="0" w:lastColumn="0" w:oddVBand="0" w:evenVBand="0" w:oddHBand="1" w:evenHBand="0" w:firstRowFirstColumn="0" w:firstRowLastColumn="0" w:lastRowFirstColumn="0" w:lastRowLastColumn="0"/>
              <w:rPr>
                <w:i/>
                <w:iCs/>
              </w:rPr>
            </w:pPr>
            <w:r w:rsidRPr="00225B08">
              <w:rPr>
                <w:i/>
                <w:iCs/>
              </w:rPr>
              <w:t>Highlands and Islands</w:t>
            </w:r>
          </w:p>
        </w:tc>
        <w:tc>
          <w:tcPr>
            <w:tcW w:w="0" w:type="auto"/>
          </w:tcPr>
          <w:p w14:paraId="0BBAE925" w14:textId="77777777" w:rsidR="00EA3E74" w:rsidRPr="00225B08" w:rsidRDefault="00EA3E74" w:rsidP="00A31B1B">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225B08">
              <w:rPr>
                <w:b/>
                <w:bCs/>
              </w:rPr>
              <w:t>34</w:t>
            </w:r>
          </w:p>
        </w:tc>
        <w:tc>
          <w:tcPr>
            <w:tcW w:w="0" w:type="auto"/>
          </w:tcPr>
          <w:p w14:paraId="1C8ED861" w14:textId="77777777" w:rsidR="00EA3E74" w:rsidRPr="00225B08" w:rsidRDefault="00EA3E74" w:rsidP="00A31B1B">
            <w:pPr>
              <w:pStyle w:val="NoSpacing"/>
              <w:cnfStyle w:val="000000100000" w:firstRow="0" w:lastRow="0" w:firstColumn="0" w:lastColumn="0" w:oddVBand="0" w:evenVBand="0" w:oddHBand="1" w:evenHBand="0" w:firstRowFirstColumn="0" w:firstRowLastColumn="0" w:lastRowFirstColumn="0" w:lastRowLastColumn="0"/>
              <w:rPr>
                <w:i/>
                <w:iCs/>
              </w:rPr>
            </w:pPr>
            <w:r w:rsidRPr="00225B08">
              <w:rPr>
                <w:i/>
                <w:iCs/>
              </w:rPr>
              <w:t>West Yorkshire</w:t>
            </w:r>
          </w:p>
        </w:tc>
      </w:tr>
    </w:tbl>
    <w:p w14:paraId="46CF61B7" w14:textId="77777777" w:rsidR="00C159C5" w:rsidRDefault="00C159C5" w:rsidP="00C159C5">
      <w:pPr>
        <w:keepNext/>
        <w:jc w:val="center"/>
      </w:pPr>
      <w:r>
        <w:rPr>
          <w:noProof/>
        </w:rPr>
        <w:lastRenderedPageBreak/>
        <w:drawing>
          <wp:inline distT="0" distB="0" distL="0" distR="0" wp14:anchorId="1071BE3F" wp14:editId="0E0213FE">
            <wp:extent cx="2909419" cy="4319905"/>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4366" cy="4327250"/>
                    </a:xfrm>
                    <a:prstGeom prst="rect">
                      <a:avLst/>
                    </a:prstGeom>
                    <a:noFill/>
                    <a:ln>
                      <a:noFill/>
                    </a:ln>
                  </pic:spPr>
                </pic:pic>
              </a:graphicData>
            </a:graphic>
          </wp:inline>
        </w:drawing>
      </w:r>
    </w:p>
    <w:p w14:paraId="5D489357" w14:textId="22061B47" w:rsidR="00C159C5" w:rsidRDefault="00C159C5" w:rsidP="00C159C5">
      <w:pPr>
        <w:pStyle w:val="Caption"/>
      </w:pPr>
      <w:bookmarkStart w:id="39" w:name="_Ref54858625"/>
      <w:r>
        <w:t xml:space="preserve">Figure </w:t>
      </w:r>
      <w:fldSimple w:instr=" SEQ Figure \* ARABIC ">
        <w:r w:rsidR="0031241E">
          <w:rPr>
            <w:noProof/>
          </w:rPr>
          <w:t>3</w:t>
        </w:r>
      </w:fldSimple>
      <w:bookmarkEnd w:id="39"/>
      <w:r>
        <w:t>: Zones considered in this study</w:t>
      </w:r>
    </w:p>
    <w:p w14:paraId="5325B8F7" w14:textId="45B5549C" w:rsidR="00433C36" w:rsidRDefault="00A31B1B" w:rsidP="00A31B1B">
      <w:r>
        <w:t>Regional transportation distances were considered as the distances between the centroid</w:t>
      </w:r>
      <w:r w:rsidR="00433C36">
        <w:t>s</w:t>
      </w:r>
      <w:r>
        <w:t xml:space="preserve"> of each zone. These values were obtained using GIS software, and a summary of these can be found in </w:t>
      </w:r>
      <w:r w:rsidR="00B87DCC">
        <w:fldChar w:fldCharType="begin"/>
      </w:r>
      <w:r w:rsidR="00B87DCC">
        <w:instrText xml:space="preserve"> REF _Ref49431636 \h </w:instrText>
      </w:r>
      <w:r w:rsidR="00B87DCC">
        <w:fldChar w:fldCharType="separate"/>
      </w:r>
      <w:r w:rsidR="005851DD">
        <w:t xml:space="preserve">Table </w:t>
      </w:r>
      <w:r w:rsidR="005851DD">
        <w:rPr>
          <w:noProof/>
        </w:rPr>
        <w:t>14</w:t>
      </w:r>
      <w:r w:rsidR="00B87DCC">
        <w:fldChar w:fldCharType="end"/>
      </w:r>
      <w:r w:rsidR="00FA2729">
        <w:t>,</w:t>
      </w:r>
      <w:r w:rsidR="00433C36">
        <w:t xml:space="preserve"> Appendix </w:t>
      </w:r>
      <w:r w:rsidR="00433C36">
        <w:fldChar w:fldCharType="begin"/>
      </w:r>
      <w:r w:rsidR="00433C36">
        <w:instrText xml:space="preserve"> REF _Ref54860839 \r \h </w:instrText>
      </w:r>
      <w:r w:rsidR="00433C36">
        <w:fldChar w:fldCharType="separate"/>
      </w:r>
      <w:r w:rsidR="005851DD">
        <w:t>C.1</w:t>
      </w:r>
      <w:r w:rsidR="00433C36">
        <w:fldChar w:fldCharType="end"/>
      </w:r>
      <w:r w:rsidR="00433C36">
        <w:t>.</w:t>
      </w:r>
    </w:p>
    <w:p w14:paraId="2C76A981" w14:textId="1CCD0A56" w:rsidR="00A31B1B" w:rsidRPr="00D93DBF" w:rsidRDefault="00433C36" w:rsidP="00A31B1B">
      <w:r>
        <w:t>Distribution distances within zones were considered as all trunk and primary roads and obtained using GIS software. An increase in the local distribution distances for each time period was assumed in order to better represent the increased number of hydrogen refuelling stations as FCEVs gain a larger penetration in the market (thus leading to larger distances travelled to distribute the hydrogen from the centre of the zone out to the refuelling station). The values obtained from the GIS software</w:t>
      </w:r>
      <w:r w:rsidR="00EB53C4">
        <w:t xml:space="preserve"> were</w:t>
      </w:r>
      <w:r>
        <w:t xml:space="preserve"> set as the distance within each zone in time-period 2050, assuming by 2050 most refuelling stations will have hydrogen </w:t>
      </w:r>
      <w:r w:rsidR="00EB53C4">
        <w:t xml:space="preserve">as an option. </w:t>
      </w:r>
      <w:r>
        <w:t xml:space="preserve">A linear increase in this value between the time periods 2020 to 2050 was assumed. A summary of these values can be found in </w:t>
      </w:r>
      <w:r>
        <w:fldChar w:fldCharType="begin"/>
      </w:r>
      <w:r>
        <w:instrText xml:space="preserve"> REF _Ref49431974 \h </w:instrText>
      </w:r>
      <w:r>
        <w:fldChar w:fldCharType="separate"/>
      </w:r>
      <w:r w:rsidR="005851DD">
        <w:t xml:space="preserve">Table </w:t>
      </w:r>
      <w:r w:rsidR="005851DD">
        <w:rPr>
          <w:noProof/>
        </w:rPr>
        <w:t>15</w:t>
      </w:r>
      <w:r>
        <w:fldChar w:fldCharType="end"/>
      </w:r>
      <w:r>
        <w:t xml:space="preserve"> in Appendix </w:t>
      </w:r>
      <w:r>
        <w:fldChar w:fldCharType="begin"/>
      </w:r>
      <w:r>
        <w:instrText xml:space="preserve"> REF _Ref54860842 \r \h </w:instrText>
      </w:r>
      <w:r>
        <w:fldChar w:fldCharType="separate"/>
      </w:r>
      <w:r w:rsidR="005851DD">
        <w:t>C.2</w:t>
      </w:r>
      <w:r>
        <w:fldChar w:fldCharType="end"/>
      </w:r>
      <w:r>
        <w:t>.</w:t>
      </w:r>
    </w:p>
    <w:p w14:paraId="61AF50D5" w14:textId="056BA1FB" w:rsidR="00A31B1B" w:rsidRDefault="00A31B1B" w:rsidP="00197F65">
      <w:pPr>
        <w:pStyle w:val="Heading3"/>
      </w:pPr>
      <w:bookmarkStart w:id="40" w:name="_Toc50359430"/>
      <w:r>
        <w:t xml:space="preserve">Demand </w:t>
      </w:r>
      <w:r w:rsidR="001A60B5">
        <w:t>e</w:t>
      </w:r>
      <w:r>
        <w:t>stimation</w:t>
      </w:r>
      <w:bookmarkEnd w:id="40"/>
    </w:p>
    <w:p w14:paraId="2319E82A" w14:textId="2EC50373" w:rsidR="00DE24CB" w:rsidRDefault="00A31B1B" w:rsidP="00DE24CB">
      <w:r>
        <w:t>The Department for Business Energy &amp; Industrial Strategy</w:t>
      </w:r>
      <w:r w:rsidR="001A60B5">
        <w:t>’s</w:t>
      </w:r>
      <w:r>
        <w:t xml:space="preserve"> (BEIS) annual fuel demand for road transport up to 2018</w:t>
      </w:r>
      <w:r w:rsidR="00A950E7">
        <w:t xml:space="preserve"> </w:t>
      </w:r>
      <w:r w:rsidR="00A950E7">
        <w:fldChar w:fldCharType="begin"/>
      </w:r>
      <w:r w:rsidR="003C7F9A">
        <w:instrText xml:space="preserve"> ADDIN EN.CITE &lt;EndNote&gt;&lt;Cite&gt;&lt;Author&gt;BEIS&lt;/Author&gt;&lt;Year&gt;2020&lt;/Year&gt;&lt;RecNum&gt;1036&lt;/RecNum&gt;&lt;DisplayText&gt;[40]&lt;/DisplayText&gt;&lt;record&gt;&lt;rec-number&gt;1036&lt;/rec-number&gt;&lt;foreign-keys&gt;&lt;key app="EN" db-id="w500zpaaheraz8epaw1p29dtf2ff9zrswv50" timestamp="1607697901"&gt;1036&lt;/key&gt;&lt;/foreign-keys&gt;&lt;ref-type name="Web Page"&gt;12&lt;/ref-type&gt;&lt;contributors&gt;&lt;authors&gt;&lt;author&gt;BEIS&lt;/author&gt;&lt;/authors&gt;&lt;/contributors&gt;&lt;titles&gt;&lt;title&gt;Road transport energy consumption at regional and local authority level&lt;/title&gt;&lt;/titles&gt;&lt;dates&gt;&lt;year&gt;2020&lt;/year&gt;&lt;/dates&gt;&lt;publisher&gt;Department for Business, Energy, and Industrial Strategy,&lt;/publisher&gt;&lt;urls&gt;&lt;related-urls&gt;&lt;url&gt;https://www.gov.uk/government/statistical-data-sets/road-transport-energy-consumption-at-regional-and-local-authority-level&lt;/url&gt;&lt;/related-urls&gt;&lt;/urls&gt;&lt;/record&gt;&lt;/Cite&gt;&lt;/EndNote&gt;</w:instrText>
      </w:r>
      <w:r w:rsidR="00A950E7">
        <w:fldChar w:fldCharType="separate"/>
      </w:r>
      <w:r w:rsidR="003C7F9A">
        <w:rPr>
          <w:noProof/>
        </w:rPr>
        <w:t>[</w:t>
      </w:r>
      <w:hyperlink w:anchor="_ENREF_40" w:tooltip="BEIS, 2020 #1036" w:history="1">
        <w:r w:rsidR="006210AE">
          <w:rPr>
            <w:noProof/>
          </w:rPr>
          <w:t>40</w:t>
        </w:r>
      </w:hyperlink>
      <w:r w:rsidR="003C7F9A">
        <w:rPr>
          <w:noProof/>
        </w:rPr>
        <w:t>]</w:t>
      </w:r>
      <w:r w:rsidR="00A950E7">
        <w:fldChar w:fldCharType="end"/>
      </w:r>
      <w:r>
        <w:t xml:space="preserve"> was used to estimate the demand for hydrogen throughout the time-periods considered in this study. First the demand for fuel transport was converted from tonnes of oil per year into kWh</w:t>
      </w:r>
      <w:r w:rsidR="00EB53C4">
        <w:t xml:space="preserve"> (Equation</w:t>
      </w:r>
      <w:r w:rsidR="00DE24CB">
        <w:t xml:space="preserve"> </w:t>
      </w:r>
      <w:r w:rsidR="00DE24CB">
        <w:fldChar w:fldCharType="begin"/>
      </w:r>
      <w:r w:rsidR="00DE24CB">
        <w:instrText xml:space="preserve"> REF _Ref54869638 \h </w:instrText>
      </w:r>
      <w:r w:rsidR="00DE24CB">
        <w:fldChar w:fldCharType="separate"/>
      </w:r>
      <w:r w:rsidR="005851DD" w:rsidRPr="00BF2BA0">
        <w:t>(</w:t>
      </w:r>
      <w:r w:rsidR="005851DD">
        <w:t>C.1</w:t>
      </w:r>
      <w:r w:rsidR="005851DD" w:rsidRPr="00BF2BA0">
        <w:t>)</w:t>
      </w:r>
      <w:r w:rsidR="00DE24CB">
        <w:fldChar w:fldCharType="end"/>
      </w:r>
      <w:r w:rsidR="00DE24CB">
        <w:t xml:space="preserve"> in Appendix </w:t>
      </w:r>
      <w:r w:rsidR="00EB53C4">
        <w:fldChar w:fldCharType="begin"/>
      </w:r>
      <w:r w:rsidR="00EB53C4">
        <w:instrText xml:space="preserve"> REF _Ref54869625 \r \h </w:instrText>
      </w:r>
      <w:r w:rsidR="00EB53C4">
        <w:fldChar w:fldCharType="separate"/>
      </w:r>
      <w:r w:rsidR="005851DD">
        <w:t>C.3</w:t>
      </w:r>
      <w:r w:rsidR="00EB53C4">
        <w:fldChar w:fldCharType="end"/>
      </w:r>
      <w:r w:rsidR="00DE24CB">
        <w:t xml:space="preserve">). </w:t>
      </w:r>
      <w:r>
        <w:t>The demand for fuel transport was then split into demand for diesel and petrol</w:t>
      </w:r>
      <w:r w:rsidR="001A60B5">
        <w:t xml:space="preserve">, as </w:t>
      </w:r>
      <w:r>
        <w:t>petrol and diesel powertrain</w:t>
      </w:r>
      <w:r w:rsidR="001A60B5">
        <w:t>s</w:t>
      </w:r>
      <w:r>
        <w:t xml:space="preserve"> have different thermal efficiencies. Using the average thermal efficiency of a petrol motor (~20%</w:t>
      </w:r>
      <w:r w:rsidR="00A950E7">
        <w:t xml:space="preserve"> </w:t>
      </w:r>
      <w:r w:rsidR="00A950E7">
        <w:fldChar w:fldCharType="begin"/>
      </w:r>
      <w:r w:rsidR="003C7F9A">
        <w:instrText xml:space="preserve"> ADDIN EN.CITE &lt;EndNote&gt;&lt;Cite&gt;&lt;Author&gt;Hirz&lt;/Author&gt;&lt;Year&gt;2016&lt;/Year&gt;&lt;RecNum&gt;1006&lt;/RecNum&gt;&lt;DisplayText&gt;[41]&lt;/DisplayText&gt;&lt;record&gt;&lt;rec-number&gt;1006&lt;/rec-number&gt;&lt;foreign-keys&gt;&lt;key app="EN" db-id="w500zpaaheraz8epaw1p29dtf2ff9zrswv50" timestamp="1607697901"&gt;1006&lt;/key&gt;&lt;/foreign-keys&gt;&lt;ref-type name="Personal Communication"&gt;26&lt;/ref-type&gt;&lt;contributors&gt;&lt;authors&gt;&lt;author&gt;Hirz, Mario&lt;/author&gt;&lt;/authors&gt;&lt;/contributors&gt;&lt;titles&gt;&lt;title&gt;What is an efficiency of modern average car IC engines?&lt;/title&gt;&lt;/titles&gt;&lt;dates&gt;&lt;year&gt;2016&lt;/year&gt;&lt;/dates&gt;&lt;urls&gt;&lt;related-urls&gt;&lt;url&gt;https://www.researchgate.net/post/what_is_an_efficiency_of_modern_average_car_IC_engines&lt;/url&gt;&lt;/related-urls&gt;&lt;/urls&gt;&lt;/record&gt;&lt;/Cite&gt;&lt;/EndNote&gt;</w:instrText>
      </w:r>
      <w:r w:rsidR="00A950E7">
        <w:fldChar w:fldCharType="separate"/>
      </w:r>
      <w:r w:rsidR="003C7F9A">
        <w:rPr>
          <w:noProof/>
        </w:rPr>
        <w:t>[</w:t>
      </w:r>
      <w:hyperlink w:anchor="_ENREF_41" w:tooltip="Hirz, 2016 #1006" w:history="1">
        <w:r w:rsidR="006210AE">
          <w:rPr>
            <w:noProof/>
          </w:rPr>
          <w:t>41</w:t>
        </w:r>
      </w:hyperlink>
      <w:r w:rsidR="003C7F9A">
        <w:rPr>
          <w:noProof/>
        </w:rPr>
        <w:t>]</w:t>
      </w:r>
      <w:r w:rsidR="00A950E7">
        <w:fldChar w:fldCharType="end"/>
      </w:r>
      <w:r>
        <w:t>) and of a diesel motor (~25%</w:t>
      </w:r>
      <w:r w:rsidR="00A950E7">
        <w:t xml:space="preserve"> </w:t>
      </w:r>
      <w:r w:rsidR="00A950E7">
        <w:fldChar w:fldCharType="begin"/>
      </w:r>
      <w:r w:rsidR="003C7F9A">
        <w:instrText xml:space="preserve"> ADDIN EN.CITE &lt;EndNote&gt;&lt;Cite&gt;&lt;Author&gt;Hirz&lt;/Author&gt;&lt;Year&gt;2016&lt;/Year&gt;&lt;RecNum&gt;1006&lt;/RecNum&gt;&lt;DisplayText&gt;[41]&lt;/DisplayText&gt;&lt;record&gt;&lt;rec-number&gt;1006&lt;/rec-number&gt;&lt;foreign-keys&gt;&lt;key app="EN" db-id="w500zpaaheraz8epaw1p29dtf2ff9zrswv50" timestamp="1607697901"&gt;1006&lt;/key&gt;&lt;/foreign-keys&gt;&lt;ref-type name="Personal Communication"&gt;26&lt;/ref-type&gt;&lt;contributors&gt;&lt;authors&gt;&lt;author&gt;Hirz, Mario&lt;/author&gt;&lt;/authors&gt;&lt;/contributors&gt;&lt;titles&gt;&lt;title&gt;What is an efficiency of modern average car IC engines?&lt;/title&gt;&lt;/titles&gt;&lt;dates&gt;&lt;year&gt;2016&lt;/year&gt;&lt;/dates&gt;&lt;urls&gt;&lt;related-urls&gt;&lt;url&gt;https://www.researchgate.net/post/what_is_an_efficiency_of_modern_average_car_IC_engines&lt;/url&gt;&lt;/related-urls&gt;&lt;/urls&gt;&lt;/record&gt;&lt;/Cite&gt;&lt;/EndNote&gt;</w:instrText>
      </w:r>
      <w:r w:rsidR="00A950E7">
        <w:fldChar w:fldCharType="separate"/>
      </w:r>
      <w:r w:rsidR="003C7F9A">
        <w:rPr>
          <w:noProof/>
        </w:rPr>
        <w:t>[</w:t>
      </w:r>
      <w:hyperlink w:anchor="_ENREF_41" w:tooltip="Hirz, 2016 #1006" w:history="1">
        <w:r w:rsidR="006210AE">
          <w:rPr>
            <w:noProof/>
          </w:rPr>
          <w:t>41</w:t>
        </w:r>
      </w:hyperlink>
      <w:r w:rsidR="003C7F9A">
        <w:rPr>
          <w:noProof/>
        </w:rPr>
        <w:t>]</w:t>
      </w:r>
      <w:r w:rsidR="00A950E7">
        <w:fldChar w:fldCharType="end"/>
      </w:r>
      <w:r>
        <w:t xml:space="preserve">), the total amount of energy delivered from the fuel through the drivetrain was calculated. </w:t>
      </w:r>
    </w:p>
    <w:p w14:paraId="1805CB04" w14:textId="7BE6F126" w:rsidR="00DE24CB" w:rsidRDefault="00A31B1B" w:rsidP="00DE24CB">
      <w:r>
        <w:lastRenderedPageBreak/>
        <w:t>The energy delivered through the drivetrain, has to be matched by a hydrogen drivetrain</w:t>
      </w:r>
      <w:r w:rsidR="00DE24CB">
        <w:t>.</w:t>
      </w:r>
      <w:r>
        <w:t xml:space="preserve"> </w:t>
      </w:r>
      <w:r w:rsidR="00DE24CB">
        <w:t>H</w:t>
      </w:r>
      <w:r>
        <w:t>owever, hydrogen drivetrains have a different efficiency (~40-60%</w:t>
      </w:r>
      <w:r w:rsidR="00A950E7">
        <w:t xml:space="preserve"> </w:t>
      </w:r>
      <w:r w:rsidR="00A950E7">
        <w:fldChar w:fldCharType="begin"/>
      </w:r>
      <w:r w:rsidR="003C7F9A">
        <w:instrText xml:space="preserve"> ADDIN EN.CITE &lt;EndNote&gt;&lt;Cite&gt;&lt;Author&gt;Energy&lt;/Author&gt;&lt;Year&gt;2006&lt;/Year&gt;&lt;RecNum&gt;902&lt;/RecNum&gt;&lt;DisplayText&gt;[42]&lt;/DisplayText&gt;&lt;record&gt;&lt;rec-number&gt;902&lt;/rec-number&gt;&lt;foreign-keys&gt;&lt;key app="EN" db-id="w500zpaaheraz8epaw1p29dtf2ff9zrswv50" timestamp="1607697901"&gt;902&lt;/key&gt;&lt;/foreign-keys&gt;&lt;ref-type name="Journal Article"&gt;17&lt;/ref-type&gt;&lt;contributors&gt;&lt;authors&gt;&lt;author&gt;U. S. Department of Energy&lt;/author&gt;&lt;/authors&gt;&lt;/contributors&gt;&lt;titles&gt;&lt;title&gt;Hydrogen Fuel Cells Fact Sheet&lt;/title&gt;&lt;/titles&gt;&lt;pages&gt;2-2&lt;/pages&gt;&lt;dates&gt;&lt;year&gt;2006&lt;/year&gt;&lt;/dates&gt;&lt;urls&gt;&lt;/urls&gt;&lt;/record&gt;&lt;/Cite&gt;&lt;/EndNote&gt;</w:instrText>
      </w:r>
      <w:r w:rsidR="00A950E7">
        <w:fldChar w:fldCharType="separate"/>
      </w:r>
      <w:r w:rsidR="003C7F9A">
        <w:rPr>
          <w:noProof/>
        </w:rPr>
        <w:t>[</w:t>
      </w:r>
      <w:hyperlink w:anchor="_ENREF_42" w:tooltip="Energy, 2006 #902" w:history="1">
        <w:r w:rsidR="006210AE">
          <w:rPr>
            <w:noProof/>
          </w:rPr>
          <w:t>42</w:t>
        </w:r>
      </w:hyperlink>
      <w:r w:rsidR="003C7F9A">
        <w:rPr>
          <w:noProof/>
        </w:rPr>
        <w:t>]</w:t>
      </w:r>
      <w:r w:rsidR="00A950E7">
        <w:fldChar w:fldCharType="end"/>
      </w:r>
      <w:r>
        <w:t xml:space="preserve">). Therefore, the required amount of hydrogen is less than the amount of petrol/diesel required (in terms of kWh energy) to deliver the same amount of </w:t>
      </w:r>
      <w:r w:rsidR="00DE24CB">
        <w:t>k</w:t>
      </w:r>
      <w:r w:rsidR="00866EC7">
        <w:t>Wh</w:t>
      </w:r>
      <w:r>
        <w:t xml:space="preserve"> through the drivetrain. In this study, it was assumed the hydrogen powertrain to be 50%</w:t>
      </w:r>
      <w:r w:rsidR="00DE24CB">
        <w:t xml:space="preserve"> efficient</w:t>
      </w:r>
      <w:r>
        <w:t>.</w:t>
      </w:r>
      <w:r w:rsidR="00DE24CB">
        <w:t xml:space="preserve"> </w:t>
      </w:r>
    </w:p>
    <w:p w14:paraId="0D7547FA" w14:textId="19207CEF" w:rsidR="00A31B1B" w:rsidRDefault="00DE24CB" w:rsidP="00A31B1B">
      <w:r>
        <w:t xml:space="preserve">The calculated </w:t>
      </w:r>
      <w:r w:rsidR="00A31B1B">
        <w:t>transport fuel demand for 2018 converted to kWh of hydrogen</w:t>
      </w:r>
      <w:r>
        <w:t xml:space="preserve"> was taken </w:t>
      </w:r>
      <w:r w:rsidR="00A31B1B">
        <w:t xml:space="preserve">as the estimate of the total demand for hydrogen for transport in each time period if there was 100% penetration of FCEVs (the maximum possible demand for hydrogen for transport in GB). However, the adoption of a new powertrain </w:t>
      </w:r>
      <w:r w:rsidR="008F6067">
        <w:t xml:space="preserve">is </w:t>
      </w:r>
      <w:r w:rsidR="00A31B1B">
        <w:t>not</w:t>
      </w:r>
      <w:r w:rsidR="008F6067">
        <w:t xml:space="preserve"> ins</w:t>
      </w:r>
      <w:r w:rsidR="00A31B1B">
        <w:t>tantaneous, and the penetration of new technolog</w:t>
      </w:r>
      <w:r w:rsidR="008F6067">
        <w:t>ies</w:t>
      </w:r>
      <w:r w:rsidR="00A31B1B">
        <w:t xml:space="preserve"> into the market </w:t>
      </w:r>
      <w:r w:rsidR="008F6067">
        <w:t xml:space="preserve">usually adopts </w:t>
      </w:r>
      <w:r w:rsidR="00A31B1B">
        <w:t>‘S’ shaped curve</w:t>
      </w:r>
      <w:r w:rsidR="008F6067">
        <w:t>s</w:t>
      </w:r>
      <w:r w:rsidR="00A31B1B">
        <w:t>. The market’s estimated adoption of FCEVs used for this study was based upon three main sources</w:t>
      </w:r>
      <w:r w:rsidR="00A950E7">
        <w:t xml:space="preserve"> </w:t>
      </w:r>
      <w:r w:rsidR="00A950E7">
        <w:fldChar w:fldCharType="begin">
          <w:fldData xml:space="preserve">PEVuZE5vdGU+PENpdGU+PEF1dGhvcj5NY0tpbnNleSBDb21wYW55PC9BdXRob3I+PFllYXI+MjAx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=
</w:fldData>
        </w:fldChar>
      </w:r>
      <w:r w:rsidR="003C7F9A">
        <w:instrText xml:space="preserve"> ADDIN EN.CITE </w:instrText>
      </w:r>
      <w:r w:rsidR="003C7F9A">
        <w:fldChar w:fldCharType="begin">
          <w:fldData xml:space="preserve">PEVuZE5vdGU+PENpdGU+PEF1dGhvcj5NY0tpbnNleSBDb21wYW55PC9BdXRob3I+PFllYXI+MjAx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=
</w:fldData>
        </w:fldChar>
      </w:r>
      <w:r w:rsidR="003C7F9A">
        <w:instrText xml:space="preserve"> ADDIN EN.CITE.DATA </w:instrText>
      </w:r>
      <w:r w:rsidR="003C7F9A">
        <w:fldChar w:fldCharType="end"/>
      </w:r>
      <w:r w:rsidR="00A950E7">
        <w:fldChar w:fldCharType="separate"/>
      </w:r>
      <w:r w:rsidR="003C7F9A">
        <w:rPr>
          <w:noProof/>
        </w:rPr>
        <w:t>[</w:t>
      </w:r>
      <w:hyperlink w:anchor="_ENREF_43" w:tooltip="McKinsey Company, 2010 #972" w:history="1">
        <w:r w:rsidR="006210AE">
          <w:rPr>
            <w:noProof/>
          </w:rPr>
          <w:t>43-45</w:t>
        </w:r>
      </w:hyperlink>
      <w:r w:rsidR="003C7F9A">
        <w:rPr>
          <w:noProof/>
        </w:rPr>
        <w:t>]</w:t>
      </w:r>
      <w:r w:rsidR="00A950E7">
        <w:fldChar w:fldCharType="end"/>
      </w:r>
      <w:r w:rsidR="003757B3">
        <w:t xml:space="preserve">, from which </w:t>
      </w:r>
      <w:r w:rsidR="00A31B1B">
        <w:t xml:space="preserve">the penetration scenario was developed. The percentage market penetration of FCEVs was then multiplied by the maximum hydrogen transport fuel demand </w:t>
      </w:r>
      <w:r w:rsidR="003757B3">
        <w:t xml:space="preserve">in each time period, </w:t>
      </w:r>
      <w:r w:rsidR="00A31B1B">
        <w:t xml:space="preserve">to give the total demand GB, seen in </w:t>
      </w:r>
      <w:r w:rsidR="00A31B1B">
        <w:fldChar w:fldCharType="begin"/>
      </w:r>
      <w:r w:rsidR="00A31B1B">
        <w:instrText xml:space="preserve"> REF _Ref47015854 \h </w:instrText>
      </w:r>
      <w:r w:rsidR="00A31B1B">
        <w:fldChar w:fldCharType="separate"/>
      </w:r>
      <w:r w:rsidR="005851DD">
        <w:t xml:space="preserve">Table </w:t>
      </w:r>
      <w:r w:rsidR="005851DD">
        <w:rPr>
          <w:noProof/>
        </w:rPr>
        <w:t>4</w:t>
      </w:r>
      <w:r w:rsidR="00A31B1B">
        <w:fldChar w:fldCharType="end"/>
      </w:r>
      <w:r w:rsidR="00A31B1B">
        <w:t xml:space="preserve"> and </w:t>
      </w:r>
      <w:r w:rsidR="00A31B1B">
        <w:fldChar w:fldCharType="begin"/>
      </w:r>
      <w:r w:rsidR="00A31B1B">
        <w:instrText xml:space="preserve"> REF _Ref47015860 \h </w:instrText>
      </w:r>
      <w:r w:rsidR="00A31B1B">
        <w:fldChar w:fldCharType="separate"/>
      </w:r>
      <w:r w:rsidR="005851DD">
        <w:t xml:space="preserve">Figure </w:t>
      </w:r>
      <w:r w:rsidR="005851DD">
        <w:rPr>
          <w:noProof/>
        </w:rPr>
        <w:t>4</w:t>
      </w:r>
      <w:r w:rsidR="00A31B1B">
        <w:fldChar w:fldCharType="end"/>
      </w:r>
      <w:r w:rsidR="00A31B1B">
        <w:t>.</w:t>
      </w:r>
    </w:p>
    <w:p w14:paraId="6756EF3A" w14:textId="08D4B04D" w:rsidR="00A31B1B" w:rsidRDefault="00A31B1B" w:rsidP="003757B3">
      <w:pPr>
        <w:pStyle w:val="Caption"/>
        <w:spacing w:after="0"/>
      </w:pPr>
      <w:bookmarkStart w:id="41" w:name="_Ref47015854"/>
      <w:bookmarkStart w:id="42" w:name="_Toc50359148"/>
      <w:r>
        <w:t xml:space="preserve">Table </w:t>
      </w:r>
      <w:fldSimple w:instr=" SEQ Table \* ARABIC ">
        <w:r w:rsidR="005851DD">
          <w:rPr>
            <w:noProof/>
          </w:rPr>
          <w:t>4</w:t>
        </w:r>
      </w:fldSimple>
      <w:bookmarkEnd w:id="41"/>
      <w:r w:rsidR="000339F8">
        <w:t xml:space="preserve">: </w:t>
      </w:r>
      <w:r>
        <w:t>Percentage penetration of fuel cell electric vehicles in the transport market in each time period, with associated total hydrogen demand for GB.</w:t>
      </w:r>
      <w:bookmarkEnd w:id="42"/>
    </w:p>
    <w:tbl>
      <w:tblPr>
        <w:tblStyle w:val="PlainTable2"/>
        <w:tblW w:w="0" w:type="auto"/>
        <w:jc w:val="center"/>
        <w:tblLook w:val="04A0" w:firstRow="1" w:lastRow="0" w:firstColumn="1" w:lastColumn="0" w:noHBand="0" w:noVBand="1"/>
      </w:tblPr>
      <w:tblGrid>
        <w:gridCol w:w="3716"/>
        <w:gridCol w:w="672"/>
        <w:gridCol w:w="773"/>
        <w:gridCol w:w="773"/>
        <w:gridCol w:w="773"/>
        <w:gridCol w:w="773"/>
        <w:gridCol w:w="773"/>
        <w:gridCol w:w="773"/>
      </w:tblGrid>
      <w:tr w:rsidR="00A31B1B" w:rsidRPr="00AF392F" w14:paraId="6CA5AF4F" w14:textId="77777777" w:rsidTr="00A31B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2460C3" w14:textId="77777777" w:rsidR="00A31B1B" w:rsidRPr="00AF392F" w:rsidRDefault="00A31B1B" w:rsidP="003757B3">
            <w:pPr>
              <w:pStyle w:val="Style1"/>
              <w:spacing w:before="0" w:line="240" w:lineRule="auto"/>
              <w:jc w:val="left"/>
              <w:rPr>
                <w:sz w:val="20"/>
                <w:szCs w:val="20"/>
              </w:rPr>
            </w:pPr>
            <w:r w:rsidRPr="00AF392F">
              <w:rPr>
                <w:sz w:val="20"/>
                <w:szCs w:val="20"/>
              </w:rPr>
              <w:t>Year</w:t>
            </w:r>
          </w:p>
        </w:tc>
        <w:tc>
          <w:tcPr>
            <w:tcW w:w="0" w:type="auto"/>
            <w:vAlign w:val="center"/>
          </w:tcPr>
          <w:p w14:paraId="47A0C067"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2020</w:t>
            </w:r>
          </w:p>
        </w:tc>
        <w:tc>
          <w:tcPr>
            <w:tcW w:w="0" w:type="auto"/>
            <w:vAlign w:val="center"/>
          </w:tcPr>
          <w:p w14:paraId="7D0205A8"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2025</w:t>
            </w:r>
          </w:p>
        </w:tc>
        <w:tc>
          <w:tcPr>
            <w:tcW w:w="0" w:type="auto"/>
            <w:vAlign w:val="center"/>
          </w:tcPr>
          <w:p w14:paraId="51A000DB"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2030</w:t>
            </w:r>
          </w:p>
        </w:tc>
        <w:tc>
          <w:tcPr>
            <w:tcW w:w="0" w:type="auto"/>
            <w:vAlign w:val="center"/>
          </w:tcPr>
          <w:p w14:paraId="024DB119"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2035</w:t>
            </w:r>
          </w:p>
        </w:tc>
        <w:tc>
          <w:tcPr>
            <w:tcW w:w="0" w:type="auto"/>
            <w:vAlign w:val="center"/>
          </w:tcPr>
          <w:p w14:paraId="798FAFE5"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2040</w:t>
            </w:r>
          </w:p>
        </w:tc>
        <w:tc>
          <w:tcPr>
            <w:tcW w:w="0" w:type="auto"/>
            <w:vAlign w:val="center"/>
          </w:tcPr>
          <w:p w14:paraId="185BDDA8"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2045</w:t>
            </w:r>
          </w:p>
        </w:tc>
        <w:tc>
          <w:tcPr>
            <w:tcW w:w="0" w:type="auto"/>
            <w:vAlign w:val="center"/>
          </w:tcPr>
          <w:p w14:paraId="17532B02" w14:textId="77777777" w:rsidR="00A31B1B" w:rsidRPr="00AF392F" w:rsidRDefault="00A31B1B" w:rsidP="003757B3">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F392F">
              <w:rPr>
                <w:sz w:val="20"/>
                <w:szCs w:val="20"/>
              </w:rPr>
              <w:t>2050</w:t>
            </w:r>
          </w:p>
        </w:tc>
      </w:tr>
      <w:tr w:rsidR="00A31B1B" w:rsidRPr="00AF392F" w14:paraId="4C685834" w14:textId="77777777" w:rsidTr="00A31B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4363C2" w14:textId="77777777" w:rsidR="00A31B1B" w:rsidRPr="00AF392F" w:rsidRDefault="00A31B1B" w:rsidP="003757B3">
            <w:pPr>
              <w:pStyle w:val="Style1"/>
              <w:spacing w:before="0" w:line="240" w:lineRule="auto"/>
              <w:jc w:val="left"/>
              <w:rPr>
                <w:sz w:val="20"/>
                <w:szCs w:val="20"/>
              </w:rPr>
            </w:pPr>
            <w:r w:rsidRPr="00AF392F">
              <w:rPr>
                <w:sz w:val="20"/>
                <w:szCs w:val="20"/>
              </w:rPr>
              <w:t>Market Penetration (%)</w:t>
            </w:r>
          </w:p>
        </w:tc>
        <w:tc>
          <w:tcPr>
            <w:tcW w:w="0" w:type="auto"/>
            <w:vAlign w:val="center"/>
          </w:tcPr>
          <w:p w14:paraId="5356DF45"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2</w:t>
            </w:r>
          </w:p>
        </w:tc>
        <w:tc>
          <w:tcPr>
            <w:tcW w:w="0" w:type="auto"/>
            <w:vAlign w:val="center"/>
          </w:tcPr>
          <w:p w14:paraId="46C03315"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7</w:t>
            </w:r>
          </w:p>
        </w:tc>
        <w:tc>
          <w:tcPr>
            <w:tcW w:w="0" w:type="auto"/>
            <w:vAlign w:val="center"/>
          </w:tcPr>
          <w:p w14:paraId="56747E60"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15</w:t>
            </w:r>
          </w:p>
        </w:tc>
        <w:tc>
          <w:tcPr>
            <w:tcW w:w="0" w:type="auto"/>
            <w:vAlign w:val="center"/>
          </w:tcPr>
          <w:p w14:paraId="4E21093B"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25</w:t>
            </w:r>
          </w:p>
        </w:tc>
        <w:tc>
          <w:tcPr>
            <w:tcW w:w="0" w:type="auto"/>
            <w:vAlign w:val="center"/>
          </w:tcPr>
          <w:p w14:paraId="646C0CE6"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35</w:t>
            </w:r>
          </w:p>
        </w:tc>
        <w:tc>
          <w:tcPr>
            <w:tcW w:w="0" w:type="auto"/>
            <w:vAlign w:val="center"/>
          </w:tcPr>
          <w:p w14:paraId="2037C60C"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44</w:t>
            </w:r>
          </w:p>
        </w:tc>
        <w:tc>
          <w:tcPr>
            <w:tcW w:w="0" w:type="auto"/>
            <w:vAlign w:val="center"/>
          </w:tcPr>
          <w:p w14:paraId="16B582D1"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sz w:val="20"/>
                <w:szCs w:val="20"/>
              </w:rPr>
              <w:t>50</w:t>
            </w:r>
          </w:p>
        </w:tc>
      </w:tr>
      <w:tr w:rsidR="00A31B1B" w:rsidRPr="00AF392F" w14:paraId="758BB333" w14:textId="77777777" w:rsidTr="00A31B1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0C9948" w14:textId="77777777" w:rsidR="00A31B1B" w:rsidRPr="00AF392F" w:rsidRDefault="00A31B1B" w:rsidP="003757B3">
            <w:pPr>
              <w:pStyle w:val="Style1"/>
              <w:spacing w:before="0" w:line="240" w:lineRule="auto"/>
              <w:jc w:val="left"/>
              <w:rPr>
                <w:sz w:val="20"/>
                <w:szCs w:val="20"/>
              </w:rPr>
            </w:pPr>
            <w:r w:rsidRPr="00AF392F">
              <w:rPr>
                <w:sz w:val="20"/>
                <w:szCs w:val="20"/>
              </w:rPr>
              <w:t>Total H</w:t>
            </w:r>
            <w:r w:rsidRPr="00AF392F">
              <w:rPr>
                <w:sz w:val="20"/>
                <w:szCs w:val="20"/>
                <w:vertAlign w:val="subscript"/>
              </w:rPr>
              <w:t>2</w:t>
            </w:r>
            <w:r w:rsidRPr="00AF392F">
              <w:rPr>
                <w:sz w:val="20"/>
                <w:szCs w:val="20"/>
              </w:rPr>
              <w:t xml:space="preserve"> Demand in GB with Penetration Factor (GWh)</w:t>
            </w:r>
          </w:p>
        </w:tc>
        <w:tc>
          <w:tcPr>
            <w:tcW w:w="0" w:type="auto"/>
            <w:vAlign w:val="center"/>
          </w:tcPr>
          <w:p w14:paraId="3061498E"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3,961</w:t>
            </w:r>
          </w:p>
        </w:tc>
        <w:tc>
          <w:tcPr>
            <w:tcW w:w="0" w:type="auto"/>
            <w:vAlign w:val="center"/>
          </w:tcPr>
          <w:p w14:paraId="1F4FA3BB"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13,863</w:t>
            </w:r>
          </w:p>
        </w:tc>
        <w:tc>
          <w:tcPr>
            <w:tcW w:w="0" w:type="auto"/>
            <w:vAlign w:val="center"/>
          </w:tcPr>
          <w:p w14:paraId="4D48F9ED"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29,706</w:t>
            </w:r>
          </w:p>
        </w:tc>
        <w:tc>
          <w:tcPr>
            <w:tcW w:w="0" w:type="auto"/>
            <w:vAlign w:val="center"/>
          </w:tcPr>
          <w:p w14:paraId="03A8CD65"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49,510</w:t>
            </w:r>
          </w:p>
        </w:tc>
        <w:tc>
          <w:tcPr>
            <w:tcW w:w="0" w:type="auto"/>
            <w:vAlign w:val="center"/>
          </w:tcPr>
          <w:p w14:paraId="7DDC5C6D"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69,313</w:t>
            </w:r>
          </w:p>
        </w:tc>
        <w:tc>
          <w:tcPr>
            <w:tcW w:w="0" w:type="auto"/>
            <w:vAlign w:val="center"/>
          </w:tcPr>
          <w:p w14:paraId="09D2BF68"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87,137</w:t>
            </w:r>
          </w:p>
        </w:tc>
        <w:tc>
          <w:tcPr>
            <w:tcW w:w="0" w:type="auto"/>
            <w:vAlign w:val="center"/>
          </w:tcPr>
          <w:p w14:paraId="7505AB5B" w14:textId="77777777" w:rsidR="00A31B1B" w:rsidRPr="00AF392F" w:rsidRDefault="00A31B1B" w:rsidP="003757B3">
            <w:pPr>
              <w:pStyle w:val="Style1"/>
              <w:spacing w:before="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F392F">
              <w:rPr>
                <w:sz w:val="20"/>
                <w:szCs w:val="20"/>
              </w:rPr>
              <w:t>99,019</w:t>
            </w:r>
          </w:p>
        </w:tc>
      </w:tr>
      <w:tr w:rsidR="00A31B1B" w:rsidRPr="00AF392F" w14:paraId="588A19CE" w14:textId="77777777" w:rsidTr="00A31B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669029" w14:textId="77777777" w:rsidR="00A31B1B" w:rsidRPr="00AF392F" w:rsidRDefault="00A31B1B" w:rsidP="003757B3">
            <w:pPr>
              <w:pStyle w:val="Style1"/>
              <w:spacing w:before="0" w:line="240" w:lineRule="auto"/>
              <w:jc w:val="left"/>
              <w:rPr>
                <w:sz w:val="20"/>
                <w:szCs w:val="20"/>
              </w:rPr>
            </w:pPr>
            <w:r w:rsidRPr="00AF392F">
              <w:rPr>
                <w:sz w:val="20"/>
                <w:szCs w:val="20"/>
              </w:rPr>
              <w:t>Total H</w:t>
            </w:r>
            <w:r w:rsidRPr="00AF392F">
              <w:rPr>
                <w:sz w:val="20"/>
                <w:szCs w:val="20"/>
                <w:vertAlign w:val="subscript"/>
              </w:rPr>
              <w:t>2</w:t>
            </w:r>
            <w:r w:rsidRPr="00AF392F">
              <w:rPr>
                <w:sz w:val="20"/>
                <w:szCs w:val="20"/>
              </w:rPr>
              <w:t xml:space="preserve"> Demand in GB with 100% FCEV Penetration (GWh)</w:t>
            </w:r>
          </w:p>
        </w:tc>
        <w:tc>
          <w:tcPr>
            <w:tcW w:w="0" w:type="auto"/>
            <w:gridSpan w:val="7"/>
            <w:vAlign w:val="center"/>
          </w:tcPr>
          <w:p w14:paraId="78B52645" w14:textId="77777777" w:rsidR="00A31B1B" w:rsidRPr="00AF392F" w:rsidRDefault="00A31B1B" w:rsidP="003757B3">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F392F">
              <w:rPr>
                <w:rFonts w:cs="Arial"/>
                <w:color w:val="000000"/>
                <w:sz w:val="20"/>
                <w:szCs w:val="20"/>
              </w:rPr>
              <w:t>198,038.552</w:t>
            </w:r>
          </w:p>
        </w:tc>
      </w:tr>
    </w:tbl>
    <w:p w14:paraId="450CCDAD" w14:textId="77777777" w:rsidR="00A31B1B" w:rsidRDefault="00A31B1B" w:rsidP="00A31B1B"/>
    <w:p w14:paraId="173B3786" w14:textId="77777777" w:rsidR="00A31B1B" w:rsidRDefault="00A31B1B" w:rsidP="003757B3">
      <w:pPr>
        <w:pStyle w:val="Style1"/>
        <w:keepNext/>
        <w:spacing w:line="240" w:lineRule="auto"/>
        <w:jc w:val="center"/>
      </w:pPr>
      <w:r>
        <w:rPr>
          <w:noProof/>
        </w:rPr>
        <w:drawing>
          <wp:inline distT="0" distB="0" distL="0" distR="0" wp14:anchorId="67BD7F68" wp14:editId="56234513">
            <wp:extent cx="4321834" cy="2199736"/>
            <wp:effectExtent l="0" t="0" r="2540" b="0"/>
            <wp:docPr id="6" name="Chart 6">
              <a:extLst xmlns:a="http://schemas.openxmlformats.org/drawingml/2006/main">
                <a:ext uri="{FF2B5EF4-FFF2-40B4-BE49-F238E27FC236}">
                  <a16:creationId xmlns:a16="http://schemas.microsoft.com/office/drawing/2014/main" id="{54A4F5AF-B5A6-4E91-8D8A-6DB812B90A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CDC2B4" w14:textId="7D807B5A" w:rsidR="00A31B1B" w:rsidRDefault="00A31B1B" w:rsidP="00A31B1B">
      <w:pPr>
        <w:pStyle w:val="Caption"/>
      </w:pPr>
      <w:bookmarkStart w:id="43" w:name="_Ref47015860"/>
      <w:bookmarkStart w:id="44" w:name="_Toc50359046"/>
      <w:r>
        <w:t xml:space="preserve">Figure </w:t>
      </w:r>
      <w:fldSimple w:instr=" SEQ Figure \* ARABIC ">
        <w:r w:rsidR="0031241E">
          <w:rPr>
            <w:noProof/>
          </w:rPr>
          <w:t>4</w:t>
        </w:r>
      </w:fldSimple>
      <w:bookmarkEnd w:id="43"/>
      <w:r w:rsidR="000339F8">
        <w:t>:</w:t>
      </w:r>
      <w:r w:rsidRPr="003E0261">
        <w:t xml:space="preserve"> </w:t>
      </w:r>
      <w:r>
        <w:t>Graphical representation of the percentage penetration of fuel cell electric vehicles in the transport market.</w:t>
      </w:r>
      <w:bookmarkEnd w:id="44"/>
    </w:p>
    <w:p w14:paraId="51B367FA" w14:textId="3F82B696" w:rsidR="00A31B1B" w:rsidRDefault="00A31B1B" w:rsidP="00A31B1B">
      <w:r>
        <w:t>Finally, to estimate the demand in each zone, the total demand for GB was multiplied by the fraction of the population that lives in each zone compared to the whole population in GB (</w:t>
      </w:r>
      <w:r w:rsidR="00264A16">
        <w:t xml:space="preserve">See Appendix </w:t>
      </w:r>
      <w:r w:rsidR="00264A16">
        <w:fldChar w:fldCharType="begin"/>
      </w:r>
      <w:r w:rsidR="00264A16">
        <w:instrText xml:space="preserve"> REF _Ref54874158 \r \h </w:instrText>
      </w:r>
      <w:r w:rsidR="00264A16">
        <w:fldChar w:fldCharType="separate"/>
      </w:r>
      <w:r w:rsidR="005851DD">
        <w:t>C.3</w:t>
      </w:r>
      <w:r w:rsidR="00264A16">
        <w:fldChar w:fldCharType="end"/>
      </w:r>
      <w:r w:rsidR="00264A16">
        <w:t xml:space="preserve">, </w:t>
      </w:r>
      <w:r w:rsidR="00264A16">
        <w:fldChar w:fldCharType="begin"/>
      </w:r>
      <w:r w:rsidR="00264A16">
        <w:instrText xml:space="preserve"> REF _Ref49865734 \h </w:instrText>
      </w:r>
      <w:r w:rsidR="00264A16">
        <w:fldChar w:fldCharType="separate"/>
      </w:r>
      <w:r w:rsidR="005851DD">
        <w:t xml:space="preserve">Table </w:t>
      </w:r>
      <w:r w:rsidR="005851DD">
        <w:rPr>
          <w:noProof/>
        </w:rPr>
        <w:t>16</w:t>
      </w:r>
      <w:r w:rsidR="00264A16">
        <w:fldChar w:fldCharType="end"/>
      </w:r>
      <w:r>
        <w:t xml:space="preserve">). The results for demand </w:t>
      </w:r>
      <w:r w:rsidR="00264A16">
        <w:t xml:space="preserve">projections can be seen Appendix </w:t>
      </w:r>
      <w:r w:rsidR="00264A16">
        <w:fldChar w:fldCharType="begin"/>
      </w:r>
      <w:r w:rsidR="00264A16">
        <w:instrText xml:space="preserve"> REF _Ref54874170 \r \h </w:instrText>
      </w:r>
      <w:r w:rsidR="00264A16">
        <w:fldChar w:fldCharType="separate"/>
      </w:r>
      <w:r w:rsidR="005851DD">
        <w:t>C.4</w:t>
      </w:r>
      <w:r w:rsidR="00264A16">
        <w:fldChar w:fldCharType="end"/>
      </w:r>
      <w:r w:rsidR="00264A16">
        <w:t xml:space="preserve">, </w:t>
      </w:r>
      <w:r w:rsidR="00264A16">
        <w:fldChar w:fldCharType="begin"/>
      </w:r>
      <w:r w:rsidR="00264A16">
        <w:instrText xml:space="preserve"> REF _Ref47017916 \h </w:instrText>
      </w:r>
      <w:r w:rsidR="00264A16">
        <w:fldChar w:fldCharType="separate"/>
      </w:r>
      <w:r w:rsidR="005851DD">
        <w:t xml:space="preserve">Table </w:t>
      </w:r>
      <w:r w:rsidR="005851DD">
        <w:rPr>
          <w:noProof/>
        </w:rPr>
        <w:t>17</w:t>
      </w:r>
      <w:r w:rsidR="00264A16">
        <w:fldChar w:fldCharType="end"/>
      </w:r>
      <w:r w:rsidR="00264A16">
        <w:t>.</w:t>
      </w:r>
    </w:p>
    <w:p w14:paraId="6AA8D3EF" w14:textId="71EAB513" w:rsidR="00A31B1B" w:rsidRDefault="00A31B1B" w:rsidP="00197F65">
      <w:pPr>
        <w:pStyle w:val="Heading3"/>
      </w:pPr>
      <w:bookmarkStart w:id="45" w:name="_Toc50359431"/>
      <w:r>
        <w:t xml:space="preserve">Fuel </w:t>
      </w:r>
      <w:r w:rsidR="00024032">
        <w:t>and electricity prices</w:t>
      </w:r>
      <w:bookmarkEnd w:id="45"/>
      <w:r w:rsidR="00902FB2">
        <w:t xml:space="preserve">, </w:t>
      </w:r>
      <w:r w:rsidR="00692A9F">
        <w:t>emission factors</w:t>
      </w:r>
      <w:r w:rsidR="00902FB2">
        <w:t>, and carbon prices</w:t>
      </w:r>
    </w:p>
    <w:p w14:paraId="6205A463" w14:textId="2A6536C4" w:rsidR="00692A9F" w:rsidRDefault="00A31B1B" w:rsidP="00A31B1B">
      <w:r>
        <w:t>The price of gas, coal and electricity was estimated up to 2035 by the Department for Business Energy &amp; Industrial Strategy (BEIS)</w:t>
      </w:r>
      <w:r w:rsidR="007B15AD">
        <w:t xml:space="preserve"> </w:t>
      </w:r>
      <w:r w:rsidR="007B15AD">
        <w:fldChar w:fldCharType="begin"/>
      </w:r>
      <w:r w:rsidR="003C7F9A">
        <w:instrText xml:space="preserve"> ADDIN EN.CITE &lt;EndNote&gt;&lt;Cite&gt;&lt;Author&gt;BEIS&lt;/Author&gt;&lt;Year&gt;2020&lt;/Year&gt;&lt;RecNum&gt;1035&lt;/RecNum&gt;&lt;DisplayText&gt;[46, 47]&lt;/DisplayText&gt;&lt;record&gt;&lt;rec-number&gt;1035&lt;/rec-number&gt;&lt;foreign-keys&gt;&lt;key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Cite&gt;&lt;Author&gt;BEIS&lt;/Author&gt;&lt;Year&gt;2019&lt;/Year&gt;&lt;RecNum&gt;1032&lt;/RecNum&gt;&lt;record&gt;&lt;rec-number&gt;1032&lt;/rec-number&gt;&lt;foreign-keys&gt;&lt;key app="EN" db-id="w500zpaaheraz8epaw1p29dtf2ff9zrswv50" timestamp="1607697901"&gt;1032&lt;/key&gt;&lt;/foreign-keys&gt;&lt;ref-type name="Web Page"&gt;12&lt;/ref-type&gt;&lt;contributors&gt;&lt;authors&gt;&lt;author&gt;BEIS&lt;/author&gt;&lt;/authors&gt;&lt;/contributors&gt;&lt;titles&gt;&lt;title&gt;Updated energy and emissions projections 2018&lt;/title&gt;&lt;secondary-title&gt;The Energy White Paper&lt;/secondary-title&gt;&lt;/titles&gt;&lt;periodical&gt;&lt;full-title&gt;The Energy White Paper&lt;/full-title&gt;&lt;/periodical&gt;&lt;pages&gt;35-35&lt;/pages&gt;&lt;number&gt;April&lt;/number&gt;&lt;dates&gt;&lt;year&gt;2019&lt;/year&gt;&lt;/dates&gt;&lt;publisher&gt;Department for Business, Energy, and Industrial Strategy,&lt;/publisher&gt;&lt;isbn&gt;4473467467345&lt;/isbn&gt;&lt;urls&gt;&lt;related-urls&gt;&lt;url&gt;https://assets.publishing.service.gov.uk/government/uploads/system/uploads/attachment_data/file/794590/updated-energy-and-emissions-projections-2018.pdf%0Ahttps://www.gov.uk/government/uploads/system/uploads/attachment_data/file/239937/uep_2013.pdf&lt;/url&gt;&lt;/related-urls&gt;&lt;/urls&gt;&lt;/record&gt;&lt;/Cite&gt;&lt;/EndNote&gt;</w:instrText>
      </w:r>
      <w:r w:rsidR="007B15AD">
        <w:fldChar w:fldCharType="separate"/>
      </w:r>
      <w:r w:rsidR="003C7F9A">
        <w:rPr>
          <w:noProof/>
        </w:rPr>
        <w:t>[</w:t>
      </w:r>
      <w:hyperlink w:anchor="_ENREF_46" w:tooltip="BEIS, 2020 #1035" w:history="1">
        <w:r w:rsidR="006210AE">
          <w:rPr>
            <w:noProof/>
          </w:rPr>
          <w:t>46</w:t>
        </w:r>
      </w:hyperlink>
      <w:r w:rsidR="003C7F9A">
        <w:rPr>
          <w:noProof/>
        </w:rPr>
        <w:t xml:space="preserve">, </w:t>
      </w:r>
      <w:hyperlink w:anchor="_ENREF_47" w:tooltip="BEIS, 2019 #1032" w:history="1">
        <w:r w:rsidR="006210AE">
          <w:rPr>
            <w:noProof/>
          </w:rPr>
          <w:t>47</w:t>
        </w:r>
      </w:hyperlink>
      <w:r w:rsidR="003C7F9A">
        <w:rPr>
          <w:noProof/>
        </w:rPr>
        <w:t>]</w:t>
      </w:r>
      <w:r w:rsidR="007B15AD">
        <w:fldChar w:fldCharType="end"/>
      </w:r>
      <w:r>
        <w:t xml:space="preserve">. In order to obtain fuel </w:t>
      </w:r>
      <w:r w:rsidR="00024032">
        <w:t xml:space="preserve">prices </w:t>
      </w:r>
      <w:r>
        <w:t>for all time periods considered in this study, the data from BEIS was extended to 2050 using Excel</w:t>
      </w:r>
      <w:r w:rsidR="00024032">
        <w:t>’</w:t>
      </w:r>
      <w:r>
        <w:t>s inbuilt forecasting tool.</w:t>
      </w:r>
      <w:r w:rsidR="00024032">
        <w:t xml:space="preserve"> The prices used in this work are shown in Appendix </w:t>
      </w:r>
      <w:r w:rsidR="00024032">
        <w:fldChar w:fldCharType="begin"/>
      </w:r>
      <w:r w:rsidR="00024032">
        <w:instrText xml:space="preserve"> REF _Ref54879356 \r \h </w:instrText>
      </w:r>
      <w:r w:rsidR="00024032">
        <w:fldChar w:fldCharType="separate"/>
      </w:r>
      <w:r w:rsidR="005851DD">
        <w:t>C.5</w:t>
      </w:r>
      <w:r w:rsidR="00024032">
        <w:fldChar w:fldCharType="end"/>
      </w:r>
      <w:r w:rsidR="00024032">
        <w:t xml:space="preserve">, </w:t>
      </w:r>
      <w:r w:rsidR="00024032">
        <w:fldChar w:fldCharType="begin"/>
      </w:r>
      <w:r w:rsidR="00024032">
        <w:instrText xml:space="preserve"> REF _Ref47020001 \h </w:instrText>
      </w:r>
      <w:r w:rsidR="00024032">
        <w:fldChar w:fldCharType="separate"/>
      </w:r>
      <w:r w:rsidR="005851DD">
        <w:t xml:space="preserve">Table </w:t>
      </w:r>
      <w:r w:rsidR="005851DD">
        <w:rPr>
          <w:noProof/>
        </w:rPr>
        <w:t>18</w:t>
      </w:r>
      <w:r w:rsidR="00024032">
        <w:fldChar w:fldCharType="end"/>
      </w:r>
      <w:r w:rsidR="00024032">
        <w:t>.</w:t>
      </w:r>
      <w:r w:rsidR="00692A9F">
        <w:t xml:space="preserve"> </w:t>
      </w:r>
    </w:p>
    <w:p w14:paraId="097D26E4" w14:textId="6EA48934" w:rsidR="00A31B1B" w:rsidRPr="000020F2" w:rsidRDefault="00692A9F" w:rsidP="00A31B1B">
      <w:r>
        <w:fldChar w:fldCharType="begin"/>
      </w:r>
      <w:r>
        <w:instrText xml:space="preserve"> REF _Ref48346541 \h </w:instrText>
      </w:r>
      <w:r>
        <w:fldChar w:fldCharType="separate"/>
      </w:r>
      <w:r w:rsidR="005851DD">
        <w:t xml:space="preserve">Table </w:t>
      </w:r>
      <w:r w:rsidR="005851DD">
        <w:rPr>
          <w:noProof/>
        </w:rPr>
        <w:t>5</w:t>
      </w:r>
      <w:r>
        <w:fldChar w:fldCharType="end"/>
      </w:r>
      <w:r>
        <w:t xml:space="preserve"> shows the </w:t>
      </w:r>
      <w:r w:rsidR="00A31B1B">
        <w:t xml:space="preserve">UK’s electricity grid </w:t>
      </w:r>
      <w:r>
        <w:t xml:space="preserve">emission factors used in this work. </w:t>
      </w:r>
    </w:p>
    <w:p w14:paraId="2149A8C9" w14:textId="55F929CA" w:rsidR="00A31B1B" w:rsidRDefault="00A31B1B" w:rsidP="00A31B1B">
      <w:pPr>
        <w:pStyle w:val="Caption"/>
        <w:keepNext/>
      </w:pPr>
      <w:bookmarkStart w:id="46" w:name="_Ref48346541"/>
      <w:bookmarkStart w:id="47" w:name="_Toc50359150"/>
      <w:r>
        <w:lastRenderedPageBreak/>
        <w:t xml:space="preserve">Table </w:t>
      </w:r>
      <w:fldSimple w:instr=" SEQ Table \* ARABIC ">
        <w:r w:rsidR="005851DD">
          <w:rPr>
            <w:noProof/>
          </w:rPr>
          <w:t>5</w:t>
        </w:r>
      </w:fldSimple>
      <w:bookmarkEnd w:id="46"/>
      <w:r w:rsidR="000339F8">
        <w:rPr>
          <w:noProof/>
        </w:rPr>
        <w:t>:</w:t>
      </w:r>
      <w:r>
        <w:t xml:space="preserve"> Project emission factors for the UK's electricity grid. </w:t>
      </w:r>
      <w:r w:rsidR="00692A9F">
        <w:t>Grid average industrial consumption base</w:t>
      </w:r>
      <w:r w:rsidR="007B15AD">
        <w:t xml:space="preserve"> </w:t>
      </w:r>
      <w:r w:rsidR="007B15AD">
        <w:fldChar w:fldCharType="begin"/>
      </w:r>
      <w:r w:rsidR="003C7F9A">
        <w:instrText xml:space="preserve"> ADDIN EN.CITE &lt;EndNote&gt;&lt;Cite&gt;&lt;Author&gt;BEIS&lt;/Author&gt;&lt;Year&gt;2020&lt;/Year&gt;&lt;RecNum&gt;1035&lt;/RecNum&gt;&lt;DisplayText&gt;[46]&lt;/DisplayText&gt;&lt;record&gt;&lt;rec-number&gt;1035&lt;/rec-number&gt;&lt;foreign-keys&gt;&lt;key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Strategy,&lt;/publisher&gt;&lt;urls&gt;&lt;related-urls&gt;&lt;url&gt;https://www.gov.uk/government/collections/fossil-fuel-price-assumptions&lt;/url&gt;&lt;/related-urls&gt;&lt;/urls&gt;&lt;/record&gt;&lt;/Cite&gt;&lt;/EndNote&gt;</w:instrText>
      </w:r>
      <w:r w:rsidR="007B15AD">
        <w:fldChar w:fldCharType="separate"/>
      </w:r>
      <w:r w:rsidR="003C7F9A">
        <w:rPr>
          <w:noProof/>
        </w:rPr>
        <w:t>[</w:t>
      </w:r>
      <w:hyperlink w:anchor="_ENREF_46" w:tooltip="BEIS, 2020 #1035" w:history="1">
        <w:r w:rsidR="006210AE">
          <w:rPr>
            <w:noProof/>
          </w:rPr>
          <w:t>46</w:t>
        </w:r>
      </w:hyperlink>
      <w:r w:rsidR="003C7F9A">
        <w:rPr>
          <w:noProof/>
        </w:rPr>
        <w:t>]</w:t>
      </w:r>
      <w:r w:rsidR="007B15AD">
        <w:fldChar w:fldCharType="end"/>
      </w:r>
      <w:r>
        <w:t>.</w:t>
      </w:r>
      <w:bookmarkEnd w:id="47"/>
      <w:r>
        <w:t xml:space="preserve"> </w:t>
      </w:r>
    </w:p>
    <w:tbl>
      <w:tblPr>
        <w:tblStyle w:val="PlainTable2"/>
        <w:tblW w:w="3763" w:type="dxa"/>
        <w:jc w:val="center"/>
        <w:tblLook w:val="04A0" w:firstRow="1" w:lastRow="0" w:firstColumn="1" w:lastColumn="0" w:noHBand="0" w:noVBand="1"/>
      </w:tblPr>
      <w:tblGrid>
        <w:gridCol w:w="718"/>
        <w:gridCol w:w="3045"/>
      </w:tblGrid>
      <w:tr w:rsidR="00A31B1B" w:rsidRPr="000A50C1" w14:paraId="1C81CF99" w14:textId="77777777" w:rsidTr="00785473">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DCE417" w14:textId="77777777" w:rsidR="00A31B1B" w:rsidRPr="000A50C1" w:rsidRDefault="00A31B1B" w:rsidP="003757B3">
            <w:pPr>
              <w:spacing w:before="0" w:after="0"/>
              <w:jc w:val="center"/>
              <w:rPr>
                <w:rFonts w:eastAsia="Times New Roman" w:cs="Arial"/>
                <w:b w:val="0"/>
                <w:bCs w:val="0"/>
                <w:color w:val="000000"/>
                <w:sz w:val="20"/>
                <w:szCs w:val="20"/>
                <w:lang w:eastAsia="en-GB"/>
              </w:rPr>
            </w:pPr>
            <w:r w:rsidRPr="000A50C1">
              <w:rPr>
                <w:rFonts w:eastAsia="Times New Roman" w:cs="Arial"/>
                <w:color w:val="000000"/>
                <w:sz w:val="20"/>
                <w:szCs w:val="20"/>
                <w:lang w:eastAsia="en-GB"/>
              </w:rPr>
              <w:t>Year</w:t>
            </w:r>
          </w:p>
        </w:tc>
        <w:tc>
          <w:tcPr>
            <w:tcW w:w="0" w:type="auto"/>
            <w:noWrap/>
            <w:vAlign w:val="center"/>
            <w:hideMark/>
          </w:tcPr>
          <w:p w14:paraId="3226FB42" w14:textId="77777777" w:rsidR="00A31B1B" w:rsidRPr="000A50C1" w:rsidRDefault="00A31B1B" w:rsidP="003757B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lang w:eastAsia="en-GB"/>
              </w:rPr>
            </w:pPr>
            <w:r w:rsidRPr="000A50C1">
              <w:rPr>
                <w:rFonts w:eastAsia="Times New Roman" w:cs="Arial"/>
                <w:color w:val="000000"/>
                <w:sz w:val="20"/>
                <w:szCs w:val="20"/>
                <w:lang w:eastAsia="en-GB"/>
              </w:rPr>
              <w:t>Emission Factor (kg</w:t>
            </w:r>
            <w:r w:rsidRPr="000A50C1">
              <w:rPr>
                <w:rFonts w:eastAsia="Times New Roman" w:cs="Arial"/>
                <w:color w:val="000000"/>
                <w:sz w:val="20"/>
                <w:szCs w:val="20"/>
                <w:vertAlign w:val="subscript"/>
                <w:lang w:eastAsia="en-GB"/>
              </w:rPr>
              <w:t>CO2</w:t>
            </w:r>
            <w:r w:rsidRPr="000A50C1">
              <w:rPr>
                <w:rFonts w:eastAsia="Times New Roman" w:cs="Arial"/>
                <w:color w:val="000000"/>
                <w:sz w:val="20"/>
                <w:szCs w:val="20"/>
                <w:lang w:eastAsia="en-GB"/>
              </w:rPr>
              <w:t>/kWh</w:t>
            </w:r>
            <w:r w:rsidRPr="000A50C1">
              <w:rPr>
                <w:rFonts w:eastAsia="Times New Roman" w:cs="Arial"/>
                <w:color w:val="000000"/>
                <w:sz w:val="20"/>
                <w:szCs w:val="20"/>
                <w:vertAlign w:val="subscript"/>
                <w:lang w:eastAsia="en-GB"/>
              </w:rPr>
              <w:t>e</w:t>
            </w:r>
            <w:r w:rsidRPr="000A50C1">
              <w:rPr>
                <w:rFonts w:eastAsia="Times New Roman" w:cs="Arial"/>
                <w:color w:val="000000"/>
                <w:sz w:val="20"/>
                <w:szCs w:val="20"/>
                <w:lang w:eastAsia="en-GB"/>
              </w:rPr>
              <w:t>)</w:t>
            </w:r>
          </w:p>
        </w:tc>
      </w:tr>
      <w:tr w:rsidR="00A31B1B" w:rsidRPr="000A50C1" w14:paraId="5BBAF49A"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05D209"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2020</w:t>
            </w:r>
          </w:p>
        </w:tc>
        <w:tc>
          <w:tcPr>
            <w:tcW w:w="0" w:type="auto"/>
            <w:noWrap/>
            <w:vAlign w:val="center"/>
            <w:hideMark/>
          </w:tcPr>
          <w:p w14:paraId="6957789C" w14:textId="77777777" w:rsidR="00A31B1B" w:rsidRPr="000A50C1" w:rsidRDefault="00A31B1B" w:rsidP="003757B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0.1354</w:t>
            </w:r>
          </w:p>
        </w:tc>
      </w:tr>
      <w:tr w:rsidR="00A31B1B" w:rsidRPr="000A50C1" w14:paraId="17E53C6C" w14:textId="77777777" w:rsidTr="00785473">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46A26B"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2025</w:t>
            </w:r>
          </w:p>
        </w:tc>
        <w:tc>
          <w:tcPr>
            <w:tcW w:w="0" w:type="auto"/>
            <w:noWrap/>
            <w:vAlign w:val="center"/>
            <w:hideMark/>
          </w:tcPr>
          <w:p w14:paraId="66D1C0FB" w14:textId="77777777" w:rsidR="00A31B1B" w:rsidRPr="000A50C1" w:rsidRDefault="00A31B1B" w:rsidP="003757B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0.1015</w:t>
            </w:r>
          </w:p>
        </w:tc>
      </w:tr>
      <w:tr w:rsidR="00A31B1B" w:rsidRPr="000A50C1" w14:paraId="700C8D50"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4BA98A"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2030</w:t>
            </w:r>
          </w:p>
        </w:tc>
        <w:tc>
          <w:tcPr>
            <w:tcW w:w="0" w:type="auto"/>
            <w:noWrap/>
            <w:vAlign w:val="center"/>
            <w:hideMark/>
          </w:tcPr>
          <w:p w14:paraId="01B3F6B7" w14:textId="77777777" w:rsidR="00A31B1B" w:rsidRPr="000A50C1" w:rsidRDefault="00A31B1B" w:rsidP="003757B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0.0798</w:t>
            </w:r>
          </w:p>
        </w:tc>
      </w:tr>
      <w:tr w:rsidR="00A31B1B" w:rsidRPr="000A50C1" w14:paraId="3D50CB40" w14:textId="77777777" w:rsidTr="00785473">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96372B"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2035</w:t>
            </w:r>
          </w:p>
        </w:tc>
        <w:tc>
          <w:tcPr>
            <w:tcW w:w="0" w:type="auto"/>
            <w:noWrap/>
            <w:vAlign w:val="center"/>
            <w:hideMark/>
          </w:tcPr>
          <w:p w14:paraId="19CF35D4" w14:textId="77777777" w:rsidR="00A31B1B" w:rsidRPr="000A50C1" w:rsidRDefault="00A31B1B" w:rsidP="003757B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0.0394</w:t>
            </w:r>
          </w:p>
        </w:tc>
      </w:tr>
      <w:tr w:rsidR="00A31B1B" w:rsidRPr="000A50C1" w14:paraId="722B8B1D"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9229CB"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2040</w:t>
            </w:r>
          </w:p>
        </w:tc>
        <w:tc>
          <w:tcPr>
            <w:tcW w:w="0" w:type="auto"/>
            <w:noWrap/>
            <w:vAlign w:val="center"/>
            <w:hideMark/>
          </w:tcPr>
          <w:p w14:paraId="055A3EE5" w14:textId="77777777" w:rsidR="00A31B1B" w:rsidRPr="000A50C1" w:rsidRDefault="00A31B1B" w:rsidP="003757B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0.0394</w:t>
            </w:r>
          </w:p>
        </w:tc>
      </w:tr>
      <w:tr w:rsidR="00A31B1B" w:rsidRPr="000A50C1" w14:paraId="78176A27" w14:textId="77777777" w:rsidTr="00785473">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84D305"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2045</w:t>
            </w:r>
          </w:p>
        </w:tc>
        <w:tc>
          <w:tcPr>
            <w:tcW w:w="0" w:type="auto"/>
            <w:noWrap/>
            <w:vAlign w:val="center"/>
            <w:hideMark/>
          </w:tcPr>
          <w:p w14:paraId="01A0277C" w14:textId="77777777" w:rsidR="00A31B1B" w:rsidRPr="000A50C1" w:rsidRDefault="00A31B1B" w:rsidP="003757B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0.0330</w:t>
            </w:r>
          </w:p>
        </w:tc>
      </w:tr>
      <w:tr w:rsidR="00A31B1B" w:rsidRPr="000A50C1" w14:paraId="65CF8FD3"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505D85" w14:textId="77777777" w:rsidR="00A31B1B" w:rsidRPr="000A50C1" w:rsidRDefault="00A31B1B" w:rsidP="003757B3">
            <w:pPr>
              <w:spacing w:before="0" w:after="0"/>
              <w:jc w:val="center"/>
              <w:rPr>
                <w:rFonts w:eastAsia="Times New Roman" w:cs="Arial"/>
                <w:color w:val="000000"/>
                <w:sz w:val="20"/>
                <w:szCs w:val="20"/>
                <w:lang w:eastAsia="en-GB"/>
              </w:rPr>
            </w:pPr>
            <w:r w:rsidRPr="000A50C1">
              <w:rPr>
                <w:rFonts w:eastAsia="Times New Roman" w:cs="Arial"/>
                <w:color w:val="000000"/>
                <w:sz w:val="20"/>
                <w:szCs w:val="20"/>
                <w:lang w:eastAsia="en-GB"/>
              </w:rPr>
              <w:t>2050</w:t>
            </w:r>
          </w:p>
        </w:tc>
        <w:tc>
          <w:tcPr>
            <w:tcW w:w="0" w:type="auto"/>
            <w:noWrap/>
            <w:vAlign w:val="center"/>
            <w:hideMark/>
          </w:tcPr>
          <w:p w14:paraId="6720865D" w14:textId="77777777" w:rsidR="00A31B1B" w:rsidRPr="000A50C1" w:rsidRDefault="00A31B1B" w:rsidP="003757B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0A50C1">
              <w:rPr>
                <w:rFonts w:cs="Arial"/>
                <w:color w:val="000000"/>
                <w:sz w:val="20"/>
                <w:szCs w:val="20"/>
              </w:rPr>
              <w:t>0.0266</w:t>
            </w:r>
          </w:p>
        </w:tc>
      </w:tr>
    </w:tbl>
    <w:p w14:paraId="4B906ED1" w14:textId="6311A191" w:rsidR="00902FB2" w:rsidRDefault="00902FB2" w:rsidP="00902FB2">
      <w:bookmarkStart w:id="48" w:name="_Toc50359433"/>
      <w:r>
        <w:t xml:space="preserve">Different cases and scenarios described in section </w:t>
      </w:r>
      <w:r>
        <w:fldChar w:fldCharType="begin"/>
      </w:r>
      <w:r>
        <w:instrText xml:space="preserve"> REF _Ref57208082 \r \h </w:instrText>
      </w:r>
      <w:r>
        <w:fldChar w:fldCharType="separate"/>
      </w:r>
      <w:r w:rsidR="005851DD">
        <w:t>3.4</w:t>
      </w:r>
      <w:r>
        <w:fldChar w:fldCharType="end"/>
      </w:r>
      <w:r>
        <w:t xml:space="preserve"> were investigated. For the base case, the carbon prices used are shown in </w:t>
      </w:r>
      <w:r>
        <w:fldChar w:fldCharType="begin"/>
      </w:r>
      <w:r>
        <w:instrText xml:space="preserve"> REF _Ref57208160 \h </w:instrText>
      </w:r>
      <w:r>
        <w:fldChar w:fldCharType="separate"/>
      </w:r>
      <w:r w:rsidR="005851DD">
        <w:t xml:space="preserve">Table </w:t>
      </w:r>
      <w:r w:rsidR="005851DD">
        <w:rPr>
          <w:noProof/>
        </w:rPr>
        <w:t>6</w:t>
      </w:r>
      <w:r>
        <w:fldChar w:fldCharType="end"/>
      </w:r>
      <w:r>
        <w:t xml:space="preserve">. </w:t>
      </w:r>
    </w:p>
    <w:p w14:paraId="14C20EE7" w14:textId="75DD19CD" w:rsidR="00902FB2" w:rsidRDefault="00902FB2" w:rsidP="00902FB2">
      <w:pPr>
        <w:pStyle w:val="Caption"/>
        <w:keepNext/>
      </w:pPr>
      <w:bookmarkStart w:id="49" w:name="_Ref57208160"/>
      <w:r>
        <w:t xml:space="preserve">Table </w:t>
      </w:r>
      <w:fldSimple w:instr=" SEQ Table \* ARABIC ">
        <w:r w:rsidR="005851DD">
          <w:rPr>
            <w:noProof/>
          </w:rPr>
          <w:t>6</w:t>
        </w:r>
      </w:fldSimple>
      <w:bookmarkEnd w:id="49"/>
      <w:r>
        <w:t>:</w:t>
      </w:r>
      <w:r w:rsidRPr="00902FB2">
        <w:t xml:space="preserve"> </w:t>
      </w:r>
      <w:r>
        <w:t>Low, mid and high carbon prices used in the base case optimisation model. Data obtained from BEIS</w:t>
      </w:r>
      <w:r w:rsidR="007B15AD">
        <w:t xml:space="preserve"> </w:t>
      </w:r>
      <w:r w:rsidR="007B15AD">
        <w:fldChar w:fldCharType="begin"/>
      </w:r>
      <w:r w:rsidR="003C7F9A">
        <w:instrText xml:space="preserve"> ADDIN EN.CITE &lt;EndNote&gt;&lt;Cite&gt;&lt;Author&gt;BEIS&lt;/Author&gt;&lt;Year&gt;2020&lt;/Year&gt;&lt;RecNum&gt;1035&lt;/RecNum&gt;&lt;DisplayText&gt;[46]&lt;/DisplayText&gt;&lt;record&gt;&lt;rec-number&gt;1035&lt;/rec-number&gt;&lt;foreign-keys&gt;&lt;key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Strategy,&lt;/publisher&gt;&lt;urls&gt;&lt;related-urls&gt;&lt;url&gt;https://www.gov.uk/government/collections/fossil-fuel-price-assumptions&lt;/url&gt;&lt;/related-urls&gt;&lt;/urls&gt;&lt;/record&gt;&lt;/Cite&gt;&lt;/EndNote&gt;</w:instrText>
      </w:r>
      <w:r w:rsidR="007B15AD">
        <w:fldChar w:fldCharType="separate"/>
      </w:r>
      <w:r w:rsidR="003C7F9A">
        <w:rPr>
          <w:noProof/>
        </w:rPr>
        <w:t>[</w:t>
      </w:r>
      <w:hyperlink w:anchor="_ENREF_46" w:tooltip="BEIS, 2020 #1035" w:history="1">
        <w:r w:rsidR="006210AE">
          <w:rPr>
            <w:noProof/>
          </w:rPr>
          <w:t>46</w:t>
        </w:r>
      </w:hyperlink>
      <w:r w:rsidR="003C7F9A">
        <w:rPr>
          <w:noProof/>
        </w:rPr>
        <w:t>]</w:t>
      </w:r>
      <w:r w:rsidR="007B15AD">
        <w:fldChar w:fldCharType="end"/>
      </w:r>
      <w:r w:rsidR="006916CC">
        <w:t xml:space="preserve">. </w:t>
      </w:r>
    </w:p>
    <w:tbl>
      <w:tblPr>
        <w:tblStyle w:val="PlainTable2"/>
        <w:tblW w:w="0" w:type="auto"/>
        <w:jc w:val="center"/>
        <w:tblLook w:val="04A0" w:firstRow="1" w:lastRow="0" w:firstColumn="1" w:lastColumn="0" w:noHBand="0" w:noVBand="1"/>
      </w:tblPr>
      <w:tblGrid>
        <w:gridCol w:w="622"/>
        <w:gridCol w:w="1740"/>
        <w:gridCol w:w="1750"/>
        <w:gridCol w:w="1787"/>
      </w:tblGrid>
      <w:tr w:rsidR="00902FB2" w:rsidRPr="006A5632" w14:paraId="4A062500" w14:textId="77777777" w:rsidTr="00785473">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5F4A3A" w14:textId="77777777" w:rsidR="00902FB2" w:rsidRPr="006A5632" w:rsidRDefault="00902FB2" w:rsidP="000339F8">
            <w:pPr>
              <w:pStyle w:val="NoSpacing"/>
              <w:jc w:val="center"/>
              <w:rPr>
                <w:szCs w:val="20"/>
                <w:lang w:eastAsia="en-GB"/>
              </w:rPr>
            </w:pPr>
            <w:r w:rsidRPr="006A5632">
              <w:rPr>
                <w:szCs w:val="20"/>
                <w:lang w:eastAsia="en-GB"/>
              </w:rPr>
              <w:t>Year</w:t>
            </w:r>
          </w:p>
        </w:tc>
        <w:tc>
          <w:tcPr>
            <w:tcW w:w="0" w:type="auto"/>
            <w:noWrap/>
            <w:vAlign w:val="center"/>
            <w:hideMark/>
          </w:tcPr>
          <w:p w14:paraId="39AF790C" w14:textId="77777777" w:rsidR="00902FB2" w:rsidRPr="006A5632" w:rsidRDefault="00902FB2" w:rsidP="000339F8">
            <w:pPr>
              <w:pStyle w:val="NoSpacing"/>
              <w:jc w:val="center"/>
              <w:cnfStyle w:val="100000000000" w:firstRow="1"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Mid-Cost (£/tCO2)</w:t>
            </w:r>
          </w:p>
        </w:tc>
        <w:tc>
          <w:tcPr>
            <w:tcW w:w="0" w:type="auto"/>
            <w:noWrap/>
            <w:vAlign w:val="center"/>
            <w:hideMark/>
          </w:tcPr>
          <w:p w14:paraId="1BC3A35E" w14:textId="77777777" w:rsidR="00902FB2" w:rsidRPr="006A5632" w:rsidRDefault="00902FB2" w:rsidP="000339F8">
            <w:pPr>
              <w:pStyle w:val="NoSpacing"/>
              <w:jc w:val="center"/>
              <w:cnfStyle w:val="100000000000" w:firstRow="1"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Low-Cost (£/tCO2)</w:t>
            </w:r>
          </w:p>
        </w:tc>
        <w:tc>
          <w:tcPr>
            <w:tcW w:w="0" w:type="auto"/>
            <w:noWrap/>
            <w:vAlign w:val="center"/>
            <w:hideMark/>
          </w:tcPr>
          <w:p w14:paraId="3B5F171A" w14:textId="77777777" w:rsidR="00902FB2" w:rsidRPr="006A5632" w:rsidRDefault="00902FB2" w:rsidP="000339F8">
            <w:pPr>
              <w:pStyle w:val="NoSpacing"/>
              <w:jc w:val="center"/>
              <w:cnfStyle w:val="100000000000" w:firstRow="1"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High-Cost (£/tCO2)</w:t>
            </w:r>
          </w:p>
        </w:tc>
      </w:tr>
      <w:tr w:rsidR="00902FB2" w:rsidRPr="006A5632" w14:paraId="380D465C"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C641B2" w14:textId="77777777" w:rsidR="00902FB2" w:rsidRPr="006A5632" w:rsidRDefault="00902FB2" w:rsidP="000339F8">
            <w:pPr>
              <w:pStyle w:val="NoSpacing"/>
              <w:jc w:val="center"/>
              <w:rPr>
                <w:szCs w:val="20"/>
                <w:lang w:eastAsia="en-GB"/>
              </w:rPr>
            </w:pPr>
            <w:r w:rsidRPr="006A5632">
              <w:rPr>
                <w:szCs w:val="20"/>
                <w:lang w:eastAsia="en-GB"/>
              </w:rPr>
              <w:t>2020</w:t>
            </w:r>
          </w:p>
        </w:tc>
        <w:tc>
          <w:tcPr>
            <w:tcW w:w="0" w:type="auto"/>
            <w:noWrap/>
            <w:vAlign w:val="center"/>
            <w:hideMark/>
          </w:tcPr>
          <w:p w14:paraId="18D33B8F"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69.27</w:t>
            </w:r>
          </w:p>
        </w:tc>
        <w:tc>
          <w:tcPr>
            <w:tcW w:w="0" w:type="auto"/>
            <w:noWrap/>
            <w:vAlign w:val="center"/>
            <w:hideMark/>
          </w:tcPr>
          <w:p w14:paraId="7AA09405"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34.6</w:t>
            </w:r>
            <w:r>
              <w:rPr>
                <w:szCs w:val="20"/>
                <w:lang w:eastAsia="en-GB"/>
              </w:rPr>
              <w:t>4</w:t>
            </w:r>
          </w:p>
        </w:tc>
        <w:tc>
          <w:tcPr>
            <w:tcW w:w="0" w:type="auto"/>
            <w:noWrap/>
            <w:vAlign w:val="center"/>
            <w:hideMark/>
          </w:tcPr>
          <w:p w14:paraId="7D5B710F"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103.9</w:t>
            </w:r>
            <w:r>
              <w:rPr>
                <w:szCs w:val="20"/>
                <w:lang w:eastAsia="en-GB"/>
              </w:rPr>
              <w:t>2</w:t>
            </w:r>
          </w:p>
        </w:tc>
      </w:tr>
      <w:tr w:rsidR="00902FB2" w:rsidRPr="006A5632" w14:paraId="281B267E" w14:textId="77777777" w:rsidTr="00785473">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50FF47" w14:textId="77777777" w:rsidR="00902FB2" w:rsidRPr="006A5632" w:rsidRDefault="00902FB2" w:rsidP="000339F8">
            <w:pPr>
              <w:pStyle w:val="NoSpacing"/>
              <w:jc w:val="center"/>
              <w:rPr>
                <w:szCs w:val="20"/>
                <w:lang w:eastAsia="en-GB"/>
              </w:rPr>
            </w:pPr>
            <w:r w:rsidRPr="006A5632">
              <w:rPr>
                <w:szCs w:val="20"/>
                <w:lang w:eastAsia="en-GB"/>
              </w:rPr>
              <w:t>2025</w:t>
            </w:r>
          </w:p>
        </w:tc>
        <w:tc>
          <w:tcPr>
            <w:tcW w:w="0" w:type="auto"/>
            <w:noWrap/>
            <w:vAlign w:val="center"/>
            <w:hideMark/>
          </w:tcPr>
          <w:p w14:paraId="6E5E280C"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75.05</w:t>
            </w:r>
          </w:p>
        </w:tc>
        <w:tc>
          <w:tcPr>
            <w:tcW w:w="0" w:type="auto"/>
            <w:noWrap/>
            <w:vAlign w:val="center"/>
            <w:hideMark/>
          </w:tcPr>
          <w:p w14:paraId="2D334BDF"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37.5</w:t>
            </w:r>
            <w:r>
              <w:rPr>
                <w:szCs w:val="20"/>
                <w:lang w:eastAsia="en-GB"/>
              </w:rPr>
              <w:t>3</w:t>
            </w:r>
          </w:p>
        </w:tc>
        <w:tc>
          <w:tcPr>
            <w:tcW w:w="0" w:type="auto"/>
            <w:noWrap/>
            <w:vAlign w:val="center"/>
            <w:hideMark/>
          </w:tcPr>
          <w:p w14:paraId="23F27910"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112.5</w:t>
            </w:r>
            <w:r>
              <w:rPr>
                <w:szCs w:val="20"/>
                <w:lang w:eastAsia="en-GB"/>
              </w:rPr>
              <w:t>8</w:t>
            </w:r>
          </w:p>
        </w:tc>
      </w:tr>
      <w:tr w:rsidR="00902FB2" w:rsidRPr="006A5632" w14:paraId="3638F24B"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A074C9" w14:textId="77777777" w:rsidR="00902FB2" w:rsidRPr="006A5632" w:rsidRDefault="00902FB2" w:rsidP="000339F8">
            <w:pPr>
              <w:pStyle w:val="NoSpacing"/>
              <w:jc w:val="center"/>
              <w:rPr>
                <w:szCs w:val="20"/>
                <w:lang w:eastAsia="en-GB"/>
              </w:rPr>
            </w:pPr>
            <w:r w:rsidRPr="006A5632">
              <w:rPr>
                <w:szCs w:val="20"/>
                <w:lang w:eastAsia="en-GB"/>
              </w:rPr>
              <w:t>2030</w:t>
            </w:r>
          </w:p>
        </w:tc>
        <w:tc>
          <w:tcPr>
            <w:tcW w:w="0" w:type="auto"/>
            <w:noWrap/>
            <w:vAlign w:val="center"/>
            <w:hideMark/>
          </w:tcPr>
          <w:p w14:paraId="0AAD01AA"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80.8</w:t>
            </w:r>
            <w:r>
              <w:rPr>
                <w:szCs w:val="20"/>
                <w:lang w:eastAsia="en-GB"/>
              </w:rPr>
              <w:t>3</w:t>
            </w:r>
          </w:p>
        </w:tc>
        <w:tc>
          <w:tcPr>
            <w:tcW w:w="0" w:type="auto"/>
            <w:noWrap/>
            <w:vAlign w:val="center"/>
            <w:hideMark/>
          </w:tcPr>
          <w:p w14:paraId="2A25848A"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40.41</w:t>
            </w:r>
          </w:p>
        </w:tc>
        <w:tc>
          <w:tcPr>
            <w:tcW w:w="0" w:type="auto"/>
            <w:noWrap/>
            <w:vAlign w:val="center"/>
            <w:hideMark/>
          </w:tcPr>
          <w:p w14:paraId="7C5A7B4B"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121.2</w:t>
            </w:r>
            <w:r>
              <w:rPr>
                <w:szCs w:val="20"/>
                <w:lang w:eastAsia="en-GB"/>
              </w:rPr>
              <w:t>4</w:t>
            </w:r>
          </w:p>
        </w:tc>
      </w:tr>
      <w:tr w:rsidR="00902FB2" w:rsidRPr="006A5632" w14:paraId="5CA6898A" w14:textId="77777777" w:rsidTr="00785473">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B3FF70" w14:textId="77777777" w:rsidR="00902FB2" w:rsidRPr="006A5632" w:rsidRDefault="00902FB2" w:rsidP="000339F8">
            <w:pPr>
              <w:pStyle w:val="NoSpacing"/>
              <w:jc w:val="center"/>
              <w:rPr>
                <w:szCs w:val="20"/>
                <w:lang w:eastAsia="en-GB"/>
              </w:rPr>
            </w:pPr>
            <w:r w:rsidRPr="006A5632">
              <w:rPr>
                <w:szCs w:val="20"/>
                <w:lang w:eastAsia="en-GB"/>
              </w:rPr>
              <w:t>2035</w:t>
            </w:r>
          </w:p>
        </w:tc>
        <w:tc>
          <w:tcPr>
            <w:tcW w:w="0" w:type="auto"/>
            <w:noWrap/>
            <w:vAlign w:val="center"/>
            <w:hideMark/>
          </w:tcPr>
          <w:p w14:paraId="315B3D83"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118.35</w:t>
            </w:r>
          </w:p>
        </w:tc>
        <w:tc>
          <w:tcPr>
            <w:tcW w:w="0" w:type="auto"/>
            <w:noWrap/>
            <w:vAlign w:val="center"/>
            <w:hideMark/>
          </w:tcPr>
          <w:p w14:paraId="14538B8E"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59.1</w:t>
            </w:r>
            <w:r>
              <w:rPr>
                <w:szCs w:val="20"/>
                <w:lang w:eastAsia="en-GB"/>
              </w:rPr>
              <w:t>8</w:t>
            </w:r>
          </w:p>
        </w:tc>
        <w:tc>
          <w:tcPr>
            <w:tcW w:w="0" w:type="auto"/>
            <w:noWrap/>
            <w:vAlign w:val="center"/>
            <w:hideMark/>
          </w:tcPr>
          <w:p w14:paraId="641D8C91"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177.5</w:t>
            </w:r>
            <w:r>
              <w:rPr>
                <w:szCs w:val="20"/>
                <w:lang w:eastAsia="en-GB"/>
              </w:rPr>
              <w:t>3</w:t>
            </w:r>
          </w:p>
        </w:tc>
      </w:tr>
      <w:tr w:rsidR="00902FB2" w:rsidRPr="006A5632" w14:paraId="3F7CC3DA"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BF75E6D" w14:textId="77777777" w:rsidR="00902FB2" w:rsidRPr="006A5632" w:rsidRDefault="00902FB2" w:rsidP="000339F8">
            <w:pPr>
              <w:pStyle w:val="NoSpacing"/>
              <w:jc w:val="center"/>
              <w:rPr>
                <w:szCs w:val="20"/>
                <w:lang w:eastAsia="en-GB"/>
              </w:rPr>
            </w:pPr>
            <w:r w:rsidRPr="006A5632">
              <w:rPr>
                <w:szCs w:val="20"/>
                <w:lang w:eastAsia="en-GB"/>
              </w:rPr>
              <w:t>2040</w:t>
            </w:r>
          </w:p>
        </w:tc>
        <w:tc>
          <w:tcPr>
            <w:tcW w:w="0" w:type="auto"/>
            <w:noWrap/>
            <w:vAlign w:val="center"/>
            <w:hideMark/>
          </w:tcPr>
          <w:p w14:paraId="5BEE7FFF"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155.8</w:t>
            </w:r>
            <w:r>
              <w:rPr>
                <w:szCs w:val="20"/>
                <w:lang w:eastAsia="en-GB"/>
              </w:rPr>
              <w:t>8</w:t>
            </w:r>
          </w:p>
        </w:tc>
        <w:tc>
          <w:tcPr>
            <w:tcW w:w="0" w:type="auto"/>
            <w:noWrap/>
            <w:vAlign w:val="center"/>
            <w:hideMark/>
          </w:tcPr>
          <w:p w14:paraId="67B131FA"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77.9</w:t>
            </w:r>
            <w:r>
              <w:rPr>
                <w:szCs w:val="20"/>
                <w:lang w:eastAsia="en-GB"/>
              </w:rPr>
              <w:t>4</w:t>
            </w:r>
          </w:p>
        </w:tc>
        <w:tc>
          <w:tcPr>
            <w:tcW w:w="0" w:type="auto"/>
            <w:noWrap/>
            <w:vAlign w:val="center"/>
            <w:hideMark/>
          </w:tcPr>
          <w:p w14:paraId="13D72395"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233.8</w:t>
            </w:r>
            <w:r>
              <w:rPr>
                <w:szCs w:val="20"/>
                <w:lang w:eastAsia="en-GB"/>
              </w:rPr>
              <w:t>2</w:t>
            </w:r>
          </w:p>
        </w:tc>
      </w:tr>
      <w:tr w:rsidR="00902FB2" w:rsidRPr="006A5632" w14:paraId="742289F3" w14:textId="77777777" w:rsidTr="00785473">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7248EE" w14:textId="77777777" w:rsidR="00902FB2" w:rsidRPr="006A5632" w:rsidRDefault="00902FB2" w:rsidP="000339F8">
            <w:pPr>
              <w:pStyle w:val="NoSpacing"/>
              <w:jc w:val="center"/>
              <w:rPr>
                <w:szCs w:val="20"/>
                <w:lang w:eastAsia="en-GB"/>
              </w:rPr>
            </w:pPr>
            <w:r w:rsidRPr="006A5632">
              <w:rPr>
                <w:szCs w:val="20"/>
                <w:lang w:eastAsia="en-GB"/>
              </w:rPr>
              <w:t>2045</w:t>
            </w:r>
          </w:p>
        </w:tc>
        <w:tc>
          <w:tcPr>
            <w:tcW w:w="0" w:type="auto"/>
            <w:noWrap/>
            <w:vAlign w:val="center"/>
            <w:hideMark/>
          </w:tcPr>
          <w:p w14:paraId="2B6497EC"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193.40</w:t>
            </w:r>
          </w:p>
        </w:tc>
        <w:tc>
          <w:tcPr>
            <w:tcW w:w="0" w:type="auto"/>
            <w:noWrap/>
            <w:vAlign w:val="center"/>
            <w:hideMark/>
          </w:tcPr>
          <w:p w14:paraId="4D24FAD2"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96.70</w:t>
            </w:r>
          </w:p>
        </w:tc>
        <w:tc>
          <w:tcPr>
            <w:tcW w:w="0" w:type="auto"/>
            <w:noWrap/>
            <w:vAlign w:val="center"/>
            <w:hideMark/>
          </w:tcPr>
          <w:p w14:paraId="1EB72C13" w14:textId="77777777" w:rsidR="00902FB2" w:rsidRPr="006A5632" w:rsidRDefault="00902FB2" w:rsidP="000339F8">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6A5632">
              <w:rPr>
                <w:szCs w:val="20"/>
                <w:lang w:eastAsia="en-GB"/>
              </w:rPr>
              <w:t>290.10</w:t>
            </w:r>
          </w:p>
        </w:tc>
      </w:tr>
      <w:tr w:rsidR="00902FB2" w:rsidRPr="006A5632" w14:paraId="725FA9EE" w14:textId="77777777" w:rsidTr="00785473">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132031" w14:textId="77777777" w:rsidR="00902FB2" w:rsidRPr="006A5632" w:rsidRDefault="00902FB2" w:rsidP="000339F8">
            <w:pPr>
              <w:pStyle w:val="NoSpacing"/>
              <w:jc w:val="center"/>
              <w:rPr>
                <w:szCs w:val="20"/>
                <w:lang w:eastAsia="en-GB"/>
              </w:rPr>
            </w:pPr>
            <w:r w:rsidRPr="006A5632">
              <w:rPr>
                <w:szCs w:val="20"/>
                <w:lang w:eastAsia="en-GB"/>
              </w:rPr>
              <w:t>2050</w:t>
            </w:r>
          </w:p>
        </w:tc>
        <w:tc>
          <w:tcPr>
            <w:tcW w:w="0" w:type="auto"/>
            <w:noWrap/>
            <w:vAlign w:val="center"/>
            <w:hideMark/>
          </w:tcPr>
          <w:p w14:paraId="34C6EDD0"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230.92</w:t>
            </w:r>
          </w:p>
        </w:tc>
        <w:tc>
          <w:tcPr>
            <w:tcW w:w="0" w:type="auto"/>
            <w:noWrap/>
            <w:vAlign w:val="center"/>
            <w:hideMark/>
          </w:tcPr>
          <w:p w14:paraId="4E9E21B3"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115.46</w:t>
            </w:r>
          </w:p>
        </w:tc>
        <w:tc>
          <w:tcPr>
            <w:tcW w:w="0" w:type="auto"/>
            <w:noWrap/>
            <w:vAlign w:val="center"/>
            <w:hideMark/>
          </w:tcPr>
          <w:p w14:paraId="237FA167" w14:textId="77777777" w:rsidR="00902FB2" w:rsidRPr="006A5632" w:rsidRDefault="00902FB2" w:rsidP="000339F8">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6A5632">
              <w:rPr>
                <w:szCs w:val="20"/>
                <w:lang w:eastAsia="en-GB"/>
              </w:rPr>
              <w:t>346.39</w:t>
            </w:r>
          </w:p>
        </w:tc>
      </w:tr>
    </w:tbl>
    <w:p w14:paraId="71AD83A4" w14:textId="1350E127" w:rsidR="00692A9F" w:rsidRDefault="00692A9F" w:rsidP="00197F65">
      <w:pPr>
        <w:pStyle w:val="Heading3"/>
      </w:pPr>
      <w:r>
        <w:t>Production technologies</w:t>
      </w:r>
    </w:p>
    <w:bookmarkEnd w:id="48"/>
    <w:p w14:paraId="7948B304" w14:textId="424DDB50" w:rsidR="00692A9F" w:rsidRPr="00007C26" w:rsidRDefault="00692A9F" w:rsidP="00692A9F">
      <w:r w:rsidRPr="008576D5">
        <w:t xml:space="preserve">Production from onshore wind </w:t>
      </w:r>
      <w:r w:rsidR="003F3A56">
        <w:t>and onshore solar PV</w:t>
      </w:r>
      <w:r w:rsidR="003F3A56" w:rsidRPr="008576D5">
        <w:t xml:space="preserve"> </w:t>
      </w:r>
      <w:r w:rsidR="003F3A56">
        <w:t xml:space="preserve"> were</w:t>
      </w:r>
      <w:r w:rsidRPr="008576D5">
        <w:t xml:space="preserve"> constrained by land availability for windfarms</w:t>
      </w:r>
      <w:r w:rsidR="003757B3">
        <w:t xml:space="preserve"> and by capacity factors. Average wind </w:t>
      </w:r>
      <w:r w:rsidR="003F3A56">
        <w:t xml:space="preserve">and solar PV </w:t>
      </w:r>
      <w:r w:rsidR="003757B3">
        <w:t>capacity factor</w:t>
      </w:r>
      <w:r w:rsidR="003F3A56">
        <w:t>s</w:t>
      </w:r>
      <w:r w:rsidR="003757B3">
        <w:t xml:space="preserve"> w</w:t>
      </w:r>
      <w:r w:rsidR="003F3A56">
        <w:t>ere</w:t>
      </w:r>
      <w:r w:rsidR="003757B3">
        <w:t xml:space="preserve"> taken at the centroid for each zone from</w:t>
      </w:r>
      <w:r w:rsidR="007B15AD">
        <w:t xml:space="preserve"> </w:t>
      </w:r>
      <w:r w:rsidR="007B15AD">
        <w:fldChar w:fldCharType="begin"/>
      </w:r>
      <w:r w:rsidR="003C7F9A">
        <w:instrText xml:space="preserve"> ADDIN EN.CITE &lt;EndNote&gt;&lt;Cite&gt;&lt;RecNum&gt;1075&lt;/RecNum&gt;&lt;DisplayText&gt;[48]&lt;/DisplayText&gt;&lt;record&gt;&lt;rec-number&gt;1075&lt;/rec-number&gt;&lt;foreign-keys&gt;&lt;key app="EN" db-id="w500zpaaheraz8epaw1p29dtf2ff9zrswv50" timestamp="1607697901"&gt;1075&lt;/key&gt;&lt;/foreign-keys&gt;&lt;ref-type name="Web Page"&gt;12&lt;/ref-type&gt;&lt;contributors&gt;&lt;/contributors&gt;&lt;titles&gt;&lt;title&gt;Renewables.ninja&lt;/title&gt;&lt;/titles&gt;&lt;dates&gt;&lt;/dates&gt;&lt;urls&gt;&lt;related-urls&gt;&lt;url&gt;https://www.renewables.ninja/&lt;/url&gt;&lt;/related-urls&gt;&lt;/urls&gt;&lt;/record&gt;&lt;/Cite&gt;&lt;/EndNote&gt;</w:instrText>
      </w:r>
      <w:r w:rsidR="007B15AD">
        <w:fldChar w:fldCharType="separate"/>
      </w:r>
      <w:r w:rsidR="003C7F9A">
        <w:rPr>
          <w:noProof/>
        </w:rPr>
        <w:t>[</w:t>
      </w:r>
      <w:hyperlink w:anchor="_ENREF_48" w:tooltip=",  #1075" w:history="1">
        <w:r w:rsidR="006210AE">
          <w:rPr>
            <w:noProof/>
          </w:rPr>
          <w:t>48</w:t>
        </w:r>
      </w:hyperlink>
      <w:r w:rsidR="003C7F9A">
        <w:rPr>
          <w:noProof/>
        </w:rPr>
        <w:t>]</w:t>
      </w:r>
      <w:r w:rsidR="007B15AD">
        <w:fldChar w:fldCharType="end"/>
      </w:r>
      <w:r w:rsidR="003F3A56">
        <w:t xml:space="preserve">. For wind turbines, </w:t>
      </w:r>
      <w:r w:rsidR="003757B3">
        <w:t xml:space="preserve"> a</w:t>
      </w:r>
      <w:r w:rsidR="003757B3" w:rsidRPr="00261C7D">
        <w:t xml:space="preserve"> hub height </w:t>
      </w:r>
      <w:r w:rsidR="003757B3">
        <w:t>of</w:t>
      </w:r>
      <w:r w:rsidR="003757B3" w:rsidRPr="00261C7D">
        <w:t xml:space="preserve"> 80m</w:t>
      </w:r>
      <w:r w:rsidR="003F3A56">
        <w:t xml:space="preserve"> was assumed</w:t>
      </w:r>
      <w:r w:rsidR="003757B3" w:rsidRPr="00261C7D">
        <w:t xml:space="preserve">, using the MERRA-2 (global) </w:t>
      </w:r>
      <w:r w:rsidR="003757B3">
        <w:t xml:space="preserve">2019 </w:t>
      </w:r>
      <w:r w:rsidR="003757B3" w:rsidRPr="00261C7D">
        <w:t>dataset, and a turbine model of Vestas V90 2000</w:t>
      </w:r>
      <w:r w:rsidR="003F3A56" w:rsidRPr="004C73FA">
        <w:t xml:space="preserve">. For solar PV, </w:t>
      </w:r>
      <w:r w:rsidR="004C73FA" w:rsidRPr="004C73FA">
        <w:t xml:space="preserve">a </w:t>
      </w:r>
      <w:r w:rsidR="003F3A56" w:rsidRPr="004C73FA">
        <w:t>10% system</w:t>
      </w:r>
      <w:r w:rsidR="004C73FA" w:rsidRPr="004C73FA">
        <w:t>’s</w:t>
      </w:r>
      <w:r w:rsidR="003F3A56" w:rsidRPr="004C73FA">
        <w:t xml:space="preserve"> loss</w:t>
      </w:r>
      <w:r w:rsidR="004C73FA" w:rsidRPr="004C73FA">
        <w:t xml:space="preserve"> was considered</w:t>
      </w:r>
      <w:r w:rsidR="003F3A56" w:rsidRPr="004C73FA">
        <w:t>,</w:t>
      </w:r>
      <w:r w:rsidR="004C73FA" w:rsidRPr="004C73FA">
        <w:t xml:space="preserve"> with</w:t>
      </w:r>
      <w:r w:rsidR="003F3A56" w:rsidRPr="004C73FA">
        <w:t xml:space="preserve"> a tilt and azimuth of 35</w:t>
      </w:r>
      <w:r w:rsidR="003F3A56" w:rsidRPr="004C73FA">
        <w:sym w:font="Symbol" w:char="F0B0"/>
      </w:r>
      <w:r w:rsidR="003F3A56" w:rsidRPr="004C73FA">
        <w:t xml:space="preserve"> and 180</w:t>
      </w:r>
      <w:r w:rsidR="003F3A56" w:rsidRPr="004C73FA">
        <w:sym w:font="Symbol" w:char="F0B0"/>
      </w:r>
      <w:r w:rsidR="004C73FA" w:rsidRPr="004C73FA">
        <w:t>.</w:t>
      </w:r>
      <w:r w:rsidR="003757B3">
        <w:t xml:space="preserve"> A full breakdown of the capacity factors used in the model can be found in Appendix</w:t>
      </w:r>
      <w:r w:rsidR="00F56122">
        <w:t xml:space="preserve"> </w:t>
      </w:r>
      <w:r w:rsidR="00F56122">
        <w:fldChar w:fldCharType="begin"/>
      </w:r>
      <w:r w:rsidR="00F56122">
        <w:instrText xml:space="preserve"> REF _Ref78018523 \r \h </w:instrText>
      </w:r>
      <w:r w:rsidR="00F56122">
        <w:fldChar w:fldCharType="separate"/>
      </w:r>
      <w:r w:rsidR="00F56122">
        <w:t>C.6</w:t>
      </w:r>
      <w:r w:rsidR="00F56122">
        <w:fldChar w:fldCharType="end"/>
      </w:r>
      <w:r w:rsidR="003757B3">
        <w:t xml:space="preserve">, </w:t>
      </w:r>
      <w:r w:rsidR="003757B3">
        <w:fldChar w:fldCharType="begin"/>
      </w:r>
      <w:r w:rsidR="003757B3">
        <w:instrText xml:space="preserve"> REF _Ref48760926 \h </w:instrText>
      </w:r>
      <w:r w:rsidR="003757B3">
        <w:fldChar w:fldCharType="separate"/>
      </w:r>
      <w:r w:rsidR="00FC4990">
        <w:t xml:space="preserve">Table </w:t>
      </w:r>
      <w:r w:rsidR="00FC4990">
        <w:rPr>
          <w:noProof/>
        </w:rPr>
        <w:t>20</w:t>
      </w:r>
      <w:r w:rsidR="003757B3">
        <w:fldChar w:fldCharType="end"/>
      </w:r>
      <w:r w:rsidR="003757B3">
        <w:t>.</w:t>
      </w:r>
      <w:r>
        <w:t xml:space="preserve"> </w:t>
      </w:r>
      <w:r w:rsidR="00C26B6F">
        <w:t xml:space="preserve">Land availability for windfarms </w:t>
      </w:r>
      <w:r w:rsidR="003F3A56">
        <w:t xml:space="preserve">and solar PV </w:t>
      </w:r>
      <w:r w:rsidRPr="00007C26">
        <w:t>was adapted from Samsatli et al.</w:t>
      </w:r>
      <w:r w:rsidR="007B15AD">
        <w:t xml:space="preserve"> </w:t>
      </w:r>
      <w:r w:rsidR="007B15AD">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7B15AD">
        <w:fldChar w:fldCharType="separate"/>
      </w:r>
      <w:r w:rsidR="00AA243F">
        <w:rPr>
          <w:noProof/>
        </w:rPr>
        <w:t>[</w:t>
      </w:r>
      <w:hyperlink w:anchor="_ENREF_23" w:tooltip="Samsatli, 2016 #1095" w:history="1">
        <w:r w:rsidR="006210AE">
          <w:rPr>
            <w:noProof/>
          </w:rPr>
          <w:t>23</w:t>
        </w:r>
      </w:hyperlink>
      <w:r w:rsidR="00AA243F">
        <w:rPr>
          <w:noProof/>
        </w:rPr>
        <w:t>]</w:t>
      </w:r>
      <w:r w:rsidR="007B15AD">
        <w:fldChar w:fldCharType="end"/>
      </w:r>
      <w:r w:rsidR="006916CC">
        <w:t>,</w:t>
      </w:r>
      <w:r w:rsidRPr="00007C26">
        <w:t xml:space="preserve"> which used GIS mapping with Great Britain split into 16 zones. This was done through a two-step process</w:t>
      </w:r>
      <w:r w:rsidR="00007C26" w:rsidRPr="00007C26">
        <w:t xml:space="preserve">: First, the </w:t>
      </w:r>
      <w:r w:rsidRPr="00007C26">
        <w:t xml:space="preserve">34 zones considered in this study </w:t>
      </w:r>
      <w:r w:rsidR="00007C26" w:rsidRPr="00007C26">
        <w:t xml:space="preserve">were described as </w:t>
      </w:r>
      <w:r w:rsidRPr="00007C26">
        <w:t>fractions of the 16 zones used in</w:t>
      </w:r>
      <w:r w:rsidR="007B15AD">
        <w:t xml:space="preserve"> </w:t>
      </w:r>
      <w:r w:rsidR="007B15AD">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7B15AD">
        <w:fldChar w:fldCharType="separate"/>
      </w:r>
      <w:r w:rsidR="00AA243F">
        <w:rPr>
          <w:noProof/>
        </w:rPr>
        <w:t>[</w:t>
      </w:r>
      <w:hyperlink w:anchor="_ENREF_23" w:tooltip="Samsatli, 2016 #1095" w:history="1">
        <w:r w:rsidR="006210AE">
          <w:rPr>
            <w:noProof/>
          </w:rPr>
          <w:t>23</w:t>
        </w:r>
      </w:hyperlink>
      <w:r w:rsidR="00AA243F">
        <w:rPr>
          <w:noProof/>
        </w:rPr>
        <w:t>]</w:t>
      </w:r>
      <w:r w:rsidR="007B15AD">
        <w:fldChar w:fldCharType="end"/>
      </w:r>
      <w:r w:rsidRPr="00007C26">
        <w:t xml:space="preserve">. </w:t>
      </w:r>
      <w:r w:rsidR="00007C26" w:rsidRPr="00007C26">
        <w:t xml:space="preserve">Second, land availability for the 34 zones of this study were obtained </w:t>
      </w:r>
      <w:r w:rsidRPr="00007C26">
        <w:t>by multiplying the fraction of the zones</w:t>
      </w:r>
      <w:r w:rsidR="00007C26" w:rsidRPr="00007C26">
        <w:t xml:space="preserve"> as referred to</w:t>
      </w:r>
      <w:r w:rsidR="007B15AD">
        <w:t xml:space="preserve"> </w:t>
      </w:r>
      <w:r w:rsidR="007B15AD">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7B15AD">
        <w:fldChar w:fldCharType="separate"/>
      </w:r>
      <w:r w:rsidR="00AA243F">
        <w:rPr>
          <w:noProof/>
        </w:rPr>
        <w:t>[</w:t>
      </w:r>
      <w:hyperlink w:anchor="_ENREF_23" w:tooltip="Samsatli, 2016 #1095" w:history="1">
        <w:r w:rsidR="006210AE">
          <w:rPr>
            <w:noProof/>
          </w:rPr>
          <w:t>23</w:t>
        </w:r>
      </w:hyperlink>
      <w:r w:rsidR="00AA243F">
        <w:rPr>
          <w:noProof/>
        </w:rPr>
        <w:t>]</w:t>
      </w:r>
      <w:r w:rsidR="007B15AD">
        <w:fldChar w:fldCharType="end"/>
      </w:r>
      <w:r w:rsidR="00007C26" w:rsidRPr="00007C26">
        <w:t xml:space="preserve">, </w:t>
      </w:r>
      <w:r w:rsidRPr="00007C26">
        <w:t>with the land availability of the corresponding zones from</w:t>
      </w:r>
      <w:r w:rsidR="007B15AD">
        <w:t xml:space="preserve"> </w:t>
      </w:r>
      <w:r w:rsidR="007B15AD">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7B15AD">
        <w:fldChar w:fldCharType="separate"/>
      </w:r>
      <w:r w:rsidR="00AA243F">
        <w:rPr>
          <w:noProof/>
        </w:rPr>
        <w:t>[</w:t>
      </w:r>
      <w:hyperlink w:anchor="_ENREF_23" w:tooltip="Samsatli, 2016 #1095" w:history="1">
        <w:r w:rsidR="006210AE">
          <w:rPr>
            <w:noProof/>
          </w:rPr>
          <w:t>23</w:t>
        </w:r>
      </w:hyperlink>
      <w:r w:rsidR="00AA243F">
        <w:rPr>
          <w:noProof/>
        </w:rPr>
        <w:t>]</w:t>
      </w:r>
      <w:r w:rsidR="007B15AD">
        <w:fldChar w:fldCharType="end"/>
      </w:r>
      <w:r w:rsidR="00007C26" w:rsidRPr="00007C26">
        <w:t xml:space="preserve">. For example, </w:t>
      </w:r>
      <w:r w:rsidRPr="00007C26">
        <w:t>the land availability for zone 1 in this study was estimated using</w:t>
      </w:r>
      <w:r w:rsidR="00147E9E">
        <w:t xml:space="preserve"> Equation</w:t>
      </w:r>
      <w:r w:rsidR="00007C26">
        <w:t xml:space="preserve"> </w:t>
      </w:r>
      <w:r w:rsidR="00007C26">
        <w:fldChar w:fldCharType="begin"/>
      </w:r>
      <w:r w:rsidR="00007C26">
        <w:instrText xml:space="preserve"> REF _Ref49436785 \h </w:instrText>
      </w:r>
      <w:r w:rsidR="00007C26">
        <w:fldChar w:fldCharType="separate"/>
      </w:r>
      <w:r w:rsidR="005851DD" w:rsidRPr="00007C26">
        <w:t>(</w:t>
      </w:r>
      <w:r w:rsidR="005851DD">
        <w:rPr>
          <w:noProof/>
        </w:rPr>
        <w:t>18</w:t>
      </w:r>
      <w:r w:rsidR="005851DD" w:rsidRPr="00007C26">
        <w:t>)</w:t>
      </w:r>
      <w:r w:rsidR="00007C26">
        <w:fldChar w:fldCharType="end"/>
      </w:r>
      <w:r w:rsidRPr="00007C26">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8063"/>
        <w:gridCol w:w="573"/>
      </w:tblGrid>
      <w:tr w:rsidR="00692A9F" w14:paraId="75E6A126" w14:textId="77777777" w:rsidTr="00262AFD">
        <w:tc>
          <w:tcPr>
            <w:tcW w:w="250" w:type="pct"/>
            <w:shd w:val="clear" w:color="auto" w:fill="auto"/>
          </w:tcPr>
          <w:p w14:paraId="7508ABF7" w14:textId="77777777" w:rsidR="00692A9F" w:rsidRPr="00007C26" w:rsidRDefault="00692A9F" w:rsidP="00262AFD"/>
        </w:tc>
        <w:tc>
          <w:tcPr>
            <w:tcW w:w="4500" w:type="pct"/>
            <w:shd w:val="clear" w:color="auto" w:fill="auto"/>
            <w:vAlign w:val="center"/>
          </w:tcPr>
          <w:p w14:paraId="68BA2B53" w14:textId="6553EC98" w:rsidR="00692A9F" w:rsidRPr="00007C26" w:rsidRDefault="00692A9F" w:rsidP="00262AFD">
            <w:pPr>
              <w:jc w:val="center"/>
            </w:pPr>
            <m:oMathPara>
              <m:oMath>
                <m:r>
                  <w:rPr>
                    <w:rFonts w:ascii="Cambria Math" w:hAnsi="Cambria Math"/>
                  </w:rPr>
                  <m:t>Are</m:t>
                </m:r>
                <m:sSub>
                  <m:sSubPr>
                    <m:ctrlPr>
                      <w:rPr>
                        <w:rFonts w:ascii="Cambria Math" w:hAnsi="Cambria Math"/>
                        <w:i/>
                      </w:rPr>
                    </m:ctrlPr>
                  </m:sSubPr>
                  <m:e>
                    <m:r>
                      <w:rPr>
                        <w:rFonts w:ascii="Cambria Math" w:hAnsi="Cambria Math"/>
                      </w:rPr>
                      <m:t>a</m:t>
                    </m:r>
                  </m:e>
                  <m:sub>
                    <m:r>
                      <w:rPr>
                        <w:rFonts w:ascii="Cambria Math" w:hAnsi="Cambria Math"/>
                      </w:rPr>
                      <m:t>Z1</m:t>
                    </m:r>
                  </m:sub>
                </m:sSub>
                <m:r>
                  <w:rPr>
                    <w:rFonts w:ascii="Cambria Math" w:hAnsi="Cambria Math"/>
                  </w:rPr>
                  <m:t>=0.15⋅Are</m:t>
                </m:r>
                <m:sSubSup>
                  <m:sSubSupPr>
                    <m:ctrlPr>
                      <w:rPr>
                        <w:rFonts w:ascii="Cambria Math" w:hAnsi="Cambria Math"/>
                        <w:i/>
                      </w:rPr>
                    </m:ctrlPr>
                  </m:sSubSupPr>
                  <m:e>
                    <m:r>
                      <w:rPr>
                        <w:rFonts w:ascii="Cambria Math" w:hAnsi="Cambria Math"/>
                      </w:rPr>
                      <m:t>a</m:t>
                    </m:r>
                  </m:e>
                  <m:sub>
                    <m:r>
                      <w:rPr>
                        <w:rFonts w:ascii="Cambria Math" w:hAnsi="Cambria Math"/>
                      </w:rPr>
                      <m:t>z11</m:t>
                    </m:r>
                  </m:sub>
                  <m:sup>
                    <m:r>
                      <w:rPr>
                        <w:rFonts w:ascii="Cambria Math" w:hAnsi="Cambria Math"/>
                      </w:rPr>
                      <m:t>Samsatli et al.</m:t>
                    </m:r>
                  </m:sup>
                </m:sSubSup>
                <m:r>
                  <w:rPr>
                    <w:rFonts w:ascii="Cambria Math" w:hAnsi="Cambria Math"/>
                  </w:rPr>
                  <m:t>+0.1⋅Are</m:t>
                </m:r>
                <m:sSubSup>
                  <m:sSubSupPr>
                    <m:ctrlPr>
                      <w:rPr>
                        <w:rFonts w:ascii="Cambria Math" w:hAnsi="Cambria Math"/>
                        <w:i/>
                      </w:rPr>
                    </m:ctrlPr>
                  </m:sSubSupPr>
                  <m:e>
                    <m:r>
                      <w:rPr>
                        <w:rFonts w:ascii="Cambria Math" w:hAnsi="Cambria Math"/>
                      </w:rPr>
                      <m:t>a</m:t>
                    </m:r>
                  </m:e>
                  <m:sub>
                    <m:r>
                      <w:rPr>
                        <w:rFonts w:ascii="Cambria Math" w:hAnsi="Cambria Math"/>
                      </w:rPr>
                      <m:t>z13</m:t>
                    </m:r>
                  </m:sub>
                  <m:sup>
                    <m:r>
                      <w:rPr>
                        <w:rFonts w:ascii="Cambria Math" w:hAnsi="Cambria Math"/>
                      </w:rPr>
                      <m:t>Samsatli et al.</m:t>
                    </m:r>
                  </m:sup>
                </m:sSubSup>
              </m:oMath>
            </m:oMathPara>
          </w:p>
        </w:tc>
        <w:tc>
          <w:tcPr>
            <w:tcW w:w="250" w:type="pct"/>
            <w:shd w:val="clear" w:color="auto" w:fill="auto"/>
            <w:vAlign w:val="center"/>
          </w:tcPr>
          <w:p w14:paraId="491CEE16" w14:textId="6D4E8508" w:rsidR="00692A9F" w:rsidRPr="00BF2BA0" w:rsidRDefault="00692A9F" w:rsidP="00262AFD">
            <w:pPr>
              <w:jc w:val="center"/>
            </w:pPr>
            <w:bookmarkStart w:id="50" w:name="_Ref49436785"/>
            <w:r w:rsidRPr="00007C26">
              <w:t>(</w:t>
            </w:r>
            <w:fldSimple w:instr=" SEQ Equation \* MERGEFORMAT ">
              <w:r w:rsidR="005851DD">
                <w:rPr>
                  <w:noProof/>
                </w:rPr>
                <w:t>18</w:t>
              </w:r>
            </w:fldSimple>
            <w:r w:rsidRPr="00007C26">
              <w:t>)</w:t>
            </w:r>
            <w:bookmarkEnd w:id="50"/>
          </w:p>
        </w:tc>
      </w:tr>
    </w:tbl>
    <w:p w14:paraId="2BC122DF" w14:textId="0D7E129E" w:rsidR="00692A9F" w:rsidRDefault="00692A9F" w:rsidP="00692A9F">
      <w:r>
        <w:t>A summary of th</w:t>
      </w:r>
      <w:r w:rsidR="00007C26">
        <w:t xml:space="preserve">ese results </w:t>
      </w:r>
      <w:r>
        <w:t xml:space="preserve">can be found in </w:t>
      </w:r>
      <w:r w:rsidR="00F56122">
        <w:t xml:space="preserve">Appendix </w:t>
      </w:r>
      <w:r w:rsidR="00F56122">
        <w:fldChar w:fldCharType="begin"/>
      </w:r>
      <w:r w:rsidR="00F56122">
        <w:instrText xml:space="preserve"> REF _Ref78018523 \r \h </w:instrText>
      </w:r>
      <w:r w:rsidR="00F56122">
        <w:fldChar w:fldCharType="separate"/>
      </w:r>
      <w:r w:rsidR="00F56122">
        <w:t>C.6</w:t>
      </w:r>
      <w:r w:rsidR="00F56122">
        <w:fldChar w:fldCharType="end"/>
      </w:r>
      <w:r w:rsidR="00007C26">
        <w:t xml:space="preserve">, </w:t>
      </w:r>
      <w:r w:rsidR="00007C26">
        <w:fldChar w:fldCharType="begin"/>
      </w:r>
      <w:r w:rsidR="00007C26">
        <w:instrText xml:space="preserve"> REF _Ref48760926 \h </w:instrText>
      </w:r>
      <w:r w:rsidR="00007C26">
        <w:fldChar w:fldCharType="separate"/>
      </w:r>
      <w:r w:rsidR="005851DD">
        <w:t xml:space="preserve">Table </w:t>
      </w:r>
      <w:r w:rsidR="005851DD">
        <w:rPr>
          <w:noProof/>
        </w:rPr>
        <w:t>20</w:t>
      </w:r>
      <w:r w:rsidR="00007C26">
        <w:fldChar w:fldCharType="end"/>
      </w:r>
      <w:r w:rsidR="00007C26">
        <w:t xml:space="preserve">. </w:t>
      </w:r>
      <w:r>
        <w:t xml:space="preserve">Furthermore, the radius and maximum production capacity of a wind turbine used in Equation </w:t>
      </w:r>
      <w:r w:rsidR="00007C26">
        <w:fldChar w:fldCharType="begin"/>
      </w:r>
      <w:r w:rsidR="00007C26">
        <w:instrText xml:space="preserve"> REF _Ref54161569 \h </w:instrText>
      </w:r>
      <w:r w:rsidR="00007C26">
        <w:fldChar w:fldCharType="separate"/>
      </w:r>
      <w:r w:rsidR="005851DD" w:rsidRPr="00BF2BA0">
        <w:t>(</w:t>
      </w:r>
      <w:r w:rsidR="005851DD">
        <w:rPr>
          <w:noProof/>
        </w:rPr>
        <w:t>8</w:t>
      </w:r>
      <w:r w:rsidR="005851DD" w:rsidRPr="00BF2BA0">
        <w:t>)</w:t>
      </w:r>
      <w:r w:rsidR="00007C26">
        <w:fldChar w:fldCharType="end"/>
      </w:r>
      <w:r w:rsidR="00007C26">
        <w:t xml:space="preserve"> were</w:t>
      </w:r>
      <w:r>
        <w:t xml:space="preserve"> also taken from</w:t>
      </w:r>
      <w:r w:rsidR="007B15AD">
        <w:t xml:space="preserve"> </w:t>
      </w:r>
      <w:r w:rsidR="007B15AD">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7B15AD">
        <w:fldChar w:fldCharType="separate"/>
      </w:r>
      <w:r w:rsidR="00AA243F">
        <w:rPr>
          <w:noProof/>
        </w:rPr>
        <w:t>[</w:t>
      </w:r>
      <w:hyperlink w:anchor="_ENREF_23" w:tooltip="Samsatli, 2016 #1095" w:history="1">
        <w:r w:rsidR="006210AE">
          <w:rPr>
            <w:noProof/>
          </w:rPr>
          <w:t>23</w:t>
        </w:r>
      </w:hyperlink>
      <w:r w:rsidR="00AA243F">
        <w:rPr>
          <w:noProof/>
        </w:rPr>
        <w:t>]</w:t>
      </w:r>
      <w:r w:rsidR="007B15AD">
        <w:fldChar w:fldCharType="end"/>
      </w:r>
      <w:r>
        <w:t xml:space="preserve"> to be 35m and 2.86</w:t>
      </w:r>
      <w:r w:rsidR="00C26B6F">
        <w:t xml:space="preserve"> </w:t>
      </w:r>
      <w:r>
        <w:t>MW, respectively.</w:t>
      </w:r>
      <w:r w:rsidR="00434694">
        <w:t xml:space="preserve"> The area of solar PV capacity used in Equation </w:t>
      </w:r>
      <w:r w:rsidR="00434694">
        <w:fldChar w:fldCharType="begin"/>
      </w:r>
      <w:r w:rsidR="00434694">
        <w:instrText xml:space="preserve"> REF _Ref77097801 \h </w:instrText>
      </w:r>
      <w:r w:rsidR="00434694">
        <w:fldChar w:fldCharType="separate"/>
      </w:r>
      <w:r w:rsidR="005851DD" w:rsidRPr="00BF2BA0">
        <w:t>(</w:t>
      </w:r>
      <w:r w:rsidR="005851DD">
        <w:rPr>
          <w:noProof/>
        </w:rPr>
        <w:t>9</w:t>
      </w:r>
      <w:r w:rsidR="005851DD" w:rsidRPr="00BF2BA0">
        <w:t>)</w:t>
      </w:r>
      <w:r w:rsidR="00434694">
        <w:fldChar w:fldCharType="end"/>
      </w:r>
      <w:r w:rsidR="00434694">
        <w:t xml:space="preserve"> was assumed to be 6 kWp/m</w:t>
      </w:r>
      <w:r w:rsidR="00434694">
        <w:rPr>
          <w:vertAlign w:val="superscript"/>
        </w:rPr>
        <w:t>2</w:t>
      </w:r>
      <w:r w:rsidR="00434694">
        <w:t xml:space="preserve"> </w:t>
      </w:r>
      <w:r w:rsidR="00434694">
        <w:fldChar w:fldCharType="begin"/>
      </w:r>
      <w:r w:rsidR="00434694">
        <w:instrText xml:space="preserve"> ADDIN EN.CITE &lt;EndNote&gt;&lt;Cite&gt;&lt;Author&gt;In Balance Energy&lt;/Author&gt;&lt;Year&gt;2021&lt;/Year&gt;&lt;RecNum&gt;1395&lt;/RecNum&gt;&lt;DisplayText&gt;[49]&lt;/DisplayText&gt;&lt;record&gt;&lt;rec-number&gt;1395&lt;/rec-number&gt;&lt;foreign-keys&gt;&lt;key app="EN" db-id="w500zpaaheraz8epaw1p29dtf2ff9zrswv50" timestamp="1626999054"&gt;1395&lt;/key&gt;&lt;/foreign-keys&gt;&lt;ref-type name="Web Page"&gt;12&lt;/ref-type&gt;&lt;contributors&gt;&lt;authors&gt;&lt;author&gt;In Balance Energy,&lt;/author&gt;&lt;/authors&gt;&lt;/contributors&gt;&lt;titles&gt;&lt;title&gt;Solar and Electrical Services &amp;amp; Systems&lt;/title&gt;&lt;/titles&gt;&lt;volume&gt;2021&lt;/volume&gt;&lt;number&gt;13 Julu&lt;/number&gt;&lt;dates&gt;&lt;year&gt;2021&lt;/year&gt;&lt;/dates&gt;&lt;urls&gt;&lt;related-urls&gt;&lt;url&gt;https://www.inbalance-energy.co.uk/articles/solar_panels_pv_calculator.html&lt;/url&gt;&lt;/related-urls&gt;&lt;/urls&gt;&lt;custom1&gt;2021&lt;/custom1&gt;&lt;/record&gt;&lt;/Cite&gt;&lt;/EndNote&gt;</w:instrText>
      </w:r>
      <w:r w:rsidR="00434694">
        <w:fldChar w:fldCharType="separate"/>
      </w:r>
      <w:r w:rsidR="00434694">
        <w:rPr>
          <w:noProof/>
        </w:rPr>
        <w:t>[</w:t>
      </w:r>
      <w:hyperlink w:anchor="_ENREF_49" w:tooltip="In Balance Energy, 2021 #1395" w:history="1">
        <w:r w:rsidR="006210AE">
          <w:rPr>
            <w:noProof/>
          </w:rPr>
          <w:t>49</w:t>
        </w:r>
      </w:hyperlink>
      <w:r w:rsidR="00434694">
        <w:rPr>
          <w:noProof/>
        </w:rPr>
        <w:t>]</w:t>
      </w:r>
      <w:r w:rsidR="00434694">
        <w:fldChar w:fldCharType="end"/>
      </w:r>
      <w:r w:rsidR="00434694">
        <w:t>.</w:t>
      </w:r>
    </w:p>
    <w:p w14:paraId="42107EC8" w14:textId="334C47CA" w:rsidR="00A31B1B" w:rsidRDefault="00A31B1B" w:rsidP="00A31B1B">
      <w:r>
        <w:t>Production from steam methane reforming (plus CCS) was constrained to zones that have connections to identified offshore carbon capture and storage sites. This information was obtained from</w:t>
      </w:r>
      <w:r w:rsidR="007B15AD">
        <w:t xml:space="preserve"> </w:t>
      </w:r>
      <w:r w:rsidR="002C599F">
        <w:fldChar w:fldCharType="begin"/>
      </w:r>
      <w:r w:rsidR="00434694">
        <w:instrText xml:space="preserve"> ADDIN EN.CITE &lt;EndNote&gt;&lt;Cite&gt;&lt;Author&gt;BEIS&lt;/Author&gt;&lt;Year&gt;2018&lt;/Year&gt;&lt;RecNum&gt;907&lt;/RecNum&gt;&lt;DisplayText&gt;[50]&lt;/DisplayText&gt;&lt;record&gt;&lt;rec-number&gt;907&lt;/rec-number&gt;&lt;foreign-keys&gt;&lt;key app="EN" db-id="w500zpaaheraz8epaw1p29dtf2ff9zrswv50" timestamp="1607697901"&gt;907&lt;/key&gt;&lt;/foreign-keys&gt;&lt;ref-type name="Report"&gt;27&lt;/ref-type&gt;&lt;contributors&gt;&lt;authors&gt;&lt;author&gt;BEIS&lt;/author&gt;&lt;/authors&gt;&lt;/contributors&gt;&lt;titles&gt;&lt;title&gt;Clean Growth The UK Carbon Capture Usage and Storage deployment pathway An Action Plan&lt;/title&gt;&lt;/titles&gt;&lt;dates&gt;&lt;year&gt;2018&lt;/year&gt;&lt;/dates&gt;&lt;publisher&gt;The Department for Business, Energy, and Industrial Strategy,&lt;/publisher&gt;&lt;urls&gt;&lt;related-urls&gt;&lt;url&gt;https://assets.publishing.service.gov.uk/government/uploads/system/uploads/attachment_data/file/759637/beis-ccus-action-plan.pdf&lt;/url&gt;&lt;/related-urls&gt;&lt;pdf-urls&gt;&lt;url&gt;file://Users\David\Library\Application Support\Mendeley Desktop\Downloaded\The Department for Business Energy &amp;amp; Industrial Strategy - 2018 - Clean Growth The UK Carbon Capture Usage and Storage deployment pathwa.pdf&lt;/url&gt;&lt;/pdf-urls&gt;&lt;/urls&gt;&lt;/record&gt;&lt;/Cite&gt;&lt;/EndNote&gt;</w:instrText>
      </w:r>
      <w:r w:rsidR="002C599F">
        <w:fldChar w:fldCharType="separate"/>
      </w:r>
      <w:r w:rsidR="00434694">
        <w:rPr>
          <w:noProof/>
        </w:rPr>
        <w:t>[</w:t>
      </w:r>
      <w:hyperlink w:anchor="_ENREF_50" w:tooltip="BEIS, 2018 #907" w:history="1">
        <w:r w:rsidR="006210AE">
          <w:rPr>
            <w:noProof/>
          </w:rPr>
          <w:t>50</w:t>
        </w:r>
      </w:hyperlink>
      <w:r w:rsidR="00434694">
        <w:rPr>
          <w:noProof/>
        </w:rPr>
        <w:t>]</w:t>
      </w:r>
      <w:r w:rsidR="002C599F">
        <w:fldChar w:fldCharType="end"/>
      </w:r>
      <w:r>
        <w:t xml:space="preserve"> and cross </w:t>
      </w:r>
      <w:r w:rsidR="00A7708F">
        <w:t>checked with</w:t>
      </w:r>
      <w:r w:rsidR="002C599F">
        <w:t xml:space="preserve"> </w:t>
      </w:r>
      <w:r w:rsidR="002C599F">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2C599F">
        <w:fldChar w:fldCharType="separate"/>
      </w:r>
      <w:r w:rsidR="00434694">
        <w:rPr>
          <w:noProof/>
        </w:rPr>
        <w:t>[</w:t>
      </w:r>
      <w:hyperlink w:anchor="_ENREF_51" w:tooltip="Element Energy, 2018 #1018" w:history="1">
        <w:r w:rsidR="006210AE">
          <w:rPr>
            <w:noProof/>
          </w:rPr>
          <w:t>51</w:t>
        </w:r>
      </w:hyperlink>
      <w:r w:rsidR="00434694">
        <w:rPr>
          <w:noProof/>
        </w:rPr>
        <w:t>]</w:t>
      </w:r>
      <w:r w:rsidR="002C599F">
        <w:fldChar w:fldCharType="end"/>
      </w:r>
      <w:r>
        <w:t>. This identified that production from steam methane reforming was only feasible in zones 10, 11, 18, 23, 24 and 26.</w:t>
      </w:r>
    </w:p>
    <w:p w14:paraId="3B9F866D" w14:textId="3BFBFAA3" w:rsidR="00785473" w:rsidRDefault="00262AFD" w:rsidP="00A31B1B">
      <w:pPr>
        <w:sectPr w:rsidR="00785473" w:rsidSect="00F80D9E">
          <w:pgSz w:w="11906" w:h="16838"/>
          <w:pgMar w:top="1440" w:right="1440" w:bottom="1440" w:left="1440" w:header="708" w:footer="708" w:gutter="0"/>
          <w:cols w:space="708"/>
          <w:docGrid w:linePitch="360"/>
        </w:sectPr>
      </w:pPr>
      <w:r>
        <w:t xml:space="preserve">Finally, </w:t>
      </w:r>
      <w:r w:rsidR="00A31B1B">
        <w:fldChar w:fldCharType="begin"/>
      </w:r>
      <w:r w:rsidR="00A31B1B">
        <w:instrText xml:space="preserve"> REF _Ref48767124 \h </w:instrText>
      </w:r>
      <w:r w:rsidR="00A31B1B">
        <w:fldChar w:fldCharType="separate"/>
      </w:r>
      <w:r w:rsidR="005851DD">
        <w:t xml:space="preserve">Table </w:t>
      </w:r>
      <w:r w:rsidR="005851DD">
        <w:rPr>
          <w:noProof/>
        </w:rPr>
        <w:t>7</w:t>
      </w:r>
      <w:r w:rsidR="00A31B1B">
        <w:fldChar w:fldCharType="end"/>
      </w:r>
      <w:r w:rsidR="00A31B1B">
        <w:t xml:space="preserve"> </w:t>
      </w:r>
      <w:r>
        <w:t>shows technoeconomic parameters for production technologies</w:t>
      </w:r>
      <w:r w:rsidR="00836AC8" w:rsidRPr="00836AC8">
        <w:t xml:space="preserve"> </w:t>
      </w:r>
      <w:r w:rsidR="00836AC8">
        <w:t>used as inputs in this model</w:t>
      </w:r>
      <w:r>
        <w:t xml:space="preserve">. </w:t>
      </w:r>
      <w:r w:rsidR="00F75060">
        <w:t>Further a</w:t>
      </w:r>
      <w:r w:rsidR="00A31B1B" w:rsidRPr="00262AFD">
        <w:t>ssumpti</w:t>
      </w:r>
      <w:r w:rsidR="00F75060">
        <w:t xml:space="preserve">ons can be found in </w:t>
      </w:r>
      <w:r w:rsidR="00836AC8">
        <w:t xml:space="preserve">Appendix </w:t>
      </w:r>
      <w:r w:rsidR="00836AC8">
        <w:fldChar w:fldCharType="begin"/>
      </w:r>
      <w:r w:rsidR="00836AC8">
        <w:instrText xml:space="preserve"> REF _Ref54884182 \r \h </w:instrText>
      </w:r>
      <w:r w:rsidR="00836AC8">
        <w:fldChar w:fldCharType="separate"/>
      </w:r>
      <w:r w:rsidR="005851DD">
        <w:t>C.7</w:t>
      </w:r>
      <w:r w:rsidR="00836AC8">
        <w:fldChar w:fldCharType="end"/>
      </w:r>
      <w:r w:rsidR="00836AC8">
        <w:t xml:space="preserve"> and </w:t>
      </w:r>
      <w:r w:rsidR="00836AC8">
        <w:fldChar w:fldCharType="begin"/>
      </w:r>
      <w:r w:rsidR="00836AC8">
        <w:instrText xml:space="preserve"> REF _Ref54884185 \r \h </w:instrText>
      </w:r>
      <w:r w:rsidR="00836AC8">
        <w:fldChar w:fldCharType="separate"/>
      </w:r>
      <w:r w:rsidR="005851DD">
        <w:t>C.8</w:t>
      </w:r>
      <w:r w:rsidR="00836AC8">
        <w:fldChar w:fldCharType="end"/>
      </w:r>
      <w:r w:rsidR="00A31B1B" w:rsidRPr="00262AFD">
        <w:t>. F</w:t>
      </w:r>
      <w:r w:rsidR="00F75060">
        <w:t>inally</w:t>
      </w:r>
      <w:r w:rsidR="00A31B1B" w:rsidRPr="00262AFD">
        <w:t xml:space="preserve">, it was </w:t>
      </w:r>
      <w:r w:rsidR="00F75060">
        <w:t>assumed</w:t>
      </w:r>
      <w:r w:rsidR="00A31B1B" w:rsidRPr="00262AFD">
        <w:t xml:space="preserve"> that </w:t>
      </w:r>
      <w:r w:rsidR="00A31B1B" w:rsidRPr="00262AFD">
        <w:lastRenderedPageBreak/>
        <w:t>hydrogen being produced from steam methane reforming was of ‘dirty’ grade</w:t>
      </w:r>
      <w:r w:rsidR="00836AC8">
        <w:t xml:space="preserve"> for this model,</w:t>
      </w:r>
      <w:r w:rsidR="00A31B1B" w:rsidRPr="00262AFD">
        <w:t xml:space="preserve"> and hydrogen being produced from electrolysis was of ‘clean’ grade</w:t>
      </w:r>
      <w:r w:rsidR="00836AC8">
        <w:t xml:space="preserve"> for this model</w:t>
      </w:r>
      <w:r w:rsidR="00A31B1B" w:rsidRPr="00262AFD">
        <w:t>.</w:t>
      </w:r>
    </w:p>
    <w:p w14:paraId="341CE59B" w14:textId="08518D1F" w:rsidR="00A31B1B" w:rsidRDefault="00A31B1B" w:rsidP="00A31B1B"/>
    <w:p w14:paraId="53A14572" w14:textId="19EE233B" w:rsidR="00A31B1B" w:rsidRPr="00C71F3A" w:rsidRDefault="00A31B1B" w:rsidP="00262AFD">
      <w:pPr>
        <w:pStyle w:val="Caption"/>
        <w:keepNext/>
        <w:keepLines/>
        <w:widowControl w:val="0"/>
      </w:pPr>
      <w:bookmarkStart w:id="51" w:name="_Ref48767124"/>
      <w:bookmarkStart w:id="52" w:name="_Toc50359151"/>
      <w:r>
        <w:t xml:space="preserve">Table </w:t>
      </w:r>
      <w:fldSimple w:instr=" SEQ Table \* ARABIC ">
        <w:r w:rsidR="005851DD">
          <w:rPr>
            <w:noProof/>
          </w:rPr>
          <w:t>7</w:t>
        </w:r>
      </w:fldSimple>
      <w:bookmarkEnd w:id="51"/>
      <w:r w:rsidR="00866696">
        <w:t>:</w:t>
      </w:r>
      <w:r>
        <w:t xml:space="preserve"> Summary of techno-economic parameters of production technologies used in the model</w:t>
      </w:r>
      <w:r w:rsidRPr="00C71F3A">
        <w:t>;</w:t>
      </w:r>
      <w:r w:rsidR="002C599F">
        <w:t xml:space="preserve"> </w:t>
      </w:r>
      <w:r w:rsidRPr="00C71F3A">
        <w:rPr>
          <w:vertAlign w:val="superscript"/>
        </w:rPr>
        <w:t>a</w:t>
      </w:r>
      <w:r w:rsidR="002C599F" w:rsidRPr="006916CC">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2C599F" w:rsidRPr="006916CC">
        <w:fldChar w:fldCharType="separate"/>
      </w:r>
      <w:r w:rsidR="00434694">
        <w:rPr>
          <w:noProof/>
        </w:rPr>
        <w:t>[</w:t>
      </w:r>
      <w:hyperlink w:anchor="_ENREF_51" w:tooltip="Element Energy, 2018 #1018" w:history="1">
        <w:r w:rsidR="006210AE">
          <w:rPr>
            <w:noProof/>
          </w:rPr>
          <w:t>51</w:t>
        </w:r>
      </w:hyperlink>
      <w:r w:rsidR="00434694">
        <w:rPr>
          <w:noProof/>
        </w:rPr>
        <w:t>]</w:t>
      </w:r>
      <w:r w:rsidR="002C599F" w:rsidRPr="006916CC">
        <w:fldChar w:fldCharType="end"/>
      </w:r>
      <w:r w:rsidR="006916CC">
        <w:t>,</w:t>
      </w:r>
      <w:r w:rsidR="002C599F">
        <w:rPr>
          <w:vertAlign w:val="superscript"/>
        </w:rPr>
        <w:t xml:space="preserve">  </w:t>
      </w:r>
      <w:r w:rsidRPr="00C71F3A">
        <w:rPr>
          <w:vertAlign w:val="superscript"/>
        </w:rPr>
        <w:t>b</w:t>
      </w:r>
      <w:r w:rsidR="002C599F" w:rsidRPr="006916CC">
        <w:fldChar w:fldCharType="begin">
          <w:fldData xml:space="preserve">PEVuZE5vdGU+PENpdGU+PEF1dGhvcj5JRUE8L0F1dGhvcj48WWVhcj4yMDE5PC9ZZWFyPjxSZWNO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</w:fldData>
        </w:fldChar>
      </w:r>
      <w:r w:rsidR="00434694">
        <w:instrText xml:space="preserve"> ADDIN EN.CITE </w:instrText>
      </w:r>
      <w:r w:rsidR="00434694">
        <w:fldChar w:fldCharType="begin">
          <w:fldData xml:space="preserve">PEVuZE5vdGU+PENpdGU+PEF1dGhvcj5JRUE8L0F1dGhvcj48WWVhcj4yMDE5PC9ZZWFyPjxSZWNO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</w:fldData>
        </w:fldChar>
      </w:r>
      <w:r w:rsidR="00434694">
        <w:instrText xml:space="preserve"> ADDIN EN.CITE.DATA </w:instrText>
      </w:r>
      <w:r w:rsidR="00434694">
        <w:fldChar w:fldCharType="end"/>
      </w:r>
      <w:r w:rsidR="002C599F" w:rsidRPr="006916CC">
        <w:fldChar w:fldCharType="separate"/>
      </w:r>
      <w:r w:rsidR="00434694">
        <w:rPr>
          <w:noProof/>
        </w:rPr>
        <w:t>[</w:t>
      </w:r>
      <w:hyperlink w:anchor="_ENREF_52" w:tooltip="IEA, 2019 #998" w:history="1">
        <w:r w:rsidR="006210AE">
          <w:rPr>
            <w:noProof/>
          </w:rPr>
          <w:t>52</w:t>
        </w:r>
      </w:hyperlink>
      <w:r w:rsidR="00434694">
        <w:rPr>
          <w:noProof/>
        </w:rPr>
        <w:t xml:space="preserve">, </w:t>
      </w:r>
      <w:hyperlink w:anchor="_ENREF_53" w:tooltip="IEA, 2019 #999" w:history="1">
        <w:r w:rsidR="006210AE">
          <w:rPr>
            <w:noProof/>
          </w:rPr>
          <w:t>53</w:t>
        </w:r>
      </w:hyperlink>
      <w:r w:rsidR="00434694">
        <w:rPr>
          <w:noProof/>
        </w:rPr>
        <w:t>]</w:t>
      </w:r>
      <w:r w:rsidR="002C599F" w:rsidRPr="006916CC">
        <w:fldChar w:fldCharType="end"/>
      </w:r>
      <w:r w:rsidR="006916CC">
        <w:t>,</w:t>
      </w:r>
      <w:r>
        <w:t xml:space="preserve"> </w:t>
      </w:r>
      <w:r w:rsidRPr="00C71F3A">
        <w:rPr>
          <w:vertAlign w:val="superscript"/>
        </w:rPr>
        <w:t xml:space="preserve"> </w:t>
      </w:r>
      <w:r w:rsidR="002C599F">
        <w:rPr>
          <w:vertAlign w:val="superscript"/>
        </w:rPr>
        <w:t xml:space="preserve"> </w:t>
      </w:r>
      <w:r w:rsidRPr="00C71F3A">
        <w:rPr>
          <w:vertAlign w:val="superscript"/>
        </w:rPr>
        <w:t>c</w:t>
      </w:r>
      <w:r w:rsidR="002C599F" w:rsidRPr="006916CC">
        <w:fldChar w:fldCharType="begin"/>
      </w:r>
      <w:r w:rsidR="00434694">
        <w:instrText xml:space="preserve"> ADDIN EN.CITE &lt;EndNote&gt;&lt;Cite&gt;&lt;Author&gt;BEIS&lt;/Author&gt;&lt;Year&gt;2020&lt;/Year&gt;&lt;RecNum&gt;1034&lt;/RecNum&gt;&lt;DisplayText&gt;[54]&lt;/DisplayText&gt;&lt;record&gt;&lt;rec-number&gt;1034&lt;/rec-number&gt;&lt;foreign-keys&gt;&lt;key app="EN" db-id="w500zpaaheraz8epaw1p29dtf2ff9zrswv50" timestamp="1607697901"&gt;1034&lt;/key&gt;&lt;/foreign-keys&gt;&lt;ref-type name="Web Page"&gt;12&lt;/ref-type&gt;&lt;contributors&gt;&lt;authors&gt;&lt;author&gt;BEIS&lt;/author&gt;&lt;/authors&gt;&lt;/contributors&gt;&lt;titles&gt;&lt;title&gt;Green Book supplementary guidance: valuation of energy use and greenhouse gas emissions for appraisal - GOV.UK&lt;/title&gt;&lt;/titles&gt;&lt;dates&gt;&lt;year&gt;2020&lt;/year&gt;&lt;/dates&gt;&lt;publisher&gt;Department for Business, Energy, and Industrial Strategy,&lt;/publisher&gt;&lt;urls&gt;&lt;related-urls&gt;&lt;url&gt;https://www.gov.uk/government/publications/valuation-of-energy-use-and-greenhouse-gas-emissions-for-appraisal&lt;/url&gt;&lt;/related-urls&gt;&lt;/urls&gt;&lt;/record&gt;&lt;/Cite&gt;&lt;/EndNote&gt;</w:instrText>
      </w:r>
      <w:r w:rsidR="002C599F" w:rsidRPr="006916CC">
        <w:fldChar w:fldCharType="separate"/>
      </w:r>
      <w:r w:rsidR="00434694">
        <w:rPr>
          <w:noProof/>
        </w:rPr>
        <w:t>[</w:t>
      </w:r>
      <w:hyperlink w:anchor="_ENREF_54" w:tooltip="BEIS, 2020 #1034" w:history="1">
        <w:r w:rsidR="006210AE">
          <w:rPr>
            <w:noProof/>
          </w:rPr>
          <w:t>54</w:t>
        </w:r>
      </w:hyperlink>
      <w:r w:rsidR="00434694">
        <w:rPr>
          <w:noProof/>
        </w:rPr>
        <w:t>]</w:t>
      </w:r>
      <w:r w:rsidR="002C599F" w:rsidRPr="006916CC">
        <w:fldChar w:fldCharType="end"/>
      </w:r>
      <w:bookmarkEnd w:id="52"/>
      <w:r w:rsidR="000F2DBE">
        <w:t>, adjusted by inflation.</w:t>
      </w:r>
    </w:p>
    <w:tbl>
      <w:tblPr>
        <w:tblStyle w:val="PlainTable2"/>
        <w:tblW w:w="15479" w:type="dxa"/>
        <w:jc w:val="center"/>
        <w:tblLook w:val="04A0" w:firstRow="1" w:lastRow="0" w:firstColumn="1" w:lastColumn="0" w:noHBand="0" w:noVBand="1"/>
      </w:tblPr>
      <w:tblGrid>
        <w:gridCol w:w="993"/>
        <w:gridCol w:w="3286"/>
        <w:gridCol w:w="1600"/>
        <w:gridCol w:w="1600"/>
        <w:gridCol w:w="1600"/>
        <w:gridCol w:w="1600"/>
        <w:gridCol w:w="1600"/>
        <w:gridCol w:w="1600"/>
        <w:gridCol w:w="1600"/>
      </w:tblGrid>
      <w:tr w:rsidR="00A31B1B" w:rsidRPr="006604ED" w14:paraId="68E3E312" w14:textId="77777777" w:rsidTr="00EC1E49">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p w14:paraId="6CF213F5" w14:textId="77777777" w:rsidR="00A31B1B" w:rsidRPr="006604ED" w:rsidRDefault="00A31B1B" w:rsidP="00262AFD">
            <w:pPr>
              <w:keepNext/>
              <w:keepLines/>
              <w:widowControl w:val="0"/>
              <w:jc w:val="center"/>
              <w:rPr>
                <w:rFonts w:eastAsia="Times New Roman" w:cs="Arial"/>
                <w:b w:val="0"/>
                <w:bCs w:val="0"/>
                <w:color w:val="000000"/>
                <w:sz w:val="20"/>
                <w:szCs w:val="20"/>
                <w:lang w:eastAsia="en-GB"/>
              </w:rPr>
            </w:pPr>
          </w:p>
        </w:tc>
        <w:tc>
          <w:tcPr>
            <w:tcW w:w="3286" w:type="dxa"/>
            <w:noWrap/>
            <w:vAlign w:val="center"/>
            <w:hideMark/>
          </w:tcPr>
          <w:p w14:paraId="1DF48D46"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lang w:eastAsia="en-GB"/>
              </w:rPr>
            </w:pPr>
          </w:p>
        </w:tc>
        <w:tc>
          <w:tcPr>
            <w:tcW w:w="0" w:type="auto"/>
            <w:noWrap/>
            <w:vAlign w:val="center"/>
            <w:hideMark/>
          </w:tcPr>
          <w:p w14:paraId="49DC863A"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2020</w:t>
            </w:r>
          </w:p>
        </w:tc>
        <w:tc>
          <w:tcPr>
            <w:tcW w:w="0" w:type="auto"/>
            <w:vAlign w:val="center"/>
          </w:tcPr>
          <w:p w14:paraId="2C164A12"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2025</w:t>
            </w:r>
          </w:p>
        </w:tc>
        <w:tc>
          <w:tcPr>
            <w:tcW w:w="0" w:type="auto"/>
            <w:vAlign w:val="center"/>
          </w:tcPr>
          <w:p w14:paraId="6E2456B3"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2030</w:t>
            </w:r>
          </w:p>
        </w:tc>
        <w:tc>
          <w:tcPr>
            <w:tcW w:w="0" w:type="auto"/>
            <w:vAlign w:val="center"/>
          </w:tcPr>
          <w:p w14:paraId="031EF9C8"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2035</w:t>
            </w:r>
          </w:p>
        </w:tc>
        <w:tc>
          <w:tcPr>
            <w:tcW w:w="0" w:type="auto"/>
            <w:vAlign w:val="center"/>
          </w:tcPr>
          <w:p w14:paraId="56611EBC"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2040</w:t>
            </w:r>
          </w:p>
        </w:tc>
        <w:tc>
          <w:tcPr>
            <w:tcW w:w="0" w:type="auto"/>
            <w:vAlign w:val="center"/>
          </w:tcPr>
          <w:p w14:paraId="66E4EB2A"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2045</w:t>
            </w:r>
          </w:p>
        </w:tc>
        <w:tc>
          <w:tcPr>
            <w:tcW w:w="1600" w:type="dxa"/>
            <w:vAlign w:val="center"/>
          </w:tcPr>
          <w:p w14:paraId="771E8511" w14:textId="77777777" w:rsidR="00A31B1B" w:rsidRPr="006604ED" w:rsidRDefault="00A31B1B" w:rsidP="00262AFD">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2050</w:t>
            </w:r>
          </w:p>
        </w:tc>
      </w:tr>
      <w:tr w:rsidR="00A31B1B" w:rsidRPr="006604ED" w14:paraId="438703F8"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098B1A29" w14:textId="77777777" w:rsidR="00A31B1B" w:rsidRPr="006604ED" w:rsidRDefault="00A31B1B" w:rsidP="00262AFD">
            <w:pPr>
              <w:keepNext/>
              <w:widowControl w:val="0"/>
              <w:ind w:left="113" w:right="113"/>
              <w:jc w:val="center"/>
              <w:rPr>
                <w:rFonts w:eastAsia="Times New Roman" w:cs="Arial"/>
                <w:color w:val="000000"/>
                <w:sz w:val="20"/>
                <w:szCs w:val="20"/>
                <w:lang w:eastAsia="en-GB"/>
              </w:rPr>
            </w:pPr>
            <w:r w:rsidRPr="006604ED">
              <w:rPr>
                <w:rFonts w:eastAsia="Times New Roman" w:cs="Arial"/>
                <w:color w:val="000000"/>
                <w:sz w:val="20"/>
                <w:szCs w:val="20"/>
                <w:lang w:eastAsia="en-GB"/>
              </w:rPr>
              <w:t>SMR</w:t>
            </w:r>
          </w:p>
        </w:tc>
        <w:tc>
          <w:tcPr>
            <w:tcW w:w="3286" w:type="dxa"/>
            <w:noWrap/>
          </w:tcPr>
          <w:p w14:paraId="38774A99"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53758FC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732.02</w:t>
            </w:r>
          </w:p>
        </w:tc>
        <w:tc>
          <w:tcPr>
            <w:tcW w:w="0" w:type="auto"/>
          </w:tcPr>
          <w:p w14:paraId="601A5222"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687.59</w:t>
            </w:r>
          </w:p>
        </w:tc>
        <w:tc>
          <w:tcPr>
            <w:tcW w:w="0" w:type="auto"/>
          </w:tcPr>
          <w:p w14:paraId="6CCDD810"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648.67</w:t>
            </w:r>
          </w:p>
        </w:tc>
        <w:tc>
          <w:tcPr>
            <w:tcW w:w="0" w:type="auto"/>
          </w:tcPr>
          <w:p w14:paraId="2FE6C55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611.95</w:t>
            </w:r>
          </w:p>
        </w:tc>
        <w:tc>
          <w:tcPr>
            <w:tcW w:w="0" w:type="auto"/>
          </w:tcPr>
          <w:p w14:paraId="432E5BD3"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577.32</w:t>
            </w:r>
          </w:p>
        </w:tc>
        <w:tc>
          <w:tcPr>
            <w:tcW w:w="0" w:type="auto"/>
          </w:tcPr>
          <w:p w14:paraId="64857BBA"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544.64</w:t>
            </w:r>
          </w:p>
        </w:tc>
        <w:tc>
          <w:tcPr>
            <w:tcW w:w="1600" w:type="dxa"/>
          </w:tcPr>
          <w:p w14:paraId="6FE872BF"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513.81</w:t>
            </w:r>
          </w:p>
        </w:tc>
      </w:tr>
      <w:tr w:rsidR="00A31B1B" w:rsidRPr="006604ED" w14:paraId="63BD7B4F"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2DB0213A"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58F789A2"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tcPr>
          <w:p w14:paraId="2B67E458"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3.6</w:t>
            </w:r>
          </w:p>
        </w:tc>
        <w:tc>
          <w:tcPr>
            <w:tcW w:w="0" w:type="auto"/>
          </w:tcPr>
          <w:p w14:paraId="4BAFCB4D"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3.8</w:t>
            </w:r>
          </w:p>
        </w:tc>
        <w:tc>
          <w:tcPr>
            <w:tcW w:w="0" w:type="auto"/>
          </w:tcPr>
          <w:p w14:paraId="32171FD1"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4.0</w:t>
            </w:r>
          </w:p>
        </w:tc>
        <w:tc>
          <w:tcPr>
            <w:tcW w:w="0" w:type="auto"/>
          </w:tcPr>
          <w:p w14:paraId="3C2C5C68"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4.3</w:t>
            </w:r>
          </w:p>
        </w:tc>
        <w:tc>
          <w:tcPr>
            <w:tcW w:w="0" w:type="auto"/>
          </w:tcPr>
          <w:p w14:paraId="0CE1E69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4.5</w:t>
            </w:r>
          </w:p>
        </w:tc>
        <w:tc>
          <w:tcPr>
            <w:tcW w:w="0" w:type="auto"/>
          </w:tcPr>
          <w:p w14:paraId="5156E18D"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4.8</w:t>
            </w:r>
          </w:p>
        </w:tc>
        <w:tc>
          <w:tcPr>
            <w:tcW w:w="1600" w:type="dxa"/>
          </w:tcPr>
          <w:p w14:paraId="0D17C3C1"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5.1</w:t>
            </w:r>
          </w:p>
        </w:tc>
      </w:tr>
      <w:tr w:rsidR="00A31B1B" w:rsidRPr="006604ED" w14:paraId="2E01B0F9"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7306860"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1721338C"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6FC34152"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0.032</w:t>
            </w:r>
          </w:p>
        </w:tc>
        <w:tc>
          <w:tcPr>
            <w:tcW w:w="0" w:type="auto"/>
          </w:tcPr>
          <w:p w14:paraId="30ADE13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0.039</w:t>
            </w:r>
          </w:p>
        </w:tc>
        <w:tc>
          <w:tcPr>
            <w:tcW w:w="0" w:type="auto"/>
          </w:tcPr>
          <w:p w14:paraId="19A61A0E"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0.043</w:t>
            </w:r>
          </w:p>
        </w:tc>
        <w:tc>
          <w:tcPr>
            <w:tcW w:w="0" w:type="auto"/>
          </w:tcPr>
          <w:p w14:paraId="14425677"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0.043</w:t>
            </w:r>
          </w:p>
        </w:tc>
        <w:tc>
          <w:tcPr>
            <w:tcW w:w="0" w:type="auto"/>
          </w:tcPr>
          <w:p w14:paraId="4FFBE2B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0.047</w:t>
            </w:r>
          </w:p>
        </w:tc>
        <w:tc>
          <w:tcPr>
            <w:tcW w:w="0" w:type="auto"/>
          </w:tcPr>
          <w:p w14:paraId="0D35EF10"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0.050</w:t>
            </w:r>
          </w:p>
        </w:tc>
        <w:tc>
          <w:tcPr>
            <w:tcW w:w="1600" w:type="dxa"/>
          </w:tcPr>
          <w:p w14:paraId="6920E518"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0.054</w:t>
            </w:r>
          </w:p>
        </w:tc>
      </w:tr>
      <w:tr w:rsidR="00A31B1B" w:rsidRPr="006604ED" w14:paraId="76A5C3A0"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11EEFF7A"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18CB9595"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tcPr>
          <w:p w14:paraId="553639B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c>
          <w:tcPr>
            <w:tcW w:w="0" w:type="auto"/>
          </w:tcPr>
          <w:p w14:paraId="1C4FF67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c>
          <w:tcPr>
            <w:tcW w:w="0" w:type="auto"/>
          </w:tcPr>
          <w:p w14:paraId="42B02CA5"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c>
          <w:tcPr>
            <w:tcW w:w="0" w:type="auto"/>
          </w:tcPr>
          <w:p w14:paraId="7BAD8CDB"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c>
          <w:tcPr>
            <w:tcW w:w="0" w:type="auto"/>
          </w:tcPr>
          <w:p w14:paraId="4C01A25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c>
          <w:tcPr>
            <w:tcW w:w="0" w:type="auto"/>
          </w:tcPr>
          <w:p w14:paraId="75BEF73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c>
          <w:tcPr>
            <w:tcW w:w="1600" w:type="dxa"/>
          </w:tcPr>
          <w:p w14:paraId="3A1FF278"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25</w:t>
            </w:r>
          </w:p>
        </w:tc>
      </w:tr>
      <w:tr w:rsidR="00A31B1B" w:rsidRPr="006604ED" w14:paraId="185BF09D"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504ECFC1"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7A84F80D"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5A2CFBD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c>
          <w:tcPr>
            <w:tcW w:w="0" w:type="auto"/>
          </w:tcPr>
          <w:p w14:paraId="0AC731E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c>
          <w:tcPr>
            <w:tcW w:w="0" w:type="auto"/>
          </w:tcPr>
          <w:p w14:paraId="16D2B5A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c>
          <w:tcPr>
            <w:tcW w:w="0" w:type="auto"/>
          </w:tcPr>
          <w:p w14:paraId="2C907541"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c>
          <w:tcPr>
            <w:tcW w:w="0" w:type="auto"/>
          </w:tcPr>
          <w:p w14:paraId="3CEF1C6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c>
          <w:tcPr>
            <w:tcW w:w="0" w:type="auto"/>
          </w:tcPr>
          <w:p w14:paraId="3C2244F5"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c>
          <w:tcPr>
            <w:tcW w:w="1600" w:type="dxa"/>
          </w:tcPr>
          <w:p w14:paraId="09BC502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0.030</w:t>
            </w:r>
          </w:p>
        </w:tc>
      </w:tr>
      <w:tr w:rsidR="00A31B1B" w:rsidRPr="006604ED" w14:paraId="410CA370"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1A2A87F6" w14:textId="77777777" w:rsidR="00A31B1B" w:rsidRPr="006604ED" w:rsidRDefault="00A31B1B" w:rsidP="00262AFD">
            <w:pPr>
              <w:keepNext/>
              <w:widowControl w:val="0"/>
              <w:ind w:left="113" w:right="113"/>
              <w:jc w:val="center"/>
              <w:rPr>
                <w:rFonts w:eastAsia="Times New Roman" w:cs="Arial"/>
                <w:color w:val="000000"/>
                <w:sz w:val="20"/>
                <w:szCs w:val="20"/>
                <w:lang w:eastAsia="en-GB"/>
              </w:rPr>
            </w:pPr>
            <w:r w:rsidRPr="006604ED">
              <w:rPr>
                <w:rFonts w:eastAsia="Times New Roman" w:cs="Arial"/>
                <w:color w:val="000000"/>
                <w:sz w:val="20"/>
                <w:szCs w:val="20"/>
                <w:lang w:eastAsia="en-GB"/>
              </w:rPr>
              <w:t>Alkaline Electrolysis</w:t>
            </w:r>
          </w:p>
        </w:tc>
        <w:tc>
          <w:tcPr>
            <w:tcW w:w="3286" w:type="dxa"/>
            <w:noWrap/>
          </w:tcPr>
          <w:p w14:paraId="6CAEA26F"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029A73C4"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949.00</w:t>
            </w:r>
          </w:p>
        </w:tc>
        <w:tc>
          <w:tcPr>
            <w:tcW w:w="0" w:type="auto"/>
          </w:tcPr>
          <w:p w14:paraId="7A57C7F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822.00</w:t>
            </w:r>
          </w:p>
        </w:tc>
        <w:tc>
          <w:tcPr>
            <w:tcW w:w="0" w:type="auto"/>
          </w:tcPr>
          <w:p w14:paraId="14A05869"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742.00</w:t>
            </w:r>
          </w:p>
        </w:tc>
        <w:tc>
          <w:tcPr>
            <w:tcW w:w="0" w:type="auto"/>
          </w:tcPr>
          <w:p w14:paraId="666C655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721.00</w:t>
            </w:r>
          </w:p>
        </w:tc>
        <w:tc>
          <w:tcPr>
            <w:tcW w:w="0" w:type="auto"/>
          </w:tcPr>
          <w:p w14:paraId="6779D45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700.00</w:t>
            </w:r>
          </w:p>
        </w:tc>
        <w:tc>
          <w:tcPr>
            <w:tcW w:w="0" w:type="auto"/>
          </w:tcPr>
          <w:p w14:paraId="47D2E2F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689.00</w:t>
            </w:r>
          </w:p>
        </w:tc>
        <w:tc>
          <w:tcPr>
            <w:tcW w:w="1600" w:type="dxa"/>
          </w:tcPr>
          <w:p w14:paraId="005B13A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677.00</w:t>
            </w:r>
          </w:p>
        </w:tc>
      </w:tr>
      <w:tr w:rsidR="00A31B1B" w:rsidRPr="006604ED" w14:paraId="64AD9C66"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1CE6D004"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5DC6E086"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tcPr>
          <w:p w14:paraId="31A061E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70D9947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662285F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557AD0B7"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63A5D0D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6B4A02E6"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1600" w:type="dxa"/>
          </w:tcPr>
          <w:p w14:paraId="115E2B3E"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r>
      <w:tr w:rsidR="00A31B1B" w:rsidRPr="006604ED" w14:paraId="43ED351E"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355DBB4"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3FDA82C0"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3CD6CB0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0.0802</w:t>
            </w:r>
          </w:p>
        </w:tc>
        <w:tc>
          <w:tcPr>
            <w:tcW w:w="0" w:type="auto"/>
          </w:tcPr>
          <w:p w14:paraId="1738A09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0.0856</w:t>
            </w:r>
          </w:p>
        </w:tc>
        <w:tc>
          <w:tcPr>
            <w:tcW w:w="0" w:type="auto"/>
          </w:tcPr>
          <w:p w14:paraId="7276A0A4"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0.0857</w:t>
            </w:r>
          </w:p>
        </w:tc>
        <w:tc>
          <w:tcPr>
            <w:tcW w:w="0" w:type="auto"/>
          </w:tcPr>
          <w:p w14:paraId="4BFDAC36"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0.0824</w:t>
            </w:r>
          </w:p>
        </w:tc>
        <w:tc>
          <w:tcPr>
            <w:tcW w:w="0" w:type="auto"/>
          </w:tcPr>
          <w:p w14:paraId="5DC47E8A"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0.0934</w:t>
            </w:r>
          </w:p>
        </w:tc>
        <w:tc>
          <w:tcPr>
            <w:tcW w:w="0" w:type="auto"/>
          </w:tcPr>
          <w:p w14:paraId="563755B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0.0989</w:t>
            </w:r>
          </w:p>
        </w:tc>
        <w:tc>
          <w:tcPr>
            <w:tcW w:w="1600" w:type="dxa"/>
          </w:tcPr>
          <w:p w14:paraId="23DF2DC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0.1040</w:t>
            </w:r>
          </w:p>
        </w:tc>
      </w:tr>
      <w:tr w:rsidR="00A31B1B" w:rsidRPr="006604ED" w14:paraId="444C1C06"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E1B8E58"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0230CCFE"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tcPr>
          <w:p w14:paraId="2534EC0A"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7A500536"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6AE4E7B1"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0" w:type="auto"/>
          </w:tcPr>
          <w:p w14:paraId="6A9973E6"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0" w:type="auto"/>
          </w:tcPr>
          <w:p w14:paraId="1C002F7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0" w:type="auto"/>
          </w:tcPr>
          <w:p w14:paraId="4E2A0488"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1600" w:type="dxa"/>
          </w:tcPr>
          <w:p w14:paraId="3CFCAB80"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15</w:t>
            </w:r>
          </w:p>
        </w:tc>
      </w:tr>
      <w:tr w:rsidR="00A31B1B" w:rsidRPr="006604ED" w14:paraId="169582AC"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36DBF9CE"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300B35B2"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sidRPr="006604ED">
              <w:rPr>
                <w:rFonts w:eastAsia="Times New Roman" w:cs="Arial"/>
                <w:i/>
                <w:iCs/>
                <w:color w:val="000000"/>
                <w:sz w:val="20"/>
                <w:szCs w:val="20"/>
                <w:vertAlign w:val="superscript"/>
                <w:lang w:eastAsia="en-GB"/>
              </w:rPr>
              <w:t>a,c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3917A9A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0.207</w:t>
            </w:r>
          </w:p>
        </w:tc>
        <w:tc>
          <w:tcPr>
            <w:tcW w:w="0" w:type="auto"/>
          </w:tcPr>
          <w:p w14:paraId="5BD56501"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0.152</w:t>
            </w:r>
          </w:p>
        </w:tc>
        <w:tc>
          <w:tcPr>
            <w:tcW w:w="0" w:type="auto"/>
          </w:tcPr>
          <w:p w14:paraId="2490CDAD"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0.118</w:t>
            </w:r>
          </w:p>
        </w:tc>
        <w:tc>
          <w:tcPr>
            <w:tcW w:w="0" w:type="auto"/>
          </w:tcPr>
          <w:p w14:paraId="622F386B"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0.058</w:t>
            </w:r>
          </w:p>
        </w:tc>
        <w:tc>
          <w:tcPr>
            <w:tcW w:w="0" w:type="auto"/>
          </w:tcPr>
          <w:p w14:paraId="48944127"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0.057</w:t>
            </w:r>
          </w:p>
        </w:tc>
        <w:tc>
          <w:tcPr>
            <w:tcW w:w="0" w:type="auto"/>
          </w:tcPr>
          <w:p w14:paraId="7A945EAA"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0.048</w:t>
            </w:r>
          </w:p>
        </w:tc>
        <w:tc>
          <w:tcPr>
            <w:tcW w:w="1600" w:type="dxa"/>
          </w:tcPr>
          <w:p w14:paraId="2900965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0.038</w:t>
            </w:r>
          </w:p>
        </w:tc>
      </w:tr>
      <w:tr w:rsidR="00A31B1B" w:rsidRPr="006604ED" w14:paraId="734F5BEE"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00C2B0E4" w14:textId="77777777" w:rsidR="00A31B1B" w:rsidRPr="006604ED" w:rsidRDefault="00A31B1B" w:rsidP="00262AFD">
            <w:pPr>
              <w:keepNext/>
              <w:widowControl w:val="0"/>
              <w:jc w:val="center"/>
              <w:rPr>
                <w:rFonts w:eastAsia="Times New Roman" w:cs="Arial"/>
                <w:color w:val="000000"/>
                <w:sz w:val="20"/>
                <w:szCs w:val="20"/>
                <w:lang w:eastAsia="en-GB"/>
              </w:rPr>
            </w:pPr>
            <w:r w:rsidRPr="006604ED">
              <w:rPr>
                <w:rFonts w:eastAsia="Times New Roman" w:cs="Arial"/>
                <w:color w:val="000000"/>
                <w:sz w:val="20"/>
                <w:szCs w:val="20"/>
                <w:lang w:eastAsia="en-GB"/>
              </w:rPr>
              <w:t>PEM Electrolysis</w:t>
            </w:r>
          </w:p>
        </w:tc>
        <w:tc>
          <w:tcPr>
            <w:tcW w:w="3286" w:type="dxa"/>
            <w:noWrap/>
          </w:tcPr>
          <w:p w14:paraId="4808DB57"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16D38182"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1279.62</w:t>
            </w:r>
          </w:p>
        </w:tc>
        <w:tc>
          <w:tcPr>
            <w:tcW w:w="0" w:type="auto"/>
          </w:tcPr>
          <w:p w14:paraId="4B1C228E"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806.55</w:t>
            </w:r>
          </w:p>
        </w:tc>
        <w:tc>
          <w:tcPr>
            <w:tcW w:w="0" w:type="auto"/>
          </w:tcPr>
          <w:p w14:paraId="1166829F"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620.42</w:t>
            </w:r>
          </w:p>
        </w:tc>
        <w:tc>
          <w:tcPr>
            <w:tcW w:w="0" w:type="auto"/>
          </w:tcPr>
          <w:p w14:paraId="24ADC9D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573.50</w:t>
            </w:r>
          </w:p>
        </w:tc>
        <w:tc>
          <w:tcPr>
            <w:tcW w:w="0" w:type="auto"/>
          </w:tcPr>
          <w:p w14:paraId="3A25A3F6"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526.58</w:t>
            </w:r>
          </w:p>
        </w:tc>
        <w:tc>
          <w:tcPr>
            <w:tcW w:w="0" w:type="auto"/>
          </w:tcPr>
          <w:p w14:paraId="510FE032"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516.92</w:t>
            </w:r>
          </w:p>
        </w:tc>
        <w:tc>
          <w:tcPr>
            <w:tcW w:w="1600" w:type="dxa"/>
          </w:tcPr>
          <w:p w14:paraId="6918B11C"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506.26</w:t>
            </w:r>
          </w:p>
        </w:tc>
      </w:tr>
      <w:tr w:rsidR="00A31B1B" w:rsidRPr="006604ED" w14:paraId="09A4297F"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4686B4B8"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38CFC90A"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tcPr>
          <w:p w14:paraId="16606871"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0B93686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311A1256"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503E46E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0034029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66530994"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1600" w:type="dxa"/>
          </w:tcPr>
          <w:p w14:paraId="1AA3669C"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r>
      <w:tr w:rsidR="00A31B1B" w:rsidRPr="006604ED" w14:paraId="72147B20"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9D890CD"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0437F400"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71984A4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0.0865</w:t>
            </w:r>
          </w:p>
        </w:tc>
        <w:tc>
          <w:tcPr>
            <w:tcW w:w="0" w:type="auto"/>
          </w:tcPr>
          <w:p w14:paraId="7A66CBC0"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0.0890</w:t>
            </w:r>
          </w:p>
        </w:tc>
        <w:tc>
          <w:tcPr>
            <w:tcW w:w="0" w:type="auto"/>
          </w:tcPr>
          <w:p w14:paraId="54A3810E"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0.0869</w:t>
            </w:r>
          </w:p>
        </w:tc>
        <w:tc>
          <w:tcPr>
            <w:tcW w:w="0" w:type="auto"/>
          </w:tcPr>
          <w:p w14:paraId="1F9ADD1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0.0830</w:t>
            </w:r>
          </w:p>
        </w:tc>
        <w:tc>
          <w:tcPr>
            <w:tcW w:w="0" w:type="auto"/>
          </w:tcPr>
          <w:p w14:paraId="13217203"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0.0934</w:t>
            </w:r>
          </w:p>
        </w:tc>
        <w:tc>
          <w:tcPr>
            <w:tcW w:w="0" w:type="auto"/>
          </w:tcPr>
          <w:p w14:paraId="051F93B7"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0.0989</w:t>
            </w:r>
          </w:p>
        </w:tc>
        <w:tc>
          <w:tcPr>
            <w:tcW w:w="1600" w:type="dxa"/>
          </w:tcPr>
          <w:p w14:paraId="277296E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0.1040</w:t>
            </w:r>
          </w:p>
        </w:tc>
      </w:tr>
      <w:tr w:rsidR="00A31B1B" w:rsidRPr="006604ED" w14:paraId="740AE7EF"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16C47EF4"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0B4701BA"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 (yr)</w:t>
            </w:r>
          </w:p>
        </w:tc>
        <w:tc>
          <w:tcPr>
            <w:tcW w:w="0" w:type="auto"/>
            <w:noWrap/>
          </w:tcPr>
          <w:p w14:paraId="3E1A010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06A750A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5BCEC77A"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0" w:type="auto"/>
          </w:tcPr>
          <w:p w14:paraId="26C769DD"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0" w:type="auto"/>
          </w:tcPr>
          <w:p w14:paraId="4B351542"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0" w:type="auto"/>
          </w:tcPr>
          <w:p w14:paraId="4E7D53E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1600" w:type="dxa"/>
          </w:tcPr>
          <w:p w14:paraId="39079C7B"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15</w:t>
            </w:r>
          </w:p>
        </w:tc>
      </w:tr>
      <w:tr w:rsidR="00A31B1B" w:rsidRPr="006604ED" w14:paraId="4D8BF693"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6170A014"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38B9FA9B"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sidRPr="006604ED">
              <w:rPr>
                <w:rFonts w:eastAsia="Times New Roman" w:cs="Arial"/>
                <w:i/>
                <w:iCs/>
                <w:color w:val="000000"/>
                <w:sz w:val="20"/>
                <w:szCs w:val="20"/>
                <w:vertAlign w:val="superscript"/>
                <w:lang w:eastAsia="en-GB"/>
              </w:rPr>
              <w:t>a,c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51CFCFE5"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0.224</w:t>
            </w:r>
          </w:p>
        </w:tc>
        <w:tc>
          <w:tcPr>
            <w:tcW w:w="0" w:type="auto"/>
          </w:tcPr>
          <w:p w14:paraId="2C6757E3"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0.158</w:t>
            </w:r>
          </w:p>
        </w:tc>
        <w:tc>
          <w:tcPr>
            <w:tcW w:w="0" w:type="auto"/>
          </w:tcPr>
          <w:p w14:paraId="13A37530"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0.120</w:t>
            </w:r>
          </w:p>
        </w:tc>
        <w:tc>
          <w:tcPr>
            <w:tcW w:w="0" w:type="auto"/>
          </w:tcPr>
          <w:p w14:paraId="00D35E20"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0.058</w:t>
            </w:r>
          </w:p>
        </w:tc>
        <w:tc>
          <w:tcPr>
            <w:tcW w:w="0" w:type="auto"/>
          </w:tcPr>
          <w:p w14:paraId="47CEA121"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0.057</w:t>
            </w:r>
          </w:p>
        </w:tc>
        <w:tc>
          <w:tcPr>
            <w:tcW w:w="0" w:type="auto"/>
          </w:tcPr>
          <w:p w14:paraId="5D084EF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0.048</w:t>
            </w:r>
          </w:p>
        </w:tc>
        <w:tc>
          <w:tcPr>
            <w:tcW w:w="1600" w:type="dxa"/>
          </w:tcPr>
          <w:p w14:paraId="22CA7F8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0.038</w:t>
            </w:r>
          </w:p>
        </w:tc>
      </w:tr>
      <w:tr w:rsidR="00A31B1B" w:rsidRPr="006604ED" w14:paraId="078268F8"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0D7F41A4" w14:textId="77777777" w:rsidR="00A31B1B" w:rsidRPr="006604ED" w:rsidRDefault="00A31B1B" w:rsidP="00262AFD">
            <w:pPr>
              <w:keepNext/>
              <w:widowControl w:val="0"/>
              <w:jc w:val="center"/>
              <w:rPr>
                <w:rFonts w:eastAsia="Times New Roman" w:cs="Arial"/>
                <w:color w:val="000000"/>
                <w:sz w:val="20"/>
                <w:szCs w:val="20"/>
                <w:lang w:eastAsia="en-GB"/>
              </w:rPr>
            </w:pPr>
            <w:r w:rsidRPr="006604ED">
              <w:rPr>
                <w:rFonts w:eastAsia="Times New Roman" w:cs="Arial"/>
                <w:color w:val="000000"/>
                <w:sz w:val="20"/>
                <w:szCs w:val="20"/>
                <w:lang w:eastAsia="en-GB"/>
              </w:rPr>
              <w:t>SOEC Electrolysis</w:t>
            </w:r>
          </w:p>
        </w:tc>
        <w:tc>
          <w:tcPr>
            <w:tcW w:w="3286" w:type="dxa"/>
            <w:noWrap/>
          </w:tcPr>
          <w:p w14:paraId="6605FB0E"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0E7D370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1984</w:t>
            </w:r>
          </w:p>
        </w:tc>
        <w:tc>
          <w:tcPr>
            <w:tcW w:w="0" w:type="auto"/>
          </w:tcPr>
          <w:p w14:paraId="74B5EE4C"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1442</w:t>
            </w:r>
          </w:p>
        </w:tc>
        <w:tc>
          <w:tcPr>
            <w:tcW w:w="0" w:type="auto"/>
          </w:tcPr>
          <w:p w14:paraId="0283CE20"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1142</w:t>
            </w:r>
          </w:p>
        </w:tc>
        <w:tc>
          <w:tcPr>
            <w:tcW w:w="0" w:type="auto"/>
          </w:tcPr>
          <w:p w14:paraId="1587667D"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1008</w:t>
            </w:r>
          </w:p>
        </w:tc>
        <w:tc>
          <w:tcPr>
            <w:tcW w:w="0" w:type="auto"/>
          </w:tcPr>
          <w:p w14:paraId="06737A1F"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881</w:t>
            </w:r>
          </w:p>
        </w:tc>
        <w:tc>
          <w:tcPr>
            <w:tcW w:w="0" w:type="auto"/>
          </w:tcPr>
          <w:p w14:paraId="17209DED"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821</w:t>
            </w:r>
          </w:p>
        </w:tc>
        <w:tc>
          <w:tcPr>
            <w:tcW w:w="1600" w:type="dxa"/>
          </w:tcPr>
          <w:p w14:paraId="59575C72"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760</w:t>
            </w:r>
          </w:p>
        </w:tc>
      </w:tr>
      <w:tr w:rsidR="00A31B1B" w:rsidRPr="006604ED" w14:paraId="6D4509BA"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3101A69F"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2761E1E7"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tcPr>
          <w:p w14:paraId="712420F9"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1211EA4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54560035"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0252DD9B"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400C2973"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0" w:type="auto"/>
          </w:tcPr>
          <w:p w14:paraId="2D9EE5B7"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c>
          <w:tcPr>
            <w:tcW w:w="1600" w:type="dxa"/>
          </w:tcPr>
          <w:p w14:paraId="43DF6C28"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2.79</w:t>
            </w:r>
          </w:p>
        </w:tc>
      </w:tr>
      <w:tr w:rsidR="00A31B1B" w:rsidRPr="006604ED" w14:paraId="5FC847B6"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0C93248D"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03EDF1FE"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5A695CA9" w14:textId="348F8220"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614</w:t>
            </w:r>
          </w:p>
        </w:tc>
        <w:tc>
          <w:tcPr>
            <w:tcW w:w="0" w:type="auto"/>
          </w:tcPr>
          <w:p w14:paraId="1714B2DD" w14:textId="007FDDE5"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647</w:t>
            </w:r>
          </w:p>
        </w:tc>
        <w:tc>
          <w:tcPr>
            <w:tcW w:w="0" w:type="auto"/>
          </w:tcPr>
          <w:p w14:paraId="101E783E" w14:textId="44704C9E"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639</w:t>
            </w:r>
          </w:p>
        </w:tc>
        <w:tc>
          <w:tcPr>
            <w:tcW w:w="0" w:type="auto"/>
          </w:tcPr>
          <w:p w14:paraId="7BF79F96" w14:textId="23382C9B"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608</w:t>
            </w:r>
          </w:p>
        </w:tc>
        <w:tc>
          <w:tcPr>
            <w:tcW w:w="0" w:type="auto"/>
          </w:tcPr>
          <w:p w14:paraId="65B23F1E" w14:textId="3D140821"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684</w:t>
            </w:r>
          </w:p>
        </w:tc>
        <w:tc>
          <w:tcPr>
            <w:tcW w:w="0" w:type="auto"/>
          </w:tcPr>
          <w:p w14:paraId="022C4508" w14:textId="4488C150"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723</w:t>
            </w:r>
          </w:p>
        </w:tc>
        <w:tc>
          <w:tcPr>
            <w:tcW w:w="1600" w:type="dxa"/>
          </w:tcPr>
          <w:p w14:paraId="7761034B" w14:textId="4D6D0669" w:rsidR="00A31B1B" w:rsidRPr="006604ED" w:rsidRDefault="003162F1"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w:t>
            </w:r>
            <w:r w:rsidR="00A31B1B" w:rsidRPr="006604ED">
              <w:rPr>
                <w:rFonts w:eastAsia="Times New Roman" w:cs="Arial"/>
                <w:color w:val="000000"/>
                <w:sz w:val="20"/>
                <w:szCs w:val="20"/>
                <w:lang w:eastAsia="en-GB"/>
              </w:rPr>
              <w:t>759</w:t>
            </w:r>
          </w:p>
        </w:tc>
      </w:tr>
      <w:tr w:rsidR="00A31B1B" w:rsidRPr="006604ED" w14:paraId="1AD3D1F0"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2173FE71"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79F4E90C"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tcPr>
          <w:p w14:paraId="439D73CF"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0A70AF2F"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1FFD4F87"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53E0C363"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70B48288"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5</w:t>
            </w:r>
          </w:p>
        </w:tc>
        <w:tc>
          <w:tcPr>
            <w:tcW w:w="0" w:type="auto"/>
          </w:tcPr>
          <w:p w14:paraId="580085E1"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c>
          <w:tcPr>
            <w:tcW w:w="1600" w:type="dxa"/>
          </w:tcPr>
          <w:p w14:paraId="271CE6ED" w14:textId="77777777" w:rsidR="00A31B1B" w:rsidRPr="006604ED"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10</w:t>
            </w:r>
          </w:p>
        </w:tc>
      </w:tr>
      <w:tr w:rsidR="00A31B1B" w:rsidRPr="006604ED" w14:paraId="7F49456F"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4B29B4BC"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1A077441"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sidRPr="006604ED">
              <w:rPr>
                <w:rFonts w:eastAsia="Times New Roman" w:cs="Arial"/>
                <w:i/>
                <w:iCs/>
                <w:color w:val="000000"/>
                <w:sz w:val="20"/>
                <w:szCs w:val="20"/>
                <w:vertAlign w:val="superscript"/>
                <w:lang w:eastAsia="en-GB"/>
              </w:rPr>
              <w:t>a,c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2B03A0E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0.159</w:t>
            </w:r>
          </w:p>
        </w:tc>
        <w:tc>
          <w:tcPr>
            <w:tcW w:w="0" w:type="auto"/>
          </w:tcPr>
          <w:p w14:paraId="45419098"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0.115</w:t>
            </w:r>
          </w:p>
        </w:tc>
        <w:tc>
          <w:tcPr>
            <w:tcW w:w="0" w:type="auto"/>
          </w:tcPr>
          <w:p w14:paraId="7F54F1A7"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0.08</w:t>
            </w:r>
          </w:p>
        </w:tc>
        <w:tc>
          <w:tcPr>
            <w:tcW w:w="0" w:type="auto"/>
          </w:tcPr>
          <w:p w14:paraId="78C79D15"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0.043</w:t>
            </w:r>
          </w:p>
        </w:tc>
        <w:tc>
          <w:tcPr>
            <w:tcW w:w="0" w:type="auto"/>
          </w:tcPr>
          <w:p w14:paraId="1CE233EE"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0.042</w:t>
            </w:r>
          </w:p>
        </w:tc>
        <w:tc>
          <w:tcPr>
            <w:tcW w:w="0" w:type="auto"/>
          </w:tcPr>
          <w:p w14:paraId="2CEEEA55"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0.035</w:t>
            </w:r>
          </w:p>
        </w:tc>
        <w:tc>
          <w:tcPr>
            <w:tcW w:w="1600" w:type="dxa"/>
          </w:tcPr>
          <w:p w14:paraId="64A0938C" w14:textId="77777777" w:rsidR="00A31B1B" w:rsidRPr="006604ED"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604ED">
              <w:rPr>
                <w:rFonts w:eastAsia="Times New Roman" w:cs="Arial"/>
                <w:color w:val="000000"/>
                <w:sz w:val="20"/>
                <w:szCs w:val="20"/>
                <w:lang w:eastAsia="en-GB"/>
              </w:rPr>
              <w:t>0.028</w:t>
            </w:r>
          </w:p>
        </w:tc>
      </w:tr>
      <w:tr w:rsidR="00434694" w:rsidRPr="006604ED" w14:paraId="64B2E30D"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38F9C2E3" w14:textId="6C28DDFE" w:rsidR="00434694" w:rsidRPr="006604ED" w:rsidRDefault="00434694" w:rsidP="00434694">
            <w:pPr>
              <w:keepNext/>
              <w:widowControl w:val="0"/>
              <w:jc w:val="center"/>
              <w:rPr>
                <w:rFonts w:eastAsia="Times New Roman" w:cs="Arial"/>
                <w:color w:val="000000"/>
                <w:sz w:val="20"/>
                <w:szCs w:val="20"/>
                <w:lang w:eastAsia="en-GB"/>
              </w:rPr>
            </w:pPr>
            <w:r w:rsidRPr="006604ED">
              <w:rPr>
                <w:rFonts w:eastAsia="Times New Roman" w:cs="Arial"/>
                <w:color w:val="000000"/>
                <w:sz w:val="20"/>
                <w:szCs w:val="20"/>
                <w:lang w:eastAsia="en-GB"/>
              </w:rPr>
              <w:t xml:space="preserve">Alkaline Electrolysis </w:t>
            </w:r>
            <w:r>
              <w:rPr>
                <w:rFonts w:eastAsia="Times New Roman" w:cs="Arial"/>
                <w:color w:val="000000"/>
                <w:sz w:val="20"/>
                <w:szCs w:val="20"/>
                <w:lang w:eastAsia="en-GB"/>
              </w:rPr>
              <w:t xml:space="preserve">Solar </w:t>
            </w:r>
          </w:p>
        </w:tc>
        <w:tc>
          <w:tcPr>
            <w:tcW w:w="3286" w:type="dxa"/>
            <w:noWrap/>
          </w:tcPr>
          <w:p w14:paraId="60B65934" w14:textId="77777777" w:rsidR="00434694" w:rsidRPr="006604ED" w:rsidRDefault="00434694" w:rsidP="00434694">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4E88F875" w14:textId="76D95BB8"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2029.58</w:t>
            </w:r>
          </w:p>
        </w:tc>
        <w:tc>
          <w:tcPr>
            <w:tcW w:w="0" w:type="auto"/>
          </w:tcPr>
          <w:p w14:paraId="77B06ECD" w14:textId="0BA0AB31"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1744.42</w:t>
            </w:r>
          </w:p>
        </w:tc>
        <w:tc>
          <w:tcPr>
            <w:tcW w:w="0" w:type="auto"/>
          </w:tcPr>
          <w:p w14:paraId="4697A78F" w14:textId="2DD42854"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1556.72</w:t>
            </w:r>
          </w:p>
        </w:tc>
        <w:tc>
          <w:tcPr>
            <w:tcW w:w="0" w:type="auto"/>
          </w:tcPr>
          <w:p w14:paraId="4303E0CE" w14:textId="3F1BFAD4"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1435.60</w:t>
            </w:r>
          </w:p>
        </w:tc>
        <w:tc>
          <w:tcPr>
            <w:tcW w:w="0" w:type="auto"/>
          </w:tcPr>
          <w:p w14:paraId="06D42019" w14:textId="2F726877"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1330.92</w:t>
            </w:r>
          </w:p>
        </w:tc>
        <w:tc>
          <w:tcPr>
            <w:tcW w:w="0" w:type="auto"/>
          </w:tcPr>
          <w:p w14:paraId="12E009B8" w14:textId="531E61B7"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1243.50</w:t>
            </w:r>
          </w:p>
        </w:tc>
        <w:tc>
          <w:tcPr>
            <w:tcW w:w="1600" w:type="dxa"/>
          </w:tcPr>
          <w:p w14:paraId="37E198E2" w14:textId="4F978411"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1155.40</w:t>
            </w:r>
          </w:p>
        </w:tc>
      </w:tr>
      <w:tr w:rsidR="00434694" w:rsidRPr="006604ED" w14:paraId="3A68C4E7"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3DBD5878" w14:textId="77777777" w:rsidR="00434694" w:rsidRPr="006604ED" w:rsidRDefault="00434694" w:rsidP="00434694">
            <w:pPr>
              <w:keepNext/>
              <w:widowControl w:val="0"/>
              <w:jc w:val="center"/>
              <w:rPr>
                <w:rFonts w:eastAsia="Times New Roman" w:cs="Arial"/>
                <w:color w:val="000000"/>
                <w:sz w:val="20"/>
                <w:szCs w:val="20"/>
                <w:lang w:eastAsia="en-GB"/>
              </w:rPr>
            </w:pPr>
          </w:p>
        </w:tc>
        <w:tc>
          <w:tcPr>
            <w:tcW w:w="3286" w:type="dxa"/>
            <w:noWrap/>
          </w:tcPr>
          <w:p w14:paraId="23F7B8E8" w14:textId="77777777" w:rsidR="00434694" w:rsidRPr="006604ED" w:rsidRDefault="00434694" w:rsidP="00434694">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tcPr>
          <w:p w14:paraId="717D506E" w14:textId="02B2712C"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c>
          <w:tcPr>
            <w:tcW w:w="0" w:type="auto"/>
          </w:tcPr>
          <w:p w14:paraId="6F8375FB" w14:textId="12AC552B"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c>
          <w:tcPr>
            <w:tcW w:w="0" w:type="auto"/>
          </w:tcPr>
          <w:p w14:paraId="21521F4A" w14:textId="784BFE3B"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c>
          <w:tcPr>
            <w:tcW w:w="0" w:type="auto"/>
          </w:tcPr>
          <w:p w14:paraId="66870C28" w14:textId="16650357"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c>
          <w:tcPr>
            <w:tcW w:w="0" w:type="auto"/>
          </w:tcPr>
          <w:p w14:paraId="65EA5629" w14:textId="3C3DD548"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c>
          <w:tcPr>
            <w:tcW w:w="0" w:type="auto"/>
          </w:tcPr>
          <w:p w14:paraId="69F857DB" w14:textId="2B2BF93C"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c>
          <w:tcPr>
            <w:tcW w:w="1600" w:type="dxa"/>
          </w:tcPr>
          <w:p w14:paraId="774F5B26" w14:textId="5105309D" w:rsidR="00434694" w:rsidRPr="006210AE" w:rsidRDefault="00434694" w:rsidP="00434694">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3.39</w:t>
            </w:r>
          </w:p>
        </w:tc>
      </w:tr>
      <w:tr w:rsidR="00434694" w:rsidRPr="006604ED" w14:paraId="5D5DFB9B"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6056B4BF" w14:textId="77777777" w:rsidR="00434694" w:rsidRPr="006604ED" w:rsidRDefault="00434694" w:rsidP="00434694">
            <w:pPr>
              <w:keepNext/>
              <w:widowControl w:val="0"/>
              <w:jc w:val="center"/>
              <w:rPr>
                <w:rFonts w:eastAsia="Times New Roman" w:cs="Arial"/>
                <w:color w:val="000000"/>
                <w:sz w:val="20"/>
                <w:szCs w:val="20"/>
                <w:lang w:eastAsia="en-GB"/>
              </w:rPr>
            </w:pPr>
          </w:p>
        </w:tc>
        <w:tc>
          <w:tcPr>
            <w:tcW w:w="3286" w:type="dxa"/>
            <w:noWrap/>
          </w:tcPr>
          <w:p w14:paraId="7960F3A0" w14:textId="77777777" w:rsidR="00434694" w:rsidRPr="006604ED" w:rsidRDefault="00434694" w:rsidP="00434694">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176F4514" w14:textId="4F26CB41"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c>
          <w:tcPr>
            <w:tcW w:w="0" w:type="auto"/>
          </w:tcPr>
          <w:p w14:paraId="22B9BECC" w14:textId="1E505CC0"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c>
          <w:tcPr>
            <w:tcW w:w="0" w:type="auto"/>
          </w:tcPr>
          <w:p w14:paraId="4AD96A3B" w14:textId="0C02E6F4"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c>
          <w:tcPr>
            <w:tcW w:w="0" w:type="auto"/>
          </w:tcPr>
          <w:p w14:paraId="11CD3646" w14:textId="6662D0C4"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c>
          <w:tcPr>
            <w:tcW w:w="0" w:type="auto"/>
          </w:tcPr>
          <w:p w14:paraId="08A7D0EF" w14:textId="77EFDCE5"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c>
          <w:tcPr>
            <w:tcW w:w="0" w:type="auto"/>
          </w:tcPr>
          <w:p w14:paraId="29070877" w14:textId="47FA3A65"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c>
          <w:tcPr>
            <w:tcW w:w="1600" w:type="dxa"/>
          </w:tcPr>
          <w:p w14:paraId="0DDC7415" w14:textId="659F229C" w:rsidR="00434694" w:rsidRPr="006210AE" w:rsidRDefault="00434694" w:rsidP="00434694">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sz w:val="20"/>
                <w:szCs w:val="20"/>
              </w:rPr>
              <w:t>0.00</w:t>
            </w:r>
          </w:p>
        </w:tc>
      </w:tr>
      <w:tr w:rsidR="00A31B1B" w:rsidRPr="006604ED" w14:paraId="361E151E"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98A4910"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4921F042" w14:textId="77777777" w:rsidR="00A31B1B" w:rsidRPr="006604ED" w:rsidRDefault="00A31B1B" w:rsidP="00262AF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tcPr>
          <w:p w14:paraId="360B0126" w14:textId="77777777" w:rsidR="00A31B1B" w:rsidRPr="006E61A3"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eastAsia="Times New Roman" w:cstheme="minorHAnsi"/>
                <w:color w:val="000000"/>
                <w:sz w:val="20"/>
                <w:szCs w:val="20"/>
                <w:lang w:eastAsia="en-GB"/>
              </w:rPr>
              <w:t>5</w:t>
            </w:r>
          </w:p>
        </w:tc>
        <w:tc>
          <w:tcPr>
            <w:tcW w:w="0" w:type="auto"/>
          </w:tcPr>
          <w:p w14:paraId="5F37DB3B" w14:textId="77777777" w:rsidR="00A31B1B" w:rsidRPr="007B422F"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7B422F">
              <w:rPr>
                <w:rFonts w:eastAsia="Times New Roman" w:cstheme="minorHAnsi"/>
                <w:color w:val="000000"/>
                <w:sz w:val="20"/>
                <w:szCs w:val="20"/>
                <w:lang w:eastAsia="en-GB"/>
              </w:rPr>
              <w:t>5</w:t>
            </w:r>
          </w:p>
        </w:tc>
        <w:tc>
          <w:tcPr>
            <w:tcW w:w="0" w:type="auto"/>
          </w:tcPr>
          <w:p w14:paraId="7CE24AC2" w14:textId="77777777" w:rsidR="00A31B1B" w:rsidRPr="004C73FA"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C73FA">
              <w:rPr>
                <w:rFonts w:eastAsia="Times New Roman" w:cstheme="minorHAnsi"/>
                <w:color w:val="000000"/>
                <w:sz w:val="20"/>
                <w:szCs w:val="20"/>
                <w:lang w:eastAsia="en-GB"/>
              </w:rPr>
              <w:t>10</w:t>
            </w:r>
          </w:p>
        </w:tc>
        <w:tc>
          <w:tcPr>
            <w:tcW w:w="0" w:type="auto"/>
          </w:tcPr>
          <w:p w14:paraId="105AFD00" w14:textId="77777777" w:rsidR="00A31B1B" w:rsidRPr="00BA3169"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BA3169">
              <w:rPr>
                <w:rFonts w:eastAsia="Times New Roman" w:cstheme="minorHAnsi"/>
                <w:color w:val="000000"/>
                <w:sz w:val="20"/>
                <w:szCs w:val="20"/>
                <w:lang w:eastAsia="en-GB"/>
              </w:rPr>
              <w:t>10</w:t>
            </w:r>
          </w:p>
        </w:tc>
        <w:tc>
          <w:tcPr>
            <w:tcW w:w="0" w:type="auto"/>
          </w:tcPr>
          <w:p w14:paraId="0DA89AAE" w14:textId="77777777" w:rsidR="00A31B1B" w:rsidRPr="005E6046"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5E6046">
              <w:rPr>
                <w:rFonts w:eastAsia="Times New Roman" w:cstheme="minorHAnsi"/>
                <w:color w:val="000000"/>
                <w:sz w:val="20"/>
                <w:szCs w:val="20"/>
                <w:lang w:eastAsia="en-GB"/>
              </w:rPr>
              <w:t>10</w:t>
            </w:r>
          </w:p>
        </w:tc>
        <w:tc>
          <w:tcPr>
            <w:tcW w:w="0" w:type="auto"/>
          </w:tcPr>
          <w:p w14:paraId="1842C919" w14:textId="77777777" w:rsidR="00A31B1B" w:rsidRPr="00FC4990"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FC4990">
              <w:rPr>
                <w:rFonts w:eastAsia="Times New Roman" w:cstheme="minorHAnsi"/>
                <w:color w:val="000000"/>
                <w:sz w:val="20"/>
                <w:szCs w:val="20"/>
                <w:lang w:eastAsia="en-GB"/>
              </w:rPr>
              <w:t>10</w:t>
            </w:r>
          </w:p>
        </w:tc>
        <w:tc>
          <w:tcPr>
            <w:tcW w:w="1600" w:type="dxa"/>
          </w:tcPr>
          <w:p w14:paraId="55298D49" w14:textId="77777777" w:rsidR="00A31B1B" w:rsidRPr="00FC4990" w:rsidRDefault="00A31B1B" w:rsidP="00262AF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FC4990">
              <w:rPr>
                <w:rFonts w:eastAsia="Times New Roman" w:cstheme="minorHAnsi"/>
                <w:color w:val="000000"/>
                <w:sz w:val="20"/>
                <w:szCs w:val="20"/>
                <w:lang w:eastAsia="en-GB"/>
              </w:rPr>
              <w:t>15</w:t>
            </w:r>
          </w:p>
        </w:tc>
      </w:tr>
      <w:tr w:rsidR="00A31B1B" w:rsidRPr="006604ED" w14:paraId="194C6607"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3B1CF372" w14:textId="77777777" w:rsidR="00A31B1B" w:rsidRPr="006604ED" w:rsidRDefault="00A31B1B" w:rsidP="00262AFD">
            <w:pPr>
              <w:keepNext/>
              <w:widowControl w:val="0"/>
              <w:jc w:val="center"/>
              <w:rPr>
                <w:rFonts w:eastAsia="Times New Roman" w:cs="Arial"/>
                <w:color w:val="000000"/>
                <w:sz w:val="20"/>
                <w:szCs w:val="20"/>
                <w:lang w:eastAsia="en-GB"/>
              </w:rPr>
            </w:pPr>
          </w:p>
        </w:tc>
        <w:tc>
          <w:tcPr>
            <w:tcW w:w="3286" w:type="dxa"/>
            <w:noWrap/>
          </w:tcPr>
          <w:p w14:paraId="60B42432" w14:textId="77777777" w:rsidR="00A31B1B" w:rsidRPr="006604ED" w:rsidRDefault="00A31B1B" w:rsidP="00262AF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sidRPr="006604ED">
              <w:rPr>
                <w:rFonts w:eastAsia="Times New Roman" w:cs="Arial"/>
                <w:i/>
                <w:iCs/>
                <w:color w:val="000000"/>
                <w:sz w:val="20"/>
                <w:szCs w:val="20"/>
                <w:vertAlign w:val="superscript"/>
                <w:lang w:eastAsia="en-GB"/>
              </w:rPr>
              <w:t>a,c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79DD6C73" w14:textId="77777777" w:rsidR="00A31B1B" w:rsidRPr="006E61A3"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eastAsia="Times New Roman" w:cstheme="minorHAnsi"/>
                <w:color w:val="000000"/>
                <w:sz w:val="20"/>
                <w:szCs w:val="20"/>
                <w:lang w:eastAsia="en-GB"/>
              </w:rPr>
              <w:t>0.00</w:t>
            </w:r>
          </w:p>
        </w:tc>
        <w:tc>
          <w:tcPr>
            <w:tcW w:w="0" w:type="auto"/>
          </w:tcPr>
          <w:p w14:paraId="3E967342" w14:textId="77777777" w:rsidR="00A31B1B" w:rsidRPr="007B422F"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7B422F">
              <w:rPr>
                <w:rFonts w:eastAsia="Times New Roman" w:cstheme="minorHAnsi"/>
                <w:color w:val="000000"/>
                <w:sz w:val="20"/>
                <w:szCs w:val="20"/>
                <w:lang w:eastAsia="en-GB"/>
              </w:rPr>
              <w:t>0.00</w:t>
            </w:r>
          </w:p>
        </w:tc>
        <w:tc>
          <w:tcPr>
            <w:tcW w:w="0" w:type="auto"/>
          </w:tcPr>
          <w:p w14:paraId="2CD09201" w14:textId="77777777" w:rsidR="00A31B1B" w:rsidRPr="004C73FA"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C73FA">
              <w:rPr>
                <w:rFonts w:eastAsia="Times New Roman" w:cstheme="minorHAnsi"/>
                <w:color w:val="000000"/>
                <w:sz w:val="20"/>
                <w:szCs w:val="20"/>
                <w:lang w:eastAsia="en-GB"/>
              </w:rPr>
              <w:t>0.00</w:t>
            </w:r>
          </w:p>
        </w:tc>
        <w:tc>
          <w:tcPr>
            <w:tcW w:w="0" w:type="auto"/>
          </w:tcPr>
          <w:p w14:paraId="587E00D6" w14:textId="77777777" w:rsidR="00A31B1B" w:rsidRPr="00BA3169"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BA3169">
              <w:rPr>
                <w:rFonts w:eastAsia="Times New Roman" w:cstheme="minorHAnsi"/>
                <w:color w:val="000000"/>
                <w:sz w:val="20"/>
                <w:szCs w:val="20"/>
                <w:lang w:eastAsia="en-GB"/>
              </w:rPr>
              <w:t>0.00</w:t>
            </w:r>
          </w:p>
        </w:tc>
        <w:tc>
          <w:tcPr>
            <w:tcW w:w="0" w:type="auto"/>
          </w:tcPr>
          <w:p w14:paraId="74F2EEBA" w14:textId="77777777" w:rsidR="00A31B1B" w:rsidRPr="005E6046"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5E6046">
              <w:rPr>
                <w:rFonts w:eastAsia="Times New Roman" w:cstheme="minorHAnsi"/>
                <w:color w:val="000000"/>
                <w:sz w:val="20"/>
                <w:szCs w:val="20"/>
                <w:lang w:eastAsia="en-GB"/>
              </w:rPr>
              <w:t>0.00</w:t>
            </w:r>
          </w:p>
        </w:tc>
        <w:tc>
          <w:tcPr>
            <w:tcW w:w="0" w:type="auto"/>
          </w:tcPr>
          <w:p w14:paraId="26BD3F5F" w14:textId="77777777" w:rsidR="00A31B1B" w:rsidRPr="00FC4990"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FC4990">
              <w:rPr>
                <w:rFonts w:eastAsia="Times New Roman" w:cstheme="minorHAnsi"/>
                <w:color w:val="000000"/>
                <w:sz w:val="20"/>
                <w:szCs w:val="20"/>
                <w:lang w:eastAsia="en-GB"/>
              </w:rPr>
              <w:t>0.00</w:t>
            </w:r>
          </w:p>
        </w:tc>
        <w:tc>
          <w:tcPr>
            <w:tcW w:w="1600" w:type="dxa"/>
          </w:tcPr>
          <w:p w14:paraId="4534E545" w14:textId="77777777" w:rsidR="00A31B1B" w:rsidRPr="00FC4990" w:rsidRDefault="00A31B1B" w:rsidP="00262AF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FC4990">
              <w:rPr>
                <w:rFonts w:eastAsia="Times New Roman" w:cstheme="minorHAnsi"/>
                <w:color w:val="000000"/>
                <w:sz w:val="20"/>
                <w:szCs w:val="20"/>
                <w:lang w:eastAsia="en-GB"/>
              </w:rPr>
              <w:t>0.00</w:t>
            </w:r>
          </w:p>
        </w:tc>
      </w:tr>
      <w:tr w:rsidR="005E1C8D" w:rsidRPr="0091692E" w14:paraId="23AECA55"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22F2EBD8" w14:textId="24FFA66C" w:rsidR="005E1C8D" w:rsidRPr="006604ED" w:rsidRDefault="005E1C8D" w:rsidP="005E1C8D">
            <w:pPr>
              <w:keepNext/>
              <w:widowControl w:val="0"/>
              <w:jc w:val="center"/>
              <w:rPr>
                <w:rFonts w:eastAsia="Times New Roman" w:cs="Arial"/>
                <w:color w:val="000000"/>
                <w:sz w:val="20"/>
                <w:szCs w:val="20"/>
                <w:lang w:eastAsia="en-GB"/>
              </w:rPr>
            </w:pPr>
            <w:r w:rsidRPr="006604ED">
              <w:rPr>
                <w:rFonts w:eastAsia="Times New Roman" w:cs="Arial"/>
                <w:color w:val="000000"/>
                <w:sz w:val="20"/>
                <w:szCs w:val="20"/>
                <w:lang w:eastAsia="en-GB"/>
              </w:rPr>
              <w:t xml:space="preserve">PEM Electrolysis </w:t>
            </w:r>
            <w:r>
              <w:rPr>
                <w:rFonts w:eastAsia="Times New Roman" w:cs="Arial"/>
                <w:color w:val="000000"/>
                <w:sz w:val="20"/>
                <w:szCs w:val="20"/>
                <w:lang w:eastAsia="en-GB"/>
              </w:rPr>
              <w:t xml:space="preserve">Solar </w:t>
            </w:r>
          </w:p>
        </w:tc>
        <w:tc>
          <w:tcPr>
            <w:tcW w:w="3286" w:type="dxa"/>
            <w:noWrap/>
          </w:tcPr>
          <w:p w14:paraId="5C4E7404" w14:textId="77777777" w:rsidR="005E1C8D" w:rsidRPr="006604ED" w:rsidRDefault="005E1C8D" w:rsidP="005E1C8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48C5A049" w14:textId="7EA03859"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2359.95</w:t>
            </w:r>
          </w:p>
        </w:tc>
        <w:tc>
          <w:tcPr>
            <w:tcW w:w="0" w:type="auto"/>
          </w:tcPr>
          <w:p w14:paraId="60A2DA66" w14:textId="639EBA99"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1728.91</w:t>
            </w:r>
          </w:p>
        </w:tc>
        <w:tc>
          <w:tcPr>
            <w:tcW w:w="0" w:type="auto"/>
          </w:tcPr>
          <w:p w14:paraId="62A158A3" w14:textId="5B695A9E"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1435.42</w:t>
            </w:r>
          </w:p>
        </w:tc>
        <w:tc>
          <w:tcPr>
            <w:tcW w:w="0" w:type="auto"/>
          </w:tcPr>
          <w:p w14:paraId="62D26065" w14:textId="73C653D6"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1288.56</w:t>
            </w:r>
          </w:p>
        </w:tc>
        <w:tc>
          <w:tcPr>
            <w:tcW w:w="0" w:type="auto"/>
          </w:tcPr>
          <w:p w14:paraId="3BC8F435" w14:textId="1A8B1CED"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1157.90</w:t>
            </w:r>
          </w:p>
        </w:tc>
        <w:tc>
          <w:tcPr>
            <w:tcW w:w="0" w:type="auto"/>
          </w:tcPr>
          <w:p w14:paraId="274D7637" w14:textId="65E15E07"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1071.20</w:t>
            </w:r>
          </w:p>
        </w:tc>
        <w:tc>
          <w:tcPr>
            <w:tcW w:w="1600" w:type="dxa"/>
          </w:tcPr>
          <w:p w14:paraId="61BCD11A" w14:textId="11E119A6" w:rsidR="005E1C8D" w:rsidRPr="0091692E" w:rsidRDefault="005E1C8D" w:rsidP="006210A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984.17</w:t>
            </w:r>
          </w:p>
        </w:tc>
      </w:tr>
      <w:tr w:rsidR="005E1C8D" w:rsidRPr="006604ED" w14:paraId="0E7B9642"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0394EA56" w14:textId="77777777" w:rsidR="005E1C8D" w:rsidRPr="006604ED" w:rsidRDefault="005E1C8D" w:rsidP="005E1C8D">
            <w:pPr>
              <w:keepNext/>
              <w:widowControl w:val="0"/>
              <w:jc w:val="center"/>
              <w:rPr>
                <w:rFonts w:eastAsia="Times New Roman" w:cs="Arial"/>
                <w:color w:val="000000"/>
                <w:sz w:val="20"/>
                <w:szCs w:val="20"/>
                <w:lang w:eastAsia="en-GB"/>
              </w:rPr>
            </w:pPr>
          </w:p>
        </w:tc>
        <w:tc>
          <w:tcPr>
            <w:tcW w:w="3286" w:type="dxa"/>
            <w:noWrap/>
          </w:tcPr>
          <w:p w14:paraId="02EE955A" w14:textId="77777777" w:rsidR="005E1C8D" w:rsidRPr="006604ED" w:rsidRDefault="005E1C8D" w:rsidP="005E1C8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tcPr>
          <w:p w14:paraId="15E44257" w14:textId="03A1A663" w:rsidR="005E1C8D" w:rsidRPr="006E61A3"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Pr>
                <w:rFonts w:cs="Arial"/>
                <w:color w:val="000000"/>
                <w:sz w:val="20"/>
                <w:szCs w:val="20"/>
              </w:rPr>
              <w:t>3.39</w:t>
            </w:r>
          </w:p>
        </w:tc>
        <w:tc>
          <w:tcPr>
            <w:tcW w:w="0" w:type="auto"/>
          </w:tcPr>
          <w:p w14:paraId="70D1B043" w14:textId="6B78D677"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CF40C1">
              <w:rPr>
                <w:rFonts w:cs="Arial"/>
                <w:color w:val="000000"/>
                <w:sz w:val="20"/>
                <w:szCs w:val="20"/>
              </w:rPr>
              <w:t>3.39</w:t>
            </w:r>
          </w:p>
        </w:tc>
        <w:tc>
          <w:tcPr>
            <w:tcW w:w="0" w:type="auto"/>
          </w:tcPr>
          <w:p w14:paraId="3763F513" w14:textId="15C87D68"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CF40C1">
              <w:rPr>
                <w:rFonts w:cs="Arial"/>
                <w:color w:val="000000"/>
                <w:sz w:val="20"/>
                <w:szCs w:val="20"/>
              </w:rPr>
              <w:t>3.39</w:t>
            </w:r>
          </w:p>
        </w:tc>
        <w:tc>
          <w:tcPr>
            <w:tcW w:w="0" w:type="auto"/>
          </w:tcPr>
          <w:p w14:paraId="10BDA1C3" w14:textId="477FC118"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CF40C1">
              <w:rPr>
                <w:rFonts w:cs="Arial"/>
                <w:color w:val="000000"/>
                <w:sz w:val="20"/>
                <w:szCs w:val="20"/>
              </w:rPr>
              <w:t>3.39</w:t>
            </w:r>
          </w:p>
        </w:tc>
        <w:tc>
          <w:tcPr>
            <w:tcW w:w="0" w:type="auto"/>
          </w:tcPr>
          <w:p w14:paraId="55F370BC" w14:textId="0B1F860C"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CF40C1">
              <w:rPr>
                <w:rFonts w:cs="Arial"/>
                <w:color w:val="000000"/>
                <w:sz w:val="20"/>
                <w:szCs w:val="20"/>
              </w:rPr>
              <w:t>3.39</w:t>
            </w:r>
          </w:p>
        </w:tc>
        <w:tc>
          <w:tcPr>
            <w:tcW w:w="0" w:type="auto"/>
          </w:tcPr>
          <w:p w14:paraId="7738AD4B" w14:textId="5366230B"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AD5FE4">
              <w:rPr>
                <w:rFonts w:cs="Arial"/>
                <w:color w:val="000000"/>
                <w:sz w:val="20"/>
                <w:szCs w:val="20"/>
              </w:rPr>
              <w:t>3.39</w:t>
            </w:r>
          </w:p>
        </w:tc>
        <w:tc>
          <w:tcPr>
            <w:tcW w:w="1600" w:type="dxa"/>
          </w:tcPr>
          <w:p w14:paraId="545CFDA5" w14:textId="105B4F0A"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AD5FE4">
              <w:rPr>
                <w:rFonts w:cs="Arial"/>
                <w:color w:val="000000"/>
                <w:sz w:val="20"/>
                <w:szCs w:val="20"/>
              </w:rPr>
              <w:t>3.39</w:t>
            </w:r>
          </w:p>
        </w:tc>
      </w:tr>
      <w:tr w:rsidR="005E1C8D" w:rsidRPr="006604ED" w14:paraId="23AD86F5"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36402A5C" w14:textId="77777777" w:rsidR="005E1C8D" w:rsidRPr="006604ED" w:rsidRDefault="005E1C8D" w:rsidP="005E1C8D">
            <w:pPr>
              <w:keepNext/>
              <w:widowControl w:val="0"/>
              <w:jc w:val="center"/>
              <w:rPr>
                <w:rFonts w:eastAsia="Times New Roman" w:cs="Arial"/>
                <w:color w:val="000000"/>
                <w:sz w:val="20"/>
                <w:szCs w:val="20"/>
                <w:lang w:eastAsia="en-GB"/>
              </w:rPr>
            </w:pPr>
          </w:p>
        </w:tc>
        <w:tc>
          <w:tcPr>
            <w:tcW w:w="3286" w:type="dxa"/>
            <w:noWrap/>
          </w:tcPr>
          <w:p w14:paraId="56A5D0BB" w14:textId="77777777" w:rsidR="005E1C8D" w:rsidRPr="006604ED" w:rsidRDefault="005E1C8D" w:rsidP="005E1C8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32457073" w14:textId="19F3F7A5" w:rsidR="005E1C8D" w:rsidRPr="006E61A3"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w:t>
            </w:r>
            <w:r>
              <w:rPr>
                <w:rFonts w:cs="Arial"/>
                <w:color w:val="000000"/>
                <w:sz w:val="20"/>
                <w:szCs w:val="20"/>
              </w:rPr>
              <w:t>.00</w:t>
            </w:r>
          </w:p>
        </w:tc>
        <w:tc>
          <w:tcPr>
            <w:tcW w:w="0" w:type="auto"/>
          </w:tcPr>
          <w:p w14:paraId="2CF7AF70" w14:textId="3F703395"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EB038C">
              <w:rPr>
                <w:rFonts w:cs="Arial"/>
                <w:color w:val="000000"/>
                <w:sz w:val="20"/>
                <w:szCs w:val="20"/>
              </w:rPr>
              <w:t>0.00</w:t>
            </w:r>
          </w:p>
        </w:tc>
        <w:tc>
          <w:tcPr>
            <w:tcW w:w="0" w:type="auto"/>
          </w:tcPr>
          <w:p w14:paraId="3512365A" w14:textId="4E77AF46"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EB038C">
              <w:rPr>
                <w:rFonts w:cs="Arial"/>
                <w:color w:val="000000"/>
                <w:sz w:val="20"/>
                <w:szCs w:val="20"/>
              </w:rPr>
              <w:t>0.00</w:t>
            </w:r>
          </w:p>
        </w:tc>
        <w:tc>
          <w:tcPr>
            <w:tcW w:w="0" w:type="auto"/>
          </w:tcPr>
          <w:p w14:paraId="16BBEC4C" w14:textId="608BE998"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EB038C">
              <w:rPr>
                <w:rFonts w:cs="Arial"/>
                <w:color w:val="000000"/>
                <w:sz w:val="20"/>
                <w:szCs w:val="20"/>
              </w:rPr>
              <w:t>0.00</w:t>
            </w:r>
          </w:p>
        </w:tc>
        <w:tc>
          <w:tcPr>
            <w:tcW w:w="0" w:type="auto"/>
          </w:tcPr>
          <w:p w14:paraId="4264CBAB" w14:textId="728D4BE6"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EB038C">
              <w:rPr>
                <w:rFonts w:cs="Arial"/>
                <w:color w:val="000000"/>
                <w:sz w:val="20"/>
                <w:szCs w:val="20"/>
              </w:rPr>
              <w:t>0.00</w:t>
            </w:r>
          </w:p>
        </w:tc>
        <w:tc>
          <w:tcPr>
            <w:tcW w:w="0" w:type="auto"/>
          </w:tcPr>
          <w:p w14:paraId="2FE63178" w14:textId="31A5B509"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531AA2">
              <w:rPr>
                <w:rFonts w:cs="Arial"/>
                <w:color w:val="000000"/>
                <w:sz w:val="20"/>
                <w:szCs w:val="20"/>
              </w:rPr>
              <w:t>0.00</w:t>
            </w:r>
          </w:p>
        </w:tc>
        <w:tc>
          <w:tcPr>
            <w:tcW w:w="1600" w:type="dxa"/>
          </w:tcPr>
          <w:p w14:paraId="2D0493F9" w14:textId="3D1EE520"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531AA2">
              <w:rPr>
                <w:rFonts w:cs="Arial"/>
                <w:color w:val="000000"/>
                <w:sz w:val="20"/>
                <w:szCs w:val="20"/>
              </w:rPr>
              <w:t>0.00</w:t>
            </w:r>
          </w:p>
        </w:tc>
      </w:tr>
      <w:tr w:rsidR="005E1C8D" w:rsidRPr="006604ED" w14:paraId="3A9C3B35"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531F3421" w14:textId="77777777" w:rsidR="005E1C8D" w:rsidRPr="006604ED" w:rsidRDefault="005E1C8D" w:rsidP="005E1C8D">
            <w:pPr>
              <w:keepNext/>
              <w:widowControl w:val="0"/>
              <w:jc w:val="center"/>
              <w:rPr>
                <w:rFonts w:eastAsia="Times New Roman" w:cs="Arial"/>
                <w:color w:val="000000"/>
                <w:sz w:val="20"/>
                <w:szCs w:val="20"/>
                <w:lang w:eastAsia="en-GB"/>
              </w:rPr>
            </w:pPr>
          </w:p>
        </w:tc>
        <w:tc>
          <w:tcPr>
            <w:tcW w:w="3286" w:type="dxa"/>
            <w:noWrap/>
          </w:tcPr>
          <w:p w14:paraId="6F1FA8A2" w14:textId="77777777" w:rsidR="005E1C8D" w:rsidRPr="006604ED" w:rsidRDefault="005E1C8D" w:rsidP="005E1C8D">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tcPr>
          <w:p w14:paraId="2C95361B" w14:textId="6548C1B5" w:rsidR="005E1C8D" w:rsidRPr="006E61A3"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5</w:t>
            </w:r>
          </w:p>
        </w:tc>
        <w:tc>
          <w:tcPr>
            <w:tcW w:w="0" w:type="auto"/>
          </w:tcPr>
          <w:p w14:paraId="734968F8" w14:textId="333C28BA"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5</w:t>
            </w:r>
          </w:p>
        </w:tc>
        <w:tc>
          <w:tcPr>
            <w:tcW w:w="0" w:type="auto"/>
          </w:tcPr>
          <w:p w14:paraId="624CF704" w14:textId="25F33798"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10</w:t>
            </w:r>
          </w:p>
        </w:tc>
        <w:tc>
          <w:tcPr>
            <w:tcW w:w="0" w:type="auto"/>
          </w:tcPr>
          <w:p w14:paraId="3DAD3749" w14:textId="7EA89BC1"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10</w:t>
            </w:r>
          </w:p>
        </w:tc>
        <w:tc>
          <w:tcPr>
            <w:tcW w:w="0" w:type="auto"/>
          </w:tcPr>
          <w:p w14:paraId="392EB566" w14:textId="256C3DA4"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10</w:t>
            </w:r>
          </w:p>
        </w:tc>
        <w:tc>
          <w:tcPr>
            <w:tcW w:w="0" w:type="auto"/>
          </w:tcPr>
          <w:p w14:paraId="4FF1E7A4" w14:textId="4485803D"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10</w:t>
            </w:r>
          </w:p>
        </w:tc>
        <w:tc>
          <w:tcPr>
            <w:tcW w:w="1600" w:type="dxa"/>
          </w:tcPr>
          <w:p w14:paraId="0E505366" w14:textId="50957ED3" w:rsidR="005E1C8D" w:rsidRPr="006210AE" w:rsidRDefault="005E1C8D" w:rsidP="005E1C8D">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15</w:t>
            </w:r>
          </w:p>
        </w:tc>
      </w:tr>
      <w:tr w:rsidR="005E1C8D" w:rsidRPr="006604ED" w14:paraId="5DCB824C"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16984137" w14:textId="77777777" w:rsidR="005E1C8D" w:rsidRPr="006604ED" w:rsidRDefault="005E1C8D" w:rsidP="005E1C8D">
            <w:pPr>
              <w:keepNext/>
              <w:widowControl w:val="0"/>
              <w:jc w:val="center"/>
              <w:rPr>
                <w:rFonts w:eastAsia="Times New Roman" w:cs="Arial"/>
                <w:color w:val="000000"/>
                <w:sz w:val="20"/>
                <w:szCs w:val="20"/>
                <w:lang w:eastAsia="en-GB"/>
              </w:rPr>
            </w:pPr>
          </w:p>
        </w:tc>
        <w:tc>
          <w:tcPr>
            <w:tcW w:w="3286" w:type="dxa"/>
            <w:noWrap/>
          </w:tcPr>
          <w:p w14:paraId="6A0A901A" w14:textId="77777777" w:rsidR="005E1C8D" w:rsidRPr="006604ED" w:rsidRDefault="005E1C8D" w:rsidP="005E1C8D">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sidRPr="006604ED">
              <w:rPr>
                <w:rFonts w:eastAsia="Times New Roman" w:cs="Arial"/>
                <w:i/>
                <w:iCs/>
                <w:color w:val="000000"/>
                <w:sz w:val="20"/>
                <w:szCs w:val="20"/>
                <w:vertAlign w:val="superscript"/>
                <w:lang w:eastAsia="en-GB"/>
              </w:rPr>
              <w:t>a,c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32472D55" w14:textId="122F3641" w:rsidR="005E1C8D" w:rsidRPr="006E61A3"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c>
          <w:tcPr>
            <w:tcW w:w="0" w:type="auto"/>
          </w:tcPr>
          <w:p w14:paraId="6FA2E154" w14:textId="384107AC"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c>
          <w:tcPr>
            <w:tcW w:w="0" w:type="auto"/>
          </w:tcPr>
          <w:p w14:paraId="56AB5058" w14:textId="31D023D5"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c>
          <w:tcPr>
            <w:tcW w:w="0" w:type="auto"/>
          </w:tcPr>
          <w:p w14:paraId="0536317D" w14:textId="18FB6DC2"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c>
          <w:tcPr>
            <w:tcW w:w="0" w:type="auto"/>
          </w:tcPr>
          <w:p w14:paraId="0B154302" w14:textId="00AE7AFB"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c>
          <w:tcPr>
            <w:tcW w:w="0" w:type="auto"/>
          </w:tcPr>
          <w:p w14:paraId="49B858DA" w14:textId="40B097F2"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c>
          <w:tcPr>
            <w:tcW w:w="1600" w:type="dxa"/>
          </w:tcPr>
          <w:p w14:paraId="403574B8" w14:textId="51C1F18F" w:rsidR="005E1C8D" w:rsidRPr="006210AE" w:rsidRDefault="005E1C8D" w:rsidP="005E1C8D">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604ED">
              <w:rPr>
                <w:rFonts w:cs="Arial"/>
                <w:color w:val="000000"/>
                <w:sz w:val="20"/>
                <w:szCs w:val="20"/>
              </w:rPr>
              <w:t>0.00</w:t>
            </w:r>
          </w:p>
        </w:tc>
      </w:tr>
      <w:tr w:rsidR="00EC1E49" w:rsidRPr="006604ED" w14:paraId="37218D0B"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63527413" w14:textId="185CEDAB" w:rsidR="00EC1E49" w:rsidRPr="006604ED" w:rsidRDefault="00EC1E49" w:rsidP="00EC1E49">
            <w:pPr>
              <w:widowControl w:val="0"/>
              <w:jc w:val="center"/>
              <w:rPr>
                <w:rFonts w:eastAsia="Times New Roman" w:cs="Arial"/>
                <w:color w:val="000000"/>
                <w:sz w:val="20"/>
                <w:szCs w:val="20"/>
                <w:lang w:eastAsia="en-GB"/>
              </w:rPr>
            </w:pPr>
            <w:r w:rsidRPr="006604ED">
              <w:rPr>
                <w:rFonts w:eastAsia="Times New Roman" w:cs="Arial"/>
                <w:color w:val="000000"/>
                <w:sz w:val="20"/>
                <w:szCs w:val="20"/>
                <w:lang w:eastAsia="en-GB"/>
              </w:rPr>
              <w:t xml:space="preserve">SOEC Electrolysis </w:t>
            </w:r>
            <w:r>
              <w:rPr>
                <w:rFonts w:eastAsia="Times New Roman" w:cs="Arial"/>
                <w:color w:val="000000"/>
                <w:sz w:val="20"/>
                <w:szCs w:val="20"/>
                <w:lang w:eastAsia="en-GB"/>
              </w:rPr>
              <w:t>Solar</w:t>
            </w:r>
          </w:p>
        </w:tc>
        <w:tc>
          <w:tcPr>
            <w:tcW w:w="3286" w:type="dxa"/>
            <w:noWrap/>
          </w:tcPr>
          <w:p w14:paraId="6D3BEE44" w14:textId="77777777"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2F30A017" w14:textId="4016701E"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2359.95</w:t>
            </w:r>
          </w:p>
        </w:tc>
        <w:tc>
          <w:tcPr>
            <w:tcW w:w="0" w:type="auto"/>
          </w:tcPr>
          <w:p w14:paraId="777A4FB8" w14:textId="37D8152D"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1728.91</w:t>
            </w:r>
          </w:p>
        </w:tc>
        <w:tc>
          <w:tcPr>
            <w:tcW w:w="0" w:type="auto"/>
          </w:tcPr>
          <w:p w14:paraId="2A513CFB" w14:textId="77B136DC"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1435.42</w:t>
            </w:r>
          </w:p>
        </w:tc>
        <w:tc>
          <w:tcPr>
            <w:tcW w:w="0" w:type="auto"/>
          </w:tcPr>
          <w:p w14:paraId="099D3BD5" w14:textId="64929C1E"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1288.56</w:t>
            </w:r>
          </w:p>
        </w:tc>
        <w:tc>
          <w:tcPr>
            <w:tcW w:w="0" w:type="auto"/>
          </w:tcPr>
          <w:p w14:paraId="700D1B44" w14:textId="677C1106"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1157.90</w:t>
            </w:r>
          </w:p>
        </w:tc>
        <w:tc>
          <w:tcPr>
            <w:tcW w:w="0" w:type="auto"/>
          </w:tcPr>
          <w:p w14:paraId="41DBE515" w14:textId="1DA60320"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1071.20</w:t>
            </w:r>
          </w:p>
        </w:tc>
        <w:tc>
          <w:tcPr>
            <w:tcW w:w="1600" w:type="dxa"/>
          </w:tcPr>
          <w:p w14:paraId="2BF02754" w14:textId="04D2A457" w:rsidR="00EC1E49" w:rsidRPr="006E61A3" w:rsidRDefault="00EC1E49" w:rsidP="006210A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984.17</w:t>
            </w:r>
          </w:p>
        </w:tc>
      </w:tr>
      <w:tr w:rsidR="00EC1E49" w:rsidRPr="006604ED" w14:paraId="6B9BFBFC"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1D2CBC6F" w14:textId="77777777" w:rsidR="00EC1E49" w:rsidRPr="006604ED" w:rsidRDefault="00EC1E49" w:rsidP="00EC1E49">
            <w:pPr>
              <w:widowControl w:val="0"/>
              <w:jc w:val="center"/>
              <w:rPr>
                <w:rFonts w:eastAsia="Times New Roman" w:cs="Arial"/>
                <w:color w:val="000000"/>
                <w:sz w:val="20"/>
                <w:szCs w:val="20"/>
                <w:lang w:eastAsia="en-GB"/>
              </w:rPr>
            </w:pPr>
          </w:p>
        </w:tc>
        <w:tc>
          <w:tcPr>
            <w:tcW w:w="3286" w:type="dxa"/>
            <w:noWrap/>
          </w:tcPr>
          <w:p w14:paraId="5845B535" w14:textId="77777777"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 (Percentage of OPEX)</w:t>
            </w:r>
          </w:p>
        </w:tc>
        <w:tc>
          <w:tcPr>
            <w:tcW w:w="0" w:type="auto"/>
            <w:noWrap/>
          </w:tcPr>
          <w:p w14:paraId="054585A7" w14:textId="1FF75C8C"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3.39</w:t>
            </w:r>
          </w:p>
        </w:tc>
        <w:tc>
          <w:tcPr>
            <w:tcW w:w="0" w:type="auto"/>
          </w:tcPr>
          <w:p w14:paraId="57251183" w14:textId="6FA63083"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3.39</w:t>
            </w:r>
          </w:p>
        </w:tc>
        <w:tc>
          <w:tcPr>
            <w:tcW w:w="0" w:type="auto"/>
          </w:tcPr>
          <w:p w14:paraId="441DB11F" w14:textId="55A000A2"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3.39</w:t>
            </w:r>
          </w:p>
        </w:tc>
        <w:tc>
          <w:tcPr>
            <w:tcW w:w="0" w:type="auto"/>
          </w:tcPr>
          <w:p w14:paraId="4220C6A2" w14:textId="7645282E"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3.39</w:t>
            </w:r>
          </w:p>
        </w:tc>
        <w:tc>
          <w:tcPr>
            <w:tcW w:w="0" w:type="auto"/>
          </w:tcPr>
          <w:p w14:paraId="7E70FC8E" w14:textId="56236B0A"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3.39</w:t>
            </w:r>
          </w:p>
        </w:tc>
        <w:tc>
          <w:tcPr>
            <w:tcW w:w="0" w:type="auto"/>
          </w:tcPr>
          <w:p w14:paraId="4F95CD45" w14:textId="27CE4211"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3.39</w:t>
            </w:r>
          </w:p>
        </w:tc>
        <w:tc>
          <w:tcPr>
            <w:tcW w:w="1600" w:type="dxa"/>
          </w:tcPr>
          <w:p w14:paraId="40F0A94E" w14:textId="2EC93B14"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3.39</w:t>
            </w:r>
          </w:p>
        </w:tc>
      </w:tr>
      <w:tr w:rsidR="00EC1E49" w:rsidRPr="006604ED" w14:paraId="79017523"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5A1EECE7" w14:textId="77777777" w:rsidR="00EC1E49" w:rsidRPr="006604ED" w:rsidRDefault="00EC1E49" w:rsidP="00EC1E49">
            <w:pPr>
              <w:widowControl w:val="0"/>
              <w:jc w:val="center"/>
              <w:rPr>
                <w:rFonts w:eastAsia="Times New Roman" w:cs="Arial"/>
                <w:color w:val="000000"/>
                <w:sz w:val="20"/>
                <w:szCs w:val="20"/>
                <w:lang w:eastAsia="en-GB"/>
              </w:rPr>
            </w:pPr>
          </w:p>
        </w:tc>
        <w:tc>
          <w:tcPr>
            <w:tcW w:w="3286" w:type="dxa"/>
            <w:noWrap/>
          </w:tcPr>
          <w:p w14:paraId="6F734B95" w14:textId="77777777"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 (£/kWh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35278206" w14:textId="78EC2AE1"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0.00</w:t>
            </w:r>
          </w:p>
        </w:tc>
        <w:tc>
          <w:tcPr>
            <w:tcW w:w="0" w:type="auto"/>
          </w:tcPr>
          <w:p w14:paraId="47B3F36D" w14:textId="1735F7EC"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5D8E6EDE" w14:textId="0C74C7B8"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3C40256C" w14:textId="771E8D0C"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03E873DC" w14:textId="6A15EFD5"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07B16750" w14:textId="669E9C90"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1600" w:type="dxa"/>
          </w:tcPr>
          <w:p w14:paraId="3BD517DE" w14:textId="6DE92683"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r>
      <w:tr w:rsidR="00EC1E49" w:rsidRPr="006604ED" w14:paraId="00287BA0" w14:textId="77777777" w:rsidTr="00EC1E49">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47F7C995" w14:textId="77777777" w:rsidR="00EC1E49" w:rsidRPr="006604ED" w:rsidRDefault="00EC1E49" w:rsidP="00EC1E49">
            <w:pPr>
              <w:widowControl w:val="0"/>
              <w:jc w:val="center"/>
              <w:rPr>
                <w:rFonts w:eastAsia="Times New Roman" w:cs="Arial"/>
                <w:color w:val="000000"/>
                <w:sz w:val="20"/>
                <w:szCs w:val="20"/>
                <w:lang w:eastAsia="en-GB"/>
              </w:rPr>
            </w:pPr>
          </w:p>
        </w:tc>
        <w:tc>
          <w:tcPr>
            <w:tcW w:w="3286" w:type="dxa"/>
            <w:noWrap/>
          </w:tcPr>
          <w:p w14:paraId="07FD3B5D" w14:textId="77777777"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 (yr)</w:t>
            </w:r>
          </w:p>
        </w:tc>
        <w:tc>
          <w:tcPr>
            <w:tcW w:w="0" w:type="auto"/>
            <w:noWrap/>
          </w:tcPr>
          <w:p w14:paraId="18DB1749" w14:textId="24776681"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5</w:t>
            </w:r>
          </w:p>
        </w:tc>
        <w:tc>
          <w:tcPr>
            <w:tcW w:w="0" w:type="auto"/>
          </w:tcPr>
          <w:p w14:paraId="2818FD59" w14:textId="13A42088"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5</w:t>
            </w:r>
          </w:p>
        </w:tc>
        <w:tc>
          <w:tcPr>
            <w:tcW w:w="0" w:type="auto"/>
          </w:tcPr>
          <w:p w14:paraId="61BC1127" w14:textId="1A80C7B1"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10</w:t>
            </w:r>
          </w:p>
        </w:tc>
        <w:tc>
          <w:tcPr>
            <w:tcW w:w="0" w:type="auto"/>
          </w:tcPr>
          <w:p w14:paraId="06EAEC7F" w14:textId="59799350"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10</w:t>
            </w:r>
          </w:p>
        </w:tc>
        <w:tc>
          <w:tcPr>
            <w:tcW w:w="0" w:type="auto"/>
          </w:tcPr>
          <w:p w14:paraId="7D7F8A1E" w14:textId="28153EE1"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10</w:t>
            </w:r>
          </w:p>
        </w:tc>
        <w:tc>
          <w:tcPr>
            <w:tcW w:w="0" w:type="auto"/>
          </w:tcPr>
          <w:p w14:paraId="20E293C4" w14:textId="5219F6E8"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10</w:t>
            </w:r>
          </w:p>
        </w:tc>
        <w:tc>
          <w:tcPr>
            <w:tcW w:w="1600" w:type="dxa"/>
          </w:tcPr>
          <w:p w14:paraId="2F4B8B37" w14:textId="492212D3" w:rsidR="00EC1E49" w:rsidRPr="006210AE"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15</w:t>
            </w:r>
          </w:p>
        </w:tc>
      </w:tr>
      <w:tr w:rsidR="00EC1E49" w:rsidRPr="006604ED" w14:paraId="5514F8FA" w14:textId="77777777" w:rsidTr="00EC1E4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2C1B56E8" w14:textId="77777777" w:rsidR="00EC1E49" w:rsidRPr="006604ED" w:rsidRDefault="00EC1E49" w:rsidP="00EC1E49">
            <w:pPr>
              <w:widowControl w:val="0"/>
              <w:jc w:val="center"/>
              <w:rPr>
                <w:rFonts w:eastAsia="Times New Roman" w:cs="Arial"/>
                <w:color w:val="000000"/>
                <w:sz w:val="20"/>
                <w:szCs w:val="20"/>
                <w:lang w:eastAsia="en-GB"/>
              </w:rPr>
            </w:pPr>
          </w:p>
        </w:tc>
        <w:tc>
          <w:tcPr>
            <w:tcW w:w="3286" w:type="dxa"/>
            <w:noWrap/>
          </w:tcPr>
          <w:p w14:paraId="2FE1DB73" w14:textId="77777777"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noWrap/>
          </w:tcPr>
          <w:p w14:paraId="06AC927D" w14:textId="3B38FBC0"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E61A3">
              <w:rPr>
                <w:rFonts w:cstheme="minorHAnsi"/>
                <w:color w:val="000000"/>
                <w:sz w:val="20"/>
                <w:szCs w:val="20"/>
              </w:rPr>
              <w:t>0.00</w:t>
            </w:r>
          </w:p>
        </w:tc>
        <w:tc>
          <w:tcPr>
            <w:tcW w:w="0" w:type="auto"/>
          </w:tcPr>
          <w:p w14:paraId="257C725E" w14:textId="141EB916"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323C5964" w14:textId="79AF4DA4"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503E119E" w14:textId="554285D0"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7836AE64" w14:textId="74145281"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0" w:type="auto"/>
          </w:tcPr>
          <w:p w14:paraId="64CD23EB" w14:textId="4AAE05D0"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c>
          <w:tcPr>
            <w:tcW w:w="1600" w:type="dxa"/>
          </w:tcPr>
          <w:p w14:paraId="2CE7D64C" w14:textId="1121EC95" w:rsidR="00EC1E49" w:rsidRPr="006210AE"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6210AE">
              <w:rPr>
                <w:rFonts w:cstheme="minorHAnsi"/>
                <w:color w:val="000000"/>
                <w:sz w:val="20"/>
                <w:szCs w:val="20"/>
              </w:rPr>
              <w:t>0.00</w:t>
            </w:r>
          </w:p>
        </w:tc>
      </w:tr>
      <w:tr w:rsidR="00EC1E49" w:rsidRPr="006604ED" w14:paraId="372B604F"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028452F5" w14:textId="7D9863F0" w:rsidR="00EC1E49" w:rsidRPr="006604ED" w:rsidRDefault="00EC1E49" w:rsidP="00EC1E49">
            <w:pPr>
              <w:widowControl w:val="0"/>
              <w:jc w:val="center"/>
              <w:rPr>
                <w:rFonts w:eastAsia="Times New Roman" w:cs="Arial"/>
                <w:color w:val="000000"/>
                <w:sz w:val="20"/>
                <w:szCs w:val="20"/>
                <w:lang w:eastAsia="en-GB"/>
              </w:rPr>
            </w:pPr>
            <w:bookmarkStart w:id="53" w:name="_Toc50359436"/>
            <w:r w:rsidRPr="006604ED">
              <w:rPr>
                <w:rFonts w:cs="Arial"/>
                <w:color w:val="000000"/>
                <w:sz w:val="20"/>
                <w:szCs w:val="20"/>
              </w:rPr>
              <w:t xml:space="preserve">Alkaline Electrolysis </w:t>
            </w:r>
            <w:r>
              <w:rPr>
                <w:rFonts w:cs="Arial"/>
                <w:color w:val="000000"/>
                <w:sz w:val="20"/>
                <w:szCs w:val="20"/>
              </w:rPr>
              <w:t>Wind</w:t>
            </w:r>
          </w:p>
        </w:tc>
        <w:tc>
          <w:tcPr>
            <w:tcW w:w="3286" w:type="dxa"/>
            <w:noWrap/>
          </w:tcPr>
          <w:p w14:paraId="296F3E72" w14:textId="5A3EE53F"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CAPEX</w:t>
            </w:r>
            <w:r w:rsidRPr="006604ED">
              <w:rPr>
                <w:rFonts w:cs="Arial"/>
                <w:i/>
                <w:iCs/>
                <w:color w:val="000000"/>
                <w:sz w:val="20"/>
                <w:szCs w:val="20"/>
                <w:vertAlign w:val="superscript"/>
              </w:rPr>
              <w:t>a</w:t>
            </w:r>
            <w:r w:rsidRPr="006604ED">
              <w:rPr>
                <w:rFonts w:cs="Arial"/>
                <w:i/>
                <w:iCs/>
                <w:color w:val="000000"/>
                <w:sz w:val="20"/>
                <w:szCs w:val="20"/>
              </w:rPr>
              <w:t xml:space="preserve"> (£/kW</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2BBB7329" w14:textId="39ED93DA"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3078.15</w:t>
            </w:r>
          </w:p>
        </w:tc>
        <w:tc>
          <w:tcPr>
            <w:tcW w:w="0" w:type="auto"/>
          </w:tcPr>
          <w:p w14:paraId="513DAAE9" w14:textId="6A4DF699"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2469.36</w:t>
            </w:r>
          </w:p>
        </w:tc>
        <w:tc>
          <w:tcPr>
            <w:tcW w:w="0" w:type="auto"/>
          </w:tcPr>
          <w:p w14:paraId="45D27D44" w14:textId="4BFA34B5"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2016.38</w:t>
            </w:r>
          </w:p>
        </w:tc>
        <w:tc>
          <w:tcPr>
            <w:tcW w:w="0" w:type="auto"/>
          </w:tcPr>
          <w:p w14:paraId="371C84A0" w14:textId="58C4D786"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1706.84</w:t>
            </w:r>
          </w:p>
        </w:tc>
        <w:tc>
          <w:tcPr>
            <w:tcW w:w="0" w:type="auto"/>
          </w:tcPr>
          <w:p w14:paraId="5C18CFAE" w14:textId="128D0C5E"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1462.78</w:t>
            </w:r>
          </w:p>
        </w:tc>
        <w:tc>
          <w:tcPr>
            <w:tcW w:w="0" w:type="auto"/>
          </w:tcPr>
          <w:p w14:paraId="3EE43315" w14:textId="48204013"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1279.76</w:t>
            </w:r>
          </w:p>
        </w:tc>
        <w:tc>
          <w:tcPr>
            <w:tcW w:w="1600" w:type="dxa"/>
          </w:tcPr>
          <w:p w14:paraId="5388838B" w14:textId="1846EF26"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1134.45</w:t>
            </w:r>
          </w:p>
        </w:tc>
      </w:tr>
      <w:tr w:rsidR="00EC1E49" w:rsidRPr="006604ED" w14:paraId="6948BA52"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097AFD0E" w14:textId="77777777" w:rsidR="00EC1E49" w:rsidRPr="006604ED" w:rsidRDefault="00EC1E49" w:rsidP="00EC1E49">
            <w:pPr>
              <w:widowControl w:val="0"/>
              <w:jc w:val="center"/>
              <w:rPr>
                <w:rFonts w:cs="Arial"/>
                <w:color w:val="000000"/>
                <w:sz w:val="20"/>
                <w:szCs w:val="20"/>
              </w:rPr>
            </w:pPr>
          </w:p>
        </w:tc>
        <w:tc>
          <w:tcPr>
            <w:tcW w:w="3286" w:type="dxa"/>
            <w:noWrap/>
          </w:tcPr>
          <w:p w14:paraId="4E4AB290" w14:textId="2620CF41"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Fixed OPEX</w:t>
            </w:r>
            <w:r w:rsidRPr="006604ED">
              <w:rPr>
                <w:rFonts w:cs="Arial"/>
                <w:i/>
                <w:iCs/>
                <w:color w:val="000000"/>
                <w:sz w:val="20"/>
                <w:szCs w:val="20"/>
                <w:vertAlign w:val="superscript"/>
              </w:rPr>
              <w:t>a</w:t>
            </w:r>
            <w:r w:rsidRPr="006604ED">
              <w:rPr>
                <w:rFonts w:cs="Arial"/>
                <w:i/>
                <w:iCs/>
                <w:color w:val="000000"/>
                <w:sz w:val="20"/>
                <w:szCs w:val="20"/>
              </w:rPr>
              <w:t xml:space="preserve"> (Percentage of OPEX)</w:t>
            </w:r>
          </w:p>
        </w:tc>
        <w:tc>
          <w:tcPr>
            <w:tcW w:w="0" w:type="auto"/>
            <w:noWrap/>
          </w:tcPr>
          <w:p w14:paraId="22B12C29" w14:textId="53BBC6EE"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2.79</w:t>
            </w:r>
          </w:p>
        </w:tc>
        <w:tc>
          <w:tcPr>
            <w:tcW w:w="0" w:type="auto"/>
          </w:tcPr>
          <w:p w14:paraId="01F7DF50" w14:textId="65CB7BE4"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2.79</w:t>
            </w:r>
          </w:p>
        </w:tc>
        <w:tc>
          <w:tcPr>
            <w:tcW w:w="0" w:type="auto"/>
          </w:tcPr>
          <w:p w14:paraId="1D3EBF4E" w14:textId="4A5CB517"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2.79</w:t>
            </w:r>
          </w:p>
        </w:tc>
        <w:tc>
          <w:tcPr>
            <w:tcW w:w="0" w:type="auto"/>
          </w:tcPr>
          <w:p w14:paraId="0B3DD282" w14:textId="619C1656"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2.79</w:t>
            </w:r>
          </w:p>
        </w:tc>
        <w:tc>
          <w:tcPr>
            <w:tcW w:w="0" w:type="auto"/>
          </w:tcPr>
          <w:p w14:paraId="5DC16E10" w14:textId="3C11B90F"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2.79</w:t>
            </w:r>
          </w:p>
        </w:tc>
        <w:tc>
          <w:tcPr>
            <w:tcW w:w="0" w:type="auto"/>
          </w:tcPr>
          <w:p w14:paraId="60A8356D" w14:textId="0EF549CC"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2.79</w:t>
            </w:r>
          </w:p>
        </w:tc>
        <w:tc>
          <w:tcPr>
            <w:tcW w:w="1600" w:type="dxa"/>
          </w:tcPr>
          <w:p w14:paraId="301679BB" w14:textId="731CC650"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2.79</w:t>
            </w:r>
          </w:p>
        </w:tc>
      </w:tr>
      <w:tr w:rsidR="00EC1E49" w:rsidRPr="006604ED" w14:paraId="4406B6F7"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48BCD8CF" w14:textId="77777777" w:rsidR="00EC1E49" w:rsidRPr="006604ED" w:rsidRDefault="00EC1E49" w:rsidP="00EC1E49">
            <w:pPr>
              <w:widowControl w:val="0"/>
              <w:jc w:val="center"/>
              <w:rPr>
                <w:rFonts w:cs="Arial"/>
                <w:color w:val="000000"/>
                <w:sz w:val="20"/>
                <w:szCs w:val="20"/>
              </w:rPr>
            </w:pPr>
          </w:p>
        </w:tc>
        <w:tc>
          <w:tcPr>
            <w:tcW w:w="3286" w:type="dxa"/>
            <w:noWrap/>
          </w:tcPr>
          <w:p w14:paraId="0FD64E6D" w14:textId="50A5E9E3"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Variable OPEX</w:t>
            </w:r>
            <w:r w:rsidRPr="006604ED">
              <w:rPr>
                <w:rFonts w:cs="Arial"/>
                <w:i/>
                <w:iCs/>
                <w:color w:val="000000"/>
                <w:sz w:val="20"/>
                <w:szCs w:val="20"/>
                <w:vertAlign w:val="superscript"/>
              </w:rPr>
              <w:t>a</w:t>
            </w:r>
            <w:r w:rsidRPr="006604ED">
              <w:rPr>
                <w:rFonts w:cs="Arial"/>
                <w:i/>
                <w:iCs/>
                <w:color w:val="000000"/>
                <w:sz w:val="20"/>
                <w:szCs w:val="20"/>
              </w:rPr>
              <w:t xml:space="preserve"> (£/kWh</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2B8B5B2E" w14:textId="080A803C"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0.0147</w:t>
            </w:r>
          </w:p>
        </w:tc>
        <w:tc>
          <w:tcPr>
            <w:tcW w:w="0" w:type="auto"/>
          </w:tcPr>
          <w:p w14:paraId="1C35B44D" w14:textId="15E63E50"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0.0147</w:t>
            </w:r>
          </w:p>
        </w:tc>
        <w:tc>
          <w:tcPr>
            <w:tcW w:w="0" w:type="auto"/>
          </w:tcPr>
          <w:p w14:paraId="5352B77A" w14:textId="3CF14599"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0.0147</w:t>
            </w:r>
          </w:p>
        </w:tc>
        <w:tc>
          <w:tcPr>
            <w:tcW w:w="0" w:type="auto"/>
          </w:tcPr>
          <w:p w14:paraId="2755A46E" w14:textId="0F07E3D0"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0.0147</w:t>
            </w:r>
          </w:p>
        </w:tc>
        <w:tc>
          <w:tcPr>
            <w:tcW w:w="0" w:type="auto"/>
          </w:tcPr>
          <w:p w14:paraId="1B91D306" w14:textId="3CBB6540"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0.0147</w:t>
            </w:r>
          </w:p>
        </w:tc>
        <w:tc>
          <w:tcPr>
            <w:tcW w:w="0" w:type="auto"/>
          </w:tcPr>
          <w:p w14:paraId="44595676" w14:textId="7C28150C"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0.0147</w:t>
            </w:r>
          </w:p>
        </w:tc>
        <w:tc>
          <w:tcPr>
            <w:tcW w:w="1600" w:type="dxa"/>
          </w:tcPr>
          <w:p w14:paraId="3256B912" w14:textId="28BC7488"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0.0147</w:t>
            </w:r>
          </w:p>
        </w:tc>
      </w:tr>
      <w:tr w:rsidR="00EC1E49" w:rsidRPr="006604ED" w14:paraId="272E406B"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29134079" w14:textId="77777777" w:rsidR="00EC1E49" w:rsidRPr="006604ED" w:rsidRDefault="00EC1E49" w:rsidP="00EC1E49">
            <w:pPr>
              <w:widowControl w:val="0"/>
              <w:jc w:val="center"/>
              <w:rPr>
                <w:rFonts w:cs="Arial"/>
                <w:color w:val="000000"/>
                <w:sz w:val="20"/>
                <w:szCs w:val="20"/>
              </w:rPr>
            </w:pPr>
          </w:p>
        </w:tc>
        <w:tc>
          <w:tcPr>
            <w:tcW w:w="3286" w:type="dxa"/>
            <w:noWrap/>
          </w:tcPr>
          <w:p w14:paraId="629D23D1" w14:textId="346A0F28"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Operating Lifetime</w:t>
            </w:r>
            <w:r w:rsidRPr="006604ED">
              <w:rPr>
                <w:rFonts w:cs="Arial"/>
                <w:i/>
                <w:iCs/>
                <w:color w:val="000000"/>
                <w:sz w:val="20"/>
                <w:szCs w:val="20"/>
                <w:vertAlign w:val="superscript"/>
              </w:rPr>
              <w:t>b</w:t>
            </w:r>
            <w:r w:rsidRPr="006604ED">
              <w:rPr>
                <w:rFonts w:cs="Arial"/>
                <w:i/>
                <w:iCs/>
                <w:color w:val="000000"/>
                <w:sz w:val="20"/>
                <w:szCs w:val="20"/>
              </w:rPr>
              <w:t xml:space="preserve"> (yr)</w:t>
            </w:r>
          </w:p>
        </w:tc>
        <w:tc>
          <w:tcPr>
            <w:tcW w:w="0" w:type="auto"/>
            <w:noWrap/>
          </w:tcPr>
          <w:p w14:paraId="4173FC2A" w14:textId="63D4338B"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5</w:t>
            </w:r>
          </w:p>
        </w:tc>
        <w:tc>
          <w:tcPr>
            <w:tcW w:w="0" w:type="auto"/>
          </w:tcPr>
          <w:p w14:paraId="199DBF09" w14:textId="5ECA364F"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5</w:t>
            </w:r>
          </w:p>
        </w:tc>
        <w:tc>
          <w:tcPr>
            <w:tcW w:w="0" w:type="auto"/>
          </w:tcPr>
          <w:p w14:paraId="53B685B3" w14:textId="0E92543C"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10</w:t>
            </w:r>
          </w:p>
        </w:tc>
        <w:tc>
          <w:tcPr>
            <w:tcW w:w="0" w:type="auto"/>
          </w:tcPr>
          <w:p w14:paraId="1C33FE2B" w14:textId="1EB64BFA"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10</w:t>
            </w:r>
          </w:p>
        </w:tc>
        <w:tc>
          <w:tcPr>
            <w:tcW w:w="0" w:type="auto"/>
          </w:tcPr>
          <w:p w14:paraId="11AA7ECE" w14:textId="528D88EA"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10</w:t>
            </w:r>
          </w:p>
        </w:tc>
        <w:tc>
          <w:tcPr>
            <w:tcW w:w="0" w:type="auto"/>
          </w:tcPr>
          <w:p w14:paraId="54CF6DBD" w14:textId="1ACA63B5"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10</w:t>
            </w:r>
          </w:p>
        </w:tc>
        <w:tc>
          <w:tcPr>
            <w:tcW w:w="1600" w:type="dxa"/>
          </w:tcPr>
          <w:p w14:paraId="34B1E1C0" w14:textId="615FE367"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15</w:t>
            </w:r>
          </w:p>
        </w:tc>
      </w:tr>
      <w:tr w:rsidR="00EC1E49" w:rsidRPr="006604ED" w14:paraId="23CD2B63"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6D52F00B" w14:textId="77777777" w:rsidR="00EC1E49" w:rsidRPr="006604ED" w:rsidRDefault="00EC1E49" w:rsidP="00EC1E49">
            <w:pPr>
              <w:widowControl w:val="0"/>
              <w:jc w:val="center"/>
              <w:rPr>
                <w:rFonts w:cs="Arial"/>
                <w:color w:val="000000"/>
                <w:sz w:val="20"/>
                <w:szCs w:val="20"/>
              </w:rPr>
            </w:pPr>
          </w:p>
        </w:tc>
        <w:tc>
          <w:tcPr>
            <w:tcW w:w="3286" w:type="dxa"/>
            <w:noWrap/>
          </w:tcPr>
          <w:p w14:paraId="21CFC33E" w14:textId="11063B1A"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Emission Factor</w:t>
            </w:r>
            <w:r w:rsidRPr="006604ED">
              <w:rPr>
                <w:rFonts w:cs="Arial"/>
                <w:i/>
                <w:iCs/>
                <w:color w:val="000000"/>
                <w:sz w:val="20"/>
                <w:szCs w:val="20"/>
                <w:vertAlign w:val="superscript"/>
              </w:rPr>
              <w:t>a,c</w:t>
            </w:r>
            <w:r w:rsidRPr="006604ED">
              <w:rPr>
                <w:rFonts w:cs="Arial"/>
                <w:i/>
                <w:iCs/>
                <w:color w:val="000000"/>
                <w:sz w:val="20"/>
                <w:szCs w:val="20"/>
              </w:rPr>
              <w:t xml:space="preserve"> (kg</w:t>
            </w:r>
            <w:r w:rsidRPr="006604ED">
              <w:rPr>
                <w:rFonts w:cs="Arial"/>
                <w:i/>
                <w:iCs/>
                <w:color w:val="000000"/>
                <w:sz w:val="20"/>
                <w:szCs w:val="20"/>
                <w:vertAlign w:val="subscript"/>
              </w:rPr>
              <w:t>CO2e</w:t>
            </w:r>
            <w:r w:rsidRPr="006604ED">
              <w:rPr>
                <w:rFonts w:cs="Arial"/>
                <w:i/>
                <w:iCs/>
                <w:color w:val="000000"/>
                <w:sz w:val="20"/>
                <w:szCs w:val="20"/>
              </w:rPr>
              <w:t>/kWh</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3A81F512" w14:textId="37160885"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0.00</w:t>
            </w:r>
          </w:p>
        </w:tc>
        <w:tc>
          <w:tcPr>
            <w:tcW w:w="0" w:type="auto"/>
          </w:tcPr>
          <w:p w14:paraId="26A37B52" w14:textId="6351B95F"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0.00</w:t>
            </w:r>
          </w:p>
        </w:tc>
        <w:tc>
          <w:tcPr>
            <w:tcW w:w="0" w:type="auto"/>
          </w:tcPr>
          <w:p w14:paraId="68BED313" w14:textId="5141504C"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0.00</w:t>
            </w:r>
          </w:p>
        </w:tc>
        <w:tc>
          <w:tcPr>
            <w:tcW w:w="0" w:type="auto"/>
          </w:tcPr>
          <w:p w14:paraId="7BB47B61" w14:textId="51B244D5"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0.00</w:t>
            </w:r>
          </w:p>
        </w:tc>
        <w:tc>
          <w:tcPr>
            <w:tcW w:w="0" w:type="auto"/>
          </w:tcPr>
          <w:p w14:paraId="55EE45A1" w14:textId="3F077552"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0.00</w:t>
            </w:r>
          </w:p>
        </w:tc>
        <w:tc>
          <w:tcPr>
            <w:tcW w:w="0" w:type="auto"/>
          </w:tcPr>
          <w:p w14:paraId="30F2020A" w14:textId="1C2CB1BE"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0.00</w:t>
            </w:r>
          </w:p>
        </w:tc>
        <w:tc>
          <w:tcPr>
            <w:tcW w:w="1600" w:type="dxa"/>
          </w:tcPr>
          <w:p w14:paraId="4F44F739" w14:textId="79AB8F86"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0.00</w:t>
            </w:r>
          </w:p>
        </w:tc>
      </w:tr>
      <w:tr w:rsidR="00EC1E49" w:rsidRPr="006604ED" w14:paraId="4F3514EB"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3144D825" w14:textId="4270682B" w:rsidR="00EC1E49" w:rsidRPr="006604ED" w:rsidRDefault="00EC1E49" w:rsidP="00EC1E49">
            <w:pPr>
              <w:widowControl w:val="0"/>
              <w:jc w:val="center"/>
              <w:rPr>
                <w:rFonts w:cs="Arial"/>
                <w:color w:val="000000"/>
                <w:sz w:val="20"/>
                <w:szCs w:val="20"/>
              </w:rPr>
            </w:pPr>
            <w:r w:rsidRPr="006604ED">
              <w:rPr>
                <w:rFonts w:cs="Arial"/>
                <w:color w:val="000000"/>
                <w:sz w:val="20"/>
                <w:szCs w:val="20"/>
              </w:rPr>
              <w:t xml:space="preserve">PEM Electrolysis </w:t>
            </w:r>
            <w:r>
              <w:rPr>
                <w:rFonts w:cs="Arial"/>
                <w:color w:val="000000"/>
                <w:sz w:val="20"/>
                <w:szCs w:val="20"/>
              </w:rPr>
              <w:t>Wind</w:t>
            </w:r>
          </w:p>
        </w:tc>
        <w:tc>
          <w:tcPr>
            <w:tcW w:w="3286" w:type="dxa"/>
            <w:noWrap/>
          </w:tcPr>
          <w:p w14:paraId="3924C634" w14:textId="6D590991"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CAPEX</w:t>
            </w:r>
            <w:r w:rsidRPr="006604ED">
              <w:rPr>
                <w:rFonts w:cs="Arial"/>
                <w:i/>
                <w:iCs/>
                <w:color w:val="000000"/>
                <w:sz w:val="20"/>
                <w:szCs w:val="20"/>
                <w:vertAlign w:val="superscript"/>
              </w:rPr>
              <w:t>a</w:t>
            </w:r>
            <w:r w:rsidRPr="006604ED">
              <w:rPr>
                <w:rFonts w:cs="Arial"/>
                <w:i/>
                <w:iCs/>
                <w:color w:val="000000"/>
                <w:sz w:val="20"/>
                <w:szCs w:val="20"/>
              </w:rPr>
              <w:t xml:space="preserve"> (£/kW</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52D48CA9" w14:textId="0BD0F89D"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3408.52</w:t>
            </w:r>
          </w:p>
        </w:tc>
        <w:tc>
          <w:tcPr>
            <w:tcW w:w="0" w:type="auto"/>
          </w:tcPr>
          <w:p w14:paraId="3F250C15" w14:textId="6ADE591A"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2453.85</w:t>
            </w:r>
          </w:p>
        </w:tc>
        <w:tc>
          <w:tcPr>
            <w:tcW w:w="0" w:type="auto"/>
          </w:tcPr>
          <w:p w14:paraId="0B4D4F8F" w14:textId="6F0D31E1"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1895.08</w:t>
            </w:r>
          </w:p>
        </w:tc>
        <w:tc>
          <w:tcPr>
            <w:tcW w:w="0" w:type="auto"/>
          </w:tcPr>
          <w:p w14:paraId="2FF1D0D4" w14:textId="683F7341"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1559.81</w:t>
            </w:r>
          </w:p>
        </w:tc>
        <w:tc>
          <w:tcPr>
            <w:tcW w:w="0" w:type="auto"/>
          </w:tcPr>
          <w:p w14:paraId="6AE5317A" w14:textId="653581D1"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1289.77</w:t>
            </w:r>
          </w:p>
        </w:tc>
        <w:tc>
          <w:tcPr>
            <w:tcW w:w="0" w:type="auto"/>
          </w:tcPr>
          <w:p w14:paraId="75A7F4B3" w14:textId="50C21CC5"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1107.46</w:t>
            </w:r>
          </w:p>
        </w:tc>
        <w:tc>
          <w:tcPr>
            <w:tcW w:w="1600" w:type="dxa"/>
          </w:tcPr>
          <w:p w14:paraId="47638012" w14:textId="41D69658"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963.21</w:t>
            </w:r>
          </w:p>
        </w:tc>
      </w:tr>
      <w:tr w:rsidR="00EC1E49" w:rsidRPr="006604ED" w14:paraId="4192673F"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CFEF363" w14:textId="77777777" w:rsidR="00EC1E49" w:rsidRPr="006604ED" w:rsidRDefault="00EC1E49" w:rsidP="00EC1E49">
            <w:pPr>
              <w:widowControl w:val="0"/>
              <w:jc w:val="center"/>
              <w:rPr>
                <w:rFonts w:cs="Arial"/>
                <w:color w:val="000000"/>
                <w:sz w:val="20"/>
                <w:szCs w:val="20"/>
              </w:rPr>
            </w:pPr>
          </w:p>
        </w:tc>
        <w:tc>
          <w:tcPr>
            <w:tcW w:w="3286" w:type="dxa"/>
            <w:noWrap/>
          </w:tcPr>
          <w:p w14:paraId="5BCC11B4" w14:textId="288FB188"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Fixed OPEX</w:t>
            </w:r>
            <w:r w:rsidRPr="006604ED">
              <w:rPr>
                <w:rFonts w:cs="Arial"/>
                <w:i/>
                <w:iCs/>
                <w:color w:val="000000"/>
                <w:sz w:val="20"/>
                <w:szCs w:val="20"/>
                <w:vertAlign w:val="superscript"/>
              </w:rPr>
              <w:t>a</w:t>
            </w:r>
            <w:r w:rsidRPr="006604ED">
              <w:rPr>
                <w:rFonts w:cs="Arial"/>
                <w:i/>
                <w:iCs/>
                <w:color w:val="000000"/>
                <w:sz w:val="20"/>
                <w:szCs w:val="20"/>
              </w:rPr>
              <w:t xml:space="preserve"> (Percentage of OPEX)</w:t>
            </w:r>
          </w:p>
        </w:tc>
        <w:tc>
          <w:tcPr>
            <w:tcW w:w="0" w:type="auto"/>
            <w:noWrap/>
          </w:tcPr>
          <w:p w14:paraId="3ED0003B" w14:textId="2B9A797C"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2.79</w:t>
            </w:r>
          </w:p>
        </w:tc>
        <w:tc>
          <w:tcPr>
            <w:tcW w:w="0" w:type="auto"/>
          </w:tcPr>
          <w:p w14:paraId="4CA5A91B" w14:textId="60336409"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2.79</w:t>
            </w:r>
          </w:p>
        </w:tc>
        <w:tc>
          <w:tcPr>
            <w:tcW w:w="0" w:type="auto"/>
          </w:tcPr>
          <w:p w14:paraId="0A554A34" w14:textId="2E918CE1"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2.79</w:t>
            </w:r>
          </w:p>
        </w:tc>
        <w:tc>
          <w:tcPr>
            <w:tcW w:w="0" w:type="auto"/>
          </w:tcPr>
          <w:p w14:paraId="050C54C2" w14:textId="20D664E3"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2.79</w:t>
            </w:r>
          </w:p>
        </w:tc>
        <w:tc>
          <w:tcPr>
            <w:tcW w:w="0" w:type="auto"/>
          </w:tcPr>
          <w:p w14:paraId="451C3BDE" w14:textId="5BE92770"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2.79</w:t>
            </w:r>
          </w:p>
        </w:tc>
        <w:tc>
          <w:tcPr>
            <w:tcW w:w="0" w:type="auto"/>
          </w:tcPr>
          <w:p w14:paraId="67317FA0" w14:textId="1A9ADEC3"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2.79</w:t>
            </w:r>
          </w:p>
        </w:tc>
        <w:tc>
          <w:tcPr>
            <w:tcW w:w="1600" w:type="dxa"/>
          </w:tcPr>
          <w:p w14:paraId="70F9FE01" w14:textId="4260A7F8"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2.79</w:t>
            </w:r>
          </w:p>
        </w:tc>
      </w:tr>
      <w:tr w:rsidR="00EC1E49" w:rsidRPr="006604ED" w14:paraId="4F69AC32"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47987BEF" w14:textId="77777777" w:rsidR="00EC1E49" w:rsidRPr="006604ED" w:rsidRDefault="00EC1E49" w:rsidP="00EC1E49">
            <w:pPr>
              <w:widowControl w:val="0"/>
              <w:jc w:val="center"/>
              <w:rPr>
                <w:rFonts w:cs="Arial"/>
                <w:color w:val="000000"/>
                <w:sz w:val="20"/>
                <w:szCs w:val="20"/>
              </w:rPr>
            </w:pPr>
          </w:p>
        </w:tc>
        <w:tc>
          <w:tcPr>
            <w:tcW w:w="3286" w:type="dxa"/>
            <w:noWrap/>
          </w:tcPr>
          <w:p w14:paraId="3FD750D2" w14:textId="23FFCC97"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Variable OPEX</w:t>
            </w:r>
            <w:r w:rsidRPr="006604ED">
              <w:rPr>
                <w:rFonts w:cs="Arial"/>
                <w:i/>
                <w:iCs/>
                <w:color w:val="000000"/>
                <w:sz w:val="20"/>
                <w:szCs w:val="20"/>
                <w:vertAlign w:val="superscript"/>
              </w:rPr>
              <w:t>a</w:t>
            </w:r>
            <w:r w:rsidRPr="006604ED">
              <w:rPr>
                <w:rFonts w:cs="Arial"/>
                <w:i/>
                <w:iCs/>
                <w:color w:val="000000"/>
                <w:sz w:val="20"/>
                <w:szCs w:val="20"/>
              </w:rPr>
              <w:t xml:space="preserve"> (£/kWh</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42446FB1" w14:textId="2758744E"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0.0147</w:t>
            </w:r>
          </w:p>
        </w:tc>
        <w:tc>
          <w:tcPr>
            <w:tcW w:w="0" w:type="auto"/>
          </w:tcPr>
          <w:p w14:paraId="567DA640" w14:textId="077297B3"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0.0147</w:t>
            </w:r>
          </w:p>
        </w:tc>
        <w:tc>
          <w:tcPr>
            <w:tcW w:w="0" w:type="auto"/>
          </w:tcPr>
          <w:p w14:paraId="2D5FD3FF" w14:textId="52326CD1"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0.0147</w:t>
            </w:r>
          </w:p>
        </w:tc>
        <w:tc>
          <w:tcPr>
            <w:tcW w:w="0" w:type="auto"/>
          </w:tcPr>
          <w:p w14:paraId="5054A2F2" w14:textId="73857001"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0.0147</w:t>
            </w:r>
          </w:p>
        </w:tc>
        <w:tc>
          <w:tcPr>
            <w:tcW w:w="0" w:type="auto"/>
          </w:tcPr>
          <w:p w14:paraId="59FBF86D" w14:textId="6126CDA6"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0.0147</w:t>
            </w:r>
          </w:p>
        </w:tc>
        <w:tc>
          <w:tcPr>
            <w:tcW w:w="0" w:type="auto"/>
          </w:tcPr>
          <w:p w14:paraId="3276579F" w14:textId="28AC39BD"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0.0147</w:t>
            </w:r>
          </w:p>
        </w:tc>
        <w:tc>
          <w:tcPr>
            <w:tcW w:w="1600" w:type="dxa"/>
          </w:tcPr>
          <w:p w14:paraId="010C496E" w14:textId="722FD8BB"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0.0147</w:t>
            </w:r>
          </w:p>
        </w:tc>
      </w:tr>
      <w:tr w:rsidR="00EC1E49" w:rsidRPr="006604ED" w14:paraId="0B79600D"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47C67F5B" w14:textId="77777777" w:rsidR="00EC1E49" w:rsidRPr="006604ED" w:rsidRDefault="00EC1E49" w:rsidP="00EC1E49">
            <w:pPr>
              <w:widowControl w:val="0"/>
              <w:jc w:val="center"/>
              <w:rPr>
                <w:rFonts w:cs="Arial"/>
                <w:color w:val="000000"/>
                <w:sz w:val="20"/>
                <w:szCs w:val="20"/>
              </w:rPr>
            </w:pPr>
          </w:p>
        </w:tc>
        <w:tc>
          <w:tcPr>
            <w:tcW w:w="3286" w:type="dxa"/>
            <w:noWrap/>
          </w:tcPr>
          <w:p w14:paraId="2510AA64" w14:textId="4A6681C7"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Operating Lifetime</w:t>
            </w:r>
            <w:r w:rsidRPr="006604ED">
              <w:rPr>
                <w:rFonts w:cs="Arial"/>
                <w:i/>
                <w:iCs/>
                <w:color w:val="000000"/>
                <w:sz w:val="20"/>
                <w:szCs w:val="20"/>
                <w:vertAlign w:val="superscript"/>
              </w:rPr>
              <w:t>b</w:t>
            </w:r>
            <w:r w:rsidRPr="006604ED">
              <w:rPr>
                <w:rFonts w:cs="Arial"/>
                <w:i/>
                <w:iCs/>
                <w:color w:val="000000"/>
                <w:sz w:val="20"/>
                <w:szCs w:val="20"/>
              </w:rPr>
              <w:t xml:space="preserve"> (yr)</w:t>
            </w:r>
          </w:p>
        </w:tc>
        <w:tc>
          <w:tcPr>
            <w:tcW w:w="0" w:type="auto"/>
            <w:noWrap/>
          </w:tcPr>
          <w:p w14:paraId="0B657A20" w14:textId="598D8BD4"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5</w:t>
            </w:r>
          </w:p>
        </w:tc>
        <w:tc>
          <w:tcPr>
            <w:tcW w:w="0" w:type="auto"/>
          </w:tcPr>
          <w:p w14:paraId="4F0ACF27" w14:textId="263A2A5F"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5</w:t>
            </w:r>
          </w:p>
        </w:tc>
        <w:tc>
          <w:tcPr>
            <w:tcW w:w="0" w:type="auto"/>
          </w:tcPr>
          <w:p w14:paraId="6CB9E77A" w14:textId="207836A3"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10</w:t>
            </w:r>
          </w:p>
        </w:tc>
        <w:tc>
          <w:tcPr>
            <w:tcW w:w="0" w:type="auto"/>
          </w:tcPr>
          <w:p w14:paraId="32F22B22" w14:textId="3ED4C090"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10</w:t>
            </w:r>
          </w:p>
        </w:tc>
        <w:tc>
          <w:tcPr>
            <w:tcW w:w="0" w:type="auto"/>
          </w:tcPr>
          <w:p w14:paraId="0F6D7BEA" w14:textId="02EC3ABE"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10</w:t>
            </w:r>
          </w:p>
        </w:tc>
        <w:tc>
          <w:tcPr>
            <w:tcW w:w="0" w:type="auto"/>
          </w:tcPr>
          <w:p w14:paraId="76377B33" w14:textId="3B964A1D"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10</w:t>
            </w:r>
          </w:p>
        </w:tc>
        <w:tc>
          <w:tcPr>
            <w:tcW w:w="1600" w:type="dxa"/>
          </w:tcPr>
          <w:p w14:paraId="497E4066" w14:textId="0FA61222"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15</w:t>
            </w:r>
          </w:p>
        </w:tc>
      </w:tr>
      <w:tr w:rsidR="00EC1E49" w:rsidRPr="006604ED" w14:paraId="0A0811AA"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24C9E7D4" w14:textId="77777777" w:rsidR="00EC1E49" w:rsidRPr="006604ED" w:rsidRDefault="00EC1E49" w:rsidP="00EC1E49">
            <w:pPr>
              <w:widowControl w:val="0"/>
              <w:jc w:val="center"/>
              <w:rPr>
                <w:rFonts w:cs="Arial"/>
                <w:color w:val="000000"/>
                <w:sz w:val="20"/>
                <w:szCs w:val="20"/>
              </w:rPr>
            </w:pPr>
          </w:p>
        </w:tc>
        <w:tc>
          <w:tcPr>
            <w:tcW w:w="3286" w:type="dxa"/>
            <w:noWrap/>
          </w:tcPr>
          <w:p w14:paraId="70CF6630" w14:textId="729A659F"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Emission Factor</w:t>
            </w:r>
            <w:r w:rsidRPr="006604ED">
              <w:rPr>
                <w:rFonts w:cs="Arial"/>
                <w:i/>
                <w:iCs/>
                <w:color w:val="000000"/>
                <w:sz w:val="20"/>
                <w:szCs w:val="20"/>
                <w:vertAlign w:val="superscript"/>
              </w:rPr>
              <w:t>a,c</w:t>
            </w:r>
            <w:r w:rsidRPr="006604ED">
              <w:rPr>
                <w:rFonts w:cs="Arial"/>
                <w:i/>
                <w:iCs/>
                <w:color w:val="000000"/>
                <w:sz w:val="20"/>
                <w:szCs w:val="20"/>
              </w:rPr>
              <w:t xml:space="preserve"> (kg</w:t>
            </w:r>
            <w:r w:rsidRPr="006604ED">
              <w:rPr>
                <w:rFonts w:cs="Arial"/>
                <w:i/>
                <w:iCs/>
                <w:color w:val="000000"/>
                <w:sz w:val="20"/>
                <w:szCs w:val="20"/>
                <w:vertAlign w:val="subscript"/>
              </w:rPr>
              <w:t>CO2e</w:t>
            </w:r>
            <w:r w:rsidRPr="006604ED">
              <w:rPr>
                <w:rFonts w:cs="Arial"/>
                <w:i/>
                <w:iCs/>
                <w:color w:val="000000"/>
                <w:sz w:val="20"/>
                <w:szCs w:val="20"/>
              </w:rPr>
              <w:t>/kWh</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5F9025CA" w14:textId="28396DD0"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0.00</w:t>
            </w:r>
          </w:p>
        </w:tc>
        <w:tc>
          <w:tcPr>
            <w:tcW w:w="0" w:type="auto"/>
          </w:tcPr>
          <w:p w14:paraId="38069505" w14:textId="3E369184"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0.00</w:t>
            </w:r>
          </w:p>
        </w:tc>
        <w:tc>
          <w:tcPr>
            <w:tcW w:w="0" w:type="auto"/>
          </w:tcPr>
          <w:p w14:paraId="6F8FA419" w14:textId="4E793D55"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0.00</w:t>
            </w:r>
          </w:p>
        </w:tc>
        <w:tc>
          <w:tcPr>
            <w:tcW w:w="0" w:type="auto"/>
          </w:tcPr>
          <w:p w14:paraId="749757A1" w14:textId="1C32D18E"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0.00</w:t>
            </w:r>
          </w:p>
        </w:tc>
        <w:tc>
          <w:tcPr>
            <w:tcW w:w="0" w:type="auto"/>
          </w:tcPr>
          <w:p w14:paraId="6D09A1C3" w14:textId="649DE8BC"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0.00</w:t>
            </w:r>
          </w:p>
        </w:tc>
        <w:tc>
          <w:tcPr>
            <w:tcW w:w="0" w:type="auto"/>
          </w:tcPr>
          <w:p w14:paraId="258FB3CC" w14:textId="18F65E53"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0.00</w:t>
            </w:r>
          </w:p>
        </w:tc>
        <w:tc>
          <w:tcPr>
            <w:tcW w:w="1600" w:type="dxa"/>
          </w:tcPr>
          <w:p w14:paraId="14F159A0" w14:textId="3E8D4A74"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0.00</w:t>
            </w:r>
          </w:p>
        </w:tc>
      </w:tr>
      <w:tr w:rsidR="00EC1E49" w:rsidRPr="006604ED" w14:paraId="32BF99B7"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val="restart"/>
            <w:textDirection w:val="btLr"/>
          </w:tcPr>
          <w:p w14:paraId="25E7FB4F" w14:textId="7B78E0B6" w:rsidR="00EC1E49" w:rsidRPr="006604ED" w:rsidRDefault="00EC1E49" w:rsidP="00EC1E49">
            <w:pPr>
              <w:widowControl w:val="0"/>
              <w:jc w:val="center"/>
              <w:rPr>
                <w:rFonts w:cs="Arial"/>
                <w:color w:val="000000"/>
                <w:sz w:val="20"/>
                <w:szCs w:val="20"/>
              </w:rPr>
            </w:pPr>
            <w:r w:rsidRPr="006604ED">
              <w:rPr>
                <w:rFonts w:cs="Arial"/>
                <w:color w:val="000000"/>
                <w:sz w:val="20"/>
                <w:szCs w:val="20"/>
              </w:rPr>
              <w:t xml:space="preserve">SOEC Electrolysis </w:t>
            </w:r>
            <w:r>
              <w:rPr>
                <w:rFonts w:cs="Arial"/>
                <w:color w:val="000000"/>
                <w:sz w:val="20"/>
                <w:szCs w:val="20"/>
              </w:rPr>
              <w:t>Wind</w:t>
            </w:r>
          </w:p>
        </w:tc>
        <w:tc>
          <w:tcPr>
            <w:tcW w:w="3286" w:type="dxa"/>
            <w:noWrap/>
          </w:tcPr>
          <w:p w14:paraId="4FA0DC04" w14:textId="6751A126"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CAPEX (£/kW</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692568E1" w14:textId="41A01289"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4113.01</w:t>
            </w:r>
          </w:p>
        </w:tc>
        <w:tc>
          <w:tcPr>
            <w:tcW w:w="0" w:type="auto"/>
          </w:tcPr>
          <w:p w14:paraId="5B35815D" w14:textId="34F3E28B"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3089.60</w:t>
            </w:r>
          </w:p>
        </w:tc>
        <w:tc>
          <w:tcPr>
            <w:tcW w:w="0" w:type="auto"/>
          </w:tcPr>
          <w:p w14:paraId="2EB0AFC4" w14:textId="0B46C0FF"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2416.23</w:t>
            </w:r>
          </w:p>
        </w:tc>
        <w:tc>
          <w:tcPr>
            <w:tcW w:w="0" w:type="auto"/>
          </w:tcPr>
          <w:p w14:paraId="4B53CA05" w14:textId="3466A997"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1994.18</w:t>
            </w:r>
          </w:p>
        </w:tc>
        <w:tc>
          <w:tcPr>
            <w:tcW w:w="0" w:type="auto"/>
          </w:tcPr>
          <w:p w14:paraId="6879F728" w14:textId="6184CD1C"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1644.18</w:t>
            </w:r>
          </w:p>
        </w:tc>
        <w:tc>
          <w:tcPr>
            <w:tcW w:w="0" w:type="auto"/>
          </w:tcPr>
          <w:p w14:paraId="2A0BB577" w14:textId="3EBDA169"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1411.82</w:t>
            </w:r>
          </w:p>
        </w:tc>
        <w:tc>
          <w:tcPr>
            <w:tcW w:w="1600" w:type="dxa"/>
          </w:tcPr>
          <w:p w14:paraId="1E3D5A58" w14:textId="0BE604C0"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1216.96</w:t>
            </w:r>
          </w:p>
        </w:tc>
      </w:tr>
      <w:tr w:rsidR="00EC1E49" w:rsidRPr="006604ED" w14:paraId="70B751D2"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6DC48F8" w14:textId="77777777" w:rsidR="00EC1E49" w:rsidRPr="006604ED" w:rsidRDefault="00EC1E49" w:rsidP="00EC1E49">
            <w:pPr>
              <w:widowControl w:val="0"/>
              <w:jc w:val="center"/>
              <w:rPr>
                <w:rFonts w:cs="Arial"/>
                <w:color w:val="000000"/>
                <w:sz w:val="20"/>
                <w:szCs w:val="20"/>
              </w:rPr>
            </w:pPr>
          </w:p>
        </w:tc>
        <w:tc>
          <w:tcPr>
            <w:tcW w:w="3286" w:type="dxa"/>
            <w:noWrap/>
          </w:tcPr>
          <w:p w14:paraId="7BE856A3" w14:textId="43CAD05D"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Fixed OPEX (Percentage of OPEX)</w:t>
            </w:r>
          </w:p>
        </w:tc>
        <w:tc>
          <w:tcPr>
            <w:tcW w:w="0" w:type="auto"/>
            <w:noWrap/>
          </w:tcPr>
          <w:p w14:paraId="1B50B7DC" w14:textId="56A848FD"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2.79</w:t>
            </w:r>
          </w:p>
        </w:tc>
        <w:tc>
          <w:tcPr>
            <w:tcW w:w="0" w:type="auto"/>
          </w:tcPr>
          <w:p w14:paraId="02AA2427" w14:textId="1104FD83"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2.79</w:t>
            </w:r>
          </w:p>
        </w:tc>
        <w:tc>
          <w:tcPr>
            <w:tcW w:w="0" w:type="auto"/>
          </w:tcPr>
          <w:p w14:paraId="5439AC9B" w14:textId="077E37C6"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2.79</w:t>
            </w:r>
          </w:p>
        </w:tc>
        <w:tc>
          <w:tcPr>
            <w:tcW w:w="0" w:type="auto"/>
          </w:tcPr>
          <w:p w14:paraId="439F983E" w14:textId="102E6EB7"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2.79</w:t>
            </w:r>
          </w:p>
        </w:tc>
        <w:tc>
          <w:tcPr>
            <w:tcW w:w="0" w:type="auto"/>
          </w:tcPr>
          <w:p w14:paraId="5CA05C83" w14:textId="605A1667"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2.79</w:t>
            </w:r>
          </w:p>
        </w:tc>
        <w:tc>
          <w:tcPr>
            <w:tcW w:w="0" w:type="auto"/>
          </w:tcPr>
          <w:p w14:paraId="0F09ED34" w14:textId="7B1A68E6"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2.79</w:t>
            </w:r>
          </w:p>
        </w:tc>
        <w:tc>
          <w:tcPr>
            <w:tcW w:w="1600" w:type="dxa"/>
          </w:tcPr>
          <w:p w14:paraId="0ADD8EAE" w14:textId="3F372695"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2.79</w:t>
            </w:r>
          </w:p>
        </w:tc>
      </w:tr>
      <w:tr w:rsidR="00EC1E49" w:rsidRPr="006604ED" w14:paraId="6F9A0D2C"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757891D1" w14:textId="77777777" w:rsidR="00EC1E49" w:rsidRPr="006604ED" w:rsidRDefault="00EC1E49" w:rsidP="00EC1E49">
            <w:pPr>
              <w:widowControl w:val="0"/>
              <w:jc w:val="center"/>
              <w:rPr>
                <w:rFonts w:cs="Arial"/>
                <w:color w:val="000000"/>
                <w:sz w:val="20"/>
                <w:szCs w:val="20"/>
              </w:rPr>
            </w:pPr>
          </w:p>
        </w:tc>
        <w:tc>
          <w:tcPr>
            <w:tcW w:w="3286" w:type="dxa"/>
            <w:noWrap/>
          </w:tcPr>
          <w:p w14:paraId="2D7EEECC" w14:textId="03F845F4"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Variable OPEX (£/kWh</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799BC2ED" w14:textId="66A04395"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0.0147</w:t>
            </w:r>
          </w:p>
        </w:tc>
        <w:tc>
          <w:tcPr>
            <w:tcW w:w="0" w:type="auto"/>
          </w:tcPr>
          <w:p w14:paraId="6791EE7D" w14:textId="2D4D8FD6"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0.0147</w:t>
            </w:r>
          </w:p>
        </w:tc>
        <w:tc>
          <w:tcPr>
            <w:tcW w:w="0" w:type="auto"/>
          </w:tcPr>
          <w:p w14:paraId="64771CEE" w14:textId="1393BD04"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0.0147</w:t>
            </w:r>
          </w:p>
        </w:tc>
        <w:tc>
          <w:tcPr>
            <w:tcW w:w="0" w:type="auto"/>
          </w:tcPr>
          <w:p w14:paraId="489DC967" w14:textId="25C705BE"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0.0147</w:t>
            </w:r>
          </w:p>
        </w:tc>
        <w:tc>
          <w:tcPr>
            <w:tcW w:w="0" w:type="auto"/>
          </w:tcPr>
          <w:p w14:paraId="68444051" w14:textId="5F3401D8"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0.0147</w:t>
            </w:r>
          </w:p>
        </w:tc>
        <w:tc>
          <w:tcPr>
            <w:tcW w:w="0" w:type="auto"/>
          </w:tcPr>
          <w:p w14:paraId="1D6463B5" w14:textId="6937A1AB"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0.0147</w:t>
            </w:r>
          </w:p>
        </w:tc>
        <w:tc>
          <w:tcPr>
            <w:tcW w:w="1600" w:type="dxa"/>
          </w:tcPr>
          <w:p w14:paraId="2F51C908" w14:textId="16421409"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0.0147</w:t>
            </w:r>
          </w:p>
        </w:tc>
      </w:tr>
      <w:tr w:rsidR="00EC1E49" w:rsidRPr="006604ED" w14:paraId="7BE87A1F" w14:textId="77777777" w:rsidTr="00F4052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050CEA70" w14:textId="77777777" w:rsidR="00EC1E49" w:rsidRPr="006604ED" w:rsidRDefault="00EC1E49" w:rsidP="00EC1E49">
            <w:pPr>
              <w:widowControl w:val="0"/>
              <w:jc w:val="center"/>
              <w:rPr>
                <w:rFonts w:cs="Arial"/>
                <w:color w:val="000000"/>
                <w:sz w:val="20"/>
                <w:szCs w:val="20"/>
              </w:rPr>
            </w:pPr>
          </w:p>
        </w:tc>
        <w:tc>
          <w:tcPr>
            <w:tcW w:w="3286" w:type="dxa"/>
            <w:noWrap/>
          </w:tcPr>
          <w:p w14:paraId="5B8A6D61" w14:textId="20A1F4B2" w:rsidR="00EC1E49" w:rsidRPr="006604ED" w:rsidRDefault="00EC1E49" w:rsidP="00EC1E49">
            <w:pPr>
              <w:widowControl w:val="0"/>
              <w:spacing w:before="0" w:after="0"/>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6604ED">
              <w:rPr>
                <w:rFonts w:cs="Arial"/>
                <w:i/>
                <w:iCs/>
                <w:color w:val="000000"/>
                <w:sz w:val="20"/>
                <w:szCs w:val="20"/>
              </w:rPr>
              <w:t>Operating Lifetime (yr)</w:t>
            </w:r>
          </w:p>
        </w:tc>
        <w:tc>
          <w:tcPr>
            <w:tcW w:w="0" w:type="auto"/>
            <w:noWrap/>
          </w:tcPr>
          <w:p w14:paraId="6892FFE6" w14:textId="003506D7" w:rsidR="00EC1E49" w:rsidRPr="006E61A3"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5</w:t>
            </w:r>
          </w:p>
        </w:tc>
        <w:tc>
          <w:tcPr>
            <w:tcW w:w="0" w:type="auto"/>
          </w:tcPr>
          <w:p w14:paraId="6A6FF657" w14:textId="0D542619" w:rsidR="00EC1E49" w:rsidRPr="00AD5475"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5</w:t>
            </w:r>
          </w:p>
        </w:tc>
        <w:tc>
          <w:tcPr>
            <w:tcW w:w="0" w:type="auto"/>
          </w:tcPr>
          <w:p w14:paraId="644A5500" w14:textId="70464534" w:rsidR="00EC1E49" w:rsidRPr="004C73FA"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5</w:t>
            </w:r>
          </w:p>
        </w:tc>
        <w:tc>
          <w:tcPr>
            <w:tcW w:w="0" w:type="auto"/>
          </w:tcPr>
          <w:p w14:paraId="12ABC256" w14:textId="52D9C5FB" w:rsidR="00EC1E49" w:rsidRPr="00BA3169"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5</w:t>
            </w:r>
          </w:p>
        </w:tc>
        <w:tc>
          <w:tcPr>
            <w:tcW w:w="0" w:type="auto"/>
          </w:tcPr>
          <w:p w14:paraId="624B0ED8" w14:textId="078D00AF" w:rsidR="00EC1E49" w:rsidRPr="005E6046"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5</w:t>
            </w:r>
          </w:p>
        </w:tc>
        <w:tc>
          <w:tcPr>
            <w:tcW w:w="0" w:type="auto"/>
          </w:tcPr>
          <w:p w14:paraId="748557BF" w14:textId="475FEC86"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10</w:t>
            </w:r>
          </w:p>
        </w:tc>
        <w:tc>
          <w:tcPr>
            <w:tcW w:w="1600" w:type="dxa"/>
          </w:tcPr>
          <w:p w14:paraId="3A842E14" w14:textId="4601BE4D" w:rsidR="00EC1E49" w:rsidRPr="00FC4990" w:rsidRDefault="00EC1E49" w:rsidP="00EC1E49">
            <w:pPr>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10</w:t>
            </w:r>
          </w:p>
        </w:tc>
      </w:tr>
      <w:tr w:rsidR="00EC1E49" w:rsidRPr="006604ED" w14:paraId="49FF3B81" w14:textId="77777777" w:rsidTr="00F4052C">
        <w:trPr>
          <w:trHeight w:val="68"/>
          <w:jc w:val="center"/>
        </w:trPr>
        <w:tc>
          <w:tcPr>
            <w:cnfStyle w:val="001000000000" w:firstRow="0" w:lastRow="0" w:firstColumn="1" w:lastColumn="0" w:oddVBand="0" w:evenVBand="0" w:oddHBand="0" w:evenHBand="0" w:firstRowFirstColumn="0" w:firstRowLastColumn="0" w:lastRowFirstColumn="0" w:lastRowLastColumn="0"/>
            <w:tcW w:w="993" w:type="dxa"/>
            <w:vMerge/>
          </w:tcPr>
          <w:p w14:paraId="671A4402" w14:textId="77777777" w:rsidR="00EC1E49" w:rsidRPr="006604ED" w:rsidRDefault="00EC1E49" w:rsidP="00EC1E49">
            <w:pPr>
              <w:widowControl w:val="0"/>
              <w:jc w:val="center"/>
              <w:rPr>
                <w:rFonts w:cs="Arial"/>
                <w:color w:val="000000"/>
                <w:sz w:val="20"/>
                <w:szCs w:val="20"/>
              </w:rPr>
            </w:pPr>
          </w:p>
        </w:tc>
        <w:tc>
          <w:tcPr>
            <w:tcW w:w="3286" w:type="dxa"/>
            <w:noWrap/>
          </w:tcPr>
          <w:p w14:paraId="75AFE354" w14:textId="5F9A94C9" w:rsidR="00EC1E49" w:rsidRPr="006604ED" w:rsidRDefault="00EC1E49" w:rsidP="00EC1E49">
            <w:pPr>
              <w:widowControl w:val="0"/>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20"/>
                <w:szCs w:val="20"/>
              </w:rPr>
            </w:pPr>
            <w:r w:rsidRPr="006604ED">
              <w:rPr>
                <w:rFonts w:cs="Arial"/>
                <w:i/>
                <w:iCs/>
                <w:color w:val="000000"/>
                <w:sz w:val="20"/>
                <w:szCs w:val="20"/>
              </w:rPr>
              <w:t>Emission Factor (kg</w:t>
            </w:r>
            <w:r w:rsidRPr="006604ED">
              <w:rPr>
                <w:rFonts w:cs="Arial"/>
                <w:i/>
                <w:iCs/>
                <w:color w:val="000000"/>
                <w:sz w:val="20"/>
                <w:szCs w:val="20"/>
                <w:vertAlign w:val="subscript"/>
              </w:rPr>
              <w:t>CO2e</w:t>
            </w:r>
            <w:r w:rsidRPr="006604ED">
              <w:rPr>
                <w:rFonts w:cs="Arial"/>
                <w:i/>
                <w:iCs/>
                <w:color w:val="000000"/>
                <w:sz w:val="20"/>
                <w:szCs w:val="20"/>
              </w:rPr>
              <w:t>/kWh</w:t>
            </w:r>
            <w:r w:rsidRPr="006604ED">
              <w:rPr>
                <w:rFonts w:cs="Arial"/>
                <w:i/>
                <w:iCs/>
                <w:color w:val="000000"/>
                <w:sz w:val="20"/>
                <w:szCs w:val="20"/>
                <w:vertAlign w:val="subscript"/>
              </w:rPr>
              <w:t>H2</w:t>
            </w:r>
            <w:r w:rsidRPr="006604ED">
              <w:rPr>
                <w:rFonts w:cs="Arial"/>
                <w:i/>
                <w:iCs/>
                <w:color w:val="000000"/>
                <w:sz w:val="20"/>
                <w:szCs w:val="20"/>
              </w:rPr>
              <w:t>)</w:t>
            </w:r>
          </w:p>
        </w:tc>
        <w:tc>
          <w:tcPr>
            <w:tcW w:w="0" w:type="auto"/>
            <w:noWrap/>
          </w:tcPr>
          <w:p w14:paraId="77B10F37" w14:textId="484AC374" w:rsidR="00EC1E49" w:rsidRPr="006E61A3"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E61A3">
              <w:rPr>
                <w:rFonts w:cstheme="minorHAnsi"/>
                <w:color w:val="000000"/>
                <w:sz w:val="20"/>
                <w:szCs w:val="20"/>
              </w:rPr>
              <w:t>0</w:t>
            </w:r>
          </w:p>
        </w:tc>
        <w:tc>
          <w:tcPr>
            <w:tcW w:w="0" w:type="auto"/>
          </w:tcPr>
          <w:p w14:paraId="5EA19B01" w14:textId="77390A36" w:rsidR="00EC1E49" w:rsidRPr="00AD5475"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422F">
              <w:rPr>
                <w:rFonts w:cstheme="minorHAnsi"/>
                <w:color w:val="000000"/>
                <w:sz w:val="20"/>
                <w:szCs w:val="20"/>
              </w:rPr>
              <w:t>0</w:t>
            </w:r>
          </w:p>
        </w:tc>
        <w:tc>
          <w:tcPr>
            <w:tcW w:w="0" w:type="auto"/>
          </w:tcPr>
          <w:p w14:paraId="78C45019" w14:textId="6249A7FC" w:rsidR="00EC1E49" w:rsidRPr="004C73FA"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73FA">
              <w:rPr>
                <w:rFonts w:cstheme="minorHAnsi"/>
                <w:color w:val="000000"/>
                <w:sz w:val="20"/>
                <w:szCs w:val="20"/>
              </w:rPr>
              <w:t>0</w:t>
            </w:r>
          </w:p>
        </w:tc>
        <w:tc>
          <w:tcPr>
            <w:tcW w:w="0" w:type="auto"/>
          </w:tcPr>
          <w:p w14:paraId="1E41CE03" w14:textId="3EBE5DD1" w:rsidR="00EC1E49" w:rsidRPr="00BA3169"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A3169">
              <w:rPr>
                <w:rFonts w:cstheme="minorHAnsi"/>
                <w:color w:val="000000"/>
                <w:sz w:val="20"/>
                <w:szCs w:val="20"/>
              </w:rPr>
              <w:t>0</w:t>
            </w:r>
          </w:p>
        </w:tc>
        <w:tc>
          <w:tcPr>
            <w:tcW w:w="0" w:type="auto"/>
          </w:tcPr>
          <w:p w14:paraId="5D89178A" w14:textId="2821EAA7" w:rsidR="00EC1E49" w:rsidRPr="005E6046"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E6046">
              <w:rPr>
                <w:rFonts w:cstheme="minorHAnsi"/>
                <w:color w:val="000000"/>
                <w:sz w:val="20"/>
                <w:szCs w:val="20"/>
              </w:rPr>
              <w:t>0</w:t>
            </w:r>
          </w:p>
        </w:tc>
        <w:tc>
          <w:tcPr>
            <w:tcW w:w="0" w:type="auto"/>
          </w:tcPr>
          <w:p w14:paraId="6F58E9CA" w14:textId="3833C656"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w:t>
            </w:r>
          </w:p>
        </w:tc>
        <w:tc>
          <w:tcPr>
            <w:tcW w:w="1600" w:type="dxa"/>
          </w:tcPr>
          <w:p w14:paraId="410DD05C" w14:textId="354C9787" w:rsidR="00EC1E49" w:rsidRPr="00FC4990" w:rsidRDefault="00EC1E49" w:rsidP="00EC1E49">
            <w:pPr>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4990">
              <w:rPr>
                <w:rFonts w:cstheme="minorHAnsi"/>
                <w:color w:val="000000"/>
                <w:sz w:val="20"/>
                <w:szCs w:val="20"/>
              </w:rPr>
              <w:t>0</w:t>
            </w:r>
          </w:p>
        </w:tc>
      </w:tr>
    </w:tbl>
    <w:p w14:paraId="1330EA64" w14:textId="77777777" w:rsidR="00785473" w:rsidRDefault="00785473" w:rsidP="00785473">
      <w:pPr>
        <w:sectPr w:rsidR="00785473" w:rsidSect="00C433AD">
          <w:pgSz w:w="16838" w:h="11906" w:orient="landscape"/>
          <w:pgMar w:top="720" w:right="720" w:bottom="720" w:left="720" w:header="708" w:footer="708" w:gutter="0"/>
          <w:cols w:space="708"/>
          <w:docGrid w:linePitch="360"/>
        </w:sectPr>
      </w:pPr>
    </w:p>
    <w:p w14:paraId="43AB3AC6" w14:textId="657BCE64" w:rsidR="00A31B1B" w:rsidRDefault="00A31B1B" w:rsidP="00D30284">
      <w:pPr>
        <w:pStyle w:val="Heading3"/>
      </w:pPr>
      <w:r>
        <w:lastRenderedPageBreak/>
        <w:t xml:space="preserve">Hydrogen </w:t>
      </w:r>
      <w:r w:rsidR="001E41FF">
        <w:t>t</w:t>
      </w:r>
      <w:r>
        <w:t>ransmission</w:t>
      </w:r>
      <w:bookmarkEnd w:id="53"/>
    </w:p>
    <w:p w14:paraId="1AFAA628" w14:textId="2A8C3600" w:rsidR="00A31B1B" w:rsidRDefault="00A31B1B" w:rsidP="00A31B1B">
      <w:r>
        <w:t xml:space="preserve">Hydrogen transmission was considered for </w:t>
      </w:r>
      <w:r w:rsidR="00EC1E49">
        <w:t xml:space="preserve">three </w:t>
      </w:r>
      <w:r>
        <w:t>transportation technologies. Newly installed pipeline transmission was considered as the only pipe transportation technology option</w:t>
      </w:r>
      <w:r w:rsidR="00CD513E">
        <w:t>,</w:t>
      </w:r>
      <w:r>
        <w:t xml:space="preserve"> as repurposing the current gas transmission work in GB seems unlikely due to steel embrittlement issues</w:t>
      </w:r>
      <w:r w:rsidR="000F34A9">
        <w:t xml:space="preserve"> </w:t>
      </w:r>
      <w:r w:rsidR="000F34A9">
        <w:fldChar w:fldCharType="begin"/>
      </w:r>
      <w:r w:rsidR="00434694">
        <w:instrText xml:space="preserve"> ADDIN EN.CITE &lt;EndNote&gt;&lt;Cite&gt;&lt;Author&gt;OFGEM&lt;/Author&gt;&lt;Year&gt;2020&lt;/Year&gt;&lt;RecNum&gt;953&lt;/RecNum&gt;&lt;DisplayText&gt;[55]&lt;/DisplayText&gt;&lt;record&gt;&lt;rec-number&gt;953&lt;/rec-number&gt;&lt;foreign-keys&gt;&lt;key app="EN" db-id="w500zpaaheraz8epaw1p29dtf2ff9zrswv50" timestamp="1607697901"&gt;953&lt;/key&gt;&lt;/foreign-keys&gt;&lt;ref-type name="Report"&gt;27&lt;/ref-type&gt;&lt;contributors&gt;&lt;authors&gt;&lt;author&gt;OFGEM,&lt;/author&gt;&lt;author&gt;National Grid Gas Transmission,&lt;/author&gt;&lt;author&gt;Dnv G. L.,&lt;/author&gt;&lt;/authors&gt;&lt;/contributors&gt;&lt;titles&gt;&lt;title&gt;Network Innovation Competition Screening Submission Pro forma - HyNTS&lt;/title&gt;&lt;/titles&gt;&lt;dates&gt;&lt;year&gt;2020&lt;/year&gt;&lt;/dates&gt;&lt;urls&gt;&lt;related-urls&gt;&lt;url&gt;https://www.ofgem.gov.uk/publications-and-updates/version-30-network-innovation-&lt;/url&gt;&lt;/related-urls&gt;&lt;pdf-urls&gt;&lt;url&gt;file://Users\David\Library\Application Support\Mendeley Desktop\Downloaded\ofgem, National Grid Gas Transmission, DNV GL - 2020 - Network Innovation Competition Screening Submission Pro forma - HyNTS.pdf&lt;/url&gt;&lt;/pdf-urls&gt;&lt;/urls&gt;&lt;/record&gt;&lt;/Cite&gt;&lt;/EndNote&gt;</w:instrText>
      </w:r>
      <w:r w:rsidR="000F34A9">
        <w:fldChar w:fldCharType="separate"/>
      </w:r>
      <w:r w:rsidR="00434694">
        <w:rPr>
          <w:noProof/>
        </w:rPr>
        <w:t>[</w:t>
      </w:r>
      <w:hyperlink w:anchor="_ENREF_55" w:tooltip="OFGEM, 2020 #953" w:history="1">
        <w:r w:rsidR="006210AE">
          <w:rPr>
            <w:noProof/>
          </w:rPr>
          <w:t>55</w:t>
        </w:r>
      </w:hyperlink>
      <w:r w:rsidR="00434694">
        <w:rPr>
          <w:noProof/>
        </w:rPr>
        <w:t>]</w:t>
      </w:r>
      <w:r w:rsidR="000F34A9">
        <w:fldChar w:fldCharType="end"/>
      </w:r>
      <w:r>
        <w:t>. At the time of writing this paper, there has been project funding submitted by National Grid Gas Transmission and DNV-GL, called HyNTS that will look at the technical parameters of supplying hydrogen blends and 100% hydrogen in the National Transmission System</w:t>
      </w:r>
      <w:r w:rsidR="000F34A9">
        <w:t xml:space="preserve"> </w:t>
      </w:r>
      <w:r w:rsidR="000F34A9">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0F34A9">
        <w:fldChar w:fldCharType="separate"/>
      </w:r>
      <w:r w:rsidR="00434694">
        <w:rPr>
          <w:noProof/>
        </w:rPr>
        <w:t>[</w:t>
      </w:r>
      <w:hyperlink w:anchor="_ENREF_56" w:tooltip="Sadler, 2016 #926" w:history="1">
        <w:r w:rsidR="006210AE">
          <w:rPr>
            <w:noProof/>
          </w:rPr>
          <w:t>56</w:t>
        </w:r>
      </w:hyperlink>
      <w:r w:rsidR="00434694">
        <w:rPr>
          <w:noProof/>
        </w:rPr>
        <w:t>]</w:t>
      </w:r>
      <w:r w:rsidR="000F34A9">
        <w:fldChar w:fldCharType="end"/>
      </w:r>
      <w:r>
        <w:t xml:space="preserve">. However, as this project has not yet started, there is no scientific or engineering information to be used in this study. </w:t>
      </w:r>
    </w:p>
    <w:p w14:paraId="506C928E" w14:textId="6448ABFF" w:rsidR="00A31B1B" w:rsidRDefault="00A31B1B" w:rsidP="001E41FF">
      <w:r>
        <w:t>Techno-economic parameters for new transmission pipelines</w:t>
      </w:r>
      <w:r w:rsidR="001E41FF">
        <w:t xml:space="preserve"> and transmission through trucks</w:t>
      </w:r>
      <w:r w:rsidR="00EC1E49">
        <w:t xml:space="preserve"> </w:t>
      </w:r>
      <w:r w:rsidR="00EC1E49" w:rsidRPr="00EC1E49">
        <w:t>with compressed gaseous and liquid hydrogen</w:t>
      </w:r>
      <w:r w:rsidR="001E41FF">
        <w:t xml:space="preserve"> are shown in</w:t>
      </w:r>
      <w:r>
        <w:t xml:space="preserve"> </w:t>
      </w:r>
      <w:r w:rsidR="001E41FF">
        <w:fldChar w:fldCharType="begin"/>
      </w:r>
      <w:r w:rsidR="001E41FF">
        <w:instrText xml:space="preserve"> REF _Ref48771711 \h </w:instrText>
      </w:r>
      <w:r w:rsidR="001E41FF">
        <w:fldChar w:fldCharType="separate"/>
      </w:r>
      <w:r w:rsidR="005851DD">
        <w:t xml:space="preserve">Table </w:t>
      </w:r>
      <w:r w:rsidR="005851DD">
        <w:rPr>
          <w:noProof/>
        </w:rPr>
        <w:t>8</w:t>
      </w:r>
      <w:r w:rsidR="001E41FF">
        <w:fldChar w:fldCharType="end"/>
      </w:r>
      <w:r w:rsidR="001E41FF">
        <w:t>.</w:t>
      </w:r>
      <w:r>
        <w:t xml:space="preserve"> A detail</w:t>
      </w:r>
      <w:r w:rsidR="001E41FF">
        <w:t>ed</w:t>
      </w:r>
      <w:r>
        <w:t xml:space="preserve"> breakdown of calculations and assumptions for both pipeline and truck transmission can be found in</w:t>
      </w:r>
      <w:r w:rsidR="001E41FF">
        <w:t xml:space="preserve"> Appendix </w:t>
      </w:r>
      <w:r w:rsidR="001E41FF">
        <w:fldChar w:fldCharType="begin"/>
      </w:r>
      <w:r w:rsidR="001E41FF">
        <w:instrText xml:space="preserve"> REF _Ref54884646 \r \h </w:instrText>
      </w:r>
      <w:r w:rsidR="001E41FF">
        <w:fldChar w:fldCharType="separate"/>
      </w:r>
      <w:r w:rsidR="005851DD">
        <w:t>C.9</w:t>
      </w:r>
      <w:r w:rsidR="001E41FF">
        <w:fldChar w:fldCharType="end"/>
      </w:r>
      <w:r w:rsidR="001E41FF">
        <w:t xml:space="preserve"> and </w:t>
      </w:r>
      <w:r w:rsidR="001E41FF">
        <w:fldChar w:fldCharType="begin"/>
      </w:r>
      <w:r w:rsidR="001E41FF">
        <w:instrText xml:space="preserve"> REF _Ref48992431 \r \h </w:instrText>
      </w:r>
      <w:r w:rsidR="001E41FF">
        <w:fldChar w:fldCharType="separate"/>
      </w:r>
      <w:r w:rsidR="005851DD">
        <w:t>C.10</w:t>
      </w:r>
      <w:r w:rsidR="001E41FF">
        <w:fldChar w:fldCharType="end"/>
      </w:r>
      <w:r>
        <w:t>.</w:t>
      </w:r>
    </w:p>
    <w:p w14:paraId="703F4160" w14:textId="34A5502E" w:rsidR="00A31B1B" w:rsidRPr="00E811B7" w:rsidRDefault="00A31B1B" w:rsidP="00A31B1B">
      <w:pPr>
        <w:pStyle w:val="Caption"/>
        <w:keepNext/>
      </w:pPr>
      <w:bookmarkStart w:id="54" w:name="_Ref48771711"/>
      <w:bookmarkStart w:id="55" w:name="_Toc50359152"/>
      <w:r>
        <w:t xml:space="preserve">Table </w:t>
      </w:r>
      <w:fldSimple w:instr=" SEQ Table \* ARABIC ">
        <w:r w:rsidR="005851DD">
          <w:rPr>
            <w:noProof/>
          </w:rPr>
          <w:t>8</w:t>
        </w:r>
      </w:fldSimple>
      <w:bookmarkEnd w:id="54"/>
      <w:r w:rsidR="00866696">
        <w:t xml:space="preserve">: </w:t>
      </w:r>
      <w:r>
        <w:t xml:space="preserve">Summary of techno-economic parameters for hydrogen transmission used in the model;  </w:t>
      </w:r>
      <w:r>
        <w:rPr>
          <w:vertAlign w:val="superscript"/>
        </w:rPr>
        <w:t>a</w:t>
      </w:r>
      <w:r w:rsidR="000F34A9">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0F34A9">
        <w:fldChar w:fldCharType="separate"/>
      </w:r>
      <w:r w:rsidR="00434694">
        <w:rPr>
          <w:noProof/>
        </w:rPr>
        <w:t>[</w:t>
      </w:r>
      <w:hyperlink w:anchor="_ENREF_56" w:tooltip="Sadler, 2016 #926" w:history="1">
        <w:r w:rsidR="006210AE">
          <w:rPr>
            <w:noProof/>
          </w:rPr>
          <w:t>56</w:t>
        </w:r>
      </w:hyperlink>
      <w:r w:rsidR="00434694">
        <w:rPr>
          <w:noProof/>
        </w:rPr>
        <w:t>]</w:t>
      </w:r>
      <w:r w:rsidR="000F34A9">
        <w:fldChar w:fldCharType="end"/>
      </w:r>
      <w:r w:rsidR="008050FD">
        <w:t>,</w:t>
      </w:r>
      <w:r>
        <w:rPr>
          <w:vertAlign w:val="superscript"/>
        </w:rPr>
        <w:t xml:space="preserve"> b</w:t>
      </w:r>
      <w:r w:rsidR="000F34A9" w:rsidRPr="008050FD">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0F34A9" w:rsidRPr="008050FD">
        <w:fldChar w:fldCharType="separate"/>
      </w:r>
      <w:r w:rsidR="00434694">
        <w:rPr>
          <w:noProof/>
        </w:rPr>
        <w:t>[</w:t>
      </w:r>
      <w:hyperlink w:anchor="_ENREF_52" w:tooltip="IEA, 2019 #998" w:history="1">
        <w:r w:rsidR="006210AE">
          <w:rPr>
            <w:noProof/>
          </w:rPr>
          <w:t>52</w:t>
        </w:r>
      </w:hyperlink>
      <w:r w:rsidR="00434694">
        <w:rPr>
          <w:noProof/>
        </w:rPr>
        <w:t>]</w:t>
      </w:r>
      <w:r w:rsidR="000F34A9" w:rsidRPr="008050FD">
        <w:fldChar w:fldCharType="end"/>
      </w:r>
      <w:r w:rsidR="008050FD">
        <w:t>,</w:t>
      </w:r>
      <w:r>
        <w:rPr>
          <w:vertAlign w:val="superscript"/>
        </w:rPr>
        <w:t xml:space="preserve"> c</w:t>
      </w:r>
      <w:r w:rsidR="000F34A9" w:rsidRPr="008050FD">
        <w:fldChar w:fldCharType="begin"/>
      </w:r>
      <w:r w:rsidR="00434694">
        <w:instrText xml:space="preserve"> ADDIN EN.CITE &lt;EndNote&gt;&lt;Cite&gt;&lt;Author&gt;McKinnon&lt;/Author&gt;&lt;RecNum&gt;973&lt;/RecNum&gt;&lt;DisplayText&gt;[57]&lt;/DisplayText&gt;&lt;record&gt;&lt;rec-number&gt;973&lt;/rec-number&gt;&lt;foreign-keys&gt;&lt;key app="EN" db-id="w500zpaaheraz8epaw1p29dtf2ff9zrswv50" timestamp="1607697901"&gt;973&lt;/key&gt;&lt;/foreign-keys&gt;&lt;ref-type name="Report"&gt;27&lt;/ref-type&gt;&lt;contributors&gt;&lt;authors&gt;&lt;author&gt;McKinnon, Alan&lt;/author&gt;&lt;author&gt;Piecyk, Maja&lt;/author&gt;&lt;/authors&gt;&lt;/contributors&gt;&lt;titles&gt;&lt;title&gt;Measuring and Managing CO 2 Emissions of European Chemical Transport&lt;/title&gt;&lt;/titles&gt;&lt;dates&gt;&lt;/dates&gt;&lt;pub-location&gt;Edinburgh&lt;/pub-location&gt;&lt;urls&gt;&lt;related-urls&gt;&lt;url&gt;www.cefic.org&lt;/url&gt;&lt;/related-urls&gt;&lt;pdf-urls&gt;&lt;url&gt;file://Users\David\Library\Application Support\Mendeley Desktop\Downloaded\Mckinnon, Piecyk - Unknown - Measuring and Managing CO 2 Emissions of European Chemical Transport.pdf&lt;/url&gt;&lt;/pdf-urls&gt;&lt;/urls&gt;&lt;/record&gt;&lt;/Cite&gt;&lt;/EndNote&gt;</w:instrText>
      </w:r>
      <w:r w:rsidR="000F34A9" w:rsidRPr="008050FD">
        <w:fldChar w:fldCharType="separate"/>
      </w:r>
      <w:r w:rsidR="00434694">
        <w:rPr>
          <w:noProof/>
        </w:rPr>
        <w:t>[</w:t>
      </w:r>
      <w:hyperlink w:anchor="_ENREF_57" w:tooltip="McKinnon,  #973" w:history="1">
        <w:r w:rsidR="006210AE">
          <w:rPr>
            <w:noProof/>
          </w:rPr>
          <w:t>57</w:t>
        </w:r>
      </w:hyperlink>
      <w:r w:rsidR="00434694">
        <w:rPr>
          <w:noProof/>
        </w:rPr>
        <w:t>]</w:t>
      </w:r>
      <w:r w:rsidR="000F34A9" w:rsidRPr="008050FD">
        <w:fldChar w:fldCharType="end"/>
      </w:r>
      <w:r>
        <w:t>.</w:t>
      </w:r>
      <w:bookmarkEnd w:id="55"/>
    </w:p>
    <w:tbl>
      <w:tblPr>
        <w:tblStyle w:val="PlainTable2"/>
        <w:tblW w:w="7652" w:type="dxa"/>
        <w:jc w:val="center"/>
        <w:tblLook w:val="0480" w:firstRow="0" w:lastRow="0" w:firstColumn="1" w:lastColumn="0" w:noHBand="0" w:noVBand="1"/>
      </w:tblPr>
      <w:tblGrid>
        <w:gridCol w:w="1418"/>
        <w:gridCol w:w="2910"/>
        <w:gridCol w:w="3324"/>
      </w:tblGrid>
      <w:tr w:rsidR="00A31B1B" w:rsidRPr="006604ED" w14:paraId="0EDC86B2"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tcBorders>
            <w:textDirection w:val="btLr"/>
          </w:tcPr>
          <w:p w14:paraId="45BC0061" w14:textId="77777777" w:rsidR="00A31B1B" w:rsidRPr="006604ED" w:rsidRDefault="00A31B1B" w:rsidP="00785473">
            <w:pPr>
              <w:keepNext/>
              <w:widowControl w:val="0"/>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New Transmission Pipeline</w:t>
            </w:r>
          </w:p>
        </w:tc>
        <w:tc>
          <w:tcPr>
            <w:tcW w:w="2910" w:type="dxa"/>
            <w:tcBorders>
              <w:top w:val="single" w:sz="12" w:space="0" w:color="7F7F7F" w:themeColor="text1" w:themeTint="80"/>
            </w:tcBorders>
            <w:noWrap/>
            <w:vAlign w:val="center"/>
          </w:tcPr>
          <w:p w14:paraId="5867507E"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12" w:space="0" w:color="7F7F7F" w:themeColor="text1" w:themeTint="80"/>
            </w:tcBorders>
            <w:noWrap/>
            <w:vAlign w:val="center"/>
          </w:tcPr>
          <w:p w14:paraId="0E87E803" w14:textId="77777777" w:rsidR="00A31B1B" w:rsidRPr="006604ED"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0.2665</w:t>
            </w:r>
          </w:p>
        </w:tc>
      </w:tr>
      <w:tr w:rsidR="00A31B1B" w:rsidRPr="006604ED" w14:paraId="7BB5CEE4"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3D2818B5"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2910" w:type="dxa"/>
            <w:noWrap/>
            <w:vAlign w:val="center"/>
          </w:tcPr>
          <w:p w14:paraId="46489A84"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vAlign w:val="center"/>
          </w:tcPr>
          <w:p w14:paraId="6A5C8DB8" w14:textId="77777777" w:rsidR="00A31B1B" w:rsidRPr="006604ED"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0.22</w:t>
            </w:r>
          </w:p>
        </w:tc>
      </w:tr>
      <w:tr w:rsidR="00A31B1B" w:rsidRPr="006604ED" w14:paraId="6838B084"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8CEF51F"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2910" w:type="dxa"/>
            <w:noWrap/>
            <w:vAlign w:val="center"/>
          </w:tcPr>
          <w:p w14:paraId="069E5625"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035B7F8B" w14:textId="77777777" w:rsidR="00A31B1B" w:rsidRPr="006604ED" w:rsidRDefault="00A31B1B" w:rsidP="00785473">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2180544A"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61D89A8F"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2910" w:type="dxa"/>
            <w:noWrap/>
            <w:vAlign w:val="center"/>
          </w:tcPr>
          <w:p w14:paraId="4DAE3B49"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vAlign w:val="center"/>
          </w:tcPr>
          <w:p w14:paraId="30254978" w14:textId="77777777" w:rsidR="00A31B1B" w:rsidRPr="006604ED"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40</w:t>
            </w:r>
          </w:p>
        </w:tc>
      </w:tr>
      <w:tr w:rsidR="00A31B1B" w:rsidRPr="006604ED" w14:paraId="6C5BD00F"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2" w:space="0" w:color="7F7F7F" w:themeColor="text1" w:themeTint="80"/>
            </w:tcBorders>
          </w:tcPr>
          <w:p w14:paraId="532E709A"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2910" w:type="dxa"/>
            <w:tcBorders>
              <w:bottom w:val="single" w:sz="12" w:space="0" w:color="7F7F7F" w:themeColor="text1" w:themeTint="80"/>
            </w:tcBorders>
            <w:noWrap/>
            <w:vAlign w:val="center"/>
          </w:tcPr>
          <w:p w14:paraId="37A295FE"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tcBorders>
              <w:bottom w:val="single" w:sz="12" w:space="0" w:color="7F7F7F" w:themeColor="text1" w:themeTint="80"/>
            </w:tcBorders>
            <w:noWrap/>
            <w:vAlign w:val="center"/>
          </w:tcPr>
          <w:p w14:paraId="73610723" w14:textId="77777777" w:rsidR="00A31B1B" w:rsidRPr="006604ED" w:rsidRDefault="00A31B1B" w:rsidP="00785473">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51796AE7"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bottom w:val="single" w:sz="4" w:space="0" w:color="7F7F7F" w:themeColor="text1" w:themeTint="80"/>
            </w:tcBorders>
            <w:textDirection w:val="btLr"/>
          </w:tcPr>
          <w:p w14:paraId="1949C384" w14:textId="0B13624F" w:rsidR="00A31B1B" w:rsidRPr="006604ED" w:rsidRDefault="00A31B1B" w:rsidP="00836AC8">
            <w:pPr>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Truck Transmission</w:t>
            </w:r>
            <w:r w:rsidR="00EC1E49">
              <w:rPr>
                <w:rFonts w:eastAsia="Times New Roman" w:cs="Arial"/>
                <w:color w:val="000000"/>
                <w:sz w:val="20"/>
                <w:szCs w:val="20"/>
                <w:lang w:eastAsia="en-GB"/>
              </w:rPr>
              <w:t xml:space="preserve"> Compressed Gaseous Hydrogen</w:t>
            </w:r>
          </w:p>
        </w:tc>
        <w:tc>
          <w:tcPr>
            <w:tcW w:w="2910" w:type="dxa"/>
            <w:tcBorders>
              <w:top w:val="single" w:sz="12" w:space="0" w:color="7F7F7F" w:themeColor="text1" w:themeTint="80"/>
              <w:bottom w:val="single" w:sz="4" w:space="0" w:color="7F7F7F" w:themeColor="text1" w:themeTint="80"/>
            </w:tcBorders>
            <w:noWrap/>
            <w:vAlign w:val="center"/>
          </w:tcPr>
          <w:p w14:paraId="3DDE605E"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12" w:space="0" w:color="7F7F7F" w:themeColor="text1" w:themeTint="80"/>
              <w:bottom w:val="single" w:sz="4" w:space="0" w:color="7F7F7F" w:themeColor="text1" w:themeTint="80"/>
            </w:tcBorders>
            <w:noWrap/>
            <w:vAlign w:val="center"/>
          </w:tcPr>
          <w:p w14:paraId="1723BF95" w14:textId="77777777" w:rsidR="00A31B1B"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0.0768</w:t>
            </w:r>
          </w:p>
        </w:tc>
      </w:tr>
      <w:tr w:rsidR="00A31B1B" w:rsidRPr="006604ED" w14:paraId="41BC11B8"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3A070D77" w14:textId="77777777" w:rsidR="00A31B1B" w:rsidRPr="006604ED" w:rsidRDefault="00A31B1B" w:rsidP="00836AC8">
            <w:pPr>
              <w:spacing w:before="0" w:after="0"/>
              <w:jc w:val="center"/>
              <w:rPr>
                <w:rFonts w:eastAsia="Times New Roman" w:cs="Arial"/>
                <w:color w:val="000000"/>
                <w:sz w:val="20"/>
                <w:szCs w:val="20"/>
                <w:lang w:eastAsia="en-GB"/>
              </w:rPr>
            </w:pPr>
          </w:p>
        </w:tc>
        <w:tc>
          <w:tcPr>
            <w:tcW w:w="2910" w:type="dxa"/>
            <w:noWrap/>
            <w:vAlign w:val="center"/>
          </w:tcPr>
          <w:p w14:paraId="3B9C5723"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(Percentage of OPEX)</w:t>
            </w:r>
          </w:p>
        </w:tc>
        <w:tc>
          <w:tcPr>
            <w:tcW w:w="0" w:type="auto"/>
            <w:noWrap/>
            <w:vAlign w:val="center"/>
          </w:tcPr>
          <w:p w14:paraId="77C7A96F" w14:textId="77777777" w:rsidR="00A31B1B"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12</w:t>
            </w:r>
          </w:p>
        </w:tc>
      </w:tr>
      <w:tr w:rsidR="00A31B1B" w:rsidRPr="006604ED" w14:paraId="56FC7F4C" w14:textId="77777777" w:rsidTr="00B6126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4" w:space="0" w:color="7F7F7F" w:themeColor="text1" w:themeTint="80"/>
              <w:bottom w:val="single" w:sz="4" w:space="0" w:color="7F7F7F" w:themeColor="text1" w:themeTint="80"/>
            </w:tcBorders>
          </w:tcPr>
          <w:p w14:paraId="67008633" w14:textId="77777777" w:rsidR="00A31B1B" w:rsidRPr="006604ED" w:rsidRDefault="00A31B1B" w:rsidP="00836AC8">
            <w:pPr>
              <w:spacing w:before="0" w:after="0"/>
              <w:jc w:val="center"/>
              <w:rPr>
                <w:rFonts w:eastAsia="Times New Roman" w:cs="Arial"/>
                <w:color w:val="000000"/>
                <w:sz w:val="20"/>
                <w:szCs w:val="20"/>
                <w:lang w:eastAsia="en-GB"/>
              </w:rPr>
            </w:pPr>
          </w:p>
        </w:tc>
        <w:tc>
          <w:tcPr>
            <w:tcW w:w="2910" w:type="dxa"/>
            <w:tcBorders>
              <w:top w:val="single" w:sz="4" w:space="0" w:color="7F7F7F" w:themeColor="text1" w:themeTint="80"/>
              <w:bottom w:val="single" w:sz="4" w:space="0" w:color="7F7F7F" w:themeColor="text1" w:themeTint="80"/>
            </w:tcBorders>
            <w:noWrap/>
            <w:vAlign w:val="center"/>
          </w:tcPr>
          <w:p w14:paraId="1A2941E0"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4" w:space="0" w:color="7F7F7F" w:themeColor="text1" w:themeTint="80"/>
              <w:bottom w:val="single" w:sz="4" w:space="0" w:color="7F7F7F" w:themeColor="text1" w:themeTint="80"/>
            </w:tcBorders>
            <w:noWrap/>
            <w:vAlign w:val="center"/>
          </w:tcPr>
          <w:p w14:paraId="3BD0DEB4" w14:textId="0C90CF04" w:rsidR="00A31B1B" w:rsidRPr="00024DEC"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4</w:t>
            </w:r>
            <w:r w:rsidR="00534106">
              <w:rPr>
                <w:rFonts w:eastAsia="Times New Roman" w:cs="Arial"/>
                <w:color w:val="000000"/>
                <w:sz w:val="20"/>
                <w:szCs w:val="20"/>
                <w:lang w:eastAsia="en-GB"/>
              </w:rPr>
              <w:t>1</w:t>
            </w:r>
            <w:r>
              <w:rPr>
                <w:rFonts w:eastAsia="Times New Roman" w:cs="Arial"/>
                <w:color w:val="000000"/>
                <w:sz w:val="20"/>
                <w:szCs w:val="20"/>
                <w:lang w:eastAsia="en-GB"/>
              </w:rPr>
              <w:t>.0</w:t>
            </w:r>
            <w:r w:rsidR="00534106">
              <w:rPr>
                <w:rFonts w:eastAsia="Times New Roman" w:cs="Arial"/>
                <w:color w:val="000000"/>
                <w:sz w:val="20"/>
                <w:szCs w:val="20"/>
                <w:lang w:eastAsia="en-GB"/>
              </w:rPr>
              <w:t>3</w:t>
            </w:r>
            <w:r>
              <w:rPr>
                <w:rFonts w:eastAsia="Times New Roman" w:cs="Arial"/>
                <w:color w:val="000000"/>
                <w:sz w:val="20"/>
                <w:szCs w:val="20"/>
                <w:lang w:eastAsia="en-GB"/>
              </w:rPr>
              <w:t>x10</w:t>
            </w:r>
            <w:r>
              <w:rPr>
                <w:rFonts w:eastAsia="Times New Roman" w:cs="Arial"/>
                <w:color w:val="000000"/>
                <w:sz w:val="20"/>
                <w:szCs w:val="20"/>
                <w:vertAlign w:val="superscript"/>
                <w:lang w:eastAsia="en-GB"/>
              </w:rPr>
              <w:t>-5</w:t>
            </w:r>
            <w:r>
              <w:rPr>
                <w:rFonts w:eastAsia="Times New Roman" w:cs="Arial"/>
                <w:color w:val="000000"/>
                <w:sz w:val="20"/>
                <w:szCs w:val="20"/>
                <w:lang w:eastAsia="en-GB"/>
              </w:rPr>
              <w:t xml:space="preserve"> (+ </w:t>
            </w:r>
            <w:r w:rsidR="00534106">
              <w:rPr>
                <w:rFonts w:eastAsia="Times New Roman" w:cs="Arial"/>
                <w:color w:val="000000"/>
                <w:sz w:val="20"/>
                <w:szCs w:val="20"/>
                <w:lang w:eastAsia="en-GB"/>
              </w:rPr>
              <w:t>2</w:t>
            </w:r>
            <w:r>
              <w:rPr>
                <w:rFonts w:eastAsia="Times New Roman" w:cs="Arial"/>
                <w:color w:val="000000"/>
                <w:sz w:val="20"/>
                <w:szCs w:val="20"/>
                <w:lang w:eastAsia="en-GB"/>
              </w:rPr>
              <w:t>.</w:t>
            </w:r>
            <w:r w:rsidR="00534106">
              <w:rPr>
                <w:rFonts w:eastAsia="Times New Roman" w:cs="Arial"/>
                <w:color w:val="000000"/>
                <w:sz w:val="20"/>
                <w:szCs w:val="20"/>
                <w:lang w:eastAsia="en-GB"/>
              </w:rPr>
              <w:t>41</w:t>
            </w:r>
            <w:r>
              <w:rPr>
                <w:rFonts w:eastAsia="Times New Roman" w:cs="Arial"/>
                <w:color w:val="000000"/>
                <w:sz w:val="20"/>
                <w:szCs w:val="20"/>
                <w:lang w:eastAsia="en-GB"/>
              </w:rPr>
              <w:t xml:space="preserve"> x10</w:t>
            </w:r>
            <w:r>
              <w:rPr>
                <w:rFonts w:eastAsia="Times New Roman" w:cs="Arial"/>
                <w:color w:val="000000"/>
                <w:sz w:val="20"/>
                <w:szCs w:val="20"/>
                <w:vertAlign w:val="superscript"/>
                <w:lang w:eastAsia="en-GB"/>
              </w:rPr>
              <w:t>-4</w:t>
            </w:r>
            <w:r>
              <w:rPr>
                <w:rFonts w:eastAsia="Times New Roman" w:cs="Arial"/>
                <w:color w:val="000000"/>
                <w:sz w:val="20"/>
                <w:szCs w:val="20"/>
                <w:lang w:eastAsia="en-GB"/>
              </w:rPr>
              <w:t xml:space="preserve"> £/kWh</w:t>
            </w:r>
            <w:r>
              <w:rPr>
                <w:rFonts w:eastAsia="Times New Roman" w:cs="Arial"/>
                <w:color w:val="000000"/>
                <w:sz w:val="20"/>
                <w:szCs w:val="20"/>
                <w:vertAlign w:val="subscript"/>
                <w:lang w:eastAsia="en-GB"/>
              </w:rPr>
              <w:t>H2</w:t>
            </w:r>
            <w:r>
              <w:rPr>
                <w:rFonts w:eastAsia="Times New Roman" w:cs="Arial"/>
                <w:color w:val="000000"/>
                <w:sz w:val="20"/>
                <w:szCs w:val="20"/>
                <w:lang w:eastAsia="en-GB"/>
              </w:rPr>
              <w:t>)</w:t>
            </w:r>
          </w:p>
        </w:tc>
      </w:tr>
      <w:tr w:rsidR="00A31B1B" w:rsidRPr="006604ED" w14:paraId="1EFE29C2" w14:textId="77777777" w:rsidTr="00B6126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2FAC73A2" w14:textId="77777777" w:rsidR="00A31B1B" w:rsidRPr="006604ED" w:rsidRDefault="00A31B1B" w:rsidP="00836AC8">
            <w:pPr>
              <w:spacing w:before="0" w:after="0"/>
              <w:jc w:val="center"/>
              <w:rPr>
                <w:rFonts w:eastAsia="Times New Roman" w:cs="Arial"/>
                <w:color w:val="000000"/>
                <w:sz w:val="20"/>
                <w:szCs w:val="20"/>
                <w:lang w:eastAsia="en-GB"/>
              </w:rPr>
            </w:pPr>
          </w:p>
        </w:tc>
        <w:tc>
          <w:tcPr>
            <w:tcW w:w="2910" w:type="dxa"/>
            <w:noWrap/>
            <w:vAlign w:val="center"/>
          </w:tcPr>
          <w:p w14:paraId="05DCCC58"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sidRPr="006604ED">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(yr)</w:t>
            </w:r>
          </w:p>
        </w:tc>
        <w:tc>
          <w:tcPr>
            <w:tcW w:w="0" w:type="auto"/>
            <w:noWrap/>
            <w:vAlign w:val="center"/>
          </w:tcPr>
          <w:p w14:paraId="0298122E" w14:textId="77777777" w:rsidR="00A31B1B"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15</w:t>
            </w:r>
          </w:p>
        </w:tc>
      </w:tr>
      <w:tr w:rsidR="00A31B1B" w:rsidRPr="006604ED" w14:paraId="67757C96" w14:textId="77777777" w:rsidTr="00B6126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4" w:space="0" w:color="7F7F7F" w:themeColor="text1" w:themeTint="80"/>
              <w:bottom w:val="single" w:sz="12" w:space="0" w:color="7F7F7F" w:themeColor="text1" w:themeTint="80"/>
            </w:tcBorders>
          </w:tcPr>
          <w:p w14:paraId="1794B00D" w14:textId="77777777" w:rsidR="00A31B1B" w:rsidRPr="006604ED" w:rsidRDefault="00A31B1B" w:rsidP="00836AC8">
            <w:pPr>
              <w:spacing w:before="0" w:after="0"/>
              <w:jc w:val="center"/>
              <w:rPr>
                <w:rFonts w:eastAsia="Times New Roman" w:cs="Arial"/>
                <w:color w:val="000000"/>
                <w:sz w:val="20"/>
                <w:szCs w:val="20"/>
                <w:lang w:eastAsia="en-GB"/>
              </w:rPr>
            </w:pPr>
          </w:p>
        </w:tc>
        <w:tc>
          <w:tcPr>
            <w:tcW w:w="2910" w:type="dxa"/>
            <w:tcBorders>
              <w:top w:val="single" w:sz="4" w:space="0" w:color="7F7F7F" w:themeColor="text1" w:themeTint="80"/>
              <w:bottom w:val="single" w:sz="12" w:space="0" w:color="7F7F7F" w:themeColor="text1" w:themeTint="80"/>
            </w:tcBorders>
            <w:noWrap/>
            <w:vAlign w:val="center"/>
          </w:tcPr>
          <w:p w14:paraId="3E32B286" w14:textId="77777777" w:rsidR="00A31B1B" w:rsidRPr="006604ED" w:rsidRDefault="00A31B1B" w:rsidP="00836AC8">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Pr>
                <w:rFonts w:eastAsia="Times New Roman" w:cs="Arial"/>
                <w:i/>
                <w:iCs/>
                <w:color w:val="000000"/>
                <w:sz w:val="20"/>
                <w:szCs w:val="20"/>
                <w:vertAlign w:val="superscript"/>
                <w:lang w:eastAsia="en-GB"/>
              </w:rPr>
              <w:t>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4" w:space="0" w:color="7F7F7F" w:themeColor="text1" w:themeTint="80"/>
              <w:bottom w:val="single" w:sz="12" w:space="0" w:color="7F7F7F" w:themeColor="text1" w:themeTint="80"/>
            </w:tcBorders>
            <w:noWrap/>
            <w:vAlign w:val="center"/>
          </w:tcPr>
          <w:p w14:paraId="39F78351" w14:textId="77777777" w:rsidR="00A31B1B" w:rsidRDefault="00A31B1B" w:rsidP="00836AC8">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6.77 x10</w:t>
            </w:r>
            <w:r>
              <w:rPr>
                <w:rFonts w:eastAsia="Times New Roman" w:cs="Arial"/>
                <w:color w:val="000000"/>
                <w:sz w:val="20"/>
                <w:szCs w:val="20"/>
                <w:vertAlign w:val="superscript"/>
                <w:lang w:eastAsia="en-GB"/>
              </w:rPr>
              <w:t>-4</w:t>
            </w:r>
          </w:p>
        </w:tc>
      </w:tr>
      <w:tr w:rsidR="00EC1E49" w:rsidRPr="006604ED" w14:paraId="45707BD2" w14:textId="77777777" w:rsidTr="00B6126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tcBorders>
            <w:textDirection w:val="btLr"/>
          </w:tcPr>
          <w:p w14:paraId="7AB16BC4" w14:textId="6066A89C" w:rsidR="00EC1E49" w:rsidRPr="006604ED" w:rsidRDefault="00EC1E49" w:rsidP="00B61265">
            <w:pPr>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Truck Transmission Liquid Hydrogen</w:t>
            </w:r>
          </w:p>
        </w:tc>
        <w:tc>
          <w:tcPr>
            <w:tcW w:w="2910" w:type="dxa"/>
            <w:tcBorders>
              <w:top w:val="single" w:sz="12" w:space="0" w:color="7F7F7F" w:themeColor="text1" w:themeTint="80"/>
            </w:tcBorders>
            <w:noWrap/>
            <w:vAlign w:val="center"/>
          </w:tcPr>
          <w:p w14:paraId="038042D5" w14:textId="0EA8EB9B" w:rsidR="00EC1E49" w:rsidRPr="006604ED" w:rsidRDefault="00EC1E49" w:rsidP="00EC1E49">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CAPEX</w:t>
            </w:r>
            <w:r w:rsidRPr="00F43C91">
              <w:rPr>
                <w:rFonts w:cs="Arial"/>
                <w:i/>
                <w:iCs/>
                <w:color w:val="000000"/>
                <w:sz w:val="20"/>
                <w:szCs w:val="20"/>
                <w:vertAlign w:val="superscript"/>
              </w:rPr>
              <w:t>b</w:t>
            </w:r>
            <w:r w:rsidRPr="006604ED">
              <w:rPr>
                <w:rFonts w:cs="Arial"/>
                <w:i/>
                <w:iCs/>
                <w:color w:val="000000"/>
                <w:sz w:val="20"/>
                <w:szCs w:val="20"/>
              </w:rPr>
              <w:t xml:space="preserve"> (£/kW</w:t>
            </w:r>
            <w:r w:rsidRPr="00B61265">
              <w:rPr>
                <w:rFonts w:cs="Arial"/>
                <w:i/>
                <w:iCs/>
                <w:color w:val="000000"/>
                <w:sz w:val="20"/>
                <w:szCs w:val="20"/>
                <w:vertAlign w:val="subscript"/>
              </w:rPr>
              <w:t>H2</w:t>
            </w:r>
            <w:r w:rsidRPr="004C01A7">
              <w:rPr>
                <w:rFonts w:cs="Arial"/>
                <w:i/>
                <w:iCs/>
                <w:color w:val="000000"/>
                <w:sz w:val="20"/>
                <w:szCs w:val="20"/>
              </w:rPr>
              <w:t>-km</w:t>
            </w:r>
            <w:r w:rsidRPr="006604ED">
              <w:rPr>
                <w:rFonts w:cs="Arial"/>
                <w:i/>
                <w:iCs/>
                <w:color w:val="000000"/>
                <w:sz w:val="20"/>
                <w:szCs w:val="20"/>
              </w:rPr>
              <w:t>)</w:t>
            </w:r>
          </w:p>
        </w:tc>
        <w:tc>
          <w:tcPr>
            <w:tcW w:w="0" w:type="auto"/>
            <w:tcBorders>
              <w:top w:val="single" w:sz="12" w:space="0" w:color="7F7F7F" w:themeColor="text1" w:themeTint="80"/>
            </w:tcBorders>
            <w:noWrap/>
            <w:vAlign w:val="center"/>
          </w:tcPr>
          <w:p w14:paraId="6A9085F8" w14:textId="016357F4" w:rsidR="00EC1E49" w:rsidRDefault="00EC1E49" w:rsidP="00EC1E49">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562C26">
              <w:rPr>
                <w:rFonts w:cs="Arial"/>
                <w:i/>
                <w:iCs/>
                <w:color w:val="000000"/>
                <w:sz w:val="20"/>
                <w:szCs w:val="20"/>
              </w:rPr>
              <w:t>0.</w:t>
            </w:r>
            <w:r>
              <w:rPr>
                <w:rFonts w:cs="Arial"/>
                <w:i/>
                <w:iCs/>
                <w:color w:val="000000"/>
                <w:sz w:val="20"/>
                <w:szCs w:val="20"/>
              </w:rPr>
              <w:t>101</w:t>
            </w:r>
          </w:p>
        </w:tc>
      </w:tr>
      <w:tr w:rsidR="00EC1E49" w:rsidRPr="006604ED" w14:paraId="70AA6F53" w14:textId="77777777" w:rsidTr="00B6126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74B0361" w14:textId="77777777" w:rsidR="00EC1E49" w:rsidRPr="006604ED" w:rsidRDefault="00EC1E49" w:rsidP="00EC1E49">
            <w:pPr>
              <w:spacing w:before="0" w:after="0"/>
              <w:jc w:val="center"/>
              <w:rPr>
                <w:rFonts w:eastAsia="Times New Roman" w:cs="Arial"/>
                <w:color w:val="000000"/>
                <w:sz w:val="20"/>
                <w:szCs w:val="20"/>
                <w:lang w:eastAsia="en-GB"/>
              </w:rPr>
            </w:pPr>
          </w:p>
        </w:tc>
        <w:tc>
          <w:tcPr>
            <w:tcW w:w="2910" w:type="dxa"/>
            <w:tcBorders>
              <w:top w:val="single" w:sz="4" w:space="0" w:color="7F7F7F" w:themeColor="text1" w:themeTint="80"/>
              <w:bottom w:val="single" w:sz="4" w:space="0" w:color="7F7F7F" w:themeColor="text1" w:themeTint="80"/>
            </w:tcBorders>
            <w:noWrap/>
            <w:vAlign w:val="center"/>
          </w:tcPr>
          <w:p w14:paraId="63CD5CC7" w14:textId="5B31D96C" w:rsidR="00EC1E49" w:rsidRPr="006604ED" w:rsidRDefault="00EC1E49" w:rsidP="00EC1E49">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Fixed OPEX</w:t>
            </w:r>
            <w:r w:rsidRPr="00F43C91">
              <w:rPr>
                <w:rFonts w:cs="Arial"/>
                <w:i/>
                <w:iCs/>
                <w:color w:val="000000"/>
                <w:sz w:val="20"/>
                <w:szCs w:val="20"/>
                <w:vertAlign w:val="superscript"/>
              </w:rPr>
              <w:t>b</w:t>
            </w:r>
            <w:r w:rsidRPr="006604ED">
              <w:rPr>
                <w:rFonts w:cs="Arial"/>
                <w:i/>
                <w:iCs/>
                <w:color w:val="000000"/>
                <w:sz w:val="20"/>
                <w:szCs w:val="20"/>
              </w:rPr>
              <w:t xml:space="preserve"> (Percentage of OPEX)</w:t>
            </w:r>
          </w:p>
        </w:tc>
        <w:tc>
          <w:tcPr>
            <w:tcW w:w="0" w:type="auto"/>
            <w:tcBorders>
              <w:top w:val="single" w:sz="4" w:space="0" w:color="7F7F7F" w:themeColor="text1" w:themeTint="80"/>
              <w:bottom w:val="single" w:sz="4" w:space="0" w:color="7F7F7F" w:themeColor="text1" w:themeTint="80"/>
            </w:tcBorders>
            <w:noWrap/>
            <w:vAlign w:val="center"/>
          </w:tcPr>
          <w:p w14:paraId="586D3581" w14:textId="226EDD67" w:rsidR="00EC1E49" w:rsidRDefault="00EC1E49" w:rsidP="00EC1E49">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cs="Arial"/>
                <w:i/>
                <w:iCs/>
                <w:color w:val="000000"/>
                <w:sz w:val="20"/>
                <w:szCs w:val="20"/>
              </w:rPr>
              <w:t>2</w:t>
            </w:r>
          </w:p>
        </w:tc>
      </w:tr>
      <w:tr w:rsidR="00EC1E49" w:rsidRPr="006604ED" w14:paraId="2C0D21B3" w14:textId="77777777" w:rsidTr="00B6126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557DBEB5" w14:textId="77777777" w:rsidR="00EC1E49" w:rsidRPr="006604ED" w:rsidRDefault="00EC1E49" w:rsidP="00EC1E49">
            <w:pPr>
              <w:spacing w:before="0" w:after="0"/>
              <w:jc w:val="center"/>
              <w:rPr>
                <w:rFonts w:eastAsia="Times New Roman" w:cs="Arial"/>
                <w:color w:val="000000"/>
                <w:sz w:val="20"/>
                <w:szCs w:val="20"/>
                <w:lang w:eastAsia="en-GB"/>
              </w:rPr>
            </w:pPr>
          </w:p>
        </w:tc>
        <w:tc>
          <w:tcPr>
            <w:tcW w:w="2910" w:type="dxa"/>
            <w:noWrap/>
            <w:vAlign w:val="center"/>
          </w:tcPr>
          <w:p w14:paraId="540A13D3" w14:textId="12307D35" w:rsidR="00EC1E49" w:rsidRPr="006604ED" w:rsidRDefault="00EC1E49" w:rsidP="00EC1E49">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Variable OPEX</w:t>
            </w:r>
            <w:r w:rsidRPr="00F43C91">
              <w:rPr>
                <w:rFonts w:cs="Arial"/>
                <w:i/>
                <w:iCs/>
                <w:color w:val="000000"/>
                <w:sz w:val="20"/>
                <w:szCs w:val="20"/>
                <w:vertAlign w:val="superscript"/>
              </w:rPr>
              <w:t>b</w:t>
            </w:r>
            <w:r w:rsidRPr="006604ED">
              <w:rPr>
                <w:rFonts w:cs="Arial"/>
                <w:i/>
                <w:iCs/>
                <w:color w:val="000000"/>
                <w:sz w:val="20"/>
                <w:szCs w:val="20"/>
              </w:rPr>
              <w:t xml:space="preserve"> (£/kWh</w:t>
            </w:r>
            <w:r w:rsidRPr="00B61265">
              <w:rPr>
                <w:rFonts w:cs="Arial"/>
                <w:i/>
                <w:iCs/>
                <w:color w:val="000000"/>
                <w:sz w:val="20"/>
                <w:szCs w:val="20"/>
                <w:vertAlign w:val="subscript"/>
              </w:rPr>
              <w:t>H2</w:t>
            </w:r>
            <w:r w:rsidRPr="004C01A7">
              <w:rPr>
                <w:rFonts w:cs="Arial"/>
                <w:i/>
                <w:iCs/>
                <w:color w:val="000000"/>
                <w:sz w:val="20"/>
                <w:szCs w:val="20"/>
              </w:rPr>
              <w:t>-km</w:t>
            </w:r>
            <w:r w:rsidRPr="006604ED">
              <w:rPr>
                <w:rFonts w:cs="Arial"/>
                <w:i/>
                <w:iCs/>
                <w:color w:val="000000"/>
                <w:sz w:val="20"/>
                <w:szCs w:val="20"/>
              </w:rPr>
              <w:t>)</w:t>
            </w:r>
          </w:p>
        </w:tc>
        <w:tc>
          <w:tcPr>
            <w:tcW w:w="0" w:type="auto"/>
            <w:noWrap/>
            <w:vAlign w:val="center"/>
          </w:tcPr>
          <w:p w14:paraId="21A758FA" w14:textId="694003FD" w:rsidR="00EC1E49" w:rsidRDefault="00EC1E49" w:rsidP="00EC1E49">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562C26">
              <w:rPr>
                <w:rFonts w:cs="Arial"/>
                <w:i/>
                <w:iCs/>
                <w:color w:val="000000"/>
                <w:sz w:val="20"/>
                <w:szCs w:val="20"/>
              </w:rPr>
              <w:t>4.02x10</w:t>
            </w:r>
            <w:r w:rsidRPr="00B61265">
              <w:rPr>
                <w:rFonts w:cs="Arial"/>
                <w:i/>
                <w:iCs/>
                <w:color w:val="000000"/>
                <w:sz w:val="20"/>
                <w:szCs w:val="20"/>
                <w:vertAlign w:val="superscript"/>
              </w:rPr>
              <w:t>-5</w:t>
            </w:r>
            <w:r w:rsidRPr="00562C26">
              <w:rPr>
                <w:rFonts w:cs="Arial"/>
                <w:i/>
                <w:iCs/>
                <w:color w:val="000000"/>
                <w:sz w:val="20"/>
                <w:szCs w:val="20"/>
              </w:rPr>
              <w:t xml:space="preserve"> (+ 9.58 x10</w:t>
            </w:r>
            <w:r w:rsidRPr="00B61265">
              <w:rPr>
                <w:rFonts w:cs="Arial"/>
                <w:i/>
                <w:iCs/>
                <w:color w:val="000000"/>
                <w:sz w:val="20"/>
                <w:szCs w:val="20"/>
                <w:vertAlign w:val="superscript"/>
              </w:rPr>
              <w:t>-4</w:t>
            </w:r>
            <w:r w:rsidRPr="00562C26">
              <w:rPr>
                <w:rFonts w:cs="Arial"/>
                <w:i/>
                <w:iCs/>
                <w:color w:val="000000"/>
                <w:sz w:val="20"/>
                <w:szCs w:val="20"/>
              </w:rPr>
              <w:t xml:space="preserve"> £/kWhH2)</w:t>
            </w:r>
          </w:p>
        </w:tc>
      </w:tr>
      <w:tr w:rsidR="00EC1E49" w:rsidRPr="006604ED" w14:paraId="3A5327CB" w14:textId="77777777" w:rsidTr="00B6126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ED29052" w14:textId="77777777" w:rsidR="00EC1E49" w:rsidRPr="006604ED" w:rsidRDefault="00EC1E49" w:rsidP="00EC1E49">
            <w:pPr>
              <w:spacing w:before="0" w:after="0"/>
              <w:jc w:val="center"/>
              <w:rPr>
                <w:rFonts w:eastAsia="Times New Roman" w:cs="Arial"/>
                <w:color w:val="000000"/>
                <w:sz w:val="20"/>
                <w:szCs w:val="20"/>
                <w:lang w:eastAsia="en-GB"/>
              </w:rPr>
            </w:pPr>
          </w:p>
        </w:tc>
        <w:tc>
          <w:tcPr>
            <w:tcW w:w="2910" w:type="dxa"/>
            <w:tcBorders>
              <w:top w:val="single" w:sz="4" w:space="0" w:color="7F7F7F" w:themeColor="text1" w:themeTint="80"/>
            </w:tcBorders>
            <w:noWrap/>
            <w:vAlign w:val="center"/>
          </w:tcPr>
          <w:p w14:paraId="3EF7476C" w14:textId="57E5E16B" w:rsidR="00EC1E49" w:rsidRPr="006604ED" w:rsidRDefault="00EC1E49" w:rsidP="00EC1E49">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Operating Lifetime</w:t>
            </w:r>
            <w:r w:rsidRPr="00F43C91">
              <w:rPr>
                <w:rFonts w:cs="Arial"/>
                <w:i/>
                <w:iCs/>
                <w:color w:val="000000"/>
                <w:sz w:val="20"/>
                <w:szCs w:val="20"/>
                <w:vertAlign w:val="superscript"/>
              </w:rPr>
              <w:t>b</w:t>
            </w:r>
            <w:r w:rsidRPr="006604ED">
              <w:rPr>
                <w:rFonts w:cs="Arial"/>
                <w:i/>
                <w:iCs/>
                <w:color w:val="000000"/>
                <w:sz w:val="20"/>
                <w:szCs w:val="20"/>
              </w:rPr>
              <w:t xml:space="preserve"> (yr)</w:t>
            </w:r>
          </w:p>
        </w:tc>
        <w:tc>
          <w:tcPr>
            <w:tcW w:w="0" w:type="auto"/>
            <w:tcBorders>
              <w:top w:val="single" w:sz="4" w:space="0" w:color="7F7F7F" w:themeColor="text1" w:themeTint="80"/>
            </w:tcBorders>
            <w:noWrap/>
            <w:vAlign w:val="center"/>
          </w:tcPr>
          <w:p w14:paraId="2F7BC577" w14:textId="29059DEA" w:rsidR="00EC1E49" w:rsidRDefault="00EC1E49" w:rsidP="00EC1E49">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62C26">
              <w:rPr>
                <w:rFonts w:cs="Arial"/>
                <w:i/>
                <w:iCs/>
                <w:color w:val="000000"/>
                <w:sz w:val="20"/>
                <w:szCs w:val="20"/>
              </w:rPr>
              <w:t>15</w:t>
            </w:r>
          </w:p>
        </w:tc>
      </w:tr>
      <w:tr w:rsidR="00EC1E49" w:rsidRPr="006604ED" w14:paraId="1A2E3B9B" w14:textId="77777777" w:rsidTr="00B6126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8" w:space="0" w:color="808080" w:themeColor="background1" w:themeShade="80"/>
            </w:tcBorders>
          </w:tcPr>
          <w:p w14:paraId="17C8B641" w14:textId="77777777" w:rsidR="00EC1E49" w:rsidRPr="006604ED" w:rsidRDefault="00EC1E49" w:rsidP="00EC1E49">
            <w:pPr>
              <w:spacing w:before="0" w:after="0"/>
              <w:jc w:val="center"/>
              <w:rPr>
                <w:rFonts w:eastAsia="Times New Roman" w:cs="Arial"/>
                <w:color w:val="000000"/>
                <w:sz w:val="20"/>
                <w:szCs w:val="20"/>
                <w:lang w:eastAsia="en-GB"/>
              </w:rPr>
            </w:pPr>
          </w:p>
        </w:tc>
        <w:tc>
          <w:tcPr>
            <w:tcW w:w="2910" w:type="dxa"/>
            <w:tcBorders>
              <w:bottom w:val="single" w:sz="18" w:space="0" w:color="808080" w:themeColor="background1" w:themeShade="80"/>
            </w:tcBorders>
            <w:noWrap/>
            <w:vAlign w:val="center"/>
          </w:tcPr>
          <w:p w14:paraId="0A04AB6A" w14:textId="5787DDE4" w:rsidR="00EC1E49" w:rsidRPr="006604ED" w:rsidRDefault="00EC1E49" w:rsidP="00EC1E49">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Emission Factor</w:t>
            </w:r>
            <w:r w:rsidRPr="00F43C91">
              <w:rPr>
                <w:rFonts w:cs="Arial"/>
                <w:i/>
                <w:iCs/>
                <w:color w:val="000000"/>
                <w:sz w:val="20"/>
                <w:szCs w:val="20"/>
                <w:vertAlign w:val="superscript"/>
              </w:rPr>
              <w:t>c</w:t>
            </w:r>
            <w:r w:rsidRPr="006604ED">
              <w:rPr>
                <w:rFonts w:cs="Arial"/>
                <w:i/>
                <w:iCs/>
                <w:color w:val="000000"/>
                <w:sz w:val="20"/>
                <w:szCs w:val="20"/>
              </w:rPr>
              <w:t xml:space="preserve"> (kg</w:t>
            </w:r>
            <w:r w:rsidRPr="00B61265">
              <w:rPr>
                <w:rFonts w:cs="Arial"/>
                <w:i/>
                <w:iCs/>
                <w:color w:val="000000"/>
                <w:sz w:val="20"/>
                <w:szCs w:val="20"/>
                <w:vertAlign w:val="subscript"/>
              </w:rPr>
              <w:t>CO2e</w:t>
            </w:r>
            <w:r w:rsidRPr="006604ED">
              <w:rPr>
                <w:rFonts w:cs="Arial"/>
                <w:i/>
                <w:iCs/>
                <w:color w:val="000000"/>
                <w:sz w:val="20"/>
                <w:szCs w:val="20"/>
              </w:rPr>
              <w:t>/kWh</w:t>
            </w:r>
            <w:r w:rsidRPr="00B61265">
              <w:rPr>
                <w:rFonts w:cs="Arial"/>
                <w:i/>
                <w:iCs/>
                <w:color w:val="000000"/>
                <w:sz w:val="20"/>
                <w:szCs w:val="20"/>
                <w:vertAlign w:val="subscript"/>
              </w:rPr>
              <w:t>H2</w:t>
            </w:r>
            <w:r>
              <w:rPr>
                <w:rFonts w:cs="Arial"/>
                <w:i/>
                <w:iCs/>
                <w:color w:val="000000"/>
                <w:sz w:val="20"/>
                <w:szCs w:val="20"/>
              </w:rPr>
              <w:t>-km</w:t>
            </w:r>
            <w:r w:rsidRPr="006604ED">
              <w:rPr>
                <w:rFonts w:cs="Arial"/>
                <w:i/>
                <w:iCs/>
                <w:color w:val="000000"/>
                <w:sz w:val="20"/>
                <w:szCs w:val="20"/>
              </w:rPr>
              <w:t>)</w:t>
            </w:r>
          </w:p>
        </w:tc>
        <w:tc>
          <w:tcPr>
            <w:tcW w:w="0" w:type="auto"/>
            <w:tcBorders>
              <w:bottom w:val="single" w:sz="18" w:space="0" w:color="808080" w:themeColor="background1" w:themeShade="80"/>
            </w:tcBorders>
            <w:noWrap/>
            <w:vAlign w:val="center"/>
          </w:tcPr>
          <w:p w14:paraId="7030C624" w14:textId="12586366" w:rsidR="00EC1E49" w:rsidRDefault="00EC1E49" w:rsidP="00EC1E49">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i/>
                <w:iCs/>
                <w:color w:val="000000"/>
                <w:sz w:val="20"/>
                <w:szCs w:val="20"/>
              </w:rPr>
              <w:t>3</w:t>
            </w:r>
            <w:r w:rsidRPr="00562C26">
              <w:rPr>
                <w:rFonts w:cs="Arial"/>
                <w:i/>
                <w:iCs/>
                <w:color w:val="000000"/>
                <w:sz w:val="20"/>
                <w:szCs w:val="20"/>
              </w:rPr>
              <w:t>.</w:t>
            </w:r>
            <w:r>
              <w:rPr>
                <w:rFonts w:cs="Arial"/>
                <w:i/>
                <w:iCs/>
                <w:color w:val="000000"/>
                <w:sz w:val="20"/>
                <w:szCs w:val="20"/>
              </w:rPr>
              <w:t>46</w:t>
            </w:r>
            <w:r w:rsidRPr="00562C26">
              <w:rPr>
                <w:rFonts w:cs="Arial"/>
                <w:i/>
                <w:iCs/>
                <w:color w:val="000000"/>
                <w:sz w:val="20"/>
                <w:szCs w:val="20"/>
              </w:rPr>
              <w:t xml:space="preserve"> x10</w:t>
            </w:r>
            <w:r w:rsidRPr="00562C26">
              <w:rPr>
                <w:rFonts w:cs="Arial"/>
                <w:i/>
                <w:iCs/>
                <w:color w:val="000000"/>
                <w:sz w:val="20"/>
                <w:szCs w:val="20"/>
                <w:vertAlign w:val="superscript"/>
              </w:rPr>
              <w:t>-4</w:t>
            </w:r>
          </w:p>
        </w:tc>
      </w:tr>
    </w:tbl>
    <w:p w14:paraId="336D74D1" w14:textId="60B0C71D" w:rsidR="00A31B1B" w:rsidRDefault="00A31B1B" w:rsidP="00D30284">
      <w:pPr>
        <w:pStyle w:val="Heading3"/>
      </w:pPr>
      <w:bookmarkStart w:id="56" w:name="_Toc50359437"/>
      <w:r>
        <w:t xml:space="preserve">Hydrogen </w:t>
      </w:r>
      <w:bookmarkEnd w:id="56"/>
      <w:r w:rsidR="001E41FF">
        <w:t>distribution</w:t>
      </w:r>
    </w:p>
    <w:p w14:paraId="092740DC" w14:textId="0C388C1A" w:rsidR="00A31B1B" w:rsidRDefault="00A31B1B" w:rsidP="00A31B1B">
      <w:r>
        <w:t xml:space="preserve">Various hydrogen distribution technologies were included in this research. Firstly, new, fit-for-purpose distribution pipelines were considered. The CAPEX and lifetime parameters were obtained </w:t>
      </w:r>
      <w:r w:rsidR="008A16B6">
        <w:t>from</w:t>
      </w:r>
      <w:r w:rsidR="000F34A9">
        <w:t xml:space="preserve"> </w:t>
      </w:r>
      <w:r w:rsidR="000F34A9">
        <w:fldChar w:fldCharType="begin">
          <w:fldData xml:space="preserve">PEVuZE5vdGU+PENpdGU+PEF1dGhvcj5JRUE8L0F1dGhvcj48WWVhcj4yMDE5PC9ZZWFyPjxSZWNO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</w:fldData>
        </w:fldChar>
      </w:r>
      <w:r w:rsidR="00434694">
        <w:instrText xml:space="preserve"> ADDIN EN.CITE </w:instrText>
      </w:r>
      <w:r w:rsidR="00434694">
        <w:fldChar w:fldCharType="begin">
          <w:fldData xml:space="preserve">PEVuZE5vdGU+PENpdGU+PEF1dGhvcj5JRUE8L0F1dGhvcj48WWVhcj4yMDE5PC9ZZWFyPjxSZWNO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</w:fldData>
        </w:fldChar>
      </w:r>
      <w:r w:rsidR="00434694">
        <w:instrText xml:space="preserve"> ADDIN EN.CITE.DATA </w:instrText>
      </w:r>
      <w:r w:rsidR="00434694">
        <w:fldChar w:fldCharType="end"/>
      </w:r>
      <w:r w:rsidR="000F34A9">
        <w:fldChar w:fldCharType="separate"/>
      </w:r>
      <w:r w:rsidR="00434694">
        <w:rPr>
          <w:noProof/>
        </w:rPr>
        <w:t>[</w:t>
      </w:r>
      <w:hyperlink w:anchor="_ENREF_52" w:tooltip="IEA, 2019 #998" w:history="1">
        <w:r w:rsidR="006210AE">
          <w:rPr>
            <w:noProof/>
          </w:rPr>
          <w:t>52</w:t>
        </w:r>
      </w:hyperlink>
      <w:r w:rsidR="00434694">
        <w:rPr>
          <w:noProof/>
        </w:rPr>
        <w:t xml:space="preserve">, </w:t>
      </w:r>
      <w:hyperlink w:anchor="_ENREF_53" w:tooltip="IEA, 2019 #999" w:history="1">
        <w:r w:rsidR="006210AE">
          <w:rPr>
            <w:noProof/>
          </w:rPr>
          <w:t>53</w:t>
        </w:r>
      </w:hyperlink>
      <w:r w:rsidR="00434694">
        <w:rPr>
          <w:noProof/>
        </w:rPr>
        <w:t>]</w:t>
      </w:r>
      <w:r w:rsidR="000F34A9">
        <w:fldChar w:fldCharType="end"/>
      </w:r>
      <w:r>
        <w:t>. Since there was little literature regarding the fixed OPEX of new distribution pipelines, it was assumed it would have the same value of new transmission pipelines</w:t>
      </w:r>
      <w:r w:rsidR="000F34A9">
        <w:t xml:space="preserve"> </w:t>
      </w:r>
      <w:r w:rsidR="000F34A9">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0F34A9">
        <w:fldChar w:fldCharType="separate"/>
      </w:r>
      <w:r w:rsidR="00434694">
        <w:rPr>
          <w:noProof/>
        </w:rPr>
        <w:t>[</w:t>
      </w:r>
      <w:hyperlink w:anchor="_ENREF_56" w:tooltip="Sadler, 2016 #926" w:history="1">
        <w:r w:rsidR="006210AE">
          <w:rPr>
            <w:noProof/>
          </w:rPr>
          <w:t>56</w:t>
        </w:r>
      </w:hyperlink>
      <w:r w:rsidR="00434694">
        <w:rPr>
          <w:noProof/>
        </w:rPr>
        <w:t>]</w:t>
      </w:r>
      <w:r w:rsidR="000F34A9">
        <w:fldChar w:fldCharType="end"/>
      </w:r>
      <w:r>
        <w:t xml:space="preserve">. An advantage of using new fit-for-purpose pipelines is there would be </w:t>
      </w:r>
      <w:r w:rsidR="008A16B6">
        <w:t>neglectable</w:t>
      </w:r>
      <w:r>
        <w:t xml:space="preserve"> contamination picked up when distributing the hydrogen – however, one main drawback is the large upfront capital costs.</w:t>
      </w:r>
    </w:p>
    <w:p w14:paraId="41EFDD9C" w14:textId="3FD0A29E" w:rsidR="00A31B1B" w:rsidRDefault="00A31B1B" w:rsidP="00A31B1B">
      <w:r>
        <w:t xml:space="preserve">The next distribution transportation technology included in this study was truck distribution. A very similar approach </w:t>
      </w:r>
      <w:r w:rsidR="009E740F">
        <w:t>to truck</w:t>
      </w:r>
      <w:r w:rsidR="008A16B6">
        <w:t xml:space="preserve"> transmission</w:t>
      </w:r>
      <w:r w:rsidR="009E740F">
        <w:t xml:space="preserve"> transportation</w:t>
      </w:r>
      <w:r w:rsidR="008A16B6">
        <w:t xml:space="preserve"> </w:t>
      </w:r>
      <w:r>
        <w:t xml:space="preserve">was taken for obtaining the techno-economic parameters seen in </w:t>
      </w:r>
      <w:r w:rsidR="00F87899">
        <w:fldChar w:fldCharType="begin"/>
      </w:r>
      <w:r w:rsidR="00F87899">
        <w:instrText xml:space="preserve"> REF _Ref48771711 \h </w:instrText>
      </w:r>
      <w:r w:rsidR="00F87899">
        <w:fldChar w:fldCharType="separate"/>
      </w:r>
      <w:r w:rsidR="005851DD">
        <w:t xml:space="preserve">Table </w:t>
      </w:r>
      <w:r w:rsidR="005851DD">
        <w:rPr>
          <w:noProof/>
        </w:rPr>
        <w:t>8</w:t>
      </w:r>
      <w:r w:rsidR="00F87899">
        <w:fldChar w:fldCharType="end"/>
      </w:r>
      <w:r>
        <w:t>, with a key difference being the assumed average speed of the truck.</w:t>
      </w:r>
    </w:p>
    <w:p w14:paraId="2A159186" w14:textId="647D7F36" w:rsidR="00A31B1B" w:rsidRDefault="00A31B1B" w:rsidP="00A31B1B">
      <w:r>
        <w:t xml:space="preserve">Repurposing the gas distribution network in order to supply 100% hydrogen is also a concept being considered in GB, as shown from the literature review. A benefit to repurposing the GDN to supply </w:t>
      </w:r>
      <w:r>
        <w:lastRenderedPageBreak/>
        <w:t xml:space="preserve">100% </w:t>
      </w:r>
      <w:r w:rsidR="009E740F">
        <w:t xml:space="preserve">hydrogen </w:t>
      </w:r>
      <w:r>
        <w:t xml:space="preserve">is the slightly lower upfront capital cost associated with the technology – however, one main drawback is that hydrogen would </w:t>
      </w:r>
      <w:r w:rsidR="009E740F">
        <w:t xml:space="preserve">become </w:t>
      </w:r>
      <w:r>
        <w:t>contaminat</w:t>
      </w:r>
      <w:r w:rsidR="009E740F">
        <w:t>ed</w:t>
      </w:r>
      <w:r>
        <w:t xml:space="preserve"> when distributed through it.</w:t>
      </w:r>
    </w:p>
    <w:p w14:paraId="187C9215" w14:textId="51CC2CE7" w:rsidR="00A31B1B" w:rsidRDefault="00A31B1B" w:rsidP="00A31B1B">
      <w:r>
        <w:t>Finally, blending into the GDN was also included. This was considered a fundamental cornerstone of this research to see how hydrogen grades affect the supply chain, and whether the cheaper transportation of hydrogen through blending into the local GDN could outweigh the additional costs of separation and purification at the end of use application. Since works such as HyDeploy 1 &amp; 2</w:t>
      </w:r>
      <w:r w:rsidR="006B2F59">
        <w:t xml:space="preserve"> </w:t>
      </w:r>
      <w:r w:rsidR="006B2F59">
        <w:fldChar w:fldCharType="begin"/>
      </w:r>
      <w:r w:rsidR="00434694">
        <w:instrText xml:space="preserve"> ADDIN EN.CITE &lt;EndNote&gt;&lt;Cite&gt;&lt;Author&gt;HyDeploy&lt;/Author&gt;&lt;RecNum&gt;1080&lt;/RecNum&gt;&lt;DisplayText&gt;[58]&lt;/DisplayText&gt;&lt;record&gt;&lt;rec-number&gt;1080&lt;/rec-number&gt;&lt;foreign-keys&gt;&lt;key app="EN" db-id="w500zpaaheraz8epaw1p29dtf2ff9zrswv50" timestamp="1607697901"&gt;1080&lt;/key&gt;&lt;/foreign-keys&gt;&lt;ref-type name="Web Page"&gt;12&lt;/ref-type&gt;&lt;contributors&gt;&lt;authors&gt;&lt;author&gt;HyDeploy&lt;/author&gt;&lt;/authors&gt;&lt;/contributors&gt;&lt;titles&gt;&lt;title&gt;Hydrogen is vital to tackling climate change - HyDeploy&lt;/title&gt;&lt;/titles&gt;&lt;volume&gt;2021&lt;/volume&gt;&lt;dates&gt;&lt;/dates&gt;&lt;urls&gt;&lt;related-urls&gt;&lt;url&gt;https://hydeploy.co.uk/&lt;/url&gt;&lt;/related-urls&gt;&lt;/urls&gt;&lt;/record&gt;&lt;/Cite&gt;&lt;/EndNote&gt;</w:instrText>
      </w:r>
      <w:r w:rsidR="006B2F59">
        <w:fldChar w:fldCharType="separate"/>
      </w:r>
      <w:r w:rsidR="00434694">
        <w:rPr>
          <w:noProof/>
        </w:rPr>
        <w:t>[</w:t>
      </w:r>
      <w:hyperlink w:anchor="_ENREF_58" w:tooltip="HyDeploy,  #1080" w:history="1">
        <w:r w:rsidR="006210AE">
          <w:rPr>
            <w:noProof/>
          </w:rPr>
          <w:t>58</w:t>
        </w:r>
      </w:hyperlink>
      <w:r w:rsidR="00434694">
        <w:rPr>
          <w:noProof/>
        </w:rPr>
        <w:t>]</w:t>
      </w:r>
      <w:r w:rsidR="006B2F59">
        <w:fldChar w:fldCharType="end"/>
      </w:r>
      <w:r>
        <w:t xml:space="preserve"> have shown with current HDPE pipelines in the GDN are able to supply up to 20%</w:t>
      </w:r>
      <w:r>
        <w:rPr>
          <w:vertAlign w:val="subscript"/>
        </w:rPr>
        <w:t>Vol</w:t>
      </w:r>
      <w:r>
        <w:t xml:space="preserve"> hydrogen (accompanied with the steel mains replacement programme</w:t>
      </w:r>
      <w:r w:rsidR="006B2F59">
        <w:t xml:space="preserve"> </w:t>
      </w:r>
      <w:r w:rsidR="006B2F59">
        <w:fldChar w:fldCharType="begin"/>
      </w:r>
      <w:r w:rsidR="00434694">
        <w:instrText xml:space="preserve"> ADDIN EN.CITE &lt;EndNote&gt;&lt;Cite&gt;&lt;Author&gt;HSE&lt;/Author&gt;&lt;Year&gt;2001&lt;/Year&gt;&lt;RecNum&gt;1005&lt;/RecNum&gt;&lt;DisplayText&gt;[59]&lt;/DisplayText&gt;&lt;record&gt;&lt;rec-number&gt;1005&lt;/rec-number&gt;&lt;foreign-keys&gt;&lt;key app="EN" db-id="w500zpaaheraz8epaw1p29dtf2ff9zrswv50" timestamp="1607697901"&gt;1005&lt;/key&gt;&lt;/foreign-keys&gt;&lt;ref-type name="Report"&gt;27&lt;/ref-type&gt;&lt;contributors&gt;&lt;authors&gt;&lt;author&gt;HSE&lt;/author&gt;&lt;/authors&gt;&lt;/contributors&gt;&lt;titles&gt;&lt;title&gt;The Health And Safety Executive&amp;apos;s Enforcement Policy for The Replacement of Iron Gas Mains&lt;/title&gt;&lt;/titles&gt;&lt;keywords&gt;&lt;keyword&gt;2001&lt;/keyword&gt;&lt;keyword&gt;Enforcement policy&lt;/keyword&gt;&lt;keyword&gt;gas&lt;/keyword&gt;&lt;keyword&gt;iron&lt;/keyword&gt;&lt;keyword&gt;mains&lt;/keyword&gt;&lt;keyword&gt;replacement&lt;/keyword&gt;&lt;/keywords&gt;&lt;dates&gt;&lt;year&gt;2001&lt;/year&gt;&lt;/dates&gt;&lt;urls&gt;&lt;pdf-urls&gt;&lt;url&gt;file://Users\David\Library\Application Support\Mendeley Desktop\Downloaded\HSE - 2001 - The Health And Safety Executive&amp;apos;s Enforcement Policy for The Replacement of Iron Gas Mains.pdf&lt;/url&gt;&lt;/pdf-urls&gt;&lt;/urls&gt;&lt;/record&gt;&lt;/Cite&gt;&lt;/EndNote&gt;</w:instrText>
      </w:r>
      <w:r w:rsidR="006B2F59">
        <w:fldChar w:fldCharType="separate"/>
      </w:r>
      <w:r w:rsidR="00434694">
        <w:rPr>
          <w:noProof/>
        </w:rPr>
        <w:t>[</w:t>
      </w:r>
      <w:hyperlink w:anchor="_ENREF_59" w:tooltip="HSE, 2001 #1005" w:history="1">
        <w:r w:rsidR="006210AE">
          <w:rPr>
            <w:noProof/>
          </w:rPr>
          <w:t>59</w:t>
        </w:r>
      </w:hyperlink>
      <w:r w:rsidR="00434694">
        <w:rPr>
          <w:noProof/>
        </w:rPr>
        <w:t>]</w:t>
      </w:r>
      <w:r w:rsidR="006B2F59">
        <w:fldChar w:fldCharType="end"/>
      </w:r>
      <w:r>
        <w:t>), it was assumed there would be negligible costs associated with repurposing the GDN to supply blended hydrogen</w:t>
      </w:r>
      <w:r w:rsidR="00D87F50">
        <w:t>. The</w:t>
      </w:r>
      <w:r>
        <w:t xml:space="preserve"> main advantage to blending hydrogen into the GDN is the very low capital expense (assumed to be zero in this study) – however, a large drawback is the additional expense in the supply chain due to separation and purification requirements at the end point of use. </w:t>
      </w:r>
    </w:p>
    <w:p w14:paraId="7DFCDF48" w14:textId="4C5E940E" w:rsidR="00A31B1B" w:rsidRDefault="00A31B1B" w:rsidP="00A31B1B">
      <w:r>
        <w:fldChar w:fldCharType="begin"/>
      </w:r>
      <w:r>
        <w:instrText xml:space="preserve"> REF _Ref48821697 \h </w:instrText>
      </w:r>
      <w:r>
        <w:fldChar w:fldCharType="separate"/>
      </w:r>
      <w:r w:rsidR="005851DD">
        <w:t xml:space="preserve">Table </w:t>
      </w:r>
      <w:r w:rsidR="005851DD">
        <w:rPr>
          <w:noProof/>
        </w:rPr>
        <w:t>9</w:t>
      </w:r>
      <w:r>
        <w:fldChar w:fldCharType="end"/>
      </w:r>
      <w:r>
        <w:t xml:space="preserve"> shows a summary of the techno-economic parameters used in the model. </w:t>
      </w:r>
      <w:r w:rsidR="00D87F50">
        <w:t xml:space="preserve">Details and assumptions </w:t>
      </w:r>
      <w:r>
        <w:t>made for all distribution technologies can be found in</w:t>
      </w:r>
      <w:r w:rsidR="00D87F50">
        <w:t xml:space="preserve"> Appendix </w:t>
      </w:r>
      <w:r w:rsidR="00D87F50">
        <w:fldChar w:fldCharType="begin"/>
      </w:r>
      <w:r w:rsidR="00D87F50">
        <w:instrText xml:space="preserve"> REF _Ref55396164 \r \h </w:instrText>
      </w:r>
      <w:r w:rsidR="00D87F50">
        <w:fldChar w:fldCharType="separate"/>
      </w:r>
      <w:r w:rsidR="005851DD">
        <w:t>C.11</w:t>
      </w:r>
      <w:r w:rsidR="00D87F50">
        <w:fldChar w:fldCharType="end"/>
      </w:r>
      <w:r w:rsidR="00D87F50">
        <w:t xml:space="preserve"> and </w:t>
      </w:r>
      <w:r w:rsidR="00D87F50">
        <w:fldChar w:fldCharType="begin"/>
      </w:r>
      <w:r w:rsidR="00D87F50">
        <w:instrText xml:space="preserve"> REF _Ref55396166 \r \h </w:instrText>
      </w:r>
      <w:r w:rsidR="00D87F50">
        <w:fldChar w:fldCharType="separate"/>
      </w:r>
      <w:r w:rsidR="005851DD">
        <w:t>C.12</w:t>
      </w:r>
      <w:r w:rsidR="00D87F50">
        <w:fldChar w:fldCharType="end"/>
      </w:r>
      <w:r>
        <w:t>.</w:t>
      </w:r>
    </w:p>
    <w:p w14:paraId="690EBB13" w14:textId="464F7C8B" w:rsidR="00A31B1B" w:rsidRDefault="00A31B1B" w:rsidP="00A31B1B">
      <w:pPr>
        <w:pStyle w:val="Caption"/>
        <w:keepNext/>
      </w:pPr>
      <w:bookmarkStart w:id="57" w:name="_Ref48821697"/>
      <w:bookmarkStart w:id="58" w:name="_Toc50359153"/>
      <w:r>
        <w:t xml:space="preserve">Table </w:t>
      </w:r>
      <w:fldSimple w:instr=" SEQ Table \* ARABIC ">
        <w:r w:rsidR="005851DD">
          <w:rPr>
            <w:noProof/>
          </w:rPr>
          <w:t>9</w:t>
        </w:r>
      </w:fldSimple>
      <w:bookmarkEnd w:id="57"/>
      <w:r w:rsidR="00A74871">
        <w:rPr>
          <w:noProof/>
        </w:rPr>
        <w:t>:</w:t>
      </w:r>
      <w:r>
        <w:t xml:space="preserve"> Summary of techno-economic parameters for hydrogen distribution used in model; </w:t>
      </w:r>
      <w:r>
        <w:rPr>
          <w:vertAlign w:val="superscript"/>
        </w:rPr>
        <w:t>a</w:t>
      </w:r>
      <w:r w:rsidR="006B2F59">
        <w:rPr>
          <w:vertAlign w:val="superscript"/>
        </w:rPr>
        <w:fldChar w:fldCharType="begin"/>
      </w:r>
      <w:r w:rsidR="00434694">
        <w:rPr>
          <w:vertAlign w:val="superscript"/>
        </w:rPr>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6B2F59">
        <w:rPr>
          <w:vertAlign w:val="superscript"/>
        </w:rPr>
        <w:fldChar w:fldCharType="separate"/>
      </w:r>
      <w:r w:rsidR="00434694">
        <w:rPr>
          <w:noProof/>
          <w:vertAlign w:val="superscript"/>
        </w:rPr>
        <w:t>[</w:t>
      </w:r>
      <w:hyperlink w:anchor="_ENREF_52" w:tooltip="IEA, 2019 #998" w:history="1">
        <w:r w:rsidR="006210AE">
          <w:rPr>
            <w:noProof/>
            <w:vertAlign w:val="superscript"/>
          </w:rPr>
          <w:t>52</w:t>
        </w:r>
      </w:hyperlink>
      <w:r w:rsidR="00434694">
        <w:rPr>
          <w:noProof/>
          <w:vertAlign w:val="superscript"/>
        </w:rPr>
        <w:t>]</w:t>
      </w:r>
      <w:r w:rsidR="006B2F59">
        <w:rPr>
          <w:vertAlign w:val="superscript"/>
        </w:rPr>
        <w:fldChar w:fldCharType="end"/>
      </w:r>
      <w:r>
        <w:rPr>
          <w:vertAlign w:val="superscript"/>
        </w:rPr>
        <w:t xml:space="preserve"> b</w:t>
      </w:r>
      <w:r w:rsidR="006B2F59" w:rsidRPr="008050FD">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6B2F59" w:rsidRPr="008050FD">
        <w:fldChar w:fldCharType="separate"/>
      </w:r>
      <w:r w:rsidR="00434694">
        <w:rPr>
          <w:noProof/>
        </w:rPr>
        <w:t>[</w:t>
      </w:r>
      <w:hyperlink w:anchor="_ENREF_56" w:tooltip="Sadler, 2016 #926" w:history="1">
        <w:r w:rsidR="006210AE">
          <w:rPr>
            <w:noProof/>
          </w:rPr>
          <w:t>56</w:t>
        </w:r>
      </w:hyperlink>
      <w:r w:rsidR="00434694">
        <w:rPr>
          <w:noProof/>
        </w:rPr>
        <w:t>]</w:t>
      </w:r>
      <w:r w:rsidR="006B2F59" w:rsidRPr="008050FD">
        <w:fldChar w:fldCharType="end"/>
      </w:r>
      <w:r>
        <w:rPr>
          <w:vertAlign w:val="superscript"/>
        </w:rPr>
        <w:t xml:space="preserve"> c</w:t>
      </w:r>
      <w:r w:rsidR="006B2F59" w:rsidRPr="008050FD">
        <w:fldChar w:fldCharType="begin"/>
      </w:r>
      <w:r w:rsidR="00434694">
        <w:instrText xml:space="preserve"> ADDIN EN.CITE &lt;EndNote&gt;&lt;Cite&gt;&lt;Author&gt;McKinnon&lt;/Author&gt;&lt;RecNum&gt;973&lt;/RecNum&gt;&lt;DisplayText&gt;[57]&lt;/DisplayText&gt;&lt;record&gt;&lt;rec-number&gt;973&lt;/rec-number&gt;&lt;foreign-keys&gt;&lt;key app="EN" db-id="w500zpaaheraz8epaw1p29dtf2ff9zrswv50" timestamp="1607697901"&gt;973&lt;/key&gt;&lt;/foreign-keys&gt;&lt;ref-type name="Report"&gt;27&lt;/ref-type&gt;&lt;contributors&gt;&lt;authors&gt;&lt;author&gt;McKinnon, Alan&lt;/author&gt;&lt;author&gt;Piecyk, Maja&lt;/author&gt;&lt;/authors&gt;&lt;/contributors&gt;&lt;titles&gt;&lt;title&gt;Measuring and Managing CO 2 Emissions of European Chemical Transport&lt;/title&gt;&lt;/titles&gt;&lt;dates&gt;&lt;/dates&gt;&lt;pub-location&gt;Edinburgh&lt;/pub-location&gt;&lt;urls&gt;&lt;related-urls&gt;&lt;url&gt;www.cefic.org&lt;/url&gt;&lt;/related-urls&gt;&lt;pdf-urls&gt;&lt;url&gt;file://Users\David\Library\Application Support\Mendeley Desktop\Downloaded\Mckinnon, Piecyk - Unknown - Measuring and Managing CO 2 Emissions of European Chemical Transport.pdf&lt;/url&gt;&lt;/pdf-urls&gt;&lt;/urls&gt;&lt;/record&gt;&lt;/Cite&gt;&lt;/EndNote&gt;</w:instrText>
      </w:r>
      <w:r w:rsidR="006B2F59" w:rsidRPr="008050FD">
        <w:fldChar w:fldCharType="separate"/>
      </w:r>
      <w:r w:rsidR="00434694">
        <w:rPr>
          <w:noProof/>
        </w:rPr>
        <w:t>[</w:t>
      </w:r>
      <w:hyperlink w:anchor="_ENREF_57" w:tooltip="McKinnon,  #973" w:history="1">
        <w:r w:rsidR="006210AE">
          <w:rPr>
            <w:noProof/>
          </w:rPr>
          <w:t>57</w:t>
        </w:r>
      </w:hyperlink>
      <w:r w:rsidR="00434694">
        <w:rPr>
          <w:noProof/>
        </w:rPr>
        <w:t>]</w:t>
      </w:r>
      <w:r w:rsidR="006B2F59" w:rsidRPr="008050FD">
        <w:fldChar w:fldCharType="end"/>
      </w:r>
      <w:bookmarkEnd w:id="58"/>
    </w:p>
    <w:tbl>
      <w:tblPr>
        <w:tblStyle w:val="PlainTable2"/>
        <w:tblW w:w="7774" w:type="dxa"/>
        <w:jc w:val="center"/>
        <w:tblLook w:val="0480" w:firstRow="0" w:lastRow="0" w:firstColumn="1" w:lastColumn="0" w:noHBand="0" w:noVBand="1"/>
      </w:tblPr>
      <w:tblGrid>
        <w:gridCol w:w="1418"/>
        <w:gridCol w:w="3188"/>
        <w:gridCol w:w="3168"/>
      </w:tblGrid>
      <w:tr w:rsidR="00A31B1B" w:rsidRPr="006604ED" w14:paraId="058EC4B8"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tcBorders>
            <w:textDirection w:val="btLr"/>
          </w:tcPr>
          <w:p w14:paraId="752BB3B9" w14:textId="77777777" w:rsidR="00A31B1B" w:rsidRPr="006604ED" w:rsidRDefault="00A31B1B" w:rsidP="00785473">
            <w:pPr>
              <w:keepNext/>
              <w:widowControl w:val="0"/>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New Distribution Pipeline</w:t>
            </w:r>
          </w:p>
        </w:tc>
        <w:tc>
          <w:tcPr>
            <w:tcW w:w="3188" w:type="dxa"/>
            <w:tcBorders>
              <w:top w:val="single" w:sz="12" w:space="0" w:color="7F7F7F" w:themeColor="text1" w:themeTint="80"/>
            </w:tcBorders>
            <w:noWrap/>
            <w:vAlign w:val="center"/>
          </w:tcPr>
          <w:p w14:paraId="289AA8A9"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12" w:space="0" w:color="7F7F7F" w:themeColor="text1" w:themeTint="80"/>
            </w:tcBorders>
            <w:noWrap/>
            <w:vAlign w:val="center"/>
          </w:tcPr>
          <w:p w14:paraId="504516F6" w14:textId="77777777" w:rsidR="00A31B1B" w:rsidRPr="006604ED"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2.657</w:t>
            </w:r>
          </w:p>
        </w:tc>
      </w:tr>
      <w:tr w:rsidR="00A31B1B" w:rsidRPr="006604ED" w14:paraId="29ECB76D"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511D8928"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52393DA"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(Percentage of OPEX)</w:t>
            </w:r>
          </w:p>
        </w:tc>
        <w:tc>
          <w:tcPr>
            <w:tcW w:w="0" w:type="auto"/>
            <w:noWrap/>
            <w:vAlign w:val="center"/>
          </w:tcPr>
          <w:p w14:paraId="70EC079B" w14:textId="77777777" w:rsidR="00A31B1B" w:rsidRPr="006604ED"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0.22</w:t>
            </w:r>
          </w:p>
        </w:tc>
      </w:tr>
      <w:tr w:rsidR="00A31B1B" w:rsidRPr="006604ED" w14:paraId="7D2D2A4B"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79459CA6"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E977427"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134FF315" w14:textId="77777777" w:rsidR="00A31B1B" w:rsidRPr="006604ED" w:rsidRDefault="00A31B1B" w:rsidP="00785473">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74F59FDA"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48BC6BE4"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F83F259"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(yr)</w:t>
            </w:r>
          </w:p>
        </w:tc>
        <w:tc>
          <w:tcPr>
            <w:tcW w:w="0" w:type="auto"/>
            <w:noWrap/>
            <w:vAlign w:val="center"/>
          </w:tcPr>
          <w:p w14:paraId="03F54F73" w14:textId="77777777" w:rsidR="00A31B1B" w:rsidRPr="006604ED"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40</w:t>
            </w:r>
          </w:p>
        </w:tc>
      </w:tr>
      <w:tr w:rsidR="00A31B1B" w:rsidRPr="006604ED" w14:paraId="7A37D4BC"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2" w:space="0" w:color="7F7F7F" w:themeColor="text1" w:themeTint="80"/>
            </w:tcBorders>
          </w:tcPr>
          <w:p w14:paraId="0E026D6D"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tcBorders>
              <w:bottom w:val="single" w:sz="12" w:space="0" w:color="7F7F7F" w:themeColor="text1" w:themeTint="80"/>
            </w:tcBorders>
            <w:noWrap/>
            <w:vAlign w:val="center"/>
          </w:tcPr>
          <w:p w14:paraId="0E2CB290"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tcBorders>
              <w:bottom w:val="single" w:sz="12" w:space="0" w:color="7F7F7F" w:themeColor="text1" w:themeTint="80"/>
            </w:tcBorders>
            <w:noWrap/>
            <w:vAlign w:val="center"/>
          </w:tcPr>
          <w:p w14:paraId="63CAE81F" w14:textId="77777777" w:rsidR="00A31B1B" w:rsidRPr="006604ED" w:rsidRDefault="00A31B1B" w:rsidP="00785473">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6F926E3B"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tcBorders>
            <w:textDirection w:val="btLr"/>
          </w:tcPr>
          <w:p w14:paraId="4AE92A94" w14:textId="2AFA0258" w:rsidR="00A31B1B" w:rsidRPr="006604ED" w:rsidRDefault="00A31B1B" w:rsidP="00785473">
            <w:pPr>
              <w:keepNext/>
              <w:widowControl w:val="0"/>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Truck Distribution</w:t>
            </w:r>
            <w:r w:rsidR="00534106">
              <w:rPr>
                <w:rFonts w:eastAsia="Times New Roman" w:cs="Arial"/>
                <w:color w:val="000000"/>
                <w:sz w:val="20"/>
                <w:szCs w:val="20"/>
                <w:lang w:eastAsia="en-GB"/>
              </w:rPr>
              <w:t xml:space="preserve"> </w:t>
            </w:r>
            <w:r w:rsidR="00534106">
              <w:rPr>
                <w:rFonts w:cs="Arial"/>
                <w:color w:val="000000"/>
                <w:sz w:val="20"/>
                <w:szCs w:val="20"/>
              </w:rPr>
              <w:t>Compressed Gaseous Hydrogen</w:t>
            </w:r>
          </w:p>
        </w:tc>
        <w:tc>
          <w:tcPr>
            <w:tcW w:w="3188" w:type="dxa"/>
            <w:tcBorders>
              <w:top w:val="single" w:sz="12" w:space="0" w:color="7F7F7F" w:themeColor="text1" w:themeTint="80"/>
            </w:tcBorders>
            <w:noWrap/>
            <w:vAlign w:val="center"/>
          </w:tcPr>
          <w:p w14:paraId="6E135A63"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12" w:space="0" w:color="7F7F7F" w:themeColor="text1" w:themeTint="80"/>
            </w:tcBorders>
            <w:noWrap/>
            <w:vAlign w:val="center"/>
          </w:tcPr>
          <w:p w14:paraId="777F7402" w14:textId="77777777" w:rsidR="00A31B1B"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0.154</w:t>
            </w:r>
          </w:p>
        </w:tc>
      </w:tr>
      <w:tr w:rsidR="00A31B1B" w:rsidRPr="006604ED" w14:paraId="0A06B3F7"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5F9BB0DD"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2DCE99F"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vAlign w:val="center"/>
          </w:tcPr>
          <w:p w14:paraId="1FFB62B6" w14:textId="77777777" w:rsidR="00A31B1B"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12</w:t>
            </w:r>
          </w:p>
        </w:tc>
      </w:tr>
      <w:tr w:rsidR="00A31B1B" w:rsidRPr="006604ED" w14:paraId="23806533"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3E32C806"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3D3057FC"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02AC352B" w14:textId="77777777" w:rsidR="00A31B1B" w:rsidRPr="00024DEC"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6.16x10</w:t>
            </w:r>
            <w:r>
              <w:rPr>
                <w:rFonts w:eastAsia="Times New Roman" w:cs="Arial"/>
                <w:color w:val="000000"/>
                <w:sz w:val="20"/>
                <w:szCs w:val="20"/>
                <w:vertAlign w:val="superscript"/>
                <w:lang w:eastAsia="en-GB"/>
              </w:rPr>
              <w:t>-5</w:t>
            </w:r>
            <w:r>
              <w:rPr>
                <w:rFonts w:eastAsia="Times New Roman" w:cs="Arial"/>
                <w:color w:val="000000"/>
                <w:sz w:val="20"/>
                <w:szCs w:val="20"/>
                <w:lang w:eastAsia="en-GB"/>
              </w:rPr>
              <w:t xml:space="preserve"> (+ 9.58 x10</w:t>
            </w:r>
            <w:r>
              <w:rPr>
                <w:rFonts w:eastAsia="Times New Roman" w:cs="Arial"/>
                <w:color w:val="000000"/>
                <w:sz w:val="20"/>
                <w:szCs w:val="20"/>
                <w:vertAlign w:val="superscript"/>
                <w:lang w:eastAsia="en-GB"/>
              </w:rPr>
              <w:t>-4</w:t>
            </w:r>
            <w:r>
              <w:rPr>
                <w:rFonts w:eastAsia="Times New Roman" w:cs="Arial"/>
                <w:color w:val="000000"/>
                <w:sz w:val="20"/>
                <w:szCs w:val="20"/>
                <w:lang w:eastAsia="en-GB"/>
              </w:rPr>
              <w:t xml:space="preserve"> £/kWh</w:t>
            </w:r>
            <w:r>
              <w:rPr>
                <w:rFonts w:eastAsia="Times New Roman" w:cs="Arial"/>
                <w:color w:val="000000"/>
                <w:sz w:val="20"/>
                <w:szCs w:val="20"/>
                <w:vertAlign w:val="subscript"/>
                <w:lang w:eastAsia="en-GB"/>
              </w:rPr>
              <w:t>H2</w:t>
            </w:r>
            <w:r>
              <w:rPr>
                <w:rFonts w:eastAsia="Times New Roman" w:cs="Arial"/>
                <w:color w:val="000000"/>
                <w:sz w:val="20"/>
                <w:szCs w:val="20"/>
                <w:lang w:eastAsia="en-GB"/>
              </w:rPr>
              <w:t>)</w:t>
            </w:r>
          </w:p>
        </w:tc>
      </w:tr>
      <w:tr w:rsidR="00A31B1B" w:rsidRPr="006604ED" w14:paraId="5BC29C30"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FB72050"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F5F4BD0"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(yr)</w:t>
            </w:r>
          </w:p>
        </w:tc>
        <w:tc>
          <w:tcPr>
            <w:tcW w:w="0" w:type="auto"/>
            <w:noWrap/>
            <w:vAlign w:val="center"/>
          </w:tcPr>
          <w:p w14:paraId="05EC77F5" w14:textId="77777777" w:rsidR="00A31B1B"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15</w:t>
            </w:r>
          </w:p>
        </w:tc>
      </w:tr>
      <w:tr w:rsidR="00A31B1B" w:rsidRPr="006604ED" w14:paraId="19C9935D"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2" w:space="0" w:color="7F7F7F" w:themeColor="text1" w:themeTint="80"/>
            </w:tcBorders>
          </w:tcPr>
          <w:p w14:paraId="53EEC164"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tcBorders>
              <w:bottom w:val="single" w:sz="12" w:space="0" w:color="7F7F7F" w:themeColor="text1" w:themeTint="80"/>
            </w:tcBorders>
            <w:noWrap/>
            <w:vAlign w:val="center"/>
          </w:tcPr>
          <w:p w14:paraId="097DFF02"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w:t>
            </w:r>
            <w:r>
              <w:rPr>
                <w:rFonts w:eastAsia="Times New Roman" w:cs="Arial"/>
                <w:i/>
                <w:iCs/>
                <w:color w:val="000000"/>
                <w:sz w:val="20"/>
                <w:szCs w:val="20"/>
                <w:vertAlign w:val="superscript"/>
                <w:lang w:eastAsia="en-GB"/>
              </w:rPr>
              <w:t>c</w:t>
            </w:r>
            <w:r w:rsidRPr="006604ED">
              <w:rPr>
                <w:rFonts w:eastAsia="Times New Roman" w:cs="Arial"/>
                <w:i/>
                <w:iCs/>
                <w:color w:val="000000"/>
                <w:sz w:val="20"/>
                <w:szCs w:val="20"/>
                <w:lang w:eastAsia="en-GB"/>
              </w:rPr>
              <w:t xml:space="preserve">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bottom w:val="single" w:sz="12" w:space="0" w:color="7F7F7F" w:themeColor="text1" w:themeTint="80"/>
            </w:tcBorders>
            <w:noWrap/>
            <w:vAlign w:val="center"/>
          </w:tcPr>
          <w:p w14:paraId="41ACB5DC" w14:textId="77777777" w:rsidR="00A31B1B"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6.77 x10</w:t>
            </w:r>
            <w:r>
              <w:rPr>
                <w:rFonts w:eastAsia="Times New Roman" w:cs="Arial"/>
                <w:color w:val="000000"/>
                <w:sz w:val="20"/>
                <w:szCs w:val="20"/>
                <w:vertAlign w:val="superscript"/>
                <w:lang w:eastAsia="en-GB"/>
              </w:rPr>
              <w:t>-4</w:t>
            </w:r>
          </w:p>
        </w:tc>
      </w:tr>
      <w:tr w:rsidR="00534106" w:rsidRPr="006604ED" w14:paraId="45AE1593"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extDirection w:val="btLr"/>
          </w:tcPr>
          <w:p w14:paraId="4D91ACDB" w14:textId="56572168" w:rsidR="00534106" w:rsidRPr="006604ED" w:rsidRDefault="00534106" w:rsidP="00534106">
            <w:pPr>
              <w:keepNext/>
              <w:widowControl w:val="0"/>
              <w:spacing w:before="0" w:after="0"/>
              <w:jc w:val="center"/>
              <w:rPr>
                <w:rFonts w:eastAsia="Times New Roman" w:cs="Arial"/>
                <w:color w:val="000000"/>
                <w:sz w:val="20"/>
                <w:szCs w:val="20"/>
                <w:lang w:eastAsia="en-GB"/>
              </w:rPr>
            </w:pPr>
            <w:r>
              <w:rPr>
                <w:rFonts w:cs="Arial"/>
                <w:color w:val="000000"/>
                <w:sz w:val="20"/>
                <w:szCs w:val="20"/>
              </w:rPr>
              <w:t>Truck Distribution Liquid Hydrogen</w:t>
            </w:r>
          </w:p>
        </w:tc>
        <w:tc>
          <w:tcPr>
            <w:tcW w:w="3188" w:type="dxa"/>
            <w:tcBorders>
              <w:top w:val="single" w:sz="12" w:space="0" w:color="7F7F7F" w:themeColor="text1" w:themeTint="80"/>
            </w:tcBorders>
            <w:noWrap/>
            <w:vAlign w:val="center"/>
          </w:tcPr>
          <w:p w14:paraId="68A12E83" w14:textId="705E2699" w:rsidR="00534106" w:rsidRPr="006604ED" w:rsidRDefault="00534106" w:rsidP="00534106">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CAPEX</w:t>
            </w:r>
            <w:r>
              <w:rPr>
                <w:rFonts w:cs="Arial"/>
                <w:i/>
                <w:iCs/>
                <w:color w:val="000000"/>
                <w:sz w:val="20"/>
                <w:szCs w:val="20"/>
                <w:vertAlign w:val="superscript"/>
              </w:rPr>
              <w:t>a</w:t>
            </w:r>
            <w:r w:rsidRPr="006604ED">
              <w:rPr>
                <w:rFonts w:cs="Arial"/>
                <w:i/>
                <w:iCs/>
                <w:color w:val="000000"/>
                <w:sz w:val="20"/>
                <w:szCs w:val="20"/>
              </w:rPr>
              <w:t xml:space="preserve"> (£/kW</w:t>
            </w:r>
            <w:r w:rsidRPr="006604ED">
              <w:rPr>
                <w:rFonts w:cs="Arial"/>
                <w:i/>
                <w:iCs/>
                <w:color w:val="000000"/>
                <w:sz w:val="20"/>
                <w:szCs w:val="20"/>
                <w:vertAlign w:val="subscript"/>
              </w:rPr>
              <w:t>H2</w:t>
            </w:r>
            <w:r w:rsidRPr="004C01A7">
              <w:rPr>
                <w:rFonts w:cs="Arial"/>
                <w:i/>
                <w:iCs/>
                <w:color w:val="000000"/>
                <w:sz w:val="20"/>
                <w:szCs w:val="20"/>
              </w:rPr>
              <w:t>-km</w:t>
            </w:r>
            <w:r w:rsidRPr="006604ED">
              <w:rPr>
                <w:rFonts w:cs="Arial"/>
                <w:i/>
                <w:iCs/>
                <w:color w:val="000000"/>
                <w:sz w:val="20"/>
                <w:szCs w:val="20"/>
              </w:rPr>
              <w:t>)</w:t>
            </w:r>
          </w:p>
        </w:tc>
        <w:tc>
          <w:tcPr>
            <w:tcW w:w="0" w:type="auto"/>
            <w:tcBorders>
              <w:top w:val="single" w:sz="12" w:space="0" w:color="7F7F7F" w:themeColor="text1" w:themeTint="80"/>
            </w:tcBorders>
            <w:noWrap/>
            <w:vAlign w:val="center"/>
          </w:tcPr>
          <w:p w14:paraId="0A825972" w14:textId="608874F9" w:rsidR="00534106" w:rsidRDefault="00534106" w:rsidP="00534106">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0.201</w:t>
            </w:r>
          </w:p>
        </w:tc>
      </w:tr>
      <w:tr w:rsidR="00534106" w:rsidRPr="006604ED" w14:paraId="40440FE1"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427E73DB" w14:textId="77777777" w:rsidR="00534106" w:rsidRPr="006604ED" w:rsidRDefault="00534106" w:rsidP="00534106">
            <w:pPr>
              <w:keepNext/>
              <w:widowControl w:val="0"/>
              <w:spacing w:before="0" w:after="0"/>
              <w:jc w:val="center"/>
              <w:rPr>
                <w:rFonts w:eastAsia="Times New Roman" w:cs="Arial"/>
                <w:color w:val="000000"/>
                <w:sz w:val="20"/>
                <w:szCs w:val="20"/>
                <w:lang w:eastAsia="en-GB"/>
              </w:rPr>
            </w:pPr>
          </w:p>
        </w:tc>
        <w:tc>
          <w:tcPr>
            <w:tcW w:w="3188" w:type="dxa"/>
            <w:tcBorders>
              <w:top w:val="single" w:sz="4" w:space="0" w:color="7F7F7F" w:themeColor="text1" w:themeTint="80"/>
              <w:bottom w:val="single" w:sz="4" w:space="0" w:color="7F7F7F" w:themeColor="text1" w:themeTint="80"/>
            </w:tcBorders>
            <w:noWrap/>
            <w:vAlign w:val="center"/>
          </w:tcPr>
          <w:p w14:paraId="082F6F08" w14:textId="630F44AB" w:rsidR="00534106" w:rsidRPr="006604ED" w:rsidRDefault="00534106" w:rsidP="00534106">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Fixed OPEX</w:t>
            </w:r>
            <w:r>
              <w:rPr>
                <w:rFonts w:cs="Arial"/>
                <w:i/>
                <w:iCs/>
                <w:color w:val="000000"/>
                <w:sz w:val="20"/>
                <w:szCs w:val="20"/>
                <w:vertAlign w:val="superscript"/>
              </w:rPr>
              <w:t>a</w:t>
            </w:r>
            <w:r w:rsidRPr="006604ED">
              <w:rPr>
                <w:rFonts w:cs="Arial"/>
                <w:i/>
                <w:iCs/>
                <w:color w:val="000000"/>
                <w:sz w:val="20"/>
                <w:szCs w:val="20"/>
              </w:rPr>
              <w:t xml:space="preserve"> (Percentage of OPEX)</w:t>
            </w:r>
          </w:p>
        </w:tc>
        <w:tc>
          <w:tcPr>
            <w:tcW w:w="0" w:type="auto"/>
            <w:tcBorders>
              <w:top w:val="single" w:sz="4" w:space="0" w:color="7F7F7F" w:themeColor="text1" w:themeTint="80"/>
              <w:bottom w:val="single" w:sz="4" w:space="0" w:color="7F7F7F" w:themeColor="text1" w:themeTint="80"/>
            </w:tcBorders>
            <w:noWrap/>
            <w:vAlign w:val="center"/>
          </w:tcPr>
          <w:p w14:paraId="1EC32A8C" w14:textId="795FE4DC" w:rsidR="00534106" w:rsidRDefault="00534106" w:rsidP="00534106">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2</w:t>
            </w:r>
          </w:p>
        </w:tc>
      </w:tr>
      <w:tr w:rsidR="00534106" w:rsidRPr="006604ED" w14:paraId="19C04D42"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E220E79" w14:textId="77777777" w:rsidR="00534106" w:rsidRPr="006604ED" w:rsidRDefault="00534106" w:rsidP="00534106">
            <w:pPr>
              <w:keepNext/>
              <w:widowControl w:val="0"/>
              <w:spacing w:before="0" w:after="0"/>
              <w:jc w:val="center"/>
              <w:rPr>
                <w:rFonts w:eastAsia="Times New Roman" w:cs="Arial"/>
                <w:color w:val="000000"/>
                <w:sz w:val="20"/>
                <w:szCs w:val="20"/>
                <w:lang w:eastAsia="en-GB"/>
              </w:rPr>
            </w:pPr>
          </w:p>
        </w:tc>
        <w:tc>
          <w:tcPr>
            <w:tcW w:w="3188" w:type="dxa"/>
            <w:noWrap/>
            <w:vAlign w:val="center"/>
          </w:tcPr>
          <w:p w14:paraId="4B91E25E" w14:textId="3886CFA0" w:rsidR="00534106" w:rsidRPr="006604ED" w:rsidRDefault="00534106" w:rsidP="00534106">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Variable OPEX</w:t>
            </w:r>
            <w:r>
              <w:rPr>
                <w:rFonts w:cs="Arial"/>
                <w:i/>
                <w:iCs/>
                <w:color w:val="000000"/>
                <w:sz w:val="20"/>
                <w:szCs w:val="20"/>
                <w:vertAlign w:val="superscript"/>
              </w:rPr>
              <w:t>a</w:t>
            </w:r>
            <w:r w:rsidRPr="006604ED">
              <w:rPr>
                <w:rFonts w:cs="Arial"/>
                <w:i/>
                <w:iCs/>
                <w:color w:val="000000"/>
                <w:sz w:val="20"/>
                <w:szCs w:val="20"/>
              </w:rPr>
              <w:t xml:space="preserve"> (£/kWh</w:t>
            </w:r>
            <w:r w:rsidRPr="006604ED">
              <w:rPr>
                <w:rFonts w:cs="Arial"/>
                <w:i/>
                <w:iCs/>
                <w:color w:val="000000"/>
                <w:sz w:val="20"/>
                <w:szCs w:val="20"/>
                <w:vertAlign w:val="subscript"/>
              </w:rPr>
              <w:t>H2</w:t>
            </w:r>
            <w:r w:rsidRPr="004C01A7">
              <w:rPr>
                <w:rFonts w:cs="Arial"/>
                <w:i/>
                <w:iCs/>
                <w:color w:val="000000"/>
                <w:sz w:val="20"/>
                <w:szCs w:val="20"/>
              </w:rPr>
              <w:t>-km</w:t>
            </w:r>
            <w:r w:rsidRPr="006604ED">
              <w:rPr>
                <w:rFonts w:cs="Arial"/>
                <w:i/>
                <w:iCs/>
                <w:color w:val="000000"/>
                <w:sz w:val="20"/>
                <w:szCs w:val="20"/>
              </w:rPr>
              <w:t>)</w:t>
            </w:r>
          </w:p>
        </w:tc>
        <w:tc>
          <w:tcPr>
            <w:tcW w:w="0" w:type="auto"/>
            <w:noWrap/>
            <w:vAlign w:val="center"/>
          </w:tcPr>
          <w:p w14:paraId="36A602A5" w14:textId="64F3AFD4" w:rsidR="00534106" w:rsidRDefault="00534106" w:rsidP="00534106">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1.52x10</w:t>
            </w:r>
            <w:r>
              <w:rPr>
                <w:rFonts w:cs="Arial"/>
                <w:color w:val="000000"/>
                <w:sz w:val="20"/>
                <w:szCs w:val="20"/>
                <w:vertAlign w:val="superscript"/>
              </w:rPr>
              <w:t>-5</w:t>
            </w:r>
            <w:r>
              <w:rPr>
                <w:rFonts w:cs="Arial"/>
                <w:color w:val="000000"/>
                <w:sz w:val="20"/>
                <w:szCs w:val="20"/>
              </w:rPr>
              <w:t xml:space="preserve"> (+ 2.41 x10</w:t>
            </w:r>
            <w:r>
              <w:rPr>
                <w:rFonts w:cs="Arial"/>
                <w:color w:val="000000"/>
                <w:sz w:val="20"/>
                <w:szCs w:val="20"/>
                <w:vertAlign w:val="superscript"/>
              </w:rPr>
              <w:t>-4</w:t>
            </w:r>
            <w:r>
              <w:rPr>
                <w:rFonts w:cs="Arial"/>
                <w:color w:val="000000"/>
                <w:sz w:val="20"/>
                <w:szCs w:val="20"/>
              </w:rPr>
              <w:t xml:space="preserve"> £/kWh</w:t>
            </w:r>
            <w:r>
              <w:rPr>
                <w:rFonts w:cs="Arial"/>
                <w:color w:val="000000"/>
                <w:sz w:val="20"/>
                <w:szCs w:val="20"/>
                <w:vertAlign w:val="subscript"/>
              </w:rPr>
              <w:t>H2</w:t>
            </w:r>
            <w:r>
              <w:rPr>
                <w:rFonts w:cs="Arial"/>
                <w:color w:val="000000"/>
                <w:sz w:val="20"/>
                <w:szCs w:val="20"/>
              </w:rPr>
              <w:t>)</w:t>
            </w:r>
          </w:p>
        </w:tc>
      </w:tr>
      <w:tr w:rsidR="00534106" w:rsidRPr="006604ED" w14:paraId="34396F03"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160A43D" w14:textId="77777777" w:rsidR="00534106" w:rsidRPr="006604ED" w:rsidRDefault="00534106" w:rsidP="00534106">
            <w:pPr>
              <w:keepNext/>
              <w:widowControl w:val="0"/>
              <w:spacing w:before="0" w:after="0"/>
              <w:jc w:val="center"/>
              <w:rPr>
                <w:rFonts w:eastAsia="Times New Roman" w:cs="Arial"/>
                <w:color w:val="000000"/>
                <w:sz w:val="20"/>
                <w:szCs w:val="20"/>
                <w:lang w:eastAsia="en-GB"/>
              </w:rPr>
            </w:pPr>
          </w:p>
        </w:tc>
        <w:tc>
          <w:tcPr>
            <w:tcW w:w="3188" w:type="dxa"/>
            <w:tcBorders>
              <w:top w:val="single" w:sz="4" w:space="0" w:color="7F7F7F" w:themeColor="text1" w:themeTint="80"/>
              <w:bottom w:val="single" w:sz="4" w:space="0" w:color="7F7F7F" w:themeColor="text1" w:themeTint="80"/>
            </w:tcBorders>
            <w:noWrap/>
            <w:vAlign w:val="center"/>
          </w:tcPr>
          <w:p w14:paraId="738961AB" w14:textId="7A4EEF7E" w:rsidR="00534106" w:rsidRPr="006604ED" w:rsidRDefault="00534106" w:rsidP="00534106">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Operating Lifetime</w:t>
            </w:r>
            <w:r>
              <w:rPr>
                <w:rFonts w:cs="Arial"/>
                <w:i/>
                <w:iCs/>
                <w:color w:val="000000"/>
                <w:sz w:val="20"/>
                <w:szCs w:val="20"/>
                <w:vertAlign w:val="superscript"/>
              </w:rPr>
              <w:t>a</w:t>
            </w:r>
            <w:r w:rsidRPr="006604ED">
              <w:rPr>
                <w:rFonts w:cs="Arial"/>
                <w:i/>
                <w:iCs/>
                <w:color w:val="000000"/>
                <w:sz w:val="20"/>
                <w:szCs w:val="20"/>
              </w:rPr>
              <w:t xml:space="preserve"> (yr)</w:t>
            </w:r>
          </w:p>
        </w:tc>
        <w:tc>
          <w:tcPr>
            <w:tcW w:w="0" w:type="auto"/>
            <w:tcBorders>
              <w:top w:val="single" w:sz="4" w:space="0" w:color="7F7F7F" w:themeColor="text1" w:themeTint="80"/>
              <w:bottom w:val="single" w:sz="4" w:space="0" w:color="7F7F7F" w:themeColor="text1" w:themeTint="80"/>
            </w:tcBorders>
            <w:noWrap/>
            <w:vAlign w:val="center"/>
          </w:tcPr>
          <w:p w14:paraId="7874CF16" w14:textId="4E778523" w:rsidR="00534106" w:rsidRDefault="00534106" w:rsidP="00534106">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15</w:t>
            </w:r>
          </w:p>
        </w:tc>
      </w:tr>
      <w:tr w:rsidR="00534106" w:rsidRPr="006604ED" w14:paraId="0048DD06"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2" w:space="0" w:color="7F7F7F" w:themeColor="text1" w:themeTint="80"/>
            </w:tcBorders>
          </w:tcPr>
          <w:p w14:paraId="1A648ED9" w14:textId="77777777" w:rsidR="00534106" w:rsidRPr="006604ED" w:rsidRDefault="00534106" w:rsidP="00534106">
            <w:pPr>
              <w:keepNext/>
              <w:widowControl w:val="0"/>
              <w:spacing w:before="0" w:after="0"/>
              <w:jc w:val="center"/>
              <w:rPr>
                <w:rFonts w:eastAsia="Times New Roman" w:cs="Arial"/>
                <w:color w:val="000000"/>
                <w:sz w:val="20"/>
                <w:szCs w:val="20"/>
                <w:lang w:eastAsia="en-GB"/>
              </w:rPr>
            </w:pPr>
          </w:p>
        </w:tc>
        <w:tc>
          <w:tcPr>
            <w:tcW w:w="3188" w:type="dxa"/>
            <w:tcBorders>
              <w:bottom w:val="single" w:sz="12" w:space="0" w:color="7F7F7F" w:themeColor="text1" w:themeTint="80"/>
            </w:tcBorders>
            <w:noWrap/>
            <w:vAlign w:val="center"/>
          </w:tcPr>
          <w:p w14:paraId="1EC8DC9F" w14:textId="6E6D0F22" w:rsidR="00534106" w:rsidRPr="006604ED" w:rsidRDefault="00534106" w:rsidP="00534106">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cs="Arial"/>
                <w:i/>
                <w:iCs/>
                <w:color w:val="000000"/>
                <w:sz w:val="20"/>
                <w:szCs w:val="20"/>
              </w:rPr>
              <w:t>Emission Factor</w:t>
            </w:r>
            <w:r>
              <w:rPr>
                <w:rFonts w:cs="Arial"/>
                <w:i/>
                <w:iCs/>
                <w:color w:val="000000"/>
                <w:sz w:val="20"/>
                <w:szCs w:val="20"/>
                <w:vertAlign w:val="superscript"/>
              </w:rPr>
              <w:t>c</w:t>
            </w:r>
            <w:r w:rsidRPr="006604ED">
              <w:rPr>
                <w:rFonts w:cs="Arial"/>
                <w:i/>
                <w:iCs/>
                <w:color w:val="000000"/>
                <w:sz w:val="20"/>
                <w:szCs w:val="20"/>
              </w:rPr>
              <w:t xml:space="preserve"> (kg</w:t>
            </w:r>
            <w:r w:rsidRPr="006604ED">
              <w:rPr>
                <w:rFonts w:cs="Arial"/>
                <w:i/>
                <w:iCs/>
                <w:color w:val="000000"/>
                <w:sz w:val="20"/>
                <w:szCs w:val="20"/>
                <w:vertAlign w:val="subscript"/>
              </w:rPr>
              <w:t>CO2e</w:t>
            </w:r>
            <w:r w:rsidRPr="006604ED">
              <w:rPr>
                <w:rFonts w:cs="Arial"/>
                <w:i/>
                <w:iCs/>
                <w:color w:val="000000"/>
                <w:sz w:val="20"/>
                <w:szCs w:val="20"/>
              </w:rPr>
              <w:t>/kWh</w:t>
            </w:r>
            <w:r w:rsidRPr="006604ED">
              <w:rPr>
                <w:rFonts w:cs="Arial"/>
                <w:i/>
                <w:iCs/>
                <w:color w:val="000000"/>
                <w:sz w:val="20"/>
                <w:szCs w:val="20"/>
                <w:vertAlign w:val="subscript"/>
              </w:rPr>
              <w:t>H2</w:t>
            </w:r>
            <w:r>
              <w:rPr>
                <w:rFonts w:cs="Arial"/>
                <w:i/>
                <w:iCs/>
                <w:color w:val="000000"/>
                <w:sz w:val="20"/>
                <w:szCs w:val="20"/>
              </w:rPr>
              <w:t>-km</w:t>
            </w:r>
            <w:r w:rsidRPr="006604ED">
              <w:rPr>
                <w:rFonts w:cs="Arial"/>
                <w:i/>
                <w:iCs/>
                <w:color w:val="000000"/>
                <w:sz w:val="20"/>
                <w:szCs w:val="20"/>
              </w:rPr>
              <w:t>)</w:t>
            </w:r>
          </w:p>
        </w:tc>
        <w:tc>
          <w:tcPr>
            <w:tcW w:w="0" w:type="auto"/>
            <w:tcBorders>
              <w:bottom w:val="single" w:sz="12" w:space="0" w:color="7F7F7F" w:themeColor="text1" w:themeTint="80"/>
            </w:tcBorders>
            <w:noWrap/>
            <w:vAlign w:val="center"/>
          </w:tcPr>
          <w:p w14:paraId="1AC485AC" w14:textId="0711658D" w:rsidR="00534106" w:rsidRDefault="00534106" w:rsidP="00534106">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i/>
                <w:iCs/>
                <w:color w:val="000000"/>
                <w:sz w:val="20"/>
                <w:szCs w:val="20"/>
              </w:rPr>
              <w:t>3</w:t>
            </w:r>
            <w:r w:rsidRPr="00B77FC0">
              <w:rPr>
                <w:rFonts w:cs="Arial"/>
                <w:i/>
                <w:iCs/>
                <w:color w:val="000000"/>
                <w:sz w:val="20"/>
                <w:szCs w:val="20"/>
              </w:rPr>
              <w:t>.</w:t>
            </w:r>
            <w:r>
              <w:rPr>
                <w:rFonts w:cs="Arial"/>
                <w:i/>
                <w:iCs/>
                <w:color w:val="000000"/>
                <w:sz w:val="20"/>
                <w:szCs w:val="20"/>
              </w:rPr>
              <w:t>46</w:t>
            </w:r>
            <w:r w:rsidRPr="00B77FC0">
              <w:rPr>
                <w:rFonts w:cs="Arial"/>
                <w:i/>
                <w:iCs/>
                <w:color w:val="000000"/>
                <w:sz w:val="20"/>
                <w:szCs w:val="20"/>
              </w:rPr>
              <w:t xml:space="preserve"> x10</w:t>
            </w:r>
            <w:r w:rsidRPr="00562C26">
              <w:rPr>
                <w:rFonts w:cs="Arial"/>
                <w:i/>
                <w:iCs/>
                <w:color w:val="000000"/>
                <w:sz w:val="20"/>
                <w:szCs w:val="20"/>
                <w:vertAlign w:val="superscript"/>
              </w:rPr>
              <w:t>-4</w:t>
            </w:r>
          </w:p>
        </w:tc>
      </w:tr>
      <w:tr w:rsidR="00A31B1B" w:rsidRPr="006604ED" w14:paraId="7ED84FD8"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tcBorders>
            <w:textDirection w:val="btLr"/>
          </w:tcPr>
          <w:p w14:paraId="6527137A" w14:textId="77777777" w:rsidR="00A31B1B" w:rsidRPr="006604ED" w:rsidRDefault="00A31B1B" w:rsidP="00785473">
            <w:pPr>
              <w:keepNext/>
              <w:widowControl w:val="0"/>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Repurposing GDN (100% Hydrogen)</w:t>
            </w:r>
          </w:p>
        </w:tc>
        <w:tc>
          <w:tcPr>
            <w:tcW w:w="3188" w:type="dxa"/>
            <w:tcBorders>
              <w:top w:val="single" w:sz="12" w:space="0" w:color="7F7F7F" w:themeColor="text1" w:themeTint="80"/>
            </w:tcBorders>
            <w:noWrap/>
            <w:vAlign w:val="center"/>
          </w:tcPr>
          <w:p w14:paraId="27230E1B"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12" w:space="0" w:color="7F7F7F" w:themeColor="text1" w:themeTint="80"/>
            </w:tcBorders>
            <w:noWrap/>
            <w:vAlign w:val="center"/>
          </w:tcPr>
          <w:p w14:paraId="06E0F309" w14:textId="77777777" w:rsidR="00A31B1B" w:rsidRDefault="00A31B1B" w:rsidP="00785473">
            <w:pPr>
              <w:keepNext/>
              <w:widowControl w:val="0"/>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1.08</w:t>
            </w:r>
          </w:p>
        </w:tc>
      </w:tr>
      <w:tr w:rsidR="00A31B1B" w:rsidRPr="006604ED" w14:paraId="7BE39B5F"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4B7C1EC8"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3B5CEAC"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(Percentage of OPEX)</w:t>
            </w:r>
          </w:p>
        </w:tc>
        <w:tc>
          <w:tcPr>
            <w:tcW w:w="0" w:type="auto"/>
            <w:noWrap/>
            <w:vAlign w:val="center"/>
          </w:tcPr>
          <w:p w14:paraId="20C68B88" w14:textId="77777777" w:rsidR="00A31B1B"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0.22</w:t>
            </w:r>
          </w:p>
        </w:tc>
      </w:tr>
      <w:tr w:rsidR="00A31B1B" w:rsidRPr="006604ED" w14:paraId="6640ED09"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65CC89D7"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72D0E088"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5242C308" w14:textId="77777777" w:rsidR="00A31B1B" w:rsidRDefault="00A31B1B" w:rsidP="00785473">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2C386863"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63D25805"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1787AB49" w14:textId="77777777" w:rsidR="00A31B1B" w:rsidRPr="006604ED" w:rsidRDefault="00A31B1B" w:rsidP="00785473">
            <w:pPr>
              <w:keepNext/>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(yr)</w:t>
            </w:r>
          </w:p>
        </w:tc>
        <w:tc>
          <w:tcPr>
            <w:tcW w:w="0" w:type="auto"/>
            <w:noWrap/>
            <w:vAlign w:val="center"/>
          </w:tcPr>
          <w:p w14:paraId="4AC2BF79" w14:textId="77777777" w:rsidR="00A31B1B" w:rsidRDefault="00A31B1B" w:rsidP="00785473">
            <w:pPr>
              <w:keepNext/>
              <w:widowControl w:val="0"/>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40</w:t>
            </w:r>
          </w:p>
        </w:tc>
      </w:tr>
      <w:tr w:rsidR="00A31B1B" w:rsidRPr="006604ED" w14:paraId="1869767B"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0B09793B" w14:textId="77777777" w:rsidR="00A31B1B" w:rsidRPr="006604ED" w:rsidRDefault="00A31B1B" w:rsidP="00785473">
            <w:pPr>
              <w:keepNext/>
              <w:widowControl w:val="0"/>
              <w:spacing w:before="0" w:after="0"/>
              <w:jc w:val="center"/>
              <w:rPr>
                <w:rFonts w:eastAsia="Times New Roman" w:cs="Arial"/>
                <w:color w:val="000000"/>
                <w:sz w:val="20"/>
                <w:szCs w:val="20"/>
                <w:lang w:eastAsia="en-GB"/>
              </w:rPr>
            </w:pPr>
          </w:p>
        </w:tc>
        <w:tc>
          <w:tcPr>
            <w:tcW w:w="3188" w:type="dxa"/>
            <w:noWrap/>
            <w:vAlign w:val="center"/>
          </w:tcPr>
          <w:p w14:paraId="057C890E" w14:textId="77777777" w:rsidR="00A31B1B" w:rsidRPr="006604ED" w:rsidRDefault="00A31B1B" w:rsidP="00785473">
            <w:pPr>
              <w:keepNext/>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15A28F8B" w14:textId="77777777" w:rsidR="00A31B1B" w:rsidRDefault="00A31B1B" w:rsidP="00785473">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24D968D8"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7F7F7F" w:themeColor="text1" w:themeTint="80"/>
            </w:tcBorders>
            <w:textDirection w:val="btLr"/>
          </w:tcPr>
          <w:p w14:paraId="20F2FBE4" w14:textId="77777777" w:rsidR="00A31B1B" w:rsidRPr="006604ED" w:rsidRDefault="00A31B1B" w:rsidP="002829B8">
            <w:pPr>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Blending with GDN (20% Hydrogen)</w:t>
            </w:r>
          </w:p>
        </w:tc>
        <w:tc>
          <w:tcPr>
            <w:tcW w:w="3188" w:type="dxa"/>
            <w:tcBorders>
              <w:top w:val="single" w:sz="12" w:space="0" w:color="7F7F7F" w:themeColor="text1" w:themeTint="80"/>
            </w:tcBorders>
            <w:noWrap/>
            <w:vAlign w:val="center"/>
          </w:tcPr>
          <w:p w14:paraId="24B61DF1" w14:textId="77777777" w:rsidR="00A31B1B" w:rsidRPr="006604ED" w:rsidRDefault="00A31B1B" w:rsidP="002829B8">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 (£/kW</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top w:val="single" w:sz="12" w:space="0" w:color="7F7F7F" w:themeColor="text1" w:themeTint="80"/>
            </w:tcBorders>
            <w:noWrap/>
            <w:vAlign w:val="center"/>
          </w:tcPr>
          <w:p w14:paraId="79A75E4B" w14:textId="77777777" w:rsidR="00A31B1B" w:rsidRDefault="00A31B1B" w:rsidP="002829B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7D3AA75A"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4397FB36" w14:textId="77777777" w:rsidR="00A31B1B" w:rsidRPr="006604ED" w:rsidRDefault="00A31B1B" w:rsidP="002829B8">
            <w:pPr>
              <w:spacing w:before="0" w:after="0"/>
              <w:jc w:val="center"/>
              <w:rPr>
                <w:rFonts w:eastAsia="Times New Roman" w:cs="Arial"/>
                <w:color w:val="000000"/>
                <w:sz w:val="20"/>
                <w:szCs w:val="20"/>
                <w:lang w:eastAsia="en-GB"/>
              </w:rPr>
            </w:pPr>
          </w:p>
        </w:tc>
        <w:tc>
          <w:tcPr>
            <w:tcW w:w="3188" w:type="dxa"/>
            <w:noWrap/>
            <w:vAlign w:val="center"/>
          </w:tcPr>
          <w:p w14:paraId="388D312A" w14:textId="77777777" w:rsidR="00A31B1B" w:rsidRPr="006604ED" w:rsidRDefault="00A31B1B" w:rsidP="002829B8">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Pr>
                <w:rFonts w:eastAsia="Times New Roman" w:cs="Arial"/>
                <w:i/>
                <w:iCs/>
                <w:color w:val="000000"/>
                <w:sz w:val="20"/>
                <w:szCs w:val="20"/>
                <w:vertAlign w:val="superscript"/>
                <w:lang w:eastAsia="en-GB"/>
              </w:rPr>
              <w:t>b</w:t>
            </w:r>
            <w:r w:rsidRPr="006604ED">
              <w:rPr>
                <w:rFonts w:eastAsia="Times New Roman" w:cs="Arial"/>
                <w:i/>
                <w:iCs/>
                <w:color w:val="000000"/>
                <w:sz w:val="20"/>
                <w:szCs w:val="20"/>
                <w:lang w:eastAsia="en-GB"/>
              </w:rPr>
              <w:t xml:space="preserve"> (Percentage of OPEX)</w:t>
            </w:r>
          </w:p>
        </w:tc>
        <w:tc>
          <w:tcPr>
            <w:tcW w:w="0" w:type="auto"/>
            <w:noWrap/>
            <w:vAlign w:val="center"/>
          </w:tcPr>
          <w:p w14:paraId="1BA3FD57" w14:textId="77777777" w:rsidR="00A31B1B" w:rsidRDefault="00A31B1B" w:rsidP="002829B8">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0.22</w:t>
            </w:r>
          </w:p>
        </w:tc>
      </w:tr>
      <w:tr w:rsidR="00A31B1B" w:rsidRPr="006604ED" w14:paraId="1A1D1002"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4E33231A" w14:textId="77777777" w:rsidR="00A31B1B" w:rsidRPr="006604ED" w:rsidRDefault="00A31B1B" w:rsidP="002829B8">
            <w:pPr>
              <w:spacing w:before="0" w:after="0"/>
              <w:jc w:val="center"/>
              <w:rPr>
                <w:rFonts w:eastAsia="Times New Roman" w:cs="Arial"/>
                <w:color w:val="000000"/>
                <w:sz w:val="20"/>
                <w:szCs w:val="20"/>
                <w:lang w:eastAsia="en-GB"/>
              </w:rPr>
            </w:pPr>
          </w:p>
        </w:tc>
        <w:tc>
          <w:tcPr>
            <w:tcW w:w="3188" w:type="dxa"/>
            <w:noWrap/>
            <w:vAlign w:val="center"/>
          </w:tcPr>
          <w:p w14:paraId="1AD67C95" w14:textId="77777777" w:rsidR="00A31B1B" w:rsidRPr="006604ED" w:rsidRDefault="00A31B1B" w:rsidP="002829B8">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31761554" w14:textId="77777777" w:rsidR="00A31B1B" w:rsidRDefault="00A31B1B" w:rsidP="002829B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0D9BF25A" w14:textId="77777777" w:rsidTr="00B61265">
        <w:trPr>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Pr>
          <w:p w14:paraId="67FBE40E" w14:textId="77777777" w:rsidR="00A31B1B" w:rsidRPr="006604ED" w:rsidRDefault="00A31B1B" w:rsidP="002829B8">
            <w:pPr>
              <w:spacing w:before="0" w:after="0"/>
              <w:jc w:val="center"/>
              <w:rPr>
                <w:rFonts w:eastAsia="Times New Roman" w:cs="Arial"/>
                <w:color w:val="000000"/>
                <w:sz w:val="20"/>
                <w:szCs w:val="20"/>
                <w:lang w:eastAsia="en-GB"/>
              </w:rPr>
            </w:pPr>
          </w:p>
        </w:tc>
        <w:tc>
          <w:tcPr>
            <w:tcW w:w="3188" w:type="dxa"/>
            <w:noWrap/>
            <w:vAlign w:val="center"/>
          </w:tcPr>
          <w:p w14:paraId="4568EA4B" w14:textId="77777777" w:rsidR="00A31B1B" w:rsidRPr="006604ED" w:rsidRDefault="00A31B1B" w:rsidP="002829B8">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(yr)</w:t>
            </w:r>
          </w:p>
        </w:tc>
        <w:tc>
          <w:tcPr>
            <w:tcW w:w="0" w:type="auto"/>
            <w:noWrap/>
            <w:vAlign w:val="center"/>
          </w:tcPr>
          <w:p w14:paraId="64F106BA" w14:textId="77777777" w:rsidR="00A31B1B" w:rsidRDefault="00A31B1B" w:rsidP="002829B8">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40</w:t>
            </w:r>
          </w:p>
        </w:tc>
      </w:tr>
      <w:tr w:rsidR="00A31B1B" w:rsidRPr="006604ED" w14:paraId="38124E4B" w14:textId="77777777" w:rsidTr="00B612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2" w:space="0" w:color="7F7F7F" w:themeColor="text1" w:themeTint="80"/>
            </w:tcBorders>
          </w:tcPr>
          <w:p w14:paraId="32AD25F0" w14:textId="77777777" w:rsidR="00A31B1B" w:rsidRPr="006604ED" w:rsidRDefault="00A31B1B" w:rsidP="002829B8">
            <w:pPr>
              <w:spacing w:before="0" w:after="0"/>
              <w:jc w:val="center"/>
              <w:rPr>
                <w:rFonts w:eastAsia="Times New Roman" w:cs="Arial"/>
                <w:color w:val="000000"/>
                <w:sz w:val="20"/>
                <w:szCs w:val="20"/>
                <w:lang w:eastAsia="en-GB"/>
              </w:rPr>
            </w:pPr>
          </w:p>
        </w:tc>
        <w:tc>
          <w:tcPr>
            <w:tcW w:w="3188" w:type="dxa"/>
            <w:tcBorders>
              <w:bottom w:val="single" w:sz="12" w:space="0" w:color="7F7F7F" w:themeColor="text1" w:themeTint="80"/>
            </w:tcBorders>
            <w:noWrap/>
            <w:vAlign w:val="center"/>
          </w:tcPr>
          <w:p w14:paraId="3795275A" w14:textId="77777777" w:rsidR="00A31B1B" w:rsidRPr="006604ED" w:rsidRDefault="00A31B1B" w:rsidP="002829B8">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tcBorders>
              <w:bottom w:val="single" w:sz="12" w:space="0" w:color="7F7F7F" w:themeColor="text1" w:themeTint="80"/>
            </w:tcBorders>
            <w:noWrap/>
            <w:vAlign w:val="center"/>
          </w:tcPr>
          <w:p w14:paraId="70138641" w14:textId="77777777" w:rsidR="00A31B1B" w:rsidRDefault="00A31B1B" w:rsidP="002829B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bl>
    <w:p w14:paraId="1B204426" w14:textId="4A004A11" w:rsidR="00A31B1B" w:rsidRDefault="00A31B1B" w:rsidP="00D30284">
      <w:pPr>
        <w:pStyle w:val="Heading3"/>
      </w:pPr>
      <w:bookmarkStart w:id="59" w:name="_Ref48831525"/>
      <w:bookmarkStart w:id="60" w:name="_Toc50359439"/>
      <w:r>
        <w:lastRenderedPageBreak/>
        <w:t xml:space="preserve">Hydrogen </w:t>
      </w:r>
      <w:r w:rsidR="00800823">
        <w:t>r</w:t>
      </w:r>
      <w:r>
        <w:t xml:space="preserve">efuelling </w:t>
      </w:r>
      <w:r w:rsidR="00800823">
        <w:t>s</w:t>
      </w:r>
      <w:r>
        <w:t>tations</w:t>
      </w:r>
      <w:bookmarkEnd w:id="59"/>
      <w:bookmarkEnd w:id="60"/>
    </w:p>
    <w:p w14:paraId="0744E5B6" w14:textId="5659D2BD" w:rsidR="00A31B1B" w:rsidRDefault="008954A7" w:rsidP="00A31B1B">
      <w:r>
        <w:t>The</w:t>
      </w:r>
      <w:r w:rsidR="00A31B1B">
        <w:t xml:space="preserve"> cost of hydrogen storage was lumped into the hydrogen refuelling station techno-economic parameters. </w:t>
      </w:r>
      <w:r>
        <w:t xml:space="preserve">The </w:t>
      </w:r>
      <w:r w:rsidR="00A31B1B">
        <w:t xml:space="preserve">analysis was based </w:t>
      </w:r>
      <w:r>
        <w:t>on a</w:t>
      </w:r>
      <w:r w:rsidR="00A31B1B">
        <w:t xml:space="preserve"> research by Xu </w:t>
      </w:r>
      <w:r w:rsidR="00A31B1B" w:rsidRPr="0039263C">
        <w:rPr>
          <w:i/>
          <w:iCs/>
        </w:rPr>
        <w:t>et al.</w:t>
      </w:r>
      <w:r w:rsidR="00A31B1B">
        <w:t xml:space="preserve"> </w:t>
      </w:r>
      <w:r w:rsidR="006B2F59">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6B2F59">
        <w:fldChar w:fldCharType="separate"/>
      </w:r>
      <w:r w:rsidR="00434694">
        <w:rPr>
          <w:noProof/>
        </w:rPr>
        <w:t>[</w:t>
      </w:r>
      <w:hyperlink w:anchor="_ENREF_60" w:tooltip="Xu, 2017 #894" w:history="1">
        <w:r w:rsidR="006210AE">
          <w:rPr>
            <w:noProof/>
          </w:rPr>
          <w:t>60</w:t>
        </w:r>
      </w:hyperlink>
      <w:r w:rsidR="00434694">
        <w:rPr>
          <w:noProof/>
        </w:rPr>
        <w:t>]</w:t>
      </w:r>
      <w:r w:rsidR="006B2F59">
        <w:fldChar w:fldCharType="end"/>
      </w:r>
      <w:r>
        <w:t xml:space="preserve">, which </w:t>
      </w:r>
      <w:r w:rsidR="00A31B1B">
        <w:t>estimate</w:t>
      </w:r>
      <w:r>
        <w:t>s</w:t>
      </w:r>
      <w:r w:rsidR="00A31B1B">
        <w:t xml:space="preserve"> the capital and operational cost</w:t>
      </w:r>
      <w:r>
        <w:t>s</w:t>
      </w:r>
      <w:r w:rsidR="00A31B1B">
        <w:t xml:space="preserve"> of hydrogen refuelling stations with on-site production</w:t>
      </w:r>
      <w:r>
        <w:t>,</w:t>
      </w:r>
      <w:r w:rsidR="00A31B1B">
        <w:t xml:space="preserve"> with a capacity ranging from 100 – 1000 kg</w:t>
      </w:r>
      <w:r w:rsidR="00A31B1B">
        <w:rPr>
          <w:vertAlign w:val="subscript"/>
        </w:rPr>
        <w:t>H2</w:t>
      </w:r>
      <w:r w:rsidR="00A31B1B">
        <w:t>/day</w:t>
      </w:r>
      <w:r>
        <w:t>. It proposes a</w:t>
      </w:r>
      <w:r w:rsidR="00A31B1B">
        <w:t xml:space="preserve"> bulk storage capacity of 30% of the daily capacity, and a 14% cascade storage to meet any </w:t>
      </w:r>
      <w:r>
        <w:t>var</w:t>
      </w:r>
      <w:r w:rsidR="00A31B1B">
        <w:t>ied demand profile at the refuelling station.</w:t>
      </w:r>
      <w:r>
        <w:t xml:space="preserve"> </w:t>
      </w:r>
      <w:r w:rsidR="00A31B1B">
        <w:t xml:space="preserve">Since the hydrogen refuelling station contained on-site production (something that is not considered in this work), the techno-economic parameters in </w:t>
      </w:r>
      <w:r w:rsidR="00A31B1B">
        <w:fldChar w:fldCharType="begin"/>
      </w:r>
      <w:r w:rsidR="00A31B1B">
        <w:instrText xml:space="preserve"> REF _Ref48893379 \h </w:instrText>
      </w:r>
      <w:r w:rsidR="00A31B1B">
        <w:fldChar w:fldCharType="separate"/>
      </w:r>
      <w:r w:rsidR="005851DD">
        <w:t xml:space="preserve">Table </w:t>
      </w:r>
      <w:r w:rsidR="005851DD">
        <w:rPr>
          <w:noProof/>
        </w:rPr>
        <w:t>10</w:t>
      </w:r>
      <w:r w:rsidR="00A31B1B">
        <w:fldChar w:fldCharType="end"/>
      </w:r>
      <w:r w:rsidR="00A31B1B">
        <w:t xml:space="preserve"> were obtained by excluding any equipment associated with hydrogen production from the analysis</w:t>
      </w:r>
      <w:r>
        <w:t xml:space="preserve">, and the values were validated with </w:t>
      </w:r>
      <w:r w:rsidR="006B2F59">
        <w:fldChar w:fldCharType="begin"/>
      </w:r>
      <w:r w:rsidR="006B2F59">
        <w:instrText xml:space="preserve"> ADDIN EN.CITE &lt;EndNote&gt;&lt;Cite&gt;&lt;Author&gt;Wilberforce&lt;/Author&gt;&lt;Year&gt;2017&lt;/Year&gt;&lt;RecNum&gt;896&lt;/RecNum&gt;&lt;DisplayText&gt;[11]&lt;/DisplayText&gt;&lt;record&gt;&lt;rec-number&gt;896&lt;/rec-number&gt;&lt;foreign-keys&gt;&lt;key app="EN" db-id="w500zpaaheraz8epaw1p29dtf2ff9zrswv50" timestamp="1607697901"&gt;896&lt;/key&gt;&lt;/foreign-keys&gt;&lt;ref-type name="Journal Article"&gt;17&lt;/ref-type&gt;&lt;contributors&gt;&lt;authors&gt;&lt;author&gt;Wilberforce, Tabbi&lt;/author&gt;&lt;author&gt;El-Hassan, Zaki&lt;/author&gt;&lt;author&gt;Khatib, F. N.&lt;/author&gt;&lt;author&gt;Al Makky, Ahmed&lt;/author&gt;&lt;author&gt;Baroutaji, Ahmad&lt;/author&gt;&lt;author&gt;Carton, James G.&lt;/author&gt;&lt;author&gt;Olabi, Abdul G.&lt;/author&gt;&lt;/authors&gt;&lt;/contributors&gt;&lt;titles&gt;&lt;title&gt;Developments of electric cars and fuel cell hydrogen electric cars&lt;/title&gt;&lt;secondary-title&gt;International Journal of Hydrogen Energy&lt;/secondary-title&gt;&lt;/titles&gt;&lt;periodical&gt;&lt;full-title&gt;International Journal of Hydrogen Energy&lt;/full-title&gt;&lt;/periodical&gt;&lt;pages&gt;25695-25734&lt;/pages&gt;&lt;volume&gt;42&lt;/volume&gt;&lt;number&gt;40&lt;/number&gt;&lt;keywords&gt;&lt;keyword&gt;Battery electric vehicles&lt;/keyword&gt;&lt;keyword&gt;Electric cars&lt;/keyword&gt;&lt;keyword&gt;Hybrid cars&lt;/keyword&gt;&lt;keyword&gt;Internal combustion engine&lt;/keyword&gt;&lt;keyword&gt;PEM fuel cell&lt;/keyword&gt;&lt;keyword&gt;Plug – In hybrid cars&lt;/keyword&gt;&lt;/keywords&gt;&lt;dates&gt;&lt;year&gt;2017&lt;/year&gt;&lt;/dates&gt;&lt;publisher&gt;Elsevier Ltd&lt;/publisher&gt;&lt;urls&gt;&lt;pdf-urls&gt;&lt;url&gt;file://Users\David\Library\Application Support\Mendeley Desktop\Downloaded\Wilberforce et al. - 2017 - Developments of electric cars and fuel cell hydrogen electric cars.pdf&lt;/url&gt;&lt;/pdf-urls&gt;&lt;/urls&gt;&lt;electronic-resource-num&gt;10.1016/j.ijhydene.2017.07.054&lt;/electronic-resource-num&gt;&lt;/record&gt;&lt;/Cite&gt;&lt;/EndNote&gt;</w:instrText>
      </w:r>
      <w:r w:rsidR="006B2F59">
        <w:fldChar w:fldCharType="separate"/>
      </w:r>
      <w:r w:rsidR="006B2F59">
        <w:rPr>
          <w:noProof/>
        </w:rPr>
        <w:t>[</w:t>
      </w:r>
      <w:hyperlink w:anchor="_ENREF_11" w:tooltip="Wilberforce, 2017 #896" w:history="1">
        <w:r w:rsidR="006210AE">
          <w:rPr>
            <w:noProof/>
          </w:rPr>
          <w:t>11</w:t>
        </w:r>
      </w:hyperlink>
      <w:r w:rsidR="006B2F59">
        <w:rPr>
          <w:noProof/>
        </w:rPr>
        <w:t>]</w:t>
      </w:r>
      <w:r w:rsidR="006B2F59">
        <w:fldChar w:fldCharType="end"/>
      </w:r>
      <w:r>
        <w:t>.</w:t>
      </w:r>
      <w:r w:rsidR="00A31B1B">
        <w:t xml:space="preserve"> </w:t>
      </w:r>
      <w:r>
        <w:t xml:space="preserve">Assumptions </w:t>
      </w:r>
      <w:r w:rsidR="00FC6B1C">
        <w:t xml:space="preserve">and methods </w:t>
      </w:r>
      <w:r w:rsidR="00A31B1B">
        <w:t>can be found in</w:t>
      </w:r>
      <w:r w:rsidR="00FC6B1C">
        <w:t xml:space="preserve"> Appendix </w:t>
      </w:r>
      <w:r w:rsidR="00FC6B1C">
        <w:fldChar w:fldCharType="begin"/>
      </w:r>
      <w:r w:rsidR="00FC6B1C">
        <w:instrText xml:space="preserve"> REF _Ref55400823 \r \h </w:instrText>
      </w:r>
      <w:r w:rsidR="00FC6B1C">
        <w:fldChar w:fldCharType="separate"/>
      </w:r>
      <w:r w:rsidR="005851DD">
        <w:t>C.13</w:t>
      </w:r>
      <w:r w:rsidR="00FC6B1C">
        <w:fldChar w:fldCharType="end"/>
      </w:r>
      <w:r w:rsidR="00A31B1B">
        <w:t>.</w:t>
      </w:r>
    </w:p>
    <w:p w14:paraId="792D2100" w14:textId="7C3CE2E8" w:rsidR="00A31B1B" w:rsidRPr="00AD3A75" w:rsidRDefault="00A31B1B" w:rsidP="00A31B1B">
      <w:pPr>
        <w:pStyle w:val="Caption"/>
        <w:keepNext/>
      </w:pPr>
      <w:bookmarkStart w:id="61" w:name="_Ref48893379"/>
      <w:bookmarkStart w:id="62" w:name="_Toc50359154"/>
      <w:r>
        <w:t xml:space="preserve">Table </w:t>
      </w:r>
      <w:fldSimple w:instr=" SEQ Table \* ARABIC ">
        <w:r w:rsidR="005851DD">
          <w:rPr>
            <w:noProof/>
          </w:rPr>
          <w:t>10</w:t>
        </w:r>
      </w:fldSimple>
      <w:bookmarkEnd w:id="61"/>
      <w:r w:rsidR="00A74871">
        <w:rPr>
          <w:noProof/>
        </w:rPr>
        <w:t>:</w:t>
      </w:r>
      <w:r>
        <w:t xml:space="preserve"> Summary of hydrogen refuelling station techno-economic parameters used in the model; </w:t>
      </w:r>
      <w:r>
        <w:rPr>
          <w:vertAlign w:val="superscript"/>
        </w:rPr>
        <w:t>a</w:t>
      </w:r>
      <w:r w:rsidR="006B2F59" w:rsidRPr="008050FD">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6B2F59" w:rsidRPr="008050FD">
        <w:fldChar w:fldCharType="separate"/>
      </w:r>
      <w:r w:rsidR="00434694">
        <w:rPr>
          <w:noProof/>
        </w:rPr>
        <w:t>[</w:t>
      </w:r>
      <w:hyperlink w:anchor="_ENREF_60" w:tooltip="Xu, 2017 #894" w:history="1">
        <w:r w:rsidR="006210AE">
          <w:rPr>
            <w:noProof/>
          </w:rPr>
          <w:t>60</w:t>
        </w:r>
      </w:hyperlink>
      <w:r w:rsidR="00434694">
        <w:rPr>
          <w:noProof/>
        </w:rPr>
        <w:t>]</w:t>
      </w:r>
      <w:r w:rsidR="006B2F59" w:rsidRPr="008050FD">
        <w:fldChar w:fldCharType="end"/>
      </w:r>
      <w:bookmarkEnd w:id="62"/>
      <w:r w:rsidR="008050FD" w:rsidRPr="00AD3A75">
        <w:t xml:space="preserve"> </w:t>
      </w:r>
    </w:p>
    <w:tbl>
      <w:tblPr>
        <w:tblStyle w:val="PlainTable2"/>
        <w:tblW w:w="7652" w:type="dxa"/>
        <w:jc w:val="center"/>
        <w:tblLook w:val="0480" w:firstRow="0" w:lastRow="0" w:firstColumn="1" w:lastColumn="0" w:noHBand="0" w:noVBand="1"/>
      </w:tblPr>
      <w:tblGrid>
        <w:gridCol w:w="1012"/>
        <w:gridCol w:w="5264"/>
        <w:gridCol w:w="1376"/>
      </w:tblGrid>
      <w:tr w:rsidR="00A31B1B" w:rsidRPr="006604ED" w14:paraId="2578617E" w14:textId="77777777" w:rsidTr="00A31B1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012" w:type="dxa"/>
            <w:vMerge w:val="restart"/>
            <w:tcBorders>
              <w:top w:val="single" w:sz="12" w:space="0" w:color="7F7F7F" w:themeColor="text1" w:themeTint="80"/>
            </w:tcBorders>
            <w:textDirection w:val="btLr"/>
          </w:tcPr>
          <w:p w14:paraId="5357EB72" w14:textId="77777777" w:rsidR="00A31B1B" w:rsidRPr="006604ED" w:rsidRDefault="00A31B1B" w:rsidP="00800823">
            <w:pPr>
              <w:spacing w:before="0" w:after="0"/>
              <w:ind w:left="113" w:right="113"/>
              <w:jc w:val="center"/>
              <w:rPr>
                <w:rFonts w:eastAsia="Times New Roman" w:cs="Arial"/>
                <w:color w:val="000000"/>
                <w:sz w:val="20"/>
                <w:szCs w:val="20"/>
                <w:lang w:eastAsia="en-GB"/>
              </w:rPr>
            </w:pPr>
            <w:r>
              <w:rPr>
                <w:rFonts w:eastAsia="Times New Roman" w:cs="Arial"/>
                <w:color w:val="000000"/>
                <w:sz w:val="20"/>
                <w:szCs w:val="20"/>
                <w:lang w:eastAsia="en-GB"/>
              </w:rPr>
              <w:t>Hydrogen Refuelling Station</w:t>
            </w:r>
          </w:p>
        </w:tc>
        <w:tc>
          <w:tcPr>
            <w:tcW w:w="0" w:type="auto"/>
            <w:tcBorders>
              <w:top w:val="single" w:sz="12" w:space="0" w:color="7F7F7F" w:themeColor="text1" w:themeTint="80"/>
            </w:tcBorders>
            <w:noWrap/>
            <w:vAlign w:val="center"/>
          </w:tcPr>
          <w:p w14:paraId="6EF0445C" w14:textId="77777777" w:rsidR="00A31B1B" w:rsidRPr="006604ED" w:rsidRDefault="00A31B1B" w:rsidP="00800823">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CAPEX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(£/kW</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tcBorders>
              <w:top w:val="single" w:sz="12" w:space="0" w:color="7F7F7F" w:themeColor="text1" w:themeTint="80"/>
            </w:tcBorders>
            <w:noWrap/>
            <w:vAlign w:val="center"/>
          </w:tcPr>
          <w:p w14:paraId="127B765C" w14:textId="77777777" w:rsidR="00A31B1B" w:rsidRPr="006604ED" w:rsidRDefault="00A31B1B" w:rsidP="00800823">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cs="Arial"/>
                <w:color w:val="000000"/>
                <w:sz w:val="20"/>
                <w:szCs w:val="20"/>
              </w:rPr>
              <w:t>305.60</w:t>
            </w:r>
          </w:p>
        </w:tc>
      </w:tr>
      <w:tr w:rsidR="00A31B1B" w:rsidRPr="006604ED" w14:paraId="4B3316F1" w14:textId="77777777" w:rsidTr="00A31B1B">
        <w:trPr>
          <w:trHeight w:val="301"/>
          <w:jc w:val="center"/>
        </w:trPr>
        <w:tc>
          <w:tcPr>
            <w:cnfStyle w:val="001000000000" w:firstRow="0" w:lastRow="0" w:firstColumn="1" w:lastColumn="0" w:oddVBand="0" w:evenVBand="0" w:oddHBand="0" w:evenHBand="0" w:firstRowFirstColumn="0" w:firstRowLastColumn="0" w:lastRowFirstColumn="0" w:lastRowLastColumn="0"/>
            <w:tcW w:w="1012" w:type="dxa"/>
            <w:vMerge/>
          </w:tcPr>
          <w:p w14:paraId="1640EFD9" w14:textId="77777777" w:rsidR="00A31B1B" w:rsidRPr="006604ED" w:rsidRDefault="00A31B1B" w:rsidP="00800823">
            <w:pPr>
              <w:spacing w:before="0" w:after="0"/>
              <w:jc w:val="center"/>
              <w:rPr>
                <w:rFonts w:eastAsia="Times New Roman" w:cs="Arial"/>
                <w:color w:val="000000"/>
                <w:sz w:val="20"/>
                <w:szCs w:val="20"/>
                <w:lang w:eastAsia="en-GB"/>
              </w:rPr>
            </w:pPr>
          </w:p>
        </w:tc>
        <w:tc>
          <w:tcPr>
            <w:tcW w:w="0" w:type="auto"/>
            <w:noWrap/>
            <w:vAlign w:val="center"/>
          </w:tcPr>
          <w:p w14:paraId="543E1FD6" w14:textId="77777777" w:rsidR="00A31B1B" w:rsidRPr="006604ED" w:rsidRDefault="00A31B1B" w:rsidP="00800823">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Fixed OPEX</w:t>
            </w:r>
            <w:r w:rsidRPr="006604ED">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(Percentage of OPEX)</w:t>
            </w:r>
          </w:p>
        </w:tc>
        <w:tc>
          <w:tcPr>
            <w:tcW w:w="0" w:type="auto"/>
            <w:noWrap/>
            <w:vAlign w:val="center"/>
          </w:tcPr>
          <w:p w14:paraId="6E5843EF" w14:textId="77777777" w:rsidR="00A31B1B" w:rsidRPr="006604ED" w:rsidRDefault="00A31B1B" w:rsidP="00800823">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12.7</w:t>
            </w:r>
          </w:p>
        </w:tc>
      </w:tr>
      <w:tr w:rsidR="00A31B1B" w:rsidRPr="006604ED" w14:paraId="629F647C" w14:textId="77777777" w:rsidTr="00A31B1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012" w:type="dxa"/>
            <w:vMerge/>
          </w:tcPr>
          <w:p w14:paraId="020403C8" w14:textId="77777777" w:rsidR="00A31B1B" w:rsidRPr="006604ED" w:rsidRDefault="00A31B1B" w:rsidP="00800823">
            <w:pPr>
              <w:spacing w:before="0" w:after="0"/>
              <w:jc w:val="center"/>
              <w:rPr>
                <w:rFonts w:eastAsia="Times New Roman" w:cs="Arial"/>
                <w:color w:val="000000"/>
                <w:sz w:val="20"/>
                <w:szCs w:val="20"/>
                <w:lang w:eastAsia="en-GB"/>
              </w:rPr>
            </w:pPr>
          </w:p>
        </w:tc>
        <w:tc>
          <w:tcPr>
            <w:tcW w:w="0" w:type="auto"/>
            <w:noWrap/>
            <w:vAlign w:val="center"/>
          </w:tcPr>
          <w:p w14:paraId="6F11B62B" w14:textId="77777777" w:rsidR="00A31B1B" w:rsidRPr="006604ED" w:rsidRDefault="00A31B1B" w:rsidP="00800823">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Variable OPEX (£/kWh</w:t>
            </w:r>
            <w:r w:rsidRPr="006604ED">
              <w:rPr>
                <w:rFonts w:eastAsia="Times New Roman" w:cs="Arial"/>
                <w:i/>
                <w:iCs/>
                <w:color w:val="000000"/>
                <w:sz w:val="20"/>
                <w:szCs w:val="20"/>
                <w:vertAlign w:val="subscript"/>
                <w:lang w:eastAsia="en-GB"/>
              </w:rPr>
              <w:t>H2</w:t>
            </w:r>
            <w:r w:rsidRPr="004C01A7">
              <w:rPr>
                <w:rFonts w:eastAsia="Times New Roman" w:cs="Arial"/>
                <w:i/>
                <w:iCs/>
                <w:color w:val="000000"/>
                <w:sz w:val="20"/>
                <w:szCs w:val="20"/>
                <w:lang w:eastAsia="en-GB"/>
              </w:rPr>
              <w:t>-km</w:t>
            </w:r>
            <w:r w:rsidRPr="006604ED">
              <w:rPr>
                <w:rFonts w:eastAsia="Times New Roman" w:cs="Arial"/>
                <w:i/>
                <w:iCs/>
                <w:color w:val="000000"/>
                <w:sz w:val="20"/>
                <w:szCs w:val="20"/>
                <w:lang w:eastAsia="en-GB"/>
              </w:rPr>
              <w:t>)</w:t>
            </w:r>
          </w:p>
        </w:tc>
        <w:tc>
          <w:tcPr>
            <w:tcW w:w="0" w:type="auto"/>
            <w:noWrap/>
            <w:vAlign w:val="center"/>
          </w:tcPr>
          <w:p w14:paraId="15867767" w14:textId="77777777" w:rsidR="00A31B1B" w:rsidRPr="006604ED" w:rsidRDefault="00A31B1B" w:rsidP="0080082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r w:rsidR="00A31B1B" w:rsidRPr="006604ED" w14:paraId="31A12221" w14:textId="77777777" w:rsidTr="00A31B1B">
        <w:trPr>
          <w:trHeight w:val="301"/>
          <w:jc w:val="center"/>
        </w:trPr>
        <w:tc>
          <w:tcPr>
            <w:cnfStyle w:val="001000000000" w:firstRow="0" w:lastRow="0" w:firstColumn="1" w:lastColumn="0" w:oddVBand="0" w:evenVBand="0" w:oddHBand="0" w:evenHBand="0" w:firstRowFirstColumn="0" w:firstRowLastColumn="0" w:lastRowFirstColumn="0" w:lastRowLastColumn="0"/>
            <w:tcW w:w="1012" w:type="dxa"/>
            <w:vMerge/>
          </w:tcPr>
          <w:p w14:paraId="17DEE07C" w14:textId="77777777" w:rsidR="00A31B1B" w:rsidRPr="006604ED" w:rsidRDefault="00A31B1B" w:rsidP="00800823">
            <w:pPr>
              <w:spacing w:before="0" w:after="0"/>
              <w:jc w:val="center"/>
              <w:rPr>
                <w:rFonts w:eastAsia="Times New Roman" w:cs="Arial"/>
                <w:color w:val="000000"/>
                <w:sz w:val="20"/>
                <w:szCs w:val="20"/>
                <w:lang w:eastAsia="en-GB"/>
              </w:rPr>
            </w:pPr>
          </w:p>
        </w:tc>
        <w:tc>
          <w:tcPr>
            <w:tcW w:w="0" w:type="auto"/>
            <w:noWrap/>
            <w:vAlign w:val="center"/>
          </w:tcPr>
          <w:p w14:paraId="5C56BD0D" w14:textId="77777777" w:rsidR="00A31B1B" w:rsidRPr="006604ED" w:rsidRDefault="00A31B1B" w:rsidP="00800823">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Operating Lifetime</w:t>
            </w:r>
            <w:r>
              <w:rPr>
                <w:rFonts w:eastAsia="Times New Roman" w:cs="Arial"/>
                <w:i/>
                <w:iCs/>
                <w:color w:val="000000"/>
                <w:sz w:val="20"/>
                <w:szCs w:val="20"/>
                <w:vertAlign w:val="superscript"/>
                <w:lang w:eastAsia="en-GB"/>
              </w:rPr>
              <w:t>a</w:t>
            </w:r>
            <w:r w:rsidRPr="006604ED">
              <w:rPr>
                <w:rFonts w:eastAsia="Times New Roman" w:cs="Arial"/>
                <w:i/>
                <w:iCs/>
                <w:color w:val="000000"/>
                <w:sz w:val="20"/>
                <w:szCs w:val="20"/>
                <w:lang w:eastAsia="en-GB"/>
              </w:rPr>
              <w:t xml:space="preserve"> (yr)</w:t>
            </w:r>
          </w:p>
        </w:tc>
        <w:tc>
          <w:tcPr>
            <w:tcW w:w="0" w:type="auto"/>
            <w:noWrap/>
            <w:vAlign w:val="center"/>
          </w:tcPr>
          <w:p w14:paraId="069F8AEC" w14:textId="77777777" w:rsidR="00A31B1B" w:rsidRPr="006604ED" w:rsidRDefault="00A31B1B" w:rsidP="00800823">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10</w:t>
            </w:r>
          </w:p>
        </w:tc>
      </w:tr>
      <w:tr w:rsidR="00A31B1B" w:rsidRPr="006604ED" w14:paraId="2B0A07A8" w14:textId="77777777" w:rsidTr="00A31B1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012" w:type="dxa"/>
            <w:vMerge/>
            <w:tcBorders>
              <w:bottom w:val="single" w:sz="12" w:space="0" w:color="7F7F7F" w:themeColor="text1" w:themeTint="80"/>
            </w:tcBorders>
          </w:tcPr>
          <w:p w14:paraId="0DA70DC7" w14:textId="77777777" w:rsidR="00A31B1B" w:rsidRPr="006604ED" w:rsidRDefault="00A31B1B" w:rsidP="00800823">
            <w:pPr>
              <w:spacing w:before="0" w:after="0"/>
              <w:jc w:val="center"/>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tcPr>
          <w:p w14:paraId="5CC85133" w14:textId="77777777" w:rsidR="00A31B1B" w:rsidRPr="006604ED" w:rsidRDefault="00A31B1B" w:rsidP="00800823">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6604ED">
              <w:rPr>
                <w:rFonts w:eastAsia="Times New Roman" w:cs="Arial"/>
                <w:i/>
                <w:iCs/>
                <w:color w:val="000000"/>
                <w:sz w:val="20"/>
                <w:szCs w:val="20"/>
                <w:lang w:eastAsia="en-GB"/>
              </w:rPr>
              <w:t>Emission Factor (kg</w:t>
            </w:r>
            <w:r w:rsidRPr="006604ED">
              <w:rPr>
                <w:rFonts w:eastAsia="Times New Roman" w:cs="Arial"/>
                <w:i/>
                <w:iCs/>
                <w:color w:val="000000"/>
                <w:sz w:val="20"/>
                <w:szCs w:val="20"/>
                <w:vertAlign w:val="subscript"/>
                <w:lang w:eastAsia="en-GB"/>
              </w:rPr>
              <w:t>CO2e</w:t>
            </w:r>
            <w:r w:rsidRPr="006604ED">
              <w:rPr>
                <w:rFonts w:eastAsia="Times New Roman" w:cs="Arial"/>
                <w:i/>
                <w:iCs/>
                <w:color w:val="000000"/>
                <w:sz w:val="20"/>
                <w:szCs w:val="20"/>
                <w:lang w:eastAsia="en-GB"/>
              </w:rPr>
              <w:t>/kWh</w:t>
            </w:r>
            <w:r w:rsidRPr="006604ED">
              <w:rPr>
                <w:rFonts w:eastAsia="Times New Roman" w:cs="Arial"/>
                <w:i/>
                <w:iCs/>
                <w:color w:val="000000"/>
                <w:sz w:val="20"/>
                <w:szCs w:val="20"/>
                <w:vertAlign w:val="subscript"/>
                <w:lang w:eastAsia="en-GB"/>
              </w:rPr>
              <w:t>H2</w:t>
            </w:r>
            <w:r w:rsidRPr="006604ED">
              <w:rPr>
                <w:rFonts w:eastAsia="Times New Roman" w:cs="Arial"/>
                <w:i/>
                <w:iCs/>
                <w:color w:val="000000"/>
                <w:sz w:val="20"/>
                <w:szCs w:val="20"/>
                <w:lang w:eastAsia="en-GB"/>
              </w:rPr>
              <w:t>)</w:t>
            </w:r>
          </w:p>
        </w:tc>
        <w:tc>
          <w:tcPr>
            <w:tcW w:w="0" w:type="auto"/>
            <w:tcBorders>
              <w:bottom w:val="single" w:sz="12" w:space="0" w:color="7F7F7F" w:themeColor="text1" w:themeTint="80"/>
            </w:tcBorders>
            <w:noWrap/>
            <w:vAlign w:val="center"/>
          </w:tcPr>
          <w:p w14:paraId="0BDFFD6D" w14:textId="77777777" w:rsidR="00A31B1B" w:rsidRPr="006604ED" w:rsidRDefault="00A31B1B" w:rsidP="0080082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w:t>
            </w:r>
          </w:p>
        </w:tc>
      </w:tr>
    </w:tbl>
    <w:p w14:paraId="02BFC54F" w14:textId="2C319B69" w:rsidR="00A31B1B" w:rsidRDefault="00A31B1B" w:rsidP="00D30284">
      <w:pPr>
        <w:pStyle w:val="Heading3"/>
      </w:pPr>
      <w:bookmarkStart w:id="63" w:name="_Ref48977965"/>
      <w:bookmarkStart w:id="64" w:name="_Ref48977975"/>
      <w:bookmarkStart w:id="65" w:name="_Toc50359440"/>
      <w:r>
        <w:t xml:space="preserve">Hydrogen </w:t>
      </w:r>
      <w:r w:rsidR="00CD513E">
        <w:t>p</w:t>
      </w:r>
      <w:r>
        <w:t>urification/</w:t>
      </w:r>
      <w:r w:rsidR="00CD513E">
        <w:t>s</w:t>
      </w:r>
      <w:r>
        <w:t>eparation</w:t>
      </w:r>
      <w:bookmarkEnd w:id="63"/>
      <w:bookmarkEnd w:id="64"/>
      <w:bookmarkEnd w:id="65"/>
    </w:p>
    <w:p w14:paraId="1201085F" w14:textId="64912C88" w:rsidR="00A31B1B" w:rsidRDefault="00A31B1B" w:rsidP="00A31B1B">
      <w:r>
        <w:t>Although hydrogen purification/separation is not a new concept</w:t>
      </w:r>
      <w:r w:rsidR="00862C14">
        <w:t>, t</w:t>
      </w:r>
      <w:r>
        <w:t>echno-economic data for hydrogen purification for the specific application of hydrogen supply chains was sparse. As previously stated, to the authors knowledge, there has been very little research completed that looks at conducting a techno-economic analysis considering multiple hydrogen purification technology options, while also considering a range of hydrogen concentrations in the inlet stream for the use in hydrogen supply chains.</w:t>
      </w:r>
    </w:p>
    <w:p w14:paraId="4CAADF7B" w14:textId="4E58A368" w:rsidR="00A31B1B" w:rsidRDefault="00862C14" w:rsidP="00A31B1B">
      <w:r>
        <w:t>T</w:t>
      </w:r>
      <w:r w:rsidR="00A31B1B">
        <w:t>wo purification/separation technologies were considered</w:t>
      </w:r>
      <w:r w:rsidR="00534106">
        <w:t xml:space="preserve"> in this study</w:t>
      </w:r>
      <w:r w:rsidR="00A31B1B">
        <w:t xml:space="preserve"> – PSA and a membrane hybrid system. PSA is one of the most common form</w:t>
      </w:r>
      <w:r>
        <w:t>s</w:t>
      </w:r>
      <w:r w:rsidR="00A31B1B">
        <w:t xml:space="preserve"> of hydrogen purification</w:t>
      </w:r>
      <w:r>
        <w:t xml:space="preserve"> technologies</w:t>
      </w:r>
      <w:r w:rsidR="00A31B1B">
        <w:t xml:space="preserve"> in industry</w:t>
      </w:r>
      <w:r w:rsidR="006B2F59">
        <w:t xml:space="preserve"> </w:t>
      </w:r>
      <w:r w:rsidR="00B3641B">
        <w:fldChar w:fldCharType="begin"/>
      </w:r>
      <w:r w:rsidR="00434694">
        <w:instrText xml:space="preserve"> ADDIN EN.CITE &lt;EndNote&gt;&lt;Cite&gt;&lt;Author&gt;Martin&lt;/Author&gt;&lt;Year&gt;1986&lt;/Year&gt;&lt;RecNum&gt;975&lt;/RecNum&gt;&lt;DisplayText&gt;[61]&lt;/DisplayText&gt;&lt;record&gt;&lt;rec-number&gt;975&lt;/rec-number&gt;&lt;foreign-keys&gt;&lt;key app="EN" db-id="w500zpaaheraz8epaw1p29dtf2ff9zrswv50" timestamp="1607697901"&gt;975&lt;/key&gt;&lt;/foreign-keys&gt;&lt;ref-type name="Book Section"&gt;5&lt;/ref-type&gt;&lt;contributors&gt;&lt;authors&gt;&lt;author&gt;Martin, J. R.&lt;/author&gt;&lt;author&gt;Gottzmann, C. F.&lt;/author&gt;&lt;author&gt;Notaro, F.&lt;/author&gt;&lt;author&gt;Stewart, H. A.&lt;/author&gt;&lt;/authors&gt;&lt;/contributors&gt;&lt;titles&gt;&lt;title&gt;Gas Separation by Pressure Swing Adsorption&lt;/title&gt;&lt;/titles&gt;&lt;pages&gt;1071-1086&lt;/pages&gt;&lt;volume&gt;31&lt;/volume&gt;&lt;dates&gt;&lt;year&gt;1986&lt;/year&gt;&lt;/dates&gt;&lt;pub-location&gt;Boston, MA&lt;/pub-location&gt;&lt;publisher&gt;Springer&lt;/publisher&gt;&lt;isbn&gt;978-1-4613-2213-9&lt;/isbn&gt;&lt;urls&gt;&lt;related-urls&gt;&lt;url&gt;https://link.springer.com/chapter/10.1007/978-1-4613-2213-9_120&lt;/url&gt;&lt;/related-urls&gt;&lt;/urls&gt;&lt;electronic-resource-num&gt;10.1007/978-1-4613-2213-9_120&lt;/electronic-resource-num&gt;&lt;/record&gt;&lt;/Cite&gt;&lt;/EndNote&gt;</w:instrText>
      </w:r>
      <w:r w:rsidR="00B3641B">
        <w:fldChar w:fldCharType="separate"/>
      </w:r>
      <w:r w:rsidR="00434694">
        <w:rPr>
          <w:noProof/>
        </w:rPr>
        <w:t>[</w:t>
      </w:r>
      <w:hyperlink w:anchor="_ENREF_61" w:tooltip="Martin, 1986 #975" w:history="1">
        <w:r w:rsidR="006210AE">
          <w:rPr>
            <w:noProof/>
          </w:rPr>
          <w:t>61</w:t>
        </w:r>
      </w:hyperlink>
      <w:r w:rsidR="00434694">
        <w:rPr>
          <w:noProof/>
        </w:rPr>
        <w:t>]</w:t>
      </w:r>
      <w:r w:rsidR="00B3641B">
        <w:fldChar w:fldCharType="end"/>
      </w:r>
      <w:r>
        <w:t>. The</w:t>
      </w:r>
      <w:r w:rsidR="00A31B1B">
        <w:t xml:space="preserve"> hybrid system shows great potential, even in a lab/pilot scale environment, particularly when separating hydrogen out of a natural gas/hydrogen blend</w:t>
      </w:r>
      <w:r w:rsidR="00B3641B">
        <w:t xml:space="preserve"> </w:t>
      </w:r>
      <w:r w:rsidR="00B3641B">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B3641B">
        <w:fldChar w:fldCharType="separate"/>
      </w:r>
      <w:r w:rsidR="00434694">
        <w:rPr>
          <w:noProof/>
        </w:rPr>
        <w:t>[</w:t>
      </w:r>
      <w:hyperlink w:anchor="_ENREF_62" w:tooltip="Nordio, 2020 #959" w:history="1">
        <w:r w:rsidR="006210AE">
          <w:rPr>
            <w:noProof/>
          </w:rPr>
          <w:t>62</w:t>
        </w:r>
      </w:hyperlink>
      <w:r w:rsidR="00434694">
        <w:rPr>
          <w:noProof/>
        </w:rPr>
        <w:t>]</w:t>
      </w:r>
      <w:r w:rsidR="00B3641B">
        <w:fldChar w:fldCharType="end"/>
      </w:r>
      <w:r w:rsidR="00A31B1B">
        <w:t xml:space="preserve">. </w:t>
      </w:r>
    </w:p>
    <w:p w14:paraId="524C60A7" w14:textId="21FE55DB" w:rsidR="00A31B1B" w:rsidRDefault="00A31B1B" w:rsidP="00A31B1B">
      <w:r>
        <w:t xml:space="preserve">Two pieces of literature were used as the basis for the techno-economic analysis. </w:t>
      </w:r>
      <w:r w:rsidR="00D900DE">
        <w:t xml:space="preserve">First, </w:t>
      </w:r>
      <w:r>
        <w:t>a report by the National Renewable Energy Laboratory</w:t>
      </w:r>
      <w:r w:rsidR="00B3641B">
        <w:t xml:space="preserve"> </w:t>
      </w:r>
      <w:r w:rsidR="00B3641B">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B3641B">
        <w:fldChar w:fldCharType="separate"/>
      </w:r>
      <w:r w:rsidR="00434694">
        <w:rPr>
          <w:noProof/>
        </w:rPr>
        <w:t>[</w:t>
      </w:r>
      <w:hyperlink w:anchor="_ENREF_63" w:tooltip="Melaina, 2013 #971" w:history="1">
        <w:r w:rsidR="006210AE">
          <w:rPr>
            <w:noProof/>
          </w:rPr>
          <w:t>63</w:t>
        </w:r>
      </w:hyperlink>
      <w:r w:rsidR="00434694">
        <w:rPr>
          <w:noProof/>
        </w:rPr>
        <w:t>]</w:t>
      </w:r>
      <w:r w:rsidR="00B3641B">
        <w:fldChar w:fldCharType="end"/>
      </w:r>
      <w:r w:rsidR="00D900DE">
        <w:t xml:space="preserve"> which</w:t>
      </w:r>
      <w:r>
        <w:t xml:space="preserve"> considered separation and purification costs from a low-pressure (8 bar) and high-pressure (40 bar) pipeline</w:t>
      </w:r>
      <w:r w:rsidR="00D900DE">
        <w:t>,</w:t>
      </w:r>
      <w:r>
        <w:t xml:space="preserve"> with a 10%</w:t>
      </w:r>
      <w:r>
        <w:rPr>
          <w:vertAlign w:val="subscript"/>
        </w:rPr>
        <w:t>vol</w:t>
      </w:r>
      <w:r>
        <w:t xml:space="preserve"> and 20%</w:t>
      </w:r>
      <w:r>
        <w:rPr>
          <w:vertAlign w:val="subscript"/>
        </w:rPr>
        <w:t>vol</w:t>
      </w:r>
      <w:r>
        <w:t xml:space="preserve"> hydrogen concentration inlet. The high-pressure inlet PSA system was used to estimate the parameters for the centralised PSA unit (purifying hydrogen from the transmission system, and re-injecting into distribution system). The low-pressure inlet PSA unit was used to estimate the parameters for the localised PSA units with a </w:t>
      </w:r>
      <w:r w:rsidRPr="00D900DE">
        <w:rPr>
          <w:i/>
          <w:iCs/>
        </w:rPr>
        <w:t>clean</w:t>
      </w:r>
      <w:r>
        <w:t xml:space="preserve">, </w:t>
      </w:r>
      <w:r w:rsidRPr="00D900DE">
        <w:rPr>
          <w:i/>
          <w:iCs/>
        </w:rPr>
        <w:t>dirty</w:t>
      </w:r>
      <w:r>
        <w:t xml:space="preserve"> and </w:t>
      </w:r>
      <w:r w:rsidRPr="00D900DE">
        <w:rPr>
          <w:i/>
          <w:iCs/>
        </w:rPr>
        <w:t>blended</w:t>
      </w:r>
      <w:r>
        <w:t xml:space="preserve"> hydrogen grade input. </w:t>
      </w:r>
    </w:p>
    <w:p w14:paraId="13EE1F28" w14:textId="7B2B87BD" w:rsidR="00A31B1B" w:rsidRDefault="00D900DE" w:rsidP="00A31B1B">
      <w:r w:rsidRPr="00AA18E8">
        <w:t>Second, Nor</w:t>
      </w:r>
      <w:r w:rsidR="008050FD" w:rsidRPr="00AA18E8">
        <w:t>d</w:t>
      </w:r>
      <w:r w:rsidRPr="00AA18E8">
        <w:t>io</w:t>
      </w:r>
      <w:r w:rsidR="00A31B1B" w:rsidRPr="00AA18E8">
        <w:t xml:space="preserve"> </w:t>
      </w:r>
      <w:r w:rsidR="00A31B1B" w:rsidRPr="00AA18E8">
        <w:rPr>
          <w:i/>
          <w:iCs/>
        </w:rPr>
        <w:t>et al.</w:t>
      </w:r>
      <w:r w:rsidR="00A31B1B" w:rsidRPr="00AA18E8">
        <w:t xml:space="preserve"> </w:t>
      </w:r>
      <w:r w:rsidR="00B3641B">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B3641B">
        <w:fldChar w:fldCharType="separate"/>
      </w:r>
      <w:r w:rsidR="00434694">
        <w:rPr>
          <w:noProof/>
        </w:rPr>
        <w:t>[</w:t>
      </w:r>
      <w:hyperlink w:anchor="_ENREF_62" w:tooltip="Nordio, 2020 #959" w:history="1">
        <w:r w:rsidR="006210AE">
          <w:rPr>
            <w:noProof/>
          </w:rPr>
          <w:t>62</w:t>
        </w:r>
      </w:hyperlink>
      <w:r w:rsidR="00434694">
        <w:rPr>
          <w:noProof/>
        </w:rPr>
        <w:t>]</w:t>
      </w:r>
      <w:r w:rsidR="00B3641B">
        <w:fldChar w:fldCharType="end"/>
      </w:r>
      <w:r w:rsidR="00A31B1B" w:rsidRPr="00B3641B">
        <w:t xml:space="preserve"> considered a range of novel hybrid hydrogen separation/purification technologies with a range of configurations. </w:t>
      </w:r>
      <w:r w:rsidR="00A31B1B" w:rsidRPr="007662BC">
        <w:t>From th</w:t>
      </w:r>
      <w:r w:rsidRPr="007662BC">
        <w:t xml:space="preserve">is work, </w:t>
      </w:r>
      <w:r w:rsidR="00A31B1B" w:rsidRPr="007662BC">
        <w:t>configuration B was selected to be used in this study due to its low cost while maintaining a hydrogen purity output that adhered to ISO 14687-2:2012 standards. The system include</w:t>
      </w:r>
      <w:r w:rsidRPr="007662BC">
        <w:t>s</w:t>
      </w:r>
      <w:r w:rsidR="00A31B1B" w:rsidRPr="007662BC">
        <w:t xml:space="preserve"> two ceramic supported thin Pd-Ag membranes, with a mechanical compressor in between, a vacuum pump and an electrochemical hydrogen compressor combined</w:t>
      </w:r>
      <w:r w:rsidRPr="007662BC">
        <w:t>.</w:t>
      </w:r>
      <w:r w:rsidR="007662BC">
        <w:t xml:space="preserve"> </w:t>
      </w:r>
      <w:r w:rsidR="00DC514E" w:rsidRPr="007662BC">
        <w:t>O</w:t>
      </w:r>
      <w:r w:rsidR="00A31B1B" w:rsidRPr="007662BC">
        <w:t>nly</w:t>
      </w:r>
      <w:r w:rsidRPr="007662BC">
        <w:t xml:space="preserve"> </w:t>
      </w:r>
      <w:r w:rsidR="0014517F" w:rsidRPr="007662BC">
        <w:t xml:space="preserve">the </w:t>
      </w:r>
      <w:r w:rsidR="00A31B1B" w:rsidRPr="007662BC">
        <w:t xml:space="preserve">inlet from a blended lower pressure </w:t>
      </w:r>
      <w:r w:rsidRPr="007662BC">
        <w:t xml:space="preserve">was considered </w:t>
      </w:r>
      <w:r w:rsidR="00A31B1B" w:rsidRPr="007662BC">
        <w:t>(i.e. separating/purifying hydrogen from the</w:t>
      </w:r>
      <w:r w:rsidR="00A31B1B">
        <w:t xml:space="preserve"> blended GDN transportation technology). </w:t>
      </w:r>
      <w:r w:rsidR="0014517F">
        <w:t xml:space="preserve">The paper </w:t>
      </w:r>
      <w:r w:rsidR="00A31B1B">
        <w:t>only considered one concentration inlet of 20% vol of hydrogen</w:t>
      </w:r>
      <w:r w:rsidR="0014517F">
        <w:t>, so</w:t>
      </w:r>
      <w:r w:rsidR="00A31B1B">
        <w:t xml:space="preserve"> it was not possible to estimate the reduced cost of purification of hydrogen from having a higher purity inlet stream. </w:t>
      </w:r>
      <w:r w:rsidR="00A31B1B">
        <w:fldChar w:fldCharType="begin"/>
      </w:r>
      <w:r w:rsidR="00A31B1B">
        <w:instrText xml:space="preserve"> REF _Ref48917089 \h </w:instrText>
      </w:r>
      <w:r w:rsidR="00A31B1B">
        <w:fldChar w:fldCharType="separate"/>
      </w:r>
      <w:r w:rsidR="005851DD">
        <w:t xml:space="preserve">Table </w:t>
      </w:r>
      <w:r w:rsidR="005851DD">
        <w:rPr>
          <w:noProof/>
        </w:rPr>
        <w:t>11</w:t>
      </w:r>
      <w:r w:rsidR="00A31B1B">
        <w:fldChar w:fldCharType="end"/>
      </w:r>
      <w:r w:rsidR="00A31B1B">
        <w:t xml:space="preserve"> shows a summary of the </w:t>
      </w:r>
      <w:r w:rsidR="00A31B1B">
        <w:lastRenderedPageBreak/>
        <w:t xml:space="preserve">techno-economic parameters for hydrogen purification/separation used in the model, with an annual learning rate applied to PSA of 2.5%, and 5% for the membrane system. </w:t>
      </w:r>
    </w:p>
    <w:p w14:paraId="0DC535B7" w14:textId="2BA2ACC9" w:rsidR="00A31B1B" w:rsidRDefault="00A31B1B" w:rsidP="00FA0B68">
      <w:pPr>
        <w:pStyle w:val="Caption"/>
        <w:keepNext/>
        <w:keepLines/>
        <w:widowControl w:val="0"/>
      </w:pPr>
      <w:bookmarkStart w:id="66" w:name="_Ref48917089"/>
      <w:bookmarkStart w:id="67" w:name="_Toc50359155"/>
      <w:r>
        <w:t xml:space="preserve">Table </w:t>
      </w:r>
      <w:fldSimple w:instr=" SEQ Table \* ARABIC ">
        <w:r w:rsidR="005851DD">
          <w:rPr>
            <w:noProof/>
          </w:rPr>
          <w:t>11</w:t>
        </w:r>
      </w:fldSimple>
      <w:bookmarkEnd w:id="66"/>
      <w:r w:rsidR="00866696">
        <w:t>:</w:t>
      </w:r>
      <w:r>
        <w:t xml:space="preserve"> Summary of hydrogen purification/separation </w:t>
      </w:r>
      <w:r w:rsidRPr="00FA0B68">
        <w:t>techno</w:t>
      </w:r>
      <w:r>
        <w:t xml:space="preserve">-economic parameters used in the model; </w:t>
      </w:r>
      <w:r w:rsidR="001D162F" w:rsidRPr="00866696">
        <w:rPr>
          <w:vertAlign w:val="superscript"/>
        </w:rPr>
        <w:t>a</w:t>
      </w:r>
      <w:r w:rsidR="00B3641B">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B3641B">
        <w:fldChar w:fldCharType="separate"/>
      </w:r>
      <w:r w:rsidR="00434694">
        <w:rPr>
          <w:noProof/>
        </w:rPr>
        <w:t>[</w:t>
      </w:r>
      <w:hyperlink w:anchor="_ENREF_63" w:tooltip="Melaina, 2013 #971" w:history="1">
        <w:r w:rsidR="006210AE">
          <w:rPr>
            <w:noProof/>
          </w:rPr>
          <w:t>63</w:t>
        </w:r>
      </w:hyperlink>
      <w:r w:rsidR="00434694">
        <w:rPr>
          <w:noProof/>
        </w:rPr>
        <w:t>]</w:t>
      </w:r>
      <w:r w:rsidR="00B3641B">
        <w:fldChar w:fldCharType="end"/>
      </w:r>
      <w:bookmarkEnd w:id="67"/>
      <w:r w:rsidR="001D162F">
        <w:t xml:space="preserve"> </w:t>
      </w:r>
      <w:r w:rsidR="001D162F">
        <w:rPr>
          <w:vertAlign w:val="superscript"/>
        </w:rPr>
        <w:t>b</w:t>
      </w:r>
      <w:r w:rsidR="001D162F">
        <w:t xml:space="preserve"> </w:t>
      </w:r>
      <w:r w:rsidR="00B3641B">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B3641B">
        <w:fldChar w:fldCharType="separate"/>
      </w:r>
      <w:r w:rsidR="00434694">
        <w:rPr>
          <w:noProof/>
        </w:rPr>
        <w:t>[</w:t>
      </w:r>
      <w:hyperlink w:anchor="_ENREF_62" w:tooltip="Nordio, 2020 #959" w:history="1">
        <w:r w:rsidR="006210AE">
          <w:rPr>
            <w:noProof/>
          </w:rPr>
          <w:t>62</w:t>
        </w:r>
      </w:hyperlink>
      <w:r w:rsidR="00434694">
        <w:rPr>
          <w:noProof/>
        </w:rPr>
        <w:t>]</w:t>
      </w:r>
      <w:r w:rsidR="00B3641B">
        <w:fldChar w:fldCharType="end"/>
      </w:r>
      <w:r w:rsidR="008050FD">
        <w:t xml:space="preserve"> </w:t>
      </w:r>
    </w:p>
    <w:tbl>
      <w:tblPr>
        <w:tblStyle w:val="PlainTable2"/>
        <w:tblW w:w="5000" w:type="pct"/>
        <w:tblLayout w:type="fixed"/>
        <w:tblLook w:val="04A0" w:firstRow="1" w:lastRow="0" w:firstColumn="1" w:lastColumn="0" w:noHBand="0" w:noVBand="1"/>
      </w:tblPr>
      <w:tblGrid>
        <w:gridCol w:w="566"/>
        <w:gridCol w:w="2694"/>
        <w:gridCol w:w="910"/>
        <w:gridCol w:w="809"/>
        <w:gridCol w:w="809"/>
        <w:gridCol w:w="809"/>
        <w:gridCol w:w="809"/>
        <w:gridCol w:w="809"/>
        <w:gridCol w:w="811"/>
      </w:tblGrid>
      <w:tr w:rsidR="00A31B1B" w:rsidRPr="002419B6" w14:paraId="2012EDBF" w14:textId="77777777" w:rsidTr="003E1875">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4" w:type="pct"/>
          </w:tcPr>
          <w:p w14:paraId="61AA76AF" w14:textId="77777777" w:rsidR="00A31B1B" w:rsidRPr="002419B6" w:rsidRDefault="00A31B1B" w:rsidP="00FA0B68">
            <w:pPr>
              <w:keepNext/>
              <w:keepLines/>
              <w:widowControl w:val="0"/>
              <w:spacing w:before="0" w:after="0"/>
              <w:jc w:val="center"/>
              <w:rPr>
                <w:rFonts w:eastAsia="Times New Roman" w:cs="Arial"/>
                <w:b w:val="0"/>
                <w:bCs w:val="0"/>
                <w:color w:val="000000"/>
                <w:sz w:val="18"/>
                <w:szCs w:val="18"/>
                <w:lang w:eastAsia="en-GB"/>
              </w:rPr>
            </w:pPr>
          </w:p>
        </w:tc>
        <w:tc>
          <w:tcPr>
            <w:tcW w:w="1493" w:type="pct"/>
            <w:noWrap/>
            <w:hideMark/>
          </w:tcPr>
          <w:p w14:paraId="6398032B"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18"/>
                <w:szCs w:val="18"/>
                <w:lang w:eastAsia="en-GB"/>
              </w:rPr>
            </w:pPr>
          </w:p>
        </w:tc>
        <w:tc>
          <w:tcPr>
            <w:tcW w:w="504" w:type="pct"/>
            <w:noWrap/>
            <w:hideMark/>
          </w:tcPr>
          <w:p w14:paraId="59BE8287"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2020</w:t>
            </w:r>
          </w:p>
        </w:tc>
        <w:tc>
          <w:tcPr>
            <w:tcW w:w="448" w:type="pct"/>
          </w:tcPr>
          <w:p w14:paraId="7CA2632F"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2025</w:t>
            </w:r>
          </w:p>
        </w:tc>
        <w:tc>
          <w:tcPr>
            <w:tcW w:w="448" w:type="pct"/>
          </w:tcPr>
          <w:p w14:paraId="7CC402B9"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2030</w:t>
            </w:r>
          </w:p>
        </w:tc>
        <w:tc>
          <w:tcPr>
            <w:tcW w:w="448" w:type="pct"/>
          </w:tcPr>
          <w:p w14:paraId="06A96EC5"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2035</w:t>
            </w:r>
          </w:p>
        </w:tc>
        <w:tc>
          <w:tcPr>
            <w:tcW w:w="448" w:type="pct"/>
          </w:tcPr>
          <w:p w14:paraId="2D0B1CE9"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2040</w:t>
            </w:r>
          </w:p>
        </w:tc>
        <w:tc>
          <w:tcPr>
            <w:tcW w:w="448" w:type="pct"/>
          </w:tcPr>
          <w:p w14:paraId="1E60E9F8"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2045</w:t>
            </w:r>
          </w:p>
        </w:tc>
        <w:tc>
          <w:tcPr>
            <w:tcW w:w="449" w:type="pct"/>
          </w:tcPr>
          <w:p w14:paraId="06FC81F9" w14:textId="77777777" w:rsidR="00A31B1B" w:rsidRPr="002419B6" w:rsidRDefault="00A31B1B" w:rsidP="00FA0B68">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2050</w:t>
            </w:r>
          </w:p>
        </w:tc>
      </w:tr>
      <w:tr w:rsidR="00A31B1B" w:rsidRPr="002419B6" w14:paraId="530DF6EB"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val="restart"/>
            <w:textDirection w:val="btLr"/>
          </w:tcPr>
          <w:p w14:paraId="11378C62" w14:textId="77777777" w:rsidR="00A31B1B" w:rsidRPr="002419B6" w:rsidRDefault="00A31B1B" w:rsidP="00FA0B68">
            <w:pPr>
              <w:keepNext/>
              <w:keepLines/>
              <w:widowControl w:val="0"/>
              <w:spacing w:before="0" w:after="0"/>
              <w:ind w:left="113" w:right="113"/>
              <w:jc w:val="center"/>
              <w:rPr>
                <w:rFonts w:eastAsia="Times New Roman" w:cs="Arial"/>
                <w:color w:val="000000"/>
                <w:sz w:val="18"/>
                <w:szCs w:val="18"/>
                <w:lang w:eastAsia="en-GB"/>
              </w:rPr>
            </w:pPr>
            <w:r w:rsidRPr="002419B6">
              <w:rPr>
                <w:rFonts w:eastAsia="Times New Roman" w:cs="Arial"/>
                <w:color w:val="000000"/>
                <w:sz w:val="18"/>
                <w:szCs w:val="18"/>
                <w:lang w:eastAsia="en-GB"/>
              </w:rPr>
              <w:t>PSA (Centralised)</w:t>
            </w:r>
          </w:p>
        </w:tc>
        <w:tc>
          <w:tcPr>
            <w:tcW w:w="1493" w:type="pct"/>
            <w:noWrap/>
          </w:tcPr>
          <w:p w14:paraId="1B1156D5"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Assumed Inlet Purity</w:t>
            </w:r>
          </w:p>
        </w:tc>
        <w:tc>
          <w:tcPr>
            <w:tcW w:w="3194" w:type="pct"/>
            <w:gridSpan w:val="7"/>
            <w:noWrap/>
          </w:tcPr>
          <w:p w14:paraId="033CEAF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~95% Hydrogen by Volume (Dirty)</w:t>
            </w:r>
          </w:p>
        </w:tc>
      </w:tr>
      <w:tr w:rsidR="00A31B1B" w:rsidRPr="002419B6" w14:paraId="46CE6F5D"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extDirection w:val="btLr"/>
          </w:tcPr>
          <w:p w14:paraId="59C66745" w14:textId="77777777" w:rsidR="00A31B1B" w:rsidRPr="002419B6" w:rsidRDefault="00A31B1B" w:rsidP="00FA0B68">
            <w:pPr>
              <w:keepNext/>
              <w:keepLines/>
              <w:widowControl w:val="0"/>
              <w:spacing w:before="0" w:after="0"/>
              <w:ind w:left="113" w:right="113"/>
              <w:jc w:val="center"/>
              <w:rPr>
                <w:rFonts w:eastAsia="Times New Roman" w:cs="Arial"/>
                <w:color w:val="000000"/>
                <w:sz w:val="18"/>
                <w:szCs w:val="18"/>
                <w:lang w:eastAsia="en-GB"/>
              </w:rPr>
            </w:pPr>
          </w:p>
        </w:tc>
        <w:tc>
          <w:tcPr>
            <w:tcW w:w="1493" w:type="pct"/>
            <w:noWrap/>
          </w:tcPr>
          <w:p w14:paraId="2B74A101"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CAPEX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34515C29"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653.79</w:t>
            </w:r>
          </w:p>
        </w:tc>
        <w:tc>
          <w:tcPr>
            <w:tcW w:w="448" w:type="pct"/>
          </w:tcPr>
          <w:p w14:paraId="30495E99"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576.05</w:t>
            </w:r>
          </w:p>
        </w:tc>
        <w:tc>
          <w:tcPr>
            <w:tcW w:w="448" w:type="pct"/>
          </w:tcPr>
          <w:p w14:paraId="09BED4E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507.56</w:t>
            </w:r>
          </w:p>
        </w:tc>
        <w:tc>
          <w:tcPr>
            <w:tcW w:w="448" w:type="pct"/>
          </w:tcPr>
          <w:p w14:paraId="78FB243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447.20</w:t>
            </w:r>
          </w:p>
        </w:tc>
        <w:tc>
          <w:tcPr>
            <w:tcW w:w="448" w:type="pct"/>
          </w:tcPr>
          <w:p w14:paraId="55A8706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394.03</w:t>
            </w:r>
          </w:p>
        </w:tc>
        <w:tc>
          <w:tcPr>
            <w:tcW w:w="448" w:type="pct"/>
          </w:tcPr>
          <w:p w14:paraId="39EDCC8E"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347.18</w:t>
            </w:r>
          </w:p>
        </w:tc>
        <w:tc>
          <w:tcPr>
            <w:tcW w:w="449" w:type="pct"/>
          </w:tcPr>
          <w:p w14:paraId="72CD3DF2"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305.90</w:t>
            </w:r>
          </w:p>
        </w:tc>
      </w:tr>
      <w:tr w:rsidR="00A31B1B" w:rsidRPr="002419B6" w14:paraId="5091CC44"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789325C3"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401CA805"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Variable OPEX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26669D29"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0.033</w:t>
            </w:r>
          </w:p>
        </w:tc>
        <w:tc>
          <w:tcPr>
            <w:tcW w:w="448" w:type="pct"/>
          </w:tcPr>
          <w:p w14:paraId="49A80376"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0.036</w:t>
            </w:r>
          </w:p>
        </w:tc>
        <w:tc>
          <w:tcPr>
            <w:tcW w:w="448" w:type="pct"/>
          </w:tcPr>
          <w:p w14:paraId="4D99B057"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0.036</w:t>
            </w:r>
          </w:p>
        </w:tc>
        <w:tc>
          <w:tcPr>
            <w:tcW w:w="448" w:type="pct"/>
          </w:tcPr>
          <w:p w14:paraId="1C0ED7B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0.035</w:t>
            </w:r>
          </w:p>
        </w:tc>
        <w:tc>
          <w:tcPr>
            <w:tcW w:w="448" w:type="pct"/>
          </w:tcPr>
          <w:p w14:paraId="007666B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0.040</w:t>
            </w:r>
          </w:p>
        </w:tc>
        <w:tc>
          <w:tcPr>
            <w:tcW w:w="448" w:type="pct"/>
          </w:tcPr>
          <w:p w14:paraId="594F4F26"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0.042</w:t>
            </w:r>
          </w:p>
        </w:tc>
        <w:tc>
          <w:tcPr>
            <w:tcW w:w="449" w:type="pct"/>
          </w:tcPr>
          <w:p w14:paraId="529C486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0.045</w:t>
            </w:r>
          </w:p>
        </w:tc>
      </w:tr>
      <w:tr w:rsidR="00A31B1B" w:rsidRPr="002419B6" w14:paraId="212F9DE6"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04561F6E"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77006073" w14:textId="76CB168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 xml:space="preserve">Operating </w:t>
            </w:r>
            <w:r w:rsidR="001D162F" w:rsidRPr="002419B6">
              <w:rPr>
                <w:rFonts w:eastAsia="Times New Roman" w:cs="Arial"/>
                <w:i/>
                <w:iCs/>
                <w:color w:val="000000"/>
                <w:sz w:val="18"/>
                <w:szCs w:val="18"/>
                <w:lang w:eastAsia="en-GB"/>
              </w:rPr>
              <w:t>Lifetime</w:t>
            </w:r>
            <w:r w:rsidR="001D162F">
              <w:rPr>
                <w:rFonts w:eastAsia="Times New Roman" w:cs="Arial"/>
                <w:i/>
                <w:iCs/>
                <w:color w:val="000000"/>
                <w:sz w:val="18"/>
                <w:szCs w:val="18"/>
                <w:vertAlign w:val="superscript"/>
                <w:lang w:eastAsia="en-GB"/>
              </w:rPr>
              <w:t>a</w:t>
            </w:r>
            <w:r w:rsidR="001D162F" w:rsidRPr="002419B6">
              <w:rPr>
                <w:rFonts w:eastAsia="Times New Roman" w:cs="Arial"/>
                <w:i/>
                <w:iCs/>
                <w:color w:val="000000"/>
                <w:sz w:val="18"/>
                <w:szCs w:val="18"/>
                <w:lang w:eastAsia="en-GB"/>
              </w:rPr>
              <w:t xml:space="preserve"> </w:t>
            </w:r>
            <w:r w:rsidRPr="002419B6">
              <w:rPr>
                <w:rFonts w:eastAsia="Times New Roman" w:cs="Arial"/>
                <w:i/>
                <w:iCs/>
                <w:color w:val="000000"/>
                <w:sz w:val="18"/>
                <w:szCs w:val="18"/>
                <w:lang w:eastAsia="en-GB"/>
              </w:rPr>
              <w:t>(yr)</w:t>
            </w:r>
          </w:p>
        </w:tc>
        <w:tc>
          <w:tcPr>
            <w:tcW w:w="504" w:type="pct"/>
            <w:noWrap/>
          </w:tcPr>
          <w:p w14:paraId="64812365"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4937D134"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7D6186DD"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217FB75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3BAA0DA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05D99EBA"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9" w:type="pct"/>
          </w:tcPr>
          <w:p w14:paraId="08AAF2C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r>
      <w:tr w:rsidR="00A31B1B" w:rsidRPr="002419B6" w14:paraId="3290C5E3"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3AC9347B"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53EF27CD" w14:textId="5BE0C01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 xml:space="preserve">Emission </w:t>
            </w:r>
            <w:r w:rsidR="001D162F" w:rsidRPr="002419B6">
              <w:rPr>
                <w:rFonts w:eastAsia="Times New Roman" w:cs="Arial"/>
                <w:i/>
                <w:iCs/>
                <w:color w:val="000000"/>
                <w:sz w:val="18"/>
                <w:szCs w:val="18"/>
                <w:lang w:eastAsia="en-GB"/>
              </w:rPr>
              <w:t>Factor</w:t>
            </w:r>
            <w:r w:rsidR="001D162F">
              <w:rPr>
                <w:rFonts w:eastAsia="Times New Roman" w:cs="Arial"/>
                <w:i/>
                <w:iCs/>
                <w:color w:val="000000"/>
                <w:sz w:val="18"/>
                <w:szCs w:val="18"/>
                <w:vertAlign w:val="superscript"/>
                <w:lang w:eastAsia="en-GB"/>
              </w:rPr>
              <w:t>a</w:t>
            </w:r>
            <w:r w:rsidR="001D162F" w:rsidRPr="002419B6">
              <w:rPr>
                <w:rFonts w:eastAsia="Times New Roman" w:cs="Arial"/>
                <w:i/>
                <w:iCs/>
                <w:color w:val="000000"/>
                <w:sz w:val="18"/>
                <w:szCs w:val="18"/>
                <w:lang w:eastAsia="en-GB"/>
              </w:rPr>
              <w:t xml:space="preserve"> </w:t>
            </w:r>
            <w:r w:rsidRPr="002419B6">
              <w:rPr>
                <w:rFonts w:eastAsia="Times New Roman" w:cs="Arial"/>
                <w:i/>
                <w:iCs/>
                <w:color w:val="000000"/>
                <w:sz w:val="18"/>
                <w:szCs w:val="18"/>
                <w:lang w:eastAsia="en-GB"/>
              </w:rPr>
              <w:t>(kg</w:t>
            </w:r>
            <w:r w:rsidRPr="002419B6">
              <w:rPr>
                <w:rFonts w:eastAsia="Times New Roman" w:cs="Arial"/>
                <w:i/>
                <w:iCs/>
                <w:color w:val="000000"/>
                <w:sz w:val="18"/>
                <w:szCs w:val="18"/>
                <w:vertAlign w:val="subscript"/>
                <w:lang w:eastAsia="en-GB"/>
              </w:rPr>
              <w:t>CO2e</w:t>
            </w:r>
            <w:r w:rsidRPr="002419B6">
              <w:rPr>
                <w:rFonts w:eastAsia="Times New Roman" w:cs="Arial"/>
                <w:i/>
                <w:iCs/>
                <w:color w:val="000000"/>
                <w:sz w:val="18"/>
                <w:szCs w:val="18"/>
                <w:lang w:eastAsia="en-GB"/>
              </w:rPr>
              <w:t>/kWh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18D6CA80"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0.081</w:t>
            </w:r>
          </w:p>
        </w:tc>
        <w:tc>
          <w:tcPr>
            <w:tcW w:w="448" w:type="pct"/>
          </w:tcPr>
          <w:p w14:paraId="032360FA"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0.061</w:t>
            </w:r>
          </w:p>
        </w:tc>
        <w:tc>
          <w:tcPr>
            <w:tcW w:w="448" w:type="pct"/>
          </w:tcPr>
          <w:p w14:paraId="7F4C0D71"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w:t>
            </w:r>
          </w:p>
        </w:tc>
        <w:tc>
          <w:tcPr>
            <w:tcW w:w="448" w:type="pct"/>
          </w:tcPr>
          <w:p w14:paraId="23AC91DB"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2E64350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55534FC4"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0.020</w:t>
            </w:r>
          </w:p>
        </w:tc>
        <w:tc>
          <w:tcPr>
            <w:tcW w:w="449" w:type="pct"/>
          </w:tcPr>
          <w:p w14:paraId="78280690"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0.016</w:t>
            </w:r>
          </w:p>
        </w:tc>
      </w:tr>
      <w:tr w:rsidR="00A31B1B" w:rsidRPr="002419B6" w14:paraId="4391D3E2"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val="restart"/>
            <w:textDirection w:val="btLr"/>
          </w:tcPr>
          <w:p w14:paraId="77046DCD" w14:textId="77777777" w:rsidR="00A31B1B" w:rsidRPr="002419B6" w:rsidRDefault="00A31B1B" w:rsidP="00FA0B68">
            <w:pPr>
              <w:keepNext/>
              <w:keepLines/>
              <w:widowControl w:val="0"/>
              <w:spacing w:before="0" w:after="0"/>
              <w:ind w:left="113" w:right="113"/>
              <w:jc w:val="center"/>
              <w:rPr>
                <w:rFonts w:eastAsia="Times New Roman" w:cs="Arial"/>
                <w:color w:val="000000"/>
                <w:sz w:val="18"/>
                <w:szCs w:val="18"/>
                <w:lang w:eastAsia="en-GB"/>
              </w:rPr>
            </w:pPr>
            <w:r w:rsidRPr="002419B6">
              <w:rPr>
                <w:rFonts w:eastAsia="Times New Roman" w:cs="Arial"/>
                <w:color w:val="000000"/>
                <w:sz w:val="18"/>
                <w:szCs w:val="18"/>
                <w:lang w:eastAsia="en-GB"/>
              </w:rPr>
              <w:t>PSA (Local)</w:t>
            </w:r>
          </w:p>
        </w:tc>
        <w:tc>
          <w:tcPr>
            <w:tcW w:w="1493" w:type="pct"/>
            <w:noWrap/>
          </w:tcPr>
          <w:p w14:paraId="7FF55797"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Assumed Inlet Purity</w:t>
            </w:r>
          </w:p>
        </w:tc>
        <w:tc>
          <w:tcPr>
            <w:tcW w:w="3194" w:type="pct"/>
            <w:gridSpan w:val="7"/>
            <w:noWrap/>
          </w:tcPr>
          <w:p w14:paraId="022E4175"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 Hydrogen by Volume (Blended)</w:t>
            </w:r>
          </w:p>
        </w:tc>
      </w:tr>
      <w:tr w:rsidR="00A31B1B" w:rsidRPr="002419B6" w14:paraId="143D3A1F"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4C7A6FA7"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101A2F64"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CAPEX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5798BB03"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7746.70</w:t>
            </w:r>
          </w:p>
        </w:tc>
        <w:tc>
          <w:tcPr>
            <w:tcW w:w="448" w:type="pct"/>
          </w:tcPr>
          <w:p w14:paraId="194B37F6"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6825.58</w:t>
            </w:r>
          </w:p>
        </w:tc>
        <w:tc>
          <w:tcPr>
            <w:tcW w:w="448" w:type="pct"/>
          </w:tcPr>
          <w:p w14:paraId="75AE91FC"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6013.99</w:t>
            </w:r>
          </w:p>
        </w:tc>
        <w:tc>
          <w:tcPr>
            <w:tcW w:w="448" w:type="pct"/>
          </w:tcPr>
          <w:p w14:paraId="45236489"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5298.90</w:t>
            </w:r>
          </w:p>
        </w:tc>
        <w:tc>
          <w:tcPr>
            <w:tcW w:w="448" w:type="pct"/>
          </w:tcPr>
          <w:p w14:paraId="79D4BC80"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4668.84</w:t>
            </w:r>
          </w:p>
        </w:tc>
        <w:tc>
          <w:tcPr>
            <w:tcW w:w="448" w:type="pct"/>
          </w:tcPr>
          <w:p w14:paraId="71506771"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4113.70</w:t>
            </w:r>
          </w:p>
        </w:tc>
        <w:tc>
          <w:tcPr>
            <w:tcW w:w="449" w:type="pct"/>
          </w:tcPr>
          <w:p w14:paraId="349D5E73"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3624.56</w:t>
            </w:r>
          </w:p>
        </w:tc>
      </w:tr>
      <w:tr w:rsidR="00A31B1B" w:rsidRPr="002419B6" w14:paraId="1124C486"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0BEB70A9"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624DBC1D"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Variable OPEX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5B3691A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0.0489</w:t>
            </w:r>
          </w:p>
        </w:tc>
        <w:tc>
          <w:tcPr>
            <w:tcW w:w="448" w:type="pct"/>
          </w:tcPr>
          <w:p w14:paraId="577DB94F"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0.0516</w:t>
            </w:r>
          </w:p>
        </w:tc>
        <w:tc>
          <w:tcPr>
            <w:tcW w:w="448" w:type="pct"/>
          </w:tcPr>
          <w:p w14:paraId="0D3AF427"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0.0522</w:t>
            </w:r>
          </w:p>
        </w:tc>
        <w:tc>
          <w:tcPr>
            <w:tcW w:w="448" w:type="pct"/>
          </w:tcPr>
          <w:p w14:paraId="29B5379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0.0511</w:t>
            </w:r>
          </w:p>
        </w:tc>
        <w:tc>
          <w:tcPr>
            <w:tcW w:w="448" w:type="pct"/>
          </w:tcPr>
          <w:p w14:paraId="282250E8"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0.0559</w:t>
            </w:r>
          </w:p>
        </w:tc>
        <w:tc>
          <w:tcPr>
            <w:tcW w:w="448" w:type="pct"/>
          </w:tcPr>
          <w:p w14:paraId="47869ED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0.0583</w:t>
            </w:r>
          </w:p>
        </w:tc>
        <w:tc>
          <w:tcPr>
            <w:tcW w:w="449" w:type="pct"/>
          </w:tcPr>
          <w:p w14:paraId="12884752"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0.0607</w:t>
            </w:r>
          </w:p>
        </w:tc>
      </w:tr>
      <w:tr w:rsidR="00A31B1B" w:rsidRPr="002419B6" w14:paraId="1CC03263"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4A93F0D7"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288B4FBC" w14:textId="0779FD4D"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 xml:space="preserve">Operating </w:t>
            </w:r>
            <w:r w:rsidR="001D162F" w:rsidRPr="002419B6">
              <w:rPr>
                <w:rFonts w:eastAsia="Times New Roman" w:cs="Arial"/>
                <w:i/>
                <w:iCs/>
                <w:color w:val="000000"/>
                <w:sz w:val="18"/>
                <w:szCs w:val="18"/>
                <w:lang w:eastAsia="en-GB"/>
              </w:rPr>
              <w:t>Lifetime</w:t>
            </w:r>
            <w:r w:rsidR="001D162F">
              <w:rPr>
                <w:rFonts w:eastAsia="Times New Roman" w:cs="Arial"/>
                <w:i/>
                <w:iCs/>
                <w:color w:val="000000"/>
                <w:sz w:val="18"/>
                <w:szCs w:val="18"/>
                <w:vertAlign w:val="superscript"/>
                <w:lang w:eastAsia="en-GB"/>
              </w:rPr>
              <w:t>a</w:t>
            </w:r>
            <w:r w:rsidR="001D162F" w:rsidRPr="002419B6">
              <w:rPr>
                <w:rFonts w:eastAsia="Times New Roman" w:cs="Arial"/>
                <w:i/>
                <w:iCs/>
                <w:color w:val="000000"/>
                <w:sz w:val="18"/>
                <w:szCs w:val="18"/>
                <w:lang w:eastAsia="en-GB"/>
              </w:rPr>
              <w:t xml:space="preserve"> </w:t>
            </w:r>
            <w:r w:rsidRPr="002419B6">
              <w:rPr>
                <w:rFonts w:eastAsia="Times New Roman" w:cs="Arial"/>
                <w:i/>
                <w:iCs/>
                <w:color w:val="000000"/>
                <w:sz w:val="18"/>
                <w:szCs w:val="18"/>
                <w:lang w:eastAsia="en-GB"/>
              </w:rPr>
              <w:t>(yr)</w:t>
            </w:r>
          </w:p>
        </w:tc>
        <w:tc>
          <w:tcPr>
            <w:tcW w:w="504" w:type="pct"/>
            <w:noWrap/>
          </w:tcPr>
          <w:p w14:paraId="037E9ACB"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2B0519C4"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7DBA3AA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6C684F29"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78B1D0E7"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58A8153E"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9" w:type="pct"/>
          </w:tcPr>
          <w:p w14:paraId="4343D7F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r>
      <w:tr w:rsidR="00A31B1B" w:rsidRPr="002419B6" w14:paraId="42E5377A"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1459C0C8"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524570B4" w14:textId="6DF71D74"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Emission Factor</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(kg</w:t>
            </w:r>
            <w:r w:rsidRPr="002419B6">
              <w:rPr>
                <w:rFonts w:eastAsia="Times New Roman" w:cs="Arial"/>
                <w:i/>
                <w:iCs/>
                <w:color w:val="000000"/>
                <w:sz w:val="18"/>
                <w:szCs w:val="18"/>
                <w:vertAlign w:val="subscript"/>
                <w:lang w:eastAsia="en-GB"/>
              </w:rPr>
              <w:t>CO2e</w:t>
            </w:r>
            <w:r w:rsidRPr="002419B6">
              <w:rPr>
                <w:rFonts w:eastAsia="Times New Roman" w:cs="Arial"/>
                <w:i/>
                <w:iCs/>
                <w:color w:val="000000"/>
                <w:sz w:val="18"/>
                <w:szCs w:val="18"/>
                <w:lang w:eastAsia="en-GB"/>
              </w:rPr>
              <w:t>/kWh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4D017E22"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0.081</w:t>
            </w:r>
          </w:p>
        </w:tc>
        <w:tc>
          <w:tcPr>
            <w:tcW w:w="448" w:type="pct"/>
          </w:tcPr>
          <w:p w14:paraId="4D50C8E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0.061</w:t>
            </w:r>
          </w:p>
        </w:tc>
        <w:tc>
          <w:tcPr>
            <w:tcW w:w="448" w:type="pct"/>
          </w:tcPr>
          <w:p w14:paraId="2F3804A2"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w:t>
            </w:r>
          </w:p>
        </w:tc>
        <w:tc>
          <w:tcPr>
            <w:tcW w:w="448" w:type="pct"/>
          </w:tcPr>
          <w:p w14:paraId="131695F8"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6483F9C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361200FD"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0.020</w:t>
            </w:r>
          </w:p>
        </w:tc>
        <w:tc>
          <w:tcPr>
            <w:tcW w:w="449" w:type="pct"/>
          </w:tcPr>
          <w:p w14:paraId="6BBCBE80"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0.016</w:t>
            </w:r>
          </w:p>
        </w:tc>
      </w:tr>
      <w:tr w:rsidR="00A31B1B" w:rsidRPr="002419B6" w14:paraId="3B6DA20C"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val="restart"/>
            <w:textDirection w:val="btLr"/>
          </w:tcPr>
          <w:p w14:paraId="6E8E0A46"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r w:rsidRPr="002419B6">
              <w:rPr>
                <w:rFonts w:eastAsia="Times New Roman" w:cs="Arial"/>
                <w:color w:val="000000"/>
                <w:sz w:val="18"/>
                <w:szCs w:val="18"/>
                <w:lang w:eastAsia="en-GB"/>
              </w:rPr>
              <w:t>PSA (Local)</w:t>
            </w:r>
          </w:p>
        </w:tc>
        <w:tc>
          <w:tcPr>
            <w:tcW w:w="1493" w:type="pct"/>
            <w:noWrap/>
          </w:tcPr>
          <w:p w14:paraId="5A2D2028"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Assumed Inlet Purity</w:t>
            </w:r>
          </w:p>
        </w:tc>
        <w:tc>
          <w:tcPr>
            <w:tcW w:w="3194" w:type="pct"/>
            <w:gridSpan w:val="7"/>
            <w:noWrap/>
          </w:tcPr>
          <w:p w14:paraId="10377AC5"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~95% Hydrogen by Volume (Dirty)</w:t>
            </w:r>
          </w:p>
        </w:tc>
      </w:tr>
      <w:tr w:rsidR="00A31B1B" w:rsidRPr="002419B6" w14:paraId="25A8803C"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77EE6EF6"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1123D3F3"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CAPEX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2686B91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2499.91</w:t>
            </w:r>
          </w:p>
        </w:tc>
        <w:tc>
          <w:tcPr>
            <w:tcW w:w="448" w:type="pct"/>
          </w:tcPr>
          <w:p w14:paraId="197685F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2202.66</w:t>
            </w:r>
          </w:p>
        </w:tc>
        <w:tc>
          <w:tcPr>
            <w:tcW w:w="448" w:type="pct"/>
          </w:tcPr>
          <w:p w14:paraId="72FDFE7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1940.76</w:t>
            </w:r>
          </w:p>
        </w:tc>
        <w:tc>
          <w:tcPr>
            <w:tcW w:w="448" w:type="pct"/>
          </w:tcPr>
          <w:p w14:paraId="1517FBBE"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1709.99</w:t>
            </w:r>
          </w:p>
        </w:tc>
        <w:tc>
          <w:tcPr>
            <w:tcW w:w="448" w:type="pct"/>
          </w:tcPr>
          <w:p w14:paraId="542159B3"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1506.67</w:t>
            </w:r>
          </w:p>
        </w:tc>
        <w:tc>
          <w:tcPr>
            <w:tcW w:w="448" w:type="pct"/>
          </w:tcPr>
          <w:p w14:paraId="1E7B1247"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1327.52</w:t>
            </w:r>
          </w:p>
        </w:tc>
        <w:tc>
          <w:tcPr>
            <w:tcW w:w="449" w:type="pct"/>
          </w:tcPr>
          <w:p w14:paraId="7278F6FF"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1169.67</w:t>
            </w:r>
          </w:p>
        </w:tc>
      </w:tr>
      <w:tr w:rsidR="00A31B1B" w:rsidRPr="002419B6" w14:paraId="0700CBEB"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4C4C5157"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26D964C0"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Variable OPEX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7CFAF409"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0.0371</w:t>
            </w:r>
          </w:p>
        </w:tc>
        <w:tc>
          <w:tcPr>
            <w:tcW w:w="448" w:type="pct"/>
          </w:tcPr>
          <w:p w14:paraId="4270F8C0"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0.0398</w:t>
            </w:r>
          </w:p>
        </w:tc>
        <w:tc>
          <w:tcPr>
            <w:tcW w:w="448" w:type="pct"/>
          </w:tcPr>
          <w:p w14:paraId="0303C4C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0.0404</w:t>
            </w:r>
          </w:p>
        </w:tc>
        <w:tc>
          <w:tcPr>
            <w:tcW w:w="448" w:type="pct"/>
          </w:tcPr>
          <w:p w14:paraId="42A0D6C4"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0.0393</w:t>
            </w:r>
          </w:p>
        </w:tc>
        <w:tc>
          <w:tcPr>
            <w:tcW w:w="448" w:type="pct"/>
          </w:tcPr>
          <w:p w14:paraId="2F5BFA31"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0.0441</w:t>
            </w:r>
          </w:p>
        </w:tc>
        <w:tc>
          <w:tcPr>
            <w:tcW w:w="448" w:type="pct"/>
          </w:tcPr>
          <w:p w14:paraId="769A043C"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0.0465</w:t>
            </w:r>
          </w:p>
        </w:tc>
        <w:tc>
          <w:tcPr>
            <w:tcW w:w="449" w:type="pct"/>
          </w:tcPr>
          <w:p w14:paraId="0DA17B3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0.0489</w:t>
            </w:r>
          </w:p>
        </w:tc>
      </w:tr>
      <w:tr w:rsidR="00A31B1B" w:rsidRPr="002419B6" w14:paraId="0D01D165"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449BAF2B"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239BD253" w14:textId="6116DB45"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Operating Lifetime</w:t>
            </w:r>
            <w:r w:rsidR="001D162F"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(yr)</w:t>
            </w:r>
          </w:p>
        </w:tc>
        <w:tc>
          <w:tcPr>
            <w:tcW w:w="504" w:type="pct"/>
            <w:noWrap/>
          </w:tcPr>
          <w:p w14:paraId="2BE07B7E"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5DEE533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1AFC030F"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510E1D4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25853968"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02F808C0"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9" w:type="pct"/>
          </w:tcPr>
          <w:p w14:paraId="0074698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r>
      <w:tr w:rsidR="00A31B1B" w:rsidRPr="002419B6" w14:paraId="64610922"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19CAB647"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10BF770D" w14:textId="3C31EAF8"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Emission Factor</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(kg</w:t>
            </w:r>
            <w:r w:rsidRPr="002419B6">
              <w:rPr>
                <w:rFonts w:eastAsia="Times New Roman" w:cs="Arial"/>
                <w:i/>
                <w:iCs/>
                <w:color w:val="000000"/>
                <w:sz w:val="18"/>
                <w:szCs w:val="18"/>
                <w:vertAlign w:val="subscript"/>
                <w:lang w:eastAsia="en-GB"/>
              </w:rPr>
              <w:t>CO2e</w:t>
            </w:r>
            <w:r w:rsidRPr="002419B6">
              <w:rPr>
                <w:rFonts w:eastAsia="Times New Roman" w:cs="Arial"/>
                <w:i/>
                <w:iCs/>
                <w:color w:val="000000"/>
                <w:sz w:val="18"/>
                <w:szCs w:val="18"/>
                <w:lang w:eastAsia="en-GB"/>
              </w:rPr>
              <w:t>/kWh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1C46EEAB"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0.081</w:t>
            </w:r>
          </w:p>
        </w:tc>
        <w:tc>
          <w:tcPr>
            <w:tcW w:w="448" w:type="pct"/>
          </w:tcPr>
          <w:p w14:paraId="683EE3F3"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0.061</w:t>
            </w:r>
          </w:p>
        </w:tc>
        <w:tc>
          <w:tcPr>
            <w:tcW w:w="448" w:type="pct"/>
          </w:tcPr>
          <w:p w14:paraId="4FBBDEC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w:t>
            </w:r>
          </w:p>
        </w:tc>
        <w:tc>
          <w:tcPr>
            <w:tcW w:w="448" w:type="pct"/>
          </w:tcPr>
          <w:p w14:paraId="755E820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45AE816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52A673C7"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0.020</w:t>
            </w:r>
          </w:p>
        </w:tc>
        <w:tc>
          <w:tcPr>
            <w:tcW w:w="449" w:type="pct"/>
          </w:tcPr>
          <w:p w14:paraId="56B477B4"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0.016</w:t>
            </w:r>
          </w:p>
        </w:tc>
      </w:tr>
      <w:tr w:rsidR="00A31B1B" w:rsidRPr="002419B6" w14:paraId="4A7454A5"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val="restart"/>
            <w:textDirection w:val="btLr"/>
          </w:tcPr>
          <w:p w14:paraId="79A847E5"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r w:rsidRPr="002419B6">
              <w:rPr>
                <w:rFonts w:eastAsia="Times New Roman" w:cs="Arial"/>
                <w:color w:val="000000"/>
                <w:sz w:val="18"/>
                <w:szCs w:val="18"/>
                <w:lang w:eastAsia="en-GB"/>
              </w:rPr>
              <w:t>PSA (Local)</w:t>
            </w:r>
          </w:p>
        </w:tc>
        <w:tc>
          <w:tcPr>
            <w:tcW w:w="1493" w:type="pct"/>
            <w:noWrap/>
          </w:tcPr>
          <w:p w14:paraId="47DB27A2"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Assumed Inlet Purity</w:t>
            </w:r>
          </w:p>
        </w:tc>
        <w:tc>
          <w:tcPr>
            <w:tcW w:w="3194" w:type="pct"/>
            <w:gridSpan w:val="7"/>
            <w:noWrap/>
          </w:tcPr>
          <w:p w14:paraId="3D8C4D0A"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~99% Hydrogen by Volume (Clean)</w:t>
            </w:r>
          </w:p>
        </w:tc>
      </w:tr>
      <w:tr w:rsidR="00A31B1B" w:rsidRPr="002419B6" w14:paraId="4E6A687D"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6BE019E0"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0F4DA1B6"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CAPEX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304175FF"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2426.17</w:t>
            </w:r>
          </w:p>
        </w:tc>
        <w:tc>
          <w:tcPr>
            <w:tcW w:w="448" w:type="pct"/>
          </w:tcPr>
          <w:p w14:paraId="5A5877ED"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2137.69</w:t>
            </w:r>
          </w:p>
        </w:tc>
        <w:tc>
          <w:tcPr>
            <w:tcW w:w="448" w:type="pct"/>
          </w:tcPr>
          <w:p w14:paraId="0EFD931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1883.51</w:t>
            </w:r>
          </w:p>
        </w:tc>
        <w:tc>
          <w:tcPr>
            <w:tcW w:w="448" w:type="pct"/>
          </w:tcPr>
          <w:p w14:paraId="3100CAF3"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1659.55</w:t>
            </w:r>
          </w:p>
        </w:tc>
        <w:tc>
          <w:tcPr>
            <w:tcW w:w="448" w:type="pct"/>
          </w:tcPr>
          <w:p w14:paraId="06768DD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1462.22</w:t>
            </w:r>
          </w:p>
        </w:tc>
        <w:tc>
          <w:tcPr>
            <w:tcW w:w="448" w:type="pct"/>
          </w:tcPr>
          <w:p w14:paraId="0D2C487A"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1288.36</w:t>
            </w:r>
          </w:p>
        </w:tc>
        <w:tc>
          <w:tcPr>
            <w:tcW w:w="449" w:type="pct"/>
          </w:tcPr>
          <w:p w14:paraId="76E51BDA"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1135.17</w:t>
            </w:r>
          </w:p>
        </w:tc>
      </w:tr>
      <w:tr w:rsidR="00A31B1B" w:rsidRPr="002419B6" w14:paraId="161E3835"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63376BA2"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60291917"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Variable OPEX</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23B46F22"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0.0369</w:t>
            </w:r>
          </w:p>
        </w:tc>
        <w:tc>
          <w:tcPr>
            <w:tcW w:w="448" w:type="pct"/>
          </w:tcPr>
          <w:p w14:paraId="5C1834C8"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0.0397</w:t>
            </w:r>
          </w:p>
        </w:tc>
        <w:tc>
          <w:tcPr>
            <w:tcW w:w="448" w:type="pct"/>
          </w:tcPr>
          <w:p w14:paraId="27ADB6C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0.0402</w:t>
            </w:r>
          </w:p>
        </w:tc>
        <w:tc>
          <w:tcPr>
            <w:tcW w:w="448" w:type="pct"/>
          </w:tcPr>
          <w:p w14:paraId="4E4A774A"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0.0391</w:t>
            </w:r>
          </w:p>
        </w:tc>
        <w:tc>
          <w:tcPr>
            <w:tcW w:w="448" w:type="pct"/>
          </w:tcPr>
          <w:p w14:paraId="19CF4127"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0.0440</w:t>
            </w:r>
          </w:p>
        </w:tc>
        <w:tc>
          <w:tcPr>
            <w:tcW w:w="448" w:type="pct"/>
          </w:tcPr>
          <w:p w14:paraId="3F0344E4"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0.0464</w:t>
            </w:r>
          </w:p>
        </w:tc>
        <w:tc>
          <w:tcPr>
            <w:tcW w:w="449" w:type="pct"/>
          </w:tcPr>
          <w:p w14:paraId="7B76C2DB"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0.0488</w:t>
            </w:r>
          </w:p>
        </w:tc>
      </w:tr>
      <w:tr w:rsidR="00A31B1B" w:rsidRPr="002419B6" w14:paraId="5D351151"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205F0B6B"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7945CA41" w14:textId="689AD716"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 xml:space="preserve">Operating </w:t>
            </w:r>
            <w:r w:rsidR="001D162F" w:rsidRPr="002419B6">
              <w:rPr>
                <w:rFonts w:eastAsia="Times New Roman" w:cs="Arial"/>
                <w:i/>
                <w:iCs/>
                <w:color w:val="000000"/>
                <w:sz w:val="18"/>
                <w:szCs w:val="18"/>
                <w:lang w:eastAsia="en-GB"/>
              </w:rPr>
              <w:t>Lifetime</w:t>
            </w:r>
            <w:r w:rsidR="001D162F">
              <w:rPr>
                <w:rFonts w:eastAsia="Times New Roman" w:cs="Arial"/>
                <w:i/>
                <w:iCs/>
                <w:color w:val="000000"/>
                <w:sz w:val="18"/>
                <w:szCs w:val="18"/>
                <w:vertAlign w:val="superscript"/>
                <w:lang w:eastAsia="en-GB"/>
              </w:rPr>
              <w:t>a</w:t>
            </w:r>
            <w:r w:rsidR="001D162F" w:rsidRPr="002419B6">
              <w:rPr>
                <w:rFonts w:eastAsia="Times New Roman" w:cs="Arial"/>
                <w:i/>
                <w:iCs/>
                <w:color w:val="000000"/>
                <w:sz w:val="18"/>
                <w:szCs w:val="18"/>
                <w:lang w:eastAsia="en-GB"/>
              </w:rPr>
              <w:t xml:space="preserve"> </w:t>
            </w:r>
            <w:r w:rsidRPr="002419B6">
              <w:rPr>
                <w:rFonts w:eastAsia="Times New Roman" w:cs="Arial"/>
                <w:i/>
                <w:iCs/>
                <w:color w:val="000000"/>
                <w:sz w:val="18"/>
                <w:szCs w:val="18"/>
                <w:lang w:eastAsia="en-GB"/>
              </w:rPr>
              <w:t>(yr)</w:t>
            </w:r>
          </w:p>
        </w:tc>
        <w:tc>
          <w:tcPr>
            <w:tcW w:w="504" w:type="pct"/>
            <w:noWrap/>
          </w:tcPr>
          <w:p w14:paraId="056D1D46"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4608AB1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5597A48F"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3590E5AE"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12C814FD"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20D9DA0C"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9" w:type="pct"/>
          </w:tcPr>
          <w:p w14:paraId="608EB14F"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r>
      <w:tr w:rsidR="00A31B1B" w:rsidRPr="002419B6" w14:paraId="00ED1010"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57E646A9"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3831B35C" w14:textId="173A451B"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Emission Factor</w:t>
            </w:r>
            <w:r w:rsidRPr="002419B6">
              <w:rPr>
                <w:rFonts w:eastAsia="Times New Roman" w:cs="Arial"/>
                <w:i/>
                <w:iCs/>
                <w:color w:val="000000"/>
                <w:sz w:val="18"/>
                <w:szCs w:val="18"/>
                <w:vertAlign w:val="superscript"/>
                <w:lang w:eastAsia="en-GB"/>
              </w:rPr>
              <w:t>a</w:t>
            </w:r>
            <w:r w:rsidRPr="002419B6">
              <w:rPr>
                <w:rFonts w:eastAsia="Times New Roman" w:cs="Arial"/>
                <w:i/>
                <w:iCs/>
                <w:color w:val="000000"/>
                <w:sz w:val="18"/>
                <w:szCs w:val="18"/>
                <w:lang w:eastAsia="en-GB"/>
              </w:rPr>
              <w:t xml:space="preserve"> (kg</w:t>
            </w:r>
            <w:r w:rsidRPr="002419B6">
              <w:rPr>
                <w:rFonts w:eastAsia="Times New Roman" w:cs="Arial"/>
                <w:i/>
                <w:iCs/>
                <w:color w:val="000000"/>
                <w:sz w:val="18"/>
                <w:szCs w:val="18"/>
                <w:vertAlign w:val="subscript"/>
                <w:lang w:eastAsia="en-GB"/>
              </w:rPr>
              <w:t>CO2e</w:t>
            </w:r>
            <w:r w:rsidRPr="002419B6">
              <w:rPr>
                <w:rFonts w:eastAsia="Times New Roman" w:cs="Arial"/>
                <w:i/>
                <w:iCs/>
                <w:color w:val="000000"/>
                <w:sz w:val="18"/>
                <w:szCs w:val="18"/>
                <w:lang w:eastAsia="en-GB"/>
              </w:rPr>
              <w:t>/kWh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65BAB4D3"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0.081</w:t>
            </w:r>
          </w:p>
        </w:tc>
        <w:tc>
          <w:tcPr>
            <w:tcW w:w="448" w:type="pct"/>
          </w:tcPr>
          <w:p w14:paraId="46B7EBC7"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0.061</w:t>
            </w:r>
          </w:p>
        </w:tc>
        <w:tc>
          <w:tcPr>
            <w:tcW w:w="448" w:type="pct"/>
          </w:tcPr>
          <w:p w14:paraId="18DD051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w:t>
            </w:r>
          </w:p>
        </w:tc>
        <w:tc>
          <w:tcPr>
            <w:tcW w:w="448" w:type="pct"/>
          </w:tcPr>
          <w:p w14:paraId="7218137F"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20B0E36D"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3D11A2D7"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0.020</w:t>
            </w:r>
          </w:p>
        </w:tc>
        <w:tc>
          <w:tcPr>
            <w:tcW w:w="449" w:type="pct"/>
          </w:tcPr>
          <w:p w14:paraId="68A0EE9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0.016</w:t>
            </w:r>
          </w:p>
        </w:tc>
      </w:tr>
      <w:tr w:rsidR="00A31B1B" w:rsidRPr="002419B6" w14:paraId="1FCC7DE2"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val="restart"/>
            <w:textDirection w:val="btLr"/>
          </w:tcPr>
          <w:p w14:paraId="218DF20F"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r w:rsidRPr="002419B6">
              <w:rPr>
                <w:rFonts w:eastAsia="Times New Roman" w:cs="Arial"/>
                <w:color w:val="000000"/>
                <w:sz w:val="18"/>
                <w:szCs w:val="18"/>
                <w:lang w:eastAsia="en-GB"/>
              </w:rPr>
              <w:t>Membrane Hybrid (Local)</w:t>
            </w:r>
          </w:p>
        </w:tc>
        <w:tc>
          <w:tcPr>
            <w:tcW w:w="1493" w:type="pct"/>
            <w:noWrap/>
          </w:tcPr>
          <w:p w14:paraId="5D8BDE6C" w14:textId="77777777"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Assumed Inlet Purity</w:t>
            </w:r>
          </w:p>
        </w:tc>
        <w:tc>
          <w:tcPr>
            <w:tcW w:w="3194" w:type="pct"/>
            <w:gridSpan w:val="7"/>
            <w:noWrap/>
          </w:tcPr>
          <w:p w14:paraId="59E0CAAF"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~20% Hydrogen by Volume (Blended)</w:t>
            </w:r>
          </w:p>
        </w:tc>
      </w:tr>
      <w:tr w:rsidR="00A31B1B" w:rsidRPr="002419B6" w14:paraId="5F6FCA6D"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03060692"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1936BCBF" w14:textId="7483C351" w:rsidR="00A31B1B" w:rsidRPr="002419B6" w:rsidRDefault="001D162F"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CAPEX</w:t>
            </w:r>
            <w:r>
              <w:rPr>
                <w:rFonts w:eastAsia="Times New Roman" w:cs="Arial"/>
                <w:i/>
                <w:iCs/>
                <w:color w:val="000000"/>
                <w:sz w:val="18"/>
                <w:szCs w:val="18"/>
                <w:vertAlign w:val="superscript"/>
                <w:lang w:eastAsia="en-GB"/>
              </w:rPr>
              <w:t>b</w:t>
            </w:r>
            <w:r w:rsidRPr="002419B6">
              <w:rPr>
                <w:rFonts w:eastAsia="Times New Roman" w:cs="Arial"/>
                <w:i/>
                <w:iCs/>
                <w:color w:val="000000"/>
                <w:sz w:val="18"/>
                <w:szCs w:val="18"/>
                <w:lang w:eastAsia="en-GB"/>
              </w:rPr>
              <w:t xml:space="preserve"> </w:t>
            </w:r>
            <w:r w:rsidR="00A31B1B" w:rsidRPr="002419B6">
              <w:rPr>
                <w:rFonts w:eastAsia="Times New Roman" w:cs="Arial"/>
                <w:i/>
                <w:iCs/>
                <w:color w:val="000000"/>
                <w:sz w:val="18"/>
                <w:szCs w:val="18"/>
                <w:lang w:eastAsia="en-GB"/>
              </w:rPr>
              <w:t>(£/kW</w:t>
            </w:r>
            <w:r w:rsidR="00A31B1B" w:rsidRPr="002419B6">
              <w:rPr>
                <w:rFonts w:eastAsia="Times New Roman" w:cs="Arial"/>
                <w:i/>
                <w:iCs/>
                <w:color w:val="000000"/>
                <w:sz w:val="18"/>
                <w:szCs w:val="18"/>
                <w:vertAlign w:val="subscript"/>
                <w:lang w:eastAsia="en-GB"/>
              </w:rPr>
              <w:t>H2</w:t>
            </w:r>
            <w:r w:rsidR="00A31B1B" w:rsidRPr="002419B6">
              <w:rPr>
                <w:rFonts w:eastAsia="Times New Roman" w:cs="Arial"/>
                <w:i/>
                <w:iCs/>
                <w:color w:val="000000"/>
                <w:sz w:val="18"/>
                <w:szCs w:val="18"/>
                <w:lang w:eastAsia="en-GB"/>
              </w:rPr>
              <w:t>)</w:t>
            </w:r>
          </w:p>
        </w:tc>
        <w:tc>
          <w:tcPr>
            <w:tcW w:w="504" w:type="pct"/>
            <w:noWrap/>
          </w:tcPr>
          <w:p w14:paraId="63F3BD95"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10118.92</w:t>
            </w:r>
          </w:p>
        </w:tc>
        <w:tc>
          <w:tcPr>
            <w:tcW w:w="448" w:type="pct"/>
          </w:tcPr>
          <w:p w14:paraId="18BCF7F0"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7829.83</w:t>
            </w:r>
          </w:p>
        </w:tc>
        <w:tc>
          <w:tcPr>
            <w:tcW w:w="448" w:type="pct"/>
          </w:tcPr>
          <w:p w14:paraId="248080DD"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6058.57</w:t>
            </w:r>
          </w:p>
        </w:tc>
        <w:tc>
          <w:tcPr>
            <w:tcW w:w="448" w:type="pct"/>
          </w:tcPr>
          <w:p w14:paraId="70DC6D7B"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4688.01</w:t>
            </w:r>
          </w:p>
        </w:tc>
        <w:tc>
          <w:tcPr>
            <w:tcW w:w="448" w:type="pct"/>
          </w:tcPr>
          <w:p w14:paraId="536107A9"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3627.49</w:t>
            </w:r>
          </w:p>
        </w:tc>
        <w:tc>
          <w:tcPr>
            <w:tcW w:w="448" w:type="pct"/>
          </w:tcPr>
          <w:p w14:paraId="4C6FC186"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2806.88</w:t>
            </w:r>
          </w:p>
        </w:tc>
        <w:tc>
          <w:tcPr>
            <w:tcW w:w="449" w:type="pct"/>
          </w:tcPr>
          <w:p w14:paraId="7660176E"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2171.91</w:t>
            </w:r>
          </w:p>
        </w:tc>
      </w:tr>
      <w:tr w:rsidR="00A31B1B" w:rsidRPr="002419B6" w14:paraId="0886DAA7"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5EB58DFD"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76150D4E" w14:textId="177835EE" w:rsidR="00A31B1B" w:rsidRPr="002419B6" w:rsidRDefault="00A31B1B" w:rsidP="002419B6">
            <w:pPr>
              <w:keepNext/>
              <w:keepLines/>
              <w:widowControl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 xml:space="preserve">Variable </w:t>
            </w:r>
            <w:r w:rsidR="001D162F" w:rsidRPr="002419B6">
              <w:rPr>
                <w:rFonts w:eastAsia="Times New Roman" w:cs="Arial"/>
                <w:i/>
                <w:iCs/>
                <w:color w:val="000000"/>
                <w:sz w:val="18"/>
                <w:szCs w:val="18"/>
                <w:lang w:eastAsia="en-GB"/>
              </w:rPr>
              <w:t>OPEX</w:t>
            </w:r>
            <w:r w:rsidR="001D162F">
              <w:rPr>
                <w:rFonts w:eastAsia="Times New Roman" w:cs="Arial"/>
                <w:i/>
                <w:iCs/>
                <w:color w:val="000000"/>
                <w:sz w:val="18"/>
                <w:szCs w:val="18"/>
                <w:vertAlign w:val="superscript"/>
                <w:lang w:eastAsia="en-GB"/>
              </w:rPr>
              <w:t>b</w:t>
            </w:r>
            <w:r w:rsidR="001D162F" w:rsidRPr="002419B6">
              <w:rPr>
                <w:rFonts w:eastAsia="Times New Roman" w:cs="Arial"/>
                <w:i/>
                <w:iCs/>
                <w:color w:val="000000"/>
                <w:sz w:val="18"/>
                <w:szCs w:val="18"/>
                <w:lang w:eastAsia="en-GB"/>
              </w:rPr>
              <w:t xml:space="preserve"> </w:t>
            </w:r>
            <w:r w:rsidRPr="002419B6">
              <w:rPr>
                <w:rFonts w:eastAsia="Times New Roman" w:cs="Arial"/>
                <w:i/>
                <w:iCs/>
                <w:color w:val="000000"/>
                <w:sz w:val="18"/>
                <w:szCs w:val="18"/>
                <w:lang w:eastAsia="en-GB"/>
              </w:rPr>
              <w:t>(£/kWh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20AC66D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0.0882</w:t>
            </w:r>
          </w:p>
        </w:tc>
        <w:tc>
          <w:tcPr>
            <w:tcW w:w="448" w:type="pct"/>
          </w:tcPr>
          <w:p w14:paraId="10F2298A"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0.0893</w:t>
            </w:r>
          </w:p>
        </w:tc>
        <w:tc>
          <w:tcPr>
            <w:tcW w:w="448" w:type="pct"/>
          </w:tcPr>
          <w:p w14:paraId="3530480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0.0895</w:t>
            </w:r>
          </w:p>
        </w:tc>
        <w:tc>
          <w:tcPr>
            <w:tcW w:w="448" w:type="pct"/>
          </w:tcPr>
          <w:p w14:paraId="18483DE4"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0.0891</w:t>
            </w:r>
          </w:p>
        </w:tc>
        <w:tc>
          <w:tcPr>
            <w:tcW w:w="448" w:type="pct"/>
          </w:tcPr>
          <w:p w14:paraId="267B0548"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0.0910</w:t>
            </w:r>
          </w:p>
        </w:tc>
        <w:tc>
          <w:tcPr>
            <w:tcW w:w="448" w:type="pct"/>
          </w:tcPr>
          <w:p w14:paraId="58867080"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0.0919</w:t>
            </w:r>
          </w:p>
        </w:tc>
        <w:tc>
          <w:tcPr>
            <w:tcW w:w="449" w:type="pct"/>
          </w:tcPr>
          <w:p w14:paraId="3896B412" w14:textId="77777777" w:rsidR="00A31B1B" w:rsidRPr="002419B6" w:rsidRDefault="00A31B1B" w:rsidP="002419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0.0929</w:t>
            </w:r>
          </w:p>
        </w:tc>
      </w:tr>
      <w:tr w:rsidR="00A31B1B" w:rsidRPr="002419B6" w14:paraId="10BEA227" w14:textId="77777777" w:rsidTr="003E1875">
        <w:trPr>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387EF06A" w14:textId="77777777" w:rsidR="00A31B1B" w:rsidRPr="002419B6" w:rsidRDefault="00A31B1B" w:rsidP="00FA0B68">
            <w:pPr>
              <w:keepNext/>
              <w:keepLines/>
              <w:widowControl w:val="0"/>
              <w:spacing w:before="0" w:after="0"/>
              <w:jc w:val="center"/>
              <w:rPr>
                <w:rFonts w:eastAsia="Times New Roman" w:cs="Arial"/>
                <w:color w:val="000000"/>
                <w:sz w:val="18"/>
                <w:szCs w:val="18"/>
                <w:lang w:eastAsia="en-GB"/>
              </w:rPr>
            </w:pPr>
          </w:p>
        </w:tc>
        <w:tc>
          <w:tcPr>
            <w:tcW w:w="1493" w:type="pct"/>
            <w:noWrap/>
          </w:tcPr>
          <w:p w14:paraId="78D9F1BD" w14:textId="77777777" w:rsidR="00A31B1B" w:rsidRPr="002419B6" w:rsidRDefault="00A31B1B" w:rsidP="002419B6">
            <w:pPr>
              <w:keepNext/>
              <w:keepLines/>
              <w:widowControl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Operating Lifetime</w:t>
            </w:r>
            <w:r w:rsidRPr="002419B6">
              <w:rPr>
                <w:rFonts w:eastAsia="Times New Roman" w:cs="Arial"/>
                <w:i/>
                <w:iCs/>
                <w:color w:val="000000"/>
                <w:sz w:val="18"/>
                <w:szCs w:val="18"/>
                <w:vertAlign w:val="superscript"/>
                <w:lang w:eastAsia="en-GB"/>
              </w:rPr>
              <w:t>b</w:t>
            </w:r>
            <w:r w:rsidRPr="002419B6">
              <w:rPr>
                <w:rFonts w:eastAsia="Times New Roman" w:cs="Arial"/>
                <w:i/>
                <w:iCs/>
                <w:color w:val="000000"/>
                <w:sz w:val="18"/>
                <w:szCs w:val="18"/>
                <w:lang w:eastAsia="en-GB"/>
              </w:rPr>
              <w:t xml:space="preserve"> (yr)</w:t>
            </w:r>
          </w:p>
        </w:tc>
        <w:tc>
          <w:tcPr>
            <w:tcW w:w="504" w:type="pct"/>
            <w:noWrap/>
          </w:tcPr>
          <w:p w14:paraId="5C1BDAB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33A19C08"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59EBAFAD"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41BF78B5"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69869111"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8" w:type="pct"/>
          </w:tcPr>
          <w:p w14:paraId="6A7826CB"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c>
          <w:tcPr>
            <w:tcW w:w="449" w:type="pct"/>
          </w:tcPr>
          <w:p w14:paraId="1E752FFC" w14:textId="77777777" w:rsidR="00A31B1B" w:rsidRPr="002419B6" w:rsidRDefault="00A31B1B" w:rsidP="002419B6">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2419B6">
              <w:rPr>
                <w:rFonts w:eastAsia="Times New Roman" w:cs="Arial"/>
                <w:color w:val="000000"/>
                <w:sz w:val="18"/>
                <w:szCs w:val="18"/>
                <w:lang w:eastAsia="en-GB"/>
              </w:rPr>
              <w:t>25</w:t>
            </w:r>
          </w:p>
        </w:tc>
      </w:tr>
      <w:tr w:rsidR="00A31B1B" w:rsidRPr="002419B6" w14:paraId="6A1ADA39" w14:textId="77777777" w:rsidTr="003E18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4" w:type="pct"/>
            <w:vMerge/>
          </w:tcPr>
          <w:p w14:paraId="7C5F7035" w14:textId="77777777" w:rsidR="00A31B1B" w:rsidRPr="002419B6" w:rsidRDefault="00A31B1B" w:rsidP="00677A56">
            <w:pPr>
              <w:spacing w:before="0" w:after="0"/>
              <w:jc w:val="center"/>
              <w:rPr>
                <w:rFonts w:eastAsia="Times New Roman" w:cs="Arial"/>
                <w:color w:val="000000"/>
                <w:sz w:val="18"/>
                <w:szCs w:val="18"/>
                <w:lang w:eastAsia="en-GB"/>
              </w:rPr>
            </w:pPr>
          </w:p>
        </w:tc>
        <w:tc>
          <w:tcPr>
            <w:tcW w:w="1493" w:type="pct"/>
            <w:noWrap/>
          </w:tcPr>
          <w:p w14:paraId="74608A60" w14:textId="79B99A5D" w:rsidR="00A31B1B" w:rsidRPr="002419B6" w:rsidRDefault="00A31B1B" w:rsidP="002419B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GB"/>
              </w:rPr>
            </w:pPr>
            <w:r w:rsidRPr="002419B6">
              <w:rPr>
                <w:rFonts w:eastAsia="Times New Roman" w:cs="Arial"/>
                <w:i/>
                <w:iCs/>
                <w:color w:val="000000"/>
                <w:sz w:val="18"/>
                <w:szCs w:val="18"/>
                <w:lang w:eastAsia="en-GB"/>
              </w:rPr>
              <w:t>Emission Factor</w:t>
            </w:r>
            <w:r w:rsidR="001D162F">
              <w:rPr>
                <w:rFonts w:eastAsia="Times New Roman" w:cs="Arial"/>
                <w:i/>
                <w:iCs/>
                <w:color w:val="000000"/>
                <w:sz w:val="18"/>
                <w:szCs w:val="18"/>
                <w:vertAlign w:val="superscript"/>
                <w:lang w:eastAsia="en-GB"/>
              </w:rPr>
              <w:t>b</w:t>
            </w:r>
            <w:r w:rsidRPr="002419B6">
              <w:rPr>
                <w:rFonts w:eastAsia="Times New Roman" w:cs="Arial"/>
                <w:i/>
                <w:iCs/>
                <w:color w:val="000000"/>
                <w:sz w:val="18"/>
                <w:szCs w:val="18"/>
                <w:lang w:eastAsia="en-GB"/>
              </w:rPr>
              <w:t xml:space="preserve"> (kg</w:t>
            </w:r>
            <w:r w:rsidRPr="002419B6">
              <w:rPr>
                <w:rFonts w:eastAsia="Times New Roman" w:cs="Arial"/>
                <w:i/>
                <w:iCs/>
                <w:color w:val="000000"/>
                <w:sz w:val="18"/>
                <w:szCs w:val="18"/>
                <w:vertAlign w:val="subscript"/>
                <w:lang w:eastAsia="en-GB"/>
              </w:rPr>
              <w:t>CO2e</w:t>
            </w:r>
            <w:r w:rsidRPr="002419B6">
              <w:rPr>
                <w:rFonts w:eastAsia="Times New Roman" w:cs="Arial"/>
                <w:i/>
                <w:iCs/>
                <w:color w:val="000000"/>
                <w:sz w:val="18"/>
                <w:szCs w:val="18"/>
                <w:lang w:eastAsia="en-GB"/>
              </w:rPr>
              <w:t>/kWh</w:t>
            </w:r>
            <w:r w:rsidRPr="002419B6">
              <w:rPr>
                <w:rFonts w:eastAsia="Times New Roman" w:cs="Arial"/>
                <w:i/>
                <w:iCs/>
                <w:color w:val="000000"/>
                <w:sz w:val="18"/>
                <w:szCs w:val="18"/>
                <w:vertAlign w:val="subscript"/>
                <w:lang w:eastAsia="en-GB"/>
              </w:rPr>
              <w:t>H2</w:t>
            </w:r>
            <w:r w:rsidRPr="002419B6">
              <w:rPr>
                <w:rFonts w:eastAsia="Times New Roman" w:cs="Arial"/>
                <w:i/>
                <w:iCs/>
                <w:color w:val="000000"/>
                <w:sz w:val="18"/>
                <w:szCs w:val="18"/>
                <w:lang w:eastAsia="en-GB"/>
              </w:rPr>
              <w:t>)</w:t>
            </w:r>
          </w:p>
        </w:tc>
        <w:tc>
          <w:tcPr>
            <w:tcW w:w="504" w:type="pct"/>
            <w:noWrap/>
          </w:tcPr>
          <w:p w14:paraId="36A97F15"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0.081</w:t>
            </w:r>
          </w:p>
        </w:tc>
        <w:tc>
          <w:tcPr>
            <w:tcW w:w="448" w:type="pct"/>
          </w:tcPr>
          <w:p w14:paraId="1F7D2C5C"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0.061</w:t>
            </w:r>
          </w:p>
        </w:tc>
        <w:tc>
          <w:tcPr>
            <w:tcW w:w="448" w:type="pct"/>
          </w:tcPr>
          <w:p w14:paraId="201B9632"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0.048</w:t>
            </w:r>
          </w:p>
        </w:tc>
        <w:tc>
          <w:tcPr>
            <w:tcW w:w="448" w:type="pct"/>
          </w:tcPr>
          <w:p w14:paraId="5D5DCEA9"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72CE02B5"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0.024</w:t>
            </w:r>
          </w:p>
        </w:tc>
        <w:tc>
          <w:tcPr>
            <w:tcW w:w="448" w:type="pct"/>
          </w:tcPr>
          <w:p w14:paraId="644AC75F"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0.020</w:t>
            </w:r>
          </w:p>
        </w:tc>
        <w:tc>
          <w:tcPr>
            <w:tcW w:w="449" w:type="pct"/>
          </w:tcPr>
          <w:p w14:paraId="23CF7DD3" w14:textId="77777777" w:rsidR="00A31B1B" w:rsidRPr="002419B6" w:rsidRDefault="00A31B1B" w:rsidP="002419B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2419B6">
              <w:rPr>
                <w:rFonts w:cs="Arial"/>
                <w:color w:val="000000"/>
                <w:sz w:val="18"/>
                <w:szCs w:val="18"/>
              </w:rPr>
              <w:t>0.016</w:t>
            </w:r>
          </w:p>
        </w:tc>
      </w:tr>
    </w:tbl>
    <w:p w14:paraId="1CA4BDFD" w14:textId="613F90EC" w:rsidR="002419B6" w:rsidRDefault="002419B6" w:rsidP="002419B6">
      <w:r>
        <w:t xml:space="preserve">Appendix </w:t>
      </w:r>
      <w:r>
        <w:fldChar w:fldCharType="begin"/>
      </w:r>
      <w:r>
        <w:instrText xml:space="preserve"> REF _Ref55412437 \r \h </w:instrText>
      </w:r>
      <w:r>
        <w:fldChar w:fldCharType="separate"/>
      </w:r>
      <w:r w:rsidR="005851DD">
        <w:t>C.14</w:t>
      </w:r>
      <w:r>
        <w:fldChar w:fldCharType="end"/>
      </w:r>
      <w:r>
        <w:t xml:space="preserve"> and </w:t>
      </w:r>
      <w:r>
        <w:fldChar w:fldCharType="begin"/>
      </w:r>
      <w:r>
        <w:instrText xml:space="preserve"> REF _Ref55412438 \r \h </w:instrText>
      </w:r>
      <w:r>
        <w:fldChar w:fldCharType="separate"/>
      </w:r>
      <w:r w:rsidR="005851DD">
        <w:t>C.15</w:t>
      </w:r>
      <w:r>
        <w:fldChar w:fldCharType="end"/>
      </w:r>
      <w:r>
        <w:t xml:space="preserve"> show the assumptions and calculations used for hydrogen purification/separation technologies.</w:t>
      </w:r>
    </w:p>
    <w:p w14:paraId="53F87D32" w14:textId="128EFEE1" w:rsidR="0063474F" w:rsidRDefault="0063474F" w:rsidP="0063474F">
      <w:pPr>
        <w:pStyle w:val="Heading3"/>
      </w:pPr>
      <w:r>
        <w:t>Further assumptions</w:t>
      </w:r>
    </w:p>
    <w:p w14:paraId="2106F4C9" w14:textId="6B0A733A" w:rsidR="0063474F" w:rsidRDefault="0063474F" w:rsidP="009B7DDA">
      <w:pPr>
        <w:pStyle w:val="ListParagraph"/>
        <w:numPr>
          <w:ilvl w:val="0"/>
          <w:numId w:val="0"/>
        </w:numPr>
        <w:spacing w:line="240" w:lineRule="auto"/>
        <w:ind w:left="714"/>
      </w:pPr>
      <w:r>
        <w:t>A discount rate of 5% was assumed</w:t>
      </w:r>
      <w:r w:rsidR="00B3641B">
        <w:t xml:space="preserve"> </w:t>
      </w:r>
      <w:r w:rsidR="00B3641B">
        <w:fldChar w:fldCharType="begin">
          <w:fldData xml:space="preserve">PEVuZE5vdGU+PENpdGU+PEF1dGhvcj5Nb3Jlbm8tQmVuaXRvPC9BdXRob3I+PFllYXI+MjAxNzwv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</w:fldData>
        </w:fldChar>
      </w:r>
      <w:r w:rsidR="006210AE">
        <w:instrText xml:space="preserve"> ADDIN EN.CITE </w:instrText>
      </w:r>
      <w:r w:rsidR="006210AE">
        <w:fldChar w:fldCharType="begin">
          <w:fldData xml:space="preserve">PEVuZE5vdGU+PENpdGU+PEF1dGhvcj5Nb3Jlbm8tQmVuaXRvPC9BdXRob3I+PFllYXI+MjAxNzwv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</w:fldData>
        </w:fldChar>
      </w:r>
      <w:r w:rsidR="006210AE">
        <w:instrText xml:space="preserve"> ADDIN EN.CITE.DATA </w:instrText>
      </w:r>
      <w:r w:rsidR="006210AE">
        <w:fldChar w:fldCharType="end"/>
      </w:r>
      <w:r w:rsidR="00B3641B">
        <w:fldChar w:fldCharType="separate"/>
      </w:r>
      <w:r w:rsidR="006210AE">
        <w:rPr>
          <w:noProof/>
        </w:rPr>
        <w:t>[</w:t>
      </w:r>
      <w:hyperlink w:anchor="_ENREF_33" w:tooltip="Moreno-Benito, 2017 #1098" w:history="1">
        <w:r w:rsidR="006210AE">
          <w:rPr>
            <w:noProof/>
          </w:rPr>
          <w:t>33</w:t>
        </w:r>
      </w:hyperlink>
      <w:r w:rsidR="006210AE">
        <w:rPr>
          <w:noProof/>
        </w:rPr>
        <w:t xml:space="preserve">, </w:t>
      </w:r>
      <w:hyperlink w:anchor="_ENREF_64" w:tooltip="Almansoori, 2012 #1088" w:history="1">
        <w:r w:rsidR="006210AE">
          <w:rPr>
            <w:noProof/>
          </w:rPr>
          <w:t>64</w:t>
        </w:r>
      </w:hyperlink>
      <w:r w:rsidR="006210AE">
        <w:rPr>
          <w:noProof/>
        </w:rPr>
        <w:t>]</w:t>
      </w:r>
      <w:r w:rsidR="00B3641B">
        <w:fldChar w:fldCharType="end"/>
      </w:r>
      <w:r>
        <w:t>.</w:t>
      </w:r>
    </w:p>
    <w:p w14:paraId="1A652D68" w14:textId="79899C93" w:rsidR="0041538E" w:rsidRDefault="0080215A" w:rsidP="00D30284">
      <w:pPr>
        <w:pStyle w:val="Heading2"/>
      </w:pPr>
      <w:bookmarkStart w:id="68" w:name="_Ref57208082"/>
      <w:r>
        <w:t xml:space="preserve">Case study </w:t>
      </w:r>
      <w:r w:rsidR="0041538E">
        <w:t>definition</w:t>
      </w:r>
      <w:bookmarkEnd w:id="68"/>
    </w:p>
    <w:p w14:paraId="111800DD" w14:textId="41A6F54A" w:rsidR="00CB2C3F" w:rsidRDefault="00CB2C3F" w:rsidP="00CB2C3F">
      <w:r w:rsidRPr="00F3311C">
        <w:t xml:space="preserve">Three </w:t>
      </w:r>
      <w:r w:rsidR="0080215A" w:rsidRPr="00F3311C">
        <w:t>case studies corresponding to different scenarios</w:t>
      </w:r>
      <w:r w:rsidRPr="00F3311C">
        <w:t xml:space="preserve"> were</w:t>
      </w:r>
      <w:r w:rsidR="0080215A" w:rsidRPr="00F3311C">
        <w:t xml:space="preserve"> implemented and studied in this work</w:t>
      </w:r>
      <w:r w:rsidR="00534106">
        <w:t>, plus a sensitivity analysis</w:t>
      </w:r>
      <w:r w:rsidR="0080215A" w:rsidRPr="00F3311C">
        <w:t xml:space="preserve">. </w:t>
      </w:r>
      <w:r w:rsidRPr="00F3311C">
        <w:t xml:space="preserve">All </w:t>
      </w:r>
      <w:r w:rsidR="0080215A" w:rsidRPr="00F3311C">
        <w:t xml:space="preserve">cases </w:t>
      </w:r>
      <w:r w:rsidRPr="00F3311C">
        <w:t xml:space="preserve">were implemented in GAMS </w:t>
      </w:r>
      <w:r w:rsidR="0080215A" w:rsidRPr="00F3311C">
        <w:t xml:space="preserve">software </w:t>
      </w:r>
      <w:r w:rsidRPr="00F3311C">
        <w:t xml:space="preserve">and solved using CPLEX </w:t>
      </w:r>
      <w:r w:rsidR="0080215A" w:rsidRPr="00F3311C">
        <w:t xml:space="preserve">solver. The three cases </w:t>
      </w:r>
      <w:r w:rsidR="00534106">
        <w:t xml:space="preserve">and sensitivity analysis </w:t>
      </w:r>
      <w:r w:rsidR="0080215A" w:rsidRPr="00F3311C">
        <w:t>are defined as follows:</w:t>
      </w:r>
    </w:p>
    <w:p w14:paraId="60E5CAB7" w14:textId="4BA20A65" w:rsidR="00CB2C3F" w:rsidRDefault="00CB2C3F" w:rsidP="0080215A">
      <w:pPr>
        <w:pStyle w:val="ListParagraph"/>
        <w:numPr>
          <w:ilvl w:val="0"/>
          <w:numId w:val="20"/>
        </w:numPr>
        <w:spacing w:before="0" w:line="240" w:lineRule="auto"/>
        <w:ind w:left="1434" w:hanging="357"/>
      </w:pPr>
      <w:r>
        <w:t xml:space="preserve">Base </w:t>
      </w:r>
      <w:r w:rsidR="000A37D0">
        <w:t>C</w:t>
      </w:r>
      <w:r>
        <w:t>ase – Analysing</w:t>
      </w:r>
      <w:r w:rsidR="006720EF">
        <w:t xml:space="preserve"> optimal</w:t>
      </w:r>
      <w:r>
        <w:t xml:space="preserve"> hydrogen supply chain configuration</w:t>
      </w:r>
      <w:r w:rsidR="006720EF">
        <w:t>s</w:t>
      </w:r>
      <w:r>
        <w:t xml:space="preserve"> for low, m</w:t>
      </w:r>
      <w:r w:rsidR="0080215A">
        <w:t xml:space="preserve">edium, </w:t>
      </w:r>
      <w:r w:rsidR="0080215A" w:rsidRPr="000339F8">
        <w:t xml:space="preserve">and </w:t>
      </w:r>
      <w:r w:rsidRPr="000339F8">
        <w:t>high carbon price</w:t>
      </w:r>
      <w:r w:rsidR="000339F8">
        <w:t>s (</w:t>
      </w:r>
      <w:r w:rsidR="000339F8">
        <w:fldChar w:fldCharType="begin"/>
      </w:r>
      <w:r w:rsidR="000339F8">
        <w:instrText xml:space="preserve"> REF _Ref57208160 \h </w:instrText>
      </w:r>
      <w:r w:rsidR="000339F8">
        <w:fldChar w:fldCharType="separate"/>
      </w:r>
      <w:r w:rsidR="00BA7B57">
        <w:t xml:space="preserve">Table </w:t>
      </w:r>
      <w:r w:rsidR="00BA7B57">
        <w:rPr>
          <w:noProof/>
        </w:rPr>
        <w:t>6</w:t>
      </w:r>
      <w:r w:rsidR="000339F8">
        <w:fldChar w:fldCharType="end"/>
      </w:r>
      <w:r w:rsidR="000339F8">
        <w:t>)</w:t>
      </w:r>
      <w:r w:rsidRPr="000339F8">
        <w:t>.</w:t>
      </w:r>
    </w:p>
    <w:p w14:paraId="6A9EC3AB" w14:textId="368967AF" w:rsidR="00CB2C3F" w:rsidRDefault="0080215A" w:rsidP="0080215A">
      <w:pPr>
        <w:pStyle w:val="ListParagraph"/>
        <w:numPr>
          <w:ilvl w:val="0"/>
          <w:numId w:val="20"/>
        </w:numPr>
        <w:spacing w:before="0" w:line="240" w:lineRule="auto"/>
        <w:ind w:left="1434" w:hanging="357"/>
      </w:pPr>
      <w:r>
        <w:t>Case 1</w:t>
      </w:r>
      <w:r w:rsidR="00CB2C3F">
        <w:t xml:space="preserve"> – Analysing how the hydrogen supply chain configuration is affected by extending the carbon price, in order to achieve a deeper level of decarbonisation for hydrogen in the transport sector in Great Britain.</w:t>
      </w:r>
    </w:p>
    <w:p w14:paraId="2CBBA68D" w14:textId="2275994A" w:rsidR="00E549EA" w:rsidRDefault="0080215A" w:rsidP="00E549EA">
      <w:pPr>
        <w:pStyle w:val="ListParagraph"/>
        <w:numPr>
          <w:ilvl w:val="0"/>
          <w:numId w:val="20"/>
        </w:numPr>
        <w:spacing w:before="0" w:line="240" w:lineRule="auto"/>
        <w:ind w:left="1434" w:hanging="357"/>
      </w:pPr>
      <w:r>
        <w:lastRenderedPageBreak/>
        <w:t>Case 2</w:t>
      </w:r>
      <w:r w:rsidR="00CB2C3F">
        <w:t xml:space="preserve"> – Exploring the feasibility of blending hydrogen into the local gas distribution network by varying the learning rate of separation/purification technologies.</w:t>
      </w:r>
    </w:p>
    <w:p w14:paraId="0A23152B" w14:textId="3B367BE3" w:rsidR="00E549EA" w:rsidRDefault="00E549EA" w:rsidP="00E549EA">
      <w:pPr>
        <w:pStyle w:val="ListParagraph"/>
        <w:numPr>
          <w:ilvl w:val="0"/>
          <w:numId w:val="20"/>
        </w:numPr>
        <w:spacing w:before="0" w:line="240" w:lineRule="auto"/>
        <w:ind w:left="1434" w:hanging="357"/>
      </w:pPr>
      <w:r>
        <w:t>Sensitivity Analysis – Looking at the effect of gas price and solar PV CAPEX variation through a sensitivity analysis. The gas price was varied in accordance with BEIS’</w:t>
      </w:r>
      <w:r w:rsidR="00224700">
        <w:t>s</w:t>
      </w:r>
      <w:r>
        <w:t xml:space="preserve"> high and low future estimates</w:t>
      </w:r>
      <w:r w:rsidR="003F7BB2">
        <w:t xml:space="preserve"> </w:t>
      </w:r>
      <w:r w:rsidR="003F7BB2">
        <w:fldChar w:fldCharType="begin"/>
      </w:r>
      <w:r w:rsidR="003F7BB2">
        <w:instrText xml:space="preserve"> ADDIN EN.CITE &lt;EndNote&gt;&lt;Cite&gt;&lt;Author&gt;BEIS&lt;/Author&gt;&lt;Year&gt;2020&lt;/Year&gt;&lt;RecNum&gt;1035&lt;/RecNum&gt;&lt;DisplayText&gt;[46, 47]&lt;/DisplayText&gt;&lt;record&gt;&lt;rec-number&gt;1035&lt;/rec-number&gt;&lt;foreign-keys&gt;&lt;key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Cite&gt;&lt;Author&gt;BEIS&lt;/Author&gt;&lt;Year&gt;2019&lt;/Year&gt;&lt;RecNum&gt;1032&lt;/RecNum&gt;&lt;record&gt;&lt;rec-number&gt;1032&lt;/rec-number&gt;&lt;foreign-keys&gt;&lt;key app="EN" db-id="w500zpaaheraz8epaw1p29dtf2ff9zrswv50" timestamp="1607697901"&gt;1032&lt;/key&gt;&lt;/foreign-keys&gt;&lt;ref-type name="Web Page"&gt;12&lt;/ref-type&gt;&lt;contributors&gt;&lt;authors&gt;&lt;author&gt;BEIS&lt;/author&gt;&lt;/authors&gt;&lt;/contributors&gt;&lt;titles&gt;&lt;title&gt;Updated energy and emissions projections 2018&lt;/title&gt;&lt;secondary-title&gt;The Energy White Paper&lt;/secondary-title&gt;&lt;/titles&gt;&lt;periodical&gt;&lt;full-title&gt;The Energy White Paper&lt;/full-title&gt;&lt;/periodical&gt;&lt;pages&gt;35-35&lt;/pages&gt;&lt;number&gt;April&lt;/number&gt;&lt;dates&gt;&lt;year&gt;2019&lt;/year&gt;&lt;/dates&gt;&lt;publisher&gt;Department for Business, Energy, and Industrial Strategy,&lt;/publisher&gt;&lt;isbn&gt;4473467467345&lt;/isbn&gt;&lt;urls&gt;&lt;related-urls&gt;&lt;url&gt;https://assets.publishing.service.gov.uk/government/uploads/system/uploads/attachment_data/file/794590/updated-energy-and-emissions-projections-2018.pdf%0Ahttps://www.gov.uk/government/uploads/system/uploads/attachment_data/file/239937/uep_2013.pdf&lt;/url&gt;&lt;/related-urls&gt;&lt;/urls&gt;&lt;/record&gt;&lt;/Cite&gt;&lt;/EndNote&gt;</w:instrText>
      </w:r>
      <w:r w:rsidR="003F7BB2">
        <w:fldChar w:fldCharType="separate"/>
      </w:r>
      <w:r w:rsidR="003F7BB2">
        <w:rPr>
          <w:noProof/>
        </w:rPr>
        <w:t>[</w:t>
      </w:r>
      <w:hyperlink w:anchor="_ENREF_46" w:tooltip="BEIS, 2020 #1035" w:history="1">
        <w:r w:rsidR="006210AE">
          <w:rPr>
            <w:noProof/>
          </w:rPr>
          <w:t>46</w:t>
        </w:r>
      </w:hyperlink>
      <w:r w:rsidR="003F7BB2">
        <w:rPr>
          <w:noProof/>
        </w:rPr>
        <w:t xml:space="preserve">, </w:t>
      </w:r>
      <w:hyperlink w:anchor="_ENREF_47" w:tooltip="BEIS, 2019 #1032" w:history="1">
        <w:r w:rsidR="006210AE">
          <w:rPr>
            <w:noProof/>
          </w:rPr>
          <w:t>47</w:t>
        </w:r>
      </w:hyperlink>
      <w:r w:rsidR="003F7BB2">
        <w:rPr>
          <w:noProof/>
        </w:rPr>
        <w:t>]</w:t>
      </w:r>
      <w:r w:rsidR="003F7BB2">
        <w:fldChar w:fldCharType="end"/>
      </w:r>
      <w:r w:rsidR="00224700">
        <w:t>,</w:t>
      </w:r>
      <w:r>
        <w:t xml:space="preserve"> and the solar PV CAPEX was varied by assuming a learning rate range of 5-10%.</w:t>
      </w:r>
    </w:p>
    <w:p w14:paraId="6DB4FA8C" w14:textId="14866222" w:rsidR="00F1218C" w:rsidRDefault="00B871F9" w:rsidP="00B01930">
      <w:pPr>
        <w:spacing w:before="0" w:line="240" w:lineRule="auto"/>
      </w:pPr>
      <w:r>
        <w:t xml:space="preserve">The Base Case has 182 blocks of equations with 3,196,906 single equations, and 65 blocks of variables with 3,600,990 single variables. It took 47.681 seconds to generate, and 107.526 seconds to execute. </w:t>
      </w:r>
    </w:p>
    <w:p w14:paraId="368BBAFC" w14:textId="1E4F5871" w:rsidR="0041538E" w:rsidRDefault="0041538E" w:rsidP="00A6252F">
      <w:pPr>
        <w:pStyle w:val="Heading1"/>
      </w:pPr>
      <w:r>
        <w:t>Results and discussion</w:t>
      </w:r>
    </w:p>
    <w:p w14:paraId="6500B161" w14:textId="1C557BD5" w:rsidR="006720EF" w:rsidRPr="006720EF" w:rsidRDefault="006720EF" w:rsidP="00557CCA">
      <w:r>
        <w:t>This section presents the results for th</w:t>
      </w:r>
      <w:r w:rsidRPr="003C7AF3">
        <w:t>e three</w:t>
      </w:r>
      <w:r>
        <w:t xml:space="preserve"> cases described previously.</w:t>
      </w:r>
    </w:p>
    <w:p w14:paraId="742FF257" w14:textId="78132876" w:rsidR="000A37D0" w:rsidRPr="008056F4" w:rsidRDefault="000A37D0" w:rsidP="008056F4">
      <w:pPr>
        <w:pStyle w:val="Heading2"/>
      </w:pPr>
      <w:r w:rsidRPr="008056F4">
        <w:t>Base Case</w:t>
      </w:r>
    </w:p>
    <w:p w14:paraId="134A3526" w14:textId="4016FE7C" w:rsidR="000B3E51" w:rsidRDefault="006720EF" w:rsidP="00B4436D">
      <w:r>
        <w:t xml:space="preserve">The first component of the supply chain that was assessed was the installed production capacity methods of hydrogen. For all three carbon price scenarios, it was observed that steam methane reforming made up </w:t>
      </w:r>
      <w:r w:rsidR="0027781E">
        <w:t>most of</w:t>
      </w:r>
      <w:r>
        <w:t xml:space="preserve"> the production capacity for all time periods. PEM electrolysis powered by wind turbines was seen to be introduced in 2050 for all carbon price scenarios, </w:t>
      </w:r>
      <w:r w:rsidRPr="000B3E51">
        <w:t>as s</w:t>
      </w:r>
      <w:r w:rsidR="000B3E51" w:rsidRPr="000B3E51">
        <w:t xml:space="preserve">hown in </w:t>
      </w:r>
      <w:r w:rsidR="000B3E51" w:rsidRPr="000B3E51">
        <w:fldChar w:fldCharType="begin"/>
      </w:r>
      <w:r w:rsidR="000B3E51" w:rsidRPr="000B3E51">
        <w:instrText xml:space="preserve"> REF _Ref57281885 \h </w:instrText>
      </w:r>
      <w:r w:rsidR="000B3E51">
        <w:instrText xml:space="preserve"> \* MERGEFORMAT </w:instrText>
      </w:r>
      <w:r w:rsidR="000B3E51" w:rsidRPr="000B3E51">
        <w:fldChar w:fldCharType="separate"/>
      </w:r>
      <w:r w:rsidR="006E61A3">
        <w:t xml:space="preserve">Figure </w:t>
      </w:r>
      <w:r w:rsidR="006E61A3">
        <w:rPr>
          <w:noProof/>
        </w:rPr>
        <w:t>5</w:t>
      </w:r>
      <w:r w:rsidR="000B3E51" w:rsidRPr="000B3E51">
        <w:fldChar w:fldCharType="end"/>
      </w:r>
      <w:r w:rsidR="003E1875">
        <w:t xml:space="preserve"> </w:t>
      </w:r>
      <w:r w:rsidR="000B3E51">
        <w:t xml:space="preserve">and </w:t>
      </w:r>
      <w:r w:rsidR="000B3E51" w:rsidRPr="000B3E51">
        <w:fldChar w:fldCharType="begin"/>
      </w:r>
      <w:r w:rsidR="000B3E51" w:rsidRPr="000B3E51">
        <w:instrText xml:space="preserve"> REF _Ref57281886 \h </w:instrText>
      </w:r>
      <w:r w:rsidR="000B3E51">
        <w:instrText xml:space="preserve"> \* MERGEFORMAT </w:instrText>
      </w:r>
      <w:r w:rsidR="000B3E51" w:rsidRPr="000B3E51">
        <w:fldChar w:fldCharType="separate"/>
      </w:r>
      <w:r w:rsidR="006E61A3">
        <w:t xml:space="preserve">Figure </w:t>
      </w:r>
      <w:r w:rsidR="006E61A3">
        <w:rPr>
          <w:noProof/>
        </w:rPr>
        <w:t>6</w:t>
      </w:r>
      <w:r w:rsidR="000B3E51" w:rsidRPr="000B3E51">
        <w:fldChar w:fldCharType="end"/>
      </w:r>
      <w:r w:rsidR="000B3E51">
        <w:t>.</w:t>
      </w:r>
      <w:r>
        <w:t xml:space="preserve"> Unlike previous studies on hydrogen supply chain optimisation for transport in GB that considered conventional fossil fuel production methods and electrolysis</w:t>
      </w:r>
      <w:r w:rsidR="00B3641B">
        <w:t xml:space="preserve"> </w:t>
      </w:r>
      <w:r w:rsidR="00B3641B">
        <w:fldChar w:fldCharType="begin">
          <w:fldData xml:space="preserve">PEVuZE5vdGU+PENpdGU+PEF1dGhvcj5Nb3Jlbm8tQmVuaXRvPC9BdXRob3I+PFllYXI+MjAxNzwv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</w:fldData>
        </w:fldChar>
      </w:r>
      <w:r w:rsidR="006210AE">
        <w:instrText xml:space="preserve"> ADDIN EN.CITE </w:instrText>
      </w:r>
      <w:r w:rsidR="006210AE">
        <w:fldChar w:fldCharType="begin">
          <w:fldData xml:space="preserve">PEVuZE5vdGU+PENpdGU+PEF1dGhvcj5Nb3Jlbm8tQmVuaXRvPC9BdXRob3I+PFllYXI+MjAxNzwv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</w:fldData>
        </w:fldChar>
      </w:r>
      <w:r w:rsidR="006210AE">
        <w:instrText xml:space="preserve"> ADDIN EN.CITE.DATA </w:instrText>
      </w:r>
      <w:r w:rsidR="006210AE">
        <w:fldChar w:fldCharType="end"/>
      </w:r>
      <w:r w:rsidR="00B3641B">
        <w:fldChar w:fldCharType="separate"/>
      </w:r>
      <w:r w:rsidR="006210AE">
        <w:rPr>
          <w:noProof/>
        </w:rPr>
        <w:t>[</w:t>
      </w:r>
      <w:hyperlink w:anchor="_ENREF_33" w:tooltip="Moreno-Benito, 2017 #1098" w:history="1">
        <w:r w:rsidR="006210AE">
          <w:rPr>
            <w:noProof/>
          </w:rPr>
          <w:t>33</w:t>
        </w:r>
      </w:hyperlink>
      <w:r w:rsidR="006210AE">
        <w:rPr>
          <w:noProof/>
        </w:rPr>
        <w:t xml:space="preserve">, </w:t>
      </w:r>
      <w:hyperlink w:anchor="_ENREF_64" w:tooltip="Almansoori, 2012 #1088" w:history="1">
        <w:r w:rsidR="006210AE">
          <w:rPr>
            <w:noProof/>
          </w:rPr>
          <w:t>64</w:t>
        </w:r>
      </w:hyperlink>
      <w:r w:rsidR="006210AE">
        <w:rPr>
          <w:noProof/>
        </w:rPr>
        <w:t>]</w:t>
      </w:r>
      <w:r w:rsidR="00B3641B">
        <w:fldChar w:fldCharType="end"/>
      </w:r>
      <w:r w:rsidR="0027781E">
        <w:t xml:space="preserve">, in this study </w:t>
      </w:r>
      <w:r>
        <w:t>hydrogen production from electrolysis was selected by the model in 2050</w:t>
      </w:r>
      <w:r w:rsidR="0027781E" w:rsidRPr="0027781E">
        <w:t xml:space="preserve"> </w:t>
      </w:r>
      <w:r w:rsidR="0027781E">
        <w:t>- even in the base case</w:t>
      </w:r>
      <w:r>
        <w:t xml:space="preserve">. This could </w:t>
      </w:r>
      <w:r w:rsidR="0027781E">
        <w:t>reflect</w:t>
      </w:r>
      <w:r>
        <w:t xml:space="preserve"> the fact that estimated electrolysis prices have dropped significantly in recent years, as estimated by the Hydrogen Council</w:t>
      </w:r>
      <w:r w:rsidR="00D63DF4">
        <w:t xml:space="preserve"> </w:t>
      </w:r>
      <w:r w:rsidR="00D63DF4">
        <w:fldChar w:fldCharType="begin"/>
      </w:r>
      <w:r w:rsidR="006210AE">
        <w:instrText xml:space="preserve"> ADDIN EN.CITE &lt;EndNote&gt;&lt;Cite&gt;&lt;Author&gt;Hydrogen Council&lt;/Author&gt;&lt;Year&gt;2020&lt;/Year&gt;&lt;RecNum&gt;1003&lt;/RecNum&gt;&lt;DisplayText&gt;[65]&lt;/DisplayText&gt;&lt;record&gt;&lt;rec-number&gt;1003&lt;/rec-number&gt;&lt;foreign-keys&gt;&lt;key app="EN" db-id="w500zpaaheraz8epaw1p29dtf2ff9zrswv50" timestamp="1607697901"&gt;1003&lt;/key&gt;&lt;/foreign-keys&gt;&lt;ref-type name="Report"&gt;27&lt;/ref-type&gt;&lt;contributors&gt;&lt;authors&gt;&lt;author&gt;Hydrogen Council,&lt;/author&gt;&lt;/authors&gt;&lt;/contributors&gt;&lt;titles&gt;&lt;title&gt;Path to hydrogen competitiveness: A cost perspective&lt;/title&gt;&lt;/titles&gt;&lt;dates&gt;&lt;year&gt;2020&lt;/year&gt;&lt;/dates&gt;&lt;urls&gt;&lt;related-urls&gt;&lt;url&gt;https://hydrogencouncil.com/wp-content/uploads/2020/01/Path-to-Hydrogen-Competitiveness_Full-Study-1.pdf&lt;/url&gt;&lt;/related-urls&gt;&lt;pdf-urls&gt;&lt;url&gt;file://Users\David\Library\Application Support\Mendeley Desktop\Downloaded\Hydrogen Council - 2020 - Path to hydrogen competitiveness A cost perspective.pdf&lt;/url&gt;&lt;/pdf-urls&gt;&lt;/urls&gt;&lt;/record&gt;&lt;/Cite&gt;&lt;/EndNote&gt;</w:instrText>
      </w:r>
      <w:r w:rsidR="00D63DF4">
        <w:fldChar w:fldCharType="separate"/>
      </w:r>
      <w:r w:rsidR="006210AE">
        <w:rPr>
          <w:noProof/>
        </w:rPr>
        <w:t>[</w:t>
      </w:r>
      <w:hyperlink w:anchor="_ENREF_65" w:tooltip="Hydrogen Council, 2020 #1003" w:history="1">
        <w:r w:rsidR="006210AE">
          <w:rPr>
            <w:noProof/>
          </w:rPr>
          <w:t>65</w:t>
        </w:r>
      </w:hyperlink>
      <w:r w:rsidR="006210AE">
        <w:rPr>
          <w:noProof/>
        </w:rPr>
        <w:t>]</w:t>
      </w:r>
      <w:r w:rsidR="00D63DF4">
        <w:fldChar w:fldCharType="end"/>
      </w:r>
      <w:r>
        <w:t>.</w:t>
      </w:r>
    </w:p>
    <w:p w14:paraId="278B7130" w14:textId="1AC85AA5" w:rsidR="000B3E51" w:rsidRDefault="000B3E51" w:rsidP="006720EF">
      <w:pPr>
        <w:sectPr w:rsidR="000B3E51" w:rsidSect="00C433AD">
          <w:pgSz w:w="11906" w:h="16838"/>
          <w:pgMar w:top="1440" w:right="1440" w:bottom="1440" w:left="1440" w:header="708" w:footer="708" w:gutter="0"/>
          <w:cols w:space="708"/>
          <w:docGrid w:linePitch="360"/>
        </w:sect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5233"/>
        <w:gridCol w:w="5233"/>
      </w:tblGrid>
      <w:tr w:rsidR="000B3E51" w14:paraId="7BAF5C10" w14:textId="77777777" w:rsidTr="000B3E51">
        <w:tc>
          <w:tcPr>
            <w:tcW w:w="4508" w:type="dxa"/>
          </w:tcPr>
          <w:p w14:paraId="231E2828" w14:textId="77777777" w:rsidR="000B3E51" w:rsidRDefault="000B3E51" w:rsidP="000B3E51">
            <w:pPr>
              <w:keepNext/>
              <w:spacing w:before="0" w:after="0"/>
              <w:jc w:val="center"/>
            </w:pPr>
            <w:r>
              <w:rPr>
                <w:noProof/>
              </w:rPr>
              <w:drawing>
                <wp:inline distT="0" distB="0" distL="0" distR="0" wp14:anchorId="3B5A534F" wp14:editId="4A2265F7">
                  <wp:extent cx="3384000" cy="2340000"/>
                  <wp:effectExtent l="0" t="0" r="6985" b="3175"/>
                  <wp:docPr id="44" name="Chart 44">
                    <a:extLst xmlns:a="http://schemas.openxmlformats.org/drawingml/2006/main">
                      <a:ext uri="{FF2B5EF4-FFF2-40B4-BE49-F238E27FC236}">
                        <a16:creationId xmlns:a16="http://schemas.microsoft.com/office/drawing/2014/main" id="{3A23141C-118E-4248-A476-11B6F0A88AB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7504BC" w14:textId="2AE0886E" w:rsidR="000B3E51" w:rsidRDefault="000B3E51" w:rsidP="000B3E51">
            <w:pPr>
              <w:pStyle w:val="Caption"/>
              <w:spacing w:before="0"/>
            </w:pPr>
            <w:bookmarkStart w:id="69" w:name="_Ref57281885"/>
            <w:r>
              <w:t xml:space="preserve">Figure </w:t>
            </w:r>
            <w:fldSimple w:instr=" SEQ Figure \* ARABIC ">
              <w:r w:rsidR="0031241E">
                <w:rPr>
                  <w:noProof/>
                </w:rPr>
                <w:t>5</w:t>
              </w:r>
            </w:fldSimple>
            <w:bookmarkEnd w:id="69"/>
            <w:r>
              <w:t>: Hydrogen production technologies installed capacity, low and mid carbon price.</w:t>
            </w:r>
          </w:p>
        </w:tc>
        <w:tc>
          <w:tcPr>
            <w:tcW w:w="4508" w:type="dxa"/>
          </w:tcPr>
          <w:p w14:paraId="33D05B04" w14:textId="77777777" w:rsidR="000B3E51" w:rsidRDefault="000B3E51" w:rsidP="000B3E51">
            <w:pPr>
              <w:keepNext/>
              <w:spacing w:before="0" w:after="0"/>
              <w:jc w:val="center"/>
            </w:pPr>
            <w:r>
              <w:rPr>
                <w:noProof/>
              </w:rPr>
              <w:drawing>
                <wp:inline distT="0" distB="0" distL="0" distR="0" wp14:anchorId="0173354C" wp14:editId="1D9201B2">
                  <wp:extent cx="3384000" cy="2340000"/>
                  <wp:effectExtent l="0" t="0" r="6985" b="3175"/>
                  <wp:docPr id="45" name="Chart 45">
                    <a:extLst xmlns:a="http://schemas.openxmlformats.org/drawingml/2006/main">
                      <a:ext uri="{FF2B5EF4-FFF2-40B4-BE49-F238E27FC236}">
                        <a16:creationId xmlns:a16="http://schemas.microsoft.com/office/drawing/2014/main" id="{0181CB17-02F7-457D-B086-092C2CE9C5D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4358B7" w14:textId="78127FCF" w:rsidR="000B3E51" w:rsidRDefault="000B3E51" w:rsidP="000B3E51">
            <w:pPr>
              <w:pStyle w:val="Caption"/>
              <w:spacing w:before="0"/>
            </w:pPr>
            <w:bookmarkStart w:id="70" w:name="_Ref57281886"/>
            <w:r>
              <w:t xml:space="preserve">Figure </w:t>
            </w:r>
            <w:fldSimple w:instr=" SEQ Figure \* ARABIC ">
              <w:r w:rsidR="0031241E">
                <w:rPr>
                  <w:noProof/>
                </w:rPr>
                <w:t>6</w:t>
              </w:r>
            </w:fldSimple>
            <w:bookmarkEnd w:id="70"/>
            <w:r>
              <w:t>: Hydrogen production technologies installed capacity, high carbon price.</w:t>
            </w:r>
          </w:p>
        </w:tc>
      </w:tr>
    </w:tbl>
    <w:p w14:paraId="34DC87A7" w14:textId="77777777" w:rsidR="000B3E51" w:rsidRDefault="000B3E51" w:rsidP="006720EF">
      <w:pPr>
        <w:sectPr w:rsidR="000B3E51" w:rsidSect="000B3E51">
          <w:type w:val="continuous"/>
          <w:pgSz w:w="11906" w:h="16838"/>
          <w:pgMar w:top="720" w:right="720" w:bottom="720" w:left="720" w:header="708" w:footer="708" w:gutter="0"/>
          <w:cols w:space="708"/>
          <w:docGrid w:linePitch="360"/>
        </w:sectPr>
      </w:pPr>
    </w:p>
    <w:p w14:paraId="522680BC" w14:textId="1B854D89" w:rsidR="00C93894" w:rsidRDefault="00C93894" w:rsidP="00C93894">
      <w:bookmarkStart w:id="71" w:name="_Hlk78018996"/>
      <w:r>
        <w:t xml:space="preserve">It is important to also note that the model does not choose to install hydrogen production through electrolysis and solar PV production. There are two main reasons </w:t>
      </w:r>
      <w:r w:rsidR="00557CCA">
        <w:t>for this:</w:t>
      </w:r>
      <w:r>
        <w:t xml:space="preserve"> The first is due to the low-</w:t>
      </w:r>
      <w:r w:rsidR="00557CCA">
        <w:t xml:space="preserve">PV </w:t>
      </w:r>
      <w:r>
        <w:t xml:space="preserve">capacity factors observed around the UK as seen </w:t>
      </w:r>
      <w:r>
        <w:fldChar w:fldCharType="begin"/>
      </w:r>
      <w:r>
        <w:instrText xml:space="preserve"> REF _Ref48760926 \h </w:instrText>
      </w:r>
      <w:r>
        <w:fldChar w:fldCharType="separate"/>
      </w:r>
      <w:r w:rsidR="006E61A3">
        <w:t xml:space="preserve">Table </w:t>
      </w:r>
      <w:r w:rsidR="006E61A3">
        <w:rPr>
          <w:noProof/>
        </w:rPr>
        <w:t>20</w:t>
      </w:r>
      <w:r>
        <w:fldChar w:fldCharType="end"/>
      </w:r>
      <w:r w:rsidR="00557CCA">
        <w:t>,</w:t>
      </w:r>
      <w:r>
        <w:t xml:space="preserve"> which range from 10.2-13.6%. The second is due to the coarse temporal resolution of the model</w:t>
      </w:r>
      <w:r w:rsidR="00A40FFF">
        <w:t>, which is constrained by computational limitations</w:t>
      </w:r>
      <w:r>
        <w:t xml:space="preserve">. As renewables fluctuate greatly, an assumption around capacity factors had to be made on an annual basis as seen in Equation </w:t>
      </w:r>
      <w:r>
        <w:fldChar w:fldCharType="begin"/>
      </w:r>
      <w:r>
        <w:instrText xml:space="preserve"> REF _Ref54161537 \h </w:instrText>
      </w:r>
      <w:r>
        <w:fldChar w:fldCharType="separate"/>
      </w:r>
      <w:r w:rsidR="006E61A3" w:rsidRPr="00A30E3B">
        <w:t>(</w:t>
      </w:r>
      <w:r w:rsidR="006E61A3">
        <w:rPr>
          <w:noProof/>
        </w:rPr>
        <w:t>7</w:t>
      </w:r>
      <w:r w:rsidR="006E61A3" w:rsidRPr="00A30E3B">
        <w:t>)</w:t>
      </w:r>
      <w:r>
        <w:fldChar w:fldCharType="end"/>
      </w:r>
      <w:r>
        <w:t xml:space="preserve">. </w:t>
      </w:r>
      <w:r w:rsidR="00A40FFF">
        <w:t xml:space="preserve">This resolution, for example, does not allow to model possible curtailment, which could result in solar PV for hydrogen production to be more cost </w:t>
      </w:r>
      <w:r w:rsidR="00A40FFF">
        <w:lastRenderedPageBreak/>
        <w:t>effective. G</w:t>
      </w:r>
      <w:r>
        <w:t>reater matching of the production rate from solar PV and the demand for hydrogen f</w:t>
      </w:r>
      <w:r w:rsidR="00A40FFF">
        <w:t>or</w:t>
      </w:r>
      <w:r>
        <w:t xml:space="preserve"> transport may be achievable, however, this analysis would have to be done on a case-by-case basis</w:t>
      </w:r>
      <w:r w:rsidR="00A40FFF">
        <w:t xml:space="preserve"> or for a smaller model,</w:t>
      </w:r>
      <w:r>
        <w:t xml:space="preserve"> as it would require at least an hourly temporal resolution to identify these synergies</w:t>
      </w:r>
      <w:r w:rsidR="00A40FFF">
        <w:t>,</w:t>
      </w:r>
      <w:r>
        <w:t xml:space="preserve"> which would </w:t>
      </w:r>
      <w:r w:rsidR="00A40FFF">
        <w:t xml:space="preserve">make this case study not tractable. </w:t>
      </w:r>
    </w:p>
    <w:bookmarkEnd w:id="71"/>
    <w:p w14:paraId="75310A61" w14:textId="7F718AA1" w:rsidR="00407B85" w:rsidRDefault="00C80C15" w:rsidP="00407B85">
      <w:r>
        <w:t xml:space="preserve">As </w:t>
      </w:r>
      <w:r w:rsidR="00407B85">
        <w:t xml:space="preserve">the carbon price </w:t>
      </w:r>
      <w:r>
        <w:t xml:space="preserve">is varied from low to high, </w:t>
      </w:r>
      <w:r w:rsidR="00407B85">
        <w:t xml:space="preserve">only a minor increase in adoption </w:t>
      </w:r>
      <w:r>
        <w:t>of wind PEM production is observed by 2050</w:t>
      </w:r>
      <w:r w:rsidR="00407B85">
        <w:t xml:space="preserve"> at the high carbon </w:t>
      </w:r>
      <w:r>
        <w:t>p</w:t>
      </w:r>
      <w:r w:rsidR="00407B85">
        <w:t>rice</w:t>
      </w:r>
      <w:r>
        <w:t>: 26.1% of total production (3389 MW) at the high carbon price, versus 23.4% (2994 MW) of total production at mid and low carbon prices</w:t>
      </w:r>
      <w:r w:rsidR="00407B85">
        <w:t>. Furthermore, it is worth noting</w:t>
      </w:r>
      <w:r>
        <w:t xml:space="preserve"> that the</w:t>
      </w:r>
      <w:r w:rsidR="00407B85">
        <w:t xml:space="preserve"> increase in overall installed capacity observed </w:t>
      </w:r>
      <w:r>
        <w:t xml:space="preserve">by 2050 </w:t>
      </w:r>
      <w:r w:rsidR="00407B85">
        <w:t>at the high carbon price</w:t>
      </w:r>
      <w:r>
        <w:t xml:space="preserve"> is due to</w:t>
      </w:r>
      <w:r w:rsidR="00407B85">
        <w:t xml:space="preserve"> the requirement for the model to take into consideration the average annual capacity factors for renewable wind production. Thus, renewable hydrogen production must have a larger installed capacity to achieve the same level of production of hydrogen from its conventional fossil fuel counterparts.</w:t>
      </w:r>
    </w:p>
    <w:p w14:paraId="7355E6FE" w14:textId="50F65CE7" w:rsidR="006E3213" w:rsidRDefault="00946CB5" w:rsidP="006E3213">
      <w:pPr>
        <w:rPr>
          <w:shd w:val="clear" w:color="auto" w:fill="FFFFFF"/>
        </w:rPr>
      </w:pPr>
      <w:bookmarkStart w:id="72" w:name="_Hlk73637122"/>
      <w:r>
        <w:t>When c</w:t>
      </w:r>
      <w:r w:rsidR="00D8227B">
        <w:t xml:space="preserve">omparing the results from this model to other </w:t>
      </w:r>
      <w:r w:rsidR="00F524AD">
        <w:t>hydrogen supply chain models focusing on transport in GB, it can be seen that the</w:t>
      </w:r>
      <w:r w:rsidR="00D8227B">
        <w:t xml:space="preserve">se </w:t>
      </w:r>
      <w:r w:rsidR="00F524AD">
        <w:t xml:space="preserve">results </w:t>
      </w:r>
      <w:r w:rsidR="00D8227B">
        <w:t xml:space="preserve">are </w:t>
      </w:r>
      <w:r w:rsidR="00F524AD">
        <w:t>in-line with</w:t>
      </w:r>
      <w:r w:rsidR="00D8227B">
        <w:t xml:space="preserve"> other models’ results</w:t>
      </w:r>
      <w:r w:rsidR="00F524AD">
        <w:t xml:space="preserve">, and potentially show </w:t>
      </w:r>
      <w:r w:rsidR="00D8227B">
        <w:t xml:space="preserve">slightly more </w:t>
      </w:r>
      <w:r w:rsidR="00F524AD">
        <w:t xml:space="preserve">renewable </w:t>
      </w:r>
      <w:r w:rsidR="00D8227B">
        <w:t>hydrogen production penetration</w:t>
      </w:r>
      <w:r w:rsidR="006E3213">
        <w:t>. Agnolucci et al.</w:t>
      </w:r>
      <w:r w:rsidR="00D8227B">
        <w:t xml:space="preserve"> </w:t>
      </w:r>
      <w:r w:rsidR="00D8227B">
        <w:fldChar w:fldCharType="begin"/>
      </w:r>
      <w:r w:rsidR="006210AE">
        <w:instrText xml:space="preserve"> ADDIN EN.CITE &lt;EndNote&gt;&lt;Cite&gt;&lt;Author&gt;Agnolucci&lt;/Author&gt;&lt;Year&gt;2013&lt;/Year&gt;&lt;RecNum&gt;1338&lt;/RecNum&gt;&lt;DisplayText&gt;[66]&lt;/DisplayText&gt;&lt;record&gt;&lt;rec-number&gt;1338&lt;/rec-number&gt;&lt;foreign-keys&gt;&lt;key app="EN" db-id="w500zpaaheraz8epaw1p29dtf2ff9zrswv50" timestamp="1613139601"&gt;1338&lt;/key&gt;&lt;/foreign-keys&gt;&lt;ref-type name="Journal Article"&gt;17&lt;/ref-type&gt;&lt;contributors&gt;&lt;authors&gt;&lt;author&gt;Agnolucci, Paolo&lt;/author&gt;&lt;author&gt;Akgul, Ozlem&lt;/author&gt;&lt;author&gt;McDowall, William&lt;/author&gt;&lt;author&gt;Papageorgiou, Lazaros G.&lt;/author&gt;&lt;/authors&gt;&lt;/contributors&gt;&lt;titles&gt;&lt;title&gt;The importance of economies of scale, transport costs and demand patterns in optimising hydrogen fuelling infrastructure: An exploration with SHIPMod (Spatial hydrogen infrastructure planning model)&lt;/title&gt;&lt;secondary-title&gt;International Journal of Hydrogen Energy&lt;/secondary-title&gt;&lt;/titles&gt;&lt;periodical&gt;&lt;full-title&gt;International Journal of Hydrogen Energy&lt;/full-title&gt;&lt;/periodical&gt;&lt;pages&gt;11189-11201&lt;/pages&gt;&lt;volume&gt;38&lt;/volume&gt;&lt;number&gt;26&lt;/number&gt;&lt;keywords&gt;&lt;keyword&gt;Hydrogen supply chains&lt;/keyword&gt;&lt;keyword&gt;Mixed-integer linear programming&lt;/keyword&gt;&lt;keyword&gt;Infrastructure optimisation modelling&lt;/keyword&gt;&lt;/keywords&gt;&lt;dates&gt;&lt;year&gt;2013&lt;/year&gt;&lt;pub-dates&gt;&lt;date&gt;2013/08/30/&lt;/date&gt;&lt;/pub-dates&gt;&lt;/dates&gt;&lt;isbn&gt;0360-3199&lt;/isbn&gt;&lt;urls&gt;&lt;related-urls&gt;&lt;url&gt;https://www.sciencedirect.com/science/article/pii/S0360319913015413&lt;/url&gt;&lt;/related-urls&gt;&lt;/urls&gt;&lt;electronic-resource-num&gt;https://doi.org/10.1016/j.ijhydene.2013.06.071&lt;/electronic-resource-num&gt;&lt;/record&gt;&lt;/Cite&gt;&lt;/EndNote&gt;</w:instrText>
      </w:r>
      <w:r w:rsidR="00D8227B">
        <w:fldChar w:fldCharType="separate"/>
      </w:r>
      <w:r w:rsidR="006210AE">
        <w:rPr>
          <w:noProof/>
        </w:rPr>
        <w:t>[</w:t>
      </w:r>
      <w:hyperlink w:anchor="_ENREF_66" w:tooltip="Agnolucci, 2013 #1338" w:history="1">
        <w:r w:rsidR="006210AE">
          <w:rPr>
            <w:noProof/>
          </w:rPr>
          <w:t>66</w:t>
        </w:r>
      </w:hyperlink>
      <w:r w:rsidR="006210AE">
        <w:rPr>
          <w:noProof/>
        </w:rPr>
        <w:t>]</w:t>
      </w:r>
      <w:r w:rsidR="00D8227B">
        <w:fldChar w:fldCharType="end"/>
      </w:r>
      <w:r w:rsidR="00F524AD">
        <w:rPr>
          <w:shd w:val="clear" w:color="auto" w:fill="FFFFFF"/>
        </w:rPr>
        <w:t xml:space="preserve"> studied the development of </w:t>
      </w:r>
      <w:r w:rsidR="006E3213">
        <w:rPr>
          <w:shd w:val="clear" w:color="auto" w:fill="FFFFFF"/>
        </w:rPr>
        <w:t xml:space="preserve">a </w:t>
      </w:r>
      <w:r w:rsidR="00F524AD">
        <w:rPr>
          <w:shd w:val="clear" w:color="auto" w:fill="FFFFFF"/>
        </w:rPr>
        <w:t>hydrogen supply chain</w:t>
      </w:r>
      <w:r w:rsidR="006E3213">
        <w:rPr>
          <w:shd w:val="clear" w:color="auto" w:fill="FFFFFF"/>
        </w:rPr>
        <w:t xml:space="preserve"> in GB </w:t>
      </w:r>
      <w:r w:rsidR="00F524AD">
        <w:rPr>
          <w:shd w:val="clear" w:color="auto" w:fill="FFFFFF"/>
        </w:rPr>
        <w:t xml:space="preserve">using the SHIPmod </w:t>
      </w:r>
      <w:r w:rsidR="006E3213">
        <w:rPr>
          <w:shd w:val="clear" w:color="auto" w:fill="FFFFFF"/>
        </w:rPr>
        <w:t>model,</w:t>
      </w:r>
      <w:r w:rsidR="00F524AD">
        <w:rPr>
          <w:shd w:val="clear" w:color="auto" w:fill="FFFFFF"/>
        </w:rPr>
        <w:t xml:space="preserve"> which included</w:t>
      </w:r>
      <w:r w:rsidR="006E3213">
        <w:rPr>
          <w:shd w:val="clear" w:color="auto" w:fill="FFFFFF"/>
        </w:rPr>
        <w:t xml:space="preserve"> hydrogen production from SMR, coal gasification, biomass gasification, and electrolysis from renewables, </w:t>
      </w:r>
      <w:r w:rsidR="006E3213" w:rsidRPr="006E3213">
        <w:rPr>
          <w:shd w:val="clear" w:color="auto" w:fill="FFFFFF"/>
        </w:rPr>
        <w:t>including spatial</w:t>
      </w:r>
      <w:r w:rsidR="006E3213">
        <w:rPr>
          <w:shd w:val="clear" w:color="auto" w:fill="FFFFFF"/>
        </w:rPr>
        <w:t xml:space="preserve"> configurations of CCS</w:t>
      </w:r>
      <w:r w:rsidR="006E3213" w:rsidRPr="006E3213">
        <w:rPr>
          <w:shd w:val="clear" w:color="auto" w:fill="FFFFFF"/>
        </w:rPr>
        <w:t xml:space="preserve"> infrastructure</w:t>
      </w:r>
      <w:r w:rsidR="00F524AD">
        <w:rPr>
          <w:shd w:val="clear" w:color="auto" w:fill="FFFFFF"/>
        </w:rPr>
        <w:t xml:space="preserve">. </w:t>
      </w:r>
      <w:r w:rsidR="006E3213">
        <w:rPr>
          <w:shd w:val="clear" w:color="auto" w:fill="FFFFFF"/>
        </w:rPr>
        <w:t xml:space="preserve">Hydrogen produced from electrolysis was not selected in any of their modelled scenarios, which </w:t>
      </w:r>
      <w:r w:rsidR="00F524AD">
        <w:rPr>
          <w:shd w:val="clear" w:color="auto" w:fill="FFFFFF"/>
        </w:rPr>
        <w:t xml:space="preserve">highlights that renewable power to produce hydrogen </w:t>
      </w:r>
      <w:r w:rsidR="006E3213">
        <w:rPr>
          <w:shd w:val="clear" w:color="auto" w:fill="FFFFFF"/>
        </w:rPr>
        <w:t xml:space="preserve">was not </w:t>
      </w:r>
      <w:r w:rsidR="00F524AD">
        <w:rPr>
          <w:shd w:val="clear" w:color="auto" w:fill="FFFFFF"/>
        </w:rPr>
        <w:t>cost competitive u</w:t>
      </w:r>
      <w:r w:rsidR="006E3213">
        <w:rPr>
          <w:shd w:val="clear" w:color="auto" w:fill="FFFFFF"/>
        </w:rPr>
        <w:t xml:space="preserve">nder </w:t>
      </w:r>
      <w:r w:rsidR="00F524AD">
        <w:rPr>
          <w:shd w:val="clear" w:color="auto" w:fill="FFFFFF"/>
        </w:rPr>
        <w:t xml:space="preserve">their assumptions. </w:t>
      </w:r>
      <w:r w:rsidR="006E3213" w:rsidRPr="00C81102">
        <w:rPr>
          <w:shd w:val="clear" w:color="auto" w:fill="FFFFFF"/>
        </w:rPr>
        <w:t>Moreno-Benito et al</w:t>
      </w:r>
      <w:r w:rsidR="006E3213">
        <w:rPr>
          <w:shd w:val="clear" w:color="auto" w:fill="FFFFFF"/>
        </w:rPr>
        <w:t xml:space="preserve">. </w:t>
      </w:r>
      <w:r w:rsidR="006E3213">
        <w:rPr>
          <w:shd w:val="clear" w:color="auto" w:fill="FFFFFF"/>
        </w:rPr>
        <w:fldChar w:fldCharType="begin"/>
      </w:r>
      <w:r w:rsidR="00F715A1">
        <w:rPr>
          <w:shd w:val="clear" w:color="auto" w:fill="FFFFFF"/>
        </w:rPr>
        <w:instrText xml:space="preserve"> ADDIN EN.CITE &lt;EndNote&gt;&lt;Cite&gt;&lt;Author&gt;Moreno-Benito&lt;/Author&gt;&lt;Year&gt;2017&lt;/Year&gt;&lt;RecNum&gt;1098&lt;/RecNum&gt;&lt;DisplayText&gt;[33]&lt;/DisplayText&gt;&lt;record&gt;&lt;rec-number&gt;1098&lt;/rec-number&gt;&lt;foreign-keys&gt;&lt;key app="EN" db-id="w500zpaaheraz8epaw1p29dtf2ff9zrswv50" timestamp="1607697901"&gt;1098&lt;/key&gt;&lt;/foreign-keys&gt;&lt;ref-type name="Journal Article"&gt;17&lt;/ref-type&gt;&lt;contributors&gt;&lt;authors&gt;&lt;author&gt;Moreno-Benito, Marta&lt;/author&gt;&lt;author&gt;Agnolucci, Paolo&lt;/author&gt;&lt;author&gt;Papageorgiou, Lazaros G.&lt;/author&gt;&lt;/authors&gt;&lt;/contributors&gt;&lt;titles&gt;&lt;title&gt;Towards a sustainable hydrogen economy: Optimisation-based framework for hydrogen infrastructure development&lt;/title&gt;&lt;secondary-title&gt;Computers &amp;amp; Chemical Engineering&lt;/secondary-title&gt;&lt;/titles&gt;&lt;periodical&gt;&lt;full-title&gt;Computers &amp;amp; Chemical Engineering&lt;/full-title&gt;&lt;/periodical&gt;&lt;pages&gt;110-127&lt;/pages&gt;&lt;volume&gt;102&lt;/volume&gt;&lt;dates&gt;&lt;year&gt;2017&lt;/year&gt;&lt;/dates&gt;&lt;publisher&gt;Pergamon&lt;/publisher&gt;&lt;urls&gt;&lt;related-urls&gt;&lt;url&gt;https://www.sciencedirect.com/science/article/pii/S0098135416302666&lt;/url&gt;&lt;/related-urls&gt;&lt;pdf-urls&gt;&lt;url&gt;file://Users\David\Library\Application Support\Mendeley Desktop\Downloaded\Moreno-Benito, Agnolucci, Papageorgiou - 2017 - Towards a sustainable hydrogen economy Optimisation-based framework for hydrogen infrast.pdf&lt;/url&gt;&lt;/pdf-urls&gt;&lt;/urls&gt;&lt;electronic-resource-num&gt;10.1016/J.COMPCHEMENG.2016.08.005&lt;/electronic-resource-num&gt;&lt;/record&gt;&lt;/Cite&gt;&lt;/EndNote&gt;</w:instrText>
      </w:r>
      <w:r w:rsidR="006E3213">
        <w:rPr>
          <w:shd w:val="clear" w:color="auto" w:fill="FFFFFF"/>
        </w:rPr>
        <w:fldChar w:fldCharType="separate"/>
      </w:r>
      <w:r w:rsidR="00F715A1">
        <w:rPr>
          <w:noProof/>
          <w:shd w:val="clear" w:color="auto" w:fill="FFFFFF"/>
        </w:rPr>
        <w:t>[</w:t>
      </w:r>
      <w:hyperlink w:anchor="_ENREF_33" w:tooltip="Moreno-Benito, 2017 #1098" w:history="1">
        <w:r w:rsidR="006210AE">
          <w:rPr>
            <w:noProof/>
            <w:shd w:val="clear" w:color="auto" w:fill="FFFFFF"/>
          </w:rPr>
          <w:t>33</w:t>
        </w:r>
      </w:hyperlink>
      <w:r w:rsidR="00F715A1">
        <w:rPr>
          <w:noProof/>
          <w:shd w:val="clear" w:color="auto" w:fill="FFFFFF"/>
        </w:rPr>
        <w:t>]</w:t>
      </w:r>
      <w:r w:rsidR="006E3213">
        <w:rPr>
          <w:shd w:val="clear" w:color="auto" w:fill="FFFFFF"/>
        </w:rPr>
        <w:fldChar w:fldCharType="end"/>
      </w:r>
      <w:r w:rsidR="006E3213">
        <w:rPr>
          <w:shd w:val="clear" w:color="auto" w:fill="FFFFFF"/>
        </w:rPr>
        <w:t xml:space="preserve"> studied the optimal design of a hydrogen supply chain for the transport sector in the UK. In the base case scenario</w:t>
      </w:r>
      <w:r w:rsidR="00B4436D">
        <w:rPr>
          <w:shd w:val="clear" w:color="auto" w:fill="FFFFFF"/>
        </w:rPr>
        <w:t xml:space="preserve">, all hydrogen production is via SMR with CCS, and there </w:t>
      </w:r>
      <w:r w:rsidR="006E3213">
        <w:rPr>
          <w:shd w:val="clear" w:color="auto" w:fill="FFFFFF"/>
        </w:rPr>
        <w:t xml:space="preserve">is no </w:t>
      </w:r>
      <w:r w:rsidR="00B4436D">
        <w:rPr>
          <w:shd w:val="clear" w:color="auto" w:fill="FFFFFF"/>
        </w:rPr>
        <w:t xml:space="preserve">hydrogen </w:t>
      </w:r>
      <w:r w:rsidR="006E3213">
        <w:rPr>
          <w:shd w:val="clear" w:color="auto" w:fill="FFFFFF"/>
        </w:rPr>
        <w:t xml:space="preserve">production from electrolysis paired with renewables. </w:t>
      </w:r>
      <w:r w:rsidR="00B4436D">
        <w:rPr>
          <w:shd w:val="clear" w:color="auto" w:fill="FFFFFF"/>
        </w:rPr>
        <w:t>Moreover</w:t>
      </w:r>
      <w:r w:rsidR="00A66EC4">
        <w:rPr>
          <w:shd w:val="clear" w:color="auto" w:fill="FFFFFF"/>
        </w:rPr>
        <w:t xml:space="preserve">, for a scenario that assumed that </w:t>
      </w:r>
      <w:r w:rsidR="006E3213">
        <w:rPr>
          <w:shd w:val="clear" w:color="auto" w:fill="FFFFFF"/>
        </w:rPr>
        <w:t xml:space="preserve">CCS </w:t>
      </w:r>
      <w:r w:rsidR="00A66EC4">
        <w:rPr>
          <w:shd w:val="clear" w:color="auto" w:fill="FFFFFF"/>
        </w:rPr>
        <w:t>was never developed</w:t>
      </w:r>
      <w:r w:rsidR="006E3213">
        <w:rPr>
          <w:shd w:val="clear" w:color="auto" w:fill="FFFFFF"/>
        </w:rPr>
        <w:t>, the model cho</w:t>
      </w:r>
      <w:r w:rsidR="00A66EC4">
        <w:rPr>
          <w:shd w:val="clear" w:color="auto" w:fill="FFFFFF"/>
        </w:rPr>
        <w:t>se</w:t>
      </w:r>
      <w:r w:rsidR="006E3213">
        <w:rPr>
          <w:shd w:val="clear" w:color="auto" w:fill="FFFFFF"/>
        </w:rPr>
        <w:t xml:space="preserve"> to import hydrogen internationally. Only when </w:t>
      </w:r>
      <w:r w:rsidR="00A66EC4">
        <w:rPr>
          <w:shd w:val="clear" w:color="auto" w:fill="FFFFFF"/>
        </w:rPr>
        <w:t xml:space="preserve">international hydrogen imports were </w:t>
      </w:r>
      <w:r w:rsidR="002C78F1">
        <w:rPr>
          <w:shd w:val="clear" w:color="auto" w:fill="FFFFFF"/>
        </w:rPr>
        <w:t>constrained</w:t>
      </w:r>
      <w:r w:rsidR="00A66EC4">
        <w:rPr>
          <w:shd w:val="clear" w:color="auto" w:fill="FFFFFF"/>
        </w:rPr>
        <w:t xml:space="preserve"> did </w:t>
      </w:r>
      <w:r w:rsidR="006E3213">
        <w:rPr>
          <w:shd w:val="clear" w:color="auto" w:fill="FFFFFF"/>
        </w:rPr>
        <w:t xml:space="preserve">the model see </w:t>
      </w:r>
      <w:r w:rsidR="002C78F1">
        <w:rPr>
          <w:shd w:val="clear" w:color="auto" w:fill="FFFFFF"/>
        </w:rPr>
        <w:t xml:space="preserve">any </w:t>
      </w:r>
      <w:r w:rsidR="00A66EC4">
        <w:rPr>
          <w:shd w:val="clear" w:color="auto" w:fill="FFFFFF"/>
        </w:rPr>
        <w:t xml:space="preserve">hydrogen </w:t>
      </w:r>
      <w:r w:rsidR="006E3213">
        <w:rPr>
          <w:shd w:val="clear" w:color="auto" w:fill="FFFFFF"/>
        </w:rPr>
        <w:t xml:space="preserve">production from renewable sources, with the earliest installed capacity of this technology being </w:t>
      </w:r>
      <w:r w:rsidR="00A66EC4">
        <w:rPr>
          <w:shd w:val="clear" w:color="auto" w:fill="FFFFFF"/>
        </w:rPr>
        <w:t xml:space="preserve">in </w:t>
      </w:r>
      <w:r w:rsidR="006E3213">
        <w:rPr>
          <w:shd w:val="clear" w:color="auto" w:fill="FFFFFF"/>
        </w:rPr>
        <w:t xml:space="preserve">2060. </w:t>
      </w:r>
      <w:r w:rsidR="00B805B6">
        <w:rPr>
          <w:shd w:val="clear" w:color="auto" w:fill="FFFFFF"/>
        </w:rPr>
        <w:t>However, h</w:t>
      </w:r>
      <w:r w:rsidR="006E3213">
        <w:rPr>
          <w:shd w:val="clear" w:color="auto" w:fill="FFFFFF"/>
        </w:rPr>
        <w:t>ydrogen production from electrolysis</w:t>
      </w:r>
      <w:r w:rsidR="00B805B6">
        <w:rPr>
          <w:shd w:val="clear" w:color="auto" w:fill="FFFFFF"/>
        </w:rPr>
        <w:t xml:space="preserve"> costs</w:t>
      </w:r>
      <w:r w:rsidR="006E3213">
        <w:rPr>
          <w:shd w:val="clear" w:color="auto" w:fill="FFFFFF"/>
        </w:rPr>
        <w:t xml:space="preserve"> ha</w:t>
      </w:r>
      <w:r w:rsidR="00B805B6">
        <w:rPr>
          <w:shd w:val="clear" w:color="auto" w:fill="FFFFFF"/>
        </w:rPr>
        <w:t>ve</w:t>
      </w:r>
      <w:r w:rsidR="006E3213">
        <w:rPr>
          <w:shd w:val="clear" w:color="auto" w:fill="FFFFFF"/>
        </w:rPr>
        <w:t xml:space="preserve"> dropped since </w:t>
      </w:r>
      <w:r w:rsidR="00B805B6">
        <w:rPr>
          <w:shd w:val="clear" w:color="auto" w:fill="FFFFFF"/>
        </w:rPr>
        <w:t>Moreno-Benito et al</w:t>
      </w:r>
      <w:r w:rsidR="00B4436D">
        <w:rPr>
          <w:shd w:val="clear" w:color="auto" w:fill="FFFFFF"/>
        </w:rPr>
        <w:t>.</w:t>
      </w:r>
      <w:r w:rsidR="00B805B6">
        <w:rPr>
          <w:shd w:val="clear" w:color="auto" w:fill="FFFFFF"/>
        </w:rPr>
        <w:t xml:space="preserve"> was published </w:t>
      </w:r>
      <w:r w:rsidR="00B805B6">
        <w:rPr>
          <w:shd w:val="clear" w:color="auto" w:fill="FFFFFF"/>
        </w:rPr>
        <w:fldChar w:fldCharType="begin"/>
      </w:r>
      <w:r w:rsidR="006210AE">
        <w:rPr>
          <w:shd w:val="clear" w:color="auto" w:fill="FFFFFF"/>
        </w:rPr>
        <w:instrText xml:space="preserve"> ADDIN EN.CITE &lt;EndNote&gt;&lt;Cite&gt;&lt;Author&gt;IRENA&lt;/Author&gt;&lt;Year&gt;2020&lt;/Year&gt;&lt;RecNum&gt;1372&lt;/RecNum&gt;&lt;DisplayText&gt;[67]&lt;/DisplayText&gt;&lt;record&gt;&lt;rec-number&gt;1372&lt;/rec-number&gt;&lt;foreign-keys&gt;&lt;key app="EN" db-id="w500zpaaheraz8epaw1p29dtf2ff9zrswv50" timestamp="1622750416"&gt;1372&lt;/key&gt;&lt;/foreign-keys&gt;&lt;ref-type name="Report"&gt;27&lt;/ref-type&gt;&lt;contributors&gt;&lt;authors&gt;&lt;author&gt;IRENA&lt;/author&gt;&lt;/authors&gt;&lt;/contributors&gt;&lt;titles&gt;&lt;title&gt;Green Hydrogen Cost Reduction: Scaling up Electrolysers to Meet the 1.5⁰C Climate Goal&lt;/title&gt;&lt;/titles&gt;&lt;dates&gt;&lt;year&gt;2020&lt;/year&gt;&lt;/dates&gt;&lt;publisher&gt;International Renewable Energy Agency, Abu Dhabi&lt;/publisher&gt;&lt;urls&gt;&lt;/urls&gt;&lt;/record&gt;&lt;/Cite&gt;&lt;/EndNote&gt;</w:instrText>
      </w:r>
      <w:r w:rsidR="00B805B6">
        <w:rPr>
          <w:shd w:val="clear" w:color="auto" w:fill="FFFFFF"/>
        </w:rPr>
        <w:fldChar w:fldCharType="separate"/>
      </w:r>
      <w:r w:rsidR="006210AE">
        <w:rPr>
          <w:noProof/>
          <w:shd w:val="clear" w:color="auto" w:fill="FFFFFF"/>
        </w:rPr>
        <w:t>[</w:t>
      </w:r>
      <w:hyperlink w:anchor="_ENREF_67" w:tooltip="IRENA, 2020 #1372" w:history="1">
        <w:r w:rsidR="006210AE">
          <w:rPr>
            <w:noProof/>
            <w:shd w:val="clear" w:color="auto" w:fill="FFFFFF"/>
          </w:rPr>
          <w:t>67</w:t>
        </w:r>
      </w:hyperlink>
      <w:r w:rsidR="006210AE">
        <w:rPr>
          <w:noProof/>
          <w:shd w:val="clear" w:color="auto" w:fill="FFFFFF"/>
        </w:rPr>
        <w:t>]</w:t>
      </w:r>
      <w:r w:rsidR="00B805B6">
        <w:rPr>
          <w:shd w:val="clear" w:color="auto" w:fill="FFFFFF"/>
        </w:rPr>
        <w:fldChar w:fldCharType="end"/>
      </w:r>
      <w:r w:rsidR="00B805B6">
        <w:rPr>
          <w:shd w:val="clear" w:color="auto" w:fill="FFFFFF"/>
        </w:rPr>
        <w:t>.</w:t>
      </w:r>
      <w:r w:rsidR="006E3213">
        <w:rPr>
          <w:shd w:val="clear" w:color="auto" w:fill="FFFFFF"/>
        </w:rPr>
        <w:t xml:space="preserve"> Furthermore, </w:t>
      </w:r>
      <w:r w:rsidR="00B4436D">
        <w:rPr>
          <w:shd w:val="clear" w:color="auto" w:fill="FFFFFF"/>
        </w:rPr>
        <w:t xml:space="preserve">analysing </w:t>
      </w:r>
      <w:r w:rsidR="006E3213">
        <w:rPr>
          <w:shd w:val="clear" w:color="auto" w:fill="FFFFFF"/>
        </w:rPr>
        <w:t xml:space="preserve">the </w:t>
      </w:r>
      <w:r w:rsidR="00B4436D">
        <w:rPr>
          <w:shd w:val="clear" w:color="auto" w:fill="FFFFFF"/>
        </w:rPr>
        <w:t xml:space="preserve">economic </w:t>
      </w:r>
      <w:r w:rsidR="006E3213">
        <w:rPr>
          <w:shd w:val="clear" w:color="auto" w:fill="FFFFFF"/>
        </w:rPr>
        <w:t xml:space="preserve">assumptions of renewable hydrogen production in </w:t>
      </w:r>
      <w:r w:rsidR="00B4436D" w:rsidRPr="00C81102">
        <w:rPr>
          <w:shd w:val="clear" w:color="auto" w:fill="FFFFFF"/>
        </w:rPr>
        <w:t>Moreno-Benito et al</w:t>
      </w:r>
      <w:r w:rsidR="00B4436D">
        <w:rPr>
          <w:shd w:val="clear" w:color="auto" w:fill="FFFFFF"/>
        </w:rPr>
        <w:t xml:space="preserve">. </w:t>
      </w:r>
      <w:r w:rsidR="00B4436D">
        <w:rPr>
          <w:shd w:val="clear" w:color="auto" w:fill="FFFFFF"/>
        </w:rPr>
        <w:fldChar w:fldCharType="begin"/>
      </w:r>
      <w:r w:rsidR="00F715A1">
        <w:rPr>
          <w:shd w:val="clear" w:color="auto" w:fill="FFFFFF"/>
        </w:rPr>
        <w:instrText xml:space="preserve"> ADDIN EN.CITE &lt;EndNote&gt;&lt;Cite&gt;&lt;Author&gt;Moreno-Benito&lt;/Author&gt;&lt;Year&gt;2017&lt;/Year&gt;&lt;RecNum&gt;1098&lt;/RecNum&gt;&lt;DisplayText&gt;[33]&lt;/DisplayText&gt;&lt;record&gt;&lt;rec-number&gt;1098&lt;/rec-number&gt;&lt;foreign-keys&gt;&lt;key app="EN" db-id="w500zpaaheraz8epaw1p29dtf2ff9zrswv50" timestamp="1607697901"&gt;1098&lt;/key&gt;&lt;/foreign-keys&gt;&lt;ref-type name="Journal Article"&gt;17&lt;/ref-type&gt;&lt;contributors&gt;&lt;authors&gt;&lt;author&gt;Moreno-Benito, Marta&lt;/author&gt;&lt;author&gt;Agnolucci, Paolo&lt;/author&gt;&lt;author&gt;Papageorgiou, Lazaros G.&lt;/author&gt;&lt;/authors&gt;&lt;/contributors&gt;&lt;titles&gt;&lt;title&gt;Towards a sustainable hydrogen economy: Optimisation-based framework for hydrogen infrastructure development&lt;/title&gt;&lt;secondary-title&gt;Computers &amp;amp; Chemical Engineering&lt;/secondary-title&gt;&lt;/titles&gt;&lt;periodical&gt;&lt;full-title&gt;Computers &amp;amp; Chemical Engineering&lt;/full-title&gt;&lt;/periodical&gt;&lt;pages&gt;110-127&lt;/pages&gt;&lt;volume&gt;102&lt;/volume&gt;&lt;dates&gt;&lt;year&gt;2017&lt;/year&gt;&lt;/dates&gt;&lt;publisher&gt;Pergamon&lt;/publisher&gt;&lt;urls&gt;&lt;related-urls&gt;&lt;url&gt;https://www.sciencedirect.com/science/article/pii/S0098135416302666&lt;/url&gt;&lt;/related-urls&gt;&lt;pdf-urls&gt;&lt;url&gt;file://Users\David\Library\Application Support\Mendeley Desktop\Downloaded\Moreno-Benito, Agnolucci, Papageorgiou - 2017 - Towards a sustainable hydrogen economy Optimisation-based framework for hydrogen infrast.pdf&lt;/url&gt;&lt;/pdf-urls&gt;&lt;/urls&gt;&lt;electronic-resource-num&gt;10.1016/J.COMPCHEMENG.2016.08.005&lt;/electronic-resource-num&gt;&lt;/record&gt;&lt;/Cite&gt;&lt;/EndNote&gt;</w:instrText>
      </w:r>
      <w:r w:rsidR="00B4436D">
        <w:rPr>
          <w:shd w:val="clear" w:color="auto" w:fill="FFFFFF"/>
        </w:rPr>
        <w:fldChar w:fldCharType="separate"/>
      </w:r>
      <w:r w:rsidR="00F715A1">
        <w:rPr>
          <w:noProof/>
          <w:shd w:val="clear" w:color="auto" w:fill="FFFFFF"/>
        </w:rPr>
        <w:t>[</w:t>
      </w:r>
      <w:hyperlink w:anchor="_ENREF_33" w:tooltip="Moreno-Benito, 2017 #1098" w:history="1">
        <w:r w:rsidR="006210AE">
          <w:rPr>
            <w:noProof/>
            <w:shd w:val="clear" w:color="auto" w:fill="FFFFFF"/>
          </w:rPr>
          <w:t>33</w:t>
        </w:r>
      </w:hyperlink>
      <w:r w:rsidR="00F715A1">
        <w:rPr>
          <w:noProof/>
          <w:shd w:val="clear" w:color="auto" w:fill="FFFFFF"/>
        </w:rPr>
        <w:t>]</w:t>
      </w:r>
      <w:r w:rsidR="00B4436D">
        <w:rPr>
          <w:shd w:val="clear" w:color="auto" w:fill="FFFFFF"/>
        </w:rPr>
        <w:fldChar w:fldCharType="end"/>
      </w:r>
      <w:r w:rsidR="00B4436D">
        <w:rPr>
          <w:shd w:val="clear" w:color="auto" w:fill="FFFFFF"/>
        </w:rPr>
        <w:t>, it is observed that a</w:t>
      </w:r>
      <w:r w:rsidR="006E3213">
        <w:rPr>
          <w:shd w:val="clear" w:color="auto" w:fill="FFFFFF"/>
        </w:rPr>
        <w:t xml:space="preserve">lthough the capital cost of the plant is not adversely high in comparison to other studies, the variable unit production cost was assumed to be within the range of £3.99 - £4.50 per kg of hydrogen. </w:t>
      </w:r>
      <w:r w:rsidR="001371FE">
        <w:rPr>
          <w:shd w:val="clear" w:color="auto" w:fill="FFFFFF"/>
        </w:rPr>
        <w:t xml:space="preserve">The present study </w:t>
      </w:r>
      <w:r w:rsidR="006E3213">
        <w:rPr>
          <w:shd w:val="clear" w:color="auto" w:fill="FFFFFF"/>
        </w:rPr>
        <w:t>found</w:t>
      </w:r>
      <w:r w:rsidR="001371FE">
        <w:rPr>
          <w:shd w:val="clear" w:color="auto" w:fill="FFFFFF"/>
        </w:rPr>
        <w:t xml:space="preserve"> these costs to lie in the range o</w:t>
      </w:r>
      <w:r w:rsidR="006E3213">
        <w:rPr>
          <w:shd w:val="clear" w:color="auto" w:fill="FFFFFF"/>
        </w:rPr>
        <w:t>f  £0.49</w:t>
      </w:r>
      <w:r w:rsidR="00C71129">
        <w:rPr>
          <w:shd w:val="clear" w:color="auto" w:fill="FFFFFF"/>
        </w:rPr>
        <w:t xml:space="preserve"> - </w:t>
      </w:r>
      <w:r w:rsidR="00093DE8">
        <w:rPr>
          <w:shd w:val="clear" w:color="auto" w:fill="FFFFFF"/>
        </w:rPr>
        <w:t>£3.49</w:t>
      </w:r>
      <w:r w:rsidR="006E3213">
        <w:rPr>
          <w:shd w:val="clear" w:color="auto" w:fill="FFFFFF"/>
        </w:rPr>
        <w:t xml:space="preserve"> per kg of hydrogen</w:t>
      </w:r>
      <w:r w:rsidR="001371FE">
        <w:rPr>
          <w:shd w:val="clear" w:color="auto" w:fill="FFFFFF"/>
        </w:rPr>
        <w:t xml:space="preserve">, which </w:t>
      </w:r>
      <w:r w:rsidR="006E3213">
        <w:rPr>
          <w:shd w:val="clear" w:color="auto" w:fill="FFFFFF"/>
        </w:rPr>
        <w:t xml:space="preserve">suggests </w:t>
      </w:r>
      <w:r w:rsidR="001371FE">
        <w:rPr>
          <w:shd w:val="clear" w:color="auto" w:fill="FFFFFF"/>
        </w:rPr>
        <w:t xml:space="preserve">why this model </w:t>
      </w:r>
      <w:r w:rsidR="006E3213">
        <w:rPr>
          <w:shd w:val="clear" w:color="auto" w:fill="FFFFFF"/>
        </w:rPr>
        <w:t>see</w:t>
      </w:r>
      <w:r w:rsidR="001371FE">
        <w:rPr>
          <w:shd w:val="clear" w:color="auto" w:fill="FFFFFF"/>
        </w:rPr>
        <w:t>s</w:t>
      </w:r>
      <w:r w:rsidR="006E3213">
        <w:rPr>
          <w:shd w:val="clear" w:color="auto" w:fill="FFFFFF"/>
        </w:rPr>
        <w:t xml:space="preserve"> renewable hydrogen production being installed, albeit in small amounts, by 2050.</w:t>
      </w:r>
    </w:p>
    <w:p w14:paraId="4A03F324" w14:textId="7BD37BC2" w:rsidR="002D1317" w:rsidRDefault="003C25F1" w:rsidP="006720EF">
      <w:pPr>
        <w:sectPr w:rsidR="002D1317" w:rsidSect="000B3E51">
          <w:type w:val="continuous"/>
          <w:pgSz w:w="11906" w:h="16838"/>
          <w:pgMar w:top="1440" w:right="1440" w:bottom="1440" w:left="1440" w:header="708" w:footer="708" w:gutter="0"/>
          <w:cols w:space="708"/>
          <w:docGrid w:linePitch="360"/>
        </w:sectPr>
      </w:pPr>
      <w:r>
        <w:rPr>
          <w:shd w:val="clear" w:color="auto" w:fill="FFFFFF"/>
        </w:rPr>
        <w:t>Conversely, a</w:t>
      </w:r>
      <w:r w:rsidR="00FC3DBC">
        <w:rPr>
          <w:shd w:val="clear" w:color="auto" w:fill="FFFFFF"/>
        </w:rPr>
        <w:t>nalysing the reasons as to why th</w:t>
      </w:r>
      <w:r>
        <w:rPr>
          <w:shd w:val="clear" w:color="auto" w:fill="FFFFFF"/>
        </w:rPr>
        <w:t>is model</w:t>
      </w:r>
      <w:r w:rsidR="00FC3DBC">
        <w:rPr>
          <w:shd w:val="clear" w:color="auto" w:fill="FFFFFF"/>
        </w:rPr>
        <w:t xml:space="preserve"> only chooses to produce hydrogen from renewable sources in 2050, </w:t>
      </w:r>
      <w:r w:rsidR="001228FF">
        <w:rPr>
          <w:shd w:val="clear" w:color="auto" w:fill="FFFFFF"/>
        </w:rPr>
        <w:t xml:space="preserve">one of the reasons is its </w:t>
      </w:r>
      <w:r w:rsidR="00FC3DBC">
        <w:rPr>
          <w:shd w:val="clear" w:color="auto" w:fill="FFFFFF"/>
        </w:rPr>
        <w:t>large upfront CAPEX</w:t>
      </w:r>
      <w:r>
        <w:rPr>
          <w:shd w:val="clear" w:color="auto" w:fill="FFFFFF"/>
        </w:rPr>
        <w:t>, compared to th</w:t>
      </w:r>
      <w:r w:rsidR="0086275B">
        <w:rPr>
          <w:shd w:val="clear" w:color="auto" w:fill="FFFFFF"/>
        </w:rPr>
        <w:t xml:space="preserve">at </w:t>
      </w:r>
      <w:r>
        <w:rPr>
          <w:shd w:val="clear" w:color="auto" w:fill="FFFFFF"/>
        </w:rPr>
        <w:t>of SMR + CCS</w:t>
      </w:r>
      <w:r w:rsidR="00451172">
        <w:rPr>
          <w:shd w:val="clear" w:color="auto" w:fill="FFFFFF"/>
        </w:rPr>
        <w:t>.</w:t>
      </w:r>
      <w:r>
        <w:rPr>
          <w:shd w:val="clear" w:color="auto" w:fill="FFFFFF"/>
        </w:rPr>
        <w:t xml:space="preserve"> </w:t>
      </w:r>
      <w:r w:rsidR="00A91FF5">
        <w:rPr>
          <w:shd w:val="clear" w:color="auto" w:fill="FFFFFF"/>
        </w:rPr>
        <w:t>Using cost assumptions for the UK, t</w:t>
      </w:r>
      <w:r>
        <w:rPr>
          <w:shd w:val="clear" w:color="auto" w:fill="FFFFFF"/>
        </w:rPr>
        <w:t>he model chooses to install SMR + CCS</w:t>
      </w:r>
      <w:r w:rsidR="00A91FF5">
        <w:rPr>
          <w:shd w:val="clear" w:color="auto" w:fill="FFFFFF"/>
        </w:rPr>
        <w:t xml:space="preserve">, as it is considered one of the cheapest ways to produce hydrogen that is relatively low carbon, and a central piece in the UK’s decarbonisation strategy </w:t>
      </w:r>
      <w:r w:rsidR="00A91FF5">
        <w:rPr>
          <w:shd w:val="clear" w:color="auto" w:fill="FFFFFF"/>
        </w:rPr>
        <w:fldChar w:fldCharType="begin"/>
      </w:r>
      <w:r w:rsidR="006210AE">
        <w:rPr>
          <w:shd w:val="clear" w:color="auto" w:fill="FFFFFF"/>
        </w:rPr>
        <w:instrText xml:space="preserve"> ADDIN EN.CITE &lt;EndNote&gt;&lt;Cite&gt;&lt;Author&gt;HM Government&lt;/Author&gt;&lt;Year&gt;2021&lt;/Year&gt;&lt;RecNum&gt;1373&lt;/RecNum&gt;&lt;DisplayText&gt;[5, 68]&lt;/DisplayText&gt;&lt;record&gt;&lt;rec-number&gt;1373&lt;/rec-number&gt;&lt;foreign-keys&gt;&lt;key app="EN" db-id="w500zpaaheraz8epaw1p29dtf2ff9zrswv50" timestamp="1622757201"&gt;1373&lt;/key&gt;&lt;/foreign-keys&gt;&lt;ref-type name="Report"&gt;27&lt;/ref-type&gt;&lt;contributors&gt;&lt;authors&gt;&lt;author&gt;HM Government, &lt;/author&gt;&lt;/authors&gt;&lt;/contributors&gt;&lt;titles&gt;&lt;title&gt;Industrial Decarbonisation Strategy&lt;/title&gt;&lt;/titles&gt;&lt;dates&gt;&lt;year&gt;2021&lt;/year&gt;&lt;/dates&gt;&lt;urls&gt;&lt;/urls&gt;&lt;/record&gt;&lt;/Cite&gt;&lt;Cite&gt;&lt;Author&gt;Committee on Climate Change&lt;/Author&gt;&lt;Year&gt;2018&lt;/Year&gt;&lt;RecNum&gt;1047&lt;/RecNum&gt;&lt;record&gt;&lt;rec-number&gt;1047&lt;/rec-number&gt;&lt;foreign-keys&gt;&lt;key app="EN" db-id="w500zpaaheraz8epaw1p29dtf2ff9zrswv50" timestamp="1607697901"&gt;1047&lt;/key&gt;&lt;/foreign-keys&gt;&lt;ref-type name="Report"&gt;27&lt;/ref-type&gt;&lt;contributors&gt;&lt;authors&gt;&lt;author&gt;Committee on Climate Change,&lt;/author&gt;&lt;/authors&gt;&lt;/contributors&gt;&lt;titles&gt;&lt;title&gt;Hydrogen in a low-carbon economy&lt;/title&gt;&lt;/titles&gt;&lt;dates&gt;&lt;year&gt;2018&lt;/year&gt;&lt;pub-dates&gt;&lt;date&gt;November 2018&lt;/date&gt;&lt;/pub-dates&gt;&lt;/dates&gt;&lt;urls&gt;&lt;related-urls&gt;&lt;url&gt;www.theccc.org.uk/publications&lt;/url&gt;&lt;/related-urls&gt;&lt;pdf-urls&gt;&lt;url&gt;file://Users\David\Library\Application Support\Mendeley Desktop\Downloaded\CCC - 2018 - Hydrogen in a low-carbon economy Committee on Climate Change Acknowledgements Other members of the Secretariat who contribu.pdf&lt;/url&gt;&lt;/pdf-urls&gt;&lt;/urls&gt;&lt;/record&gt;&lt;/Cite&gt;&lt;/EndNote&gt;</w:instrText>
      </w:r>
      <w:r w:rsidR="00A91FF5">
        <w:rPr>
          <w:shd w:val="clear" w:color="auto" w:fill="FFFFFF"/>
        </w:rPr>
        <w:fldChar w:fldCharType="separate"/>
      </w:r>
      <w:r w:rsidR="006210AE">
        <w:rPr>
          <w:noProof/>
          <w:shd w:val="clear" w:color="auto" w:fill="FFFFFF"/>
        </w:rPr>
        <w:t>[</w:t>
      </w:r>
      <w:hyperlink w:anchor="_ENREF_5" w:tooltip="Committee on Climate Change, 2018 #1047" w:history="1">
        <w:r w:rsidR="006210AE">
          <w:rPr>
            <w:noProof/>
            <w:shd w:val="clear" w:color="auto" w:fill="FFFFFF"/>
          </w:rPr>
          <w:t>5</w:t>
        </w:r>
      </w:hyperlink>
      <w:r w:rsidR="006210AE">
        <w:rPr>
          <w:noProof/>
          <w:shd w:val="clear" w:color="auto" w:fill="FFFFFF"/>
        </w:rPr>
        <w:t xml:space="preserve">, </w:t>
      </w:r>
      <w:hyperlink w:anchor="_ENREF_68" w:tooltip="HM Government, 2021 #1373" w:history="1">
        <w:r w:rsidR="006210AE">
          <w:rPr>
            <w:noProof/>
            <w:shd w:val="clear" w:color="auto" w:fill="FFFFFF"/>
          </w:rPr>
          <w:t>68</w:t>
        </w:r>
      </w:hyperlink>
      <w:r w:rsidR="006210AE">
        <w:rPr>
          <w:noProof/>
          <w:shd w:val="clear" w:color="auto" w:fill="FFFFFF"/>
        </w:rPr>
        <w:t>]</w:t>
      </w:r>
      <w:r w:rsidR="00A91FF5">
        <w:rPr>
          <w:shd w:val="clear" w:color="auto" w:fill="FFFFFF"/>
        </w:rPr>
        <w:fldChar w:fldCharType="end"/>
      </w:r>
      <w:r>
        <w:rPr>
          <w:shd w:val="clear" w:color="auto" w:fill="FFFFFF"/>
        </w:rPr>
        <w:t xml:space="preserve">. Although </w:t>
      </w:r>
      <w:r w:rsidR="00A91FF5">
        <w:rPr>
          <w:shd w:val="clear" w:color="auto" w:fill="FFFFFF"/>
        </w:rPr>
        <w:t xml:space="preserve">widespread deployment of </w:t>
      </w:r>
      <w:r>
        <w:rPr>
          <w:shd w:val="clear" w:color="auto" w:fill="FFFFFF"/>
        </w:rPr>
        <w:t>large-scale CCS</w:t>
      </w:r>
      <w:r w:rsidR="00A91FF5">
        <w:rPr>
          <w:shd w:val="clear" w:color="auto" w:fill="FFFFFF"/>
        </w:rPr>
        <w:t xml:space="preserve"> is yet to be seen </w:t>
      </w:r>
      <w:r w:rsidR="00A91FF5">
        <w:rPr>
          <w:shd w:val="clear" w:color="auto" w:fill="FFFFFF"/>
        </w:rPr>
        <w:fldChar w:fldCharType="begin"/>
      </w:r>
      <w:r w:rsidR="006210AE">
        <w:rPr>
          <w:shd w:val="clear" w:color="auto" w:fill="FFFFFF"/>
        </w:rPr>
        <w:instrText xml:space="preserve"> ADDIN EN.CITE &lt;EndNote&gt;&lt;Cite&gt;&lt;Author&gt;Abdulla&lt;/Author&gt;&lt;Year&gt;2020&lt;/Year&gt;&lt;RecNum&gt;1374&lt;/RecNum&gt;&lt;DisplayText&gt;[69]&lt;/DisplayText&gt;&lt;record&gt;&lt;rec-number&gt;1374&lt;/rec-number&gt;&lt;foreign-keys&gt;&lt;key app="EN" db-id="w500zpaaheraz8epaw1p29dtf2ff9zrswv50" timestamp="1622757318"&gt;1374&lt;/key&gt;&lt;/foreign-keys&gt;&lt;ref-type name="Journal Article"&gt;17&lt;/ref-type&gt;&lt;contributors&gt;&lt;authors&gt;&lt;author&gt;Abdulla, Ahmed&lt;/author&gt;&lt;author&gt;Hanna, Ryan&lt;/author&gt;&lt;author&gt;Schell, Kristen R.&lt;/author&gt;&lt;author&gt;Babacan, Oytun&lt;/author&gt;&lt;author&gt;Victor, David G.&lt;/author&gt;&lt;/authors&gt;&lt;/contributors&gt;&lt;titles&gt;&lt;title&gt;Explaining successful and failed investments in U.S. carbon capture and storage using empirical and expert assessments&lt;/title&gt;&lt;secondary-title&gt;Environmental Research Letters&lt;/secondary-title&gt;&lt;/titles&gt;&lt;periodical&gt;&lt;full-title&gt;Environmental Research Letters&lt;/full-title&gt;&lt;/periodical&gt;&lt;pages&gt;014036&lt;/pages&gt;&lt;volume&gt;16&lt;/volume&gt;&lt;number&gt;1&lt;/number&gt;&lt;dates&gt;&lt;year&gt;2020&lt;/year&gt;&lt;pub-dates&gt;&lt;date&gt;2020/12/30&lt;/date&gt;&lt;/pub-dates&gt;&lt;/dates&gt;&lt;publisher&gt;IOP Publishing&lt;/publisher&gt;&lt;isbn&gt;1748-9326&lt;/isbn&gt;&lt;urls&gt;&lt;related-urls&gt;&lt;url&gt;http://dx.doi.org/10.1088/1748-9326/abd19e&lt;/url&gt;&lt;/related-urls&gt;&lt;/urls&gt;&lt;electronic-resource-num&gt;10.1088/1748-9326/abd19e&lt;/electronic-resource-num&gt;&lt;/record&gt;&lt;/Cite&gt;&lt;/EndNote&gt;</w:instrText>
      </w:r>
      <w:r w:rsidR="00A91FF5">
        <w:rPr>
          <w:shd w:val="clear" w:color="auto" w:fill="FFFFFF"/>
        </w:rPr>
        <w:fldChar w:fldCharType="separate"/>
      </w:r>
      <w:r w:rsidR="006210AE">
        <w:rPr>
          <w:noProof/>
          <w:shd w:val="clear" w:color="auto" w:fill="FFFFFF"/>
        </w:rPr>
        <w:t>[</w:t>
      </w:r>
      <w:hyperlink w:anchor="_ENREF_69" w:tooltip="Abdulla, 2020 #1374" w:history="1">
        <w:r w:rsidR="006210AE">
          <w:rPr>
            <w:noProof/>
            <w:shd w:val="clear" w:color="auto" w:fill="FFFFFF"/>
          </w:rPr>
          <w:t>69</w:t>
        </w:r>
      </w:hyperlink>
      <w:r w:rsidR="006210AE">
        <w:rPr>
          <w:noProof/>
          <w:shd w:val="clear" w:color="auto" w:fill="FFFFFF"/>
        </w:rPr>
        <w:t>]</w:t>
      </w:r>
      <w:r w:rsidR="00A91FF5">
        <w:rPr>
          <w:shd w:val="clear" w:color="auto" w:fill="FFFFFF"/>
        </w:rPr>
        <w:fldChar w:fldCharType="end"/>
      </w:r>
      <w:r>
        <w:rPr>
          <w:shd w:val="clear" w:color="auto" w:fill="FFFFFF"/>
        </w:rPr>
        <w:t xml:space="preserve">, </w:t>
      </w:r>
      <w:r w:rsidR="00A91FF5">
        <w:rPr>
          <w:shd w:val="clear" w:color="auto" w:fill="FFFFFF"/>
        </w:rPr>
        <w:t>the underlying assumption</w:t>
      </w:r>
      <w:r w:rsidR="001228FF">
        <w:rPr>
          <w:shd w:val="clear" w:color="auto" w:fill="FFFFFF"/>
        </w:rPr>
        <w:t xml:space="preserve"> </w:t>
      </w:r>
      <w:r w:rsidR="00A91FF5">
        <w:rPr>
          <w:shd w:val="clear" w:color="auto" w:fill="FFFFFF"/>
        </w:rPr>
        <w:t xml:space="preserve">is that </w:t>
      </w:r>
      <w:r>
        <w:rPr>
          <w:shd w:val="clear" w:color="auto" w:fill="FFFFFF"/>
        </w:rPr>
        <w:t xml:space="preserve">CCS </w:t>
      </w:r>
      <w:r w:rsidR="00A91FF5">
        <w:rPr>
          <w:shd w:val="clear" w:color="auto" w:fill="FFFFFF"/>
        </w:rPr>
        <w:t xml:space="preserve">will be </w:t>
      </w:r>
      <w:r>
        <w:rPr>
          <w:shd w:val="clear" w:color="auto" w:fill="FFFFFF"/>
        </w:rPr>
        <w:t>a feasible technology</w:t>
      </w:r>
      <w:r w:rsidR="001228FF">
        <w:rPr>
          <w:shd w:val="clear" w:color="auto" w:fill="FFFFFF"/>
        </w:rPr>
        <w:t>,</w:t>
      </w:r>
      <w:r>
        <w:rPr>
          <w:shd w:val="clear" w:color="auto" w:fill="FFFFFF"/>
        </w:rPr>
        <w:t xml:space="preserve"> and that it can be deployed at large scale</w:t>
      </w:r>
      <w:r w:rsidR="001228FF">
        <w:rPr>
          <w:shd w:val="clear" w:color="auto" w:fill="FFFFFF"/>
        </w:rPr>
        <w:t>, as g</w:t>
      </w:r>
      <w:r w:rsidR="00A91FF5">
        <w:rPr>
          <w:shd w:val="clear" w:color="auto" w:fill="FFFFFF"/>
        </w:rPr>
        <w:t>lobal CCS capacity</w:t>
      </w:r>
      <w:r w:rsidR="001228FF">
        <w:rPr>
          <w:shd w:val="clear" w:color="auto" w:fill="FFFFFF"/>
        </w:rPr>
        <w:t xml:space="preserve"> has </w:t>
      </w:r>
      <w:r w:rsidR="0086275B">
        <w:rPr>
          <w:shd w:val="clear" w:color="auto" w:fill="FFFFFF"/>
        </w:rPr>
        <w:t xml:space="preserve">increased </w:t>
      </w:r>
      <w:r w:rsidR="00A91FF5">
        <w:rPr>
          <w:shd w:val="clear" w:color="auto" w:fill="FFFFFF"/>
        </w:rPr>
        <w:t xml:space="preserve">by 33% </w:t>
      </w:r>
      <w:r w:rsidR="001228FF">
        <w:rPr>
          <w:shd w:val="clear" w:color="auto" w:fill="FFFFFF"/>
        </w:rPr>
        <w:t>in the past year</w:t>
      </w:r>
      <w:r w:rsidR="0086275B">
        <w:rPr>
          <w:shd w:val="clear" w:color="auto" w:fill="FFFFFF"/>
        </w:rPr>
        <w:t xml:space="preserve"> </w:t>
      </w:r>
      <w:r w:rsidR="0086275B">
        <w:rPr>
          <w:shd w:val="clear" w:color="auto" w:fill="FFFFFF"/>
        </w:rPr>
        <w:fldChar w:fldCharType="begin"/>
      </w:r>
      <w:r w:rsidR="006210AE">
        <w:rPr>
          <w:shd w:val="clear" w:color="auto" w:fill="FFFFFF"/>
        </w:rPr>
        <w:instrText xml:space="preserve"> ADDIN EN.CITE &lt;EndNote&gt;&lt;Cite&gt;&lt;Author&gt;Global CCS Institute&lt;/Author&gt;&lt;Year&gt;2020&lt;/Year&gt;&lt;RecNum&gt;1375&lt;/RecNum&gt;&lt;DisplayText&gt;[70]&lt;/DisplayText&gt;&lt;record&gt;&lt;rec-number&gt;1375&lt;/rec-number&gt;&lt;foreign-keys&gt;&lt;key app="EN" db-id="w500zpaaheraz8epaw1p29dtf2ff9zrswv50" timestamp="1622757840"&gt;1375&lt;/key&gt;&lt;/foreign-keys&gt;&lt;ref-type name="Report"&gt;27&lt;/ref-type&gt;&lt;contributors&gt;&lt;authors&gt;&lt;author&gt;Global CCS Institute,&lt;/author&gt;&lt;/authors&gt;&lt;/contributors&gt;&lt;titles&gt;&lt;title&gt;Global Status of CCS 2020&lt;/title&gt;&lt;/titles&gt;&lt;dates&gt;&lt;year&gt;2020&lt;/year&gt;&lt;/dates&gt;&lt;urls&gt;&lt;/urls&gt;&lt;/record&gt;&lt;/Cite&gt;&lt;/EndNote&gt;</w:instrText>
      </w:r>
      <w:r w:rsidR="0086275B">
        <w:rPr>
          <w:shd w:val="clear" w:color="auto" w:fill="FFFFFF"/>
        </w:rPr>
        <w:fldChar w:fldCharType="separate"/>
      </w:r>
      <w:r w:rsidR="006210AE">
        <w:rPr>
          <w:noProof/>
          <w:shd w:val="clear" w:color="auto" w:fill="FFFFFF"/>
        </w:rPr>
        <w:t>[</w:t>
      </w:r>
      <w:hyperlink w:anchor="_ENREF_70" w:tooltip="Global CCS Institute, 2020 #1375" w:history="1">
        <w:r w:rsidR="006210AE">
          <w:rPr>
            <w:noProof/>
            <w:shd w:val="clear" w:color="auto" w:fill="FFFFFF"/>
          </w:rPr>
          <w:t>70</w:t>
        </w:r>
      </w:hyperlink>
      <w:r w:rsidR="006210AE">
        <w:rPr>
          <w:noProof/>
          <w:shd w:val="clear" w:color="auto" w:fill="FFFFFF"/>
        </w:rPr>
        <w:t>]</w:t>
      </w:r>
      <w:r w:rsidR="0086275B">
        <w:rPr>
          <w:shd w:val="clear" w:color="auto" w:fill="FFFFFF"/>
        </w:rPr>
        <w:fldChar w:fldCharType="end"/>
      </w:r>
      <w:r w:rsidR="0086275B">
        <w:rPr>
          <w:shd w:val="clear" w:color="auto" w:fill="FFFFFF"/>
        </w:rPr>
        <w:t xml:space="preserve">. </w:t>
      </w:r>
      <w:r w:rsidR="00451172">
        <w:rPr>
          <w:shd w:val="clear" w:color="auto" w:fill="FFFFFF"/>
        </w:rPr>
        <w:t>Another element that may affect renewable green hydrogen production is th</w:t>
      </w:r>
      <w:r w:rsidR="001228FF">
        <w:rPr>
          <w:shd w:val="clear" w:color="auto" w:fill="FFFFFF"/>
        </w:rPr>
        <w:t>at e</w:t>
      </w:r>
      <w:r w:rsidR="00FC3DBC">
        <w:rPr>
          <w:shd w:val="clear" w:color="auto" w:fill="FFFFFF"/>
        </w:rPr>
        <w:t xml:space="preserve">ven though </w:t>
      </w:r>
      <w:r w:rsidR="00451172">
        <w:rPr>
          <w:shd w:val="clear" w:color="auto" w:fill="FFFFFF"/>
        </w:rPr>
        <w:t xml:space="preserve">relatively high wind </w:t>
      </w:r>
      <w:r w:rsidR="00FC3DBC">
        <w:rPr>
          <w:shd w:val="clear" w:color="auto" w:fill="FFFFFF"/>
        </w:rPr>
        <w:t>capacity factors</w:t>
      </w:r>
      <w:r w:rsidR="00451172">
        <w:rPr>
          <w:shd w:val="clear" w:color="auto" w:fill="FFFFFF"/>
        </w:rPr>
        <w:t xml:space="preserve"> were considered</w:t>
      </w:r>
      <w:r w:rsidR="00FC3DBC">
        <w:rPr>
          <w:shd w:val="clear" w:color="auto" w:fill="FFFFFF"/>
        </w:rPr>
        <w:t xml:space="preserve"> </w:t>
      </w:r>
      <w:r w:rsidR="00451172">
        <w:rPr>
          <w:shd w:val="clear" w:color="auto" w:fill="FFFFFF"/>
        </w:rPr>
        <w:t>– in the range</w:t>
      </w:r>
      <w:r w:rsidR="00FC3DBC">
        <w:rPr>
          <w:shd w:val="clear" w:color="auto" w:fill="FFFFFF"/>
        </w:rPr>
        <w:t xml:space="preserve"> of </w:t>
      </w:r>
      <w:r w:rsidR="00C71129">
        <w:rPr>
          <w:shd w:val="clear" w:color="auto" w:fill="FFFFFF"/>
        </w:rPr>
        <w:t>33</w:t>
      </w:r>
      <w:r w:rsidR="00451172">
        <w:rPr>
          <w:shd w:val="clear" w:color="auto" w:fill="FFFFFF"/>
        </w:rPr>
        <w:t>-</w:t>
      </w:r>
      <w:r w:rsidR="00C71129">
        <w:rPr>
          <w:shd w:val="clear" w:color="auto" w:fill="FFFFFF"/>
        </w:rPr>
        <w:t>5</w:t>
      </w:r>
      <w:r w:rsidR="00FC3DBC">
        <w:rPr>
          <w:shd w:val="clear" w:color="auto" w:fill="FFFFFF"/>
        </w:rPr>
        <w:t>0%</w:t>
      </w:r>
      <w:r w:rsidR="00451172">
        <w:rPr>
          <w:shd w:val="clear" w:color="auto" w:fill="FFFFFF"/>
        </w:rPr>
        <w:t xml:space="preserve"> –</w:t>
      </w:r>
      <w:r w:rsidR="00F417DD" w:rsidRPr="00F417DD">
        <w:rPr>
          <w:shd w:val="clear" w:color="auto" w:fill="FFFFFF"/>
        </w:rPr>
        <w:t xml:space="preserve"> one of </w:t>
      </w:r>
      <w:r w:rsidR="00F417DD">
        <w:rPr>
          <w:shd w:val="clear" w:color="auto" w:fill="FFFFFF"/>
        </w:rPr>
        <w:t xml:space="preserve">the limitations of this model </w:t>
      </w:r>
      <w:r w:rsidR="00F417DD" w:rsidRPr="00F417DD">
        <w:rPr>
          <w:shd w:val="clear" w:color="auto" w:fill="FFFFFF"/>
        </w:rPr>
        <w:t xml:space="preserve">is that it does not </w:t>
      </w:r>
      <w:r w:rsidR="001228FF">
        <w:rPr>
          <w:shd w:val="clear" w:color="auto" w:fill="FFFFFF"/>
        </w:rPr>
        <w:t>implement a fine temporal resolution. M</w:t>
      </w:r>
      <w:r w:rsidR="00FC3DBC">
        <w:rPr>
          <w:shd w:val="clear" w:color="auto" w:fill="FFFFFF"/>
        </w:rPr>
        <w:t>odelling on an hourly basis may allow for the interplay of energy storage and the total installed capacity of renewables to be better studied (i.e. a cost optimal sizing of both intermittent production and storage would result in a lower Total Discounted cost tha</w:t>
      </w:r>
      <w:r w:rsidR="001228FF">
        <w:rPr>
          <w:shd w:val="clear" w:color="auto" w:fill="FFFFFF"/>
        </w:rPr>
        <w:t>n</w:t>
      </w:r>
      <w:r w:rsidR="00FC3DBC">
        <w:rPr>
          <w:shd w:val="clear" w:color="auto" w:fill="FFFFFF"/>
        </w:rPr>
        <w:t xml:space="preserve"> just installing a larger production </w:t>
      </w:r>
      <w:r w:rsidR="00FC3DBC">
        <w:rPr>
          <w:shd w:val="clear" w:color="auto" w:fill="FFFFFF"/>
        </w:rPr>
        <w:lastRenderedPageBreak/>
        <w:t xml:space="preserve">capacity), </w:t>
      </w:r>
      <w:r w:rsidR="001228FF">
        <w:rPr>
          <w:shd w:val="clear" w:color="auto" w:fill="FFFFFF"/>
        </w:rPr>
        <w:t xml:space="preserve">and for the potential to achieve a better electricity price from using curtailed wind production. </w:t>
      </w:r>
      <w:bookmarkStart w:id="73" w:name="_Hlk73637727"/>
      <w:r w:rsidR="00F417DD">
        <w:rPr>
          <w:shd w:val="clear" w:color="auto" w:fill="FFFFFF"/>
        </w:rPr>
        <w:t>A finer time</w:t>
      </w:r>
      <w:r w:rsidR="00BF2022">
        <w:rPr>
          <w:shd w:val="clear" w:color="auto" w:fill="FFFFFF"/>
        </w:rPr>
        <w:t>-</w:t>
      </w:r>
      <w:r w:rsidR="00F417DD">
        <w:rPr>
          <w:shd w:val="clear" w:color="auto" w:fill="FFFFFF"/>
        </w:rPr>
        <w:t xml:space="preserve">slicing and better storage/curtailment </w:t>
      </w:r>
      <w:r w:rsidR="00BF2022">
        <w:rPr>
          <w:shd w:val="clear" w:color="auto" w:fill="FFFFFF"/>
        </w:rPr>
        <w:t>representation were excluded from this study to maintain computational tractability, as the focus was on hydrogen purification infrastructure and purity requirements</w:t>
      </w:r>
      <w:r w:rsidR="00F417DD">
        <w:rPr>
          <w:shd w:val="clear" w:color="auto" w:fill="FFFFFF"/>
        </w:rPr>
        <w:t xml:space="preserve">. </w:t>
      </w:r>
      <w:bookmarkEnd w:id="72"/>
      <w:bookmarkEnd w:id="73"/>
      <w:r w:rsidR="00407B85">
        <w:t>Analysing the spatial aspect of the production methods</w:t>
      </w:r>
      <w:r w:rsidR="00B531C9">
        <w:t xml:space="preserve"> </w:t>
      </w:r>
      <w:r w:rsidR="00B531C9">
        <w:fldChar w:fldCharType="begin"/>
      </w:r>
      <w:r w:rsidR="00B531C9">
        <w:instrText xml:space="preserve"> REF _Ref57101741 \h </w:instrText>
      </w:r>
      <w:r w:rsidR="00B531C9">
        <w:fldChar w:fldCharType="separate"/>
      </w:r>
      <w:r w:rsidR="006E61A3">
        <w:t xml:space="preserve">Figure </w:t>
      </w:r>
      <w:r w:rsidR="006E61A3">
        <w:rPr>
          <w:noProof/>
        </w:rPr>
        <w:t>7</w:t>
      </w:r>
      <w:r w:rsidR="00B531C9">
        <w:fldChar w:fldCharType="end"/>
      </w:r>
      <w:r w:rsidR="00B531C9">
        <w:t xml:space="preserve"> to </w:t>
      </w:r>
      <w:r w:rsidR="00B531C9">
        <w:fldChar w:fldCharType="begin"/>
      </w:r>
      <w:r w:rsidR="00B531C9">
        <w:instrText xml:space="preserve"> REF _Ref57101744 \h </w:instrText>
      </w:r>
      <w:r w:rsidR="00B531C9">
        <w:fldChar w:fldCharType="separate"/>
      </w:r>
      <w:r w:rsidR="006E61A3">
        <w:t xml:space="preserve">Figure </w:t>
      </w:r>
      <w:r w:rsidR="006E61A3">
        <w:rPr>
          <w:noProof/>
        </w:rPr>
        <w:t>12</w:t>
      </w:r>
      <w:r w:rsidR="00B531C9">
        <w:fldChar w:fldCharType="end"/>
      </w:r>
      <w:r w:rsidR="00B531C9">
        <w:t xml:space="preserve"> show the zones where production capacity of SMR and PEM electrolysis from wind turbines are installed by 2050. S</w:t>
      </w:r>
      <w:r w:rsidR="00407B85">
        <w:t>team methane reforming plants were installed in all zones that had access to planned CCS projects, which included zones 10, 11, 18, 23, 24 and 26. PEM electrolysis powered from wind turbines were installed in zones 4 and 12, which had the two largest annual wind capacity factors out of all the zones.</w:t>
      </w:r>
      <w:r w:rsidR="00942051">
        <w:t xml:space="preserve"> </w:t>
      </w:r>
    </w:p>
    <w:tbl>
      <w:tblPr>
        <w:tblStyle w:val="TableGrid"/>
        <w:tblW w:w="90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9"/>
        <w:gridCol w:w="2830"/>
        <w:gridCol w:w="2830"/>
        <w:gridCol w:w="1977"/>
      </w:tblGrid>
      <w:tr w:rsidR="00376D70" w14:paraId="2B8DD5A4" w14:textId="4477F594" w:rsidTr="00B531C9">
        <w:tc>
          <w:tcPr>
            <w:tcW w:w="2367" w:type="dxa"/>
            <w:vAlign w:val="center"/>
          </w:tcPr>
          <w:p w14:paraId="414045A1" w14:textId="77777777" w:rsidR="00376D70" w:rsidRDefault="00376D70" w:rsidP="00376D70">
            <w:pPr>
              <w:pStyle w:val="NoSpacing"/>
              <w:keepNext/>
              <w:jc w:val="center"/>
            </w:pPr>
            <w:r>
              <w:rPr>
                <w:noProof/>
              </w:rPr>
              <w:lastRenderedPageBreak/>
              <w:drawing>
                <wp:inline distT="0" distB="0" distL="0" distR="0" wp14:anchorId="4A5B73A6" wp14:editId="359EB6E8">
                  <wp:extent cx="1800000" cy="3531111"/>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72" t="3795" r="1064" b="972"/>
                          <a:stretch/>
                        </pic:blipFill>
                        <pic:spPr bwMode="auto">
                          <a:xfrm>
                            <a:off x="0" y="0"/>
                            <a:ext cx="1800000" cy="3531111"/>
                          </a:xfrm>
                          <a:prstGeom prst="rect">
                            <a:avLst/>
                          </a:prstGeom>
                          <a:noFill/>
                          <a:ln>
                            <a:noFill/>
                          </a:ln>
                          <a:extLst>
                            <a:ext uri="{53640926-AAD7-44D8-BBD7-CCE9431645EC}">
                              <a14:shadowObscured xmlns:a14="http://schemas.microsoft.com/office/drawing/2010/main"/>
                            </a:ext>
                          </a:extLst>
                        </pic:spPr>
                      </pic:pic>
                    </a:graphicData>
                  </a:graphic>
                </wp:inline>
              </w:drawing>
            </w:r>
          </w:p>
          <w:p w14:paraId="504A678C" w14:textId="3A833F30" w:rsidR="00376D70" w:rsidRDefault="00376D70" w:rsidP="00942051">
            <w:pPr>
              <w:pStyle w:val="Caption"/>
              <w:spacing w:before="0" w:after="0"/>
            </w:pPr>
            <w:bookmarkStart w:id="74" w:name="_Ref57101741"/>
            <w:r>
              <w:t xml:space="preserve">Figure </w:t>
            </w:r>
            <w:fldSimple w:instr=" SEQ Figure \* ARABIC ">
              <w:r w:rsidR="0031241E">
                <w:rPr>
                  <w:noProof/>
                </w:rPr>
                <w:t>7</w:t>
              </w:r>
            </w:fldSimple>
            <w:bookmarkEnd w:id="74"/>
            <w:r>
              <w:t>:</w:t>
            </w:r>
            <w:r w:rsidR="00B531C9">
              <w:t xml:space="preserve"> </w:t>
            </w:r>
            <w:r w:rsidRPr="003C4D53">
              <w:t>Installed SMR capacity in 2050</w:t>
            </w:r>
            <w:r>
              <w:t xml:space="preserve"> - </w:t>
            </w:r>
            <w:r w:rsidRPr="003C4D53">
              <w:t xml:space="preserve">low carbon </w:t>
            </w:r>
            <w:r>
              <w:t>price</w:t>
            </w:r>
          </w:p>
        </w:tc>
        <w:tc>
          <w:tcPr>
            <w:tcW w:w="2348" w:type="dxa"/>
            <w:vAlign w:val="center"/>
          </w:tcPr>
          <w:p w14:paraId="78EEE4F4" w14:textId="77777777" w:rsidR="00376D70" w:rsidRDefault="00376D70" w:rsidP="00376D70">
            <w:pPr>
              <w:pStyle w:val="NoSpacing"/>
              <w:keepNext/>
              <w:jc w:val="center"/>
            </w:pPr>
            <w:r>
              <w:rPr>
                <w:noProof/>
              </w:rPr>
              <w:drawing>
                <wp:inline distT="0" distB="0" distL="0" distR="0" wp14:anchorId="4DDA6FD4" wp14:editId="64E3C851">
                  <wp:extent cx="1800000" cy="3558499"/>
                  <wp:effectExtent l="0" t="0" r="0" b="444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21" t="5070" r="1625" b="950"/>
                          <a:stretch/>
                        </pic:blipFill>
                        <pic:spPr bwMode="auto">
                          <a:xfrm>
                            <a:off x="0" y="0"/>
                            <a:ext cx="1800000" cy="3558499"/>
                          </a:xfrm>
                          <a:prstGeom prst="rect">
                            <a:avLst/>
                          </a:prstGeom>
                          <a:noFill/>
                          <a:ln>
                            <a:noFill/>
                          </a:ln>
                          <a:extLst>
                            <a:ext uri="{53640926-AAD7-44D8-BBD7-CCE9431645EC}">
                              <a14:shadowObscured xmlns:a14="http://schemas.microsoft.com/office/drawing/2010/main"/>
                            </a:ext>
                          </a:extLst>
                        </pic:spPr>
                      </pic:pic>
                    </a:graphicData>
                  </a:graphic>
                </wp:inline>
              </w:drawing>
            </w:r>
          </w:p>
          <w:p w14:paraId="51734923" w14:textId="042FD14C" w:rsidR="00376D70" w:rsidRDefault="00376D70" w:rsidP="00942051">
            <w:pPr>
              <w:pStyle w:val="Caption"/>
              <w:spacing w:before="0" w:after="0"/>
            </w:pPr>
            <w:bookmarkStart w:id="75" w:name="_Ref57101733"/>
            <w:r>
              <w:t xml:space="preserve">Figure </w:t>
            </w:r>
            <w:fldSimple w:instr=" SEQ Figure \* ARABIC ">
              <w:r w:rsidR="0031241E">
                <w:rPr>
                  <w:noProof/>
                </w:rPr>
                <w:t>8</w:t>
              </w:r>
            </w:fldSimple>
            <w:bookmarkEnd w:id="75"/>
            <w:r>
              <w:t>:</w:t>
            </w:r>
            <w:r w:rsidRPr="003C4D53">
              <w:t xml:space="preserve"> Installed SMR capacity in 2050 </w:t>
            </w:r>
            <w:r>
              <w:t xml:space="preserve">– mid </w:t>
            </w:r>
            <w:r w:rsidRPr="003C4D53">
              <w:t xml:space="preserve">carbon </w:t>
            </w:r>
            <w:r>
              <w:t>price</w:t>
            </w:r>
          </w:p>
        </w:tc>
        <w:tc>
          <w:tcPr>
            <w:tcW w:w="2346" w:type="dxa"/>
            <w:vAlign w:val="center"/>
          </w:tcPr>
          <w:p w14:paraId="545FA2A9" w14:textId="77777777" w:rsidR="00376D70" w:rsidRDefault="00376D70" w:rsidP="00376D70">
            <w:pPr>
              <w:pStyle w:val="NoSpacing"/>
              <w:keepNext/>
              <w:jc w:val="center"/>
            </w:pPr>
            <w:r>
              <w:rPr>
                <w:noProof/>
              </w:rPr>
              <w:drawing>
                <wp:inline distT="0" distB="0" distL="0" distR="0" wp14:anchorId="50600483" wp14:editId="44BCD668">
                  <wp:extent cx="1800000" cy="3562664"/>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60" t="5039" r="1357" b="475"/>
                          <a:stretch/>
                        </pic:blipFill>
                        <pic:spPr bwMode="auto">
                          <a:xfrm>
                            <a:off x="0" y="0"/>
                            <a:ext cx="1800000" cy="3562664"/>
                          </a:xfrm>
                          <a:prstGeom prst="rect">
                            <a:avLst/>
                          </a:prstGeom>
                          <a:noFill/>
                          <a:ln>
                            <a:noFill/>
                          </a:ln>
                          <a:extLst>
                            <a:ext uri="{53640926-AAD7-44D8-BBD7-CCE9431645EC}">
                              <a14:shadowObscured xmlns:a14="http://schemas.microsoft.com/office/drawing/2010/main"/>
                            </a:ext>
                          </a:extLst>
                        </pic:spPr>
                      </pic:pic>
                    </a:graphicData>
                  </a:graphic>
                </wp:inline>
              </w:drawing>
            </w:r>
          </w:p>
          <w:p w14:paraId="4EC9B767" w14:textId="75FEEFC5" w:rsidR="00376D70" w:rsidRDefault="00376D70" w:rsidP="00942051">
            <w:pPr>
              <w:pStyle w:val="Caption"/>
              <w:spacing w:before="0" w:after="0"/>
            </w:pPr>
            <w:r>
              <w:t xml:space="preserve">Figure </w:t>
            </w:r>
            <w:fldSimple w:instr=" SEQ Figure \* ARABIC ">
              <w:r w:rsidR="0031241E">
                <w:rPr>
                  <w:noProof/>
                </w:rPr>
                <w:t>9</w:t>
              </w:r>
            </w:fldSimple>
            <w:r>
              <w:t xml:space="preserve">: </w:t>
            </w:r>
            <w:r w:rsidRPr="003C4D53">
              <w:t xml:space="preserve">Installed SMR capacity in 2050 </w:t>
            </w:r>
            <w:r>
              <w:t xml:space="preserve">– high </w:t>
            </w:r>
            <w:r w:rsidRPr="003C4D53">
              <w:t xml:space="preserve">carbon </w:t>
            </w:r>
            <w:r>
              <w:t>price</w:t>
            </w:r>
            <w:bookmarkStart w:id="76" w:name="_Toc50359060"/>
            <w:r w:rsidRPr="000F5E13">
              <w:t>.</w:t>
            </w:r>
            <w:bookmarkEnd w:id="76"/>
          </w:p>
        </w:tc>
        <w:tc>
          <w:tcPr>
            <w:tcW w:w="2015" w:type="dxa"/>
          </w:tcPr>
          <w:p w14:paraId="4915011D" w14:textId="6B1F0BB5" w:rsidR="00376D70" w:rsidRDefault="00376D70" w:rsidP="00376D70">
            <w:pPr>
              <w:pStyle w:val="NoSpacing"/>
              <w:keepNext/>
              <w:jc w:val="center"/>
              <w:rPr>
                <w:noProof/>
              </w:rPr>
            </w:pPr>
            <w:r>
              <w:rPr>
                <w:noProof/>
              </w:rPr>
              <w:drawing>
                <wp:inline distT="0" distB="0" distL="0" distR="0" wp14:anchorId="788D3CC3" wp14:editId="10536A3B">
                  <wp:extent cx="1225550" cy="2249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5550" cy="2249805"/>
                          </a:xfrm>
                          <a:prstGeom prst="rect">
                            <a:avLst/>
                          </a:prstGeom>
                          <a:noFill/>
                        </pic:spPr>
                      </pic:pic>
                    </a:graphicData>
                  </a:graphic>
                </wp:inline>
              </w:drawing>
            </w:r>
          </w:p>
        </w:tc>
      </w:tr>
      <w:tr w:rsidR="00376D70" w14:paraId="140E2410" w14:textId="45D880EA" w:rsidTr="00B531C9">
        <w:tc>
          <w:tcPr>
            <w:tcW w:w="2367" w:type="dxa"/>
            <w:vAlign w:val="center"/>
          </w:tcPr>
          <w:p w14:paraId="7F4146BB" w14:textId="77777777" w:rsidR="00376D70" w:rsidRDefault="00376D70" w:rsidP="00376D70">
            <w:pPr>
              <w:pStyle w:val="NoSpacing"/>
              <w:keepNext/>
              <w:jc w:val="center"/>
            </w:pPr>
            <w:r>
              <w:rPr>
                <w:noProof/>
              </w:rPr>
              <w:drawing>
                <wp:inline distT="0" distB="0" distL="0" distR="0" wp14:anchorId="6F572A9E" wp14:editId="7136515E">
                  <wp:extent cx="1800000" cy="3556573"/>
                  <wp:effectExtent l="0" t="0" r="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70" t="3843" r="1260" b="620"/>
                          <a:stretch/>
                        </pic:blipFill>
                        <pic:spPr bwMode="auto">
                          <a:xfrm>
                            <a:off x="0" y="0"/>
                            <a:ext cx="1800000" cy="3556573"/>
                          </a:xfrm>
                          <a:prstGeom prst="rect">
                            <a:avLst/>
                          </a:prstGeom>
                          <a:noFill/>
                          <a:ln>
                            <a:noFill/>
                          </a:ln>
                          <a:extLst>
                            <a:ext uri="{53640926-AAD7-44D8-BBD7-CCE9431645EC}">
                              <a14:shadowObscured xmlns:a14="http://schemas.microsoft.com/office/drawing/2010/main"/>
                            </a:ext>
                          </a:extLst>
                        </pic:spPr>
                      </pic:pic>
                    </a:graphicData>
                  </a:graphic>
                </wp:inline>
              </w:drawing>
            </w:r>
          </w:p>
          <w:p w14:paraId="7B49CBA4" w14:textId="5C27F367" w:rsidR="00376D70" w:rsidRDefault="00376D70" w:rsidP="00942051">
            <w:pPr>
              <w:pStyle w:val="Caption"/>
              <w:spacing w:before="0" w:after="0"/>
            </w:pPr>
            <w:r>
              <w:t xml:space="preserve">Figure </w:t>
            </w:r>
            <w:fldSimple w:instr=" SEQ Figure \* ARABIC ">
              <w:r w:rsidR="0031241E">
                <w:rPr>
                  <w:noProof/>
                </w:rPr>
                <w:t>10</w:t>
              </w:r>
            </w:fldSimple>
            <w:r>
              <w:t xml:space="preserve">: </w:t>
            </w:r>
            <w:r w:rsidRPr="003C4D53">
              <w:t xml:space="preserve">Installed </w:t>
            </w:r>
            <w:r>
              <w:t>PEM from wind capacit</w:t>
            </w:r>
            <w:r w:rsidRPr="003C4D53">
              <w:t>y in 2050</w:t>
            </w:r>
            <w:r>
              <w:t xml:space="preserve"> - </w:t>
            </w:r>
            <w:r w:rsidRPr="003C4D53">
              <w:t xml:space="preserve">low carbon </w:t>
            </w:r>
            <w:r>
              <w:t>price</w:t>
            </w:r>
          </w:p>
        </w:tc>
        <w:tc>
          <w:tcPr>
            <w:tcW w:w="2348" w:type="dxa"/>
            <w:vAlign w:val="center"/>
          </w:tcPr>
          <w:p w14:paraId="5DA6B673" w14:textId="77777777" w:rsidR="00376D70" w:rsidRDefault="00376D70" w:rsidP="00376D70">
            <w:pPr>
              <w:pStyle w:val="NoSpacing"/>
              <w:keepNext/>
              <w:jc w:val="center"/>
            </w:pPr>
            <w:r>
              <w:rPr>
                <w:noProof/>
              </w:rPr>
              <w:drawing>
                <wp:inline distT="0" distB="0" distL="0" distR="0" wp14:anchorId="69EE3D69" wp14:editId="26EE8E7D">
                  <wp:extent cx="1800000" cy="3560770"/>
                  <wp:effectExtent l="0" t="0" r="0" b="190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70" t="5032" r="1494" b="846"/>
                          <a:stretch/>
                        </pic:blipFill>
                        <pic:spPr bwMode="auto">
                          <a:xfrm>
                            <a:off x="0" y="0"/>
                            <a:ext cx="1800000" cy="3560770"/>
                          </a:xfrm>
                          <a:prstGeom prst="rect">
                            <a:avLst/>
                          </a:prstGeom>
                          <a:noFill/>
                          <a:ln>
                            <a:noFill/>
                          </a:ln>
                          <a:extLst>
                            <a:ext uri="{53640926-AAD7-44D8-BBD7-CCE9431645EC}">
                              <a14:shadowObscured xmlns:a14="http://schemas.microsoft.com/office/drawing/2010/main"/>
                            </a:ext>
                          </a:extLst>
                        </pic:spPr>
                      </pic:pic>
                    </a:graphicData>
                  </a:graphic>
                </wp:inline>
              </w:drawing>
            </w:r>
          </w:p>
          <w:p w14:paraId="59165554" w14:textId="05FC532E" w:rsidR="00376D70" w:rsidRDefault="00376D70" w:rsidP="00942051">
            <w:pPr>
              <w:pStyle w:val="Caption"/>
              <w:spacing w:before="0" w:after="0"/>
            </w:pPr>
            <w:r>
              <w:t xml:space="preserve">Figure </w:t>
            </w:r>
            <w:fldSimple w:instr=" SEQ Figure \* ARABIC ">
              <w:r w:rsidR="0031241E">
                <w:rPr>
                  <w:noProof/>
                </w:rPr>
                <w:t>11</w:t>
              </w:r>
            </w:fldSimple>
            <w:r>
              <w:t xml:space="preserve">: </w:t>
            </w:r>
            <w:r w:rsidRPr="003C4D53">
              <w:t xml:space="preserve">Installed </w:t>
            </w:r>
            <w:r w:rsidR="00942051">
              <w:t>PEM from wind</w:t>
            </w:r>
            <w:r w:rsidRPr="003C4D53">
              <w:t xml:space="preserve"> capacity in 2050</w:t>
            </w:r>
            <w:r>
              <w:t xml:space="preserve"> - </w:t>
            </w:r>
            <w:r w:rsidR="00942051">
              <w:t>mid</w:t>
            </w:r>
            <w:r w:rsidRPr="003C4D53">
              <w:t xml:space="preserve"> carbon </w:t>
            </w:r>
            <w:r>
              <w:t>price</w:t>
            </w:r>
          </w:p>
        </w:tc>
        <w:tc>
          <w:tcPr>
            <w:tcW w:w="2346" w:type="dxa"/>
            <w:vAlign w:val="center"/>
          </w:tcPr>
          <w:p w14:paraId="78504DD5" w14:textId="77777777" w:rsidR="00376D70" w:rsidRDefault="00376D70" w:rsidP="00376D70">
            <w:pPr>
              <w:pStyle w:val="NoSpacing"/>
              <w:keepNext/>
              <w:jc w:val="center"/>
            </w:pPr>
            <w:r>
              <w:rPr>
                <w:noProof/>
              </w:rPr>
              <w:drawing>
                <wp:inline distT="0" distB="0" distL="0" distR="0" wp14:anchorId="21850FF2" wp14:editId="38C7C359">
                  <wp:extent cx="1800000" cy="354545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70" t="5326" r="1265" b="626"/>
                          <a:stretch/>
                        </pic:blipFill>
                        <pic:spPr bwMode="auto">
                          <a:xfrm>
                            <a:off x="0" y="0"/>
                            <a:ext cx="1800000" cy="3545456"/>
                          </a:xfrm>
                          <a:prstGeom prst="rect">
                            <a:avLst/>
                          </a:prstGeom>
                          <a:noFill/>
                          <a:ln>
                            <a:noFill/>
                          </a:ln>
                          <a:extLst>
                            <a:ext uri="{53640926-AAD7-44D8-BBD7-CCE9431645EC}">
                              <a14:shadowObscured xmlns:a14="http://schemas.microsoft.com/office/drawing/2010/main"/>
                            </a:ext>
                          </a:extLst>
                        </pic:spPr>
                      </pic:pic>
                    </a:graphicData>
                  </a:graphic>
                </wp:inline>
              </w:drawing>
            </w:r>
          </w:p>
          <w:p w14:paraId="48D45001" w14:textId="3CEB5170" w:rsidR="00376D70" w:rsidRDefault="00376D70" w:rsidP="00942051">
            <w:pPr>
              <w:pStyle w:val="Caption"/>
              <w:spacing w:before="0" w:after="0"/>
            </w:pPr>
            <w:bookmarkStart w:id="77" w:name="_Ref57101744"/>
            <w:r>
              <w:t xml:space="preserve">Figure </w:t>
            </w:r>
            <w:fldSimple w:instr=" SEQ Figure \* ARABIC ">
              <w:r w:rsidR="0031241E">
                <w:rPr>
                  <w:noProof/>
                </w:rPr>
                <w:t>12</w:t>
              </w:r>
            </w:fldSimple>
            <w:bookmarkEnd w:id="77"/>
            <w:r>
              <w:t xml:space="preserve">: </w:t>
            </w:r>
            <w:r w:rsidRPr="003C4D53">
              <w:t xml:space="preserve">Installed </w:t>
            </w:r>
            <w:r w:rsidR="00942051">
              <w:t xml:space="preserve">PEM from wind </w:t>
            </w:r>
            <w:r w:rsidRPr="003C4D53">
              <w:t>capacity in 2050</w:t>
            </w:r>
            <w:r>
              <w:t xml:space="preserve"> - </w:t>
            </w:r>
            <w:r w:rsidR="00942051">
              <w:t>high</w:t>
            </w:r>
            <w:r w:rsidRPr="003C4D53">
              <w:t xml:space="preserve"> carbon </w:t>
            </w:r>
            <w:r>
              <w:t>price</w:t>
            </w:r>
          </w:p>
        </w:tc>
        <w:tc>
          <w:tcPr>
            <w:tcW w:w="2015" w:type="dxa"/>
          </w:tcPr>
          <w:p w14:paraId="1DD66082" w14:textId="229EFC7E" w:rsidR="00376D70" w:rsidRDefault="00376D70" w:rsidP="00376D70">
            <w:pPr>
              <w:spacing w:before="0" w:after="0"/>
            </w:pPr>
            <w:r>
              <w:rPr>
                <w:noProof/>
              </w:rPr>
              <w:drawing>
                <wp:inline distT="0" distB="0" distL="0" distR="0" wp14:anchorId="56C044CE" wp14:editId="11B9DEA4">
                  <wp:extent cx="1249680" cy="170116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9680" cy="1701165"/>
                          </a:xfrm>
                          <a:prstGeom prst="rect">
                            <a:avLst/>
                          </a:prstGeom>
                          <a:noFill/>
                        </pic:spPr>
                      </pic:pic>
                    </a:graphicData>
                  </a:graphic>
                </wp:inline>
              </w:drawing>
            </w:r>
          </w:p>
        </w:tc>
      </w:tr>
    </w:tbl>
    <w:p w14:paraId="790FAADA" w14:textId="77777777" w:rsidR="002D1317" w:rsidRDefault="002D1317" w:rsidP="00594456">
      <w:pPr>
        <w:sectPr w:rsidR="002D1317" w:rsidSect="002D1317">
          <w:type w:val="continuous"/>
          <w:pgSz w:w="11906" w:h="16838"/>
          <w:pgMar w:top="720" w:right="720" w:bottom="720" w:left="720" w:header="708" w:footer="708" w:gutter="0"/>
          <w:cols w:space="708"/>
          <w:docGrid w:linePitch="360"/>
        </w:sectPr>
      </w:pPr>
    </w:p>
    <w:p w14:paraId="05A1CE72" w14:textId="398948C4" w:rsidR="00594456" w:rsidRDefault="008056F4" w:rsidP="00594456">
      <w:r>
        <w:t xml:space="preserve">The second component of the supply chain assessed </w:t>
      </w:r>
      <w:r w:rsidR="00676679">
        <w:t xml:space="preserve">by this model is </w:t>
      </w:r>
      <w:r>
        <w:t xml:space="preserve">regional and local hydrogen transportation. Since the distances between and within zones are fixed, transportation capacity is in kW and represents the flow of hydrogen over that length in a given zone and time period. </w:t>
      </w:r>
      <w:r w:rsidR="00676679">
        <w:fldChar w:fldCharType="begin"/>
      </w:r>
      <w:r w:rsidR="00676679">
        <w:instrText xml:space="preserve"> REF _Ref57103381 \h </w:instrText>
      </w:r>
      <w:r w:rsidR="00676679">
        <w:fldChar w:fldCharType="separate"/>
      </w:r>
      <w:r w:rsidR="006E61A3">
        <w:t xml:space="preserve">Figure </w:t>
      </w:r>
      <w:r w:rsidR="006E61A3">
        <w:rPr>
          <w:noProof/>
        </w:rPr>
        <w:t>13</w:t>
      </w:r>
      <w:r w:rsidR="00676679">
        <w:fldChar w:fldCharType="end"/>
      </w:r>
      <w:r w:rsidR="00676679">
        <w:t xml:space="preserve">, </w:t>
      </w:r>
      <w:r w:rsidR="00676679">
        <w:fldChar w:fldCharType="begin"/>
      </w:r>
      <w:r w:rsidR="00676679">
        <w:instrText xml:space="preserve"> REF _Ref57103383 \h </w:instrText>
      </w:r>
      <w:r w:rsidR="00676679">
        <w:fldChar w:fldCharType="separate"/>
      </w:r>
      <w:r w:rsidR="006E61A3">
        <w:t xml:space="preserve">Figure </w:t>
      </w:r>
      <w:r w:rsidR="006E61A3">
        <w:rPr>
          <w:noProof/>
        </w:rPr>
        <w:t>14</w:t>
      </w:r>
      <w:r w:rsidR="00676679">
        <w:fldChar w:fldCharType="end"/>
      </w:r>
      <w:r w:rsidR="00676679">
        <w:t xml:space="preserve">, and </w:t>
      </w:r>
      <w:r w:rsidR="00676679">
        <w:fldChar w:fldCharType="begin"/>
      </w:r>
      <w:r w:rsidR="00676679">
        <w:instrText xml:space="preserve"> REF _Ref57103384 \h </w:instrText>
      </w:r>
      <w:r w:rsidR="00676679">
        <w:fldChar w:fldCharType="separate"/>
      </w:r>
      <w:r w:rsidR="006E61A3">
        <w:t xml:space="preserve">Figure </w:t>
      </w:r>
      <w:r w:rsidR="006E61A3">
        <w:rPr>
          <w:noProof/>
        </w:rPr>
        <w:t>15</w:t>
      </w:r>
      <w:r w:rsidR="00676679">
        <w:fldChar w:fldCharType="end"/>
      </w:r>
      <w:r w:rsidR="00676679">
        <w:t xml:space="preserve"> show the installed capacity of repurposing the GDN for local transportation for all three carbon price scenarios by 2050. </w:t>
      </w:r>
      <w:r>
        <w:t>For all carbon price scenarios, the model chose to repurpose the gas distribution network to supply 100% hydrogen for local distribution in all zones and time periods</w:t>
      </w:r>
      <w:r w:rsidR="00594456">
        <w:t xml:space="preserve"> (apart from zone 17 in 2050, which will be discussed later). </w:t>
      </w:r>
      <w:r>
        <w:t>This shows that for the case of this model the costs saved by repurposing the G</w:t>
      </w:r>
      <w:r w:rsidR="00676679">
        <w:t>DN</w:t>
      </w:r>
      <w:r>
        <w:t>, in comparison to other distribution technologies, outweighs the additional purification requirements at the refuelling station</w:t>
      </w:r>
      <w:r w:rsidR="00676679">
        <w:t>s</w:t>
      </w:r>
      <w:r>
        <w:t>.</w:t>
      </w:r>
      <w:r w:rsidR="00676679">
        <w:t xml:space="preserve"> The </w:t>
      </w:r>
      <w:r w:rsidR="00676679">
        <w:lastRenderedPageBreak/>
        <w:t>results show an insight into the way the current GDN network could be coupled with the transport sector. In particular it highlights that if the GDN is to be utilised to distribute hydrogen for the transport sector int GB, it shows greatest potential when paired with large scale projects such as H21 – Leeds City Gate</w:t>
      </w:r>
      <w:r w:rsidR="00D63DF4">
        <w:t xml:space="preserve"> </w:t>
      </w:r>
      <w:r w:rsidR="00D63DF4">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D63DF4">
        <w:fldChar w:fldCharType="separate"/>
      </w:r>
      <w:r w:rsidR="00434694">
        <w:rPr>
          <w:noProof/>
        </w:rPr>
        <w:t>[</w:t>
      </w:r>
      <w:hyperlink w:anchor="_ENREF_56" w:tooltip="Sadler, 2016 #926" w:history="1">
        <w:r w:rsidR="006210AE">
          <w:rPr>
            <w:noProof/>
          </w:rPr>
          <w:t>56</w:t>
        </w:r>
      </w:hyperlink>
      <w:r w:rsidR="00434694">
        <w:rPr>
          <w:noProof/>
        </w:rPr>
        <w:t>]</w:t>
      </w:r>
      <w:r w:rsidR="00D63DF4">
        <w:fldChar w:fldCharType="end"/>
      </w:r>
      <w:r w:rsidR="00676679">
        <w:t>. Although H21 – Leeds City Gate is focused around using hydrogen to decarbonise the heating industry, the additional requirement of purification to achieve a purity that meets ISO 14687-2:2012 standards is offset by the cost savings from repurposing the GDN. Furthermore, coupling sectors such as heating, and transport could reap benefits of economy of scale</w:t>
      </w:r>
      <w:r w:rsidR="00EB0AE8">
        <w:t>,</w:t>
      </w:r>
      <w:r w:rsidR="00676679">
        <w:t xml:space="preserve"> and thus mak</w:t>
      </w:r>
      <w:r w:rsidR="00EB0AE8">
        <w:t>e</w:t>
      </w:r>
      <w:r w:rsidR="00676679">
        <w:t xml:space="preserve"> both hydrogen for transport and heat cheaper for the public in GB. It must be noted however, this was just a preliminary study which does not consider all the finessed technical details required in converting the GDN over to 100% hydrogen. Further investigation </w:t>
      </w:r>
      <w:r w:rsidR="00EB0AE8">
        <w:t>including the details of the current installed networks, as</w:t>
      </w:r>
      <w:r w:rsidR="00676679">
        <w:t xml:space="preserve"> seen in the H21 report</w:t>
      </w:r>
      <w:r w:rsidR="00EB0AE8">
        <w:t>,</w:t>
      </w:r>
      <w:r w:rsidR="00676679">
        <w:t xml:space="preserve"> would be required to ensure that repurposing the GDN </w:t>
      </w:r>
      <w:r w:rsidR="00EB0AE8">
        <w:t>i</w:t>
      </w:r>
      <w:r w:rsidR="00676679">
        <w:t>s technically feasible</w:t>
      </w:r>
      <w:r w:rsidR="00EB0AE8">
        <w:t>.</w:t>
      </w:r>
      <w:r w:rsidR="00594456">
        <w:t xml:space="preserve"> </w:t>
      </w:r>
    </w:p>
    <w:p w14:paraId="78760A1A" w14:textId="77777777" w:rsidR="002D1317" w:rsidRDefault="00594456" w:rsidP="00676679">
      <w:pPr>
        <w:sectPr w:rsidR="002D1317" w:rsidSect="002D1317">
          <w:type w:val="continuous"/>
          <w:pgSz w:w="11906" w:h="16838"/>
          <w:pgMar w:top="1440" w:right="1440" w:bottom="1440" w:left="1440" w:header="708" w:footer="708" w:gutter="0"/>
          <w:cols w:space="708"/>
          <w:docGrid w:linePitch="360"/>
        </w:sectPr>
      </w:pPr>
      <w:r>
        <w:t xml:space="preserve">As previously mentioned, the model chose to distribute hydrogen by blending it into the gas distribution network in zone 17 in 2050. This highlights a limitation with optimisation modelling. Even though this is the minimum cost solution for these demands and techno economic parameters, </w:t>
      </w:r>
      <w:r w:rsidR="007D6E1A">
        <w:t xml:space="preserve">it is not feasible to repurpose the GDN in 2020, to then start blending hydrogen with natural gas in 2050, even if it becomes cheaper at this time.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7"/>
        <w:gridCol w:w="2828"/>
        <w:gridCol w:w="2828"/>
        <w:gridCol w:w="1983"/>
      </w:tblGrid>
      <w:tr w:rsidR="008056F4" w14:paraId="20662B17" w14:textId="77777777" w:rsidTr="005300B0">
        <w:tc>
          <w:tcPr>
            <w:tcW w:w="2304" w:type="dxa"/>
            <w:vAlign w:val="center"/>
          </w:tcPr>
          <w:p w14:paraId="31697B16" w14:textId="64FF65DB" w:rsidR="00676679" w:rsidRDefault="008056F4" w:rsidP="002D1317">
            <w:pPr>
              <w:pStyle w:val="NoSpacing"/>
              <w:keepNext/>
            </w:pPr>
            <w:r>
              <w:rPr>
                <w:noProof/>
              </w:rPr>
              <w:drawing>
                <wp:inline distT="0" distB="0" distL="0" distR="0" wp14:anchorId="39C92AB1" wp14:editId="47F033C8">
                  <wp:extent cx="1799590" cy="35309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69" t="4363" r="1006" b="619"/>
                          <a:stretch/>
                        </pic:blipFill>
                        <pic:spPr bwMode="auto">
                          <a:xfrm>
                            <a:off x="0" y="0"/>
                            <a:ext cx="1800000" cy="3531720"/>
                          </a:xfrm>
                          <a:prstGeom prst="rect">
                            <a:avLst/>
                          </a:prstGeom>
                          <a:noFill/>
                          <a:ln>
                            <a:noFill/>
                          </a:ln>
                          <a:extLst>
                            <a:ext uri="{53640926-AAD7-44D8-BBD7-CCE9431645EC}">
                              <a14:shadowObscured xmlns:a14="http://schemas.microsoft.com/office/drawing/2010/main"/>
                            </a:ext>
                          </a:extLst>
                        </pic:spPr>
                      </pic:pic>
                    </a:graphicData>
                  </a:graphic>
                </wp:inline>
              </w:drawing>
            </w:r>
          </w:p>
          <w:p w14:paraId="6735BD12" w14:textId="758E0BB9" w:rsidR="008056F4" w:rsidRDefault="00676679" w:rsidP="00676679">
            <w:pPr>
              <w:pStyle w:val="Caption"/>
              <w:spacing w:before="0" w:after="0"/>
            </w:pPr>
            <w:bookmarkStart w:id="78" w:name="_Ref57103381"/>
            <w:r>
              <w:t xml:space="preserve">Figure </w:t>
            </w:r>
            <w:fldSimple w:instr=" SEQ Figure \* ARABIC ">
              <w:r w:rsidR="0031241E">
                <w:rPr>
                  <w:noProof/>
                </w:rPr>
                <w:t>13</w:t>
              </w:r>
            </w:fldSimple>
            <w:bookmarkEnd w:id="78"/>
            <w:r>
              <w:t xml:space="preserve">: </w:t>
            </w:r>
            <w:r w:rsidRPr="00676679">
              <w:t xml:space="preserve">Installed capacity of repurposed </w:t>
            </w:r>
            <w:r w:rsidR="002D1317">
              <w:t>GDN</w:t>
            </w:r>
            <w:r w:rsidRPr="00676679">
              <w:t xml:space="preserve"> in 2050 </w:t>
            </w:r>
            <w:r>
              <w:t>-</w:t>
            </w:r>
            <w:r w:rsidRPr="00676679">
              <w:t xml:space="preserve"> low carbon price.</w:t>
            </w:r>
          </w:p>
        </w:tc>
        <w:tc>
          <w:tcPr>
            <w:tcW w:w="2290" w:type="dxa"/>
            <w:vAlign w:val="center"/>
          </w:tcPr>
          <w:p w14:paraId="5DE3533B" w14:textId="77777777" w:rsidR="00676679" w:rsidRDefault="008056F4" w:rsidP="00676679">
            <w:pPr>
              <w:pStyle w:val="NoSpacing"/>
              <w:keepNext/>
              <w:jc w:val="center"/>
            </w:pPr>
            <w:r>
              <w:rPr>
                <w:noProof/>
              </w:rPr>
              <w:drawing>
                <wp:inline distT="0" distB="0" distL="0" distR="0" wp14:anchorId="34B6C0A0" wp14:editId="0900F1A3">
                  <wp:extent cx="1800000" cy="35660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65" t="5373" r="1634" b="595"/>
                          <a:stretch/>
                        </pic:blipFill>
                        <pic:spPr bwMode="auto">
                          <a:xfrm>
                            <a:off x="0" y="0"/>
                            <a:ext cx="1800000" cy="3566067"/>
                          </a:xfrm>
                          <a:prstGeom prst="rect">
                            <a:avLst/>
                          </a:prstGeom>
                          <a:noFill/>
                          <a:ln>
                            <a:noFill/>
                          </a:ln>
                          <a:extLst>
                            <a:ext uri="{53640926-AAD7-44D8-BBD7-CCE9431645EC}">
                              <a14:shadowObscured xmlns:a14="http://schemas.microsoft.com/office/drawing/2010/main"/>
                            </a:ext>
                          </a:extLst>
                        </pic:spPr>
                      </pic:pic>
                    </a:graphicData>
                  </a:graphic>
                </wp:inline>
              </w:drawing>
            </w:r>
          </w:p>
          <w:p w14:paraId="13A351A1" w14:textId="3863D8DE" w:rsidR="008056F4" w:rsidRDefault="00676679" w:rsidP="00676679">
            <w:pPr>
              <w:pStyle w:val="Caption"/>
              <w:spacing w:before="0" w:after="0"/>
            </w:pPr>
            <w:bookmarkStart w:id="79" w:name="_Ref57103383"/>
            <w:r>
              <w:t xml:space="preserve">Figure </w:t>
            </w:r>
            <w:fldSimple w:instr=" SEQ Figure \* ARABIC ">
              <w:r w:rsidR="0031241E">
                <w:rPr>
                  <w:noProof/>
                </w:rPr>
                <w:t>14</w:t>
              </w:r>
            </w:fldSimple>
            <w:bookmarkEnd w:id="79"/>
            <w:r>
              <w:t>:</w:t>
            </w:r>
            <w:r w:rsidRPr="00676679">
              <w:t xml:space="preserve"> Installed capacity of</w:t>
            </w:r>
            <w:r w:rsidR="002D1317">
              <w:t xml:space="preserve"> </w:t>
            </w:r>
            <w:r w:rsidRPr="00676679">
              <w:t xml:space="preserve">repurposed </w:t>
            </w:r>
            <w:r w:rsidR="002D1317">
              <w:t>GDN</w:t>
            </w:r>
            <w:r w:rsidRPr="00676679">
              <w:t xml:space="preserve"> in 2050 </w:t>
            </w:r>
            <w:r>
              <w:t>-</w:t>
            </w:r>
            <w:r w:rsidRPr="00676679">
              <w:t xml:space="preserve"> </w:t>
            </w:r>
            <w:r>
              <w:t>mid</w:t>
            </w:r>
            <w:r w:rsidRPr="00676679">
              <w:t xml:space="preserve"> carbon price.</w:t>
            </w:r>
          </w:p>
        </w:tc>
        <w:tc>
          <w:tcPr>
            <w:tcW w:w="2304" w:type="dxa"/>
            <w:vAlign w:val="center"/>
          </w:tcPr>
          <w:p w14:paraId="443C4967" w14:textId="77777777" w:rsidR="00676679" w:rsidRDefault="008056F4" w:rsidP="00676679">
            <w:pPr>
              <w:pStyle w:val="NoSpacing"/>
              <w:keepNext/>
              <w:jc w:val="center"/>
            </w:pPr>
            <w:r>
              <w:rPr>
                <w:noProof/>
              </w:rPr>
              <w:drawing>
                <wp:inline distT="0" distB="0" distL="0" distR="0" wp14:anchorId="7D46B247" wp14:editId="34F09774">
                  <wp:extent cx="1800000" cy="35526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16" t="5110" r="1249" b="484"/>
                          <a:stretch/>
                        </pic:blipFill>
                        <pic:spPr bwMode="auto">
                          <a:xfrm>
                            <a:off x="0" y="0"/>
                            <a:ext cx="1800000" cy="3552655"/>
                          </a:xfrm>
                          <a:prstGeom prst="rect">
                            <a:avLst/>
                          </a:prstGeom>
                          <a:noFill/>
                          <a:ln>
                            <a:noFill/>
                          </a:ln>
                          <a:extLst>
                            <a:ext uri="{53640926-AAD7-44D8-BBD7-CCE9431645EC}">
                              <a14:shadowObscured xmlns:a14="http://schemas.microsoft.com/office/drawing/2010/main"/>
                            </a:ext>
                          </a:extLst>
                        </pic:spPr>
                      </pic:pic>
                    </a:graphicData>
                  </a:graphic>
                </wp:inline>
              </w:drawing>
            </w:r>
          </w:p>
          <w:p w14:paraId="7B7F4B27" w14:textId="0D073B1C" w:rsidR="008056F4" w:rsidRDefault="00676679" w:rsidP="00676679">
            <w:pPr>
              <w:pStyle w:val="Caption"/>
              <w:spacing w:before="0" w:after="0"/>
            </w:pPr>
            <w:bookmarkStart w:id="80" w:name="_Ref57103384"/>
            <w:r>
              <w:t xml:space="preserve">Figure </w:t>
            </w:r>
            <w:fldSimple w:instr=" SEQ Figure \* ARABIC ">
              <w:r w:rsidR="0031241E">
                <w:rPr>
                  <w:noProof/>
                </w:rPr>
                <w:t>15</w:t>
              </w:r>
            </w:fldSimple>
            <w:bookmarkEnd w:id="80"/>
            <w:r>
              <w:t xml:space="preserve">: </w:t>
            </w:r>
            <w:r w:rsidRPr="00676679">
              <w:t xml:space="preserve">Installed capacity of repurposed </w:t>
            </w:r>
            <w:r w:rsidR="002D1317">
              <w:t>GDN</w:t>
            </w:r>
            <w:r w:rsidRPr="00676679">
              <w:t xml:space="preserve"> in 2050 </w:t>
            </w:r>
            <w:r>
              <w:t>-</w:t>
            </w:r>
            <w:r w:rsidRPr="00676679">
              <w:t xml:space="preserve"> </w:t>
            </w:r>
            <w:r>
              <w:t>high</w:t>
            </w:r>
            <w:r w:rsidRPr="00676679">
              <w:t xml:space="preserve"> carbon price.</w:t>
            </w:r>
          </w:p>
        </w:tc>
        <w:tc>
          <w:tcPr>
            <w:tcW w:w="2118" w:type="dxa"/>
          </w:tcPr>
          <w:p w14:paraId="5D7303D0" w14:textId="07B2CD0F" w:rsidR="008056F4" w:rsidRDefault="00676679" w:rsidP="00676679">
            <w:pPr>
              <w:spacing w:before="0" w:after="0"/>
            </w:pPr>
            <w:r>
              <w:rPr>
                <w:noProof/>
              </w:rPr>
              <w:drawing>
                <wp:inline distT="0" distB="0" distL="0" distR="0" wp14:anchorId="6D7AFC82" wp14:editId="7A8CD420">
                  <wp:extent cx="1261745" cy="26949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1745" cy="2694940"/>
                          </a:xfrm>
                          <a:prstGeom prst="rect">
                            <a:avLst/>
                          </a:prstGeom>
                          <a:noFill/>
                        </pic:spPr>
                      </pic:pic>
                    </a:graphicData>
                  </a:graphic>
                </wp:inline>
              </w:drawing>
            </w:r>
          </w:p>
        </w:tc>
      </w:tr>
    </w:tbl>
    <w:p w14:paraId="23598858" w14:textId="77777777" w:rsidR="002D1317" w:rsidRDefault="002D1317" w:rsidP="008056F4">
      <w:pPr>
        <w:sectPr w:rsidR="002D1317" w:rsidSect="002D1317">
          <w:type w:val="continuous"/>
          <w:pgSz w:w="11906" w:h="16838"/>
          <w:pgMar w:top="720" w:right="720" w:bottom="720" w:left="720" w:header="708" w:footer="708" w:gutter="0"/>
          <w:cols w:space="708"/>
          <w:docGrid w:linePitch="360"/>
        </w:sectPr>
      </w:pPr>
    </w:p>
    <w:p w14:paraId="0808BDE7" w14:textId="098DA611" w:rsidR="008056F4" w:rsidRDefault="00EB0AE8" w:rsidP="008056F4">
      <w:r w:rsidRPr="007D6E1A">
        <w:t xml:space="preserve">With regards to regional transportation, </w:t>
      </w:r>
      <w:r w:rsidR="005300B0" w:rsidRPr="007D6E1A">
        <w:t xml:space="preserve">the </w:t>
      </w:r>
      <w:r w:rsidR="008056F4" w:rsidRPr="007D6E1A">
        <w:t xml:space="preserve">model chose </w:t>
      </w:r>
      <w:r w:rsidR="005300B0" w:rsidRPr="007D6E1A">
        <w:t xml:space="preserve">to install new </w:t>
      </w:r>
      <w:r w:rsidR="008056F4" w:rsidRPr="007D6E1A">
        <w:t>pipelines as regional transportation for all carbon price scenarios and for all time periods. This was expected due to pipeline transmission having a very low operational cost that outweighs its large upfront capital expenditure.</w:t>
      </w:r>
      <w:r w:rsidR="009C3106">
        <w:t xml:space="preserve"> </w:t>
      </w:r>
      <w:r w:rsidR="003E1875">
        <w:fldChar w:fldCharType="begin"/>
      </w:r>
      <w:r w:rsidR="003E1875">
        <w:instrText xml:space="preserve"> REF _Ref58509837 \h </w:instrText>
      </w:r>
      <w:r w:rsidR="003E1875">
        <w:fldChar w:fldCharType="separate"/>
      </w:r>
      <w:r w:rsidR="006E61A3">
        <w:t xml:space="preserve">Figure </w:t>
      </w:r>
      <w:r w:rsidR="006E61A3">
        <w:rPr>
          <w:noProof/>
        </w:rPr>
        <w:t>16</w:t>
      </w:r>
      <w:r w:rsidR="003E1875">
        <w:fldChar w:fldCharType="end"/>
      </w:r>
      <w:r w:rsidR="00D1350B">
        <w:t xml:space="preserve"> </w:t>
      </w:r>
      <w:r w:rsidR="003E1875">
        <w:t xml:space="preserve">to </w:t>
      </w:r>
      <w:r w:rsidR="003E1875">
        <w:fldChar w:fldCharType="begin"/>
      </w:r>
      <w:r w:rsidR="003E1875">
        <w:instrText xml:space="preserve"> REF _Ref57280367 \h </w:instrText>
      </w:r>
      <w:r w:rsidR="003E1875">
        <w:fldChar w:fldCharType="separate"/>
      </w:r>
      <w:r w:rsidR="006E61A3" w:rsidRPr="009C3106">
        <w:t xml:space="preserve">Figure </w:t>
      </w:r>
      <w:r w:rsidR="006E61A3">
        <w:rPr>
          <w:noProof/>
        </w:rPr>
        <w:t>21</w:t>
      </w:r>
      <w:r w:rsidR="003E1875">
        <w:fldChar w:fldCharType="end"/>
      </w:r>
      <w:r w:rsidR="003E1875">
        <w:t xml:space="preserve"> </w:t>
      </w:r>
      <w:r w:rsidR="009C3106" w:rsidRPr="009C3106">
        <w:t>sh</w:t>
      </w:r>
      <w:r w:rsidR="008056F4" w:rsidRPr="009C3106">
        <w:t>ow the schematic layout of the transmission pipelines</w:t>
      </w:r>
      <w:r w:rsidR="009C3106">
        <w:t xml:space="preserve"> in 2040 and</w:t>
      </w:r>
      <w:r w:rsidR="008056F4" w:rsidRPr="009C3106">
        <w:t xml:space="preserve"> 2050 for all carbon price scenarios. It is worth noting that the schematic configuration of transmission pipelines remains the same from 2020 through to 2040 for all carbon prices. However, </w:t>
      </w:r>
      <w:r w:rsidR="008056F4" w:rsidRPr="009C3106">
        <w:lastRenderedPageBreak/>
        <w:t xml:space="preserve">in 2050, this starts to change as more transmission pipelines are installed making the zones more interconnected. This can be explained by the installation of renewable electrolysis production from wind turbines in 2050, causing hydrogen production to occur in more zones. </w:t>
      </w:r>
    </w:p>
    <w:p w14:paraId="64B9B171" w14:textId="495D7AAB" w:rsidR="00A40FFF" w:rsidRPr="009C3106" w:rsidRDefault="00A40FFF" w:rsidP="008056F4">
      <w:bookmarkStart w:id="81" w:name="_Hlk78096731"/>
      <w:r w:rsidRPr="00D11103">
        <w:t>Moreover</w:t>
      </w:r>
      <w:r>
        <w:t>,</w:t>
      </w:r>
      <w:r w:rsidRPr="00D11103">
        <w:t xml:space="preserve"> it is important to note that liqui</w:t>
      </w:r>
      <w:r w:rsidRPr="0034309D">
        <w:t>fied truck transport on both a regional and local level was not selected by the model</w:t>
      </w:r>
      <w:r>
        <w:t>. T</w:t>
      </w:r>
      <w:r w:rsidRPr="0034309D">
        <w:t xml:space="preserve">his is </w:t>
      </w:r>
      <w:r>
        <w:t xml:space="preserve">in line with previous evidence showing that </w:t>
      </w:r>
      <w:r w:rsidRPr="0034309D">
        <w:t>hydrogen transport via pipelines is the most cost-effective technology within European countries</w:t>
      </w:r>
      <w:r w:rsidR="00AD3023">
        <w:t xml:space="preserve"> and the UK</w:t>
      </w:r>
      <w:r>
        <w:t xml:space="preserve"> </w:t>
      </w:r>
      <w:r w:rsidR="00AD3023">
        <w:fldChar w:fldCharType="begin"/>
      </w:r>
      <w:r w:rsidR="006210AE">
        <w:instrText xml:space="preserve"> ADDIN EN.CITE &lt;EndNote&gt;&lt;Cite&gt;&lt;Author&gt;Wang&lt;/Author&gt;&lt;Year&gt;2021&lt;/Year&gt;&lt;RecNum&gt;1397&lt;/RecNum&gt;&lt;DisplayText&gt;[71]&lt;/DisplayText&gt;&lt;record&gt;&lt;rec-number&gt;1397&lt;/rec-number&gt;&lt;foreign-keys&gt;&lt;key app="EN" db-id="w500zpaaheraz8epaw1p29dtf2ff9zrswv50" timestamp="1627001997"&gt;1397&lt;/key&gt;&lt;/foreign-keys&gt;&lt;ref-type name="Report"&gt;27&lt;/ref-type&gt;&lt;contributors&gt;&lt;authors&gt;&lt;author&gt;Anthony Wang&lt;/author&gt;&lt;author&gt;Jaro Jens&lt;/author&gt;&lt;author&gt;David Mavins&lt;/author&gt;&lt;author&gt;Marissa Moultak&lt;/author&gt;&lt;author&gt;Matthias Schimmel&lt;/author&gt;&lt;author&gt;Kees van der Leun&lt;/author&gt;&lt;author&gt;Daan Peters&lt;/author&gt;&lt;author&gt;Maud Buseman&lt;/author&gt;&lt;/authors&gt;&lt;/contributors&gt;&lt;titles&gt;&lt;title&gt;European Hydrogen Backbone - Analysing future demand, supply, and transport of hydrogen&lt;/title&gt;&lt;/titles&gt;&lt;dates&gt;&lt;year&gt;2021&lt;/year&gt;&lt;/dates&gt;&lt;urls&gt;&lt;/urls&gt;&lt;/record&gt;&lt;/Cite&gt;&lt;/EndNote&gt;</w:instrText>
      </w:r>
      <w:r w:rsidR="00AD3023">
        <w:fldChar w:fldCharType="separate"/>
      </w:r>
      <w:r w:rsidR="006210AE">
        <w:rPr>
          <w:noProof/>
        </w:rPr>
        <w:t>[</w:t>
      </w:r>
      <w:hyperlink w:anchor="_ENREF_71" w:tooltip="Wang, 2021 #1397" w:history="1">
        <w:r w:rsidR="006210AE">
          <w:rPr>
            <w:noProof/>
          </w:rPr>
          <w:t>71</w:t>
        </w:r>
      </w:hyperlink>
      <w:r w:rsidR="006210AE">
        <w:rPr>
          <w:noProof/>
        </w:rPr>
        <w:t>]</w:t>
      </w:r>
      <w:r w:rsidR="00AD3023">
        <w:fldChar w:fldCharType="end"/>
      </w:r>
      <w:r w:rsidR="00AD3023">
        <w:t>, mainly because of the short distances involved, and because gas distribution networks are already in place and can be repurposed for gaseous hydrogen transport. R</w:t>
      </w:r>
      <w:r w:rsidRPr="00D11103">
        <w:t>epurposing the gas distri</w:t>
      </w:r>
      <w:r w:rsidRPr="0034309D">
        <w:t xml:space="preserve">bution network </w:t>
      </w:r>
      <w:r w:rsidR="00AD3023">
        <w:t>was the preferred distribution method</w:t>
      </w:r>
      <w:r w:rsidR="009D6C5F">
        <w:t xml:space="preserve"> chosen by the model</w:t>
      </w:r>
      <w:r w:rsidR="00AD3023">
        <w:t xml:space="preserve"> in this work, at it </w:t>
      </w:r>
      <w:r w:rsidRPr="0034309D">
        <w:t>is</w:t>
      </w:r>
      <w:r w:rsidR="00AD3023">
        <w:t xml:space="preserve"> </w:t>
      </w:r>
      <w:r w:rsidRPr="0034309D">
        <w:t>highly cost</w:t>
      </w:r>
      <w:r w:rsidR="00AD3023">
        <w:t>-</w:t>
      </w:r>
      <w:r w:rsidRPr="0034309D">
        <w:t>effective</w:t>
      </w:r>
      <w:r w:rsidR="00AD3023">
        <w:t xml:space="preserve"> because of the alre</w:t>
      </w:r>
      <w:r w:rsidRPr="0034309D">
        <w:t>ady established infrastructure</w:t>
      </w:r>
      <w:r w:rsidR="00AD3023">
        <w:t xml:space="preserve">. This means that repurposing the grid is at a much lower CAPEX than building new infrastructure or transporting by truck at large volumes.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04"/>
        <w:gridCol w:w="3004"/>
        <w:gridCol w:w="3004"/>
        <w:gridCol w:w="14"/>
      </w:tblGrid>
      <w:tr w:rsidR="009C3106" w14:paraId="37A5619A" w14:textId="77777777" w:rsidTr="009C3106">
        <w:tc>
          <w:tcPr>
            <w:tcW w:w="3004" w:type="dxa"/>
          </w:tcPr>
          <w:bookmarkEnd w:id="81"/>
          <w:p w14:paraId="6CA95749" w14:textId="77777777" w:rsidR="009C3106" w:rsidRDefault="009C3106" w:rsidP="009C3106">
            <w:pPr>
              <w:pStyle w:val="NoSpacing"/>
              <w:keepNext/>
              <w:jc w:val="center"/>
            </w:pPr>
            <w:r>
              <w:rPr>
                <w:noProof/>
              </w:rPr>
              <w:lastRenderedPageBreak/>
              <w:drawing>
                <wp:inline distT="0" distB="0" distL="0" distR="0" wp14:anchorId="49BFD2AC" wp14:editId="6666F6A5">
                  <wp:extent cx="1908000" cy="330378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08000" cy="3303785"/>
                          </a:xfrm>
                          <a:prstGeom prst="rect">
                            <a:avLst/>
                          </a:prstGeom>
                        </pic:spPr>
                      </pic:pic>
                    </a:graphicData>
                  </a:graphic>
                </wp:inline>
              </w:drawing>
            </w:r>
          </w:p>
          <w:p w14:paraId="6295D00A" w14:textId="0FD91BB6" w:rsidR="009C3106" w:rsidRPr="009C3106" w:rsidRDefault="009C3106" w:rsidP="009C3106">
            <w:pPr>
              <w:pStyle w:val="Caption"/>
              <w:rPr>
                <w:noProof/>
              </w:rPr>
            </w:pPr>
            <w:bookmarkStart w:id="82" w:name="_Ref58509837"/>
            <w:r>
              <w:t xml:space="preserve">Figure </w:t>
            </w:r>
            <w:fldSimple w:instr=" SEQ Figure \* ARABIC ">
              <w:r w:rsidR="0031241E">
                <w:rPr>
                  <w:noProof/>
                </w:rPr>
                <w:t>16</w:t>
              </w:r>
            </w:fldSimple>
            <w:bookmarkEnd w:id="82"/>
            <w:r>
              <w:t xml:space="preserve">: </w:t>
            </w:r>
            <w:r w:rsidRPr="009C3106">
              <w:t>Schematic layout of transmission pipeline in 20</w:t>
            </w:r>
            <w:r>
              <w:t>4</w:t>
            </w:r>
            <w:r w:rsidRPr="009C3106">
              <w:t>0, low carbon price scenario.</w:t>
            </w:r>
          </w:p>
        </w:tc>
        <w:tc>
          <w:tcPr>
            <w:tcW w:w="3004" w:type="dxa"/>
          </w:tcPr>
          <w:p w14:paraId="310636E5" w14:textId="77777777" w:rsidR="009C3106" w:rsidRDefault="009C3106" w:rsidP="009C3106">
            <w:pPr>
              <w:pStyle w:val="NoSpacing"/>
              <w:keepNext/>
              <w:jc w:val="center"/>
            </w:pPr>
            <w:r>
              <w:rPr>
                <w:noProof/>
              </w:rPr>
              <w:drawing>
                <wp:inline distT="0" distB="0" distL="0" distR="0" wp14:anchorId="76C6438D" wp14:editId="0338EC94">
                  <wp:extent cx="1908000" cy="330378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08000" cy="3303785"/>
                          </a:xfrm>
                          <a:prstGeom prst="rect">
                            <a:avLst/>
                          </a:prstGeom>
                        </pic:spPr>
                      </pic:pic>
                    </a:graphicData>
                  </a:graphic>
                </wp:inline>
              </w:drawing>
            </w:r>
          </w:p>
          <w:p w14:paraId="6670705E" w14:textId="69B3FADD" w:rsidR="009C3106" w:rsidRDefault="009C3106" w:rsidP="009C3106">
            <w:pPr>
              <w:pStyle w:val="Caption"/>
            </w:pPr>
            <w:r>
              <w:t xml:space="preserve">Figure </w:t>
            </w:r>
            <w:fldSimple w:instr=" SEQ Figure \* ARABIC ">
              <w:r w:rsidR="0031241E">
                <w:rPr>
                  <w:noProof/>
                </w:rPr>
                <w:t>17</w:t>
              </w:r>
            </w:fldSimple>
            <w:r>
              <w:t xml:space="preserve">: </w:t>
            </w:r>
            <w:r w:rsidRPr="009C3106">
              <w:t>Schematic layout of transmission pipeline in 20</w:t>
            </w:r>
            <w:r>
              <w:t>4</w:t>
            </w:r>
            <w:r w:rsidRPr="009C3106">
              <w:t xml:space="preserve">0, </w:t>
            </w:r>
            <w:r>
              <w:t>mid</w:t>
            </w:r>
            <w:r w:rsidRPr="009C3106">
              <w:t xml:space="preserve"> carbon price scenario.</w:t>
            </w:r>
          </w:p>
          <w:p w14:paraId="285AFAB5" w14:textId="54622D74" w:rsidR="009C3106" w:rsidRPr="009C3106" w:rsidRDefault="009C3106" w:rsidP="009C3106">
            <w:pPr>
              <w:pStyle w:val="NoSpacing"/>
              <w:keepNext/>
              <w:jc w:val="center"/>
              <w:rPr>
                <w:noProof/>
              </w:rPr>
            </w:pPr>
          </w:p>
        </w:tc>
        <w:tc>
          <w:tcPr>
            <w:tcW w:w="3004" w:type="dxa"/>
          </w:tcPr>
          <w:p w14:paraId="17619DE2" w14:textId="77777777" w:rsidR="009C3106" w:rsidRDefault="009C3106" w:rsidP="009C3106">
            <w:pPr>
              <w:pStyle w:val="NoSpacing"/>
              <w:keepNext/>
              <w:jc w:val="center"/>
            </w:pPr>
            <w:r>
              <w:rPr>
                <w:noProof/>
              </w:rPr>
              <w:drawing>
                <wp:inline distT="0" distB="0" distL="0" distR="0" wp14:anchorId="6CAEE3FF" wp14:editId="14F8D2CA">
                  <wp:extent cx="1908000" cy="330378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08000" cy="3303785"/>
                          </a:xfrm>
                          <a:prstGeom prst="rect">
                            <a:avLst/>
                          </a:prstGeom>
                        </pic:spPr>
                      </pic:pic>
                    </a:graphicData>
                  </a:graphic>
                </wp:inline>
              </w:drawing>
            </w:r>
          </w:p>
          <w:p w14:paraId="22E19500" w14:textId="1385731D" w:rsidR="009C3106" w:rsidRDefault="009C3106" w:rsidP="009C3106">
            <w:pPr>
              <w:pStyle w:val="Caption"/>
            </w:pPr>
            <w:r>
              <w:t xml:space="preserve">Figure </w:t>
            </w:r>
            <w:fldSimple w:instr=" SEQ Figure \* ARABIC ">
              <w:r w:rsidR="0031241E">
                <w:rPr>
                  <w:noProof/>
                </w:rPr>
                <w:t>18</w:t>
              </w:r>
            </w:fldSimple>
            <w:r>
              <w:t xml:space="preserve"> : </w:t>
            </w:r>
            <w:r w:rsidRPr="009C3106">
              <w:t>Schematic layout of transmission pipeline in 20</w:t>
            </w:r>
            <w:r>
              <w:t>4</w:t>
            </w:r>
            <w:r w:rsidRPr="009C3106">
              <w:t xml:space="preserve">0, </w:t>
            </w:r>
            <w:r>
              <w:t>high</w:t>
            </w:r>
            <w:r w:rsidRPr="009C3106">
              <w:t xml:space="preserve"> carbon price scenario.</w:t>
            </w:r>
          </w:p>
          <w:p w14:paraId="4550BAE2" w14:textId="0014DDEF" w:rsidR="009C3106" w:rsidRPr="009C3106" w:rsidRDefault="009C3106" w:rsidP="009C3106">
            <w:pPr>
              <w:pStyle w:val="NoSpacing"/>
              <w:keepNext/>
              <w:jc w:val="center"/>
              <w:rPr>
                <w:noProof/>
              </w:rPr>
            </w:pPr>
          </w:p>
        </w:tc>
        <w:tc>
          <w:tcPr>
            <w:tcW w:w="14" w:type="dxa"/>
          </w:tcPr>
          <w:p w14:paraId="451E54BB" w14:textId="77777777" w:rsidR="009C3106" w:rsidRDefault="009C3106" w:rsidP="009C3106">
            <w:pPr>
              <w:spacing w:before="0" w:after="0"/>
            </w:pPr>
          </w:p>
        </w:tc>
      </w:tr>
      <w:tr w:rsidR="007A6769" w14:paraId="2BCF03E0" w14:textId="77777777" w:rsidTr="009C3106">
        <w:tc>
          <w:tcPr>
            <w:tcW w:w="3004" w:type="dxa"/>
            <w:vAlign w:val="center"/>
          </w:tcPr>
          <w:p w14:paraId="1BAE8919" w14:textId="77777777" w:rsidR="002D1317" w:rsidRPr="009C3106" w:rsidRDefault="00CC0654" w:rsidP="002D1317">
            <w:pPr>
              <w:pStyle w:val="NoSpacing"/>
              <w:keepNext/>
              <w:jc w:val="center"/>
            </w:pPr>
            <w:r w:rsidRPr="009C3106">
              <w:rPr>
                <w:noProof/>
              </w:rPr>
              <w:drawing>
                <wp:inline distT="0" distB="0" distL="0" distR="0" wp14:anchorId="76190C7D" wp14:editId="706547B7">
                  <wp:extent cx="1908000" cy="3177339"/>
                  <wp:effectExtent l="0" t="0" r="0" b="444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08000" cy="3177339"/>
                          </a:xfrm>
                          <a:prstGeom prst="rect">
                            <a:avLst/>
                          </a:prstGeom>
                        </pic:spPr>
                      </pic:pic>
                    </a:graphicData>
                  </a:graphic>
                </wp:inline>
              </w:drawing>
            </w:r>
          </w:p>
          <w:p w14:paraId="6F446609" w14:textId="6A0290D0" w:rsidR="007A6769" w:rsidRPr="009C3106" w:rsidRDefault="002D1317" w:rsidP="002D1317">
            <w:pPr>
              <w:pStyle w:val="Caption"/>
              <w:spacing w:before="0"/>
            </w:pPr>
            <w:bookmarkStart w:id="83" w:name="_Ref57280364"/>
            <w:r w:rsidRPr="009C3106">
              <w:t xml:space="preserve">Figure </w:t>
            </w:r>
            <w:fldSimple w:instr=" SEQ Figure \* ARABIC ">
              <w:r w:rsidR="0031241E">
                <w:rPr>
                  <w:noProof/>
                </w:rPr>
                <w:t>19</w:t>
              </w:r>
            </w:fldSimple>
            <w:bookmarkEnd w:id="83"/>
            <w:r w:rsidRPr="009C3106">
              <w:t>: Schematic layout of transmission pipeline in 2050, low carbon price scenario.</w:t>
            </w:r>
          </w:p>
        </w:tc>
        <w:tc>
          <w:tcPr>
            <w:tcW w:w="3004" w:type="dxa"/>
            <w:vAlign w:val="center"/>
          </w:tcPr>
          <w:p w14:paraId="7B6D0D1F" w14:textId="77777777" w:rsidR="002D1317" w:rsidRPr="009C3106" w:rsidRDefault="00CC0654" w:rsidP="002D1317">
            <w:pPr>
              <w:pStyle w:val="NoSpacing"/>
              <w:keepNext/>
              <w:jc w:val="center"/>
            </w:pPr>
            <w:r w:rsidRPr="009C3106">
              <w:rPr>
                <w:noProof/>
              </w:rPr>
              <w:drawing>
                <wp:inline distT="0" distB="0" distL="0" distR="0" wp14:anchorId="33A31392" wp14:editId="7326474F">
                  <wp:extent cx="1908000" cy="3177339"/>
                  <wp:effectExtent l="0" t="0" r="0"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08000" cy="3177339"/>
                          </a:xfrm>
                          <a:prstGeom prst="rect">
                            <a:avLst/>
                          </a:prstGeom>
                        </pic:spPr>
                      </pic:pic>
                    </a:graphicData>
                  </a:graphic>
                </wp:inline>
              </w:drawing>
            </w:r>
          </w:p>
          <w:p w14:paraId="02B08B32" w14:textId="5DF0697C" w:rsidR="007A6769" w:rsidRPr="009C3106" w:rsidRDefault="002D1317" w:rsidP="002D1317">
            <w:pPr>
              <w:pStyle w:val="Caption"/>
              <w:spacing w:before="0"/>
            </w:pPr>
            <w:bookmarkStart w:id="84" w:name="_Ref57280366"/>
            <w:r w:rsidRPr="009C3106">
              <w:t xml:space="preserve">Figure </w:t>
            </w:r>
            <w:fldSimple w:instr=" SEQ Figure \* ARABIC ">
              <w:r w:rsidR="0031241E">
                <w:rPr>
                  <w:noProof/>
                </w:rPr>
                <w:t>20</w:t>
              </w:r>
            </w:fldSimple>
            <w:bookmarkEnd w:id="84"/>
            <w:r w:rsidRPr="009C3106">
              <w:t>: Schematic layout of transmission pipeline in 2050, mid carbon price scenario.</w:t>
            </w:r>
          </w:p>
        </w:tc>
        <w:tc>
          <w:tcPr>
            <w:tcW w:w="3004" w:type="dxa"/>
            <w:vAlign w:val="center"/>
          </w:tcPr>
          <w:p w14:paraId="2E4916C3" w14:textId="77777777" w:rsidR="002D1317" w:rsidRPr="009C3106" w:rsidRDefault="00CC0654" w:rsidP="002D1317">
            <w:pPr>
              <w:pStyle w:val="NoSpacing"/>
              <w:keepNext/>
              <w:jc w:val="center"/>
            </w:pPr>
            <w:r w:rsidRPr="009C3106">
              <w:rPr>
                <w:noProof/>
              </w:rPr>
              <w:drawing>
                <wp:inline distT="0" distB="0" distL="0" distR="0" wp14:anchorId="0150A2CB" wp14:editId="065DC6FE">
                  <wp:extent cx="1908000" cy="3177339"/>
                  <wp:effectExtent l="0" t="0" r="0" b="444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08000" cy="3177339"/>
                          </a:xfrm>
                          <a:prstGeom prst="rect">
                            <a:avLst/>
                          </a:prstGeom>
                        </pic:spPr>
                      </pic:pic>
                    </a:graphicData>
                  </a:graphic>
                </wp:inline>
              </w:drawing>
            </w:r>
          </w:p>
          <w:p w14:paraId="19B26D1C" w14:textId="5D118B20" w:rsidR="007A6769" w:rsidRPr="009C3106" w:rsidRDefault="002D1317" w:rsidP="002D1317">
            <w:pPr>
              <w:pStyle w:val="Caption"/>
              <w:spacing w:before="0"/>
            </w:pPr>
            <w:bookmarkStart w:id="85" w:name="_Ref57280367"/>
            <w:r w:rsidRPr="009C3106">
              <w:t xml:space="preserve">Figure </w:t>
            </w:r>
            <w:fldSimple w:instr=" SEQ Figure \* ARABIC ">
              <w:r w:rsidR="0031241E">
                <w:rPr>
                  <w:noProof/>
                </w:rPr>
                <w:t>21</w:t>
              </w:r>
            </w:fldSimple>
            <w:bookmarkEnd w:id="85"/>
            <w:r w:rsidRPr="009C3106">
              <w:t>: Schematic layout of transmission pipeline in 2050 with high carbon price scenario.</w:t>
            </w:r>
          </w:p>
        </w:tc>
        <w:tc>
          <w:tcPr>
            <w:tcW w:w="14" w:type="dxa"/>
          </w:tcPr>
          <w:p w14:paraId="6D1077C0" w14:textId="798DDFE9" w:rsidR="007A6769" w:rsidRDefault="007A6769" w:rsidP="000339F8">
            <w:pPr>
              <w:spacing w:before="0" w:after="0"/>
            </w:pPr>
          </w:p>
        </w:tc>
      </w:tr>
    </w:tbl>
    <w:p w14:paraId="1EFD9A86" w14:textId="2A224401" w:rsidR="002D1317" w:rsidRDefault="007A6769" w:rsidP="008056F4">
      <w:r>
        <w:t xml:space="preserve">A third component of the supply chain assessed in this model was purification technologies. </w:t>
      </w:r>
      <w:r w:rsidR="008056F4">
        <w:t>The model chose to install Pressure Swing Adsorption (PSA</w:t>
      </w:r>
      <w:r w:rsidR="007D6E1A">
        <w:t>)</w:t>
      </w:r>
      <w:r w:rsidR="008056F4">
        <w:t xml:space="preserve"> locally at the refuelling station for all time periods and zones. The way the model was formulated</w:t>
      </w:r>
      <w:r w:rsidR="00594456">
        <w:t>,</w:t>
      </w:r>
      <w:r w:rsidR="008056F4">
        <w:t xml:space="preserve"> it chooses to install</w:t>
      </w:r>
      <w:r w:rsidR="00594456">
        <w:t xml:space="preserve"> </w:t>
      </w:r>
      <w:r w:rsidR="008056F4">
        <w:t>purification technolog</w:t>
      </w:r>
      <w:r w:rsidR="00594456">
        <w:t>ies</w:t>
      </w:r>
      <w:r w:rsidR="008056F4">
        <w:t xml:space="preserve"> based on the purity grade of hydrogen at the inlet</w:t>
      </w:r>
      <w:r w:rsidR="00594456">
        <w:t xml:space="preserve">. As the GDN is repurposed </w:t>
      </w:r>
      <w:r w:rsidR="008056F4">
        <w:t>for all zones and time periods, all PSA systems installed had a “dirty” inlet. The only exception to this was zone 17 in 2050</w:t>
      </w:r>
      <w:r w:rsidR="007D6E1A">
        <w:t>,</w:t>
      </w:r>
      <w:r w:rsidR="008056F4">
        <w:t xml:space="preserve"> </w:t>
      </w:r>
      <w:r w:rsidR="008056F4">
        <w:lastRenderedPageBreak/>
        <w:t>where the installed PSA had a blended inlet</w:t>
      </w:r>
      <w:r w:rsidR="007D6E1A">
        <w:t>.</w:t>
      </w:r>
      <w:r w:rsidR="008056F4">
        <w:t xml:space="preserve"> </w:t>
      </w:r>
      <w:r w:rsidR="008E4FAF">
        <w:fldChar w:fldCharType="begin"/>
      </w:r>
      <w:r w:rsidR="008E4FAF">
        <w:instrText xml:space="preserve"> REF _Ref57118899 \h </w:instrText>
      </w:r>
      <w:r w:rsidR="008E4FAF">
        <w:fldChar w:fldCharType="separate"/>
      </w:r>
      <w:r w:rsidR="006E61A3">
        <w:t xml:space="preserve">Figure </w:t>
      </w:r>
      <w:r w:rsidR="006E61A3">
        <w:rPr>
          <w:noProof/>
        </w:rPr>
        <w:t>22</w:t>
      </w:r>
      <w:r w:rsidR="008E4FAF">
        <w:fldChar w:fldCharType="end"/>
      </w:r>
      <w:r w:rsidR="005372F0">
        <w:t xml:space="preserve">, </w:t>
      </w:r>
      <w:r w:rsidR="008E4FAF">
        <w:fldChar w:fldCharType="begin"/>
      </w:r>
      <w:r w:rsidR="008E4FAF">
        <w:instrText xml:space="preserve"> REF _Ref57118900 \h </w:instrText>
      </w:r>
      <w:r w:rsidR="008E4FAF">
        <w:fldChar w:fldCharType="separate"/>
      </w:r>
      <w:r w:rsidR="006E61A3">
        <w:t xml:space="preserve">Figure </w:t>
      </w:r>
      <w:r w:rsidR="006E61A3">
        <w:rPr>
          <w:noProof/>
        </w:rPr>
        <w:t>23</w:t>
      </w:r>
      <w:r w:rsidR="008E4FAF">
        <w:fldChar w:fldCharType="end"/>
      </w:r>
      <w:r w:rsidR="005372F0">
        <w:t xml:space="preserve">, and </w:t>
      </w:r>
      <w:r w:rsidR="008E4FAF">
        <w:fldChar w:fldCharType="begin"/>
      </w:r>
      <w:r w:rsidR="008E4FAF">
        <w:instrText xml:space="preserve"> REF _Ref57118901 \h </w:instrText>
      </w:r>
      <w:r w:rsidR="008E4FAF">
        <w:fldChar w:fldCharType="separate"/>
      </w:r>
      <w:r w:rsidR="006E61A3">
        <w:t xml:space="preserve">Figure </w:t>
      </w:r>
      <w:r w:rsidR="006E61A3">
        <w:rPr>
          <w:noProof/>
        </w:rPr>
        <w:t>24</w:t>
      </w:r>
      <w:r w:rsidR="008E4FAF">
        <w:fldChar w:fldCharType="end"/>
      </w:r>
      <w:r w:rsidR="005372F0">
        <w:t xml:space="preserve">, show the installed capacity of </w:t>
      </w:r>
      <w:r w:rsidR="008056F4">
        <w:t>PSA purification technology for the low, mid and high carbon price scenarios in 20</w:t>
      </w:r>
      <w:r w:rsidR="005372F0">
        <w:t>50.</w:t>
      </w:r>
    </w:p>
    <w:p w14:paraId="35EE1C69" w14:textId="74A2A76B" w:rsidR="002D1317" w:rsidRDefault="00594456" w:rsidP="008056F4">
      <w:pPr>
        <w:sectPr w:rsidR="002D1317" w:rsidSect="002D1317">
          <w:type w:val="continuous"/>
          <w:pgSz w:w="11906" w:h="16838"/>
          <w:pgMar w:top="1440" w:right="1440" w:bottom="1440" w:left="1440" w:header="708" w:footer="708" w:gutter="0"/>
          <w:cols w:space="708"/>
          <w:docGrid w:linePitch="360"/>
        </w:sectPr>
      </w:pPr>
      <w: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4"/>
        <w:gridCol w:w="2834"/>
        <w:gridCol w:w="2834"/>
        <w:gridCol w:w="1964"/>
      </w:tblGrid>
      <w:tr w:rsidR="007D6E1A" w14:paraId="2A8756F1" w14:textId="77777777" w:rsidTr="002D1317">
        <w:tc>
          <w:tcPr>
            <w:tcW w:w="2834" w:type="dxa"/>
            <w:vAlign w:val="center"/>
          </w:tcPr>
          <w:p w14:paraId="106D2777" w14:textId="09A477BD" w:rsidR="007D6E1A" w:rsidRDefault="007D6E1A" w:rsidP="000339F8">
            <w:pPr>
              <w:pStyle w:val="NoSpacing"/>
              <w:keepNext/>
              <w:jc w:val="center"/>
            </w:pPr>
            <w:r>
              <w:rPr>
                <w:noProof/>
              </w:rPr>
              <w:drawing>
                <wp:inline distT="0" distB="0" distL="0" distR="0" wp14:anchorId="059251A0" wp14:editId="2D95E37C">
                  <wp:extent cx="1800000" cy="3545776"/>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455" t="3997" r="1132" b="873"/>
                          <a:stretch/>
                        </pic:blipFill>
                        <pic:spPr bwMode="auto">
                          <a:xfrm>
                            <a:off x="0" y="0"/>
                            <a:ext cx="1800000" cy="3545776"/>
                          </a:xfrm>
                          <a:prstGeom prst="rect">
                            <a:avLst/>
                          </a:prstGeom>
                          <a:noFill/>
                          <a:ln>
                            <a:noFill/>
                          </a:ln>
                          <a:extLst>
                            <a:ext uri="{53640926-AAD7-44D8-BBD7-CCE9431645EC}">
                              <a14:shadowObscured xmlns:a14="http://schemas.microsoft.com/office/drawing/2010/main"/>
                            </a:ext>
                          </a:extLst>
                        </pic:spPr>
                      </pic:pic>
                    </a:graphicData>
                  </a:graphic>
                </wp:inline>
              </w:drawing>
            </w:r>
          </w:p>
          <w:p w14:paraId="468FACE3" w14:textId="0B4BE1DB" w:rsidR="007D6E1A" w:rsidRDefault="007D6E1A" w:rsidP="000339F8">
            <w:pPr>
              <w:pStyle w:val="Caption"/>
              <w:spacing w:before="0" w:after="0"/>
            </w:pPr>
            <w:bookmarkStart w:id="86" w:name="_Ref57118899"/>
            <w:r>
              <w:t xml:space="preserve">Figure </w:t>
            </w:r>
            <w:fldSimple w:instr=" SEQ Figure \* ARABIC ">
              <w:r w:rsidR="0031241E">
                <w:rPr>
                  <w:noProof/>
                </w:rPr>
                <w:t>22</w:t>
              </w:r>
            </w:fldSimple>
            <w:bookmarkEnd w:id="86"/>
            <w:r>
              <w:t>: Installed local PSA purification capacity in 2050</w:t>
            </w:r>
            <w:r w:rsidRPr="00676679">
              <w:t xml:space="preserve"> </w:t>
            </w:r>
            <w:r>
              <w:t>-</w:t>
            </w:r>
            <w:r w:rsidRPr="00676679">
              <w:t xml:space="preserve"> low carbon price.</w:t>
            </w:r>
          </w:p>
        </w:tc>
        <w:tc>
          <w:tcPr>
            <w:tcW w:w="2834" w:type="dxa"/>
            <w:vAlign w:val="center"/>
          </w:tcPr>
          <w:p w14:paraId="10E86433" w14:textId="7FD9A35A" w:rsidR="007D6E1A" w:rsidRDefault="007D6E1A" w:rsidP="000339F8">
            <w:pPr>
              <w:pStyle w:val="NoSpacing"/>
              <w:keepNext/>
              <w:jc w:val="center"/>
            </w:pPr>
            <w:r>
              <w:rPr>
                <w:noProof/>
              </w:rPr>
              <w:drawing>
                <wp:inline distT="0" distB="0" distL="0" distR="0" wp14:anchorId="5B5CB88B" wp14:editId="6C1AD657">
                  <wp:extent cx="1800000" cy="3564327"/>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11" t="5331" r="1864" b="835"/>
                          <a:stretch/>
                        </pic:blipFill>
                        <pic:spPr bwMode="auto">
                          <a:xfrm>
                            <a:off x="0" y="0"/>
                            <a:ext cx="1800000" cy="3564327"/>
                          </a:xfrm>
                          <a:prstGeom prst="rect">
                            <a:avLst/>
                          </a:prstGeom>
                          <a:noFill/>
                          <a:ln>
                            <a:noFill/>
                          </a:ln>
                          <a:extLst>
                            <a:ext uri="{53640926-AAD7-44D8-BBD7-CCE9431645EC}">
                              <a14:shadowObscured xmlns:a14="http://schemas.microsoft.com/office/drawing/2010/main"/>
                            </a:ext>
                          </a:extLst>
                        </pic:spPr>
                      </pic:pic>
                    </a:graphicData>
                  </a:graphic>
                </wp:inline>
              </w:drawing>
            </w:r>
          </w:p>
          <w:p w14:paraId="3E58A2F0" w14:textId="107C992C" w:rsidR="007D6E1A" w:rsidRDefault="007D6E1A" w:rsidP="000339F8">
            <w:pPr>
              <w:pStyle w:val="Caption"/>
              <w:spacing w:before="0" w:after="0"/>
            </w:pPr>
            <w:bookmarkStart w:id="87" w:name="_Ref57118900"/>
            <w:r>
              <w:t xml:space="preserve">Figure </w:t>
            </w:r>
            <w:fldSimple w:instr=" SEQ Figure \* ARABIC ">
              <w:r w:rsidR="0031241E">
                <w:rPr>
                  <w:noProof/>
                </w:rPr>
                <w:t>23</w:t>
              </w:r>
            </w:fldSimple>
            <w:bookmarkEnd w:id="87"/>
            <w:r>
              <w:t>:</w:t>
            </w:r>
            <w:r w:rsidRPr="00676679">
              <w:t xml:space="preserve"> </w:t>
            </w:r>
            <w:r>
              <w:t>Installed local PSA purification capacity in 2050 -</w:t>
            </w:r>
            <w:r w:rsidRPr="00676679">
              <w:t xml:space="preserve"> </w:t>
            </w:r>
            <w:r>
              <w:t>mid</w:t>
            </w:r>
            <w:r w:rsidRPr="00676679">
              <w:t xml:space="preserve"> carbon price.</w:t>
            </w:r>
          </w:p>
        </w:tc>
        <w:tc>
          <w:tcPr>
            <w:tcW w:w="2834" w:type="dxa"/>
            <w:vAlign w:val="center"/>
          </w:tcPr>
          <w:p w14:paraId="696FA3AE" w14:textId="42936A29" w:rsidR="007D6E1A" w:rsidRDefault="007D6E1A" w:rsidP="000339F8">
            <w:pPr>
              <w:pStyle w:val="NoSpacing"/>
              <w:keepNext/>
              <w:jc w:val="center"/>
            </w:pPr>
            <w:r>
              <w:rPr>
                <w:noProof/>
              </w:rPr>
              <w:drawing>
                <wp:inline distT="0" distB="0" distL="0" distR="0" wp14:anchorId="2C5C812F" wp14:editId="2769B707">
                  <wp:extent cx="1800000" cy="3564327"/>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11" t="5331" r="1864" b="835"/>
                          <a:stretch/>
                        </pic:blipFill>
                        <pic:spPr bwMode="auto">
                          <a:xfrm>
                            <a:off x="0" y="0"/>
                            <a:ext cx="1800000" cy="3564327"/>
                          </a:xfrm>
                          <a:prstGeom prst="rect">
                            <a:avLst/>
                          </a:prstGeom>
                          <a:noFill/>
                          <a:ln>
                            <a:noFill/>
                          </a:ln>
                          <a:extLst>
                            <a:ext uri="{53640926-AAD7-44D8-BBD7-CCE9431645EC}">
                              <a14:shadowObscured xmlns:a14="http://schemas.microsoft.com/office/drawing/2010/main"/>
                            </a:ext>
                          </a:extLst>
                        </pic:spPr>
                      </pic:pic>
                    </a:graphicData>
                  </a:graphic>
                </wp:inline>
              </w:drawing>
            </w:r>
          </w:p>
          <w:p w14:paraId="7AE749E3" w14:textId="0E2C505C" w:rsidR="007D6E1A" w:rsidRDefault="007D6E1A" w:rsidP="000339F8">
            <w:pPr>
              <w:pStyle w:val="Caption"/>
              <w:spacing w:before="0" w:after="0"/>
            </w:pPr>
            <w:bookmarkStart w:id="88" w:name="_Ref57118901"/>
            <w:r>
              <w:t xml:space="preserve">Figure </w:t>
            </w:r>
            <w:fldSimple w:instr=" SEQ Figure \* ARABIC ">
              <w:r w:rsidR="0031241E">
                <w:rPr>
                  <w:noProof/>
                </w:rPr>
                <w:t>24</w:t>
              </w:r>
            </w:fldSimple>
            <w:bookmarkEnd w:id="88"/>
            <w:r>
              <w:t xml:space="preserve">: </w:t>
            </w:r>
            <w:r w:rsidR="008E4FAF">
              <w:t xml:space="preserve">Installed local PSA purification capacity in 2050 </w:t>
            </w:r>
            <w:r>
              <w:t>-</w:t>
            </w:r>
            <w:r w:rsidRPr="00676679">
              <w:t xml:space="preserve"> </w:t>
            </w:r>
            <w:r>
              <w:t>high</w:t>
            </w:r>
            <w:r w:rsidRPr="00676679">
              <w:t xml:space="preserve"> carbon price.</w:t>
            </w:r>
          </w:p>
        </w:tc>
        <w:tc>
          <w:tcPr>
            <w:tcW w:w="1964" w:type="dxa"/>
          </w:tcPr>
          <w:p w14:paraId="160A7716" w14:textId="04FC8048" w:rsidR="007D6E1A" w:rsidRDefault="007D6E1A" w:rsidP="000339F8">
            <w:pPr>
              <w:spacing w:before="0" w:after="0"/>
            </w:pPr>
            <w:r>
              <w:rPr>
                <w:noProof/>
              </w:rPr>
              <w:drawing>
                <wp:inline distT="0" distB="0" distL="0" distR="0" wp14:anchorId="144A0A38" wp14:editId="67E59A61">
                  <wp:extent cx="1231265" cy="255460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1265" cy="2554605"/>
                          </a:xfrm>
                          <a:prstGeom prst="rect">
                            <a:avLst/>
                          </a:prstGeom>
                          <a:noFill/>
                        </pic:spPr>
                      </pic:pic>
                    </a:graphicData>
                  </a:graphic>
                </wp:inline>
              </w:drawing>
            </w:r>
          </w:p>
        </w:tc>
      </w:tr>
    </w:tbl>
    <w:p w14:paraId="354DA085" w14:textId="77777777" w:rsidR="002D1317" w:rsidRDefault="002D1317" w:rsidP="00C90490">
      <w:pPr>
        <w:sectPr w:rsidR="002D1317" w:rsidSect="002D1317">
          <w:type w:val="continuous"/>
          <w:pgSz w:w="11906" w:h="16838"/>
          <w:pgMar w:top="720" w:right="720" w:bottom="720" w:left="720" w:header="708" w:footer="708" w:gutter="0"/>
          <w:cols w:space="708"/>
          <w:docGrid w:linePitch="360"/>
        </w:sectPr>
      </w:pPr>
    </w:p>
    <w:p w14:paraId="4A897048" w14:textId="69A6B2CC" w:rsidR="00C90490" w:rsidRDefault="00C90490" w:rsidP="00C90490">
      <w:r w:rsidRPr="00C90490">
        <w:fldChar w:fldCharType="begin"/>
      </w:r>
      <w:r w:rsidRPr="00C90490">
        <w:instrText xml:space="preserve"> REF _Ref57135110 \h </w:instrText>
      </w:r>
      <w:r>
        <w:instrText xml:space="preserve"> \* MERGEFORMAT </w:instrText>
      </w:r>
      <w:r w:rsidRPr="00C90490">
        <w:fldChar w:fldCharType="separate"/>
      </w:r>
      <w:r w:rsidR="006E61A3">
        <w:t xml:space="preserve">Table </w:t>
      </w:r>
      <w:r w:rsidR="006E61A3">
        <w:rPr>
          <w:noProof/>
        </w:rPr>
        <w:t>12</w:t>
      </w:r>
      <w:r w:rsidRPr="00C90490">
        <w:fldChar w:fldCharType="end"/>
      </w:r>
      <w:r w:rsidRPr="00C90490">
        <w:t xml:space="preserve"> shows the </w:t>
      </w:r>
      <w:r w:rsidR="008056F4" w:rsidRPr="00C90490">
        <w:t>cost of hydrogen</w:t>
      </w:r>
      <w:r w:rsidRPr="00C90490">
        <w:t xml:space="preserve"> production</w:t>
      </w:r>
      <w:r w:rsidR="008056F4" w:rsidRPr="00C90490">
        <w:t xml:space="preserve"> on a £/kg basis</w:t>
      </w:r>
      <w:r w:rsidRPr="00C90490">
        <w:t>,</w:t>
      </w:r>
      <w:r w:rsidR="008056F4" w:rsidRPr="00C90490">
        <w:t xml:space="preserve"> for all three carbon price scenarios. </w:t>
      </w:r>
      <w:r w:rsidRPr="00C90490">
        <w:t>A report lead by The Hydrogen Council</w:t>
      </w:r>
      <w:r w:rsidR="00D63DF4">
        <w:t xml:space="preserve"> </w:t>
      </w:r>
      <w:r w:rsidR="00D63DF4">
        <w:fldChar w:fldCharType="begin"/>
      </w:r>
      <w:r w:rsidR="006210AE">
        <w:instrText xml:space="preserve"> ADDIN EN.CITE &lt;EndNote&gt;&lt;Cite&gt;&lt;Author&gt;Hydrogen Council&lt;/Author&gt;&lt;Year&gt;2020&lt;/Year&gt;&lt;RecNum&gt;1003&lt;/RecNum&gt;&lt;DisplayText&gt;[65]&lt;/DisplayText&gt;&lt;record&gt;&lt;rec-number&gt;1003&lt;/rec-number&gt;&lt;foreign-keys&gt;&lt;key app="EN" db-id="w500zpaaheraz8epaw1p29dtf2ff9zrswv50" timestamp="1607697901"&gt;1003&lt;/key&gt;&lt;/foreign-keys&gt;&lt;ref-type name="Report"&gt;27&lt;/ref-type&gt;&lt;contributors&gt;&lt;authors&gt;&lt;author&gt;Hydrogen Council,&lt;/author&gt;&lt;/authors&gt;&lt;/contributors&gt;&lt;titles&gt;&lt;title&gt;Path to hydrogen competitiveness: A cost perspective&lt;/title&gt;&lt;/titles&gt;&lt;dates&gt;&lt;year&gt;2020&lt;/year&gt;&lt;/dates&gt;&lt;urls&gt;&lt;related-urls&gt;&lt;url&gt;https://hydrogencouncil.com/wp-content/uploads/2020/01/Path-to-Hydrogen-Competitiveness_Full-Study-1.pdf&lt;/url&gt;&lt;/related-urls&gt;&lt;pdf-urls&gt;&lt;url&gt;file://Users\David\Library\Application Support\Mendeley Desktop\Downloaded\Hydrogen Council - 2020 - Path to hydrogen competitiveness A cost perspective.pdf&lt;/url&gt;&lt;/pdf-urls&gt;&lt;/urls&gt;&lt;/record&gt;&lt;/Cite&gt;&lt;/EndNote&gt;</w:instrText>
      </w:r>
      <w:r w:rsidR="00D63DF4">
        <w:fldChar w:fldCharType="separate"/>
      </w:r>
      <w:r w:rsidR="006210AE">
        <w:rPr>
          <w:noProof/>
        </w:rPr>
        <w:t>[</w:t>
      </w:r>
      <w:hyperlink w:anchor="_ENREF_65" w:tooltip="Hydrogen Council, 2020 #1003" w:history="1">
        <w:r w:rsidR="006210AE">
          <w:rPr>
            <w:noProof/>
          </w:rPr>
          <w:t>65</w:t>
        </w:r>
      </w:hyperlink>
      <w:r w:rsidR="006210AE">
        <w:rPr>
          <w:noProof/>
        </w:rPr>
        <w:t>]</w:t>
      </w:r>
      <w:r w:rsidR="00D63DF4">
        <w:fldChar w:fldCharType="end"/>
      </w:r>
      <w:r w:rsidRPr="00C90490">
        <w:t xml:space="preserve"> identified that in order for hydrogen to be competitive to meet a large share of the mobility energy demand by 2030, the cost of hydrogen at the pump must be within the range of 6 $/kg (4.56 £/kg). Although the cost</w:t>
      </w:r>
      <w:r>
        <w:t>s</w:t>
      </w:r>
      <w:r w:rsidRPr="00C90490">
        <w:t xml:space="preserve"> of hydrogen seen in </w:t>
      </w:r>
      <w:r w:rsidRPr="00C90490">
        <w:fldChar w:fldCharType="begin"/>
      </w:r>
      <w:r w:rsidRPr="00C90490">
        <w:instrText xml:space="preserve"> REF _Ref57135110 \h </w:instrText>
      </w:r>
      <w:r>
        <w:instrText xml:space="preserve"> \* MERGEFORMAT </w:instrText>
      </w:r>
      <w:r w:rsidRPr="00C90490">
        <w:fldChar w:fldCharType="separate"/>
      </w:r>
      <w:r w:rsidR="006E61A3">
        <w:t xml:space="preserve">Table </w:t>
      </w:r>
      <w:r w:rsidR="006E61A3">
        <w:rPr>
          <w:noProof/>
        </w:rPr>
        <w:t>12</w:t>
      </w:r>
      <w:r w:rsidRPr="00C90490">
        <w:fldChar w:fldCharType="end"/>
      </w:r>
      <w:r w:rsidRPr="00C90490">
        <w:t xml:space="preserve"> are above this value, there is possibility for </w:t>
      </w:r>
      <w:r>
        <w:t>them</w:t>
      </w:r>
      <w:r w:rsidRPr="00C90490">
        <w:t xml:space="preserve"> to be decreased, either through sector coupling</w:t>
      </w:r>
      <w:r w:rsidR="00082679">
        <w:t xml:space="preserve"> with the heating sector</w:t>
      </w:r>
      <w:r w:rsidRPr="00C90490">
        <w:t xml:space="preserve"> (which this study did not consider), and through government incentives in order to encourage the adoption of more sustainable transportation fuels.</w:t>
      </w:r>
    </w:p>
    <w:p w14:paraId="4289823B" w14:textId="356C457D" w:rsidR="00C90490" w:rsidRDefault="00C90490" w:rsidP="00C90490">
      <w:pPr>
        <w:pStyle w:val="Caption"/>
        <w:keepNext/>
      </w:pPr>
      <w:bookmarkStart w:id="89" w:name="_Ref57135110"/>
      <w:r>
        <w:t xml:space="preserve">Table </w:t>
      </w:r>
      <w:fldSimple w:instr=" SEQ Table \* ARABIC ">
        <w:r w:rsidR="006E61A3">
          <w:rPr>
            <w:noProof/>
          </w:rPr>
          <w:t>12</w:t>
        </w:r>
      </w:fldSimple>
      <w:bookmarkEnd w:id="89"/>
      <w:r>
        <w:t>: Hydrogen production costs for low, mid, and high carbon price scenarios</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2186"/>
        <w:gridCol w:w="2220"/>
      </w:tblGrid>
      <w:tr w:rsidR="00B6745D" w:rsidRPr="00C90490" w14:paraId="4D689A3D" w14:textId="77777777" w:rsidTr="00B6745D">
        <w:trPr>
          <w:jc w:val="center"/>
        </w:trPr>
        <w:tc>
          <w:tcPr>
            <w:tcW w:w="0" w:type="auto"/>
            <w:vMerge w:val="restart"/>
            <w:tcBorders>
              <w:top w:val="single" w:sz="4" w:space="0" w:color="auto"/>
            </w:tcBorders>
            <w:shd w:val="clear" w:color="auto" w:fill="auto"/>
            <w:vAlign w:val="center"/>
          </w:tcPr>
          <w:p w14:paraId="4614D1B6" w14:textId="2366BDB6" w:rsidR="00B6745D" w:rsidRPr="00C90490" w:rsidRDefault="00B6745D" w:rsidP="001B3013">
            <w:pPr>
              <w:spacing w:before="0" w:after="0"/>
            </w:pPr>
            <w:r>
              <w:t>Scenario</w:t>
            </w:r>
          </w:p>
        </w:tc>
        <w:tc>
          <w:tcPr>
            <w:tcW w:w="0" w:type="auto"/>
            <w:gridSpan w:val="2"/>
            <w:tcBorders>
              <w:top w:val="single" w:sz="4" w:space="0" w:color="auto"/>
              <w:bottom w:val="nil"/>
            </w:tcBorders>
            <w:shd w:val="clear" w:color="auto" w:fill="auto"/>
            <w:vAlign w:val="center"/>
          </w:tcPr>
          <w:p w14:paraId="4103E4AD" w14:textId="40F4910C" w:rsidR="00B6745D" w:rsidRPr="00C90490" w:rsidRDefault="00B6745D" w:rsidP="001B3013">
            <w:pPr>
              <w:spacing w:before="0" w:after="0"/>
              <w:jc w:val="center"/>
            </w:pPr>
            <w:r w:rsidRPr="00C90490">
              <w:t xml:space="preserve">Cost of </w:t>
            </w:r>
            <w:r>
              <w:t xml:space="preserve">hydrogen production </w:t>
            </w:r>
            <w:r w:rsidRPr="00C90490">
              <w:t>(£/kg)</w:t>
            </w:r>
          </w:p>
        </w:tc>
      </w:tr>
      <w:tr w:rsidR="00B6745D" w:rsidRPr="00C90490" w14:paraId="73ACA281" w14:textId="77777777" w:rsidTr="00B6745D">
        <w:trPr>
          <w:jc w:val="center"/>
        </w:trPr>
        <w:tc>
          <w:tcPr>
            <w:tcW w:w="0" w:type="auto"/>
            <w:vMerge/>
            <w:tcBorders>
              <w:bottom w:val="single" w:sz="4" w:space="0" w:color="auto"/>
            </w:tcBorders>
            <w:shd w:val="clear" w:color="auto" w:fill="auto"/>
          </w:tcPr>
          <w:p w14:paraId="40F1E463" w14:textId="77777777" w:rsidR="00B6745D" w:rsidRPr="00C90490" w:rsidRDefault="00B6745D" w:rsidP="001B3013">
            <w:pPr>
              <w:spacing w:before="0" w:after="0"/>
              <w:jc w:val="center"/>
            </w:pPr>
          </w:p>
        </w:tc>
        <w:tc>
          <w:tcPr>
            <w:tcW w:w="0" w:type="auto"/>
            <w:tcBorders>
              <w:top w:val="nil"/>
              <w:bottom w:val="single" w:sz="4" w:space="0" w:color="auto"/>
            </w:tcBorders>
            <w:shd w:val="clear" w:color="auto" w:fill="auto"/>
            <w:vAlign w:val="center"/>
          </w:tcPr>
          <w:p w14:paraId="6F325C2B" w14:textId="77777777" w:rsidR="00B6745D" w:rsidRPr="00C90490" w:rsidRDefault="00B6745D" w:rsidP="001B3013">
            <w:pPr>
              <w:spacing w:before="0" w:after="0"/>
              <w:jc w:val="center"/>
              <w:rPr>
                <w:i/>
                <w:iCs/>
              </w:rPr>
            </w:pPr>
            <w:r w:rsidRPr="00C90490">
              <w:rPr>
                <w:i/>
                <w:iCs/>
              </w:rPr>
              <w:t>Carbon Costs Included</w:t>
            </w:r>
          </w:p>
        </w:tc>
        <w:tc>
          <w:tcPr>
            <w:tcW w:w="0" w:type="auto"/>
            <w:tcBorders>
              <w:top w:val="nil"/>
              <w:bottom w:val="single" w:sz="4" w:space="0" w:color="auto"/>
            </w:tcBorders>
            <w:shd w:val="clear" w:color="auto" w:fill="auto"/>
            <w:vAlign w:val="center"/>
          </w:tcPr>
          <w:p w14:paraId="7A06D880" w14:textId="77777777" w:rsidR="00B6745D" w:rsidRPr="00C90490" w:rsidRDefault="00B6745D" w:rsidP="001B3013">
            <w:pPr>
              <w:spacing w:before="0" w:after="0"/>
              <w:jc w:val="center"/>
              <w:rPr>
                <w:i/>
                <w:iCs/>
              </w:rPr>
            </w:pPr>
            <w:r w:rsidRPr="00C90490">
              <w:rPr>
                <w:i/>
                <w:iCs/>
              </w:rPr>
              <w:t>Carbon Costs Excluded</w:t>
            </w:r>
          </w:p>
        </w:tc>
      </w:tr>
      <w:tr w:rsidR="00C90490" w:rsidRPr="00C90490" w14:paraId="2D22A173" w14:textId="77777777" w:rsidTr="00B6745D">
        <w:trPr>
          <w:jc w:val="center"/>
        </w:trPr>
        <w:tc>
          <w:tcPr>
            <w:tcW w:w="0" w:type="auto"/>
            <w:tcBorders>
              <w:top w:val="single" w:sz="4" w:space="0" w:color="auto"/>
            </w:tcBorders>
            <w:shd w:val="clear" w:color="auto" w:fill="auto"/>
            <w:vAlign w:val="center"/>
          </w:tcPr>
          <w:p w14:paraId="40E32061" w14:textId="1FF9F52B" w:rsidR="00C90490" w:rsidRPr="00C90490" w:rsidRDefault="00C90490" w:rsidP="001B3013">
            <w:pPr>
              <w:spacing w:before="0" w:after="0"/>
            </w:pPr>
            <w:r w:rsidRPr="00C90490">
              <w:t xml:space="preserve">Low </w:t>
            </w:r>
            <w:r>
              <w:t>c</w:t>
            </w:r>
            <w:r w:rsidRPr="00C90490">
              <w:t xml:space="preserve">arbon </w:t>
            </w:r>
            <w:r>
              <w:t>price</w:t>
            </w:r>
          </w:p>
        </w:tc>
        <w:tc>
          <w:tcPr>
            <w:tcW w:w="0" w:type="auto"/>
            <w:tcBorders>
              <w:top w:val="single" w:sz="4" w:space="0" w:color="auto"/>
            </w:tcBorders>
            <w:shd w:val="clear" w:color="auto" w:fill="auto"/>
            <w:vAlign w:val="center"/>
          </w:tcPr>
          <w:p w14:paraId="163E7115" w14:textId="77777777" w:rsidR="00C90490" w:rsidRPr="00C90490" w:rsidRDefault="00C90490" w:rsidP="001B3013">
            <w:pPr>
              <w:spacing w:before="0" w:after="0"/>
              <w:jc w:val="center"/>
            </w:pPr>
            <w:r w:rsidRPr="00C90490">
              <w:t>6.37</w:t>
            </w:r>
          </w:p>
        </w:tc>
        <w:tc>
          <w:tcPr>
            <w:tcW w:w="0" w:type="auto"/>
            <w:tcBorders>
              <w:top w:val="single" w:sz="4" w:space="0" w:color="auto"/>
            </w:tcBorders>
            <w:shd w:val="clear" w:color="auto" w:fill="auto"/>
            <w:vAlign w:val="center"/>
          </w:tcPr>
          <w:p w14:paraId="7484FE74" w14:textId="77777777" w:rsidR="00C90490" w:rsidRPr="00C90490" w:rsidRDefault="00C90490" w:rsidP="001B3013">
            <w:pPr>
              <w:spacing w:before="0" w:after="0"/>
              <w:jc w:val="center"/>
            </w:pPr>
            <w:r w:rsidRPr="00C90490">
              <w:t>6.18</w:t>
            </w:r>
          </w:p>
        </w:tc>
      </w:tr>
      <w:tr w:rsidR="00C90490" w:rsidRPr="00C90490" w14:paraId="5FA62D89" w14:textId="77777777" w:rsidTr="00B6745D">
        <w:trPr>
          <w:jc w:val="center"/>
        </w:trPr>
        <w:tc>
          <w:tcPr>
            <w:tcW w:w="0" w:type="auto"/>
            <w:shd w:val="clear" w:color="auto" w:fill="auto"/>
            <w:vAlign w:val="center"/>
          </w:tcPr>
          <w:p w14:paraId="2498959E" w14:textId="2EE37059" w:rsidR="00C90490" w:rsidRPr="00C90490" w:rsidRDefault="00C90490" w:rsidP="001B3013">
            <w:pPr>
              <w:spacing w:before="0" w:after="0"/>
            </w:pPr>
            <w:r w:rsidRPr="00C90490">
              <w:t xml:space="preserve">Mid </w:t>
            </w:r>
            <w:r>
              <w:t>c</w:t>
            </w:r>
            <w:r w:rsidRPr="00C90490">
              <w:t xml:space="preserve">arbon </w:t>
            </w:r>
            <w:r>
              <w:t>price</w:t>
            </w:r>
          </w:p>
        </w:tc>
        <w:tc>
          <w:tcPr>
            <w:tcW w:w="0" w:type="auto"/>
            <w:shd w:val="clear" w:color="auto" w:fill="auto"/>
            <w:vAlign w:val="center"/>
          </w:tcPr>
          <w:p w14:paraId="03DA10CD" w14:textId="77777777" w:rsidR="00C90490" w:rsidRPr="00C90490" w:rsidRDefault="00C90490" w:rsidP="001B3013">
            <w:pPr>
              <w:spacing w:before="0" w:after="0"/>
              <w:jc w:val="center"/>
            </w:pPr>
            <w:r w:rsidRPr="00C90490">
              <w:t>6.56</w:t>
            </w:r>
          </w:p>
        </w:tc>
        <w:tc>
          <w:tcPr>
            <w:tcW w:w="0" w:type="auto"/>
            <w:shd w:val="clear" w:color="auto" w:fill="auto"/>
            <w:vAlign w:val="center"/>
          </w:tcPr>
          <w:p w14:paraId="5FC33A73" w14:textId="77777777" w:rsidR="00C90490" w:rsidRPr="00C90490" w:rsidRDefault="00C90490" w:rsidP="001B3013">
            <w:pPr>
              <w:spacing w:before="0" w:after="0"/>
              <w:jc w:val="center"/>
            </w:pPr>
            <w:r w:rsidRPr="00C90490">
              <w:t>6.18</w:t>
            </w:r>
          </w:p>
        </w:tc>
      </w:tr>
      <w:tr w:rsidR="00C90490" w:rsidRPr="00C90490" w14:paraId="7BBA92E0" w14:textId="77777777" w:rsidTr="00B6745D">
        <w:trPr>
          <w:jc w:val="center"/>
        </w:trPr>
        <w:tc>
          <w:tcPr>
            <w:tcW w:w="0" w:type="auto"/>
            <w:shd w:val="clear" w:color="auto" w:fill="auto"/>
            <w:vAlign w:val="center"/>
          </w:tcPr>
          <w:p w14:paraId="052DBFDC" w14:textId="44B188AC" w:rsidR="00C90490" w:rsidRPr="00C90490" w:rsidRDefault="00C90490" w:rsidP="001B3013">
            <w:pPr>
              <w:spacing w:before="0" w:after="0"/>
            </w:pPr>
            <w:r w:rsidRPr="00C90490">
              <w:t xml:space="preserve">High </w:t>
            </w:r>
            <w:r>
              <w:t>c</w:t>
            </w:r>
            <w:r w:rsidRPr="00C90490">
              <w:t xml:space="preserve">arbon </w:t>
            </w:r>
            <w:r>
              <w:t>price</w:t>
            </w:r>
          </w:p>
        </w:tc>
        <w:tc>
          <w:tcPr>
            <w:tcW w:w="0" w:type="auto"/>
            <w:shd w:val="clear" w:color="auto" w:fill="auto"/>
            <w:vAlign w:val="center"/>
          </w:tcPr>
          <w:p w14:paraId="2F4DAED8" w14:textId="77777777" w:rsidR="00C90490" w:rsidRPr="00C90490" w:rsidRDefault="00C90490" w:rsidP="001B3013">
            <w:pPr>
              <w:spacing w:before="0" w:after="0"/>
              <w:jc w:val="center"/>
            </w:pPr>
            <w:r w:rsidRPr="00C90490">
              <w:t>6.75</w:t>
            </w:r>
          </w:p>
        </w:tc>
        <w:tc>
          <w:tcPr>
            <w:tcW w:w="0" w:type="auto"/>
            <w:shd w:val="clear" w:color="auto" w:fill="auto"/>
            <w:vAlign w:val="center"/>
          </w:tcPr>
          <w:p w14:paraId="52394FE3" w14:textId="77777777" w:rsidR="00C90490" w:rsidRPr="00C90490" w:rsidRDefault="00C90490" w:rsidP="001B3013">
            <w:pPr>
              <w:spacing w:before="0" w:after="0"/>
              <w:jc w:val="center"/>
            </w:pPr>
            <w:r w:rsidRPr="00C90490">
              <w:t>6.18</w:t>
            </w:r>
          </w:p>
        </w:tc>
      </w:tr>
    </w:tbl>
    <w:p w14:paraId="2AC176CA" w14:textId="50ABAAE1" w:rsidR="00C54B60" w:rsidRDefault="00834405" w:rsidP="00C54B60">
      <w:r>
        <w:fldChar w:fldCharType="begin"/>
      </w:r>
      <w:r>
        <w:instrText xml:space="preserve"> REF _Ref57277099 \h </w:instrText>
      </w:r>
      <w:r>
        <w:fldChar w:fldCharType="separate"/>
      </w:r>
      <w:r w:rsidR="006E61A3">
        <w:t xml:space="preserve">Figure </w:t>
      </w:r>
      <w:r w:rsidR="006E61A3">
        <w:rPr>
          <w:noProof/>
        </w:rPr>
        <w:t>25</w:t>
      </w:r>
      <w:r>
        <w:fldChar w:fldCharType="end"/>
      </w:r>
      <w:r>
        <w:t xml:space="preserve"> shows the yearly CO</w:t>
      </w:r>
      <w:r w:rsidRPr="00834405">
        <w:rPr>
          <w:vertAlign w:val="subscript"/>
        </w:rPr>
        <w:t>2</w:t>
      </w:r>
      <w:r>
        <w:t xml:space="preserve"> emissions for the three carbon price scenarios. </w:t>
      </w:r>
      <w:r w:rsidR="00C54B60" w:rsidRPr="00C54B60">
        <w:t>As would be expected, the carbon emissions are relatively similar for all three base case scenarios, except</w:t>
      </w:r>
      <w:r w:rsidR="00A00F9F">
        <w:t xml:space="preserve"> for </w:t>
      </w:r>
      <w:r w:rsidR="00C54B60" w:rsidRPr="00C54B60">
        <w:t>the high carbon price having a slightly lower carbon emission in 2050 due to the installed capacity of renewable electrolysis hydrogen production.</w:t>
      </w:r>
    </w:p>
    <w:p w14:paraId="260DD386" w14:textId="2D6B8F2E" w:rsidR="00834405" w:rsidRDefault="00667180" w:rsidP="00834405">
      <w:pPr>
        <w:keepNext/>
        <w:jc w:val="center"/>
      </w:pPr>
      <w:r>
        <w:rPr>
          <w:noProof/>
        </w:rPr>
        <w:lastRenderedPageBreak/>
        <w:drawing>
          <wp:inline distT="0" distB="0" distL="0" distR="0" wp14:anchorId="1260B573" wp14:editId="54E7F00A">
            <wp:extent cx="4570600" cy="2743200"/>
            <wp:effectExtent l="0" t="0" r="1905" b="0"/>
            <wp:docPr id="49" name="Chart 49">
              <a:extLst xmlns:a="http://schemas.openxmlformats.org/drawingml/2006/main">
                <a:ext uri="{FF2B5EF4-FFF2-40B4-BE49-F238E27FC236}">
                  <a16:creationId xmlns:a16="http://schemas.microsoft.com/office/drawing/2014/main" id="{299985E7-92BB-4705-AE23-D7F189160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0241A18" w14:textId="06D57917" w:rsidR="00834405" w:rsidRPr="00C54B60" w:rsidRDefault="00834405" w:rsidP="00834405">
      <w:pPr>
        <w:pStyle w:val="Caption"/>
      </w:pPr>
      <w:bookmarkStart w:id="90" w:name="_Ref57277099"/>
      <w:r>
        <w:t xml:space="preserve">Figure </w:t>
      </w:r>
      <w:fldSimple w:instr=" SEQ Figure \* ARABIC ">
        <w:r w:rsidR="0031241E">
          <w:rPr>
            <w:noProof/>
          </w:rPr>
          <w:t>25</w:t>
        </w:r>
      </w:fldSimple>
      <w:bookmarkEnd w:id="90"/>
      <w:r>
        <w:t>: Comparison of annual carbon emissions for carbon price scenarios.</w:t>
      </w:r>
    </w:p>
    <w:p w14:paraId="32E67641" w14:textId="3EFE3A8D" w:rsidR="008056F4" w:rsidRDefault="008056F4" w:rsidP="008056F4">
      <w:pPr>
        <w:pStyle w:val="Heading3"/>
      </w:pPr>
      <w:r>
        <w:t xml:space="preserve">Model </w:t>
      </w:r>
      <w:r w:rsidRPr="008056F4">
        <w:t>Cost</w:t>
      </w:r>
      <w:r>
        <w:t xml:space="preserve"> Validation</w:t>
      </w:r>
    </w:p>
    <w:p w14:paraId="4E536604" w14:textId="03B36182" w:rsidR="008056F4" w:rsidRPr="007475DB" w:rsidRDefault="008056F4" w:rsidP="008056F4">
      <w:r>
        <w:t>When compared to similar work,</w:t>
      </w:r>
      <w:r w:rsidR="002D0C71">
        <w:t xml:space="preserve"> </w:t>
      </w:r>
      <w:r>
        <w:t xml:space="preserve">a study done by Reuß </w:t>
      </w:r>
      <w:r>
        <w:rPr>
          <w:i/>
          <w:iCs/>
        </w:rPr>
        <w:t>et al.</w:t>
      </w:r>
      <w:r w:rsidR="00D63DF4">
        <w:rPr>
          <w:i/>
          <w:iCs/>
        </w:rPr>
        <w:t xml:space="preserve"> </w:t>
      </w:r>
      <w:r w:rsidR="00D63DF4" w:rsidRPr="00D63DF4">
        <w:fldChar w:fldCharType="begin"/>
      </w:r>
      <w:r w:rsidR="00AA243F">
        <w:instrText xml:space="preserve"> ADDIN EN.CITE &lt;EndNote&gt;&lt;Cite&gt;&lt;Author&gt;Reuß&lt;/Author&gt;&lt;Year&gt;2019&lt;/Year&gt;&lt;RecNum&gt;1089&lt;/RecNum&gt;&lt;DisplayText&gt;[28]&lt;/DisplayText&gt;&lt;record&gt;&lt;rec-number&gt;1089&lt;/rec-number&gt;&lt;foreign-keys&gt;&lt;key app="EN" db-id="w500zpaaheraz8epaw1p29dtf2ff9zrswv50" timestamp="1607697901"&gt;1089&lt;/key&gt;&lt;/foreign-keys&gt;&lt;ref-type name="Journal Article"&gt;17&lt;/ref-type&gt;&lt;contributors&gt;&lt;authors&gt;&lt;author&gt;Reuß, Markus&lt;/author&gt;&lt;author&gt;Grube, Thomas&lt;/author&gt;&lt;author&gt;Robinius, Martin&lt;/author&gt;&lt;author&gt;Stolten, Detlef&lt;/author&gt;&lt;/authors&gt;&lt;/contributors&gt;&lt;titles&gt;&lt;title&gt;A hydrogen supply chain with spatial resolution: Comparative analysis of infrastructure technologies in Germany&lt;/title&gt;&lt;secondary-title&gt;Applied Energy&lt;/secondary-title&gt;&lt;/titles&gt;&lt;periodical&gt;&lt;full-title&gt;Applied Energy&lt;/full-title&gt;&lt;/periodical&gt;&lt;pages&gt;438-453&lt;/pages&gt;&lt;volume&gt;247&lt;/volume&gt;&lt;number&gt;April&lt;/number&gt;&lt;keywords&gt;&lt;keyword&gt;Hydrogen infrastructure&lt;/keyword&gt;&lt;keyword&gt;Hydrogen mobility&lt;/keyword&gt;&lt;keyword&gt;Hydrogen supply chain&lt;/keyword&gt;&lt;keyword&gt;Liquid organic hydrogen carriers&lt;/keyword&gt;&lt;keyword&gt;Renewable energy&lt;/keyword&gt;&lt;keyword&gt;Spatial infrastructure design&lt;/keyword&gt;&lt;/keywords&gt;&lt;dates&gt;&lt;year&gt;2019&lt;/year&gt;&lt;/dates&gt;&lt;publisher&gt;Elsevier&lt;/publisher&gt;&lt;urls&gt;&lt;related-urls&gt;&lt;url&gt;https://doi.org/10.1016/j.apenergy.2019.04.064&lt;/url&gt;&lt;/related-urls&gt;&lt;pdf-urls&gt;&lt;url&gt;file://Users\David\Library\Application Support\Mendeley Desktop\Downloaded\Reuß et al. - 2019 - A hydrogen supply chain with spatial resolution Comparative analysis of infrastructure technologies in Germany.pdf&lt;/url&gt;&lt;/pdf-urls&gt;&lt;/urls&gt;&lt;electronic-resource-num&gt;10.1016/j.apenergy.2019.04.064&lt;/electronic-resource-num&gt;&lt;/record&gt;&lt;/Cite&gt;&lt;/EndNote&gt;</w:instrText>
      </w:r>
      <w:r w:rsidR="00D63DF4" w:rsidRPr="00D63DF4">
        <w:fldChar w:fldCharType="separate"/>
      </w:r>
      <w:r w:rsidR="00AA243F">
        <w:rPr>
          <w:noProof/>
        </w:rPr>
        <w:t>[</w:t>
      </w:r>
      <w:hyperlink w:anchor="_ENREF_28" w:tooltip="Reuß, 2019 #1089" w:history="1">
        <w:r w:rsidR="006210AE">
          <w:rPr>
            <w:noProof/>
          </w:rPr>
          <w:t>28</w:t>
        </w:r>
      </w:hyperlink>
      <w:r w:rsidR="00AA243F">
        <w:rPr>
          <w:noProof/>
        </w:rPr>
        <w:t>]</w:t>
      </w:r>
      <w:r w:rsidR="00D63DF4" w:rsidRPr="00D63DF4">
        <w:fldChar w:fldCharType="end"/>
      </w:r>
      <w:r>
        <w:t xml:space="preserve"> which looked at hydrogen supply chain optimisation for the transport sector in Germany</w:t>
      </w:r>
      <w:r w:rsidR="002D0C71">
        <w:t xml:space="preserve"> estimated </w:t>
      </w:r>
      <w:r>
        <w:t>the cost of hydrogen at the nozzle</w:t>
      </w:r>
      <w:r w:rsidR="002D0C71">
        <w:t xml:space="preserve"> to lay</w:t>
      </w:r>
      <w:r>
        <w:t xml:space="preserve"> </w:t>
      </w:r>
      <w:r w:rsidR="002D0C71">
        <w:t>between the</w:t>
      </w:r>
      <w:r>
        <w:t xml:space="preserve"> range </w:t>
      </w:r>
      <w:r w:rsidR="002D0C71">
        <w:t xml:space="preserve">of </w:t>
      </w:r>
      <w:r>
        <w:t>€6.10</w:t>
      </w:r>
      <w:r w:rsidR="002D0C71">
        <w:t>/kg</w:t>
      </w:r>
      <w:r>
        <w:t xml:space="preserve"> </w:t>
      </w:r>
      <w:r w:rsidR="002D0C71">
        <w:t xml:space="preserve">to </w:t>
      </w:r>
      <w:r>
        <w:t>€8.87</w:t>
      </w:r>
      <w:r w:rsidR="002D0C71">
        <w:t>/kg</w:t>
      </w:r>
      <w:r>
        <w:t xml:space="preserve"> (£5.44</w:t>
      </w:r>
      <w:r w:rsidR="002D0C71">
        <w:t>/kg</w:t>
      </w:r>
      <w:r>
        <w:t xml:space="preserve"> - £7.91</w:t>
      </w:r>
      <w:r w:rsidR="002D0C71">
        <w:t>/kg</w:t>
      </w:r>
      <w:r>
        <w:t xml:space="preserve">), which </w:t>
      </w:r>
      <w:r w:rsidR="003344FB">
        <w:t>locates</w:t>
      </w:r>
      <w:r>
        <w:t xml:space="preserve"> the cost from this study </w:t>
      </w:r>
      <w:r w:rsidR="003344FB">
        <w:t>in the mid-</w:t>
      </w:r>
      <w:r w:rsidR="00180E02">
        <w:t>value</w:t>
      </w:r>
      <w:r w:rsidR="003344FB">
        <w:t>.</w:t>
      </w:r>
      <w:r>
        <w:t xml:space="preserve"> </w:t>
      </w:r>
      <w:r w:rsidRPr="00AA18E8">
        <w:t xml:space="preserve">Moreno-Benito </w:t>
      </w:r>
      <w:r w:rsidRPr="00AA18E8">
        <w:rPr>
          <w:i/>
          <w:iCs/>
        </w:rPr>
        <w:t>et al.</w:t>
      </w:r>
      <w:r w:rsidR="00D63DF4" w:rsidRPr="00AA18E8">
        <w:rPr>
          <w:i/>
          <w:iCs/>
        </w:rPr>
        <w:t xml:space="preserve"> </w:t>
      </w:r>
      <w:r w:rsidR="00D63DF4" w:rsidRPr="008050FD">
        <w:fldChar w:fldCharType="begin"/>
      </w:r>
      <w:r w:rsidR="00F715A1">
        <w:instrText xml:space="preserve"> ADDIN EN.CITE &lt;EndNote&gt;&lt;Cite&gt;&lt;Author&gt;Moreno-Benito&lt;/Author&gt;&lt;Year&gt;2017&lt;/Year&gt;&lt;RecNum&gt;1098&lt;/RecNum&gt;&lt;DisplayText&gt;[33]&lt;/DisplayText&gt;&lt;record&gt;&lt;rec-number&gt;1098&lt;/rec-number&gt;&lt;foreign-keys&gt;&lt;key app="EN" db-id="w500zpaaheraz8epaw1p29dtf2ff9zrswv50" timestamp="1607697901"&gt;1098&lt;/key&gt;&lt;/foreign-keys&gt;&lt;ref-type name="Journal Article"&gt;17&lt;/ref-type&gt;&lt;contributors&gt;&lt;authors&gt;&lt;author&gt;Moreno-Benito, Marta&lt;/author&gt;&lt;author&gt;Agnolucci, Paolo&lt;/author&gt;&lt;author&gt;Papageorgiou, Lazaros G.&lt;/author&gt;&lt;/authors&gt;&lt;/contributors&gt;&lt;titles&gt;&lt;title&gt;Towards a sustainable hydrogen economy: Optimisation-based framework for hydrogen infrastructure development&lt;/title&gt;&lt;secondary-title&gt;Computers &amp;amp; Chemical Engineering&lt;/secondary-title&gt;&lt;/titles&gt;&lt;periodical&gt;&lt;full-title&gt;Computers &amp;amp; Chemical Engineering&lt;/full-title&gt;&lt;/periodical&gt;&lt;pages&gt;110-127&lt;/pages&gt;&lt;volume&gt;102&lt;/volume&gt;&lt;dates&gt;&lt;year&gt;2017&lt;/year&gt;&lt;/dates&gt;&lt;publisher&gt;Pergamon&lt;/publisher&gt;&lt;urls&gt;&lt;related-urls&gt;&lt;url&gt;https://www.sciencedirect.com/science/article/pii/S0098135416302666&lt;/url&gt;&lt;/related-urls&gt;&lt;pdf-urls&gt;&lt;url&gt;file://Users\David\Library\Application Support\Mendeley Desktop\Downloaded\Moreno-Benito, Agnolucci, Papageorgiou - 2017 - Towards a sustainable hydrogen economy Optimisation-based framework for hydrogen infrast.pdf&lt;/url&gt;&lt;/pdf-urls&gt;&lt;/urls&gt;&lt;electronic-resource-num&gt;10.1016/J.COMPCHEMENG.2016.08.005&lt;/electronic-resource-num&gt;&lt;/record&gt;&lt;/Cite&gt;&lt;/EndNote&gt;</w:instrText>
      </w:r>
      <w:r w:rsidR="00D63DF4" w:rsidRPr="008050FD">
        <w:fldChar w:fldCharType="separate"/>
      </w:r>
      <w:r w:rsidR="00F715A1">
        <w:rPr>
          <w:noProof/>
        </w:rPr>
        <w:t>[</w:t>
      </w:r>
      <w:hyperlink w:anchor="_ENREF_33" w:tooltip="Moreno-Benito, 2017 #1098" w:history="1">
        <w:r w:rsidR="006210AE">
          <w:rPr>
            <w:noProof/>
          </w:rPr>
          <w:t>33</w:t>
        </w:r>
      </w:hyperlink>
      <w:r w:rsidR="00F715A1">
        <w:rPr>
          <w:noProof/>
        </w:rPr>
        <w:t>]</w:t>
      </w:r>
      <w:r w:rsidR="00D63DF4" w:rsidRPr="008050FD">
        <w:fldChar w:fldCharType="end"/>
      </w:r>
      <w:r w:rsidR="003344FB" w:rsidRPr="008050FD">
        <w:t xml:space="preserve"> found the cost of hydrogen at the pump to range from £5.3 - £2.0 in a UK case study.</w:t>
      </w:r>
      <w:r w:rsidRPr="008050FD">
        <w:t xml:space="preserve"> </w:t>
      </w:r>
      <w:r w:rsidR="003344FB">
        <w:t xml:space="preserve">While this </w:t>
      </w:r>
      <w:r>
        <w:t>cost is significantly lower than what was found in this study,</w:t>
      </w:r>
      <w:r w:rsidR="003344FB">
        <w:t xml:space="preserve"> Moreno-Benito </w:t>
      </w:r>
      <w:r w:rsidR="003344FB">
        <w:rPr>
          <w:i/>
          <w:iCs/>
        </w:rPr>
        <w:t>et al</w:t>
      </w:r>
      <w:r>
        <w:t xml:space="preserve"> does not take into consideration hydrogen grades and purification requirements, possibly underestimating the optimal cost. </w:t>
      </w:r>
      <w:r w:rsidR="00180E02">
        <w:fldChar w:fldCharType="begin"/>
      </w:r>
      <w:r w:rsidR="00180E02">
        <w:instrText xml:space="preserve"> REF _Ref57134594 \h </w:instrText>
      </w:r>
      <w:r w:rsidR="00180E02">
        <w:fldChar w:fldCharType="separate"/>
      </w:r>
      <w:r w:rsidR="00BA7B57">
        <w:t xml:space="preserve">Figure </w:t>
      </w:r>
      <w:r w:rsidR="00BA7B57">
        <w:rPr>
          <w:noProof/>
        </w:rPr>
        <w:t>26</w:t>
      </w:r>
      <w:r w:rsidR="00180E02">
        <w:fldChar w:fldCharType="end"/>
      </w:r>
      <w:r w:rsidR="00180E02">
        <w:t xml:space="preserve"> </w:t>
      </w:r>
      <w:r>
        <w:t>shows that purification CAPEX and OPEX contributes a significant amount to the final discounted cost</w:t>
      </w:r>
      <w:r w:rsidR="00180E02">
        <w:t>:</w:t>
      </w:r>
      <w:r>
        <w:t xml:space="preserve"> 14% and 30% respectively for the mid carbon price scenario (all other scenarios exhibit a similar distribution of the TDC). Th</w:t>
      </w:r>
      <w:r w:rsidR="00180E02">
        <w:t>is highlights</w:t>
      </w:r>
      <w:r>
        <w:t xml:space="preserve"> the importance of including purification technologies in the hydrogen supply chain for the transport sector.</w:t>
      </w:r>
    </w:p>
    <w:p w14:paraId="0A52DA1D" w14:textId="77777777" w:rsidR="00180E02" w:rsidRDefault="00180E02" w:rsidP="00180E02">
      <w:pPr>
        <w:keepNext/>
        <w:jc w:val="center"/>
      </w:pPr>
      <w:r>
        <w:rPr>
          <w:noProof/>
        </w:rPr>
        <w:drawing>
          <wp:inline distT="0" distB="0" distL="0" distR="0" wp14:anchorId="14C91FD6" wp14:editId="412D15E6">
            <wp:extent cx="4570319" cy="2743200"/>
            <wp:effectExtent l="0" t="0" r="1905" b="0"/>
            <wp:docPr id="36" name="Chart 36">
              <a:extLst xmlns:a="http://schemas.openxmlformats.org/drawingml/2006/main">
                <a:ext uri="{FF2B5EF4-FFF2-40B4-BE49-F238E27FC236}">
                  <a16:creationId xmlns:a16="http://schemas.microsoft.com/office/drawing/2014/main" id="{5EB28826-70AF-4B92-8B1D-7EE89524B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07D8F73" w14:textId="13C74E48" w:rsidR="008056F4" w:rsidRDefault="00180E02" w:rsidP="00180E02">
      <w:pPr>
        <w:pStyle w:val="Caption"/>
      </w:pPr>
      <w:bookmarkStart w:id="91" w:name="_Ref57134594"/>
      <w:r>
        <w:t xml:space="preserve">Figure </w:t>
      </w:r>
      <w:fldSimple w:instr=" SEQ Figure \* ARABIC ">
        <w:r w:rsidR="0031241E">
          <w:rPr>
            <w:noProof/>
          </w:rPr>
          <w:t>26</w:t>
        </w:r>
      </w:fldSimple>
      <w:bookmarkEnd w:id="91"/>
      <w:r>
        <w:t xml:space="preserve">: Total discounted cost breakdown for </w:t>
      </w:r>
      <w:r w:rsidR="001B2CC8">
        <w:t xml:space="preserve">the </w:t>
      </w:r>
      <w:r>
        <w:t>mid carbon price scenario</w:t>
      </w:r>
    </w:p>
    <w:p w14:paraId="05BF2497" w14:textId="788F6B0C" w:rsidR="00053840" w:rsidRDefault="00053840" w:rsidP="00053840">
      <w:pPr>
        <w:pStyle w:val="Heading3"/>
      </w:pPr>
      <w:r>
        <w:lastRenderedPageBreak/>
        <w:t>CCS</w:t>
      </w:r>
      <w:r w:rsidR="001B2AE2">
        <w:t xml:space="preserve"> not commercially available</w:t>
      </w:r>
    </w:p>
    <w:p w14:paraId="55F0D599" w14:textId="1442354B" w:rsidR="001B2AE2" w:rsidRDefault="001B2AE2" w:rsidP="001B2AE2">
      <w:r>
        <w:t>One of the most important assumptions in the modelled case study is that CCS becomes commercially viable at large scales. A further scenario was modelled constrain</w:t>
      </w:r>
      <w:r w:rsidR="00F04C44">
        <w:t xml:space="preserve">ing all </w:t>
      </w:r>
      <w:r>
        <w:t xml:space="preserve">hydrogen production from SMR, in effect assuming that CCS never becomes a commercially viable option. </w:t>
      </w:r>
    </w:p>
    <w:p w14:paraId="133F40ED" w14:textId="40F58ACD" w:rsidR="001B2AE2" w:rsidRDefault="0031241E" w:rsidP="001B2AE2">
      <w:r>
        <w:fldChar w:fldCharType="begin"/>
      </w:r>
      <w:r>
        <w:instrText xml:space="preserve"> REF _Ref77921936 \h </w:instrText>
      </w:r>
      <w:r>
        <w:fldChar w:fldCharType="separate"/>
      </w:r>
      <w:r w:rsidR="00BA3169">
        <w:t xml:space="preserve">Figure </w:t>
      </w:r>
      <w:r w:rsidR="00BA3169">
        <w:rPr>
          <w:noProof/>
        </w:rPr>
        <w:t>27</w:t>
      </w:r>
      <w:r>
        <w:fldChar w:fldCharType="end"/>
      </w:r>
      <w:r>
        <w:t xml:space="preserve"> </w:t>
      </w:r>
      <w:r w:rsidR="00F04C44">
        <w:t xml:space="preserve">shows the installed hydrogen production capacity over time. </w:t>
      </w:r>
      <w:r w:rsidR="001B2AE2">
        <w:t>An interesting thing to note is that</w:t>
      </w:r>
      <w:r w:rsidR="00F04C44">
        <w:t xml:space="preserve"> the model </w:t>
      </w:r>
      <w:r w:rsidR="001B2AE2">
        <w:t>chooses to initially install alkaline electrolysis</w:t>
      </w:r>
      <w:r w:rsidR="00F04C44">
        <w:t xml:space="preserve"> locally to the demand</w:t>
      </w:r>
      <w:r w:rsidR="00285325">
        <w:t xml:space="preserve"> in 2020</w:t>
      </w:r>
      <w:r w:rsidR="00F04C44">
        <w:t xml:space="preserve">, </w:t>
      </w:r>
      <w:r w:rsidR="001B2AE2">
        <w:t xml:space="preserve">powered </w:t>
      </w:r>
      <w:r w:rsidR="00F04C44">
        <w:t>by electricity from the grid</w:t>
      </w:r>
      <w:r w:rsidR="00285325">
        <w:t xml:space="preserve"> (see </w:t>
      </w:r>
      <w:r w:rsidR="00285325">
        <w:fldChar w:fldCharType="begin"/>
      </w:r>
      <w:r w:rsidR="00285325">
        <w:instrText xml:space="preserve"> REF _Ref77881291 \h </w:instrText>
      </w:r>
      <w:r w:rsidR="00285325">
        <w:fldChar w:fldCharType="separate"/>
      </w:r>
      <w:r w:rsidR="00BA3169">
        <w:t xml:space="preserve">Figure </w:t>
      </w:r>
      <w:r w:rsidR="00BA3169">
        <w:rPr>
          <w:noProof/>
        </w:rPr>
        <w:t>31</w:t>
      </w:r>
      <w:r w:rsidR="00285325">
        <w:fldChar w:fldCharType="end"/>
      </w:r>
      <w:r w:rsidR="00285325">
        <w:t>). In 2025 it switches to</w:t>
      </w:r>
      <w:r w:rsidR="001B2AE2">
        <w:t xml:space="preserve"> production </w:t>
      </w:r>
      <w:r w:rsidR="00285325">
        <w:t xml:space="preserve">by </w:t>
      </w:r>
      <w:r w:rsidR="001B2AE2">
        <w:t>SOEC</w:t>
      </w:r>
      <w:r w:rsidR="00285325">
        <w:t xml:space="preserve">, again locally to the demand and </w:t>
      </w:r>
      <w:r w:rsidR="001B2AE2">
        <w:t xml:space="preserve">powered </w:t>
      </w:r>
      <w:r w:rsidR="00285325">
        <w:t>by g</w:t>
      </w:r>
      <w:r w:rsidR="001B2AE2">
        <w:t>rid electricity</w:t>
      </w:r>
      <w:r w:rsidR="00285325">
        <w:t xml:space="preserve"> (see </w:t>
      </w:r>
      <w:r w:rsidR="00285325">
        <w:fldChar w:fldCharType="begin"/>
      </w:r>
      <w:r w:rsidR="00285325">
        <w:instrText xml:space="preserve"> REF _Ref77881476 \h </w:instrText>
      </w:r>
      <w:r w:rsidR="00285325">
        <w:fldChar w:fldCharType="separate"/>
      </w:r>
      <w:r w:rsidR="00BA3169">
        <w:t xml:space="preserve">Figure </w:t>
      </w:r>
      <w:r w:rsidR="00BA3169">
        <w:rPr>
          <w:noProof/>
        </w:rPr>
        <w:t>32</w:t>
      </w:r>
      <w:r w:rsidR="00285325">
        <w:fldChar w:fldCharType="end"/>
      </w:r>
      <w:r w:rsidR="00285325">
        <w:t xml:space="preserve">). Finally </w:t>
      </w:r>
      <w:r w:rsidR="001B2AE2">
        <w:t>moving from 2025 through to 2040 the model gradually transfer</w:t>
      </w:r>
      <w:r w:rsidR="00285325">
        <w:t>s</w:t>
      </w:r>
      <w:r w:rsidR="001B2AE2">
        <w:t xml:space="preserve"> hydrogen production from SOEC powered from grid electricity to PEM powered from wind farms as </w:t>
      </w:r>
      <w:r w:rsidR="001B2AE2" w:rsidRPr="00B2241E">
        <w:t>seen in</w:t>
      </w:r>
      <w:r w:rsidR="00285325">
        <w:t xml:space="preserve"> </w:t>
      </w:r>
      <w:r>
        <w:fldChar w:fldCharType="begin"/>
      </w:r>
      <w:r>
        <w:instrText xml:space="preserve"> REF _Ref77921936 \h </w:instrText>
      </w:r>
      <w:r>
        <w:fldChar w:fldCharType="separate"/>
      </w:r>
      <w:r w:rsidR="00BA3169">
        <w:t xml:space="preserve">Figure </w:t>
      </w:r>
      <w:r w:rsidR="00BA3169">
        <w:rPr>
          <w:noProof/>
        </w:rPr>
        <w:t>27</w:t>
      </w:r>
      <w:r>
        <w:fldChar w:fldCharType="end"/>
      </w:r>
      <w:r>
        <w:t xml:space="preserve"> </w:t>
      </w:r>
      <w:r w:rsidR="00285325">
        <w:t xml:space="preserve">to </w:t>
      </w:r>
      <w:r w:rsidR="00285325">
        <w:fldChar w:fldCharType="begin"/>
      </w:r>
      <w:r w:rsidR="00285325">
        <w:instrText xml:space="preserve"> REF _Ref77881520 \h </w:instrText>
      </w:r>
      <w:r w:rsidR="00285325">
        <w:fldChar w:fldCharType="separate"/>
      </w:r>
      <w:r w:rsidR="00BA3169">
        <w:t xml:space="preserve">Figure </w:t>
      </w:r>
      <w:r w:rsidR="00BA3169">
        <w:rPr>
          <w:noProof/>
        </w:rPr>
        <w:t>30</w:t>
      </w:r>
      <w:r w:rsidR="00285325">
        <w:fldChar w:fldCharType="end"/>
      </w:r>
      <w:r w:rsidR="00285325">
        <w:t>.</w:t>
      </w:r>
      <w:r w:rsidR="001B2AE2" w:rsidRPr="00B2241E">
        <w:t xml:space="preserve"> </w:t>
      </w:r>
    </w:p>
    <w:p w14:paraId="61ABA897" w14:textId="77777777" w:rsidR="0031241E" w:rsidRDefault="0031241E" w:rsidP="0031241E">
      <w:pPr>
        <w:keepNext/>
        <w:jc w:val="center"/>
      </w:pPr>
      <w:r>
        <w:rPr>
          <w:noProof/>
        </w:rPr>
        <w:drawing>
          <wp:inline distT="0" distB="0" distL="0" distR="0" wp14:anchorId="4113619C" wp14:editId="69CD0A10">
            <wp:extent cx="4572000" cy="2743200"/>
            <wp:effectExtent l="0" t="0" r="0" b="0"/>
            <wp:docPr id="54" name="Chart 54">
              <a:extLst xmlns:a="http://schemas.openxmlformats.org/drawingml/2006/main">
                <a:ext uri="{FF2B5EF4-FFF2-40B4-BE49-F238E27FC236}">
                  <a16:creationId xmlns:a16="http://schemas.microsoft.com/office/drawing/2014/main" id="{943B8EFA-8A54-4663-8FE6-9794B9688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8B0BF90" w14:textId="60602F12" w:rsidR="0031241E" w:rsidRDefault="0031241E" w:rsidP="0031241E">
      <w:pPr>
        <w:pStyle w:val="Caption"/>
      </w:pPr>
      <w:bookmarkStart w:id="92" w:name="_Ref77921936"/>
      <w:r>
        <w:t xml:space="preserve">Figure </w:t>
      </w:r>
      <w:fldSimple w:instr=" SEQ Figure \* ARABIC ">
        <w:r w:rsidR="00BA3169">
          <w:rPr>
            <w:noProof/>
          </w:rPr>
          <w:t>27</w:t>
        </w:r>
      </w:fldSimple>
      <w:bookmarkEnd w:id="92"/>
      <w:r>
        <w:t>: Evolution of installed hydrogen production capacity when CCS is not commercially viable</w:t>
      </w:r>
    </w:p>
    <w:p w14:paraId="7CAA7E9D" w14:textId="3397F509" w:rsidR="001B2AE2" w:rsidRDefault="001B2AE2" w:rsidP="001B2AE2">
      <w:r w:rsidRPr="0031241E">
        <w:t>This can be explained as hydrogen production from renewable</w:t>
      </w:r>
      <w:r w:rsidR="00DF4A25" w:rsidRPr="0031241E">
        <w:t>s</w:t>
      </w:r>
      <w:r w:rsidRPr="0031241E">
        <w:t xml:space="preserve"> </w:t>
      </w:r>
      <w:r w:rsidR="0031241E">
        <w:t xml:space="preserve">is </w:t>
      </w:r>
      <w:r w:rsidRPr="0031241E">
        <w:t xml:space="preserve">too expensive </w:t>
      </w:r>
      <w:r w:rsidR="0031241E">
        <w:t xml:space="preserve">in 2020 </w:t>
      </w:r>
      <w:r w:rsidRPr="0031241E">
        <w:t>when compared to non-renewable electrolysis, a</w:t>
      </w:r>
      <w:r w:rsidR="0031241E">
        <w:t xml:space="preserve">nd </w:t>
      </w:r>
      <w:r w:rsidRPr="0031241E">
        <w:t xml:space="preserve">the carbon price </w:t>
      </w:r>
      <w:r w:rsidR="00F7432B">
        <w:t xml:space="preserve">is </w:t>
      </w:r>
      <w:r w:rsidRPr="0031241E">
        <w:t xml:space="preserve">too low to negate the vastly greater CAPEX. Furthermore, the model chooses to </w:t>
      </w:r>
      <w:r w:rsidR="00F7432B">
        <w:t xml:space="preserve">first install </w:t>
      </w:r>
      <w:r w:rsidRPr="0031241E">
        <w:t>alkaline electrolysis</w:t>
      </w:r>
      <w:r w:rsidR="00F7432B">
        <w:t>, which has the lowest CAP</w:t>
      </w:r>
      <w:r w:rsidRPr="0031241E">
        <w:t>EX of all electrolysis options in 2020</w:t>
      </w:r>
      <w:r w:rsidR="00F7432B">
        <w:t>. H</w:t>
      </w:r>
      <w:r w:rsidRPr="0031241E">
        <w:t>owever, moving into 2025</w:t>
      </w:r>
      <w:r w:rsidR="00F7432B">
        <w:t>,</w:t>
      </w:r>
      <w:r w:rsidRPr="0031241E">
        <w:t xml:space="preserve"> SOEC (which is a relatively immature technology when compared to the others) sees a significant drop in CAPEX</w:t>
      </w:r>
      <w:r w:rsidR="00F7432B">
        <w:t>. This, added to its</w:t>
      </w:r>
      <w:r w:rsidRPr="0031241E">
        <w:t xml:space="preserve"> higher efficiency</w:t>
      </w:r>
      <w:r w:rsidR="00F7432B">
        <w:t>,</w:t>
      </w:r>
      <w:r w:rsidRPr="0031241E">
        <w:t xml:space="preserve"> allows </w:t>
      </w:r>
      <w:r w:rsidR="00F7432B">
        <w:t>SOEC</w:t>
      </w:r>
      <w:r w:rsidRPr="0031241E">
        <w:t xml:space="preserve"> to not only produce hydrogen for a cheaper price, but also avoids the increasing carbon taxes</w:t>
      </w:r>
      <w:r w:rsidR="00F7432B">
        <w:t xml:space="preserve">, </w:t>
      </w:r>
      <w:r w:rsidRPr="0031241E">
        <w:t xml:space="preserve">as less grid electricity is required to produce the same amount of hydrogen. Finally, as carbon prices rise to a significant level by 2040, hydrogen </w:t>
      </w:r>
      <w:r w:rsidR="00F7432B">
        <w:t xml:space="preserve">production </w:t>
      </w:r>
      <w:r w:rsidRPr="0031241E">
        <w:t xml:space="preserve">from electrolysis </w:t>
      </w:r>
      <w:r w:rsidR="00F7432B">
        <w:t xml:space="preserve">using </w:t>
      </w:r>
      <w:r w:rsidRPr="0031241E">
        <w:t>electricity</w:t>
      </w:r>
      <w:r w:rsidR="00F7432B">
        <w:t xml:space="preserve"> from the grid</w:t>
      </w:r>
      <w:r w:rsidRPr="0031241E">
        <w:t xml:space="preserve"> no longer becomes economically viable. This is where PEM electrolysis becomes the favoured production technology</w:t>
      </w:r>
      <w:r w:rsidR="00F7432B">
        <w:t>,</w:t>
      </w:r>
      <w:r w:rsidRPr="0031241E">
        <w:t xml:space="preserve"> as although it does not have the </w:t>
      </w:r>
      <w:r w:rsidR="00F7432B">
        <w:t>lowest</w:t>
      </w:r>
      <w:r w:rsidRPr="0031241E">
        <w:t xml:space="preserve"> CAPEX, it has by far the </w:t>
      </w:r>
      <w:r w:rsidR="00F7432B">
        <w:t>highest</w:t>
      </w:r>
      <w:r w:rsidRPr="0031241E">
        <w:t xml:space="preserve"> efficiency as has been previously discussed</w:t>
      </w:r>
      <w:r w:rsidR="00F7432B">
        <w:t xml:space="preserve">. </w:t>
      </w:r>
      <w:r w:rsidRPr="0031241E">
        <w:t>Finally, as would be expected</w:t>
      </w:r>
      <w:r w:rsidR="00F7432B">
        <w:t>,</w:t>
      </w:r>
      <w:r w:rsidRPr="0031241E">
        <w:t xml:space="preserve"> this increases the cost of hydrogen at the pump to around £7.85/kg excluding carbon</w:t>
      </w:r>
      <w:r>
        <w:t xml:space="preserve"> costs.</w:t>
      </w:r>
    </w:p>
    <w:p w14:paraId="0EFA38E7" w14:textId="2F71D5C6" w:rsidR="00BA7B57" w:rsidRDefault="00BA7B57" w:rsidP="00BA7B57"/>
    <w:p w14:paraId="6E0AFEED" w14:textId="77777777" w:rsidR="00BA7B57" w:rsidRDefault="00BA7B57" w:rsidP="00BA7B57">
      <w:pPr>
        <w:sectPr w:rsidR="00BA7B57" w:rsidSect="002D1317">
          <w:type w:val="continuous"/>
          <w:pgSz w:w="11906" w:h="16838"/>
          <w:pgMar w:top="1440" w:right="1440" w:bottom="1440" w:left="1440" w:header="708" w:footer="708" w:gutter="0"/>
          <w:cols w:space="708"/>
          <w:docGrid w:linePitch="360"/>
        </w:sect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834"/>
        <w:gridCol w:w="2850"/>
        <w:gridCol w:w="1710"/>
      </w:tblGrid>
      <w:tr w:rsidR="00965D54" w14:paraId="171D65BD" w14:textId="77777777" w:rsidTr="00965D54">
        <w:trPr>
          <w:jc w:val="center"/>
        </w:trPr>
        <w:tc>
          <w:tcPr>
            <w:tcW w:w="2834" w:type="dxa"/>
            <w:tcMar>
              <w:left w:w="0" w:type="dxa"/>
              <w:right w:w="0" w:type="dxa"/>
            </w:tcMar>
          </w:tcPr>
          <w:p w14:paraId="1CC212A8" w14:textId="77777777" w:rsidR="000A068D" w:rsidRDefault="00BA7B57" w:rsidP="00F04C44">
            <w:pPr>
              <w:keepNext/>
              <w:spacing w:before="0" w:after="0"/>
              <w:jc w:val="center"/>
            </w:pPr>
            <w:r>
              <w:rPr>
                <w:noProof/>
              </w:rPr>
              <w:lastRenderedPageBreak/>
              <w:drawing>
                <wp:inline distT="0" distB="0" distL="0" distR="0" wp14:anchorId="5F7B0287" wp14:editId="63D3BCE9">
                  <wp:extent cx="1800000" cy="3536786"/>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000" cy="3536786"/>
                          </a:xfrm>
                          <a:prstGeom prst="rect">
                            <a:avLst/>
                          </a:prstGeom>
                          <a:noFill/>
                          <a:ln>
                            <a:noFill/>
                          </a:ln>
                        </pic:spPr>
                      </pic:pic>
                    </a:graphicData>
                  </a:graphic>
                </wp:inline>
              </w:drawing>
            </w:r>
          </w:p>
          <w:p w14:paraId="2C191878" w14:textId="42C3B026" w:rsidR="00053840" w:rsidRDefault="000A068D" w:rsidP="00F04C44">
            <w:pPr>
              <w:pStyle w:val="Caption"/>
            </w:pPr>
            <w:r>
              <w:t xml:space="preserve">Figure </w:t>
            </w:r>
            <w:fldSimple w:instr=" SEQ Figure \* ARABIC ">
              <w:r w:rsidR="00BA3169">
                <w:rPr>
                  <w:noProof/>
                </w:rPr>
                <w:t>28</w:t>
              </w:r>
            </w:fldSimple>
            <w:r>
              <w:t>: PEM installed capacity 2030.</w:t>
            </w:r>
          </w:p>
        </w:tc>
        <w:tc>
          <w:tcPr>
            <w:tcW w:w="2834" w:type="dxa"/>
            <w:tcMar>
              <w:left w:w="0" w:type="dxa"/>
              <w:right w:w="0" w:type="dxa"/>
            </w:tcMar>
          </w:tcPr>
          <w:p w14:paraId="57D74C62" w14:textId="77777777" w:rsidR="000A068D" w:rsidRDefault="00BA7B57" w:rsidP="00F04C44">
            <w:pPr>
              <w:keepNext/>
              <w:spacing w:before="0" w:after="0"/>
              <w:jc w:val="center"/>
            </w:pPr>
            <w:r>
              <w:rPr>
                <w:noProof/>
              </w:rPr>
              <w:drawing>
                <wp:inline distT="0" distB="0" distL="0" distR="0" wp14:anchorId="325F132A" wp14:editId="35086D8B">
                  <wp:extent cx="1800000" cy="3536786"/>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0000" cy="3536786"/>
                          </a:xfrm>
                          <a:prstGeom prst="rect">
                            <a:avLst/>
                          </a:prstGeom>
                          <a:noFill/>
                          <a:ln>
                            <a:noFill/>
                          </a:ln>
                        </pic:spPr>
                      </pic:pic>
                    </a:graphicData>
                  </a:graphic>
                </wp:inline>
              </w:drawing>
            </w:r>
          </w:p>
          <w:p w14:paraId="59CC8723" w14:textId="0837475B" w:rsidR="00053840" w:rsidRDefault="000A068D" w:rsidP="00F04C44">
            <w:pPr>
              <w:pStyle w:val="Caption"/>
            </w:pPr>
            <w:r>
              <w:t xml:space="preserve">Figure </w:t>
            </w:r>
            <w:fldSimple w:instr=" SEQ Figure \* ARABIC ">
              <w:r w:rsidR="00BA3169">
                <w:rPr>
                  <w:noProof/>
                </w:rPr>
                <w:t>29</w:t>
              </w:r>
            </w:fldSimple>
            <w:r>
              <w:t>: PEM installed capacity 2040.</w:t>
            </w:r>
          </w:p>
        </w:tc>
        <w:tc>
          <w:tcPr>
            <w:tcW w:w="2850" w:type="dxa"/>
            <w:tcMar>
              <w:left w:w="0" w:type="dxa"/>
              <w:right w:w="0" w:type="dxa"/>
            </w:tcMar>
          </w:tcPr>
          <w:p w14:paraId="33DD89D8" w14:textId="77777777" w:rsidR="000A068D" w:rsidRDefault="00053840" w:rsidP="00F04C44">
            <w:pPr>
              <w:keepNext/>
              <w:spacing w:before="0" w:after="0"/>
              <w:jc w:val="center"/>
            </w:pPr>
            <w:r>
              <w:rPr>
                <w:noProof/>
              </w:rPr>
              <w:drawing>
                <wp:inline distT="0" distB="0" distL="0" distR="0" wp14:anchorId="76961C83" wp14:editId="23DD0AC1">
                  <wp:extent cx="1807200" cy="3541097"/>
                  <wp:effectExtent l="0" t="0" r="317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7200" cy="3541097"/>
                          </a:xfrm>
                          <a:prstGeom prst="rect">
                            <a:avLst/>
                          </a:prstGeom>
                          <a:noFill/>
                          <a:ln>
                            <a:noFill/>
                          </a:ln>
                        </pic:spPr>
                      </pic:pic>
                    </a:graphicData>
                  </a:graphic>
                </wp:inline>
              </w:drawing>
            </w:r>
          </w:p>
          <w:p w14:paraId="166937DD" w14:textId="425A09A3" w:rsidR="00053840" w:rsidRDefault="000A068D" w:rsidP="00F04C44">
            <w:pPr>
              <w:pStyle w:val="Caption"/>
            </w:pPr>
            <w:bookmarkStart w:id="93" w:name="_Ref77881520"/>
            <w:r>
              <w:t xml:space="preserve">Figure </w:t>
            </w:r>
            <w:fldSimple w:instr=" SEQ Figure \* ARABIC ">
              <w:r w:rsidR="00BA3169">
                <w:rPr>
                  <w:noProof/>
                </w:rPr>
                <w:t>30</w:t>
              </w:r>
            </w:fldSimple>
            <w:bookmarkEnd w:id="93"/>
            <w:r>
              <w:t>: PEM installed capacity 2050.</w:t>
            </w:r>
          </w:p>
        </w:tc>
        <w:tc>
          <w:tcPr>
            <w:tcW w:w="1710" w:type="dxa"/>
            <w:tcMar>
              <w:left w:w="0" w:type="dxa"/>
              <w:right w:w="0" w:type="dxa"/>
            </w:tcMar>
          </w:tcPr>
          <w:p w14:paraId="5D90CD36" w14:textId="478204C4" w:rsidR="00053840" w:rsidRDefault="00053840" w:rsidP="00F04C44">
            <w:pPr>
              <w:spacing w:before="0" w:after="0"/>
              <w:jc w:val="center"/>
            </w:pPr>
            <w:r>
              <w:rPr>
                <w:noProof/>
              </w:rPr>
              <w:drawing>
                <wp:inline distT="0" distB="0" distL="0" distR="0" wp14:anchorId="45FE4163" wp14:editId="74A5551F">
                  <wp:extent cx="1080000" cy="1318528"/>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0000" cy="1318528"/>
                          </a:xfrm>
                          <a:prstGeom prst="rect">
                            <a:avLst/>
                          </a:prstGeom>
                          <a:noFill/>
                          <a:ln>
                            <a:noFill/>
                          </a:ln>
                        </pic:spPr>
                      </pic:pic>
                    </a:graphicData>
                  </a:graphic>
                </wp:inline>
              </w:drawing>
            </w:r>
          </w:p>
        </w:tc>
      </w:tr>
      <w:tr w:rsidR="00965D54" w14:paraId="230B80A8" w14:textId="77777777" w:rsidTr="00965D54">
        <w:trPr>
          <w:jc w:val="center"/>
        </w:trPr>
        <w:tc>
          <w:tcPr>
            <w:tcW w:w="2834" w:type="dxa"/>
            <w:tcMar>
              <w:left w:w="0" w:type="dxa"/>
              <w:right w:w="0" w:type="dxa"/>
            </w:tcMar>
          </w:tcPr>
          <w:p w14:paraId="5251247C" w14:textId="77777777" w:rsidR="00965D54" w:rsidRDefault="00965D54" w:rsidP="00965D54">
            <w:pPr>
              <w:keepNext/>
              <w:spacing w:before="0" w:after="0"/>
              <w:jc w:val="center"/>
            </w:pPr>
            <w:r>
              <w:rPr>
                <w:noProof/>
              </w:rPr>
              <w:drawing>
                <wp:inline distT="0" distB="0" distL="0" distR="0" wp14:anchorId="58EE7B01" wp14:editId="4FF1C2C2">
                  <wp:extent cx="1800000" cy="352691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0000" cy="3526916"/>
                          </a:xfrm>
                          <a:prstGeom prst="rect">
                            <a:avLst/>
                          </a:prstGeom>
                          <a:noFill/>
                          <a:ln>
                            <a:noFill/>
                          </a:ln>
                        </pic:spPr>
                      </pic:pic>
                    </a:graphicData>
                  </a:graphic>
                </wp:inline>
              </w:drawing>
            </w:r>
          </w:p>
          <w:p w14:paraId="22D5784B" w14:textId="4CD4CB5B" w:rsidR="00965D54" w:rsidRDefault="00965D54" w:rsidP="00F04C44">
            <w:pPr>
              <w:pStyle w:val="Caption"/>
            </w:pPr>
            <w:bookmarkStart w:id="94" w:name="_Ref77881291"/>
            <w:r>
              <w:t xml:space="preserve">Figure </w:t>
            </w:r>
            <w:fldSimple w:instr=" SEQ Figure \* ARABIC ">
              <w:r w:rsidR="00BA3169">
                <w:rPr>
                  <w:noProof/>
                </w:rPr>
                <w:t>31</w:t>
              </w:r>
            </w:fldSimple>
            <w:bookmarkEnd w:id="94"/>
            <w:r>
              <w:t xml:space="preserve">: </w:t>
            </w:r>
            <w:r w:rsidRPr="00EA0452">
              <w:t>Alkaline electrolyser installed capacity 2020.</w:t>
            </w:r>
          </w:p>
        </w:tc>
        <w:tc>
          <w:tcPr>
            <w:tcW w:w="2834" w:type="dxa"/>
            <w:tcMar>
              <w:left w:w="0" w:type="dxa"/>
              <w:right w:w="0" w:type="dxa"/>
            </w:tcMar>
          </w:tcPr>
          <w:p w14:paraId="7274A0EC" w14:textId="08C96DD0" w:rsidR="00965D54" w:rsidRDefault="00965D54" w:rsidP="00965D54">
            <w:pPr>
              <w:spacing w:before="0" w:after="0"/>
              <w:rPr>
                <w:noProof/>
              </w:rPr>
            </w:pPr>
            <w:r>
              <w:rPr>
                <w:noProof/>
              </w:rPr>
              <w:drawing>
                <wp:inline distT="0" distB="0" distL="0" distR="0" wp14:anchorId="3286762B" wp14:editId="6B700C89">
                  <wp:extent cx="900000" cy="118979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0000" cy="1189791"/>
                          </a:xfrm>
                          <a:prstGeom prst="rect">
                            <a:avLst/>
                          </a:prstGeom>
                          <a:noFill/>
                          <a:ln>
                            <a:noFill/>
                          </a:ln>
                        </pic:spPr>
                      </pic:pic>
                    </a:graphicData>
                  </a:graphic>
                </wp:inline>
              </w:drawing>
            </w:r>
          </w:p>
        </w:tc>
        <w:tc>
          <w:tcPr>
            <w:tcW w:w="2850" w:type="dxa"/>
            <w:tcMar>
              <w:left w:w="0" w:type="dxa"/>
              <w:right w:w="0" w:type="dxa"/>
            </w:tcMar>
          </w:tcPr>
          <w:p w14:paraId="3DFDB107" w14:textId="77777777" w:rsidR="00965D54" w:rsidRDefault="00965D54" w:rsidP="00965D54">
            <w:pPr>
              <w:keepNext/>
              <w:spacing w:before="0" w:after="0"/>
            </w:pPr>
            <w:r>
              <w:rPr>
                <w:noProof/>
              </w:rPr>
              <w:drawing>
                <wp:inline distT="0" distB="0" distL="0" distR="0" wp14:anchorId="2639F34A" wp14:editId="18371329">
                  <wp:extent cx="1800000" cy="3536786"/>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0000" cy="3536786"/>
                          </a:xfrm>
                          <a:prstGeom prst="rect">
                            <a:avLst/>
                          </a:prstGeom>
                          <a:noFill/>
                          <a:ln>
                            <a:noFill/>
                          </a:ln>
                        </pic:spPr>
                      </pic:pic>
                    </a:graphicData>
                  </a:graphic>
                </wp:inline>
              </w:drawing>
            </w:r>
          </w:p>
          <w:p w14:paraId="7F4E691A" w14:textId="327AA5B1" w:rsidR="00965D54" w:rsidRDefault="00965D54" w:rsidP="00F04C44">
            <w:pPr>
              <w:pStyle w:val="Caption"/>
            </w:pPr>
            <w:bookmarkStart w:id="95" w:name="_Ref77881476"/>
            <w:r>
              <w:t xml:space="preserve">Figure </w:t>
            </w:r>
            <w:fldSimple w:instr=" SEQ Figure \* ARABIC ">
              <w:r w:rsidR="00BA3169">
                <w:rPr>
                  <w:noProof/>
                </w:rPr>
                <w:t>32</w:t>
              </w:r>
            </w:fldSimple>
            <w:bookmarkEnd w:id="95"/>
            <w:r>
              <w:t xml:space="preserve">: </w:t>
            </w:r>
            <w:r w:rsidRPr="000574D6">
              <w:t>SOEC installed capacity 2030.</w:t>
            </w:r>
          </w:p>
        </w:tc>
        <w:tc>
          <w:tcPr>
            <w:tcW w:w="1710" w:type="dxa"/>
            <w:tcMar>
              <w:left w:w="0" w:type="dxa"/>
              <w:right w:w="0" w:type="dxa"/>
            </w:tcMar>
          </w:tcPr>
          <w:p w14:paraId="7E2315E2" w14:textId="13E6C4FE" w:rsidR="00965D54" w:rsidRDefault="00965D54" w:rsidP="00965D54">
            <w:pPr>
              <w:spacing w:before="0" w:after="0"/>
              <w:rPr>
                <w:noProof/>
              </w:rPr>
            </w:pPr>
            <w:r>
              <w:rPr>
                <w:noProof/>
              </w:rPr>
              <w:drawing>
                <wp:inline distT="0" distB="0" distL="0" distR="0" wp14:anchorId="1720077D" wp14:editId="42CBF743">
                  <wp:extent cx="1080000" cy="1622075"/>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0000" cy="1622075"/>
                          </a:xfrm>
                          <a:prstGeom prst="rect">
                            <a:avLst/>
                          </a:prstGeom>
                          <a:noFill/>
                          <a:ln>
                            <a:noFill/>
                          </a:ln>
                        </pic:spPr>
                      </pic:pic>
                    </a:graphicData>
                  </a:graphic>
                </wp:inline>
              </w:drawing>
            </w:r>
          </w:p>
        </w:tc>
      </w:tr>
    </w:tbl>
    <w:p w14:paraId="314A6DD4" w14:textId="77777777" w:rsidR="00BA7B57" w:rsidRDefault="00BA7B57" w:rsidP="00053840">
      <w:pPr>
        <w:sectPr w:rsidR="00BA7B57" w:rsidSect="006210AE">
          <w:type w:val="continuous"/>
          <w:pgSz w:w="11906" w:h="16838"/>
          <w:pgMar w:top="720" w:right="720" w:bottom="720" w:left="720" w:header="708" w:footer="708" w:gutter="0"/>
          <w:cols w:space="708"/>
          <w:docGrid w:linePitch="360"/>
        </w:sectPr>
      </w:pPr>
    </w:p>
    <w:p w14:paraId="20F4AE7E" w14:textId="36E2AE6D" w:rsidR="00053840" w:rsidRPr="00053840" w:rsidRDefault="00053840" w:rsidP="00053840"/>
    <w:p w14:paraId="042E7331" w14:textId="5A1AA04B" w:rsidR="000A37D0" w:rsidRDefault="000A37D0" w:rsidP="008056F4">
      <w:pPr>
        <w:pStyle w:val="Heading2"/>
      </w:pPr>
      <w:r>
        <w:t>Case 1</w:t>
      </w:r>
    </w:p>
    <w:p w14:paraId="0782D9B5" w14:textId="10FB6F91" w:rsidR="005D40A1" w:rsidRDefault="005D40A1" w:rsidP="005D40A1">
      <w:r>
        <w:t xml:space="preserve">As shown in the base case, the highest carbon price scenario forced 2.7% installed production capacity to be from renewable methods in 2050. However, it was decided to extend the carbon price to analyse the trade-off between decarbonising the supply chain and the increase in TDC as more </w:t>
      </w:r>
      <w:r>
        <w:lastRenderedPageBreak/>
        <w:t>renewable production methods are installed. A carbon price factor</w:t>
      </w:r>
      <w:r w:rsidR="00450DD1">
        <w:t xml:space="preserve"> </w:t>
      </w:r>
      <w:r>
        <w:t xml:space="preserve">(CPF) which multiplies the mid-carbon price was applied. </w:t>
      </w:r>
    </w:p>
    <w:p w14:paraId="71565EF1" w14:textId="2FE16921" w:rsidR="00337937" w:rsidRDefault="00337937" w:rsidP="00337937">
      <w:r>
        <w:t xml:space="preserve">For all carbon price factors considered, production from renewable sources was seen to be introduced in 2040 at the earliest. </w:t>
      </w:r>
      <w:r>
        <w:fldChar w:fldCharType="begin"/>
      </w:r>
      <w:r>
        <w:instrText xml:space="preserve"> REF _Ref57213694 \h </w:instrText>
      </w:r>
      <w:r>
        <w:fldChar w:fldCharType="separate"/>
      </w:r>
      <w:r w:rsidR="00BA3169">
        <w:t xml:space="preserve">Figure </w:t>
      </w:r>
      <w:r w:rsidR="00BA3169">
        <w:rPr>
          <w:noProof/>
        </w:rPr>
        <w:t>33</w:t>
      </w:r>
      <w:r>
        <w:fldChar w:fldCharType="end"/>
      </w:r>
      <w:r>
        <w:t xml:space="preserve"> to </w:t>
      </w:r>
      <w:r>
        <w:fldChar w:fldCharType="begin"/>
      </w:r>
      <w:r>
        <w:instrText xml:space="preserve"> REF _Ref57213697 \h </w:instrText>
      </w:r>
      <w:r>
        <w:fldChar w:fldCharType="separate"/>
      </w:r>
      <w:r w:rsidR="00BA3169">
        <w:t xml:space="preserve">Figure </w:t>
      </w:r>
      <w:r w:rsidR="00BA3169">
        <w:rPr>
          <w:noProof/>
        </w:rPr>
        <w:t>35</w:t>
      </w:r>
      <w:r>
        <w:fldChar w:fldCharType="end"/>
      </w:r>
      <w:r>
        <w:t xml:space="preserve"> show the installed hydrogen production technologies in 2040 to 2050 for the various CPF. For a carbon price factor of 3.8</w:t>
      </w:r>
      <w:r w:rsidR="001B3013">
        <w:t xml:space="preserve"> to </w:t>
      </w:r>
      <w:r>
        <w:t xml:space="preserve">4, renewable wind electrolysis makes up 86% of the total installed capacity by 2050. Increased total capacity with higher levels of electrolysis from wind reflect wind turbine capacity factors. </w:t>
      </w:r>
    </w:p>
    <w:p w14:paraId="0EFF4C8B" w14:textId="0B7DF00F" w:rsidR="005D40A1" w:rsidRDefault="00337937" w:rsidP="00337937">
      <w:r>
        <w:t xml:space="preserve">The rest of the supply chain configuration remains relatively similar. Regional transportation is favoured via newly installed pipelines; local transportation is favoured via repurposing the GDN to supply 100% hydrogen; and purification is favoured via PSA, installed locally at the refuelling station (purifying hydrogen from a dirty to a pure grade). </w:t>
      </w:r>
      <w:r w:rsidR="001B3013">
        <w:t>W</w:t>
      </w:r>
      <w:r>
        <w:t>ith a CPF of 4, hydrogen production from SMR was installed in the same zones as the base case scenarios, and production from PEM electrolysers powered by wind was installed in zones 7, 4, 12 and 24.</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3"/>
        <w:gridCol w:w="4513"/>
      </w:tblGrid>
      <w:tr w:rsidR="009106CB" w14:paraId="2F46ABF3" w14:textId="77777777" w:rsidTr="001B3013">
        <w:tc>
          <w:tcPr>
            <w:tcW w:w="4513" w:type="dxa"/>
          </w:tcPr>
          <w:p w14:paraId="634FB01A" w14:textId="77777777" w:rsidR="009D7C8B" w:rsidRDefault="009106CB" w:rsidP="009D7C8B">
            <w:pPr>
              <w:keepNext/>
              <w:spacing w:before="0" w:after="0"/>
              <w:jc w:val="center"/>
            </w:pPr>
            <w:r>
              <w:rPr>
                <w:noProof/>
              </w:rPr>
              <w:drawing>
                <wp:inline distT="0" distB="0" distL="0" distR="0" wp14:anchorId="0D4BF2C5" wp14:editId="4E75DFE2">
                  <wp:extent cx="2880000" cy="2520000"/>
                  <wp:effectExtent l="0" t="0" r="0" b="0"/>
                  <wp:docPr id="26" name="Chart 26">
                    <a:extLst xmlns:a="http://schemas.openxmlformats.org/drawingml/2006/main">
                      <a:ext uri="{FF2B5EF4-FFF2-40B4-BE49-F238E27FC236}">
                        <a16:creationId xmlns:a16="http://schemas.microsoft.com/office/drawing/2014/main" id="{FC825026-E8E2-46FA-9E07-B538DBC64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892F989" w14:textId="758AD391" w:rsidR="009106CB" w:rsidRDefault="009D7C8B" w:rsidP="009D7C8B">
            <w:pPr>
              <w:pStyle w:val="Caption"/>
              <w:spacing w:before="0" w:after="0"/>
            </w:pPr>
            <w:bookmarkStart w:id="96" w:name="_Ref57213694"/>
            <w:r>
              <w:t xml:space="preserve">Figure </w:t>
            </w:r>
            <w:fldSimple w:instr=" SEQ Figure \* ARABIC ">
              <w:r w:rsidR="00BA3169">
                <w:rPr>
                  <w:noProof/>
                </w:rPr>
                <w:t>33</w:t>
              </w:r>
            </w:fldSimple>
            <w:bookmarkEnd w:id="96"/>
            <w:r>
              <w:t>: Installed hydrogen production capacity for CPF – 2040</w:t>
            </w:r>
          </w:p>
        </w:tc>
        <w:tc>
          <w:tcPr>
            <w:tcW w:w="4513" w:type="dxa"/>
          </w:tcPr>
          <w:p w14:paraId="106105E6" w14:textId="77777777" w:rsidR="009D7C8B" w:rsidRDefault="009D7C8B" w:rsidP="009D7C8B">
            <w:pPr>
              <w:keepNext/>
              <w:spacing w:before="0" w:after="0"/>
              <w:jc w:val="center"/>
            </w:pPr>
            <w:r>
              <w:rPr>
                <w:noProof/>
              </w:rPr>
              <w:drawing>
                <wp:inline distT="0" distB="0" distL="0" distR="0" wp14:anchorId="40BAFF3A" wp14:editId="3986C6DF">
                  <wp:extent cx="2880000" cy="2520000"/>
                  <wp:effectExtent l="0" t="0" r="0" b="0"/>
                  <wp:docPr id="27" name="Chart 27">
                    <a:extLst xmlns:a="http://schemas.openxmlformats.org/drawingml/2006/main">
                      <a:ext uri="{FF2B5EF4-FFF2-40B4-BE49-F238E27FC236}">
                        <a16:creationId xmlns:a16="http://schemas.microsoft.com/office/drawing/2014/main" id="{57C8B388-5EDC-4253-AD7A-ACAF73DCF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97BD928" w14:textId="69E34930" w:rsidR="009106CB" w:rsidRDefault="009D7C8B" w:rsidP="009D7C8B">
            <w:pPr>
              <w:pStyle w:val="Caption"/>
              <w:spacing w:before="0" w:after="0"/>
            </w:pPr>
            <w:bookmarkStart w:id="97" w:name="_Ref57213696"/>
            <w:r>
              <w:t xml:space="preserve">Figure </w:t>
            </w:r>
            <w:fldSimple w:instr=" SEQ Figure \* ARABIC ">
              <w:r w:rsidR="00BA3169">
                <w:rPr>
                  <w:noProof/>
                </w:rPr>
                <w:t>34</w:t>
              </w:r>
            </w:fldSimple>
            <w:bookmarkEnd w:id="97"/>
            <w:r>
              <w:t>: Installed hydrogen production capacity for CPF – 2045</w:t>
            </w:r>
          </w:p>
        </w:tc>
      </w:tr>
      <w:tr w:rsidR="009D7C8B" w14:paraId="14A3E29B" w14:textId="77777777" w:rsidTr="001B3013">
        <w:tblPrEx>
          <w:tblCellMar>
            <w:left w:w="70" w:type="dxa"/>
            <w:right w:w="70" w:type="dxa"/>
          </w:tblCellMar>
        </w:tblPrEx>
        <w:tc>
          <w:tcPr>
            <w:tcW w:w="9026" w:type="dxa"/>
            <w:gridSpan w:val="2"/>
          </w:tcPr>
          <w:p w14:paraId="34E55597" w14:textId="77777777" w:rsidR="009D7C8B" w:rsidRDefault="009D7C8B" w:rsidP="009D7C8B">
            <w:pPr>
              <w:keepNext/>
              <w:spacing w:before="0" w:after="0"/>
              <w:jc w:val="center"/>
            </w:pPr>
            <w:r>
              <w:rPr>
                <w:noProof/>
              </w:rPr>
              <w:drawing>
                <wp:inline distT="0" distB="0" distL="0" distR="0" wp14:anchorId="51900A4F" wp14:editId="05A52F99">
                  <wp:extent cx="2880000" cy="2520000"/>
                  <wp:effectExtent l="0" t="0" r="0" b="0"/>
                  <wp:docPr id="31" name="Chart 31">
                    <a:extLst xmlns:a="http://schemas.openxmlformats.org/drawingml/2006/main">
                      <a:ext uri="{FF2B5EF4-FFF2-40B4-BE49-F238E27FC236}">
                        <a16:creationId xmlns:a16="http://schemas.microsoft.com/office/drawing/2014/main" id="{CC8517F8-607A-4B49-95C9-A4F21116B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7F8F38B" w14:textId="4F7BA10F" w:rsidR="009D7C8B" w:rsidRDefault="009D7C8B" w:rsidP="009D7C8B">
            <w:pPr>
              <w:pStyle w:val="Caption"/>
              <w:spacing w:before="0"/>
            </w:pPr>
            <w:bookmarkStart w:id="98" w:name="_Ref57213697"/>
            <w:r>
              <w:t xml:space="preserve">Figure </w:t>
            </w:r>
            <w:fldSimple w:instr=" SEQ Figure \* ARABIC ">
              <w:r w:rsidR="00BA3169">
                <w:rPr>
                  <w:noProof/>
                </w:rPr>
                <w:t>35</w:t>
              </w:r>
            </w:fldSimple>
            <w:bookmarkEnd w:id="98"/>
            <w:r>
              <w:t>: Installed hydrogen production capacity for CPF – 2050</w:t>
            </w:r>
          </w:p>
        </w:tc>
      </w:tr>
    </w:tbl>
    <w:p w14:paraId="2DE166F0" w14:textId="7CF2E720" w:rsidR="001B3013" w:rsidRDefault="001B3013" w:rsidP="001B3013">
      <w:r>
        <w:t>A key aspect of this case study was to analyse the annual carbon emissions of the supply chain as the carbon price factor is increase</w:t>
      </w:r>
      <w:r w:rsidR="00675A63">
        <w:t>d</w:t>
      </w:r>
      <w:r>
        <w:t>,</w:t>
      </w:r>
      <w:r w:rsidR="00C56420">
        <w:t xml:space="preserve"> which is shown </w:t>
      </w:r>
      <w:r w:rsidR="00C56420">
        <w:fldChar w:fldCharType="begin"/>
      </w:r>
      <w:r w:rsidR="00C56420">
        <w:instrText xml:space="preserve"> REF _Ref57218512 \h </w:instrText>
      </w:r>
      <w:r w:rsidR="00C56420">
        <w:fldChar w:fldCharType="separate"/>
      </w:r>
      <w:r w:rsidR="00BA3169">
        <w:t xml:space="preserve">Figure </w:t>
      </w:r>
      <w:r w:rsidR="00BA3169">
        <w:rPr>
          <w:noProof/>
        </w:rPr>
        <w:t>36</w:t>
      </w:r>
      <w:r w:rsidR="00C56420">
        <w:fldChar w:fldCharType="end"/>
      </w:r>
      <w:r>
        <w:t xml:space="preserve">. </w:t>
      </w:r>
      <w:r w:rsidR="00C56420">
        <w:t>F</w:t>
      </w:r>
      <w:r>
        <w:t>or all carbon price factors, the annual emission</w:t>
      </w:r>
      <w:r w:rsidR="00C56420">
        <w:t>s</w:t>
      </w:r>
      <w:r>
        <w:t xml:space="preserve"> decrease in the time period 2050, relative to 2045. However, at much higher carbon price </w:t>
      </w:r>
      <w:r>
        <w:lastRenderedPageBreak/>
        <w:t xml:space="preserve">factors, such as 4, annual carbon emissions in 2050 drop to almost the same level as 2030, while producing </w:t>
      </w:r>
      <w:r w:rsidR="00C56420">
        <w:t xml:space="preserve">approximately </w:t>
      </w:r>
      <w:r>
        <w:t>233% more hydrogen relative to 2030.</w:t>
      </w:r>
    </w:p>
    <w:p w14:paraId="6D07378E" w14:textId="01ED0566" w:rsidR="00C56420" w:rsidRDefault="00667180" w:rsidP="00653CC7">
      <w:pPr>
        <w:keepNext/>
        <w:jc w:val="center"/>
      </w:pPr>
      <w:r>
        <w:rPr>
          <w:noProof/>
        </w:rPr>
        <w:drawing>
          <wp:inline distT="0" distB="0" distL="0" distR="0" wp14:anchorId="13E2C988" wp14:editId="1EBE40D6">
            <wp:extent cx="4320000" cy="2880000"/>
            <wp:effectExtent l="0" t="0" r="4445" b="0"/>
            <wp:docPr id="48" name="Chart 48">
              <a:extLst xmlns:a="http://schemas.openxmlformats.org/drawingml/2006/main">
                <a:ext uri="{FF2B5EF4-FFF2-40B4-BE49-F238E27FC236}">
                  <a16:creationId xmlns:a16="http://schemas.microsoft.com/office/drawing/2014/main" id="{2C71CC31-0D14-4017-8468-438F27365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noProof/>
        </w:rPr>
        <w:t xml:space="preserve"> </w:t>
      </w:r>
    </w:p>
    <w:p w14:paraId="6F7D5FFF" w14:textId="0D99B269" w:rsidR="00675A63" w:rsidRPr="00FC777D" w:rsidRDefault="00C56420" w:rsidP="00B8071A">
      <w:pPr>
        <w:pStyle w:val="Caption"/>
        <w:spacing w:before="0"/>
      </w:pPr>
      <w:bookmarkStart w:id="99" w:name="_Ref57218512"/>
      <w:r>
        <w:t xml:space="preserve">Figure </w:t>
      </w:r>
      <w:fldSimple w:instr=" SEQ Figure \* ARABIC ">
        <w:r w:rsidR="00BA3169">
          <w:rPr>
            <w:noProof/>
          </w:rPr>
          <w:t>36</w:t>
        </w:r>
      </w:fldSimple>
      <w:bookmarkEnd w:id="99"/>
      <w:r>
        <w:t>: Comparison of annual carbon emissions for carbon price factors (CPF)</w:t>
      </w:r>
    </w:p>
    <w:p w14:paraId="2D2932B0" w14:textId="217135C8" w:rsidR="001B3013" w:rsidRDefault="00B25E52" w:rsidP="001B3013">
      <w:r>
        <w:t xml:space="preserve">With regards to the total discounted cost for different CPF, </w:t>
      </w:r>
      <w:r>
        <w:fldChar w:fldCharType="begin"/>
      </w:r>
      <w:r>
        <w:instrText xml:space="preserve"> REF _Ref57221351 \h </w:instrText>
      </w:r>
      <w:r>
        <w:fldChar w:fldCharType="separate"/>
      </w:r>
      <w:r w:rsidR="00BA3169">
        <w:t xml:space="preserve">Figure </w:t>
      </w:r>
      <w:r w:rsidR="00BA3169">
        <w:rPr>
          <w:noProof/>
        </w:rPr>
        <w:t>37</w:t>
      </w:r>
      <w:r>
        <w:fldChar w:fldCharType="end"/>
      </w:r>
      <w:r>
        <w:t xml:space="preserve"> shows how t</w:t>
      </w:r>
      <w:r w:rsidR="001B3013">
        <w:t xml:space="preserve">he increased adoption of renewable production methods </w:t>
      </w:r>
      <w:r>
        <w:t>a</w:t>
      </w:r>
      <w:r w:rsidR="001B3013">
        <w:t>ffect</w:t>
      </w:r>
      <w:r>
        <w:t xml:space="preserve">s </w:t>
      </w:r>
      <w:r w:rsidR="001B3013">
        <w:t>the cost of the supply chain</w:t>
      </w:r>
      <w:r w:rsidR="00C71703" w:rsidRPr="00C71703">
        <w:t xml:space="preserve"> </w:t>
      </w:r>
      <w:r w:rsidR="00C71703">
        <w:t xml:space="preserve">and the corresponding cost of hydrogen at the pump, </w:t>
      </w:r>
      <w:r>
        <w:t>excluding the costs due to carbon emissions</w:t>
      </w:r>
      <w:r w:rsidR="00C71703">
        <w:t>.</w:t>
      </w:r>
      <w:r w:rsidR="001B3013">
        <w:t xml:space="preserve"> Costs due to carbon emissions w</w:t>
      </w:r>
      <w:r w:rsidR="00C71703">
        <w:t>ere</w:t>
      </w:r>
      <w:r w:rsidR="001B3013">
        <w:t xml:space="preserve"> removed from the TDC</w:t>
      </w:r>
      <w:r w:rsidR="00C71703">
        <w:t xml:space="preserve"> to</w:t>
      </w:r>
      <w:r w:rsidR="001B3013">
        <w:t xml:space="preserve"> </w:t>
      </w:r>
      <w:r w:rsidR="00C71703">
        <w:t>analyse the</w:t>
      </w:r>
      <w:r w:rsidR="001B3013">
        <w:t xml:space="preserve"> cost of installed renewable infrastructure alone, without the interference of the increased costs due to carbon emissions.</w:t>
      </w:r>
      <w:r w:rsidR="00C71703">
        <w:t xml:space="preserve"> </w:t>
      </w:r>
      <w:r w:rsidR="001B3013">
        <w:t xml:space="preserve">As can be seen, with a carbon price factor of 4, there is an additional </w:t>
      </w:r>
      <w:r w:rsidR="00C71703">
        <w:t xml:space="preserve">total </w:t>
      </w:r>
      <w:r w:rsidR="001B3013">
        <w:t>cost</w:t>
      </w:r>
      <w:r w:rsidR="00C71703">
        <w:t xml:space="preserve"> of </w:t>
      </w:r>
      <w:r w:rsidR="001B3013">
        <w:t xml:space="preserve">£1.32 billion. However, this reduces the carbon emissions of the supply chain by </w:t>
      </w:r>
      <w:r w:rsidR="001B3013" w:rsidRPr="003610D1">
        <w:t>3</w:t>
      </w:r>
      <w:r w:rsidR="001B3013">
        <w:t>,</w:t>
      </w:r>
      <w:r w:rsidR="001B3013" w:rsidRPr="003610D1">
        <w:t>500</w:t>
      </w:r>
      <w:r w:rsidR="001B3013">
        <w:t xml:space="preserve"> </w:t>
      </w:r>
      <w:r w:rsidR="00C71703">
        <w:t>[k</w:t>
      </w:r>
      <w:r w:rsidR="001B3013">
        <w:t>tonnes</w:t>
      </w:r>
      <w:r w:rsidR="00C71703">
        <w:t>]</w:t>
      </w:r>
      <w:r w:rsidR="001B3013">
        <w:t xml:space="preserve"> over the 30-year operating period. Furthermore, the price of hydrogen at the pump is £6.30, which </w:t>
      </w:r>
      <w:r w:rsidR="00C71703">
        <w:t xml:space="preserve">is only 2% higher for the customer than to mid-carbon price assumption. </w:t>
      </w:r>
    </w:p>
    <w:p w14:paraId="14131C58" w14:textId="77627C02" w:rsidR="00B25E52" w:rsidRDefault="0060542C" w:rsidP="00B25E52">
      <w:pPr>
        <w:keepNext/>
        <w:jc w:val="center"/>
      </w:pPr>
      <w:r w:rsidRPr="0060542C">
        <w:rPr>
          <w:noProof/>
        </w:rPr>
        <w:t xml:space="preserve"> </w:t>
      </w:r>
      <w:r w:rsidR="00D4496D">
        <w:rPr>
          <w:noProof/>
        </w:rPr>
        <w:drawing>
          <wp:inline distT="0" distB="0" distL="0" distR="0" wp14:anchorId="2C594DE4" wp14:editId="5B94B6C0">
            <wp:extent cx="4560049" cy="2678743"/>
            <wp:effectExtent l="0" t="0" r="0" b="7620"/>
            <wp:docPr id="2" name="Chart 2">
              <a:extLst xmlns:a="http://schemas.openxmlformats.org/drawingml/2006/main">
                <a:ext uri="{FF2B5EF4-FFF2-40B4-BE49-F238E27FC236}">
                  <a16:creationId xmlns:a16="http://schemas.microsoft.com/office/drawing/2014/main" id="{758BC4C6-FC4B-42FA-88FD-4A30B8C116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08A50BF" w14:textId="0F28F1C8" w:rsidR="001B3013" w:rsidRDefault="00B25E52" w:rsidP="00B25E52">
      <w:pPr>
        <w:pStyle w:val="Caption"/>
      </w:pPr>
      <w:bookmarkStart w:id="100" w:name="_Ref57221351"/>
      <w:r>
        <w:t xml:space="preserve">Figure </w:t>
      </w:r>
      <w:fldSimple w:instr=" SEQ Figure \* ARABIC ">
        <w:r w:rsidR="00BA3169">
          <w:rPr>
            <w:noProof/>
          </w:rPr>
          <w:t>37</w:t>
        </w:r>
      </w:fldSimple>
      <w:bookmarkEnd w:id="100"/>
      <w:r>
        <w:t>: TDC and cost of hydrogen at the pump for different CPF,</w:t>
      </w:r>
      <w:r w:rsidRPr="00B25E52">
        <w:t xml:space="preserve"> </w:t>
      </w:r>
      <w:r>
        <w:t>excluding cost of carbon.</w:t>
      </w:r>
    </w:p>
    <w:p w14:paraId="08598761" w14:textId="3F747BCA" w:rsidR="001B3013" w:rsidRDefault="00947404" w:rsidP="001B3013">
      <w:r>
        <w:t xml:space="preserve">Finally, the </w:t>
      </w:r>
      <w:r w:rsidR="001B3013">
        <w:t xml:space="preserve">question that was left to answer from this case study is what carbon price factor forces the model to completely decarbonise production of hydrogen for transport by 2050, and what effect </w:t>
      </w:r>
      <w:r w:rsidR="001B3013">
        <w:lastRenderedPageBreak/>
        <w:t xml:space="preserve">would this have on the price of the hydrogen at the pump? After extending the CPF further, it was found that a value of 6 leads to the model choosing to fully decarbonise the supply chain by 2050. As </w:t>
      </w:r>
      <w:r w:rsidR="00400D2F">
        <w:fldChar w:fldCharType="begin"/>
      </w:r>
      <w:r w:rsidR="00400D2F">
        <w:instrText xml:space="preserve"> REF _Ref57224209 \h </w:instrText>
      </w:r>
      <w:r w:rsidR="00400D2F">
        <w:fldChar w:fldCharType="separate"/>
      </w:r>
      <w:r w:rsidR="00BA3169">
        <w:t xml:space="preserve">Figure </w:t>
      </w:r>
      <w:r w:rsidR="00BA3169">
        <w:rPr>
          <w:noProof/>
        </w:rPr>
        <w:t>38</w:t>
      </w:r>
      <w:r w:rsidR="00400D2F">
        <w:fldChar w:fldCharType="end"/>
      </w:r>
      <w:r w:rsidR="00400D2F">
        <w:t xml:space="preserve"> s</w:t>
      </w:r>
      <w:r w:rsidR="001B3013">
        <w:t>hows</w:t>
      </w:r>
      <w:r w:rsidR="00400D2F">
        <w:t xml:space="preserve">, </w:t>
      </w:r>
      <w:r w:rsidR="001B3013">
        <w:t xml:space="preserve">production from SMR is phased out by 2045, with a significant uptake of wind capacity. This </w:t>
      </w:r>
      <w:r w:rsidR="0060542C">
        <w:t>figure</w:t>
      </w:r>
      <w:r w:rsidR="001B3013">
        <w:t xml:space="preserve"> also highlights the significant increase in installed production capacity required when producing hydrogen from renewables, due to the capacity factor, which takes into consideration the intermittency of renewables. When compared to the base case - mid carbon price scenario </w:t>
      </w:r>
      <w:r w:rsidR="0060542C">
        <w:t xml:space="preserve">- </w:t>
      </w:r>
      <w:r w:rsidR="001B3013">
        <w:t>the installed production capacity in the whole of GB in 2050 is 12</w:t>
      </w:r>
      <w:r w:rsidR="0060542C">
        <w:t>.</w:t>
      </w:r>
      <w:r w:rsidR="001B3013">
        <w:t>6</w:t>
      </w:r>
      <w:r w:rsidR="0060542C">
        <w:t xml:space="preserve"> G</w:t>
      </w:r>
      <w:r w:rsidR="001B3013">
        <w:t xml:space="preserve">W greater. </w:t>
      </w:r>
      <w:r w:rsidR="00400D2F">
        <w:t>H</w:t>
      </w:r>
      <w:r w:rsidR="001B3013">
        <w:t>ydrogen production capacity from wind PEM electrolysis in 2050 was installed in zones 4, 7, 12, 18, 24, 26 and 28</w:t>
      </w:r>
      <w:r w:rsidR="00ED3625">
        <w:t xml:space="preserve"> </w:t>
      </w:r>
      <w:r w:rsidR="00400D2F">
        <w:t xml:space="preserve">for the CPF value of 6. </w:t>
      </w:r>
    </w:p>
    <w:p w14:paraId="0E888B71" w14:textId="77777777" w:rsidR="00400D2F" w:rsidRDefault="004E51A8" w:rsidP="00400D2F">
      <w:pPr>
        <w:keepNext/>
        <w:jc w:val="center"/>
      </w:pPr>
      <w:r>
        <w:rPr>
          <w:noProof/>
        </w:rPr>
        <w:drawing>
          <wp:inline distT="0" distB="0" distL="0" distR="0" wp14:anchorId="70F472BE" wp14:editId="573016C5">
            <wp:extent cx="3600000" cy="2598875"/>
            <wp:effectExtent l="0" t="0" r="635" b="0"/>
            <wp:docPr id="39" name="Chart 39">
              <a:extLst xmlns:a="http://schemas.openxmlformats.org/drawingml/2006/main">
                <a:ext uri="{FF2B5EF4-FFF2-40B4-BE49-F238E27FC236}">
                  <a16:creationId xmlns:a16="http://schemas.microsoft.com/office/drawing/2014/main" id="{3433F670-F55B-462E-AFC7-AF9E0441F6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3239ED6" w14:textId="72BDD9D5" w:rsidR="004E51A8" w:rsidRDefault="00400D2F" w:rsidP="00400D2F">
      <w:pPr>
        <w:pStyle w:val="Caption"/>
        <w:spacing w:before="0"/>
      </w:pPr>
      <w:bookmarkStart w:id="101" w:name="_Ref57224209"/>
      <w:r>
        <w:t xml:space="preserve">Figure </w:t>
      </w:r>
      <w:fldSimple w:instr=" SEQ Figure \* ARABIC ">
        <w:r w:rsidR="00BA3169">
          <w:rPr>
            <w:noProof/>
          </w:rPr>
          <w:t>38</w:t>
        </w:r>
      </w:fldSimple>
      <w:bookmarkEnd w:id="101"/>
      <w:r>
        <w:t>: Total i</w:t>
      </w:r>
      <w:r w:rsidRPr="00400D2F">
        <w:t>nstalled production capacity</w:t>
      </w:r>
      <w:r>
        <w:t xml:space="preserve"> over time for CPF=6</w:t>
      </w:r>
      <w:r w:rsidRPr="00400D2F">
        <w:t>.</w:t>
      </w:r>
    </w:p>
    <w:p w14:paraId="28E5B586" w14:textId="56F6A98A" w:rsidR="001B3013" w:rsidRDefault="001B3013" w:rsidP="001B3013">
      <w:pPr>
        <w:rPr>
          <w:rFonts w:eastAsiaTheme="minorEastAsia"/>
        </w:rPr>
      </w:pPr>
      <w:r>
        <w:t>The TDC of the supply chain, excluding the costs due to carbon emissions, is £69.2 billion, which equates to £6.54 per kg of hydrogen. Full decarbonisation compared to the base case costs an additional £3.8 billion and abates a total of 6.05</w:t>
      </w:r>
      <m:oMath>
        <m:r>
          <w:rPr>
            <w:rFonts w:ascii="Cambria Math" w:hAnsi="Cambria Math"/>
          </w:rPr>
          <m:t>×</m:t>
        </m:r>
      </m:oMath>
      <w:r>
        <w:rPr>
          <w:rFonts w:eastAsiaTheme="minorEastAsia"/>
        </w:rPr>
        <w:t>10</w:t>
      </w:r>
      <w:r>
        <w:rPr>
          <w:rFonts w:eastAsiaTheme="minorEastAsia"/>
          <w:vertAlign w:val="superscript"/>
        </w:rPr>
        <w:t>6</w:t>
      </w:r>
      <w:r>
        <w:rPr>
          <w:rFonts w:eastAsiaTheme="minorEastAsia"/>
        </w:rPr>
        <w:t xml:space="preserve"> tonnes of CO</w:t>
      </w:r>
      <w:r>
        <w:rPr>
          <w:rFonts w:eastAsiaTheme="minorEastAsia"/>
          <w:vertAlign w:val="subscript"/>
        </w:rPr>
        <w:t>2</w:t>
      </w:r>
      <w:r>
        <w:rPr>
          <w:rFonts w:eastAsiaTheme="minorEastAsia"/>
        </w:rPr>
        <w:t xml:space="preserve"> </w:t>
      </w:r>
      <w:r w:rsidR="00FA03F1">
        <w:rPr>
          <w:rFonts w:eastAsiaTheme="minorEastAsia"/>
        </w:rPr>
        <w:t xml:space="preserve">for the transport sector, </w:t>
      </w:r>
      <w:r>
        <w:rPr>
          <w:rFonts w:eastAsiaTheme="minorEastAsia"/>
        </w:rPr>
        <w:t>which equates to £628.39/t</w:t>
      </w:r>
      <w:r w:rsidRPr="00A31F5A">
        <w:rPr>
          <w:rFonts w:eastAsiaTheme="minorEastAsia"/>
        </w:rPr>
        <w:t>CO</w:t>
      </w:r>
      <w:r>
        <w:rPr>
          <w:rFonts w:eastAsiaTheme="minorEastAsia"/>
          <w:vertAlign w:val="subscript"/>
        </w:rPr>
        <w:t>2</w:t>
      </w:r>
      <w:r>
        <w:rPr>
          <w:rFonts w:eastAsiaTheme="minorEastAsia"/>
        </w:rPr>
        <w:t>.</w:t>
      </w:r>
      <w:r w:rsidR="00FA03F1">
        <w:rPr>
          <w:rFonts w:eastAsiaTheme="minorEastAsia"/>
        </w:rPr>
        <w:t xml:space="preserve"> The cost of</w:t>
      </w:r>
      <w:r>
        <w:rPr>
          <w:rFonts w:eastAsiaTheme="minorEastAsia"/>
        </w:rPr>
        <w:t xml:space="preserve"> emission avoidance </w:t>
      </w:r>
      <w:r w:rsidR="00FA03F1">
        <w:rPr>
          <w:rFonts w:eastAsiaTheme="minorEastAsia"/>
        </w:rPr>
        <w:t xml:space="preserve">calculated </w:t>
      </w:r>
      <w:r>
        <w:rPr>
          <w:rFonts w:eastAsiaTheme="minorEastAsia"/>
        </w:rPr>
        <w:t xml:space="preserve">in the </w:t>
      </w:r>
      <w:r w:rsidR="00FA03F1">
        <w:t>H21 – Leeds Citygate report</w:t>
      </w:r>
      <w:r w:rsidR="00D63DF4">
        <w:t xml:space="preserve"> </w:t>
      </w:r>
      <w:r w:rsidR="00D63DF4">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D63DF4">
        <w:fldChar w:fldCharType="separate"/>
      </w:r>
      <w:r w:rsidR="00434694">
        <w:rPr>
          <w:noProof/>
        </w:rPr>
        <w:t>[</w:t>
      </w:r>
      <w:hyperlink w:anchor="_ENREF_56" w:tooltip="Sadler, 2016 #926" w:history="1">
        <w:r w:rsidR="006210AE">
          <w:rPr>
            <w:noProof/>
          </w:rPr>
          <w:t>56</w:t>
        </w:r>
      </w:hyperlink>
      <w:r w:rsidR="00434694">
        <w:rPr>
          <w:noProof/>
        </w:rPr>
        <w:t>]</w:t>
      </w:r>
      <w:r w:rsidR="00D63DF4">
        <w:fldChar w:fldCharType="end"/>
      </w:r>
      <w:r w:rsidR="00FA03F1">
        <w:t xml:space="preserve"> </w:t>
      </w:r>
      <w:r w:rsidR="00FA03F1">
        <w:rPr>
          <w:rFonts w:eastAsiaTheme="minorEastAsia"/>
        </w:rPr>
        <w:t xml:space="preserve">was estimated to be </w:t>
      </w:r>
      <w:r>
        <w:rPr>
          <w:rFonts w:eastAsiaTheme="minorEastAsia"/>
        </w:rPr>
        <w:t>£291.4/tCO</w:t>
      </w:r>
      <w:r>
        <w:rPr>
          <w:rFonts w:eastAsiaTheme="minorEastAsia"/>
          <w:vertAlign w:val="subscript"/>
        </w:rPr>
        <w:t>2</w:t>
      </w:r>
      <w:r w:rsidR="00FA03F1">
        <w:rPr>
          <w:rFonts w:eastAsiaTheme="minorEastAsia"/>
        </w:rPr>
        <w:t>.</w:t>
      </w:r>
      <w:r>
        <w:rPr>
          <w:rFonts w:eastAsiaTheme="minorEastAsia"/>
        </w:rPr>
        <w:t xml:space="preserve"> The value</w:t>
      </w:r>
      <w:r w:rsidR="00FA03F1">
        <w:rPr>
          <w:rFonts w:eastAsiaTheme="minorEastAsia"/>
        </w:rPr>
        <w:t>, however,</w:t>
      </w:r>
      <w:r>
        <w:rPr>
          <w:rFonts w:eastAsiaTheme="minorEastAsia"/>
        </w:rPr>
        <w:t xml:space="preserve"> </w:t>
      </w:r>
      <w:r w:rsidR="00FA03F1">
        <w:rPr>
          <w:rFonts w:eastAsiaTheme="minorEastAsia"/>
        </w:rPr>
        <w:t xml:space="preserve">considers </w:t>
      </w:r>
      <w:r>
        <w:rPr>
          <w:rFonts w:eastAsiaTheme="minorEastAsia"/>
        </w:rPr>
        <w:t>decarbonising the heating sector and not the transport sector, which</w:t>
      </w:r>
      <w:r w:rsidR="00FA03F1">
        <w:rPr>
          <w:rFonts w:eastAsiaTheme="minorEastAsia"/>
        </w:rPr>
        <w:t xml:space="preserve"> is much more expensive </w:t>
      </w:r>
      <w:r>
        <w:rPr>
          <w:rFonts w:eastAsiaTheme="minorEastAsia"/>
        </w:rPr>
        <w:t>due to purification requirements.</w:t>
      </w:r>
      <w:r w:rsidR="00FA03F1">
        <w:rPr>
          <w:rFonts w:eastAsiaTheme="minorEastAsia"/>
        </w:rPr>
        <w:t xml:space="preserve"> Additionally, considering sector-coupling would enable to lower the cost of CO</w:t>
      </w:r>
      <w:r w:rsidR="00FA03F1" w:rsidRPr="00FA03F1">
        <w:rPr>
          <w:rFonts w:eastAsiaTheme="minorEastAsia"/>
          <w:vertAlign w:val="subscript"/>
        </w:rPr>
        <w:t>2</w:t>
      </w:r>
      <w:r w:rsidR="00FA03F1">
        <w:rPr>
          <w:rFonts w:eastAsiaTheme="minorEastAsia"/>
        </w:rPr>
        <w:t xml:space="preserve"> abatement. </w:t>
      </w:r>
    </w:p>
    <w:p w14:paraId="2AEF62D6" w14:textId="18F3B790" w:rsidR="000A37D0" w:rsidRDefault="000A37D0" w:rsidP="008056F4">
      <w:pPr>
        <w:pStyle w:val="Heading2"/>
      </w:pPr>
      <w:r w:rsidRPr="008056F4">
        <w:t>Case 2</w:t>
      </w:r>
    </w:p>
    <w:p w14:paraId="4A430DA8" w14:textId="3FD104B2" w:rsidR="00450DD1" w:rsidRDefault="00450DD1" w:rsidP="00450DD1">
      <w:r>
        <w:t>From the base case, it was identified that local distribution via repurposing the GDN to supply 100% hydrogen was the most cost optimal method. However, the conceptual idea of blending hydrogen into the GDN for the transport sector is being considered</w:t>
      </w:r>
      <w:r w:rsidR="00850A38">
        <w:t xml:space="preserve"> in some projects</w:t>
      </w:r>
      <w:r w:rsidR="00D63DF4">
        <w:t xml:space="preserve"> </w:t>
      </w:r>
      <w:r w:rsidR="009431D1">
        <w:fldChar w:fldCharType="begin"/>
      </w:r>
      <w:r w:rsidR="006210AE">
        <w:instrText xml:space="preserve"> ADDIN EN.CITE &lt;EndNote&gt;&lt;Cite&gt;&lt;Author&gt;HyNet&lt;/Author&gt;&lt;RecNum&gt;1082&lt;/RecNum&gt;&lt;DisplayText&gt;[72, 73]&lt;/DisplayText&gt;&lt;record&gt;&lt;rec-number&gt;1082&lt;/rec-number&gt;&lt;foreign-keys&gt;&lt;key app="EN" db-id="w500zpaaheraz8epaw1p29dtf2ff9zrswv50" timestamp="1607697901"&gt;1082&lt;/key&gt;&lt;/foreign-keys&gt;&lt;ref-type name="Web Page"&gt;12&lt;/ref-type&gt;&lt;contributors&gt;&lt;authors&gt;&lt;author&gt;HyNet&lt;/author&gt;&lt;/authors&gt;&lt;/contributors&gt;&lt;titles&gt;&lt;title&gt;HyNet - Hydrogen Energy and Carbon Capture, Usage and Storage&lt;/title&gt;&lt;/titles&gt;&lt;volume&gt;2021&lt;/volume&gt;&lt;dates&gt;&lt;/dates&gt;&lt;urls&gt;&lt;related-urls&gt;&lt;url&gt;https://hynet.co.uk/&lt;/url&gt;&lt;/related-urls&gt;&lt;/urls&gt;&lt;/record&gt;&lt;/Cite&gt;&lt;Cite&gt;&lt;Author&gt;Cadent Gas&lt;/Author&gt;&lt;Year&gt;2018&lt;/Year&gt;&lt;RecNum&gt;1048&lt;/RecNum&gt;&lt;record&gt;&lt;rec-number&gt;1048&lt;/rec-number&gt;&lt;foreign-keys&gt;&lt;key app="EN" db-id="w500zpaaheraz8epaw1p29dtf2ff9zrswv50" timestamp="1607697901"&gt;1048&lt;/key&gt;&lt;/foreign-keys&gt;&lt;ref-type name="Report"&gt;27&lt;/ref-type&gt;&lt;contributors&gt;&lt;authors&gt;&lt;author&gt;Cadent Gas,&lt;/author&gt;&lt;/authors&gt;&lt;/contributors&gt;&lt;titles&gt;&lt;title&gt;HyMotion: HG2V Innovation to Reduce CO2 Emissions HG2V (Hydrogen Grid to Vehicle)&lt;/title&gt;&lt;/titles&gt;&lt;dates&gt;&lt;year&gt;2018&lt;/year&gt;&lt;/dates&gt;&lt;urls&gt;&lt;related-urls&gt;&lt;url&gt;https://hynet.co.uk/app/uploads/2019/06/15066_CADENT_INSERT_HYMOTION_HG2V_WEB_v2.pdf&lt;/url&gt;&lt;/related-urls&gt;&lt;pdf-urls&gt;&lt;url&gt;file://Users\David\Library\Application Support\Mendeley Desktop\Downloaded\Cadent - 2018 - HyMotion HG2V Innovation to Reduce CO2 Emissions HG2V (Hydrogen Grid to Vehicle).pdf&lt;/url&gt;&lt;/pdf-urls&gt;&lt;/urls&gt;&lt;/record&gt;&lt;/Cite&gt;&lt;/EndNote&gt;</w:instrText>
      </w:r>
      <w:r w:rsidR="009431D1">
        <w:fldChar w:fldCharType="separate"/>
      </w:r>
      <w:r w:rsidR="006210AE">
        <w:rPr>
          <w:noProof/>
        </w:rPr>
        <w:t>[</w:t>
      </w:r>
      <w:hyperlink w:anchor="_ENREF_72" w:tooltip="HyNet,  #1082" w:history="1">
        <w:r w:rsidR="006210AE">
          <w:rPr>
            <w:noProof/>
          </w:rPr>
          <w:t>72</w:t>
        </w:r>
      </w:hyperlink>
      <w:r w:rsidR="006210AE">
        <w:rPr>
          <w:noProof/>
        </w:rPr>
        <w:t xml:space="preserve">, </w:t>
      </w:r>
      <w:hyperlink w:anchor="_ENREF_73" w:tooltip="Cadent Gas, 2018 #1048" w:history="1">
        <w:r w:rsidR="006210AE">
          <w:rPr>
            <w:noProof/>
          </w:rPr>
          <w:t>73</w:t>
        </w:r>
      </w:hyperlink>
      <w:r w:rsidR="006210AE">
        <w:rPr>
          <w:noProof/>
        </w:rPr>
        <w:t>]</w:t>
      </w:r>
      <w:r w:rsidR="009431D1">
        <w:fldChar w:fldCharType="end"/>
      </w:r>
      <w:r>
        <w:t xml:space="preserve">. Therefore, the objective of this </w:t>
      </w:r>
      <w:r w:rsidR="00850A38">
        <w:t xml:space="preserve">case </w:t>
      </w:r>
      <w:r>
        <w:t>study was to adapt the supply chain model to investigate</w:t>
      </w:r>
      <w:r w:rsidR="00850A38">
        <w:t xml:space="preserve"> what is the cost of hydrogen separation/purification equipment at which </w:t>
      </w:r>
      <w:r>
        <w:t xml:space="preserve">blending into the GDN </w:t>
      </w:r>
      <w:r w:rsidR="00850A38">
        <w:t xml:space="preserve">would be a </w:t>
      </w:r>
      <w:r>
        <w:t>cost</w:t>
      </w:r>
      <w:r w:rsidR="00850A38">
        <w:t>-effective</w:t>
      </w:r>
      <w:r>
        <w:t xml:space="preserve"> distribution method. In order to implement this into the model, the learning rate of both PSA and membrane hydrogen separation/purification equipment was varied between 1</w:t>
      </w:r>
      <w:r w:rsidR="00850A38">
        <w:t xml:space="preserve"> and </w:t>
      </w:r>
      <w:r>
        <w:t>15%. Furthermore, since blending into the GDN is the main focus of this case study, the option of repurposing the GDN to supply 100% hydrogen was removed from the model.</w:t>
      </w:r>
    </w:p>
    <w:p w14:paraId="3DADF0BB" w14:textId="4209FD45" w:rsidR="00450DD1" w:rsidRDefault="00BA2560" w:rsidP="00450DD1">
      <w:r>
        <w:fldChar w:fldCharType="begin"/>
      </w:r>
      <w:r>
        <w:instrText xml:space="preserve"> REF _Ref57286653 \h </w:instrText>
      </w:r>
      <w:r>
        <w:fldChar w:fldCharType="separate"/>
      </w:r>
      <w:r w:rsidR="00BA3169">
        <w:t xml:space="preserve">Figure </w:t>
      </w:r>
      <w:r w:rsidR="00BA3169">
        <w:rPr>
          <w:noProof/>
        </w:rPr>
        <w:t>39</w:t>
      </w:r>
      <w:r>
        <w:fldChar w:fldCharType="end"/>
      </w:r>
      <w:r w:rsidR="003E1875">
        <w:t xml:space="preserve"> </w:t>
      </w:r>
      <w:r>
        <w:t xml:space="preserve">to </w:t>
      </w:r>
      <w:r>
        <w:fldChar w:fldCharType="begin"/>
      </w:r>
      <w:r>
        <w:instrText xml:space="preserve"> REF _Ref57286655 \h </w:instrText>
      </w:r>
      <w:r>
        <w:fldChar w:fldCharType="separate"/>
      </w:r>
      <w:r w:rsidR="00BA3169">
        <w:t xml:space="preserve">Figure </w:t>
      </w:r>
      <w:r w:rsidR="00BA3169">
        <w:rPr>
          <w:noProof/>
        </w:rPr>
        <w:t>42</w:t>
      </w:r>
      <w:r>
        <w:fldChar w:fldCharType="end"/>
      </w:r>
      <w:r>
        <w:t xml:space="preserve"> </w:t>
      </w:r>
      <w:r w:rsidR="00F161B1">
        <w:t>show the installed transportation capacity a</w:t>
      </w:r>
      <w:r w:rsidR="00450DD1">
        <w:t>s the learning rate of the PSA system was varied</w:t>
      </w:r>
      <w:r w:rsidR="008E7740">
        <w:t>,</w:t>
      </w:r>
      <w:r w:rsidR="00D83CF6">
        <w:t xml:space="preserve"> from 2035 onwards,</w:t>
      </w:r>
      <w:r w:rsidR="00D83CF6" w:rsidRPr="00D83CF6">
        <w:t xml:space="preserve"> </w:t>
      </w:r>
      <w:r w:rsidR="00D83CF6">
        <w:t>as blending into the GDN does not occur until 2035 at the earliest even for higher learning rates.</w:t>
      </w:r>
      <w:r w:rsidR="00450DD1">
        <w:t xml:space="preserve"> As can be seen a learning rate of 15% is required for almost a </w:t>
      </w:r>
      <w:r w:rsidR="00450DD1">
        <w:lastRenderedPageBreak/>
        <w:t>full adoption of blending into the GDN by 2050. This ra</w:t>
      </w:r>
      <w:r w:rsidR="00F161B1">
        <w:t>i</w:t>
      </w:r>
      <w:r w:rsidR="00450DD1">
        <w:t xml:space="preserve">ses the question as to whether there is much benefit of blending hydrogen into the GDN in 2035, as emission constraints should be greater by this time, therefore, there </w:t>
      </w:r>
      <w:r w:rsidR="00F161B1">
        <w:t xml:space="preserve">would </w:t>
      </w:r>
      <w:r w:rsidR="00450DD1">
        <w:t xml:space="preserve">be a reduced usage of </w:t>
      </w:r>
      <w:r w:rsidR="00F161B1">
        <w:t>natural gas</w:t>
      </w:r>
      <w:r w:rsidR="00450DD1">
        <w:t xml:space="preserve"> for the heating sector and thus the opportunity for sector coupling could be lost by this point.</w:t>
      </w:r>
      <w:r w:rsidR="00D43ABF">
        <w:t xml:space="preserve"> </w:t>
      </w:r>
      <w:r w:rsidR="00D43ABF">
        <w:fldChar w:fldCharType="begin"/>
      </w:r>
      <w:r w:rsidR="00D43ABF">
        <w:instrText xml:space="preserve"> REF _Ref57272926 \h </w:instrText>
      </w:r>
      <w:r w:rsidR="00D43ABF">
        <w:fldChar w:fldCharType="separate"/>
      </w:r>
      <w:r w:rsidR="00BA3169">
        <w:t xml:space="preserve">Figure </w:t>
      </w:r>
      <w:r w:rsidR="00BA3169">
        <w:rPr>
          <w:noProof/>
        </w:rPr>
        <w:t>43</w:t>
      </w:r>
      <w:r w:rsidR="00D43ABF">
        <w:fldChar w:fldCharType="end"/>
      </w:r>
      <w:r w:rsidR="00D43ABF">
        <w:t xml:space="preserve"> to </w:t>
      </w:r>
      <w:r w:rsidR="00D43ABF">
        <w:fldChar w:fldCharType="begin"/>
      </w:r>
      <w:r w:rsidR="00D43ABF">
        <w:instrText xml:space="preserve"> REF _Ref57272935 \h </w:instrText>
      </w:r>
      <w:r w:rsidR="00D43ABF">
        <w:fldChar w:fldCharType="separate"/>
      </w:r>
      <w:r w:rsidR="00BA3169">
        <w:t xml:space="preserve">Figure </w:t>
      </w:r>
      <w:r w:rsidR="00BA3169">
        <w:rPr>
          <w:noProof/>
        </w:rPr>
        <w:t>48</w:t>
      </w:r>
      <w:r w:rsidR="00D43ABF">
        <w:fldChar w:fldCharType="end"/>
      </w:r>
      <w:r w:rsidR="00450DD1">
        <w:t xml:space="preserve"> show the installed capacity</w:t>
      </w:r>
      <w:r w:rsidR="00D43ABF">
        <w:t xml:space="preserve"> </w:t>
      </w:r>
      <w:r w:rsidR="00450DD1">
        <w:t xml:space="preserve">of blending into the GDN </w:t>
      </w:r>
      <w:r w:rsidR="00D43ABF">
        <w:t xml:space="preserve">in the different zones, </w:t>
      </w:r>
      <w:r w:rsidR="00450DD1">
        <w:t>for the time periods of 2040 and 2050</w:t>
      </w:r>
      <w:r w:rsidR="00D43ABF">
        <w:t>,</w:t>
      </w:r>
      <w:r w:rsidR="00450DD1">
        <w:t xml:space="preserve"> with PSA learning rate</w:t>
      </w:r>
      <w:r w:rsidR="00D43ABF">
        <w:t>s</w:t>
      </w:r>
      <w:r w:rsidR="00450DD1">
        <w:t xml:space="preserve"> of 2%; 8% and 15%. These specific scenarios were chosen as they highlight significant steps in the evolution of the configuration of the supply chain.</w:t>
      </w:r>
    </w:p>
    <w:p w14:paraId="6FBCC92C" w14:textId="1250F49A" w:rsidR="00450DD1" w:rsidRDefault="00D43ABF" w:rsidP="00450DD1">
      <w:r>
        <w:t>The results show that t</w:t>
      </w:r>
      <w:r w:rsidR="00450DD1">
        <w:t>he model favour</w:t>
      </w:r>
      <w:r>
        <w:t>s</w:t>
      </w:r>
      <w:r w:rsidR="00450DD1">
        <w:t xml:space="preserve"> blending into the GDN in specific zones based on two </w:t>
      </w:r>
      <w:r>
        <w:t xml:space="preserve">main </w:t>
      </w:r>
      <w:r w:rsidR="00450DD1">
        <w:t>factors</w:t>
      </w:r>
      <w:r w:rsidR="00834C1A">
        <w:t>:</w:t>
      </w:r>
      <w:r w:rsidR="00450DD1">
        <w:t xml:space="preserve"> First if the zone</w:t>
      </w:r>
      <w:r>
        <w:t xml:space="preserve"> has</w:t>
      </w:r>
      <w:r w:rsidR="00450DD1">
        <w:t xml:space="preserve"> a relatively large local distribution length, and secondly if the zone ha</w:t>
      </w:r>
      <w:r>
        <w:t>s</w:t>
      </w:r>
      <w:r w:rsidR="00450DD1">
        <w:t xml:space="preserve"> a high demand for hydrogen. An example of high demand resulting in the model favouring blending into the GDN </w:t>
      </w:r>
      <w:r w:rsidR="00834C1A">
        <w:t>is</w:t>
      </w:r>
      <w:r w:rsidR="00450DD1">
        <w:t xml:space="preserve"> zone 22 (greater London), which </w:t>
      </w:r>
      <w:r w:rsidR="00834C1A">
        <w:t>adopts</w:t>
      </w:r>
      <w:r w:rsidR="00450DD1">
        <w:t xml:space="preserve"> a large installed capacity relative to other zones for all three of the learning rates. </w:t>
      </w:r>
      <w:r w:rsidR="00834C1A">
        <w:t>On the other hand, zone 12 is a</w:t>
      </w:r>
      <w:r w:rsidR="00450DD1">
        <w:t>n example of a zone that has a relatively large distribution length, but not a specifically high</w:t>
      </w:r>
      <w:r w:rsidR="00834C1A">
        <w:t xml:space="preserve"> demand –</w:t>
      </w:r>
      <w:r w:rsidR="00450DD1">
        <w:t xml:space="preserve"> </w:t>
      </w:r>
      <w:r w:rsidR="00834C1A">
        <w:t xml:space="preserve">with </w:t>
      </w:r>
      <w:r w:rsidR="00450DD1">
        <w:t xml:space="preserve">a local distribution length of </w:t>
      </w:r>
      <w:r w:rsidR="00834C1A">
        <w:t xml:space="preserve">approximately </w:t>
      </w:r>
      <w:r w:rsidR="00450DD1">
        <w:t xml:space="preserve">3,400 km and a relatively mid-level demand of </w:t>
      </w:r>
      <w:r w:rsidR="00834C1A">
        <w:t xml:space="preserve">around </w:t>
      </w:r>
      <w:r w:rsidR="00450DD1">
        <w:t>3,300 kWh</w:t>
      </w:r>
      <w:r w:rsidR="00834C1A">
        <w:t xml:space="preserve"> in 2050. </w:t>
      </w:r>
      <w:r w:rsidR="00450DD1">
        <w:t>This result can be explained as blending into the GDN was assumed to have no additional CAPEX and a relatively low OPEX, thus making it cheaper than other transportation options. However, the additional cost of installed separation/purification equipment was large. Therefore, in order for blending into the GDN to be a cost optimal distribution method, there has to be a high transportation of hydrogen through the GDN, either through a large capacity (in kW), or through a long local distribution distance (in km). Thus, allowing the costs savings from blending into the GDN to outweigh the additional costs of installing separation/purification equipment.</w:t>
      </w:r>
    </w:p>
    <w:p w14:paraId="345FD07B" w14:textId="77777777" w:rsidR="00BA2560" w:rsidRDefault="00BA2560" w:rsidP="00450DD1">
      <w:pPr>
        <w:sectPr w:rsidR="00BA2560" w:rsidSect="002D1317">
          <w:type w:val="continuous"/>
          <w:pgSz w:w="11906" w:h="16838"/>
          <w:pgMar w:top="1440" w:right="1440" w:bottom="1440" w:left="1440" w:header="708" w:footer="708" w:gutter="0"/>
          <w:cols w:space="708"/>
          <w:docGrid w:linePitch="360"/>
        </w:sect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33"/>
        <w:gridCol w:w="5233"/>
      </w:tblGrid>
      <w:tr w:rsidR="00BA2560" w14:paraId="7B5E565A" w14:textId="77777777" w:rsidTr="00BA2560">
        <w:trPr>
          <w:jc w:val="center"/>
        </w:trPr>
        <w:tc>
          <w:tcPr>
            <w:tcW w:w="5228" w:type="dxa"/>
          </w:tcPr>
          <w:p w14:paraId="0B25FDAF" w14:textId="77777777" w:rsidR="00BA2560" w:rsidRDefault="00BA2560" w:rsidP="00BA2560">
            <w:pPr>
              <w:keepNext/>
              <w:spacing w:before="0" w:after="0"/>
              <w:jc w:val="center"/>
            </w:pPr>
            <w:r>
              <w:rPr>
                <w:noProof/>
              </w:rPr>
              <w:lastRenderedPageBreak/>
              <w:drawing>
                <wp:inline distT="0" distB="0" distL="0" distR="0" wp14:anchorId="2F45E951" wp14:editId="2F4B7E2A">
                  <wp:extent cx="3388762" cy="2524762"/>
                  <wp:effectExtent l="0" t="0" r="2540" b="8890"/>
                  <wp:docPr id="50" name="Chart 50">
                    <a:extLst xmlns:a="http://schemas.openxmlformats.org/drawingml/2006/main">
                      <a:ext uri="{FF2B5EF4-FFF2-40B4-BE49-F238E27FC236}">
                        <a16:creationId xmlns:a16="http://schemas.microsoft.com/office/drawing/2014/main" id="{E13C47B0-D9D3-40B6-9692-5B3E061937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885DA07" w14:textId="1446084D" w:rsidR="00BA2560" w:rsidRDefault="00BA2560" w:rsidP="00BA2560">
            <w:pPr>
              <w:pStyle w:val="Caption"/>
              <w:spacing w:before="0"/>
            </w:pPr>
            <w:bookmarkStart w:id="102" w:name="_Ref57286653"/>
            <w:r>
              <w:t xml:space="preserve">Figure </w:t>
            </w:r>
            <w:fldSimple w:instr=" SEQ Figure \* ARABIC ">
              <w:r w:rsidR="00BA3169">
                <w:rPr>
                  <w:noProof/>
                </w:rPr>
                <w:t>39</w:t>
              </w:r>
            </w:fldSimple>
            <w:bookmarkEnd w:id="102"/>
            <w:r>
              <w:t>: L</w:t>
            </w:r>
            <w:r>
              <w:rPr>
                <w:noProof/>
              </w:rPr>
              <w:t>ocal transportation capacity for PSA learning rates, 2035.</w:t>
            </w:r>
          </w:p>
        </w:tc>
        <w:tc>
          <w:tcPr>
            <w:tcW w:w="5228" w:type="dxa"/>
          </w:tcPr>
          <w:p w14:paraId="02CD0F43" w14:textId="77777777" w:rsidR="00BA2560" w:rsidRDefault="00BA2560" w:rsidP="00BA2560">
            <w:pPr>
              <w:keepNext/>
              <w:spacing w:before="0" w:after="0"/>
              <w:jc w:val="center"/>
            </w:pPr>
            <w:r>
              <w:rPr>
                <w:noProof/>
              </w:rPr>
              <w:drawing>
                <wp:inline distT="0" distB="0" distL="0" distR="0" wp14:anchorId="1092F861" wp14:editId="6578B814">
                  <wp:extent cx="3388762" cy="2524762"/>
                  <wp:effectExtent l="0" t="0" r="2540" b="8890"/>
                  <wp:docPr id="51" name="Chart 51">
                    <a:extLst xmlns:a="http://schemas.openxmlformats.org/drawingml/2006/main">
                      <a:ext uri="{FF2B5EF4-FFF2-40B4-BE49-F238E27FC236}">
                        <a16:creationId xmlns:a16="http://schemas.microsoft.com/office/drawing/2014/main" id="{33A191AB-61F0-4E9C-BC65-986606B9FD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20A2C9D" w14:textId="5DB92958" w:rsidR="00BA2560" w:rsidRDefault="00BA2560" w:rsidP="00BA2560">
            <w:pPr>
              <w:pStyle w:val="Caption"/>
              <w:spacing w:before="0"/>
            </w:pPr>
            <w:r>
              <w:t xml:space="preserve">Figure </w:t>
            </w:r>
            <w:fldSimple w:instr=" SEQ Figure \* ARABIC ">
              <w:r w:rsidR="00BA3169">
                <w:rPr>
                  <w:noProof/>
                </w:rPr>
                <w:t>40</w:t>
              </w:r>
            </w:fldSimple>
            <w:r>
              <w:t>: L</w:t>
            </w:r>
            <w:r>
              <w:rPr>
                <w:noProof/>
              </w:rPr>
              <w:t>ocal transportation capacity for PSA learning rates, 2040.</w:t>
            </w:r>
          </w:p>
        </w:tc>
      </w:tr>
      <w:tr w:rsidR="00BA2560" w14:paraId="6547AA47" w14:textId="77777777" w:rsidTr="00BA2560">
        <w:trPr>
          <w:jc w:val="center"/>
        </w:trPr>
        <w:tc>
          <w:tcPr>
            <w:tcW w:w="5228" w:type="dxa"/>
          </w:tcPr>
          <w:p w14:paraId="634D3FDC" w14:textId="77777777" w:rsidR="00BA2560" w:rsidRDefault="00BA2560" w:rsidP="00BA2560">
            <w:pPr>
              <w:keepNext/>
              <w:spacing w:before="0" w:after="0"/>
              <w:jc w:val="center"/>
            </w:pPr>
            <w:r>
              <w:rPr>
                <w:noProof/>
              </w:rPr>
              <w:drawing>
                <wp:inline distT="0" distB="0" distL="0" distR="0" wp14:anchorId="4EE730E3" wp14:editId="7A59A271">
                  <wp:extent cx="3384000" cy="2524762"/>
                  <wp:effectExtent l="0" t="0" r="6985" b="8890"/>
                  <wp:docPr id="52" name="Chart 52">
                    <a:extLst xmlns:a="http://schemas.openxmlformats.org/drawingml/2006/main">
                      <a:ext uri="{FF2B5EF4-FFF2-40B4-BE49-F238E27FC236}">
                        <a16:creationId xmlns:a16="http://schemas.microsoft.com/office/drawing/2014/main" id="{D15311B2-3585-472A-9173-B5D2CBEAB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D23BA4C" w14:textId="2373F7BA" w:rsidR="00BA2560" w:rsidRDefault="00BA2560" w:rsidP="00BA2560">
            <w:pPr>
              <w:pStyle w:val="Caption"/>
              <w:spacing w:before="0"/>
            </w:pPr>
            <w:r>
              <w:t xml:space="preserve">Figure </w:t>
            </w:r>
            <w:fldSimple w:instr=" SEQ Figure \* ARABIC ">
              <w:r w:rsidR="00BA3169">
                <w:rPr>
                  <w:noProof/>
                </w:rPr>
                <w:t>41</w:t>
              </w:r>
            </w:fldSimple>
            <w:r>
              <w:t>: L</w:t>
            </w:r>
            <w:r>
              <w:rPr>
                <w:noProof/>
              </w:rPr>
              <w:t>ocal transportation capacity for PSA learning rates, 2045.</w:t>
            </w:r>
          </w:p>
        </w:tc>
        <w:tc>
          <w:tcPr>
            <w:tcW w:w="5228" w:type="dxa"/>
          </w:tcPr>
          <w:p w14:paraId="7AC78D63" w14:textId="77777777" w:rsidR="00BA2560" w:rsidRDefault="00BA2560" w:rsidP="00BA2560">
            <w:pPr>
              <w:keepNext/>
              <w:spacing w:before="0" w:after="0"/>
              <w:jc w:val="center"/>
            </w:pPr>
            <w:r>
              <w:rPr>
                <w:noProof/>
              </w:rPr>
              <w:drawing>
                <wp:inline distT="0" distB="0" distL="0" distR="0" wp14:anchorId="31D007A6" wp14:editId="345F7285">
                  <wp:extent cx="3388762" cy="2524762"/>
                  <wp:effectExtent l="0" t="0" r="2540" b="8890"/>
                  <wp:docPr id="53" name="Chart 53">
                    <a:extLst xmlns:a="http://schemas.openxmlformats.org/drawingml/2006/main">
                      <a:ext uri="{FF2B5EF4-FFF2-40B4-BE49-F238E27FC236}">
                        <a16:creationId xmlns:a16="http://schemas.microsoft.com/office/drawing/2014/main" id="{4117091A-A818-40B9-9267-0A4F042FED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EAEDC57" w14:textId="32F35D7B" w:rsidR="00BA2560" w:rsidRDefault="00BA2560" w:rsidP="00BA2560">
            <w:pPr>
              <w:pStyle w:val="Caption"/>
              <w:spacing w:before="0"/>
            </w:pPr>
            <w:bookmarkStart w:id="103" w:name="_Ref57286655"/>
            <w:r>
              <w:t xml:space="preserve">Figure </w:t>
            </w:r>
            <w:fldSimple w:instr=" SEQ Figure \* ARABIC ">
              <w:r w:rsidR="00BA3169">
                <w:rPr>
                  <w:noProof/>
                </w:rPr>
                <w:t>42</w:t>
              </w:r>
            </w:fldSimple>
            <w:bookmarkEnd w:id="103"/>
            <w:r>
              <w:t>: L</w:t>
            </w:r>
            <w:r>
              <w:rPr>
                <w:noProof/>
              </w:rPr>
              <w:t>ocal transportation capacity for PSA learning rates, 2050.</w:t>
            </w:r>
          </w:p>
        </w:tc>
      </w:tr>
    </w:tbl>
    <w:p w14:paraId="2B710F22" w14:textId="77777777" w:rsidR="008E7740" w:rsidRDefault="008E7740" w:rsidP="00450DD1">
      <w:pPr>
        <w:sectPr w:rsidR="008E7740" w:rsidSect="00BA2560">
          <w:type w:val="continuous"/>
          <w:pgSz w:w="11906" w:h="16838"/>
          <w:pgMar w:top="720" w:right="720" w:bottom="720" w:left="720" w:header="708" w:footer="708" w:gutter="0"/>
          <w:cols w:space="708"/>
          <w:docGrid w:linePitch="360"/>
        </w:sect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2822"/>
        <w:gridCol w:w="2821"/>
        <w:gridCol w:w="2001"/>
      </w:tblGrid>
      <w:tr w:rsidR="00F161B1" w14:paraId="5DCCF3E0" w14:textId="77777777" w:rsidTr="008E7740">
        <w:tc>
          <w:tcPr>
            <w:tcW w:w="2822" w:type="dxa"/>
          </w:tcPr>
          <w:p w14:paraId="59900842" w14:textId="77777777" w:rsidR="00F161B1" w:rsidRDefault="00F161B1" w:rsidP="00602CB3">
            <w:pPr>
              <w:keepNext/>
              <w:spacing w:before="0" w:after="0"/>
              <w:jc w:val="center"/>
            </w:pPr>
            <w:r>
              <w:rPr>
                <w:noProof/>
              </w:rPr>
              <w:lastRenderedPageBreak/>
              <w:drawing>
                <wp:inline distT="0" distB="0" distL="0" distR="0" wp14:anchorId="5ACB67E9" wp14:editId="716831F6">
                  <wp:extent cx="1799272" cy="35479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346" t="4354" r="1812" b="935"/>
                          <a:stretch/>
                        </pic:blipFill>
                        <pic:spPr bwMode="auto">
                          <a:xfrm>
                            <a:off x="0" y="0"/>
                            <a:ext cx="1799590" cy="3548534"/>
                          </a:xfrm>
                          <a:prstGeom prst="rect">
                            <a:avLst/>
                          </a:prstGeom>
                          <a:noFill/>
                          <a:ln>
                            <a:noFill/>
                          </a:ln>
                          <a:extLst>
                            <a:ext uri="{53640926-AAD7-44D8-BBD7-CCE9431645EC}">
                              <a14:shadowObscured xmlns:a14="http://schemas.microsoft.com/office/drawing/2010/main"/>
                            </a:ext>
                          </a:extLst>
                        </pic:spPr>
                      </pic:pic>
                    </a:graphicData>
                  </a:graphic>
                </wp:inline>
              </w:drawing>
            </w:r>
          </w:p>
          <w:p w14:paraId="298891F2" w14:textId="3D561964" w:rsidR="00F161B1" w:rsidRDefault="00F161B1" w:rsidP="00602CB3">
            <w:pPr>
              <w:pStyle w:val="Caption"/>
              <w:spacing w:before="0"/>
            </w:pPr>
            <w:bookmarkStart w:id="104" w:name="_Ref57272926"/>
            <w:r>
              <w:t xml:space="preserve">Figure </w:t>
            </w:r>
            <w:fldSimple w:instr=" SEQ Figure \* ARABIC ">
              <w:r w:rsidR="00BA3169">
                <w:rPr>
                  <w:noProof/>
                </w:rPr>
                <w:t>43</w:t>
              </w:r>
            </w:fldSimple>
            <w:bookmarkEnd w:id="104"/>
            <w:r>
              <w:t>: Installed GDN blending capacity with a learning rate of 2%</w:t>
            </w:r>
            <w:r w:rsidR="00602CB3">
              <w:t>, 2040.</w:t>
            </w:r>
          </w:p>
        </w:tc>
        <w:tc>
          <w:tcPr>
            <w:tcW w:w="2822" w:type="dxa"/>
          </w:tcPr>
          <w:p w14:paraId="40FB4991" w14:textId="77777777" w:rsidR="00F161B1" w:rsidRDefault="00F161B1" w:rsidP="00602CB3">
            <w:pPr>
              <w:keepNext/>
              <w:spacing w:before="0" w:after="0"/>
              <w:jc w:val="center"/>
            </w:pPr>
            <w:r>
              <w:rPr>
                <w:noProof/>
              </w:rPr>
              <w:drawing>
                <wp:inline distT="0" distB="0" distL="0" distR="0" wp14:anchorId="42D6978F" wp14:editId="6FE2106A">
                  <wp:extent cx="1799437" cy="3558865"/>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009" t="6123" r="2148" b="636"/>
                          <a:stretch/>
                        </pic:blipFill>
                        <pic:spPr bwMode="auto">
                          <a:xfrm>
                            <a:off x="0" y="0"/>
                            <a:ext cx="1800000" cy="3559978"/>
                          </a:xfrm>
                          <a:prstGeom prst="rect">
                            <a:avLst/>
                          </a:prstGeom>
                          <a:noFill/>
                          <a:ln>
                            <a:noFill/>
                          </a:ln>
                          <a:extLst>
                            <a:ext uri="{53640926-AAD7-44D8-BBD7-CCE9431645EC}">
                              <a14:shadowObscured xmlns:a14="http://schemas.microsoft.com/office/drawing/2010/main"/>
                            </a:ext>
                          </a:extLst>
                        </pic:spPr>
                      </pic:pic>
                    </a:graphicData>
                  </a:graphic>
                </wp:inline>
              </w:drawing>
            </w:r>
          </w:p>
          <w:p w14:paraId="7753AB35" w14:textId="2B18E5C6" w:rsidR="00F161B1" w:rsidRDefault="00F161B1" w:rsidP="00602CB3">
            <w:pPr>
              <w:pStyle w:val="Caption"/>
              <w:spacing w:before="0"/>
            </w:pPr>
            <w:bookmarkStart w:id="105" w:name="_Ref57272928"/>
            <w:r>
              <w:t xml:space="preserve">Figure </w:t>
            </w:r>
            <w:fldSimple w:instr=" SEQ Figure \* ARABIC ">
              <w:r w:rsidR="00BA3169">
                <w:rPr>
                  <w:noProof/>
                </w:rPr>
                <w:t>44</w:t>
              </w:r>
            </w:fldSimple>
            <w:bookmarkEnd w:id="105"/>
            <w:r>
              <w:t>: Installed GDN blending capacity with a learning rate of 8%</w:t>
            </w:r>
            <w:r w:rsidR="00602CB3">
              <w:t>, 2040</w:t>
            </w:r>
            <w:r>
              <w:t>.</w:t>
            </w:r>
          </w:p>
        </w:tc>
        <w:tc>
          <w:tcPr>
            <w:tcW w:w="2821" w:type="dxa"/>
          </w:tcPr>
          <w:p w14:paraId="2DFD14DB" w14:textId="77777777" w:rsidR="00F161B1" w:rsidRDefault="00F161B1" w:rsidP="00602CB3">
            <w:pPr>
              <w:keepNext/>
              <w:spacing w:before="0" w:after="0"/>
              <w:jc w:val="center"/>
            </w:pPr>
            <w:r>
              <w:rPr>
                <w:noProof/>
              </w:rPr>
              <w:drawing>
                <wp:inline distT="0" distB="0" distL="0" distR="0" wp14:anchorId="68269F0B" wp14:editId="16F2890C">
                  <wp:extent cx="1799355" cy="3558702"/>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345" t="5031" r="1812" b="735"/>
                          <a:stretch/>
                        </pic:blipFill>
                        <pic:spPr bwMode="auto">
                          <a:xfrm>
                            <a:off x="0" y="0"/>
                            <a:ext cx="1800000" cy="3559977"/>
                          </a:xfrm>
                          <a:prstGeom prst="rect">
                            <a:avLst/>
                          </a:prstGeom>
                          <a:noFill/>
                          <a:ln>
                            <a:noFill/>
                          </a:ln>
                          <a:extLst>
                            <a:ext uri="{53640926-AAD7-44D8-BBD7-CCE9431645EC}">
                              <a14:shadowObscured xmlns:a14="http://schemas.microsoft.com/office/drawing/2010/main"/>
                            </a:ext>
                          </a:extLst>
                        </pic:spPr>
                      </pic:pic>
                    </a:graphicData>
                  </a:graphic>
                </wp:inline>
              </w:drawing>
            </w:r>
          </w:p>
          <w:p w14:paraId="5FDBF63B" w14:textId="7533AB9A" w:rsidR="00F161B1" w:rsidRDefault="00F161B1" w:rsidP="00602CB3">
            <w:pPr>
              <w:pStyle w:val="Caption"/>
              <w:spacing w:before="0"/>
            </w:pPr>
            <w:r>
              <w:t xml:space="preserve">Figure </w:t>
            </w:r>
            <w:fldSimple w:instr=" SEQ Figure \* ARABIC ">
              <w:r w:rsidR="00BA3169">
                <w:rPr>
                  <w:noProof/>
                </w:rPr>
                <w:t>45</w:t>
              </w:r>
            </w:fldSimple>
            <w:r>
              <w:t>: Installed GDN blending capacity with a learning rate of 15%</w:t>
            </w:r>
            <w:r w:rsidR="00602CB3">
              <w:t>, 2040.</w:t>
            </w:r>
          </w:p>
        </w:tc>
        <w:tc>
          <w:tcPr>
            <w:tcW w:w="2001" w:type="dxa"/>
          </w:tcPr>
          <w:p w14:paraId="14821785" w14:textId="3E775690" w:rsidR="00F161B1" w:rsidRDefault="00F161B1" w:rsidP="00F161B1">
            <w:pPr>
              <w:spacing w:before="0" w:after="0"/>
            </w:pPr>
            <w:r>
              <w:rPr>
                <w:noProof/>
              </w:rPr>
              <w:drawing>
                <wp:inline distT="0" distB="0" distL="0" distR="0" wp14:anchorId="5A897D67" wp14:editId="1C7D0E9C">
                  <wp:extent cx="1275907" cy="1755952"/>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54529" cy="1864154"/>
                          </a:xfrm>
                          <a:prstGeom prst="rect">
                            <a:avLst/>
                          </a:prstGeom>
                          <a:noFill/>
                        </pic:spPr>
                      </pic:pic>
                    </a:graphicData>
                  </a:graphic>
                </wp:inline>
              </w:drawing>
            </w:r>
          </w:p>
        </w:tc>
      </w:tr>
      <w:tr w:rsidR="00F161B1" w14:paraId="7337F712" w14:textId="77777777" w:rsidTr="008E7740">
        <w:tc>
          <w:tcPr>
            <w:tcW w:w="2822" w:type="dxa"/>
          </w:tcPr>
          <w:p w14:paraId="134D2661" w14:textId="77777777" w:rsidR="00F161B1" w:rsidRDefault="00F161B1" w:rsidP="00602CB3">
            <w:pPr>
              <w:keepNext/>
              <w:spacing w:before="0" w:after="0"/>
              <w:jc w:val="center"/>
            </w:pPr>
            <w:r>
              <w:rPr>
                <w:noProof/>
              </w:rPr>
              <w:drawing>
                <wp:inline distT="0" distB="0" distL="0" distR="0" wp14:anchorId="7A3F5BA5" wp14:editId="0439908F">
                  <wp:extent cx="1800000" cy="358745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45" t="3665" r="2148" b="1064"/>
                          <a:stretch/>
                        </pic:blipFill>
                        <pic:spPr bwMode="auto">
                          <a:xfrm>
                            <a:off x="0" y="0"/>
                            <a:ext cx="1800000" cy="3587456"/>
                          </a:xfrm>
                          <a:prstGeom prst="rect">
                            <a:avLst/>
                          </a:prstGeom>
                          <a:noFill/>
                          <a:ln>
                            <a:noFill/>
                          </a:ln>
                          <a:extLst>
                            <a:ext uri="{53640926-AAD7-44D8-BBD7-CCE9431645EC}">
                              <a14:shadowObscured xmlns:a14="http://schemas.microsoft.com/office/drawing/2010/main"/>
                            </a:ext>
                          </a:extLst>
                        </pic:spPr>
                      </pic:pic>
                    </a:graphicData>
                  </a:graphic>
                </wp:inline>
              </w:drawing>
            </w:r>
          </w:p>
          <w:p w14:paraId="1AB4B8CF" w14:textId="5A4B2882" w:rsidR="00F161B1" w:rsidRDefault="00F161B1" w:rsidP="00602CB3">
            <w:pPr>
              <w:pStyle w:val="Caption"/>
              <w:spacing w:before="0"/>
            </w:pPr>
            <w:r>
              <w:t xml:space="preserve">Figure </w:t>
            </w:r>
            <w:fldSimple w:instr=" SEQ Figure \* ARABIC ">
              <w:r w:rsidR="00BA3169">
                <w:rPr>
                  <w:noProof/>
                </w:rPr>
                <w:t>46</w:t>
              </w:r>
            </w:fldSimple>
            <w:r>
              <w:t>: Installed GDN blending capacity with a learning rate of 2%</w:t>
            </w:r>
            <w:r w:rsidR="00602CB3">
              <w:t>, 2050</w:t>
            </w:r>
            <w:r>
              <w:t>.</w:t>
            </w:r>
          </w:p>
        </w:tc>
        <w:tc>
          <w:tcPr>
            <w:tcW w:w="2822" w:type="dxa"/>
          </w:tcPr>
          <w:p w14:paraId="5BF8CDEF" w14:textId="77777777" w:rsidR="00F161B1" w:rsidRDefault="00F161B1" w:rsidP="00602CB3">
            <w:pPr>
              <w:keepNext/>
              <w:spacing w:before="0" w:after="0"/>
              <w:jc w:val="center"/>
            </w:pPr>
            <w:r>
              <w:rPr>
                <w:noProof/>
              </w:rPr>
              <w:drawing>
                <wp:inline distT="0" distB="0" distL="0" distR="0" wp14:anchorId="5E83F2E7" wp14:editId="041223A0">
                  <wp:extent cx="1800000" cy="356885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009" t="5095" r="1811" b="741"/>
                          <a:stretch/>
                        </pic:blipFill>
                        <pic:spPr bwMode="auto">
                          <a:xfrm>
                            <a:off x="0" y="0"/>
                            <a:ext cx="1800000" cy="3568858"/>
                          </a:xfrm>
                          <a:prstGeom prst="rect">
                            <a:avLst/>
                          </a:prstGeom>
                          <a:noFill/>
                          <a:ln>
                            <a:noFill/>
                          </a:ln>
                          <a:extLst>
                            <a:ext uri="{53640926-AAD7-44D8-BBD7-CCE9431645EC}">
                              <a14:shadowObscured xmlns:a14="http://schemas.microsoft.com/office/drawing/2010/main"/>
                            </a:ext>
                          </a:extLst>
                        </pic:spPr>
                      </pic:pic>
                    </a:graphicData>
                  </a:graphic>
                </wp:inline>
              </w:drawing>
            </w:r>
          </w:p>
          <w:p w14:paraId="2222AE46" w14:textId="105DDCEB" w:rsidR="00F161B1" w:rsidRDefault="00F161B1" w:rsidP="00602CB3">
            <w:pPr>
              <w:pStyle w:val="Caption"/>
              <w:spacing w:before="0"/>
            </w:pPr>
            <w:r>
              <w:t xml:space="preserve">Figure </w:t>
            </w:r>
            <w:fldSimple w:instr=" SEQ Figure \* ARABIC ">
              <w:r w:rsidR="00BA3169">
                <w:rPr>
                  <w:noProof/>
                </w:rPr>
                <w:t>47</w:t>
              </w:r>
            </w:fldSimple>
            <w:r>
              <w:t>: Installed GDN blending capacity with a learning rate of 8%</w:t>
            </w:r>
            <w:r w:rsidR="00602CB3">
              <w:t>, 2050.</w:t>
            </w:r>
          </w:p>
        </w:tc>
        <w:tc>
          <w:tcPr>
            <w:tcW w:w="2821" w:type="dxa"/>
          </w:tcPr>
          <w:p w14:paraId="655541D4" w14:textId="77777777" w:rsidR="00F161B1" w:rsidRDefault="00F161B1" w:rsidP="00602CB3">
            <w:pPr>
              <w:keepNext/>
              <w:spacing w:before="0" w:after="0"/>
              <w:jc w:val="center"/>
            </w:pPr>
            <w:r>
              <w:rPr>
                <w:noProof/>
              </w:rPr>
              <w:drawing>
                <wp:inline distT="0" distB="0" distL="0" distR="0" wp14:anchorId="7DF9433D" wp14:editId="70BCB774">
                  <wp:extent cx="1798955" cy="3557911"/>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009" t="5498" r="2148" b="768"/>
                          <a:stretch/>
                        </pic:blipFill>
                        <pic:spPr bwMode="auto">
                          <a:xfrm>
                            <a:off x="0" y="0"/>
                            <a:ext cx="1800000" cy="3559978"/>
                          </a:xfrm>
                          <a:prstGeom prst="rect">
                            <a:avLst/>
                          </a:prstGeom>
                          <a:noFill/>
                          <a:ln>
                            <a:noFill/>
                          </a:ln>
                          <a:extLst>
                            <a:ext uri="{53640926-AAD7-44D8-BBD7-CCE9431645EC}">
                              <a14:shadowObscured xmlns:a14="http://schemas.microsoft.com/office/drawing/2010/main"/>
                            </a:ext>
                          </a:extLst>
                        </pic:spPr>
                      </pic:pic>
                    </a:graphicData>
                  </a:graphic>
                </wp:inline>
              </w:drawing>
            </w:r>
          </w:p>
          <w:p w14:paraId="27847B70" w14:textId="7BF0E71A" w:rsidR="00F161B1" w:rsidRDefault="00F161B1" w:rsidP="00602CB3">
            <w:pPr>
              <w:pStyle w:val="Caption"/>
              <w:spacing w:before="0"/>
            </w:pPr>
            <w:bookmarkStart w:id="106" w:name="_Ref57272935"/>
            <w:r>
              <w:t xml:space="preserve">Figure </w:t>
            </w:r>
            <w:fldSimple w:instr=" SEQ Figure \* ARABIC ">
              <w:r w:rsidR="00BA3169">
                <w:rPr>
                  <w:noProof/>
                </w:rPr>
                <w:t>48</w:t>
              </w:r>
            </w:fldSimple>
            <w:bookmarkEnd w:id="106"/>
            <w:r>
              <w:t>: Installed GDN blending capacity with a learning rate of 15%</w:t>
            </w:r>
            <w:r w:rsidR="00602CB3">
              <w:t>, 2050.</w:t>
            </w:r>
          </w:p>
        </w:tc>
        <w:tc>
          <w:tcPr>
            <w:tcW w:w="2001" w:type="dxa"/>
          </w:tcPr>
          <w:p w14:paraId="20804085" w14:textId="77777777" w:rsidR="00F161B1" w:rsidRDefault="00F161B1" w:rsidP="00F161B1">
            <w:pPr>
              <w:spacing w:before="0" w:after="0"/>
            </w:pPr>
          </w:p>
        </w:tc>
      </w:tr>
    </w:tbl>
    <w:p w14:paraId="0214B011" w14:textId="77777777" w:rsidR="00602CB3" w:rsidRDefault="00602CB3" w:rsidP="00450DD1">
      <w:pPr>
        <w:sectPr w:rsidR="00602CB3" w:rsidSect="00F161B1">
          <w:type w:val="continuous"/>
          <w:pgSz w:w="11906" w:h="16838"/>
          <w:pgMar w:top="720" w:right="720" w:bottom="720" w:left="720" w:header="708" w:footer="708" w:gutter="0"/>
          <w:cols w:space="708"/>
          <w:docGrid w:linePitch="360"/>
        </w:sectPr>
      </w:pPr>
    </w:p>
    <w:p w14:paraId="64BDD69A" w14:textId="6A41504B" w:rsidR="00450DD1" w:rsidRDefault="00F31576" w:rsidP="00450DD1">
      <w:r>
        <w:lastRenderedPageBreak/>
        <w:t>T</w:t>
      </w:r>
      <w:r w:rsidR="00450DD1">
        <w:t>he total discounted cost is largely affected by the prevention of repurposing the gas distribution network. With the original learning rate of a PSA system at 2.5%, the total discounted cost would lie between the value of 70.1 – 69.2 £bn,</w:t>
      </w:r>
      <w:r>
        <w:t xml:space="preserve"> representing</w:t>
      </w:r>
      <w:r w:rsidR="00450DD1">
        <w:t xml:space="preserve"> an additional cost of £4.7 – £3.8 billion compar</w:t>
      </w:r>
      <w:r w:rsidR="00AE0F71">
        <w:t>ed</w:t>
      </w:r>
      <w:r w:rsidR="00450DD1">
        <w:t xml:space="preserve"> to the base case</w:t>
      </w:r>
      <w:r w:rsidR="00AE0F71">
        <w:t xml:space="preserve"> -</w:t>
      </w:r>
      <w:r w:rsidR="00450DD1">
        <w:t xml:space="preserve"> mid carbon price scenario. This highlights the possible cost savings that could be attained from repurposing the hydrogen distribution network to supply 100% hydrogen. On the other end of the spectrum, with a learning rate of 15%, the TDC is £62.6, which equates to £5.91 per kg of hydrogen, </w:t>
      </w:r>
      <w:r w:rsidR="00AE0F71">
        <w:t>placing t</w:t>
      </w:r>
      <w:r w:rsidR="00450DD1">
        <w:t>he cost of hydrogen</w:t>
      </w:r>
      <w:r w:rsidR="00AE0F71">
        <w:t>-</w:t>
      </w:r>
      <w:r w:rsidR="00450DD1">
        <w:t>at</w:t>
      </w:r>
      <w:r w:rsidR="00AE0F71">
        <w:t>-</w:t>
      </w:r>
      <w:r w:rsidR="00450DD1">
        <w:t xml:space="preserve">pump more </w:t>
      </w:r>
      <w:r w:rsidR="00AE0F71">
        <w:t>within the values</w:t>
      </w:r>
      <w:r w:rsidR="00450DD1">
        <w:t xml:space="preserve"> found by</w:t>
      </w:r>
      <w:r w:rsidR="00AE0F71">
        <w:t xml:space="preserve"> Moreno-</w:t>
      </w:r>
      <w:r w:rsidR="00450DD1">
        <w:t xml:space="preserve">Benito </w:t>
      </w:r>
      <w:r w:rsidR="00450DD1">
        <w:rPr>
          <w:i/>
          <w:iCs/>
        </w:rPr>
        <w:t>et al.</w:t>
      </w:r>
      <w:r w:rsidR="009431D1" w:rsidRPr="009431D1">
        <w:fldChar w:fldCharType="begin"/>
      </w:r>
      <w:r w:rsidR="00F715A1">
        <w:instrText xml:space="preserve"> ADDIN EN.CITE &lt;EndNote&gt;&lt;Cite&gt;&lt;Author&gt;Moreno-Benito&lt;/Author&gt;&lt;Year&gt;2017&lt;/Year&gt;&lt;RecNum&gt;1098&lt;/RecNum&gt;&lt;DisplayText&gt;[33]&lt;/DisplayText&gt;&lt;record&gt;&lt;rec-number&gt;1098&lt;/rec-number&gt;&lt;foreign-keys&gt;&lt;key app="EN" db-id="w500zpaaheraz8epaw1p29dtf2ff9zrswv50" timestamp="1607697901"&gt;1098&lt;/key&gt;&lt;/foreign-keys&gt;&lt;ref-type name="Journal Article"&gt;17&lt;/ref-type&gt;&lt;contributors&gt;&lt;authors&gt;&lt;author&gt;Moreno-Benito, Marta&lt;/author&gt;&lt;author&gt;Agnolucci, Paolo&lt;/author&gt;&lt;author&gt;Papageorgiou, Lazaros G.&lt;/author&gt;&lt;/authors&gt;&lt;/contributors&gt;&lt;titles&gt;&lt;title&gt;Towards a sustainable hydrogen economy: Optimisation-based framework for hydrogen infrastructure development&lt;/title&gt;&lt;secondary-title&gt;Computers &amp;amp; Chemical Engineering&lt;/secondary-title&gt;&lt;/titles&gt;&lt;periodical&gt;&lt;full-title&gt;Computers &amp;amp; Chemical Engineering&lt;/full-title&gt;&lt;/periodical&gt;&lt;pages&gt;110-127&lt;/pages&gt;&lt;volume&gt;102&lt;/volume&gt;&lt;dates&gt;&lt;year&gt;2017&lt;/year&gt;&lt;/dates&gt;&lt;publisher&gt;Pergamon&lt;/publisher&gt;&lt;urls&gt;&lt;related-urls&gt;&lt;url&gt;https://www.sciencedirect.com/science/article/pii/S0098135416302666&lt;/url&gt;&lt;/related-urls&gt;&lt;pdf-urls&gt;&lt;url&gt;file://Users\David\Library\Application Support\Mendeley Desktop\Downloaded\Moreno-Benito, Agnolucci, Papageorgiou - 2017 - Towards a sustainable hydrogen economy Optimisation-based framework for hydrogen infrast.pdf&lt;/url&gt;&lt;/pdf-urls&gt;&lt;/urls&gt;&lt;electronic-resource-num&gt;10.1016/J.COMPCHEMENG.2016.08.005&lt;/electronic-resource-num&gt;&lt;/record&gt;&lt;/Cite&gt;&lt;/EndNote&gt;</w:instrText>
      </w:r>
      <w:r w:rsidR="009431D1" w:rsidRPr="009431D1">
        <w:fldChar w:fldCharType="separate"/>
      </w:r>
      <w:r w:rsidR="00F715A1">
        <w:rPr>
          <w:noProof/>
        </w:rPr>
        <w:t>[</w:t>
      </w:r>
      <w:hyperlink w:anchor="_ENREF_33" w:tooltip="Moreno-Benito, 2017 #1098" w:history="1">
        <w:r w:rsidR="006210AE">
          <w:rPr>
            <w:noProof/>
          </w:rPr>
          <w:t>33</w:t>
        </w:r>
      </w:hyperlink>
      <w:r w:rsidR="00F715A1">
        <w:rPr>
          <w:noProof/>
        </w:rPr>
        <w:t>]</w:t>
      </w:r>
      <w:r w:rsidR="009431D1" w:rsidRPr="009431D1">
        <w:fldChar w:fldCharType="end"/>
      </w:r>
      <w:r w:rsidR="00450DD1">
        <w:t>. This shows that with high PSA learning rate</w:t>
      </w:r>
      <w:r w:rsidR="00AE0F71">
        <w:t>s</w:t>
      </w:r>
      <w:r w:rsidR="00450DD1">
        <w:t xml:space="preserve">, the TDC may be lower than that </w:t>
      </w:r>
      <w:r w:rsidR="00AE0F71">
        <w:t xml:space="preserve">found </w:t>
      </w:r>
      <w:r w:rsidR="00450DD1">
        <w:t>in the base case. However, th</w:t>
      </w:r>
      <w:r w:rsidR="00AE0F71">
        <w:t>ese</w:t>
      </w:r>
      <w:r w:rsidR="00450DD1">
        <w:t xml:space="preserve"> result</w:t>
      </w:r>
      <w:r w:rsidR="00AE0F71">
        <w:t>s</w:t>
      </w:r>
      <w:r w:rsidR="00450DD1">
        <w:t xml:space="preserve"> must be critically analysed from two main points. Firstly, since PSA is a well-established technology, a high learning rate would be unlikely, and thus the same level of adoption of blending into the GDN would not be cost effective. Secondly, even if PSA does experience a learning rate of 15%, the model chooses to install new pipelines for local distribution in all zones up to 2030</w:t>
      </w:r>
      <w:r w:rsidR="00AE0F71">
        <w:t xml:space="preserve">. </w:t>
      </w:r>
      <w:r w:rsidR="00450DD1">
        <w:t>The approach of installing new pipelines up until 2030 and then starting to blend into the GDN</w:t>
      </w:r>
      <w:r w:rsidR="00F708BC">
        <w:t>,</w:t>
      </w:r>
      <w:r w:rsidR="00450DD1">
        <w:t xml:space="preserve"> could</w:t>
      </w:r>
      <w:r w:rsidR="00AE0F71">
        <w:t xml:space="preserve"> be the cost-optimal solution, but </w:t>
      </w:r>
      <w:r w:rsidR="00F708BC">
        <w:t xml:space="preserve">might be </w:t>
      </w:r>
      <w:r w:rsidR="00AE0F71">
        <w:t>impractical</w:t>
      </w:r>
      <w:r w:rsidR="00F708BC">
        <w:t>. A higher spatial detail (individual pipe-level) would be needed to analyse the rationality of this pathway, to ensure that</w:t>
      </w:r>
      <w:r w:rsidR="00450DD1">
        <w:t xml:space="preserve"> newly fit-for-purpose pipelines </w:t>
      </w:r>
      <w:r w:rsidR="00F708BC">
        <w:t xml:space="preserve">do not end </w:t>
      </w:r>
      <w:r w:rsidR="00450DD1">
        <w:t>as a redundant asset, thus leading to the same problem that repurposing/blending hydrogen into the GDN was trying to combat in the first place.</w:t>
      </w:r>
    </w:p>
    <w:p w14:paraId="45C6E224" w14:textId="77777777" w:rsidR="00C95111" w:rsidRDefault="00C95111" w:rsidP="00C95111">
      <w:pPr>
        <w:keepNext/>
        <w:jc w:val="center"/>
      </w:pPr>
      <w:r>
        <w:rPr>
          <w:noProof/>
        </w:rPr>
        <w:drawing>
          <wp:inline distT="0" distB="0" distL="0" distR="0" wp14:anchorId="78EE7650" wp14:editId="604ADCC4">
            <wp:extent cx="4564811" cy="2719668"/>
            <wp:effectExtent l="0" t="0" r="7620" b="5080"/>
            <wp:docPr id="13" name="Chart 13">
              <a:extLst xmlns:a="http://schemas.openxmlformats.org/drawingml/2006/main">
                <a:ext uri="{FF2B5EF4-FFF2-40B4-BE49-F238E27FC236}">
                  <a16:creationId xmlns:a16="http://schemas.microsoft.com/office/drawing/2014/main" id="{D7A96EBC-DC89-444C-AB5E-44E655878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168B83E" w14:textId="63DED870" w:rsidR="00C95111" w:rsidRDefault="00C95111" w:rsidP="00C95111">
      <w:pPr>
        <w:pStyle w:val="Caption"/>
      </w:pPr>
      <w:r>
        <w:t xml:space="preserve">Figure </w:t>
      </w:r>
      <w:fldSimple w:instr=" SEQ Figure \* ARABIC ">
        <w:r w:rsidR="00BA3169">
          <w:rPr>
            <w:noProof/>
          </w:rPr>
          <w:t>49</w:t>
        </w:r>
      </w:fldSimple>
      <w:r>
        <w:t>: Hydrogen production costs for different PSA learning rate scenarios</w:t>
      </w:r>
    </w:p>
    <w:p w14:paraId="1EC31258" w14:textId="7B98FE9D" w:rsidR="00450DD1" w:rsidRDefault="00A36FB5" w:rsidP="00450DD1">
      <w:bookmarkStart w:id="107" w:name="_Hlk57230172"/>
      <w:r>
        <w:t>With regards to varying the h</w:t>
      </w:r>
      <w:r w:rsidRPr="00F80D9E">
        <w:t xml:space="preserve">ybrid </w:t>
      </w:r>
      <w:r>
        <w:t>m</w:t>
      </w:r>
      <w:r w:rsidRPr="00F80D9E">
        <w:t xml:space="preserve">embrane </w:t>
      </w:r>
      <w:r>
        <w:t>s</w:t>
      </w:r>
      <w:r w:rsidRPr="00F80D9E">
        <w:t xml:space="preserve">ystem </w:t>
      </w:r>
      <w:r>
        <w:t>l</w:t>
      </w:r>
      <w:r w:rsidRPr="00F80D9E">
        <w:t xml:space="preserve">earning </w:t>
      </w:r>
      <w:r>
        <w:t>rates,</w:t>
      </w:r>
      <w:r w:rsidR="00316D53">
        <w:t xml:space="preserve"> the </w:t>
      </w:r>
      <w:r w:rsidR="00F80D9E">
        <w:t xml:space="preserve">effect </w:t>
      </w:r>
      <w:r w:rsidR="00316D53">
        <w:t>on</w:t>
      </w:r>
      <w:r w:rsidR="00F80D9E">
        <w:t xml:space="preserve"> t</w:t>
      </w:r>
      <w:r w:rsidR="00450DD1">
        <w:t>he hydrogen supply chain configuration</w:t>
      </w:r>
      <w:r w:rsidR="00F80D9E">
        <w:t xml:space="preserve"> was very small</w:t>
      </w:r>
      <w:r w:rsidR="00450DD1">
        <w:t xml:space="preserve">. </w:t>
      </w:r>
      <w:r w:rsidR="00F80D9E">
        <w:t xml:space="preserve">The analysis was therefore </w:t>
      </w:r>
      <w:r w:rsidR="00450DD1">
        <w:t>extend</w:t>
      </w:r>
      <w:r w:rsidR="00F80D9E">
        <w:t>ed for</w:t>
      </w:r>
      <w:r w:rsidR="00450DD1">
        <w:t xml:space="preserve"> learning rate</w:t>
      </w:r>
      <w:r w:rsidR="00F80D9E">
        <w:t>s</w:t>
      </w:r>
      <w:r w:rsidR="00450DD1">
        <w:t xml:space="preserve"> of up to 25%</w:t>
      </w:r>
      <w:r w:rsidR="00F80D9E">
        <w:t xml:space="preserve">. </w:t>
      </w:r>
      <w:r w:rsidR="00F80D9E">
        <w:fldChar w:fldCharType="begin"/>
      </w:r>
      <w:r w:rsidR="00F80D9E">
        <w:instrText xml:space="preserve"> REF _Ref57232620 \h </w:instrText>
      </w:r>
      <w:r w:rsidR="00F80D9E">
        <w:fldChar w:fldCharType="separate"/>
      </w:r>
      <w:r w:rsidR="00BA3169">
        <w:t xml:space="preserve">Figure </w:t>
      </w:r>
      <w:r w:rsidR="00BA3169">
        <w:rPr>
          <w:noProof/>
        </w:rPr>
        <w:t>50</w:t>
      </w:r>
      <w:r w:rsidR="00F80D9E">
        <w:fldChar w:fldCharType="end"/>
      </w:r>
      <w:r w:rsidR="00F80D9E">
        <w:t xml:space="preserve"> shows the total participation of blending</w:t>
      </w:r>
      <w:r w:rsidR="00316D53">
        <w:t xml:space="preserve"> hydrogen</w:t>
      </w:r>
      <w:r w:rsidR="00F80D9E">
        <w:t xml:space="preserve"> into the GDN </w:t>
      </w:r>
      <w:r w:rsidR="00316D53">
        <w:t>as a percentage of the total distribution capacity. The results obtained for all learning rate variations between 0 and 12% were the same. A</w:t>
      </w:r>
      <w:r w:rsidR="00F80D9E">
        <w:t xml:space="preserve">s shown in </w:t>
      </w:r>
      <w:r w:rsidR="00F80D9E">
        <w:fldChar w:fldCharType="begin"/>
      </w:r>
      <w:r w:rsidR="00F80D9E">
        <w:instrText xml:space="preserve"> REF _Ref57232620 \h </w:instrText>
      </w:r>
      <w:r w:rsidR="00F80D9E">
        <w:fldChar w:fldCharType="separate"/>
      </w:r>
      <w:r w:rsidR="00BA3169">
        <w:t xml:space="preserve">Figure </w:t>
      </w:r>
      <w:r w:rsidR="00BA3169">
        <w:rPr>
          <w:noProof/>
        </w:rPr>
        <w:t>50</w:t>
      </w:r>
      <w:r w:rsidR="00F80D9E">
        <w:fldChar w:fldCharType="end"/>
      </w:r>
      <w:r w:rsidR="00F80D9E">
        <w:t xml:space="preserve">, </w:t>
      </w:r>
      <w:r w:rsidR="00316D53">
        <w:t xml:space="preserve">even for learning rates greater than 15%, </w:t>
      </w:r>
      <w:r w:rsidR="00F80D9E">
        <w:t>there was still</w:t>
      </w:r>
      <w:r w:rsidR="00450DD1">
        <w:t xml:space="preserve"> a relatively low adoption of blending into the GDN in comparison to adjusting the PSA learning rate. This highlights the extreme cost reductions required for novel technologies such as the membrane hybrid system</w:t>
      </w:r>
      <w:r w:rsidR="00316D53">
        <w:t>s</w:t>
      </w:r>
      <w:r w:rsidR="00450DD1">
        <w:t xml:space="preserve"> required to enable blending into the GDN to become an economically feasible distribution method.</w:t>
      </w:r>
    </w:p>
    <w:p w14:paraId="64359A7C" w14:textId="77777777" w:rsidR="00F80D9E" w:rsidRDefault="00F80D9E" w:rsidP="00F80D9E">
      <w:pPr>
        <w:keepNext/>
        <w:jc w:val="center"/>
      </w:pPr>
      <w:r>
        <w:rPr>
          <w:noProof/>
        </w:rPr>
        <w:lastRenderedPageBreak/>
        <w:drawing>
          <wp:inline distT="0" distB="0" distL="0" distR="0" wp14:anchorId="506AE070" wp14:editId="067F2EDD">
            <wp:extent cx="4029739" cy="2743200"/>
            <wp:effectExtent l="0" t="0" r="8890" b="0"/>
            <wp:docPr id="43" name="Chart 43">
              <a:extLst xmlns:a="http://schemas.openxmlformats.org/drawingml/2006/main">
                <a:ext uri="{FF2B5EF4-FFF2-40B4-BE49-F238E27FC236}">
                  <a16:creationId xmlns:a16="http://schemas.microsoft.com/office/drawing/2014/main" id="{8E057507-6FB9-4681-8E37-FA4E570D85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D07CBD0" w14:textId="376CBFFA" w:rsidR="00F80D9E" w:rsidRDefault="00F80D9E" w:rsidP="00F80D9E">
      <w:pPr>
        <w:pStyle w:val="Caption"/>
      </w:pPr>
      <w:bookmarkStart w:id="108" w:name="_Ref57232620"/>
      <w:r>
        <w:t xml:space="preserve">Figure </w:t>
      </w:r>
      <w:fldSimple w:instr=" SEQ Figure \* ARABIC ">
        <w:r w:rsidR="00BA3169">
          <w:rPr>
            <w:noProof/>
          </w:rPr>
          <w:t>50</w:t>
        </w:r>
      </w:fldSimple>
      <w:bookmarkEnd w:id="108"/>
      <w:r>
        <w:t>: Participation of blending hydrogen into de GDN as a percentage of total distribution capacity for hybrid membrane separation system learning rates of 12%-25%.</w:t>
      </w:r>
      <w:r w:rsidRPr="00F80D9E">
        <w:t xml:space="preserve"> </w:t>
      </w:r>
    </w:p>
    <w:p w14:paraId="2AD21BAE" w14:textId="68967573" w:rsidR="00DF4A25" w:rsidRDefault="00DF4A25" w:rsidP="00DF4A25">
      <w:pPr>
        <w:pStyle w:val="Heading2"/>
      </w:pPr>
      <w:r>
        <w:t xml:space="preserve">Sensitivity </w:t>
      </w:r>
      <w:r w:rsidR="00A74871">
        <w:t>a</w:t>
      </w:r>
      <w:r>
        <w:t>nalysis</w:t>
      </w:r>
    </w:p>
    <w:p w14:paraId="6F24A5D3" w14:textId="51979171" w:rsidR="002D4886" w:rsidRPr="002D4886" w:rsidRDefault="002D4886" w:rsidP="009B7DDA">
      <w:r>
        <w:t xml:space="preserve">In order to study the effect of uncertain parameters in modelled outcomes, a sensitivity analysis was conducted on gas prices and solar PV learning rates, in addition to the carbon price variation presented </w:t>
      </w:r>
      <w:r w:rsidR="00AD4711">
        <w:t>previously</w:t>
      </w:r>
      <w:r>
        <w:t xml:space="preserve">. </w:t>
      </w:r>
    </w:p>
    <w:p w14:paraId="597CA99E" w14:textId="3F152D9A" w:rsidR="00DF4A25" w:rsidRDefault="00DF4A25" w:rsidP="00DF4A25">
      <w:pPr>
        <w:pStyle w:val="Heading3"/>
      </w:pPr>
      <w:r>
        <w:t xml:space="preserve">Gas </w:t>
      </w:r>
      <w:r w:rsidR="00A74871">
        <w:t>p</w:t>
      </w:r>
      <w:r>
        <w:t>rices</w:t>
      </w:r>
    </w:p>
    <w:p w14:paraId="17DA5EB7" w14:textId="06480485" w:rsidR="00D757F9" w:rsidRDefault="00C72D19" w:rsidP="00DF4A25">
      <w:pPr>
        <w:sectPr w:rsidR="00D757F9" w:rsidSect="00376D70">
          <w:pgSz w:w="11906" w:h="16838"/>
          <w:pgMar w:top="1440" w:right="1440" w:bottom="1440" w:left="1440" w:header="708" w:footer="708" w:gutter="0"/>
          <w:cols w:space="708"/>
          <w:docGrid w:linePitch="360"/>
        </w:sectPr>
      </w:pPr>
      <w:r>
        <w:t xml:space="preserve">The Base Case was </w:t>
      </w:r>
      <w:r w:rsidR="00DF4A25">
        <w:t xml:space="preserve">run with low and high gas price estimates as provided </w:t>
      </w:r>
      <w:r>
        <w:t>by</w:t>
      </w:r>
      <w:r w:rsidR="00DF4A25">
        <w:t xml:space="preserve"> BEIS </w:t>
      </w:r>
      <w:r w:rsidR="00DF4A25">
        <w:fldChar w:fldCharType="begin"/>
      </w:r>
      <w:r w:rsidR="00DF4A25">
        <w:instrText xml:space="preserve"> ADDIN EN.CITE &lt;EndNote&gt;&lt;Cite&gt;&lt;Author&gt;BEIS&lt;/Author&gt;&lt;Year&gt;2020&lt;/Year&gt;&lt;RecNum&gt;1035&lt;/RecNum&gt;&lt;DisplayText&gt;[46, 47]&lt;/DisplayText&gt;&lt;record&gt;&lt;rec-number&gt;1035&lt;/rec-number&gt;&lt;foreign-keys&gt;&lt;key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Cite&gt;&lt;Author&gt;BEIS&lt;/Author&gt;&lt;Year&gt;2019&lt;/Year&gt;&lt;RecNum&gt;1032&lt;/RecNum&gt;&lt;record&gt;&lt;rec-number&gt;1032&lt;/rec-number&gt;&lt;foreign-keys&gt;&lt;key app="EN" db-id="w500zpaaheraz8epaw1p29dtf2ff9zrswv50" timestamp="1607697901"&gt;1032&lt;/key&gt;&lt;/foreign-keys&gt;&lt;ref-type name="Web Page"&gt;12&lt;/ref-type&gt;&lt;contributors&gt;&lt;authors&gt;&lt;author&gt;BEIS&lt;/author&gt;&lt;/authors&gt;&lt;/contributors&gt;&lt;titles&gt;&lt;title&gt;Updated energy and emissions projections 2018&lt;/title&gt;&lt;secondary-title&gt;The Energy White Paper&lt;/secondary-title&gt;&lt;/titles&gt;&lt;periodical&gt;&lt;full-title&gt;The Energy White Paper&lt;/full-title&gt;&lt;/periodical&gt;&lt;pages&gt;35-35&lt;/pages&gt;&lt;number&gt;April&lt;/number&gt;&lt;dates&gt;&lt;year&gt;2019&lt;/year&gt;&lt;/dates&gt;&lt;publisher&gt;Department for Business, Energy, and Industrial Strategy,&lt;/publisher&gt;&lt;isbn&gt;4473467467345&lt;/isbn&gt;&lt;urls&gt;&lt;related-urls&gt;&lt;url&gt;https://assets.publishing.service.gov.uk/government/uploads/system/uploads/attachment_data/file/794590/updated-energy-and-emissions-projections-2018.pdf%0Ahttps://www.gov.uk/government/uploads/system/uploads/attachment_data/file/239937/uep_2013.pdf&lt;/url&gt;&lt;/related-urls&gt;&lt;/urls&gt;&lt;/record&gt;&lt;/Cite&gt;&lt;/EndNote&gt;</w:instrText>
      </w:r>
      <w:r w:rsidR="00DF4A25">
        <w:fldChar w:fldCharType="separate"/>
      </w:r>
      <w:r w:rsidR="00DF4A25">
        <w:rPr>
          <w:noProof/>
        </w:rPr>
        <w:t>[</w:t>
      </w:r>
      <w:hyperlink w:anchor="_ENREF_46" w:tooltip="BEIS, 2020 #1035" w:history="1">
        <w:r w:rsidR="006210AE">
          <w:rPr>
            <w:noProof/>
          </w:rPr>
          <w:t>46</w:t>
        </w:r>
      </w:hyperlink>
      <w:r w:rsidR="00DF4A25">
        <w:rPr>
          <w:noProof/>
        </w:rPr>
        <w:t xml:space="preserve">, </w:t>
      </w:r>
      <w:hyperlink w:anchor="_ENREF_47" w:tooltip="BEIS, 2019 #1032" w:history="1">
        <w:r w:rsidR="006210AE">
          <w:rPr>
            <w:noProof/>
          </w:rPr>
          <w:t>47</w:t>
        </w:r>
      </w:hyperlink>
      <w:r w:rsidR="00DF4A25">
        <w:rPr>
          <w:noProof/>
        </w:rPr>
        <w:t>]</w:t>
      </w:r>
      <w:r w:rsidR="00DF4A25">
        <w:fldChar w:fldCharType="end"/>
      </w:r>
      <w:r w:rsidR="00DF4A25">
        <w:t>. These values can be seen in</w:t>
      </w:r>
      <w:r w:rsidR="00485073">
        <w:t xml:space="preserve"> </w:t>
      </w:r>
      <w:r w:rsidR="00485073">
        <w:fldChar w:fldCharType="begin"/>
      </w:r>
      <w:r w:rsidR="00485073">
        <w:instrText xml:space="preserve"> REF _Ref77882100 \h </w:instrText>
      </w:r>
      <w:r w:rsidR="00485073">
        <w:fldChar w:fldCharType="separate"/>
      </w:r>
      <w:r w:rsidR="00BA3169">
        <w:t xml:space="preserve">Table </w:t>
      </w:r>
      <w:r w:rsidR="00BA3169">
        <w:rPr>
          <w:noProof/>
        </w:rPr>
        <w:t>19</w:t>
      </w:r>
      <w:r w:rsidR="00485073">
        <w:fldChar w:fldCharType="end"/>
      </w:r>
      <w:r w:rsidR="00485073">
        <w:t>.</w:t>
      </w:r>
      <w:r w:rsidR="00DF4A25">
        <w:t xml:space="preserve"> As </w:t>
      </w:r>
      <w:r w:rsidR="00A74871">
        <w:t xml:space="preserve">shown in </w:t>
      </w:r>
      <w:r w:rsidR="00D757F9">
        <w:fldChar w:fldCharType="begin"/>
      </w:r>
      <w:r w:rsidR="00D757F9">
        <w:instrText xml:space="preserve"> REF _Ref77883171 \h </w:instrText>
      </w:r>
      <w:r w:rsidR="00D757F9">
        <w:fldChar w:fldCharType="separate"/>
      </w:r>
      <w:r w:rsidR="00BA3169">
        <w:t xml:space="preserve">Figure </w:t>
      </w:r>
      <w:r w:rsidR="00BA3169">
        <w:rPr>
          <w:noProof/>
        </w:rPr>
        <w:t>51</w:t>
      </w:r>
      <w:r w:rsidR="00D757F9">
        <w:fldChar w:fldCharType="end"/>
      </w:r>
      <w:r w:rsidR="00D757F9">
        <w:t xml:space="preserve"> and </w:t>
      </w:r>
      <w:r w:rsidR="00D757F9">
        <w:fldChar w:fldCharType="begin"/>
      </w:r>
      <w:r w:rsidR="00D757F9">
        <w:instrText xml:space="preserve"> REF _Ref77883173 \h </w:instrText>
      </w:r>
      <w:r w:rsidR="00D757F9">
        <w:fldChar w:fldCharType="separate"/>
      </w:r>
      <w:r w:rsidR="00BA3169">
        <w:t xml:space="preserve">Figure </w:t>
      </w:r>
      <w:r w:rsidR="00BA3169">
        <w:rPr>
          <w:noProof/>
        </w:rPr>
        <w:t>52</w:t>
      </w:r>
      <w:r w:rsidR="00D757F9">
        <w:fldChar w:fldCharType="end"/>
      </w:r>
      <w:r w:rsidR="00DF4A25">
        <w:t>, the variation in gas price</w:t>
      </w:r>
      <w:r w:rsidR="00D757F9">
        <w:t>s</w:t>
      </w:r>
      <w:r w:rsidR="00DF4A25">
        <w:t xml:space="preserve"> </w:t>
      </w:r>
      <w:r w:rsidR="00D757F9">
        <w:t xml:space="preserve">has a </w:t>
      </w:r>
      <w:r w:rsidR="00DF4A25">
        <w:t xml:space="preserve">large effect on the installed production capacity. For the high gas price scenario, final PEM + electrolysis installed capacity </w:t>
      </w:r>
      <w:r w:rsidR="00D757F9">
        <w:t xml:space="preserve">in 2050 </w:t>
      </w:r>
      <w:r w:rsidR="00DF4A25">
        <w:t xml:space="preserve">ends up being </w:t>
      </w:r>
      <w:r w:rsidR="00D757F9">
        <w:t>9.3 GW</w:t>
      </w:r>
      <w:r w:rsidR="00DF4A25">
        <w:t xml:space="preserve"> (v</w:t>
      </w:r>
      <w:r w:rsidR="00D757F9">
        <w:t>ersus</w:t>
      </w:r>
      <w:r w:rsidR="00DF4A25">
        <w:t xml:space="preserve"> </w:t>
      </w:r>
      <w:r w:rsidR="009D1C6E">
        <w:t xml:space="preserve">3 GW </w:t>
      </w:r>
      <w:r w:rsidR="00DF4A25">
        <w:t xml:space="preserve">in the base case scenario). Furthermore, in the low gas price scenario, </w:t>
      </w:r>
      <w:r w:rsidR="009D1C6E">
        <w:t xml:space="preserve">there is no </w:t>
      </w:r>
      <w:r w:rsidR="00DF4A25">
        <w:t xml:space="preserve">PEM + electrolysis </w:t>
      </w:r>
      <w:r w:rsidR="009D1C6E">
        <w:t xml:space="preserve">by 2050. </w:t>
      </w:r>
      <w:r w:rsidR="00DF4A25">
        <w:t xml:space="preserve">This highlights the vast effect that a small change in the gas price can have on the overall configuration of </w:t>
      </w:r>
      <w:r w:rsidR="009D1C6E">
        <w:t xml:space="preserve">hydrogen </w:t>
      </w:r>
      <w:r w:rsidR="00DF4A25">
        <w:t>production in the model.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33"/>
        <w:gridCol w:w="5233"/>
      </w:tblGrid>
      <w:tr w:rsidR="00A74871" w14:paraId="6098C86B" w14:textId="77777777" w:rsidTr="00D757F9">
        <w:tc>
          <w:tcPr>
            <w:tcW w:w="4496" w:type="dxa"/>
          </w:tcPr>
          <w:p w14:paraId="33AAB171" w14:textId="77777777" w:rsidR="00D757F9" w:rsidRDefault="00A74871" w:rsidP="00D757F9">
            <w:pPr>
              <w:keepNext/>
              <w:spacing w:before="0" w:after="0"/>
            </w:pPr>
            <w:r>
              <w:rPr>
                <w:noProof/>
              </w:rPr>
              <w:drawing>
                <wp:inline distT="0" distB="0" distL="0" distR="0" wp14:anchorId="3BB00768" wp14:editId="016759A8">
                  <wp:extent cx="3384000" cy="2340000"/>
                  <wp:effectExtent l="0" t="0" r="6985" b="3175"/>
                  <wp:docPr id="24" name="Chart 24">
                    <a:extLst xmlns:a="http://schemas.openxmlformats.org/drawingml/2006/main">
                      <a:ext uri="{FF2B5EF4-FFF2-40B4-BE49-F238E27FC236}">
                        <a16:creationId xmlns:a16="http://schemas.microsoft.com/office/drawing/2014/main" id="{36F4EB8A-779A-F448-9AFC-06A011042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796D88A" w14:textId="2A38740A" w:rsidR="00A74871" w:rsidRDefault="00D757F9" w:rsidP="00D757F9">
            <w:pPr>
              <w:pStyle w:val="Caption"/>
              <w:spacing w:before="0" w:after="0"/>
            </w:pPr>
            <w:bookmarkStart w:id="109" w:name="_Ref77883171"/>
            <w:r>
              <w:t xml:space="preserve">Figure </w:t>
            </w:r>
            <w:fldSimple w:instr=" SEQ Figure \* ARABIC ">
              <w:r w:rsidR="00BA3169">
                <w:rPr>
                  <w:noProof/>
                </w:rPr>
                <w:t>51</w:t>
              </w:r>
            </w:fldSimple>
            <w:bookmarkEnd w:id="109"/>
            <w:r>
              <w:t>: Installed production capacity for high gas price scenario.</w:t>
            </w:r>
          </w:p>
        </w:tc>
        <w:tc>
          <w:tcPr>
            <w:tcW w:w="4520" w:type="dxa"/>
          </w:tcPr>
          <w:p w14:paraId="046F84AF" w14:textId="77777777" w:rsidR="00D757F9" w:rsidRDefault="00A74871" w:rsidP="00D757F9">
            <w:pPr>
              <w:keepNext/>
              <w:spacing w:before="0" w:after="0"/>
            </w:pPr>
            <w:r>
              <w:rPr>
                <w:noProof/>
              </w:rPr>
              <w:drawing>
                <wp:inline distT="0" distB="0" distL="0" distR="0" wp14:anchorId="77645621" wp14:editId="795AACC9">
                  <wp:extent cx="3384000" cy="2340000"/>
                  <wp:effectExtent l="0" t="0" r="6985" b="3175"/>
                  <wp:docPr id="47" name="Chart 47">
                    <a:extLst xmlns:a="http://schemas.openxmlformats.org/drawingml/2006/main">
                      <a:ext uri="{FF2B5EF4-FFF2-40B4-BE49-F238E27FC236}">
                        <a16:creationId xmlns:a16="http://schemas.microsoft.com/office/drawing/2014/main" id="{FF0157EF-77C2-DA49-8C17-027F84AB4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0FE232F" w14:textId="188A531A" w:rsidR="00A74871" w:rsidRDefault="00D757F9" w:rsidP="00D757F9">
            <w:pPr>
              <w:pStyle w:val="Caption"/>
              <w:spacing w:before="0" w:after="0"/>
            </w:pPr>
            <w:bookmarkStart w:id="110" w:name="_Ref77883173"/>
            <w:r>
              <w:t xml:space="preserve">Figure </w:t>
            </w:r>
            <w:fldSimple w:instr=" SEQ Figure \* ARABIC ">
              <w:r w:rsidR="00BA3169">
                <w:rPr>
                  <w:noProof/>
                </w:rPr>
                <w:t>52</w:t>
              </w:r>
            </w:fldSimple>
            <w:bookmarkEnd w:id="110"/>
            <w:r>
              <w:t>: Installed production capacity for low gas price scenario.</w:t>
            </w:r>
          </w:p>
        </w:tc>
      </w:tr>
    </w:tbl>
    <w:p w14:paraId="04ADF1D9" w14:textId="77777777" w:rsidR="00D757F9" w:rsidRDefault="00D757F9" w:rsidP="00DF4A25">
      <w:pPr>
        <w:sectPr w:rsidR="00D757F9" w:rsidSect="00D757F9">
          <w:type w:val="continuous"/>
          <w:pgSz w:w="11906" w:h="16838"/>
          <w:pgMar w:top="720" w:right="720" w:bottom="720" w:left="720" w:header="708" w:footer="708" w:gutter="0"/>
          <w:cols w:space="708"/>
          <w:docGrid w:linePitch="360"/>
        </w:sectPr>
      </w:pPr>
    </w:p>
    <w:p w14:paraId="3DAD863E" w14:textId="4C1E27D2" w:rsidR="00DF4A25" w:rsidRDefault="00DF4A25" w:rsidP="00DF4A25">
      <w:pPr>
        <w:pStyle w:val="Heading3"/>
      </w:pPr>
      <w:r>
        <w:lastRenderedPageBreak/>
        <w:t xml:space="preserve">Solar PV </w:t>
      </w:r>
      <w:r w:rsidR="00A74871">
        <w:t>l</w:t>
      </w:r>
      <w:r>
        <w:t xml:space="preserve">earning </w:t>
      </w:r>
      <w:r w:rsidR="00A74871">
        <w:t>r</w:t>
      </w:r>
      <w:r>
        <w:t>ate</w:t>
      </w:r>
      <w:r w:rsidR="00E70B63">
        <w:t>s</w:t>
      </w:r>
    </w:p>
    <w:p w14:paraId="3EAA0B75" w14:textId="7FE65A72" w:rsidR="00DF4A25" w:rsidRPr="00BD5643" w:rsidRDefault="00DF4A25" w:rsidP="00DF4A25">
      <w:pPr>
        <w:rPr>
          <w:rFonts w:ascii="Times New Roman" w:eastAsia="Times New Roman" w:hAnsi="Times New Roman" w:cs="Times New Roman"/>
        </w:rPr>
      </w:pPr>
      <w:bookmarkStart w:id="111" w:name="_Hlk78022791"/>
      <w:r>
        <w:t xml:space="preserve">Lastly, since solar PV CAPEX prices continue to drop at a faster rate than originally anticipated </w:t>
      </w:r>
      <w:r w:rsidR="005B7D4E">
        <w:fldChar w:fldCharType="begin"/>
      </w:r>
      <w:r w:rsidR="006210AE">
        <w:instrText xml:space="preserve"> ADDIN EN.CITE &lt;EndNote&gt;&lt;Cite&gt;&lt;Author&gt;IRENA&lt;/Author&gt;&lt;Year&gt;2020&lt;/Year&gt;&lt;RecNum&gt;1398&lt;/RecNum&gt;&lt;DisplayText&gt;[74]&lt;/DisplayText&gt;&lt;record&gt;&lt;rec-number&gt;1398&lt;/rec-number&gt;&lt;foreign-keys&gt;&lt;key app="EN" db-id="w500zpaaheraz8epaw1p29dtf2ff9zrswv50" timestamp="1627005962"&gt;1398&lt;/key&gt;&lt;/foreign-keys&gt;&lt;ref-type name="Report"&gt;27&lt;/ref-type&gt;&lt;contributors&gt;&lt;authors&gt;&lt;author&gt;IRENA&lt;/author&gt;&lt;/authors&gt;&lt;/contributors&gt;&lt;titles&gt;&lt;title&gt;Renewable Power Generation Costs in 2019&lt;/title&gt;&lt;/titles&gt;&lt;dates&gt;&lt;year&gt;2020&lt;/year&gt;&lt;/dates&gt;&lt;pub-location&gt;Abu Dhabi&lt;/pub-location&gt;&lt;publisher&gt;International Renewable Energy Agency&lt;/publisher&gt;&lt;urls&gt;&lt;/urls&gt;&lt;/record&gt;&lt;/Cite&gt;&lt;/EndNote&gt;</w:instrText>
      </w:r>
      <w:r w:rsidR="005B7D4E">
        <w:fldChar w:fldCharType="separate"/>
      </w:r>
      <w:r w:rsidR="006210AE">
        <w:rPr>
          <w:noProof/>
        </w:rPr>
        <w:t>[</w:t>
      </w:r>
      <w:hyperlink w:anchor="_ENREF_74" w:tooltip="IRENA, 2020 #1398" w:history="1">
        <w:r w:rsidR="006210AE">
          <w:rPr>
            <w:noProof/>
          </w:rPr>
          <w:t>74</w:t>
        </w:r>
      </w:hyperlink>
      <w:r w:rsidR="006210AE">
        <w:rPr>
          <w:noProof/>
        </w:rPr>
        <w:t>]</w:t>
      </w:r>
      <w:r w:rsidR="005B7D4E">
        <w:fldChar w:fldCharType="end"/>
      </w:r>
      <w:r>
        <w:t xml:space="preserve">, it was decided to include a sensitivity analysis around the price of solar PV by varying its learning rate between 5-10%. </w:t>
      </w:r>
      <w:r w:rsidR="005B7D4E">
        <w:t>A</w:t>
      </w:r>
      <w:r>
        <w:t xml:space="preserve">s shown in </w:t>
      </w:r>
      <w:r>
        <w:fldChar w:fldCharType="begin"/>
      </w:r>
      <w:r>
        <w:instrText xml:space="preserve"> REF _Ref77887769 \h </w:instrText>
      </w:r>
      <w:r>
        <w:fldChar w:fldCharType="separate"/>
      </w:r>
      <w:r w:rsidR="00BA3169">
        <w:t xml:space="preserve">Table </w:t>
      </w:r>
      <w:r w:rsidR="00BA3169">
        <w:rPr>
          <w:noProof/>
        </w:rPr>
        <w:t>13</w:t>
      </w:r>
      <w:r>
        <w:fldChar w:fldCharType="end"/>
      </w:r>
      <w:r w:rsidR="005B7D4E">
        <w:t xml:space="preserve">, </w:t>
      </w:r>
      <w:r>
        <w:t xml:space="preserve">increasing solar PV’s learning rate has </w:t>
      </w:r>
      <w:r w:rsidR="005B7D4E">
        <w:t>a small effect</w:t>
      </w:r>
      <w:r>
        <w:t xml:space="preserve"> </w:t>
      </w:r>
      <w:r w:rsidR="005B7D4E">
        <w:t xml:space="preserve">on </w:t>
      </w:r>
      <w:r>
        <w:t xml:space="preserve">overall installed production capacity of each technology </w:t>
      </w:r>
      <w:r w:rsidR="005B7D4E">
        <w:t xml:space="preserve">by </w:t>
      </w:r>
      <w:r>
        <w:t xml:space="preserve">2050. This is because, as previously mentioned in this study, solar PV capacity factors are extremely low </w:t>
      </w:r>
      <w:r w:rsidR="005B7D4E">
        <w:t xml:space="preserve">in the UK </w:t>
      </w:r>
      <w:r>
        <w:t xml:space="preserve">when compared to those </w:t>
      </w:r>
      <w:r w:rsidR="005B7D4E">
        <w:t>of</w:t>
      </w:r>
      <w:r>
        <w:t xml:space="preserve"> wind</w:t>
      </w:r>
      <w:r w:rsidR="005B7D4E">
        <w:t xml:space="preserve">. </w:t>
      </w:r>
      <w:r>
        <w:t>This means that even though solar PV at high learning rates might have a significantly smaller CAPEX than wind</w:t>
      </w:r>
      <w:r w:rsidR="0066544E">
        <w:t>;</w:t>
      </w:r>
      <w:r>
        <w:t xml:space="preserve"> due to the formulation of the model</w:t>
      </w:r>
      <w:r w:rsidR="005B7D4E">
        <w:t xml:space="preserve">, the coarse temporal resolution, </w:t>
      </w:r>
      <w:r>
        <w:t xml:space="preserve">and the low </w:t>
      </w:r>
      <w:r w:rsidR="005B7D4E">
        <w:t xml:space="preserve">PV </w:t>
      </w:r>
      <w:r>
        <w:t>capacity factor</w:t>
      </w:r>
      <w:r w:rsidR="005B7D4E">
        <w:t xml:space="preserve"> in the UK</w:t>
      </w:r>
      <w:r>
        <w:t xml:space="preserve">, installed capacity of solar PV </w:t>
      </w:r>
      <w:r w:rsidR="005B7D4E">
        <w:t xml:space="preserve">must be doubled to produce hydrogen from solar PV versus wind, </w:t>
      </w:r>
      <w:r>
        <w:t>resulting in an overall higher</w:t>
      </w:r>
      <w:r w:rsidR="005B7D4E">
        <w:t xml:space="preserve"> total discounted cost. </w:t>
      </w:r>
    </w:p>
    <w:p w14:paraId="1C8660E5" w14:textId="2DC5BE49" w:rsidR="00DF4A25" w:rsidRDefault="00DF4A25" w:rsidP="00DF4A25">
      <w:pPr>
        <w:pStyle w:val="Caption"/>
        <w:keepNext/>
      </w:pPr>
      <w:bookmarkStart w:id="112" w:name="_Ref77887769"/>
      <w:bookmarkStart w:id="113" w:name="_Hlk78023070"/>
      <w:bookmarkEnd w:id="111"/>
      <w:r>
        <w:t xml:space="preserve">Table </w:t>
      </w:r>
      <w:fldSimple w:instr=" SEQ Table \* ARABIC ">
        <w:r w:rsidR="00BA3169">
          <w:rPr>
            <w:noProof/>
          </w:rPr>
          <w:t>13</w:t>
        </w:r>
      </w:fldSimple>
      <w:bookmarkEnd w:id="112"/>
      <w:r w:rsidR="005B7D4E">
        <w:t xml:space="preserve">: </w:t>
      </w:r>
      <w:r>
        <w:t>Total installed hydrogen production capacity in 2050 for various solar PV learning rates.</w:t>
      </w:r>
    </w:p>
    <w:tbl>
      <w:tblPr>
        <w:tblW w:w="9601" w:type="dxa"/>
        <w:jc w:val="center"/>
        <w:tblBorders>
          <w:top w:val="single" w:sz="4" w:space="0" w:color="7F7F7F" w:themeColor="text1" w:themeTint="80"/>
          <w:bottom w:val="single" w:sz="4" w:space="0" w:color="7F7F7F" w:themeColor="text1" w:themeTint="80"/>
        </w:tblBorders>
        <w:tblLook w:val="04A0" w:firstRow="1" w:lastRow="0" w:firstColumn="1" w:lastColumn="0" w:noHBand="0" w:noVBand="1"/>
      </w:tblPr>
      <w:tblGrid>
        <w:gridCol w:w="2148"/>
        <w:gridCol w:w="2556"/>
        <w:gridCol w:w="2379"/>
        <w:gridCol w:w="2518"/>
      </w:tblGrid>
      <w:tr w:rsidR="00B958A9" w14:paraId="6A6F2353" w14:textId="1619505A" w:rsidTr="00B958A9">
        <w:trPr>
          <w:trHeight w:val="320"/>
          <w:jc w:val="center"/>
        </w:trPr>
        <w:tc>
          <w:tcPr>
            <w:tcW w:w="2148" w:type="dxa"/>
            <w:tcBorders>
              <w:top w:val="single" w:sz="4" w:space="0" w:color="7F7F7F" w:themeColor="text1" w:themeTint="80"/>
              <w:bottom w:val="single" w:sz="4" w:space="0" w:color="7F7F7F" w:themeColor="text1" w:themeTint="80"/>
            </w:tcBorders>
            <w:shd w:val="clear" w:color="auto" w:fill="auto"/>
            <w:noWrap/>
            <w:vAlign w:val="center"/>
            <w:hideMark/>
          </w:tcPr>
          <w:p w14:paraId="343677A0" w14:textId="77777777" w:rsidR="00B958A9" w:rsidRPr="00B958A9" w:rsidRDefault="00B958A9" w:rsidP="00B958A9">
            <w:pPr>
              <w:pStyle w:val="NoSpacing"/>
              <w:rPr>
                <w:b/>
                <w:bCs/>
              </w:rPr>
            </w:pPr>
            <w:r w:rsidRPr="00B958A9">
              <w:rPr>
                <w:b/>
                <w:bCs/>
              </w:rPr>
              <w:t>Solar PV Learning Rate</w:t>
            </w:r>
          </w:p>
        </w:tc>
        <w:tc>
          <w:tcPr>
            <w:tcW w:w="2556" w:type="dxa"/>
            <w:tcBorders>
              <w:top w:val="single" w:sz="4" w:space="0" w:color="7F7F7F" w:themeColor="text1" w:themeTint="80"/>
              <w:bottom w:val="single" w:sz="4" w:space="0" w:color="7F7F7F" w:themeColor="text1" w:themeTint="80"/>
            </w:tcBorders>
            <w:shd w:val="clear" w:color="auto" w:fill="auto"/>
            <w:noWrap/>
            <w:vAlign w:val="center"/>
            <w:hideMark/>
          </w:tcPr>
          <w:p w14:paraId="2898011B" w14:textId="0796BB56" w:rsidR="00B958A9" w:rsidRPr="00B958A9" w:rsidRDefault="00B958A9" w:rsidP="00B958A9">
            <w:pPr>
              <w:pStyle w:val="NoSpacing"/>
              <w:jc w:val="center"/>
              <w:rPr>
                <w:b/>
                <w:bCs/>
              </w:rPr>
            </w:pPr>
            <w:r w:rsidRPr="00B958A9">
              <w:rPr>
                <w:b/>
                <w:bCs/>
              </w:rPr>
              <w:t>SMR + CCS installed capacity [MW]</w:t>
            </w:r>
          </w:p>
        </w:tc>
        <w:tc>
          <w:tcPr>
            <w:tcW w:w="2379" w:type="dxa"/>
            <w:tcBorders>
              <w:top w:val="single" w:sz="4" w:space="0" w:color="7F7F7F" w:themeColor="text1" w:themeTint="80"/>
              <w:bottom w:val="single" w:sz="4" w:space="0" w:color="7F7F7F" w:themeColor="text1" w:themeTint="80"/>
            </w:tcBorders>
          </w:tcPr>
          <w:p w14:paraId="5811BEDD" w14:textId="08C98AC6" w:rsidR="00B958A9" w:rsidRPr="00B958A9" w:rsidRDefault="00B958A9" w:rsidP="00B958A9">
            <w:pPr>
              <w:pStyle w:val="NoSpacing"/>
              <w:jc w:val="center"/>
              <w:rPr>
                <w:b/>
                <w:bCs/>
              </w:rPr>
            </w:pPr>
            <w:r w:rsidRPr="00B958A9">
              <w:rPr>
                <w:b/>
                <w:bCs/>
              </w:rPr>
              <w:t>PEM + Wind installed capacity [MW]</w:t>
            </w:r>
          </w:p>
        </w:tc>
        <w:tc>
          <w:tcPr>
            <w:tcW w:w="2518" w:type="dxa"/>
            <w:tcBorders>
              <w:top w:val="single" w:sz="4" w:space="0" w:color="7F7F7F" w:themeColor="text1" w:themeTint="80"/>
              <w:bottom w:val="single" w:sz="4" w:space="0" w:color="7F7F7F" w:themeColor="text1" w:themeTint="80"/>
            </w:tcBorders>
          </w:tcPr>
          <w:p w14:paraId="642C38FA" w14:textId="16F326EB" w:rsidR="00B958A9" w:rsidRPr="00B958A9" w:rsidRDefault="00B958A9" w:rsidP="00B958A9">
            <w:pPr>
              <w:pStyle w:val="NoSpacing"/>
              <w:jc w:val="center"/>
              <w:rPr>
                <w:b/>
                <w:bCs/>
              </w:rPr>
            </w:pPr>
            <w:r w:rsidRPr="00B958A9">
              <w:rPr>
                <w:b/>
                <w:bCs/>
              </w:rPr>
              <w:t>Alkaline + Solar PV installed capacity [MW]</w:t>
            </w:r>
          </w:p>
        </w:tc>
      </w:tr>
      <w:tr w:rsidR="00B958A9" w14:paraId="2E1ADA22" w14:textId="0F92B613" w:rsidTr="00B958A9">
        <w:trPr>
          <w:trHeight w:val="320"/>
          <w:jc w:val="center"/>
        </w:trPr>
        <w:tc>
          <w:tcPr>
            <w:tcW w:w="2148" w:type="dxa"/>
            <w:tcBorders>
              <w:top w:val="single" w:sz="4" w:space="0" w:color="7F7F7F" w:themeColor="text1" w:themeTint="80"/>
            </w:tcBorders>
            <w:shd w:val="clear" w:color="auto" w:fill="auto"/>
            <w:noWrap/>
            <w:vAlign w:val="center"/>
            <w:hideMark/>
          </w:tcPr>
          <w:p w14:paraId="744588E9" w14:textId="77777777" w:rsidR="00B958A9" w:rsidRDefault="00B958A9" w:rsidP="00B958A9">
            <w:pPr>
              <w:pStyle w:val="NoSpacing"/>
            </w:pPr>
            <w:r>
              <w:t>5%</w:t>
            </w:r>
          </w:p>
        </w:tc>
        <w:tc>
          <w:tcPr>
            <w:tcW w:w="2556" w:type="dxa"/>
            <w:tcBorders>
              <w:top w:val="single" w:sz="4" w:space="0" w:color="7F7F7F" w:themeColor="text1" w:themeTint="80"/>
            </w:tcBorders>
            <w:shd w:val="clear" w:color="auto" w:fill="auto"/>
            <w:noWrap/>
            <w:vAlign w:val="center"/>
            <w:hideMark/>
          </w:tcPr>
          <w:p w14:paraId="2AA24416" w14:textId="77777777" w:rsidR="00B958A9" w:rsidRDefault="00B958A9" w:rsidP="00B958A9">
            <w:pPr>
              <w:pStyle w:val="NoSpacing"/>
              <w:jc w:val="right"/>
            </w:pPr>
            <w:r>
              <w:t>9,780.78</w:t>
            </w:r>
          </w:p>
        </w:tc>
        <w:tc>
          <w:tcPr>
            <w:tcW w:w="2379" w:type="dxa"/>
            <w:tcBorders>
              <w:top w:val="single" w:sz="4" w:space="0" w:color="7F7F7F" w:themeColor="text1" w:themeTint="80"/>
            </w:tcBorders>
            <w:vAlign w:val="center"/>
          </w:tcPr>
          <w:p w14:paraId="4E8F65E2" w14:textId="7FB69975" w:rsidR="00B958A9" w:rsidRDefault="00B958A9" w:rsidP="00B958A9">
            <w:pPr>
              <w:pStyle w:val="NoSpacing"/>
              <w:jc w:val="right"/>
            </w:pPr>
            <w:r>
              <w:t>2,993.83</w:t>
            </w:r>
          </w:p>
        </w:tc>
        <w:tc>
          <w:tcPr>
            <w:tcW w:w="2518" w:type="dxa"/>
            <w:tcBorders>
              <w:top w:val="single" w:sz="4" w:space="0" w:color="7F7F7F" w:themeColor="text1" w:themeTint="80"/>
            </w:tcBorders>
            <w:vAlign w:val="center"/>
          </w:tcPr>
          <w:p w14:paraId="0A5FB5EC" w14:textId="0E60FF21" w:rsidR="00B958A9" w:rsidRDefault="00B958A9" w:rsidP="00B958A9">
            <w:pPr>
              <w:pStyle w:val="NoSpacing"/>
              <w:jc w:val="right"/>
            </w:pPr>
            <w:r>
              <w:t>15.09</w:t>
            </w:r>
          </w:p>
        </w:tc>
      </w:tr>
      <w:tr w:rsidR="00B958A9" w14:paraId="49883611" w14:textId="14D2C8FF" w:rsidTr="00B958A9">
        <w:trPr>
          <w:trHeight w:val="320"/>
          <w:jc w:val="center"/>
        </w:trPr>
        <w:tc>
          <w:tcPr>
            <w:tcW w:w="2148" w:type="dxa"/>
            <w:shd w:val="clear" w:color="auto" w:fill="auto"/>
            <w:noWrap/>
            <w:vAlign w:val="center"/>
            <w:hideMark/>
          </w:tcPr>
          <w:p w14:paraId="43C07DAD" w14:textId="77777777" w:rsidR="00B958A9" w:rsidRDefault="00B958A9" w:rsidP="00B958A9">
            <w:pPr>
              <w:pStyle w:val="NoSpacing"/>
            </w:pPr>
            <w:r>
              <w:t>6%</w:t>
            </w:r>
          </w:p>
        </w:tc>
        <w:tc>
          <w:tcPr>
            <w:tcW w:w="2556" w:type="dxa"/>
            <w:shd w:val="clear" w:color="auto" w:fill="auto"/>
            <w:noWrap/>
            <w:vAlign w:val="center"/>
            <w:hideMark/>
          </w:tcPr>
          <w:p w14:paraId="4AA22592" w14:textId="77777777" w:rsidR="00B958A9" w:rsidRDefault="00B958A9" w:rsidP="00B958A9">
            <w:pPr>
              <w:pStyle w:val="NoSpacing"/>
              <w:jc w:val="right"/>
            </w:pPr>
            <w:r>
              <w:t>9,780.10</w:t>
            </w:r>
          </w:p>
        </w:tc>
        <w:tc>
          <w:tcPr>
            <w:tcW w:w="2379" w:type="dxa"/>
            <w:vAlign w:val="center"/>
          </w:tcPr>
          <w:p w14:paraId="5243EE2B" w14:textId="1B2A2919" w:rsidR="00B958A9" w:rsidRDefault="00B958A9" w:rsidP="00B958A9">
            <w:pPr>
              <w:pStyle w:val="NoSpacing"/>
              <w:jc w:val="right"/>
            </w:pPr>
            <w:r>
              <w:t>2,993.83</w:t>
            </w:r>
          </w:p>
        </w:tc>
        <w:tc>
          <w:tcPr>
            <w:tcW w:w="2518" w:type="dxa"/>
            <w:vAlign w:val="center"/>
          </w:tcPr>
          <w:p w14:paraId="7575A331" w14:textId="3A28598C" w:rsidR="00B958A9" w:rsidRDefault="00B958A9" w:rsidP="00B958A9">
            <w:pPr>
              <w:pStyle w:val="NoSpacing"/>
              <w:jc w:val="right"/>
            </w:pPr>
            <w:r>
              <w:t>19.35</w:t>
            </w:r>
          </w:p>
        </w:tc>
      </w:tr>
      <w:tr w:rsidR="00B958A9" w14:paraId="7C3A1292" w14:textId="3D0296B9" w:rsidTr="00B958A9">
        <w:trPr>
          <w:trHeight w:val="320"/>
          <w:jc w:val="center"/>
        </w:trPr>
        <w:tc>
          <w:tcPr>
            <w:tcW w:w="2148" w:type="dxa"/>
            <w:shd w:val="clear" w:color="auto" w:fill="auto"/>
            <w:noWrap/>
            <w:vAlign w:val="center"/>
            <w:hideMark/>
          </w:tcPr>
          <w:p w14:paraId="516B5EAA" w14:textId="77777777" w:rsidR="00B958A9" w:rsidRDefault="00B958A9" w:rsidP="00B958A9">
            <w:pPr>
              <w:pStyle w:val="NoSpacing"/>
            </w:pPr>
            <w:r>
              <w:t>7%</w:t>
            </w:r>
          </w:p>
        </w:tc>
        <w:tc>
          <w:tcPr>
            <w:tcW w:w="2556" w:type="dxa"/>
            <w:shd w:val="clear" w:color="auto" w:fill="auto"/>
            <w:noWrap/>
            <w:vAlign w:val="center"/>
            <w:hideMark/>
          </w:tcPr>
          <w:p w14:paraId="1F1B7A93" w14:textId="77777777" w:rsidR="00B958A9" w:rsidRDefault="00B958A9" w:rsidP="00B958A9">
            <w:pPr>
              <w:pStyle w:val="NoSpacing"/>
              <w:jc w:val="right"/>
            </w:pPr>
            <w:r>
              <w:t>9,780.10</w:t>
            </w:r>
          </w:p>
        </w:tc>
        <w:tc>
          <w:tcPr>
            <w:tcW w:w="2379" w:type="dxa"/>
            <w:vAlign w:val="center"/>
          </w:tcPr>
          <w:p w14:paraId="21007E81" w14:textId="3B7766D8" w:rsidR="00B958A9" w:rsidRDefault="00B958A9" w:rsidP="00B958A9">
            <w:pPr>
              <w:pStyle w:val="NoSpacing"/>
              <w:jc w:val="right"/>
            </w:pPr>
            <w:r>
              <w:t>2,993.83</w:t>
            </w:r>
          </w:p>
        </w:tc>
        <w:tc>
          <w:tcPr>
            <w:tcW w:w="2518" w:type="dxa"/>
            <w:vAlign w:val="center"/>
          </w:tcPr>
          <w:p w14:paraId="275CFDDE" w14:textId="3900316B" w:rsidR="00B958A9" w:rsidRDefault="00B958A9" w:rsidP="00B958A9">
            <w:pPr>
              <w:pStyle w:val="NoSpacing"/>
              <w:jc w:val="right"/>
            </w:pPr>
            <w:r>
              <w:t>19.35</w:t>
            </w:r>
          </w:p>
        </w:tc>
      </w:tr>
      <w:tr w:rsidR="00B958A9" w14:paraId="5FD41D5D" w14:textId="3583EC24" w:rsidTr="00B958A9">
        <w:trPr>
          <w:trHeight w:val="320"/>
          <w:jc w:val="center"/>
        </w:trPr>
        <w:tc>
          <w:tcPr>
            <w:tcW w:w="2148" w:type="dxa"/>
            <w:shd w:val="clear" w:color="auto" w:fill="auto"/>
            <w:noWrap/>
            <w:vAlign w:val="center"/>
            <w:hideMark/>
          </w:tcPr>
          <w:p w14:paraId="78B1365F" w14:textId="77777777" w:rsidR="00B958A9" w:rsidRDefault="00B958A9" w:rsidP="00B958A9">
            <w:pPr>
              <w:pStyle w:val="NoSpacing"/>
            </w:pPr>
            <w:r>
              <w:t>8%</w:t>
            </w:r>
          </w:p>
        </w:tc>
        <w:tc>
          <w:tcPr>
            <w:tcW w:w="2556" w:type="dxa"/>
            <w:shd w:val="clear" w:color="auto" w:fill="auto"/>
            <w:noWrap/>
            <w:vAlign w:val="center"/>
            <w:hideMark/>
          </w:tcPr>
          <w:p w14:paraId="417FD326" w14:textId="77777777" w:rsidR="00B958A9" w:rsidRDefault="00B958A9" w:rsidP="00B958A9">
            <w:pPr>
              <w:pStyle w:val="NoSpacing"/>
              <w:jc w:val="right"/>
            </w:pPr>
            <w:r>
              <w:t>9,780.10</w:t>
            </w:r>
          </w:p>
        </w:tc>
        <w:tc>
          <w:tcPr>
            <w:tcW w:w="2379" w:type="dxa"/>
            <w:vAlign w:val="center"/>
          </w:tcPr>
          <w:p w14:paraId="00866393" w14:textId="6EB1403C" w:rsidR="00B958A9" w:rsidRDefault="00B958A9" w:rsidP="00B958A9">
            <w:pPr>
              <w:pStyle w:val="NoSpacing"/>
              <w:jc w:val="right"/>
            </w:pPr>
            <w:r>
              <w:t>2,993.83</w:t>
            </w:r>
          </w:p>
        </w:tc>
        <w:tc>
          <w:tcPr>
            <w:tcW w:w="2518" w:type="dxa"/>
            <w:vAlign w:val="center"/>
          </w:tcPr>
          <w:p w14:paraId="2106E74A" w14:textId="57749C61" w:rsidR="00B958A9" w:rsidRDefault="00B958A9" w:rsidP="00B958A9">
            <w:pPr>
              <w:pStyle w:val="NoSpacing"/>
              <w:jc w:val="right"/>
            </w:pPr>
            <w:r>
              <w:t>19.35</w:t>
            </w:r>
          </w:p>
        </w:tc>
      </w:tr>
      <w:tr w:rsidR="00B958A9" w14:paraId="01A31D9D" w14:textId="20E3BCEE" w:rsidTr="00B958A9">
        <w:trPr>
          <w:trHeight w:val="320"/>
          <w:jc w:val="center"/>
        </w:trPr>
        <w:tc>
          <w:tcPr>
            <w:tcW w:w="2148" w:type="dxa"/>
            <w:shd w:val="clear" w:color="auto" w:fill="auto"/>
            <w:noWrap/>
            <w:vAlign w:val="center"/>
            <w:hideMark/>
          </w:tcPr>
          <w:p w14:paraId="68D1A879" w14:textId="77777777" w:rsidR="00B958A9" w:rsidRDefault="00B958A9" w:rsidP="00B958A9">
            <w:pPr>
              <w:pStyle w:val="NoSpacing"/>
            </w:pPr>
            <w:r>
              <w:t>9%</w:t>
            </w:r>
          </w:p>
        </w:tc>
        <w:tc>
          <w:tcPr>
            <w:tcW w:w="2556" w:type="dxa"/>
            <w:shd w:val="clear" w:color="auto" w:fill="auto"/>
            <w:noWrap/>
            <w:vAlign w:val="center"/>
            <w:hideMark/>
          </w:tcPr>
          <w:p w14:paraId="4E39273D" w14:textId="77777777" w:rsidR="00B958A9" w:rsidRDefault="00B958A9" w:rsidP="00B958A9">
            <w:pPr>
              <w:pStyle w:val="NoSpacing"/>
              <w:jc w:val="right"/>
            </w:pPr>
            <w:r>
              <w:t>9,780.10</w:t>
            </w:r>
          </w:p>
        </w:tc>
        <w:tc>
          <w:tcPr>
            <w:tcW w:w="2379" w:type="dxa"/>
            <w:vAlign w:val="center"/>
          </w:tcPr>
          <w:p w14:paraId="19B870CC" w14:textId="20FA40D9" w:rsidR="00B958A9" w:rsidRDefault="00B958A9" w:rsidP="00B958A9">
            <w:pPr>
              <w:pStyle w:val="NoSpacing"/>
              <w:jc w:val="right"/>
            </w:pPr>
            <w:r>
              <w:t>2,993.83</w:t>
            </w:r>
          </w:p>
        </w:tc>
        <w:tc>
          <w:tcPr>
            <w:tcW w:w="2518" w:type="dxa"/>
            <w:vAlign w:val="center"/>
          </w:tcPr>
          <w:p w14:paraId="5BD3AF08" w14:textId="2FA00C28" w:rsidR="00B958A9" w:rsidRDefault="00B958A9" w:rsidP="00B958A9">
            <w:pPr>
              <w:pStyle w:val="NoSpacing"/>
              <w:jc w:val="right"/>
            </w:pPr>
            <w:r>
              <w:t>19.35</w:t>
            </w:r>
          </w:p>
        </w:tc>
      </w:tr>
      <w:tr w:rsidR="00B958A9" w14:paraId="4E3FB3D3" w14:textId="62EEA510" w:rsidTr="00B958A9">
        <w:trPr>
          <w:trHeight w:val="320"/>
          <w:jc w:val="center"/>
        </w:trPr>
        <w:tc>
          <w:tcPr>
            <w:tcW w:w="2148" w:type="dxa"/>
            <w:shd w:val="clear" w:color="auto" w:fill="auto"/>
            <w:noWrap/>
            <w:vAlign w:val="center"/>
            <w:hideMark/>
          </w:tcPr>
          <w:p w14:paraId="3165DE7F" w14:textId="77777777" w:rsidR="00B958A9" w:rsidRDefault="00B958A9" w:rsidP="00B958A9">
            <w:pPr>
              <w:pStyle w:val="NoSpacing"/>
            </w:pPr>
            <w:r>
              <w:t>10%</w:t>
            </w:r>
          </w:p>
        </w:tc>
        <w:tc>
          <w:tcPr>
            <w:tcW w:w="2556" w:type="dxa"/>
            <w:shd w:val="clear" w:color="auto" w:fill="auto"/>
            <w:noWrap/>
            <w:vAlign w:val="center"/>
            <w:hideMark/>
          </w:tcPr>
          <w:p w14:paraId="2C15753F" w14:textId="77777777" w:rsidR="00B958A9" w:rsidRDefault="00B958A9" w:rsidP="00B958A9">
            <w:pPr>
              <w:pStyle w:val="NoSpacing"/>
              <w:jc w:val="right"/>
            </w:pPr>
            <w:r>
              <w:t>9,780.10</w:t>
            </w:r>
          </w:p>
        </w:tc>
        <w:tc>
          <w:tcPr>
            <w:tcW w:w="2379" w:type="dxa"/>
            <w:vAlign w:val="center"/>
          </w:tcPr>
          <w:p w14:paraId="53C15FD8" w14:textId="3B9692D5" w:rsidR="00B958A9" w:rsidRDefault="00B958A9" w:rsidP="00B958A9">
            <w:pPr>
              <w:pStyle w:val="NoSpacing"/>
              <w:jc w:val="right"/>
            </w:pPr>
            <w:r>
              <w:t>2,993.83</w:t>
            </w:r>
          </w:p>
        </w:tc>
        <w:tc>
          <w:tcPr>
            <w:tcW w:w="2518" w:type="dxa"/>
            <w:vAlign w:val="center"/>
          </w:tcPr>
          <w:p w14:paraId="783F4AE0" w14:textId="29FF28FC" w:rsidR="00B958A9" w:rsidRDefault="00B958A9" w:rsidP="00B958A9">
            <w:pPr>
              <w:pStyle w:val="NoSpacing"/>
              <w:jc w:val="right"/>
            </w:pPr>
            <w:r>
              <w:t>19.35</w:t>
            </w:r>
          </w:p>
        </w:tc>
      </w:tr>
    </w:tbl>
    <w:bookmarkEnd w:id="107"/>
    <w:bookmarkEnd w:id="113"/>
    <w:p w14:paraId="299124F9" w14:textId="586EA448" w:rsidR="0041538E" w:rsidRDefault="0041538E" w:rsidP="00A6252F">
      <w:pPr>
        <w:pStyle w:val="Heading1"/>
      </w:pPr>
      <w:r>
        <w:t>Conclusion</w:t>
      </w:r>
    </w:p>
    <w:p w14:paraId="5B14861A" w14:textId="01E0D933" w:rsidR="009431D1" w:rsidRDefault="00133AA2" w:rsidP="000A37D0">
      <w:r>
        <w:t xml:space="preserve">This study presented </w:t>
      </w:r>
      <w:r w:rsidR="009431D1">
        <w:t xml:space="preserve">a </w:t>
      </w:r>
      <w:bookmarkStart w:id="114" w:name="_Hlk73643073"/>
      <w:r w:rsidR="009431D1">
        <w:t>spatially-resolved supply chain methodology and optimisation model for hydrogen for the transport sector</w:t>
      </w:r>
      <w:r w:rsidR="00311994">
        <w:t xml:space="preserve">. </w:t>
      </w:r>
      <w:bookmarkStart w:id="115" w:name="_Hlk73775702"/>
      <w:r w:rsidR="00311994">
        <w:t xml:space="preserve">The </w:t>
      </w:r>
      <w:r w:rsidR="009E2CC2">
        <w:t>novelty</w:t>
      </w:r>
      <w:r w:rsidR="00311994">
        <w:t xml:space="preserve"> of this work is that </w:t>
      </w:r>
      <w:r w:rsidR="009E2CC2">
        <w:t xml:space="preserve">the proposed </w:t>
      </w:r>
      <w:r w:rsidR="00311994">
        <w:t xml:space="preserve">supply chain model explicitly </w:t>
      </w:r>
      <w:r w:rsidR="009431D1">
        <w:t xml:space="preserve"> includes hydrogen purity and purification technologies</w:t>
      </w:r>
      <w:r w:rsidR="00311994">
        <w:t>,</w:t>
      </w:r>
      <w:r w:rsidR="009431D1">
        <w:t xml:space="preserve"> considering their costs and technical requirements, in addition to the production and transportation technologies in a hydrogen supply chain.</w:t>
      </w:r>
      <w:r w:rsidR="00F46B97">
        <w:t xml:space="preserve"> </w:t>
      </w:r>
      <w:r w:rsidR="005325CD" w:rsidRPr="005325CD">
        <w:t xml:space="preserve">No previous hydrogen supply chain model includes hydrogen purity and purification technologies, which </w:t>
      </w:r>
      <w:r w:rsidR="009E2CC2">
        <w:t xml:space="preserve">is crucial for </w:t>
      </w:r>
      <w:r w:rsidR="00093DE8">
        <w:t xml:space="preserve">fuel cell electric vehicles in </w:t>
      </w:r>
      <w:r w:rsidR="009E2CC2">
        <w:t xml:space="preserve">transport applications, where hydrogen must be over 99.97% pure in order to avoid poisoning the fuel cells. </w:t>
      </w:r>
      <w:bookmarkEnd w:id="114"/>
      <w:bookmarkEnd w:id="115"/>
      <w:r w:rsidR="009E2CC2">
        <w:t>The model</w:t>
      </w:r>
      <w:r w:rsidR="000A37D0">
        <w:t xml:space="preserve"> offers the possibility to assess potential cost optimal configurations of hydrogen supply chains up to 2050 for the transport sector, and the effects that hydrogen grades play in the development of them, including the decision to repurpose </w:t>
      </w:r>
      <w:r w:rsidR="009431D1">
        <w:t xml:space="preserve">gas distribution networks, </w:t>
      </w:r>
      <w:r w:rsidR="000A37D0">
        <w:t xml:space="preserve">or blend hydrogen into </w:t>
      </w:r>
      <w:r w:rsidR="009431D1">
        <w:t>them</w:t>
      </w:r>
      <w:r w:rsidR="000A37D0">
        <w:t xml:space="preserve">. </w:t>
      </w:r>
    </w:p>
    <w:p w14:paraId="0A76961F" w14:textId="05B545B0" w:rsidR="00F3500D" w:rsidRDefault="000A37D0" w:rsidP="000A37D0">
      <w:r>
        <w:t>The model</w:t>
      </w:r>
      <w:r w:rsidR="009431D1">
        <w:t xml:space="preserve"> was implemented for a case study of Great Britain, to illustrate possible uses and its applicability. In this case, the model was</w:t>
      </w:r>
      <w:r>
        <w:t xml:space="preserve"> used to analyse </w:t>
      </w:r>
      <w:r w:rsidR="00F46B97">
        <w:t>different decarbonisation and learning rate scenarios, and the addi</w:t>
      </w:r>
      <w:r>
        <w:t xml:space="preserve">tional costs incurred </w:t>
      </w:r>
      <w:r w:rsidR="00F46B97">
        <w:t>for achieving different decarbonisation levels by 2050.</w:t>
      </w:r>
      <w:r w:rsidR="00F46B97" w:rsidRPr="00F46B97">
        <w:t xml:space="preserve"> </w:t>
      </w:r>
      <w:r w:rsidR="00F46B97">
        <w:t xml:space="preserve">The base case </w:t>
      </w:r>
      <w:r>
        <w:t xml:space="preserve">showed that the total discounted cost of the hydrogen supply chain is significantly more than that shown in previous studies that looked at </w:t>
      </w:r>
      <w:r w:rsidR="002C1429">
        <w:t>Great Britain</w:t>
      </w:r>
      <w:r>
        <w:t xml:space="preserve">, largely </w:t>
      </w:r>
      <w:r w:rsidR="00F46B97">
        <w:t>due t</w:t>
      </w:r>
      <w:r>
        <w:t xml:space="preserve">o the additional costs due to purification/separation. This highlights the importance </w:t>
      </w:r>
      <w:r w:rsidR="00F46B97">
        <w:t xml:space="preserve">of considering </w:t>
      </w:r>
      <w:r>
        <w:t>hydrogen grades</w:t>
      </w:r>
      <w:r w:rsidR="00F46B97">
        <w:t xml:space="preserve"> and associated costs</w:t>
      </w:r>
      <w:r>
        <w:t xml:space="preserve"> in a supply chain</w:t>
      </w:r>
      <w:r w:rsidR="00F46B97">
        <w:t>,</w:t>
      </w:r>
      <w:r>
        <w:t xml:space="preserve"> especially for the transport sector</w:t>
      </w:r>
      <w:r w:rsidR="009431D1">
        <w:t>,</w:t>
      </w:r>
      <w:r>
        <w:t xml:space="preserve"> as hydrogen fuel cells require a high purity input. </w:t>
      </w:r>
      <w:bookmarkStart w:id="116" w:name="_Hlk73641836"/>
      <w:r w:rsidR="00F3500D">
        <w:t xml:space="preserve">This work suggests that hydrogen supply chain models largely underestimate total supply chain costs when </w:t>
      </w:r>
      <w:r w:rsidR="009341B4">
        <w:t xml:space="preserve">purification technologies are not incorporated. Because hydrogen purity is essential for transport applications, the most important recommendation derived from this study is to take into account purification technologies when estimating hydrogen lifecycle costs and optimal infrastructure configurations globally. </w:t>
      </w:r>
      <w:r w:rsidR="00F3500D">
        <w:t xml:space="preserve"> </w:t>
      </w:r>
      <w:bookmarkEnd w:id="116"/>
    </w:p>
    <w:p w14:paraId="69A71C48" w14:textId="388318DD" w:rsidR="000A37D0" w:rsidRDefault="009341B4" w:rsidP="000A37D0">
      <w:r>
        <w:lastRenderedPageBreak/>
        <w:t>This work</w:t>
      </w:r>
      <w:r w:rsidR="000A37D0">
        <w:t xml:space="preserve"> suggests that the cost optimal use of the</w:t>
      </w:r>
      <w:r w:rsidR="009431D1">
        <w:t xml:space="preserve"> currently installed</w:t>
      </w:r>
      <w:r w:rsidR="000A37D0">
        <w:t xml:space="preserve"> gas distribution network for the transport sector is to repurpose it to supply 100% hydrogen, which can provide insights into strategic planning for gas distribution network operators. Furthermore, it was shown that producing hydrogen from steam methane reforming with </w:t>
      </w:r>
      <w:r w:rsidR="002C1429">
        <w:t>carbon capture and storage</w:t>
      </w:r>
      <w:r w:rsidR="000A37D0">
        <w:t>; installing new transmission pipelines; repurposing the gas distribution network to supply 100% hydrogen; and purifying hydrogen with a pressure swing adsorption system locally at the refuelling station</w:t>
      </w:r>
      <w:r w:rsidR="00F46B97">
        <w:t>;</w:t>
      </w:r>
      <w:r w:rsidR="000A37D0">
        <w:t xml:space="preserve"> </w:t>
      </w:r>
      <w:r w:rsidR="009431D1">
        <w:t>was</w:t>
      </w:r>
      <w:r w:rsidR="000A37D0">
        <w:t xml:space="preserve"> the cost optimal configuration </w:t>
      </w:r>
      <w:r w:rsidR="00F46B97">
        <w:t xml:space="preserve">for the given technoeconomic assumptions, </w:t>
      </w:r>
      <w:r w:rsidR="000A37D0">
        <w:t>providing hydrogen at £6.18 per kg at the pump.</w:t>
      </w:r>
      <w:r>
        <w:t xml:space="preserve"> </w:t>
      </w:r>
      <w:bookmarkStart w:id="117" w:name="_Hlk73641856"/>
      <w:r>
        <w:t xml:space="preserve">This suggests that for countries or regions which have extensive gas distribution networks, repurposing </w:t>
      </w:r>
      <w:r w:rsidR="00661A55">
        <w:t xml:space="preserve">these </w:t>
      </w:r>
      <w:r>
        <w:t xml:space="preserve">networks for hydrogen distribution can be cost-effective, and could avoid sunken assets in the pathway to reach </w:t>
      </w:r>
      <w:r w:rsidR="00661A55">
        <w:t xml:space="preserve">stringent </w:t>
      </w:r>
      <w:r>
        <w:t>decarbonisation</w:t>
      </w:r>
      <w:r w:rsidR="00661A55">
        <w:t xml:space="preserve"> targets.</w:t>
      </w:r>
      <w:r>
        <w:t xml:space="preserve"> </w:t>
      </w:r>
      <w:bookmarkEnd w:id="117"/>
    </w:p>
    <w:p w14:paraId="4AF4E9D8" w14:textId="3C818089" w:rsidR="000A37D0" w:rsidRDefault="000A37D0" w:rsidP="000A37D0">
      <w:r>
        <w:t>The model was then further</w:t>
      </w:r>
      <w:r w:rsidR="00F46B97">
        <w:t xml:space="preserve"> extended </w:t>
      </w:r>
      <w:r>
        <w:t xml:space="preserve">to analyse the effect of increasing the cost of carbon emissions on the supply chain configuration and the total discounted cost. </w:t>
      </w:r>
      <w:r w:rsidR="00661A55">
        <w:t>W</w:t>
      </w:r>
      <w:r>
        <w:t xml:space="preserve">hen the model is forced to decarbonise hydrogen production, there is a relatively small increase in cost of the supply chain, leaving the price at the pump being £6.54 per kg, and a carbon avoidance cost of </w:t>
      </w:r>
      <w:r>
        <w:rPr>
          <w:rFonts w:eastAsiaTheme="minorEastAsia"/>
        </w:rPr>
        <w:t>£291.4/tCO</w:t>
      </w:r>
      <w:r>
        <w:rPr>
          <w:rFonts w:eastAsiaTheme="minorEastAsia"/>
          <w:vertAlign w:val="subscript"/>
        </w:rPr>
        <w:t>2</w:t>
      </w:r>
      <w:r>
        <w:t>.</w:t>
      </w:r>
      <w:r w:rsidR="00661A55">
        <w:t xml:space="preserve"> </w:t>
      </w:r>
      <w:bookmarkStart w:id="118" w:name="_Hlk73641877"/>
      <w:r w:rsidR="00661A55">
        <w:t>This shows that from a systems perspective, achieving deeper decarbonisation levels does not affect the final total discounted cost hugely, and poses the question as to how can policymakers incentivise these decarbonised supply chains, in addition to carbon prices.</w:t>
      </w:r>
    </w:p>
    <w:bookmarkEnd w:id="118"/>
    <w:p w14:paraId="30BBEEB1" w14:textId="22CDE0D9" w:rsidR="000A37D0" w:rsidRDefault="000A37D0" w:rsidP="000A37D0">
      <w:r>
        <w:t xml:space="preserve">Finally, </w:t>
      </w:r>
      <w:r w:rsidR="00A05F62">
        <w:t>the model was used to</w:t>
      </w:r>
      <w:r>
        <w:t xml:space="preserve"> analys</w:t>
      </w:r>
      <w:r w:rsidR="00A05F62">
        <w:t>e</w:t>
      </w:r>
      <w:r>
        <w:t xml:space="preserve"> </w:t>
      </w:r>
      <w:r w:rsidR="00A05F62">
        <w:t>the</w:t>
      </w:r>
      <w:r>
        <w:t xml:space="preserve"> capital cost reductions required for hydrogen separation and purification technologies</w:t>
      </w:r>
      <w:r w:rsidR="00A05F62">
        <w:t>,</w:t>
      </w:r>
      <w:r>
        <w:t xml:space="preserve"> in order to make blending into the gas distribution network to become an economically viable distribution method. As would be expected, an extremely high learning rate would be needed in order for this to happen, which highlights the question as to whether blending hydrogen into the gas distribution network to supply the transport sector is an effective use of a potentially redundant asset in a decarbonising world.</w:t>
      </w:r>
    </w:p>
    <w:p w14:paraId="34C0D35E" w14:textId="4F37A0D9" w:rsidR="000A37D0" w:rsidRDefault="000A37D0" w:rsidP="000A37D0">
      <w:r>
        <w:t xml:space="preserve">Lastly, the goal of this study was to provide a model that could design a hydrogen supply chain for the transport sector, that took into consideration hydrogen purification. This could be progressed further by integrating it into a wider scale model that takes into account other sectors, such as heating, in order to allow the assessment of sector coupling. Furthermore, an even deeper analysis and development of databases for hydrogen purification and separation technologies could identify an option that would make blending into the gas distribution network economically viable. </w:t>
      </w:r>
    </w:p>
    <w:p w14:paraId="40442C9D" w14:textId="33F5FBAE" w:rsidR="0041538E" w:rsidRDefault="0041538E" w:rsidP="00A6252F">
      <w:pPr>
        <w:pStyle w:val="Heading1"/>
      </w:pPr>
      <w:r>
        <w:t>Acknowledgements</w:t>
      </w:r>
    </w:p>
    <w:p w14:paraId="5637D992" w14:textId="3EED4C0D" w:rsidR="009C52A2" w:rsidRPr="00295805" w:rsidRDefault="00546F68" w:rsidP="009C52A2">
      <w:r>
        <w:t>Francisca Jalil-Vega</w:t>
      </w:r>
      <w:r w:rsidR="00621213">
        <w:t xml:space="preserve"> </w:t>
      </w:r>
      <w:r w:rsidR="00621213">
        <w:rPr>
          <w:rFonts w:ascii="Arial" w:hAnsi="Arial" w:cs="Arial"/>
          <w:sz w:val="20"/>
          <w:szCs w:val="20"/>
        </w:rPr>
        <w:t xml:space="preserve">is supported by </w:t>
      </w:r>
      <w:r w:rsidR="00621213" w:rsidRPr="00621213">
        <w:t>ANID PIA/APOYO AFB180003</w:t>
      </w:r>
      <w:r w:rsidR="00621213">
        <w:t xml:space="preserve">, and by </w:t>
      </w:r>
      <w:r w:rsidR="00621213" w:rsidRPr="00621213">
        <w:t>ANID/FONDAP/15110019 SERC-Chile</w:t>
      </w:r>
      <w:r w:rsidR="00621213">
        <w:t>.</w:t>
      </w:r>
    </w:p>
    <w:p w14:paraId="127059CE" w14:textId="60F630BB" w:rsidR="0041538E" w:rsidRDefault="0041538E" w:rsidP="00A6252F">
      <w:pPr>
        <w:pStyle w:val="Heading1"/>
      </w:pPr>
      <w:r>
        <w:t>References</w:t>
      </w:r>
    </w:p>
    <w:p w14:paraId="6D517393" w14:textId="77777777" w:rsidR="006210AE" w:rsidRPr="006210AE" w:rsidRDefault="00AA18E8" w:rsidP="006210AE">
      <w:pPr>
        <w:pStyle w:val="EndNoteBibliography"/>
        <w:spacing w:after="0"/>
      </w:pPr>
      <w:r>
        <w:fldChar w:fldCharType="begin"/>
      </w:r>
      <w:r>
        <w:instrText xml:space="preserve"> ADDIN EN.REFLIST </w:instrText>
      </w:r>
      <w:r>
        <w:fldChar w:fldCharType="separate"/>
      </w:r>
      <w:bookmarkStart w:id="119" w:name="_ENREF_1"/>
      <w:r w:rsidR="006210AE" w:rsidRPr="006210AE">
        <w:t>[1] Ogunbode CA, Doran R, Böhm G. Exposure to the IPCC special report on 1.5 °C global warming is linked to perceived threat and increased concern about climate change.</w:t>
      </w:r>
      <w:bookmarkEnd w:id="119"/>
    </w:p>
    <w:p w14:paraId="4E7D532C" w14:textId="77777777" w:rsidR="006210AE" w:rsidRPr="006210AE" w:rsidRDefault="006210AE" w:rsidP="006210AE">
      <w:pPr>
        <w:pStyle w:val="EndNoteBibliography"/>
        <w:spacing w:after="0"/>
      </w:pPr>
      <w:bookmarkStart w:id="120" w:name="_ENREF_2"/>
      <w:r w:rsidRPr="006210AE">
        <w:t>[2] IPCC. Global Warming of 1.5°C. An IPCC Special Report on the impacts of global warming of 1.5°C above pre-industrial levels and related global greenhouse gas emission pathways, in the context of strengthening the global response to the threat of climate change. 2018. Report No.: 9780470996621.</w:t>
      </w:r>
      <w:bookmarkEnd w:id="120"/>
    </w:p>
    <w:p w14:paraId="35A45F8A" w14:textId="77777777" w:rsidR="006210AE" w:rsidRPr="006210AE" w:rsidRDefault="006210AE" w:rsidP="006210AE">
      <w:pPr>
        <w:pStyle w:val="EndNoteBibliography"/>
        <w:spacing w:after="0"/>
      </w:pPr>
      <w:bookmarkStart w:id="121" w:name="_ENREF_3"/>
      <w:r w:rsidRPr="006210AE">
        <w:t>[3] The International Energy Agency (IEA). The Future of Hydrogen. 2019.</w:t>
      </w:r>
      <w:bookmarkEnd w:id="121"/>
    </w:p>
    <w:p w14:paraId="0FE8F066" w14:textId="77777777" w:rsidR="006210AE" w:rsidRPr="006210AE" w:rsidRDefault="006210AE" w:rsidP="006210AE">
      <w:pPr>
        <w:pStyle w:val="EndNoteBibliography"/>
        <w:spacing w:after="0"/>
      </w:pPr>
      <w:bookmarkStart w:id="122" w:name="_ENREF_4"/>
      <w:r w:rsidRPr="006210AE">
        <w:t>[4] The Institution of Engineering Technology, The Institution of Chemical Engineers, Institution of Mechanical Engineers, The Health Safety Executives Laboratory, Institution of Gas Engineers Managers. Transitioning to Hydrogen: Assessing the Engineering Risks and Uncertainties. 2019.</w:t>
      </w:r>
      <w:bookmarkEnd w:id="122"/>
    </w:p>
    <w:p w14:paraId="2371C773" w14:textId="77777777" w:rsidR="006210AE" w:rsidRPr="006210AE" w:rsidRDefault="006210AE" w:rsidP="006210AE">
      <w:pPr>
        <w:pStyle w:val="EndNoteBibliography"/>
        <w:spacing w:after="0"/>
      </w:pPr>
      <w:bookmarkStart w:id="123" w:name="_ENREF_5"/>
      <w:r w:rsidRPr="006210AE">
        <w:lastRenderedPageBreak/>
        <w:t>[5] Committee on Climate Change. Hydrogen in a low-carbon economy. 2018 November 2018.</w:t>
      </w:r>
      <w:bookmarkEnd w:id="123"/>
    </w:p>
    <w:p w14:paraId="7A066E63" w14:textId="77777777" w:rsidR="006210AE" w:rsidRPr="006210AE" w:rsidRDefault="006210AE" w:rsidP="006210AE">
      <w:pPr>
        <w:pStyle w:val="EndNoteBibliography"/>
        <w:spacing w:after="0"/>
      </w:pPr>
      <w:bookmarkStart w:id="124" w:name="_ENREF_6"/>
      <w:r w:rsidRPr="006210AE">
        <w:t>[6] British Standard. BSI Standards Publication Hydrogen fuel — Product specification - BS ISO 14687-2:2012. 2012.</w:t>
      </w:r>
      <w:bookmarkEnd w:id="124"/>
    </w:p>
    <w:p w14:paraId="35FA0229" w14:textId="77777777" w:rsidR="006210AE" w:rsidRPr="006210AE" w:rsidRDefault="006210AE" w:rsidP="006210AE">
      <w:pPr>
        <w:pStyle w:val="EndNoteBibliography"/>
        <w:spacing w:after="0"/>
      </w:pPr>
      <w:bookmarkStart w:id="125" w:name="_ENREF_7"/>
      <w:r w:rsidRPr="006210AE">
        <w:t>[7] Hickman R, Banister D. Looking over the horizon: Transport and reduced CO2 emissions in the UK by 2030. Transport Policy. 2007.</w:t>
      </w:r>
      <w:bookmarkEnd w:id="125"/>
    </w:p>
    <w:p w14:paraId="483C4076" w14:textId="77777777" w:rsidR="006210AE" w:rsidRPr="006210AE" w:rsidRDefault="006210AE" w:rsidP="006210AE">
      <w:pPr>
        <w:pStyle w:val="EndNoteBibliography"/>
        <w:spacing w:after="0"/>
      </w:pPr>
      <w:bookmarkStart w:id="126" w:name="_ENREF_8"/>
      <w:r w:rsidRPr="006210AE">
        <w:t>[8] Mori D, Hirose K. Recent challenges of hydrogen storage technologies for fuel cell vehicles. International Journal of Hydrogen Energy. 2009.</w:t>
      </w:r>
      <w:bookmarkEnd w:id="126"/>
    </w:p>
    <w:p w14:paraId="6E76AB03" w14:textId="77777777" w:rsidR="006210AE" w:rsidRPr="006210AE" w:rsidRDefault="006210AE" w:rsidP="006210AE">
      <w:pPr>
        <w:pStyle w:val="EndNoteBibliography"/>
        <w:spacing w:after="0"/>
      </w:pPr>
      <w:bookmarkStart w:id="127" w:name="_ENREF_9"/>
      <w:r w:rsidRPr="006210AE">
        <w:t>[9] Dincer I, Acar C. Review and evaluation of hydrogen production methods for better sustainability. International Journal of Hydrogen Energy. 2015.</w:t>
      </w:r>
      <w:bookmarkEnd w:id="127"/>
    </w:p>
    <w:p w14:paraId="0FBA7328" w14:textId="77777777" w:rsidR="006210AE" w:rsidRPr="006210AE" w:rsidRDefault="006210AE" w:rsidP="006210AE">
      <w:pPr>
        <w:pStyle w:val="EndNoteBibliography"/>
        <w:spacing w:after="0"/>
      </w:pPr>
      <w:bookmarkStart w:id="128" w:name="_ENREF_10"/>
      <w:r w:rsidRPr="006210AE">
        <w:t>[10] Verhelst S, Wallner T. Hydrogen-fueled internal combustion engines. Progress in Energy and Combustion Science. 2009;35(6):490-527.</w:t>
      </w:r>
      <w:bookmarkEnd w:id="128"/>
    </w:p>
    <w:p w14:paraId="0152793C" w14:textId="77777777" w:rsidR="006210AE" w:rsidRPr="006210AE" w:rsidRDefault="006210AE" w:rsidP="006210AE">
      <w:pPr>
        <w:pStyle w:val="EndNoteBibliography"/>
        <w:spacing w:after="0"/>
      </w:pPr>
      <w:bookmarkStart w:id="129" w:name="_ENREF_11"/>
      <w:r w:rsidRPr="006210AE">
        <w:t>[11] Wilberforce T, El-Hassan Z, Khatib FN, Al Makky A, Baroutaji A, Carton JG, et al. Developments of electric cars and fuel cell hydrogen electric cars. International Journal of Hydrogen Energy. 2017;42(40):25695-734.</w:t>
      </w:r>
      <w:bookmarkEnd w:id="129"/>
    </w:p>
    <w:p w14:paraId="5E0CC056" w14:textId="77777777" w:rsidR="006210AE" w:rsidRPr="006210AE" w:rsidRDefault="006210AE" w:rsidP="006210AE">
      <w:pPr>
        <w:pStyle w:val="EndNoteBibliography"/>
        <w:spacing w:after="0"/>
      </w:pPr>
      <w:bookmarkStart w:id="130" w:name="_ENREF_12"/>
      <w:r w:rsidRPr="006210AE">
        <w:t>[12] Murthy Konda NVSN, Shah N, Brandon NP. Optimal transition towards a large-scale hydrogen infrastructure for the transport sector: The case for the Netherlands. International Journal of Hydrogen Energy. 2011;36(8):4619-35.</w:t>
      </w:r>
      <w:bookmarkEnd w:id="130"/>
    </w:p>
    <w:p w14:paraId="4712221C" w14:textId="77777777" w:rsidR="006210AE" w:rsidRPr="006210AE" w:rsidRDefault="006210AE" w:rsidP="006210AE">
      <w:pPr>
        <w:pStyle w:val="EndNoteBibliography"/>
        <w:spacing w:after="0"/>
      </w:pPr>
      <w:bookmarkStart w:id="131" w:name="_ENREF_13"/>
      <w:r w:rsidRPr="006210AE">
        <w:t>[13] Haeseldonckx D, D'Haeseleer W. Concrete transition issues towards a fully-fledged use of hydrogen as an energy carrier: Methodology and modelling. International Journal of Hydrogen Energy. 2011.</w:t>
      </w:r>
      <w:bookmarkEnd w:id="131"/>
    </w:p>
    <w:p w14:paraId="528D18AD" w14:textId="77777777" w:rsidR="006210AE" w:rsidRPr="006210AE" w:rsidRDefault="006210AE" w:rsidP="006210AE">
      <w:pPr>
        <w:pStyle w:val="EndNoteBibliography"/>
        <w:spacing w:after="0"/>
      </w:pPr>
      <w:bookmarkStart w:id="132" w:name="_ENREF_14"/>
      <w:r w:rsidRPr="006210AE">
        <w:t>[14] Speirs J, Balcombe P, Johnson E, Martin J, Brandon N, Hawkes A. A Greener Gas Grid: What are The Options? ; 2017.</w:t>
      </w:r>
      <w:bookmarkEnd w:id="132"/>
    </w:p>
    <w:p w14:paraId="1E09CD23" w14:textId="77777777" w:rsidR="006210AE" w:rsidRPr="006210AE" w:rsidRDefault="006210AE" w:rsidP="006210AE">
      <w:pPr>
        <w:pStyle w:val="EndNoteBibliography"/>
        <w:spacing w:after="0"/>
      </w:pPr>
      <w:bookmarkStart w:id="133" w:name="_ENREF_15"/>
      <w:r w:rsidRPr="006210AE">
        <w:t>[15] Azzaro-Pantel C. Hydrogen Supply Chains Design, Deployment and Operation: Mara Conner; 2018.</w:t>
      </w:r>
      <w:bookmarkEnd w:id="133"/>
    </w:p>
    <w:p w14:paraId="0610B15A" w14:textId="77777777" w:rsidR="006210AE" w:rsidRPr="006210AE" w:rsidRDefault="006210AE" w:rsidP="006210AE">
      <w:pPr>
        <w:pStyle w:val="EndNoteBibliography"/>
        <w:spacing w:after="0"/>
      </w:pPr>
      <w:bookmarkStart w:id="134" w:name="_ENREF_16"/>
      <w:r w:rsidRPr="006210AE">
        <w:t>[16] Almansoori A, Shah N. Design and operation of a future hydrogen supply chain: Snapshot model. Chemical Engineering Research and Design. 2006;84(6 A):423-38.</w:t>
      </w:r>
      <w:bookmarkEnd w:id="134"/>
    </w:p>
    <w:p w14:paraId="7D4D9DD5" w14:textId="77777777" w:rsidR="006210AE" w:rsidRPr="006210AE" w:rsidRDefault="006210AE" w:rsidP="006210AE">
      <w:pPr>
        <w:pStyle w:val="EndNoteBibliography"/>
        <w:spacing w:after="0"/>
      </w:pPr>
      <w:bookmarkStart w:id="135" w:name="_ENREF_17"/>
      <w:r w:rsidRPr="006210AE">
        <w:t>[17] Hill N, Hilton G, Morgan-Price S, Weldon P. Zero Emission HGV Infrastructure Requirements. 2019.</w:t>
      </w:r>
      <w:bookmarkEnd w:id="135"/>
    </w:p>
    <w:p w14:paraId="5E3465C5" w14:textId="77777777" w:rsidR="006210AE" w:rsidRPr="006210AE" w:rsidRDefault="006210AE" w:rsidP="006210AE">
      <w:pPr>
        <w:pStyle w:val="EndNoteBibliography"/>
        <w:spacing w:after="0"/>
      </w:pPr>
      <w:bookmarkStart w:id="136" w:name="_ENREF_18"/>
      <w:r w:rsidRPr="006210AE">
        <w:t>[18] Yang C, Ogden J. Determining the lowest-cost hydrogen delivery mode. International Journal of Hydrogen Energy. 2007.</w:t>
      </w:r>
      <w:bookmarkEnd w:id="136"/>
    </w:p>
    <w:p w14:paraId="440A3A8F" w14:textId="77777777" w:rsidR="006210AE" w:rsidRPr="006210AE" w:rsidRDefault="006210AE" w:rsidP="006210AE">
      <w:pPr>
        <w:pStyle w:val="EndNoteBibliography"/>
        <w:spacing w:after="0"/>
      </w:pPr>
      <w:bookmarkStart w:id="137" w:name="_ENREF_19"/>
      <w:r w:rsidRPr="006210AE">
        <w:t>[19] Johnson N, Ogden J. A spatially-explicit optimization model for long-term hydrogen pipeline planning. International Journal of Hydrogen Energy. 2012.</w:t>
      </w:r>
      <w:bookmarkEnd w:id="137"/>
    </w:p>
    <w:p w14:paraId="72E85ABF" w14:textId="77777777" w:rsidR="006210AE" w:rsidRPr="006210AE" w:rsidRDefault="006210AE" w:rsidP="006210AE">
      <w:pPr>
        <w:pStyle w:val="EndNoteBibliography"/>
        <w:spacing w:after="0"/>
      </w:pPr>
      <w:bookmarkStart w:id="138" w:name="_ENREF_20"/>
      <w:r w:rsidRPr="006210AE">
        <w:t>[20] Baufumé S, Grüger F, Grube T, Krieg D, Linssen J, Weber M, et al. GIS-based scenario calculations for a nationwide German hydrogen pipeline infrastructure. International Journal of Hydrogen Energy. 2013;38(10):3813-29.</w:t>
      </w:r>
      <w:bookmarkEnd w:id="138"/>
    </w:p>
    <w:p w14:paraId="0B942787" w14:textId="77777777" w:rsidR="006210AE" w:rsidRPr="006210AE" w:rsidRDefault="006210AE" w:rsidP="006210AE">
      <w:pPr>
        <w:pStyle w:val="EndNoteBibliography"/>
        <w:spacing w:after="0"/>
      </w:pPr>
      <w:bookmarkStart w:id="139" w:name="_ENREF_21"/>
      <w:r w:rsidRPr="006210AE">
        <w:t>[21] Dodds PE, Demoullin S. Conversion of the UK gas system to transport hydrogen. International Journal of Hydrogen Energy. 2013;38(18):7189-200.</w:t>
      </w:r>
      <w:bookmarkEnd w:id="139"/>
    </w:p>
    <w:p w14:paraId="0C871416" w14:textId="77777777" w:rsidR="006210AE" w:rsidRPr="006210AE" w:rsidRDefault="006210AE" w:rsidP="006210AE">
      <w:pPr>
        <w:pStyle w:val="EndNoteBibliography"/>
        <w:spacing w:after="0"/>
      </w:pPr>
      <w:bookmarkStart w:id="140" w:name="_ENREF_22"/>
      <w:r w:rsidRPr="006210AE">
        <w:t>[22] Reuß M, Welder L, Thürauf J, Linßen J, Grube T, Schewe L, et al. Modeling hydrogen networks for future energy systems: A comparison of linear and nonlinear approaches. International Journal of Hydrogen Energy. 2019.</w:t>
      </w:r>
      <w:bookmarkEnd w:id="140"/>
    </w:p>
    <w:p w14:paraId="6A33EAD9" w14:textId="77777777" w:rsidR="006210AE" w:rsidRPr="006210AE" w:rsidRDefault="006210AE" w:rsidP="006210AE">
      <w:pPr>
        <w:pStyle w:val="EndNoteBibliography"/>
        <w:spacing w:after="0"/>
      </w:pPr>
      <w:bookmarkStart w:id="141" w:name="_ENREF_23"/>
      <w:r w:rsidRPr="006210AE">
        <w:t>[23] Samsatli S, Staffell I, Samsatli NJ. Optimal design and operation of integrated wind-hydrogen-electricity networks for decarbonising the domestic transport sector in Great Britain. International Journal of Hydrogen Energy. 2016;41(1):447-75.</w:t>
      </w:r>
      <w:bookmarkEnd w:id="141"/>
    </w:p>
    <w:p w14:paraId="057EBC9D" w14:textId="77777777" w:rsidR="006210AE" w:rsidRPr="006210AE" w:rsidRDefault="006210AE" w:rsidP="006210AE">
      <w:pPr>
        <w:pStyle w:val="EndNoteBibliography"/>
        <w:spacing w:after="0"/>
      </w:pPr>
      <w:bookmarkStart w:id="142" w:name="_ENREF_24"/>
      <w:r w:rsidRPr="006210AE">
        <w:lastRenderedPageBreak/>
        <w:t>[24] Samsatli S, Samsatli NJ. A general spatio-temporal model of energy systems with a detailed account of transport and storage. Computers &amp; Chemical Engineering. 2015;80:155-76.</w:t>
      </w:r>
      <w:bookmarkEnd w:id="142"/>
    </w:p>
    <w:p w14:paraId="5EB0A0B7" w14:textId="77777777" w:rsidR="006210AE" w:rsidRPr="006210AE" w:rsidRDefault="006210AE" w:rsidP="006210AE">
      <w:pPr>
        <w:pStyle w:val="EndNoteBibliography"/>
        <w:spacing w:after="0"/>
      </w:pPr>
      <w:bookmarkStart w:id="143" w:name="_ENREF_25"/>
      <w:r w:rsidRPr="006210AE">
        <w:t>[25] Robinius M, Otto A, Heuser P, Welder L, Syranidis K, Ryberg DS, et al. Linking the power and transport sectors - Part 1: The principle of sector coupling. Energies. 2017;10(7).</w:t>
      </w:r>
      <w:bookmarkEnd w:id="143"/>
    </w:p>
    <w:p w14:paraId="5D011023" w14:textId="77777777" w:rsidR="006210AE" w:rsidRPr="006210AE" w:rsidRDefault="006210AE" w:rsidP="006210AE">
      <w:pPr>
        <w:pStyle w:val="EndNoteBibliography"/>
        <w:spacing w:after="0"/>
      </w:pPr>
      <w:bookmarkStart w:id="144" w:name="_ENREF_26"/>
      <w:r w:rsidRPr="006210AE">
        <w:t>[26] Robinius M, Otto A, Syranidis K, Ryberg DS, Heuser P, Welder L, et al. Linking the power and transport sectors - Part 2: Modelling a sector coupling scenario for Germany. Energies. 2017;10(7):1-23.</w:t>
      </w:r>
      <w:bookmarkEnd w:id="144"/>
    </w:p>
    <w:p w14:paraId="043443B2" w14:textId="77777777" w:rsidR="006210AE" w:rsidRPr="006210AE" w:rsidRDefault="006210AE" w:rsidP="006210AE">
      <w:pPr>
        <w:pStyle w:val="EndNoteBibliography"/>
        <w:spacing w:after="0"/>
      </w:pPr>
      <w:bookmarkStart w:id="145" w:name="_ENREF_27"/>
      <w:r w:rsidRPr="006210AE">
        <w:t>[27] Reuß M, Grube T, Robinius M, Preuster P, Wasserscheid P, Stolten D. Seasonal storage and alternative carriers: A flexible hydrogen supply chain model. Applied Energy. 2017;200:290-302.</w:t>
      </w:r>
      <w:bookmarkEnd w:id="145"/>
    </w:p>
    <w:p w14:paraId="305EEEE8" w14:textId="77777777" w:rsidR="006210AE" w:rsidRPr="006210AE" w:rsidRDefault="006210AE" w:rsidP="006210AE">
      <w:pPr>
        <w:pStyle w:val="EndNoteBibliography"/>
        <w:spacing w:after="0"/>
      </w:pPr>
      <w:bookmarkStart w:id="146" w:name="_ENREF_28"/>
      <w:r w:rsidRPr="006210AE">
        <w:t>[28] Reuß M, Grube T, Robinius M, Stolten D. A hydrogen supply chain with spatial resolution: Comparative analysis of infrastructure technologies in Germany. Applied Energy. 2019;247(April):438-53.</w:t>
      </w:r>
      <w:bookmarkEnd w:id="146"/>
    </w:p>
    <w:p w14:paraId="7B10D134" w14:textId="77777777" w:rsidR="006210AE" w:rsidRPr="006210AE" w:rsidRDefault="006210AE" w:rsidP="006210AE">
      <w:pPr>
        <w:pStyle w:val="EndNoteBibliography"/>
        <w:spacing w:after="0"/>
      </w:pPr>
      <w:bookmarkStart w:id="147" w:name="_ENREF_29"/>
      <w:r w:rsidRPr="006210AE">
        <w:t>[29] Colbertaldo P, Guandalini G, Campanari S. Modelling the integrated power and transport energy system: The role of power-to-gas and hydrogen in long-term scenarios for Italy. Energy. 2018;154:592-601.</w:t>
      </w:r>
      <w:bookmarkEnd w:id="147"/>
    </w:p>
    <w:p w14:paraId="0C952BAC" w14:textId="77777777" w:rsidR="006210AE" w:rsidRPr="006210AE" w:rsidRDefault="006210AE" w:rsidP="006210AE">
      <w:pPr>
        <w:pStyle w:val="EndNoteBibliography"/>
        <w:spacing w:after="0"/>
      </w:pPr>
      <w:bookmarkStart w:id="148" w:name="_ENREF_30"/>
      <w:r w:rsidRPr="006210AE">
        <w:t>[30] Carrera E, Azzaro-Pantel C. A methodological design framework for hydrogen and methane supply chain with special focus on Power-to-Gas systems: application to Occitania region, France. Computers &amp; Chemical Engineering. 2021:107386.</w:t>
      </w:r>
      <w:bookmarkEnd w:id="148"/>
    </w:p>
    <w:p w14:paraId="6053C5E5" w14:textId="77777777" w:rsidR="006210AE" w:rsidRPr="006210AE" w:rsidRDefault="006210AE" w:rsidP="006210AE">
      <w:pPr>
        <w:pStyle w:val="EndNoteBibliography"/>
        <w:spacing w:after="0"/>
      </w:pPr>
      <w:bookmarkStart w:id="149" w:name="_ENREF_31"/>
      <w:r w:rsidRPr="006210AE">
        <w:t>[31] Potrč S, Čuček L, Martin M, Kravanja Z. Sustainable renewable energy supply networks optimization – The gradual transition to a renewable energy system within the European Union by 2050. Renewable and Sustainable Energy Reviews. 2021;146:111186.</w:t>
      </w:r>
      <w:bookmarkEnd w:id="149"/>
    </w:p>
    <w:p w14:paraId="50ABE9C4" w14:textId="77777777" w:rsidR="006210AE" w:rsidRPr="006210AE" w:rsidRDefault="006210AE" w:rsidP="006210AE">
      <w:pPr>
        <w:pStyle w:val="EndNoteBibliography"/>
        <w:spacing w:after="0"/>
      </w:pPr>
      <w:bookmarkStart w:id="150" w:name="_ENREF_32"/>
      <w:r w:rsidRPr="006210AE">
        <w:t>[32] Almansoori A, Betancourt-Torcat A. Design of optimization model for a hydrogen supply chain under emission constraints - A case study of Germany. Energy: Pergamon; 2016. p. 414-29.</w:t>
      </w:r>
      <w:bookmarkEnd w:id="150"/>
    </w:p>
    <w:p w14:paraId="08B102AA" w14:textId="77777777" w:rsidR="006210AE" w:rsidRPr="006210AE" w:rsidRDefault="006210AE" w:rsidP="006210AE">
      <w:pPr>
        <w:pStyle w:val="EndNoteBibliography"/>
        <w:spacing w:after="0"/>
      </w:pPr>
      <w:bookmarkStart w:id="151" w:name="_ENREF_33"/>
      <w:r w:rsidRPr="006210AE">
        <w:t>[33] Moreno-Benito M, Agnolucci P, Papageorgiou LG. Towards a sustainable hydrogen economy: Optimisation-based framework for hydrogen infrastructure development. Computers &amp; Chemical Engineering. 2017;102:110-27.</w:t>
      </w:r>
      <w:bookmarkEnd w:id="151"/>
    </w:p>
    <w:p w14:paraId="226FD676" w14:textId="77777777" w:rsidR="006210AE" w:rsidRPr="006210AE" w:rsidRDefault="006210AE" w:rsidP="006210AE">
      <w:pPr>
        <w:pStyle w:val="EndNoteBibliography"/>
        <w:spacing w:after="0"/>
      </w:pPr>
      <w:bookmarkStart w:id="152" w:name="_ENREF_34"/>
      <w:r w:rsidRPr="006210AE">
        <w:t>[34] Ochoa J, Azzaro-Pantel C, Aguilar-Lasserre A. Optimization of a hydrogen supply chain network design under demand uncertainty by multi-objective genetic algorithms. Computers &amp; Chemical Engineering. 2020;140:106853.</w:t>
      </w:r>
      <w:bookmarkEnd w:id="152"/>
    </w:p>
    <w:p w14:paraId="3F034F1F" w14:textId="77777777" w:rsidR="006210AE" w:rsidRPr="006210AE" w:rsidRDefault="006210AE" w:rsidP="006210AE">
      <w:pPr>
        <w:pStyle w:val="EndNoteBibliography"/>
        <w:spacing w:after="0"/>
      </w:pPr>
      <w:bookmarkStart w:id="153" w:name="_ENREF_35"/>
      <w:r w:rsidRPr="006210AE">
        <w:t>[35] Fazli-Khalaf M, Naderi B, Mohammadi M, Pishvaee MS. Design of a sustainable and reliable hydrogen supply chain network under mixed uncertainties: A case study. International Journal of Hydrogen Energy. 2020;45(59):34503-31.</w:t>
      </w:r>
      <w:bookmarkEnd w:id="153"/>
    </w:p>
    <w:p w14:paraId="2FEF99F2" w14:textId="77777777" w:rsidR="006210AE" w:rsidRPr="006210AE" w:rsidRDefault="006210AE" w:rsidP="006210AE">
      <w:pPr>
        <w:pStyle w:val="EndNoteBibliography"/>
        <w:spacing w:after="0"/>
      </w:pPr>
      <w:bookmarkStart w:id="154" w:name="_ENREF_36"/>
      <w:r w:rsidRPr="006210AE">
        <w:t>[36] Ehrenstein M, Galán-Martín Á, Tulus V, Guillén-Gosálbez G. Optimising fuel supply chains within planetary boundaries: A case study of hydrogen for road transport in the UK. Applied Energy. 2020;276:115486.</w:t>
      </w:r>
      <w:bookmarkEnd w:id="154"/>
    </w:p>
    <w:p w14:paraId="73AEDDA2" w14:textId="77777777" w:rsidR="006210AE" w:rsidRPr="006210AE" w:rsidRDefault="006210AE" w:rsidP="006210AE">
      <w:pPr>
        <w:pStyle w:val="EndNoteBibliography"/>
        <w:spacing w:after="0"/>
      </w:pPr>
      <w:bookmarkStart w:id="155" w:name="_ENREF_37"/>
      <w:r w:rsidRPr="006210AE">
        <w:t>[37] Cantú VH, Azzaro-Pantel C, Ponsich A. A Novel Matheuristic based on bi-level optimization for the multi-Objective design of hydrogen supply chains. Computers &amp; Chemical Engineering. 2021;152:107370.</w:t>
      </w:r>
      <w:bookmarkEnd w:id="155"/>
    </w:p>
    <w:p w14:paraId="5BAEB3DC" w14:textId="77777777" w:rsidR="006210AE" w:rsidRPr="006210AE" w:rsidRDefault="006210AE" w:rsidP="006210AE">
      <w:pPr>
        <w:pStyle w:val="EndNoteBibliography"/>
        <w:spacing w:after="0"/>
      </w:pPr>
      <w:bookmarkStart w:id="156" w:name="_ENREF_38"/>
      <w:r w:rsidRPr="006210AE">
        <w:t>[38] Bolat P, Thiel C. Hydrogen supply chain architecture for bottom-up energy systems models. Part 1: Developing pathways. Pergamon; 2014. p. 8881-97.</w:t>
      </w:r>
      <w:bookmarkEnd w:id="156"/>
    </w:p>
    <w:p w14:paraId="4B65BFAB" w14:textId="77777777" w:rsidR="006210AE" w:rsidRPr="006210AE" w:rsidRDefault="006210AE" w:rsidP="006210AE">
      <w:pPr>
        <w:pStyle w:val="EndNoteBibliography"/>
        <w:spacing w:after="0"/>
      </w:pPr>
      <w:bookmarkStart w:id="157" w:name="_ENREF_39"/>
      <w:r w:rsidRPr="006210AE">
        <w:t>[39] Bolat P, Thiel C. Hydrogen supply chain architecture for bottom-up energy systems models. Part 2: Techno-economic inputs for hydrogen production pathways. Pergamon; 2014. p. 8898-925.</w:t>
      </w:r>
      <w:bookmarkEnd w:id="157"/>
    </w:p>
    <w:p w14:paraId="0A043D05" w14:textId="413F1CB2" w:rsidR="006210AE" w:rsidRPr="006210AE" w:rsidRDefault="006210AE" w:rsidP="006210AE">
      <w:pPr>
        <w:pStyle w:val="EndNoteBibliography"/>
        <w:spacing w:after="0"/>
      </w:pPr>
      <w:bookmarkStart w:id="158" w:name="_ENREF_40"/>
      <w:r w:rsidRPr="006210AE">
        <w:t xml:space="preserve">[40] BEIS. Road transport energy consumption at regional and local authority level: Department for Business, Energy, and Industrial Strategy,; 2020 [Available from: </w:t>
      </w:r>
      <w:hyperlink r:id="rId63" w:history="1">
        <w:r w:rsidRPr="006210AE">
          <w:rPr>
            <w:rStyle w:val="Hyperlink"/>
          </w:rPr>
          <w:t>https://www.gov.uk/government/statistical-data-sets/road-transport-energy-consumption-at-regional-and-local-authority-level</w:t>
        </w:r>
      </w:hyperlink>
      <w:r w:rsidRPr="006210AE">
        <w:t>].</w:t>
      </w:r>
      <w:bookmarkEnd w:id="158"/>
    </w:p>
    <w:p w14:paraId="0173689B" w14:textId="77777777" w:rsidR="006210AE" w:rsidRPr="006210AE" w:rsidRDefault="006210AE" w:rsidP="006210AE">
      <w:pPr>
        <w:pStyle w:val="EndNoteBibliography"/>
        <w:spacing w:after="0"/>
      </w:pPr>
      <w:bookmarkStart w:id="159" w:name="_ENREF_41"/>
      <w:r w:rsidRPr="006210AE">
        <w:t>[41] Hirz M. What is an efficiency of modern average car IC engines? 2016.</w:t>
      </w:r>
      <w:bookmarkEnd w:id="159"/>
    </w:p>
    <w:p w14:paraId="3AC23D97" w14:textId="77777777" w:rsidR="006210AE" w:rsidRPr="006210AE" w:rsidRDefault="006210AE" w:rsidP="006210AE">
      <w:pPr>
        <w:pStyle w:val="EndNoteBibliography"/>
        <w:spacing w:after="0"/>
      </w:pPr>
      <w:bookmarkStart w:id="160" w:name="_ENREF_42"/>
      <w:r w:rsidRPr="006210AE">
        <w:t>[42] Energy USDo. Hydrogen Fuel Cells Fact Sheet. 2006:2-.</w:t>
      </w:r>
      <w:bookmarkEnd w:id="160"/>
    </w:p>
    <w:p w14:paraId="01747A20" w14:textId="77777777" w:rsidR="006210AE" w:rsidRPr="006210AE" w:rsidRDefault="006210AE" w:rsidP="006210AE">
      <w:pPr>
        <w:pStyle w:val="EndNoteBibliography"/>
        <w:spacing w:after="0"/>
      </w:pPr>
      <w:bookmarkStart w:id="161" w:name="_ENREF_43"/>
      <w:r w:rsidRPr="006210AE">
        <w:t>[43] McKinsey Company. A portfolio of power-trains for Europe: a fact-based analysis The role of Battery Electric Vehicles, Plug-in Hybrids and Fuel Cell Electric Vehicles. 2010.</w:t>
      </w:r>
      <w:bookmarkEnd w:id="161"/>
    </w:p>
    <w:p w14:paraId="2F30C220" w14:textId="77777777" w:rsidR="006210AE" w:rsidRPr="006210AE" w:rsidRDefault="006210AE" w:rsidP="006210AE">
      <w:pPr>
        <w:pStyle w:val="EndNoteBibliography"/>
        <w:spacing w:after="0"/>
      </w:pPr>
      <w:bookmarkStart w:id="162" w:name="_ENREF_44"/>
      <w:r w:rsidRPr="006210AE">
        <w:t>[44] Dodds PE, Ekins P. A portfolio of powertrains for the UK: An energy systems analysis. Elsevier Ltd; 2014.</w:t>
      </w:r>
      <w:bookmarkEnd w:id="162"/>
    </w:p>
    <w:p w14:paraId="54FE9E26" w14:textId="77777777" w:rsidR="006210AE" w:rsidRPr="006210AE" w:rsidRDefault="006210AE" w:rsidP="006210AE">
      <w:pPr>
        <w:pStyle w:val="EndNoteBibliography"/>
        <w:spacing w:after="0"/>
      </w:pPr>
      <w:bookmarkStart w:id="163" w:name="_ENREF_45"/>
      <w:r w:rsidRPr="006210AE">
        <w:t>[45] Almaraz SDL. Multi-Objective Optimisation of a Hydrogen Supply Chain. 2014.</w:t>
      </w:r>
      <w:bookmarkEnd w:id="163"/>
    </w:p>
    <w:p w14:paraId="2703D28F" w14:textId="3F3B831A" w:rsidR="006210AE" w:rsidRPr="006210AE" w:rsidRDefault="006210AE" w:rsidP="006210AE">
      <w:pPr>
        <w:pStyle w:val="EndNoteBibliography"/>
        <w:spacing w:after="0"/>
      </w:pPr>
      <w:bookmarkStart w:id="164" w:name="_ENREF_46"/>
      <w:r w:rsidRPr="006210AE">
        <w:t xml:space="preserve">[46] BEIS. Fossil fuel price assumptions: Department for Business, Energy, and Industrial Strategy,; 2020 [Available from: </w:t>
      </w:r>
      <w:hyperlink r:id="rId64" w:history="1">
        <w:r w:rsidRPr="006210AE">
          <w:rPr>
            <w:rStyle w:val="Hyperlink"/>
          </w:rPr>
          <w:t>https://www.gov.uk/government/collections/fossil-fuel-price-assumptions</w:t>
        </w:r>
      </w:hyperlink>
      <w:r w:rsidRPr="006210AE">
        <w:t>].</w:t>
      </w:r>
      <w:bookmarkEnd w:id="164"/>
    </w:p>
    <w:p w14:paraId="1EACD041" w14:textId="459E0E32" w:rsidR="006210AE" w:rsidRPr="006210AE" w:rsidRDefault="006210AE" w:rsidP="006210AE">
      <w:pPr>
        <w:pStyle w:val="EndNoteBibliography"/>
        <w:spacing w:after="0"/>
      </w:pPr>
      <w:bookmarkStart w:id="165" w:name="_ENREF_47"/>
      <w:r w:rsidRPr="006210AE">
        <w:t xml:space="preserve">[47] BEIS. Updated energy and emissions projections 2018: Department for Business, Energy, and Industrial Strategy,; 2019 [35-]. Available from: </w:t>
      </w:r>
      <w:hyperlink r:id="rId65" w:history="1">
        <w:r w:rsidRPr="006210AE">
          <w:rPr>
            <w:rStyle w:val="Hyperlink"/>
          </w:rPr>
          <w:t>https://assets.publishing.service.gov.uk/government/uploads/system/uploads/attachment_data/file/794590/updated-energy-and-emissions-projections-2018.pdf%0Ahttps://www.gov.uk/government/uploads/system/uploads/attachment_data/file/239937/uep_2013.pdf</w:t>
        </w:r>
      </w:hyperlink>
      <w:r w:rsidRPr="006210AE">
        <w:t>].</w:t>
      </w:r>
      <w:bookmarkEnd w:id="165"/>
    </w:p>
    <w:p w14:paraId="229B7CC3" w14:textId="4D50EB2A" w:rsidR="006210AE" w:rsidRPr="006210AE" w:rsidRDefault="006210AE" w:rsidP="006210AE">
      <w:pPr>
        <w:pStyle w:val="EndNoteBibliography"/>
        <w:spacing w:after="0"/>
      </w:pPr>
      <w:bookmarkStart w:id="166" w:name="_ENREF_48"/>
      <w:r w:rsidRPr="006210AE">
        <w:t xml:space="preserve">[48] Renewables.ninja  [Available from: </w:t>
      </w:r>
      <w:hyperlink r:id="rId66" w:history="1">
        <w:r w:rsidRPr="006210AE">
          <w:rPr>
            <w:rStyle w:val="Hyperlink"/>
          </w:rPr>
          <w:t>https://www.renewables.ninja/</w:t>
        </w:r>
      </w:hyperlink>
      <w:r w:rsidRPr="006210AE">
        <w:t>].</w:t>
      </w:r>
      <w:bookmarkEnd w:id="166"/>
    </w:p>
    <w:p w14:paraId="24FF36A7" w14:textId="0701E14D" w:rsidR="006210AE" w:rsidRPr="006210AE" w:rsidRDefault="006210AE" w:rsidP="006210AE">
      <w:pPr>
        <w:pStyle w:val="EndNoteBibliography"/>
        <w:spacing w:after="0"/>
      </w:pPr>
      <w:bookmarkStart w:id="167" w:name="_ENREF_49"/>
      <w:r w:rsidRPr="006210AE">
        <w:t xml:space="preserve">[49] In Balance Energy. Solar and Electrical Services &amp; Systems 2021 [cited 2021. Available from: </w:t>
      </w:r>
      <w:hyperlink r:id="rId67" w:history="1">
        <w:r w:rsidRPr="006210AE">
          <w:rPr>
            <w:rStyle w:val="Hyperlink"/>
          </w:rPr>
          <w:t>https://www.inbalance-energy.co.uk/articles/solar_panels_pv_calculator.html</w:t>
        </w:r>
      </w:hyperlink>
      <w:r w:rsidRPr="006210AE">
        <w:t>].</w:t>
      </w:r>
      <w:bookmarkEnd w:id="167"/>
    </w:p>
    <w:p w14:paraId="57E39896" w14:textId="77777777" w:rsidR="006210AE" w:rsidRPr="006210AE" w:rsidRDefault="006210AE" w:rsidP="006210AE">
      <w:pPr>
        <w:pStyle w:val="EndNoteBibliography"/>
        <w:spacing w:after="0"/>
      </w:pPr>
      <w:bookmarkStart w:id="168" w:name="_ENREF_50"/>
      <w:r w:rsidRPr="006210AE">
        <w:t>[50] BEIS. Clean Growth The UK Carbon Capture Usage and Storage deployment pathway An Action Plan. The Department for Business, Energy, and Industrial Strategy,; 2018.</w:t>
      </w:r>
      <w:bookmarkEnd w:id="168"/>
    </w:p>
    <w:p w14:paraId="21A9B461" w14:textId="77777777" w:rsidR="006210AE" w:rsidRPr="006210AE" w:rsidRDefault="006210AE" w:rsidP="006210AE">
      <w:pPr>
        <w:pStyle w:val="EndNoteBibliography"/>
        <w:spacing w:after="0"/>
      </w:pPr>
      <w:bookmarkStart w:id="169" w:name="_ENREF_51"/>
      <w:r w:rsidRPr="006210AE">
        <w:t>[51] Element Energy. Hydrogen supply chain evidence base. 2018.</w:t>
      </w:r>
      <w:bookmarkEnd w:id="169"/>
    </w:p>
    <w:p w14:paraId="04C3AAE3" w14:textId="77777777" w:rsidR="006210AE" w:rsidRPr="006210AE" w:rsidRDefault="006210AE" w:rsidP="006210AE">
      <w:pPr>
        <w:pStyle w:val="EndNoteBibliography"/>
        <w:spacing w:after="0"/>
      </w:pPr>
      <w:bookmarkStart w:id="170" w:name="_ENREF_52"/>
      <w:r w:rsidRPr="006210AE">
        <w:t>[52] IEA. The Future of Hydrogen Report: Assumptions. International Energy Agency; 2019.</w:t>
      </w:r>
      <w:bookmarkEnd w:id="170"/>
    </w:p>
    <w:p w14:paraId="725C0562" w14:textId="77777777" w:rsidR="006210AE" w:rsidRPr="006210AE" w:rsidRDefault="006210AE" w:rsidP="006210AE">
      <w:pPr>
        <w:pStyle w:val="EndNoteBibliography"/>
        <w:spacing w:after="0"/>
      </w:pPr>
      <w:bookmarkStart w:id="171" w:name="_ENREF_53"/>
      <w:r w:rsidRPr="006210AE">
        <w:t>[53] IEA. The Future of Hydrogen. International Energy Agency; 2019.</w:t>
      </w:r>
      <w:bookmarkEnd w:id="171"/>
    </w:p>
    <w:p w14:paraId="166F4122" w14:textId="1517DA02" w:rsidR="006210AE" w:rsidRPr="006210AE" w:rsidRDefault="006210AE" w:rsidP="006210AE">
      <w:pPr>
        <w:pStyle w:val="EndNoteBibliography"/>
        <w:spacing w:after="0"/>
      </w:pPr>
      <w:bookmarkStart w:id="172" w:name="_ENREF_54"/>
      <w:r w:rsidRPr="006210AE">
        <w:t xml:space="preserve">[54] BEIS. Green Book supplementary guidance: valuation of energy use and greenhouse gas emissions for appraisal - GOV.UK: Department for Business, Energy, and Industrial Strategy,; 2020 [Available from: </w:t>
      </w:r>
      <w:hyperlink r:id="rId68" w:history="1">
        <w:r w:rsidRPr="006210AE">
          <w:rPr>
            <w:rStyle w:val="Hyperlink"/>
          </w:rPr>
          <w:t>https://www.gov.uk/government/publications/valuation-of-energy-use-and-greenhouse-gas-emissions-for-appraisal</w:t>
        </w:r>
      </w:hyperlink>
      <w:r w:rsidRPr="006210AE">
        <w:t>].</w:t>
      </w:r>
      <w:bookmarkEnd w:id="172"/>
    </w:p>
    <w:p w14:paraId="1DF978DF" w14:textId="77777777" w:rsidR="006210AE" w:rsidRPr="006210AE" w:rsidRDefault="006210AE" w:rsidP="006210AE">
      <w:pPr>
        <w:pStyle w:val="EndNoteBibliography"/>
        <w:spacing w:after="0"/>
      </w:pPr>
      <w:bookmarkStart w:id="173" w:name="_ENREF_55"/>
      <w:r w:rsidRPr="006210AE">
        <w:t>[55] OFGEM, National Grid Gas Transmission, Dnv G. L. Network Innovation Competition Screening Submission Pro forma - HyNTS. 2020.</w:t>
      </w:r>
      <w:bookmarkEnd w:id="173"/>
    </w:p>
    <w:p w14:paraId="1224C713" w14:textId="77777777" w:rsidR="006210AE" w:rsidRPr="006210AE" w:rsidRDefault="006210AE" w:rsidP="006210AE">
      <w:pPr>
        <w:pStyle w:val="EndNoteBibliography"/>
        <w:spacing w:after="0"/>
      </w:pPr>
      <w:bookmarkStart w:id="174" w:name="_ENREF_56"/>
      <w:r w:rsidRPr="006210AE">
        <w:t>[56] Sadler D, Cargill A, Crowther M, Rennie A, Watt J, Burton S, et al. H21 - Leeds City Gate. 2016.</w:t>
      </w:r>
      <w:bookmarkEnd w:id="174"/>
    </w:p>
    <w:p w14:paraId="76EDAA2F" w14:textId="77777777" w:rsidR="006210AE" w:rsidRPr="006210AE" w:rsidRDefault="006210AE" w:rsidP="006210AE">
      <w:pPr>
        <w:pStyle w:val="EndNoteBibliography"/>
        <w:spacing w:after="0"/>
      </w:pPr>
      <w:bookmarkStart w:id="175" w:name="_ENREF_57"/>
      <w:r w:rsidRPr="006210AE">
        <w:t>[57] McKinnon A, Piecyk M. Measuring and Managing CO 2 Emissions of European Chemical Transport. Edinburgh.</w:t>
      </w:r>
      <w:bookmarkEnd w:id="175"/>
    </w:p>
    <w:p w14:paraId="180CAF52" w14:textId="214D0005" w:rsidR="006210AE" w:rsidRPr="006210AE" w:rsidRDefault="006210AE" w:rsidP="006210AE">
      <w:pPr>
        <w:pStyle w:val="EndNoteBibliography"/>
        <w:spacing w:after="0"/>
      </w:pPr>
      <w:bookmarkStart w:id="176" w:name="_ENREF_58"/>
      <w:r w:rsidRPr="006210AE">
        <w:t xml:space="preserve">[58] HyDeploy. Hydrogen is vital to tackling climate change - HyDeploy  [Available from: </w:t>
      </w:r>
      <w:hyperlink r:id="rId69" w:history="1">
        <w:r w:rsidRPr="006210AE">
          <w:rPr>
            <w:rStyle w:val="Hyperlink"/>
          </w:rPr>
          <w:t>https://hydeploy.co.uk/</w:t>
        </w:r>
      </w:hyperlink>
      <w:r w:rsidRPr="006210AE">
        <w:t>].</w:t>
      </w:r>
      <w:bookmarkEnd w:id="176"/>
    </w:p>
    <w:p w14:paraId="0B00BAA8" w14:textId="77777777" w:rsidR="006210AE" w:rsidRPr="006210AE" w:rsidRDefault="006210AE" w:rsidP="006210AE">
      <w:pPr>
        <w:pStyle w:val="EndNoteBibliography"/>
        <w:spacing w:after="0"/>
      </w:pPr>
      <w:bookmarkStart w:id="177" w:name="_ENREF_59"/>
      <w:r w:rsidRPr="006210AE">
        <w:t>[59] HSE. The Health And Safety Executive's Enforcement Policy for The Replacement of Iron Gas Mains. 2001.</w:t>
      </w:r>
      <w:bookmarkEnd w:id="177"/>
    </w:p>
    <w:p w14:paraId="08B945E7" w14:textId="77777777" w:rsidR="006210AE" w:rsidRPr="006210AE" w:rsidRDefault="006210AE" w:rsidP="006210AE">
      <w:pPr>
        <w:pStyle w:val="EndNoteBibliography"/>
        <w:spacing w:after="0"/>
      </w:pPr>
      <w:bookmarkStart w:id="178" w:name="_ENREF_60"/>
      <w:r w:rsidRPr="006210AE">
        <w:t>[60] Xu X, Xu B, Dong J, Liu X. Near-term analysis of a roll-out strategy to introduce fuel cell vehicles and hydrogen stations in Shenzhen China. Applied Energy. 2017;196:229-37.</w:t>
      </w:r>
      <w:bookmarkEnd w:id="178"/>
    </w:p>
    <w:p w14:paraId="2C378207" w14:textId="77777777" w:rsidR="006210AE" w:rsidRPr="006210AE" w:rsidRDefault="006210AE" w:rsidP="006210AE">
      <w:pPr>
        <w:pStyle w:val="EndNoteBibliography"/>
        <w:spacing w:after="0"/>
      </w:pPr>
      <w:bookmarkStart w:id="179" w:name="_ENREF_61"/>
      <w:r w:rsidRPr="006210AE">
        <w:t>[61] Martin JR, Gottzmann CF, Notaro F, Stewart HA. Gas Separation by Pressure Swing Adsorption. 31. Boston, MA: Springer; 1986. p. 1071-86.</w:t>
      </w:r>
      <w:bookmarkEnd w:id="179"/>
    </w:p>
    <w:p w14:paraId="069E54FE" w14:textId="77777777" w:rsidR="006210AE" w:rsidRPr="006210AE" w:rsidRDefault="006210AE" w:rsidP="006210AE">
      <w:pPr>
        <w:pStyle w:val="EndNoteBibliography"/>
        <w:spacing w:after="0"/>
      </w:pPr>
      <w:bookmarkStart w:id="180" w:name="_ENREF_62"/>
      <w:r w:rsidRPr="006210AE">
        <w:lastRenderedPageBreak/>
        <w:t>[62] Nordio M, Wassie SA, Van Sint Annaland M, Pacheco Tanaka DA, Viviente Sole JL, Gallucci F. Techno-economic evaluation on a hybrid technology for low hydrogen concentration separation and purification from natural gas grid. International Journal of Hydrogen Energy. 2020.</w:t>
      </w:r>
      <w:bookmarkEnd w:id="180"/>
    </w:p>
    <w:p w14:paraId="587C5372" w14:textId="77777777" w:rsidR="006210AE" w:rsidRPr="006210AE" w:rsidRDefault="006210AE" w:rsidP="006210AE">
      <w:pPr>
        <w:pStyle w:val="EndNoteBibliography"/>
        <w:spacing w:after="0"/>
      </w:pPr>
      <w:bookmarkStart w:id="181" w:name="_ENREF_63"/>
      <w:r w:rsidRPr="006210AE">
        <w:t>[63] Melaina MW, Antonia O, Penev M. Blending Hydrogen into Natural Gas Pipeline Networks: A Review of Key Issues. NREL; 2013.</w:t>
      </w:r>
      <w:bookmarkEnd w:id="181"/>
    </w:p>
    <w:p w14:paraId="1870F4F9" w14:textId="77777777" w:rsidR="006210AE" w:rsidRPr="006210AE" w:rsidRDefault="006210AE" w:rsidP="006210AE">
      <w:pPr>
        <w:pStyle w:val="EndNoteBibliography"/>
        <w:spacing w:after="0"/>
      </w:pPr>
      <w:bookmarkStart w:id="182" w:name="_ENREF_64"/>
      <w:r w:rsidRPr="006210AE">
        <w:t>[64] Almansoori A, Shah N. Design and operation of a stochastic hydrogen supply chain network under demand uncertainty. International Journal of Hydrogen Energy. 2012;37(5):3965-77.</w:t>
      </w:r>
      <w:bookmarkEnd w:id="182"/>
    </w:p>
    <w:p w14:paraId="6FD2CA22" w14:textId="77777777" w:rsidR="006210AE" w:rsidRPr="006210AE" w:rsidRDefault="006210AE" w:rsidP="006210AE">
      <w:pPr>
        <w:pStyle w:val="EndNoteBibliography"/>
        <w:spacing w:after="0"/>
      </w:pPr>
      <w:bookmarkStart w:id="183" w:name="_ENREF_65"/>
      <w:r w:rsidRPr="006210AE">
        <w:t>[65] Hydrogen Council. Path to hydrogen competitiveness: A cost perspective. 2020.</w:t>
      </w:r>
      <w:bookmarkEnd w:id="183"/>
    </w:p>
    <w:p w14:paraId="607ACD05" w14:textId="77777777" w:rsidR="006210AE" w:rsidRPr="006210AE" w:rsidRDefault="006210AE" w:rsidP="006210AE">
      <w:pPr>
        <w:pStyle w:val="EndNoteBibliography"/>
        <w:spacing w:after="0"/>
      </w:pPr>
      <w:bookmarkStart w:id="184" w:name="_ENREF_66"/>
      <w:r w:rsidRPr="006210AE">
        <w:t>[66] Agnolucci P, Akgul O, McDowall W, Papageorgiou LG. The importance of economies of scale, transport costs and demand patterns in optimising hydrogen fuelling infrastructure: An exploration with SHIPMod (Spatial hydrogen infrastructure planning model). International Journal of Hydrogen Energy. 2013;38(26):11189-201.</w:t>
      </w:r>
      <w:bookmarkEnd w:id="184"/>
    </w:p>
    <w:p w14:paraId="551F9432" w14:textId="77777777" w:rsidR="006210AE" w:rsidRPr="006210AE" w:rsidRDefault="006210AE" w:rsidP="006210AE">
      <w:pPr>
        <w:pStyle w:val="EndNoteBibliography"/>
        <w:spacing w:after="0"/>
      </w:pPr>
      <w:bookmarkStart w:id="185" w:name="_ENREF_67"/>
      <w:r w:rsidRPr="006210AE">
        <w:t>[67] IRENA. Green Hydrogen Cost Reduction: Scaling up Electrolysers to Meet the 1.5⁰C Climate Goal. International Renewable Energy Agency, Abu Dhabi; 2020.</w:t>
      </w:r>
      <w:bookmarkEnd w:id="185"/>
    </w:p>
    <w:p w14:paraId="5192B1AA" w14:textId="77777777" w:rsidR="006210AE" w:rsidRPr="006210AE" w:rsidRDefault="006210AE" w:rsidP="006210AE">
      <w:pPr>
        <w:pStyle w:val="EndNoteBibliography"/>
        <w:spacing w:after="0"/>
      </w:pPr>
      <w:bookmarkStart w:id="186" w:name="_ENREF_68"/>
      <w:r w:rsidRPr="006210AE">
        <w:t>[68] HM Government. Industrial Decarbonisation Strategy. 2021.</w:t>
      </w:r>
      <w:bookmarkEnd w:id="186"/>
    </w:p>
    <w:p w14:paraId="1A87CBF8" w14:textId="77777777" w:rsidR="006210AE" w:rsidRPr="006210AE" w:rsidRDefault="006210AE" w:rsidP="006210AE">
      <w:pPr>
        <w:pStyle w:val="EndNoteBibliography"/>
        <w:spacing w:after="0"/>
      </w:pPr>
      <w:bookmarkStart w:id="187" w:name="_ENREF_69"/>
      <w:r w:rsidRPr="006210AE">
        <w:t>[69] Abdulla A, Hanna R, Schell KR, Babacan O, Victor DG. Explaining successful and failed investments in U.S. carbon capture and storage using empirical and expert assessments. Environmental Research Letters. 2020;16(1):014036.</w:t>
      </w:r>
      <w:bookmarkEnd w:id="187"/>
    </w:p>
    <w:p w14:paraId="70C179B9" w14:textId="77777777" w:rsidR="006210AE" w:rsidRPr="006210AE" w:rsidRDefault="006210AE" w:rsidP="006210AE">
      <w:pPr>
        <w:pStyle w:val="EndNoteBibliography"/>
        <w:spacing w:after="0"/>
      </w:pPr>
      <w:bookmarkStart w:id="188" w:name="_ENREF_70"/>
      <w:r w:rsidRPr="006210AE">
        <w:t>[70] Global CCS Institute. Global Status of CCS 2020. 2020.</w:t>
      </w:r>
      <w:bookmarkEnd w:id="188"/>
    </w:p>
    <w:p w14:paraId="2561F485" w14:textId="77777777" w:rsidR="006210AE" w:rsidRPr="006210AE" w:rsidRDefault="006210AE" w:rsidP="006210AE">
      <w:pPr>
        <w:pStyle w:val="EndNoteBibliography"/>
        <w:spacing w:after="0"/>
      </w:pPr>
      <w:bookmarkStart w:id="189" w:name="_ENREF_71"/>
      <w:r w:rsidRPr="006210AE">
        <w:t>[71] Wang A, Jens J, Mavins D, Moultak M, Schimmel M, Leun Kvd, et al. European Hydrogen Backbone - Analysing future demand, supply, and transport of hydrogen. 2021.</w:t>
      </w:r>
      <w:bookmarkEnd w:id="189"/>
    </w:p>
    <w:p w14:paraId="65D5EEE1" w14:textId="2C3C5604" w:rsidR="006210AE" w:rsidRPr="006210AE" w:rsidRDefault="006210AE" w:rsidP="006210AE">
      <w:pPr>
        <w:pStyle w:val="EndNoteBibliography"/>
        <w:spacing w:after="0"/>
      </w:pPr>
      <w:bookmarkStart w:id="190" w:name="_ENREF_72"/>
      <w:r w:rsidRPr="006210AE">
        <w:t xml:space="preserve">[72] HyNet. HyNet - Hydrogen Energy and Carbon Capture, Usage and Storage  [Available from: </w:t>
      </w:r>
      <w:hyperlink r:id="rId70" w:history="1">
        <w:r w:rsidRPr="006210AE">
          <w:rPr>
            <w:rStyle w:val="Hyperlink"/>
          </w:rPr>
          <w:t>https://hynet.co.uk/</w:t>
        </w:r>
      </w:hyperlink>
      <w:r w:rsidRPr="006210AE">
        <w:t>].</w:t>
      </w:r>
      <w:bookmarkEnd w:id="190"/>
    </w:p>
    <w:p w14:paraId="5F216954" w14:textId="77777777" w:rsidR="006210AE" w:rsidRPr="006210AE" w:rsidRDefault="006210AE" w:rsidP="006210AE">
      <w:pPr>
        <w:pStyle w:val="EndNoteBibliography"/>
        <w:spacing w:after="0"/>
      </w:pPr>
      <w:bookmarkStart w:id="191" w:name="_ENREF_73"/>
      <w:r w:rsidRPr="006210AE">
        <w:t>[73] Cadent Gas. HyMotion: HG2V Innovation to Reduce CO2 Emissions HG2V (Hydrogen Grid to Vehicle). 2018.</w:t>
      </w:r>
      <w:bookmarkEnd w:id="191"/>
    </w:p>
    <w:p w14:paraId="311868FD" w14:textId="77777777" w:rsidR="006210AE" w:rsidRPr="006210AE" w:rsidRDefault="006210AE" w:rsidP="006210AE">
      <w:pPr>
        <w:pStyle w:val="EndNoteBibliography"/>
        <w:spacing w:after="0"/>
      </w:pPr>
      <w:bookmarkStart w:id="192" w:name="_ENREF_74"/>
      <w:r w:rsidRPr="006210AE">
        <w:t>[74] IRENA. Renewable Power Generation Costs in 2019. Abu Dhabi: International Renewable Energy Agency; 2020.</w:t>
      </w:r>
      <w:bookmarkEnd w:id="192"/>
    </w:p>
    <w:p w14:paraId="2F4D0D1D" w14:textId="1AFC0F93" w:rsidR="006210AE" w:rsidRPr="006210AE" w:rsidRDefault="006210AE" w:rsidP="006210AE">
      <w:pPr>
        <w:pStyle w:val="EndNoteBibliography"/>
        <w:spacing w:after="0"/>
      </w:pPr>
      <w:bookmarkStart w:id="193" w:name="_ENREF_75"/>
      <w:r w:rsidRPr="006210AE">
        <w:t xml:space="preserve">[75] Office for National Statistics. UK: county population 2018 | Statista 2019 [Available from: </w:t>
      </w:r>
      <w:hyperlink r:id="rId71" w:history="1">
        <w:r w:rsidRPr="006210AE">
          <w:rPr>
            <w:rStyle w:val="Hyperlink"/>
          </w:rPr>
          <w:t>https://www.statista.com/statistics/971694/county-population-england/</w:t>
        </w:r>
      </w:hyperlink>
      <w:r w:rsidRPr="006210AE">
        <w:t>].</w:t>
      </w:r>
      <w:bookmarkEnd w:id="193"/>
    </w:p>
    <w:p w14:paraId="06BD3905" w14:textId="4EFFA19E" w:rsidR="006210AE" w:rsidRPr="006210AE" w:rsidRDefault="006210AE" w:rsidP="006210AE">
      <w:pPr>
        <w:pStyle w:val="EndNoteBibliography"/>
        <w:spacing w:after="0"/>
      </w:pPr>
      <w:bookmarkStart w:id="194" w:name="_ENREF_76"/>
      <w:r w:rsidRPr="006210AE">
        <w:t xml:space="preserve">[76] Office for National Statistics. Regional population of Scotland 2018 Statistic | Statista 2019 [Available from: </w:t>
      </w:r>
      <w:hyperlink r:id="rId72" w:history="1">
        <w:r w:rsidRPr="006210AE">
          <w:rPr>
            <w:rStyle w:val="Hyperlink"/>
          </w:rPr>
          <w:t>https://www.statista.com/statistics/865968/scottish-regional-population-estimates/</w:t>
        </w:r>
      </w:hyperlink>
      <w:r w:rsidRPr="006210AE">
        <w:t>].</w:t>
      </w:r>
      <w:bookmarkEnd w:id="194"/>
    </w:p>
    <w:p w14:paraId="1C04869F" w14:textId="7837D8CC" w:rsidR="006210AE" w:rsidRPr="006210AE" w:rsidRDefault="006210AE" w:rsidP="006210AE">
      <w:pPr>
        <w:pStyle w:val="EndNoteBibliography"/>
        <w:spacing w:after="0"/>
      </w:pPr>
      <w:bookmarkStart w:id="195" w:name="_ENREF_77"/>
      <w:r w:rsidRPr="006210AE">
        <w:t xml:space="preserve">[77] Office for National Statistics. Regional population of Wales 2018 | Statista 2019 [Available from: </w:t>
      </w:r>
      <w:hyperlink r:id="rId73" w:history="1">
        <w:r w:rsidRPr="006210AE">
          <w:rPr>
            <w:rStyle w:val="Hyperlink"/>
          </w:rPr>
          <w:t>https://www.statista.com/statistics/971295/regional-population-wales/</w:t>
        </w:r>
      </w:hyperlink>
      <w:r w:rsidRPr="006210AE">
        <w:t>].</w:t>
      </w:r>
      <w:bookmarkEnd w:id="195"/>
    </w:p>
    <w:p w14:paraId="36EE13A8" w14:textId="53CE702F" w:rsidR="006210AE" w:rsidRPr="006210AE" w:rsidRDefault="006210AE" w:rsidP="006210AE">
      <w:pPr>
        <w:pStyle w:val="EndNoteBibliography"/>
        <w:spacing w:after="0"/>
      </w:pPr>
      <w:bookmarkStart w:id="196" w:name="_ENREF_78"/>
      <w:r w:rsidRPr="006210AE">
        <w:t xml:space="preserve">[78] Statista. Energy and Enviroment 2021 [Available from: </w:t>
      </w:r>
      <w:hyperlink r:id="rId74" w:history="1">
        <w:r w:rsidRPr="006210AE">
          <w:rPr>
            <w:rStyle w:val="Hyperlink"/>
          </w:rPr>
          <w:t>https://www.statista.com/statistics/499507/average-solar-pv-cost-per-kw-installed-uk/</w:t>
        </w:r>
      </w:hyperlink>
      <w:r w:rsidRPr="006210AE">
        <w:t>].</w:t>
      </w:r>
      <w:bookmarkEnd w:id="196"/>
    </w:p>
    <w:p w14:paraId="77B9F8A5" w14:textId="1950FA8C" w:rsidR="006210AE" w:rsidRPr="006210AE" w:rsidRDefault="006210AE" w:rsidP="006210AE">
      <w:pPr>
        <w:pStyle w:val="EndNoteBibliography"/>
        <w:spacing w:after="0"/>
      </w:pPr>
      <w:bookmarkStart w:id="197" w:name="_ENREF_79"/>
      <w:r w:rsidRPr="006210AE">
        <w:t xml:space="preserve">[79] Hydrogen Europe. Hydrogen Europe - Hydrogen transport &amp; distribution  [Available from: </w:t>
      </w:r>
      <w:hyperlink r:id="rId75" w:history="1">
        <w:r w:rsidRPr="006210AE">
          <w:rPr>
            <w:rStyle w:val="Hyperlink"/>
          </w:rPr>
          <w:t>https://hydrogeneurope.eu/hydrogen-transport-distribution</w:t>
        </w:r>
      </w:hyperlink>
      <w:r w:rsidRPr="006210AE">
        <w:t>].</w:t>
      </w:r>
      <w:bookmarkEnd w:id="197"/>
    </w:p>
    <w:p w14:paraId="14879F4F" w14:textId="77777777" w:rsidR="006210AE" w:rsidRPr="006210AE" w:rsidRDefault="006210AE" w:rsidP="006210AE">
      <w:pPr>
        <w:pStyle w:val="EndNoteBibliography"/>
        <w:spacing w:after="0"/>
      </w:pPr>
      <w:bookmarkStart w:id="198" w:name="_ENREF_80"/>
      <w:r w:rsidRPr="006210AE">
        <w:t>[80] National Grid Gas. Climate Change Adaptation Reporting - Second Round Response. National Grid; 2016.</w:t>
      </w:r>
      <w:bookmarkEnd w:id="198"/>
    </w:p>
    <w:p w14:paraId="7A55269E" w14:textId="2C138C70" w:rsidR="006210AE" w:rsidRPr="006210AE" w:rsidRDefault="006210AE" w:rsidP="006210AE">
      <w:pPr>
        <w:pStyle w:val="EndNoteBibliography"/>
      </w:pPr>
      <w:bookmarkStart w:id="199" w:name="_ENREF_81"/>
      <w:r w:rsidRPr="006210AE">
        <w:t xml:space="preserve">[81] The Engineering Toolbox. Hydrogen - Density and Specific Weight  [Available from: </w:t>
      </w:r>
      <w:hyperlink r:id="rId76" w:history="1">
        <w:r w:rsidRPr="006210AE">
          <w:rPr>
            <w:rStyle w:val="Hyperlink"/>
          </w:rPr>
          <w:t>https://www.engineeringtoolbox.com/hydrogen-H2-density-specific-weight-temperature-pressure-d_2044.html</w:t>
        </w:r>
      </w:hyperlink>
      <w:r w:rsidRPr="006210AE">
        <w:t>].</w:t>
      </w:r>
      <w:bookmarkEnd w:id="199"/>
    </w:p>
    <w:p w14:paraId="20B6AF48" w14:textId="31F7611B" w:rsidR="00E41B8C" w:rsidRDefault="00AA18E8" w:rsidP="00BD388E">
      <w:pPr>
        <w:pStyle w:val="EndNoteBibliography"/>
        <w:spacing w:before="0" w:after="0"/>
      </w:pPr>
      <w:r>
        <w:lastRenderedPageBreak/>
        <w:fldChar w:fldCharType="end"/>
      </w:r>
      <w:r w:rsidR="00E41B8C">
        <w:br w:type="page"/>
      </w:r>
    </w:p>
    <w:p w14:paraId="216603EC" w14:textId="1EEAAEBF" w:rsidR="00DE40AA" w:rsidRDefault="00DE40AA" w:rsidP="001661AE">
      <w:pPr>
        <w:pStyle w:val="Abstract"/>
      </w:pPr>
      <w:r>
        <w:lastRenderedPageBreak/>
        <w:t>Appendix</w:t>
      </w:r>
    </w:p>
    <w:p w14:paraId="53EB86C9" w14:textId="02590E10" w:rsidR="001E5952" w:rsidRDefault="001E5952" w:rsidP="004959A9">
      <w:pPr>
        <w:pStyle w:val="Heading7"/>
      </w:pPr>
      <w:bookmarkStart w:id="200" w:name="_Ref55564628"/>
      <w:r>
        <w:t>Nomenclature</w:t>
      </w:r>
      <w:bookmarkEnd w:id="200"/>
    </w:p>
    <w:tbl>
      <w:tblPr>
        <w:tblStyle w:val="TableGrid"/>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6512"/>
        <w:gridCol w:w="1276"/>
      </w:tblGrid>
      <w:tr w:rsidR="000D4A0E" w:rsidRPr="00744EC6" w14:paraId="335D8416" w14:textId="77777777" w:rsidTr="00E41B8C">
        <w:tc>
          <w:tcPr>
            <w:tcW w:w="9924" w:type="dxa"/>
            <w:gridSpan w:val="3"/>
            <w:tcBorders>
              <w:top w:val="single" w:sz="4" w:space="0" w:color="auto"/>
              <w:bottom w:val="single" w:sz="4" w:space="0" w:color="auto"/>
            </w:tcBorders>
            <w:vAlign w:val="center"/>
          </w:tcPr>
          <w:p w14:paraId="35D123F7" w14:textId="77777777" w:rsidR="000D4A0E" w:rsidRPr="00744EC6" w:rsidRDefault="000D4A0E" w:rsidP="000D4A0E">
            <w:pPr>
              <w:spacing w:before="0" w:after="60"/>
              <w:jc w:val="center"/>
              <w:rPr>
                <w:b/>
                <w:bCs/>
                <w:sz w:val="20"/>
                <w:szCs w:val="20"/>
              </w:rPr>
            </w:pPr>
            <w:r w:rsidRPr="00744EC6">
              <w:rPr>
                <w:b/>
                <w:bCs/>
                <w:sz w:val="20"/>
                <w:szCs w:val="20"/>
              </w:rPr>
              <w:t>Sets</w:t>
            </w:r>
          </w:p>
        </w:tc>
      </w:tr>
      <w:tr w:rsidR="000D4A0E" w:rsidRPr="00744EC6" w14:paraId="0F8842B8" w14:textId="77777777" w:rsidTr="00E41B8C">
        <w:tc>
          <w:tcPr>
            <w:tcW w:w="0" w:type="auto"/>
            <w:tcBorders>
              <w:top w:val="single" w:sz="4" w:space="0" w:color="auto"/>
            </w:tcBorders>
            <w:vAlign w:val="center"/>
          </w:tcPr>
          <w:p w14:paraId="25A1132A"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eastAsia="Calibri" w:hAnsi="Cambria Math" w:cs="Times New Roman"/>
                    <w:sz w:val="20"/>
                    <w:szCs w:val="20"/>
                  </w:rPr>
                  <m:t>c</m:t>
                </m:r>
              </m:oMath>
            </m:oMathPara>
          </w:p>
        </w:tc>
        <w:tc>
          <w:tcPr>
            <w:tcW w:w="6512" w:type="dxa"/>
            <w:tcBorders>
              <w:top w:val="single" w:sz="4" w:space="0" w:color="auto"/>
            </w:tcBorders>
            <w:vAlign w:val="center"/>
          </w:tcPr>
          <w:p w14:paraId="2F68FD90" w14:textId="77777777" w:rsidR="000D4A0E" w:rsidRPr="00744EC6" w:rsidRDefault="000D4A0E" w:rsidP="000D4A0E">
            <w:pPr>
              <w:pStyle w:val="Style1"/>
              <w:spacing w:before="0" w:after="60" w:line="240" w:lineRule="auto"/>
              <w:jc w:val="left"/>
              <w:rPr>
                <w:sz w:val="20"/>
                <w:szCs w:val="20"/>
              </w:rPr>
            </w:pPr>
            <w:r w:rsidRPr="00744EC6">
              <w:rPr>
                <w:sz w:val="20"/>
                <w:szCs w:val="20"/>
              </w:rPr>
              <w:t>Purification technology</w:t>
            </w:r>
            <w:r w:rsidRPr="00744EC6">
              <w:rPr>
                <w:rFonts w:eastAsiaTheme="minorEastAsia"/>
                <w:sz w:val="20"/>
                <w:szCs w:val="20"/>
              </w:rPr>
              <w:t xml:space="preserve"> </w:t>
            </w:r>
            <m:oMath>
              <m:r>
                <w:rPr>
                  <w:rFonts w:ascii="Cambria Math" w:eastAsiaTheme="minorEastAsia" w:hAnsi="Cambria Math"/>
                  <w:sz w:val="20"/>
                  <w:szCs w:val="20"/>
                </w:rPr>
                <m:t>∈{PSACentral</m:t>
              </m:r>
            </m:oMath>
            <w:r w:rsidRPr="00744EC6">
              <w:rPr>
                <w:rFonts w:eastAsiaTheme="minorEastAsia"/>
                <w:sz w:val="20"/>
                <w:szCs w:val="20"/>
              </w:rPr>
              <w:t xml:space="preserve">: Centralised pressure swing adsorption, </w:t>
            </w:r>
            <m:oMath>
              <m:r>
                <w:rPr>
                  <w:rFonts w:ascii="Cambria Math" w:eastAsiaTheme="minorEastAsia" w:hAnsi="Cambria Math"/>
                  <w:sz w:val="20"/>
                  <w:szCs w:val="20"/>
                </w:rPr>
                <m:t>PSALoca</m:t>
              </m:r>
              <m:sSub>
                <m:sSubPr>
                  <m:ctrlPr>
                    <w:rPr>
                      <w:rFonts w:ascii="Cambria Math" w:eastAsiaTheme="minorEastAsia" w:hAnsi="Cambria Math"/>
                      <w:i/>
                      <w:sz w:val="20"/>
                      <w:szCs w:val="20"/>
                    </w:rPr>
                  </m:ctrlPr>
                </m:sSubPr>
                <m:e>
                  <m:r>
                    <w:rPr>
                      <w:rFonts w:ascii="Cambria Math" w:eastAsiaTheme="minorEastAsia" w:hAnsi="Cambria Math"/>
                      <w:sz w:val="20"/>
                      <w:szCs w:val="20"/>
                    </w:rPr>
                    <m:t>l</m:t>
                  </m:r>
                </m:e>
                <m:sub>
                  <m:r>
                    <w:rPr>
                      <w:rFonts w:ascii="Cambria Math" w:eastAsiaTheme="minorEastAsia" w:hAnsi="Cambria Math"/>
                      <w:sz w:val="20"/>
                      <w:szCs w:val="20"/>
                    </w:rPr>
                    <m:t>Dirty</m:t>
                  </m:r>
                </m:sub>
              </m:sSub>
            </m:oMath>
            <w:r w:rsidRPr="00744EC6">
              <w:rPr>
                <w:rFonts w:eastAsiaTheme="minorEastAsia"/>
                <w:sz w:val="20"/>
                <w:szCs w:val="20"/>
              </w:rPr>
              <w:t xml:space="preserve">: Localised pressure swing adsorption with dirty grade hydrogen as the inlet, </w:t>
            </w:r>
            <m:oMath>
              <m:r>
                <w:rPr>
                  <w:rFonts w:ascii="Cambria Math" w:eastAsiaTheme="minorEastAsia" w:hAnsi="Cambria Math"/>
                  <w:sz w:val="20"/>
                  <w:szCs w:val="20"/>
                </w:rPr>
                <m:t>PSALoc</m:t>
              </m:r>
              <m:sSub>
                <m:sSubPr>
                  <m:ctrlPr>
                    <w:rPr>
                      <w:rFonts w:ascii="Cambria Math" w:eastAsiaTheme="minorEastAsia" w:hAnsi="Cambria Math"/>
                      <w:i/>
                      <w:sz w:val="20"/>
                      <w:szCs w:val="20"/>
                    </w:rPr>
                  </m:ctrlPr>
                </m:sSubPr>
                <m:e>
                  <m:r>
                    <w:rPr>
                      <w:rFonts w:ascii="Cambria Math" w:eastAsiaTheme="minorEastAsia" w:hAnsi="Cambria Math"/>
                      <w:sz w:val="20"/>
                      <w:szCs w:val="20"/>
                    </w:rPr>
                    <m:t>al</m:t>
                  </m:r>
                </m:e>
                <m:sub>
                  <m:r>
                    <w:rPr>
                      <w:rFonts w:ascii="Cambria Math" w:eastAsiaTheme="minorEastAsia" w:hAnsi="Cambria Math"/>
                      <w:sz w:val="20"/>
                      <w:szCs w:val="20"/>
                    </w:rPr>
                    <m:t>Clean</m:t>
                  </m:r>
                </m:sub>
              </m:sSub>
            </m:oMath>
            <w:r w:rsidRPr="00744EC6">
              <w:rPr>
                <w:rFonts w:eastAsiaTheme="minorEastAsia"/>
                <w:sz w:val="20"/>
                <w:szCs w:val="20"/>
              </w:rPr>
              <w:t xml:space="preserve">: Localised pressure swing adsorption with clean grade hydrogen as the inlet, </w:t>
            </w:r>
            <m:oMath>
              <m:r>
                <w:rPr>
                  <w:rFonts w:ascii="Cambria Math" w:eastAsiaTheme="minorEastAsia" w:hAnsi="Cambria Math"/>
                  <w:sz w:val="20"/>
                  <w:szCs w:val="20"/>
                </w:rPr>
                <m:t>PSALoc</m:t>
              </m:r>
              <m:sSub>
                <m:sSubPr>
                  <m:ctrlPr>
                    <w:rPr>
                      <w:rFonts w:ascii="Cambria Math" w:eastAsiaTheme="minorEastAsia" w:hAnsi="Cambria Math"/>
                      <w:i/>
                      <w:sz w:val="20"/>
                      <w:szCs w:val="20"/>
                    </w:rPr>
                  </m:ctrlPr>
                </m:sSubPr>
                <m:e>
                  <m:r>
                    <w:rPr>
                      <w:rFonts w:ascii="Cambria Math" w:eastAsiaTheme="minorEastAsia" w:hAnsi="Cambria Math"/>
                      <w:sz w:val="20"/>
                      <w:szCs w:val="20"/>
                    </w:rPr>
                    <m:t>al</m:t>
                  </m:r>
                </m:e>
                <m:sub>
                  <m:r>
                    <w:rPr>
                      <w:rFonts w:ascii="Cambria Math" w:eastAsiaTheme="minorEastAsia" w:hAnsi="Cambria Math"/>
                      <w:sz w:val="20"/>
                      <w:szCs w:val="20"/>
                    </w:rPr>
                    <m:t>Blend</m:t>
                  </m:r>
                </m:sub>
              </m:sSub>
            </m:oMath>
            <w:r w:rsidRPr="00744EC6">
              <w:rPr>
                <w:rFonts w:eastAsiaTheme="minorEastAsia"/>
                <w:sz w:val="20"/>
                <w:szCs w:val="20"/>
              </w:rPr>
              <w:t xml:space="preserve">: Localised pressure swing adsorption with blended grade hydrogen as the inlet, </w:t>
            </w:r>
            <m:oMath>
              <m:r>
                <w:rPr>
                  <w:rFonts w:ascii="Cambria Math" w:eastAsiaTheme="minorEastAsia" w:hAnsi="Cambria Math"/>
                  <w:sz w:val="20"/>
                  <w:szCs w:val="20"/>
                </w:rPr>
                <m:t>MemLoc</m:t>
              </m:r>
              <m:sSub>
                <m:sSubPr>
                  <m:ctrlPr>
                    <w:rPr>
                      <w:rFonts w:ascii="Cambria Math" w:eastAsiaTheme="minorEastAsia" w:hAnsi="Cambria Math"/>
                      <w:i/>
                      <w:sz w:val="20"/>
                      <w:szCs w:val="20"/>
                    </w:rPr>
                  </m:ctrlPr>
                </m:sSubPr>
                <m:e>
                  <m:r>
                    <w:rPr>
                      <w:rFonts w:ascii="Cambria Math" w:eastAsiaTheme="minorEastAsia" w:hAnsi="Cambria Math"/>
                      <w:sz w:val="20"/>
                      <w:szCs w:val="20"/>
                    </w:rPr>
                    <m:t>al</m:t>
                  </m:r>
                </m:e>
                <m:sub>
                  <m:r>
                    <w:rPr>
                      <w:rFonts w:ascii="Cambria Math" w:eastAsiaTheme="minorEastAsia" w:hAnsi="Cambria Math"/>
                      <w:sz w:val="20"/>
                      <w:szCs w:val="20"/>
                    </w:rPr>
                    <m:t>Blend</m:t>
                  </m:r>
                </m:sub>
              </m:sSub>
            </m:oMath>
            <w:r w:rsidRPr="00744EC6">
              <w:rPr>
                <w:rFonts w:eastAsiaTheme="minorEastAsia"/>
                <w:sz w:val="20"/>
                <w:szCs w:val="20"/>
              </w:rPr>
              <w:t>: Localised hybrid membrane purification with blended grade hydrogen as the inlet.</w:t>
            </w:r>
          </w:p>
        </w:tc>
        <w:tc>
          <w:tcPr>
            <w:tcW w:w="1276" w:type="dxa"/>
            <w:tcBorders>
              <w:top w:val="single" w:sz="4" w:space="0" w:color="auto"/>
            </w:tcBorders>
            <w:vAlign w:val="center"/>
          </w:tcPr>
          <w:p w14:paraId="69D445D7"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162FC8AC" w14:textId="77777777" w:rsidTr="003B4CD4">
        <w:tc>
          <w:tcPr>
            <w:tcW w:w="0" w:type="auto"/>
            <w:vAlign w:val="center"/>
          </w:tcPr>
          <w:p w14:paraId="797438C0"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eastAsia="Calibri" w:hAnsi="Cambria Math" w:cs="Times New Roman"/>
                    <w:sz w:val="20"/>
                    <w:szCs w:val="20"/>
                  </w:rPr>
                  <m:t>g</m:t>
                </m:r>
              </m:oMath>
            </m:oMathPara>
          </w:p>
        </w:tc>
        <w:tc>
          <w:tcPr>
            <w:tcW w:w="6512" w:type="dxa"/>
            <w:vAlign w:val="center"/>
          </w:tcPr>
          <w:p w14:paraId="7AB20885"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Hydrogen grade </w:t>
            </w:r>
            <m:oMath>
              <m:r>
                <w:rPr>
                  <w:rFonts w:ascii="Cambria Math" w:eastAsiaTheme="minorEastAsia" w:hAnsi="Cambria Math"/>
                  <w:sz w:val="20"/>
                  <w:szCs w:val="20"/>
                </w:rPr>
                <m:t>∈{Blend,Dirty, Clean}</m:t>
              </m:r>
            </m:oMath>
          </w:p>
        </w:tc>
        <w:tc>
          <w:tcPr>
            <w:tcW w:w="1276" w:type="dxa"/>
            <w:vAlign w:val="center"/>
          </w:tcPr>
          <w:p w14:paraId="1AFDD061"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2D2AA32D" w14:textId="77777777" w:rsidTr="003B4CD4">
        <w:trPr>
          <w:trHeight w:val="1615"/>
        </w:trPr>
        <w:tc>
          <w:tcPr>
            <w:tcW w:w="0" w:type="auto"/>
            <w:vAlign w:val="center"/>
          </w:tcPr>
          <w:p w14:paraId="4232212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l</m:t>
                </m:r>
              </m:oMath>
            </m:oMathPara>
          </w:p>
        </w:tc>
        <w:tc>
          <w:tcPr>
            <w:tcW w:w="6512" w:type="dxa"/>
            <w:vAlign w:val="center"/>
          </w:tcPr>
          <w:p w14:paraId="182E0D77" w14:textId="57BF98F3" w:rsidR="000D4A0E" w:rsidRPr="00744EC6" w:rsidRDefault="000D4A0E" w:rsidP="000D4A0E">
            <w:pPr>
              <w:pStyle w:val="Style1"/>
              <w:spacing w:before="0" w:after="60" w:line="240" w:lineRule="auto"/>
              <w:jc w:val="left"/>
              <w:rPr>
                <w:rFonts w:eastAsiaTheme="minorEastAsia"/>
                <w:sz w:val="20"/>
                <w:szCs w:val="20"/>
              </w:rPr>
            </w:pPr>
            <w:r w:rsidRPr="00744EC6">
              <w:rPr>
                <w:sz w:val="20"/>
                <w:szCs w:val="20"/>
              </w:rPr>
              <w:t xml:space="preserve">Transportation technology </w:t>
            </w:r>
            <m:oMath>
              <m:r>
                <w:rPr>
                  <w:rFonts w:ascii="Cambria Math" w:eastAsiaTheme="minorEastAsia" w:hAnsi="Cambria Math"/>
                  <w:sz w:val="20"/>
                  <w:szCs w:val="20"/>
                </w:rPr>
                <m:t>∈{Truc</m:t>
              </m:r>
              <m:sSub>
                <m:sSubPr>
                  <m:ctrlPr>
                    <w:rPr>
                      <w:rFonts w:ascii="Cambria Math" w:eastAsiaTheme="minorEastAsia" w:hAnsi="Cambria Math"/>
                      <w:i/>
                      <w:sz w:val="20"/>
                      <w:szCs w:val="20"/>
                    </w:rPr>
                  </m:ctrlPr>
                </m:sSubPr>
                <m:e>
                  <m:r>
                    <w:rPr>
                      <w:rFonts w:ascii="Cambria Math" w:eastAsiaTheme="minorEastAsia" w:hAnsi="Cambria Math"/>
                      <w:sz w:val="20"/>
                      <w:szCs w:val="20"/>
                    </w:rPr>
                    <m:t>kGH</m:t>
                  </m:r>
                </m:e>
                <m:sub>
                  <m:r>
                    <w:rPr>
                      <w:rFonts w:ascii="Cambria Math" w:eastAsiaTheme="minorEastAsia" w:hAnsi="Cambria Math"/>
                      <w:sz w:val="20"/>
                      <w:szCs w:val="20"/>
                    </w:rPr>
                    <m:t>Dirty</m:t>
                  </m:r>
                </m:sub>
              </m:sSub>
              <m:r>
                <w:rPr>
                  <w:rFonts w:ascii="Cambria Math" w:eastAsiaTheme="minorEastAsia" w:hAnsi="Cambria Math"/>
                  <w:sz w:val="20"/>
                  <w:szCs w:val="20"/>
                </w:rPr>
                <m:t>, Truc</m:t>
              </m:r>
              <m:sSub>
                <m:sSubPr>
                  <m:ctrlPr>
                    <w:rPr>
                      <w:rFonts w:ascii="Cambria Math" w:eastAsiaTheme="minorEastAsia" w:hAnsi="Cambria Math"/>
                      <w:i/>
                      <w:sz w:val="20"/>
                      <w:szCs w:val="20"/>
                    </w:rPr>
                  </m:ctrlPr>
                </m:sSubPr>
                <m:e>
                  <m:r>
                    <w:rPr>
                      <w:rFonts w:ascii="Cambria Math" w:eastAsiaTheme="minorEastAsia" w:hAnsi="Cambria Math"/>
                      <w:sz w:val="20"/>
                      <w:szCs w:val="20"/>
                    </w:rPr>
                    <m:t>kGH</m:t>
                  </m:r>
                </m:e>
                <m:sub>
                  <m:r>
                    <w:rPr>
                      <w:rFonts w:ascii="Cambria Math" w:eastAsiaTheme="minorEastAsia" w:hAnsi="Cambria Math"/>
                      <w:sz w:val="20"/>
                      <w:szCs w:val="20"/>
                    </w:rPr>
                    <m:t>Clean</m:t>
                  </m:r>
                </m:sub>
              </m:sSub>
              <m:r>
                <w:rPr>
                  <w:rFonts w:ascii="Cambria Math" w:eastAsiaTheme="minorEastAsia" w:hAnsi="Cambria Math"/>
                  <w:sz w:val="20"/>
                  <w:szCs w:val="20"/>
                </w:rPr>
                <m:t>, Truc</m:t>
              </m:r>
              <m:sSub>
                <m:sSubPr>
                  <m:ctrlPr>
                    <w:rPr>
                      <w:rFonts w:ascii="Cambria Math" w:eastAsiaTheme="minorEastAsia" w:hAnsi="Cambria Math"/>
                      <w:i/>
                      <w:sz w:val="20"/>
                      <w:szCs w:val="20"/>
                    </w:rPr>
                  </m:ctrlPr>
                </m:sSubPr>
                <m:e>
                  <m:r>
                    <w:rPr>
                      <w:rFonts w:ascii="Cambria Math" w:eastAsiaTheme="minorEastAsia" w:hAnsi="Cambria Math"/>
                      <w:sz w:val="20"/>
                      <w:szCs w:val="20"/>
                    </w:rPr>
                    <m:t>kLH</m:t>
                  </m:r>
                </m:e>
                <m:sub>
                  <m:r>
                    <w:rPr>
                      <w:rFonts w:ascii="Cambria Math" w:eastAsiaTheme="minorEastAsia" w:hAnsi="Cambria Math"/>
                      <w:sz w:val="20"/>
                      <w:szCs w:val="20"/>
                    </w:rPr>
                    <m:t>Dirty</m:t>
                  </m:r>
                </m:sub>
              </m:sSub>
              <m:r>
                <w:rPr>
                  <w:rFonts w:ascii="Cambria Math" w:eastAsiaTheme="minorEastAsia" w:hAnsi="Cambria Math"/>
                  <w:sz w:val="20"/>
                  <w:szCs w:val="20"/>
                </w:rPr>
                <m:t>, Truc</m:t>
              </m:r>
              <m:sSub>
                <m:sSubPr>
                  <m:ctrlPr>
                    <w:rPr>
                      <w:rFonts w:ascii="Cambria Math" w:eastAsiaTheme="minorEastAsia" w:hAnsi="Cambria Math"/>
                      <w:i/>
                      <w:sz w:val="20"/>
                      <w:szCs w:val="20"/>
                    </w:rPr>
                  </m:ctrlPr>
                </m:sSubPr>
                <m:e>
                  <m:r>
                    <w:rPr>
                      <w:rFonts w:ascii="Cambria Math" w:eastAsiaTheme="minorEastAsia" w:hAnsi="Cambria Math"/>
                      <w:sz w:val="20"/>
                      <w:szCs w:val="20"/>
                    </w:rPr>
                    <m:t>kLH</m:t>
                  </m:r>
                </m:e>
                <m:sub>
                  <m:r>
                    <w:rPr>
                      <w:rFonts w:ascii="Cambria Math" w:eastAsiaTheme="minorEastAsia" w:hAnsi="Cambria Math"/>
                      <w:sz w:val="20"/>
                      <w:szCs w:val="20"/>
                    </w:rPr>
                    <m:t>Clean</m:t>
                  </m:r>
                </m:sub>
              </m:sSub>
              <m:r>
                <w:rPr>
                  <w:rFonts w:ascii="Cambria Math" w:eastAsiaTheme="minorEastAsia" w:hAnsi="Cambria Math"/>
                  <w:sz w:val="20"/>
                  <w:szCs w:val="20"/>
                </w:rPr>
                <m:t>,  NewTransmissionPipelin</m:t>
              </m:r>
              <m:sSub>
                <m:sSubPr>
                  <m:ctrlPr>
                    <w:rPr>
                      <w:rFonts w:ascii="Cambria Math" w:eastAsiaTheme="minorEastAsia" w:hAnsi="Cambria Math"/>
                      <w:i/>
                      <w:sz w:val="20"/>
                      <w:szCs w:val="20"/>
                    </w:rPr>
                  </m:ctrlPr>
                </m:sSubPr>
                <m:e>
                  <m:r>
                    <w:rPr>
                      <w:rFonts w:ascii="Cambria Math" w:eastAsiaTheme="minorEastAsia" w:hAnsi="Cambria Math"/>
                      <w:sz w:val="20"/>
                      <w:szCs w:val="20"/>
                    </w:rPr>
                    <m:t>e</m:t>
                  </m:r>
                </m:e>
                <m:sub>
                  <m:r>
                    <w:rPr>
                      <w:rFonts w:ascii="Cambria Math" w:eastAsiaTheme="minorEastAsia" w:hAnsi="Cambria Math"/>
                      <w:sz w:val="20"/>
                      <w:szCs w:val="20"/>
                    </w:rPr>
                    <m:t>Dirty</m:t>
                  </m:r>
                </m:sub>
              </m:sSub>
              <m:r>
                <w:rPr>
                  <w:rFonts w:ascii="Cambria Math" w:eastAsiaTheme="minorEastAsia" w:hAnsi="Cambria Math"/>
                  <w:sz w:val="20"/>
                  <w:szCs w:val="20"/>
                </w:rPr>
                <m:t>,  NewTransmissionPipelin</m:t>
              </m:r>
              <m:sSub>
                <m:sSubPr>
                  <m:ctrlPr>
                    <w:rPr>
                      <w:rFonts w:ascii="Cambria Math" w:eastAsiaTheme="minorEastAsia" w:hAnsi="Cambria Math"/>
                      <w:i/>
                      <w:sz w:val="20"/>
                      <w:szCs w:val="20"/>
                    </w:rPr>
                  </m:ctrlPr>
                </m:sSubPr>
                <m:e>
                  <m:r>
                    <w:rPr>
                      <w:rFonts w:ascii="Cambria Math" w:eastAsiaTheme="minorEastAsia" w:hAnsi="Cambria Math"/>
                      <w:sz w:val="20"/>
                      <w:szCs w:val="20"/>
                    </w:rPr>
                    <m:t>e</m:t>
                  </m:r>
                </m:e>
                <m:sub>
                  <m:r>
                    <w:rPr>
                      <w:rFonts w:ascii="Cambria Math" w:eastAsiaTheme="minorEastAsia" w:hAnsi="Cambria Math"/>
                      <w:sz w:val="20"/>
                      <w:szCs w:val="20"/>
                    </w:rPr>
                    <m:t>Clean</m:t>
                  </m:r>
                </m:sub>
              </m:sSub>
              <m:r>
                <w:rPr>
                  <w:rFonts w:ascii="Cambria Math" w:eastAsiaTheme="minorEastAsia" w:hAnsi="Cambria Math"/>
                  <w:sz w:val="20"/>
                  <w:szCs w:val="20"/>
                </w:rPr>
                <m:t>,  NewDistributionPipelin</m:t>
              </m:r>
              <m:sSub>
                <m:sSubPr>
                  <m:ctrlPr>
                    <w:rPr>
                      <w:rFonts w:ascii="Cambria Math" w:eastAsiaTheme="minorEastAsia" w:hAnsi="Cambria Math"/>
                      <w:i/>
                      <w:sz w:val="20"/>
                      <w:szCs w:val="20"/>
                    </w:rPr>
                  </m:ctrlPr>
                </m:sSubPr>
                <m:e>
                  <m:r>
                    <w:rPr>
                      <w:rFonts w:ascii="Cambria Math" w:eastAsiaTheme="minorEastAsia" w:hAnsi="Cambria Math"/>
                      <w:sz w:val="20"/>
                      <w:szCs w:val="20"/>
                    </w:rPr>
                    <m:t>e</m:t>
                  </m:r>
                </m:e>
                <m:sub>
                  <m:r>
                    <w:rPr>
                      <w:rFonts w:ascii="Cambria Math" w:eastAsiaTheme="minorEastAsia" w:hAnsi="Cambria Math"/>
                      <w:sz w:val="20"/>
                      <w:szCs w:val="20"/>
                    </w:rPr>
                    <m:t>Dirty</m:t>
                  </m:r>
                </m:sub>
              </m:sSub>
              <m:r>
                <w:rPr>
                  <w:rFonts w:ascii="Cambria Math" w:eastAsiaTheme="minorEastAsia" w:hAnsi="Cambria Math"/>
                  <w:sz w:val="20"/>
                  <w:szCs w:val="20"/>
                </w:rPr>
                <m:t>,  NewDistributionPipelin</m:t>
              </m:r>
              <m:sSub>
                <m:sSubPr>
                  <m:ctrlPr>
                    <w:rPr>
                      <w:rFonts w:ascii="Cambria Math" w:eastAsiaTheme="minorEastAsia" w:hAnsi="Cambria Math"/>
                      <w:i/>
                      <w:sz w:val="20"/>
                      <w:szCs w:val="20"/>
                    </w:rPr>
                  </m:ctrlPr>
                </m:sSubPr>
                <m:e>
                  <m:r>
                    <w:rPr>
                      <w:rFonts w:ascii="Cambria Math" w:eastAsiaTheme="minorEastAsia" w:hAnsi="Cambria Math"/>
                      <w:sz w:val="20"/>
                      <w:szCs w:val="20"/>
                    </w:rPr>
                    <m:t>e</m:t>
                  </m:r>
                </m:e>
                <m:sub>
                  <m:r>
                    <w:rPr>
                      <w:rFonts w:ascii="Cambria Math" w:eastAsiaTheme="minorEastAsia" w:hAnsi="Cambria Math"/>
                      <w:sz w:val="20"/>
                      <w:szCs w:val="20"/>
                    </w:rPr>
                    <m:t>Clean</m:t>
                  </m:r>
                </m:sub>
              </m:sSub>
              <m:r>
                <w:rPr>
                  <w:rFonts w:ascii="Cambria Math" w:eastAsiaTheme="minorEastAsia" w:hAnsi="Cambria Math"/>
                  <w:sz w:val="20"/>
                  <w:szCs w:val="20"/>
                </w:rPr>
                <m:t xml:space="preserve">,  RepurposingGasDistributionNetwork,  BlendingGasDistributionNetwork} </m:t>
              </m:r>
            </m:oMath>
          </w:p>
        </w:tc>
        <w:tc>
          <w:tcPr>
            <w:tcW w:w="1276" w:type="dxa"/>
            <w:vAlign w:val="center"/>
          </w:tcPr>
          <w:p w14:paraId="39C7483A"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67DB726E" w14:textId="77777777" w:rsidTr="003B4CD4">
        <w:tc>
          <w:tcPr>
            <w:tcW w:w="0" w:type="auto"/>
            <w:vAlign w:val="center"/>
          </w:tcPr>
          <w:p w14:paraId="57C2C179"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eastAsia="Calibri" w:hAnsi="Cambria Math" w:cs="Times New Roman"/>
                    <w:sz w:val="20"/>
                    <w:szCs w:val="20"/>
                  </w:rPr>
                  <m:t>p</m:t>
                </m:r>
              </m:oMath>
            </m:oMathPara>
          </w:p>
        </w:tc>
        <w:tc>
          <w:tcPr>
            <w:tcW w:w="6512" w:type="dxa"/>
            <w:vAlign w:val="center"/>
          </w:tcPr>
          <w:p w14:paraId="65852DC6" w14:textId="6D05C754" w:rsidR="000D4A0E" w:rsidRPr="00744EC6" w:rsidRDefault="000D4A0E" w:rsidP="000D4A0E">
            <w:pPr>
              <w:pStyle w:val="Style1"/>
              <w:spacing w:before="0" w:after="60" w:line="240" w:lineRule="auto"/>
              <w:jc w:val="left"/>
              <w:rPr>
                <w:rFonts w:eastAsiaTheme="minorEastAsia"/>
                <w:sz w:val="20"/>
                <w:szCs w:val="20"/>
              </w:rPr>
            </w:pPr>
            <w:r w:rsidRPr="00744EC6">
              <w:rPr>
                <w:sz w:val="20"/>
                <w:szCs w:val="20"/>
              </w:rPr>
              <w:t xml:space="preserve">Production technology </w:t>
            </w:r>
            <m:oMath>
              <m:r>
                <w:rPr>
                  <w:rFonts w:ascii="Cambria Math" w:eastAsiaTheme="minorEastAsia" w:hAnsi="Cambria Math"/>
                  <w:sz w:val="20"/>
                  <w:szCs w:val="20"/>
                </w:rPr>
                <m:t xml:space="preserve">∈{SMR: </m:t>
              </m:r>
            </m:oMath>
            <w:r w:rsidRPr="00744EC6">
              <w:rPr>
                <w:rFonts w:eastAsiaTheme="minorEastAsia"/>
                <w:sz w:val="20"/>
                <w:szCs w:val="20"/>
              </w:rPr>
              <w:t>Steam methane reforming with CCS</w:t>
            </w:r>
            <m:oMath>
              <m:r>
                <w:rPr>
                  <w:rFonts w:ascii="Cambria Math" w:eastAsiaTheme="minorEastAsia" w:hAnsi="Cambria Math"/>
                  <w:sz w:val="20"/>
                  <w:szCs w:val="20"/>
                </w:rPr>
                <m:t>, AlkalineElectrolysis</m:t>
              </m:r>
            </m:oMath>
            <w:r w:rsidRPr="00744EC6">
              <w:rPr>
                <w:rFonts w:eastAsiaTheme="minorEastAsia"/>
                <w:sz w:val="20"/>
                <w:szCs w:val="20"/>
              </w:rPr>
              <w:t>: Alkaline electrolyser connected to electricity grid</w:t>
            </w:r>
            <m:oMath>
              <m:r>
                <w:rPr>
                  <w:rFonts w:ascii="Cambria Math" w:eastAsiaTheme="minorEastAsia" w:hAnsi="Cambria Math"/>
                  <w:sz w:val="20"/>
                  <w:szCs w:val="20"/>
                </w:rPr>
                <m:t>,  PEMElectrolysis</m:t>
              </m:r>
            </m:oMath>
            <w:r w:rsidRPr="00744EC6">
              <w:rPr>
                <w:rFonts w:eastAsiaTheme="minorEastAsia"/>
                <w:sz w:val="20"/>
                <w:szCs w:val="20"/>
              </w:rPr>
              <w:t>: PEM electrolyser connected to electricity grid</w:t>
            </w:r>
            <m:oMath>
              <m:r>
                <w:rPr>
                  <w:rFonts w:ascii="Cambria Math" w:eastAsiaTheme="minorEastAsia" w:hAnsi="Cambria Math"/>
                  <w:sz w:val="20"/>
                  <w:szCs w:val="20"/>
                </w:rPr>
                <m:t>, SOECElectrolysis</m:t>
              </m:r>
            </m:oMath>
            <w:r w:rsidRPr="00744EC6">
              <w:rPr>
                <w:rFonts w:eastAsiaTheme="minorEastAsia"/>
                <w:sz w:val="20"/>
                <w:szCs w:val="20"/>
              </w:rPr>
              <w:t>:SOEC Electrolyser connected to electricity grid</w:t>
            </w:r>
            <m:oMath>
              <m:r>
                <w:rPr>
                  <w:rFonts w:ascii="Cambria Math" w:eastAsiaTheme="minorEastAsia" w:hAnsi="Cambria Math"/>
                  <w:sz w:val="20"/>
                  <w:szCs w:val="20"/>
                </w:rPr>
                <m:t>,  AlkalineElectrolysi</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Wind</m:t>
                  </m:r>
                </m:sub>
              </m:sSub>
            </m:oMath>
            <w:r w:rsidRPr="00744EC6">
              <w:rPr>
                <w:rFonts w:eastAsiaTheme="minorEastAsia"/>
                <w:sz w:val="20"/>
                <w:szCs w:val="20"/>
              </w:rPr>
              <w:t>: Alkaline electrolyser connected to onshore windfarm</w:t>
            </w:r>
            <m:oMath>
              <m:r>
                <w:rPr>
                  <w:rFonts w:ascii="Cambria Math" w:eastAsiaTheme="minorEastAsia" w:hAnsi="Cambria Math"/>
                  <w:sz w:val="20"/>
                  <w:szCs w:val="20"/>
                </w:rPr>
                <m:t>, PEMElectrolysi</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Wind</m:t>
                  </m:r>
                </m:sub>
              </m:sSub>
            </m:oMath>
            <w:r w:rsidRPr="00744EC6">
              <w:rPr>
                <w:rFonts w:eastAsiaTheme="minorEastAsia"/>
                <w:sz w:val="20"/>
                <w:szCs w:val="20"/>
              </w:rPr>
              <w:t>:PEM electrolyser connected to onshore windfarm</w:t>
            </w:r>
            <m:oMath>
              <m:r>
                <w:rPr>
                  <w:rFonts w:ascii="Cambria Math" w:eastAsiaTheme="minorEastAsia" w:hAnsi="Cambria Math"/>
                  <w:sz w:val="20"/>
                  <w:szCs w:val="20"/>
                </w:rPr>
                <m:t>,  SOECElectrolysi</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Wind</m:t>
                  </m:r>
                </m:sub>
              </m:sSub>
            </m:oMath>
            <w:r w:rsidRPr="00744EC6">
              <w:rPr>
                <w:rFonts w:eastAsiaTheme="minorEastAsia"/>
                <w:sz w:val="20"/>
                <w:szCs w:val="20"/>
              </w:rPr>
              <w:t>:SOEC electrolyser connected to onshore windfarm</w:t>
            </w:r>
            <w:r w:rsidR="00E5050E">
              <w:rPr>
                <w:rFonts w:eastAsiaTheme="minorEastAsia"/>
                <w:sz w:val="20"/>
                <w:szCs w:val="20"/>
              </w:rPr>
              <w:t>,</w:t>
            </w:r>
            <m:oMath>
              <m:r>
                <w:rPr>
                  <w:rFonts w:ascii="Cambria Math" w:eastAsiaTheme="minorEastAsia" w:hAnsi="Cambria Math"/>
                  <w:sz w:val="20"/>
                  <w:szCs w:val="20"/>
                </w:rPr>
                <m:t xml:space="preserve"> AlkalineElectrolysi</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Solar</m:t>
                  </m:r>
                </m:sub>
              </m:sSub>
            </m:oMath>
            <w:r w:rsidR="00E5050E" w:rsidRPr="00744EC6">
              <w:rPr>
                <w:rFonts w:eastAsiaTheme="minorEastAsia"/>
                <w:sz w:val="20"/>
                <w:szCs w:val="20"/>
              </w:rPr>
              <w:t xml:space="preserve">: Alkaline electrolyser connected to </w:t>
            </w:r>
            <w:r w:rsidR="00E5050E">
              <w:rPr>
                <w:rFonts w:eastAsiaTheme="minorEastAsia"/>
                <w:sz w:val="20"/>
                <w:szCs w:val="20"/>
              </w:rPr>
              <w:t>solar PV</w:t>
            </w:r>
            <m:oMath>
              <m:r>
                <w:rPr>
                  <w:rFonts w:ascii="Cambria Math" w:eastAsiaTheme="minorEastAsia" w:hAnsi="Cambria Math"/>
                  <w:sz w:val="20"/>
                  <w:szCs w:val="20"/>
                </w:rPr>
                <m:t>, PEMElectrolysi</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Solar</m:t>
                  </m:r>
                </m:sub>
              </m:sSub>
            </m:oMath>
            <w:r w:rsidR="00E5050E" w:rsidRPr="00744EC6">
              <w:rPr>
                <w:rFonts w:eastAsiaTheme="minorEastAsia"/>
                <w:sz w:val="20"/>
                <w:szCs w:val="20"/>
              </w:rPr>
              <w:t xml:space="preserve">:PEM electrolyser connected to </w:t>
            </w:r>
            <w:r w:rsidR="00E5050E">
              <w:rPr>
                <w:rFonts w:eastAsiaTheme="minorEastAsia"/>
                <w:sz w:val="20"/>
                <w:szCs w:val="20"/>
              </w:rPr>
              <w:t>solar PV</w:t>
            </w:r>
            <m:oMath>
              <m:r>
                <w:rPr>
                  <w:rFonts w:ascii="Cambria Math" w:eastAsiaTheme="minorEastAsia" w:hAnsi="Cambria Math"/>
                  <w:sz w:val="20"/>
                  <w:szCs w:val="20"/>
                </w:rPr>
                <m:t>,  SOECElectrolysi</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Solar</m:t>
                  </m:r>
                </m:sub>
              </m:sSub>
            </m:oMath>
            <w:r w:rsidR="00E5050E" w:rsidRPr="00744EC6">
              <w:rPr>
                <w:rFonts w:eastAsiaTheme="minorEastAsia"/>
                <w:sz w:val="20"/>
                <w:szCs w:val="20"/>
              </w:rPr>
              <w:t xml:space="preserve">:SOEC electrolyser connected to </w:t>
            </w:r>
            <w:r w:rsidR="00E5050E">
              <w:rPr>
                <w:rFonts w:eastAsiaTheme="minorEastAsia"/>
                <w:sz w:val="20"/>
                <w:szCs w:val="20"/>
              </w:rPr>
              <w:t>solar PV</w:t>
            </w:r>
            <m:oMath>
              <m:r>
                <w:rPr>
                  <w:rFonts w:ascii="Cambria Math" w:eastAsiaTheme="minorEastAsia" w:hAnsi="Cambria Math"/>
                  <w:sz w:val="20"/>
                  <w:szCs w:val="20"/>
                </w:rPr>
                <m:t>}</m:t>
              </m:r>
            </m:oMath>
          </w:p>
        </w:tc>
        <w:tc>
          <w:tcPr>
            <w:tcW w:w="1276" w:type="dxa"/>
            <w:vAlign w:val="center"/>
          </w:tcPr>
          <w:p w14:paraId="4139F792"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4AA65F91" w14:textId="77777777" w:rsidTr="003B4CD4">
        <w:tc>
          <w:tcPr>
            <w:tcW w:w="0" w:type="auto"/>
            <w:vAlign w:val="center"/>
          </w:tcPr>
          <w:p w14:paraId="68C1D05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y</m:t>
                </m:r>
              </m:oMath>
            </m:oMathPara>
          </w:p>
        </w:tc>
        <w:tc>
          <w:tcPr>
            <w:tcW w:w="6512" w:type="dxa"/>
            <w:vAlign w:val="center"/>
          </w:tcPr>
          <w:p w14:paraId="6E63309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Time period </w:t>
            </w:r>
            <m:oMath>
              <m:r>
                <w:rPr>
                  <w:rFonts w:ascii="Cambria Math" w:eastAsiaTheme="minorEastAsia" w:hAnsi="Cambria Math"/>
                  <w:sz w:val="20"/>
                  <w:szCs w:val="20"/>
                </w:rPr>
                <m:t>∈{2015, 2020, …,2050}</m:t>
              </m:r>
            </m:oMath>
          </w:p>
        </w:tc>
        <w:tc>
          <w:tcPr>
            <w:tcW w:w="1276" w:type="dxa"/>
            <w:vAlign w:val="center"/>
          </w:tcPr>
          <w:p w14:paraId="6E4AE7AA"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54A132E9" w14:textId="77777777" w:rsidTr="00E41B8C">
        <w:tc>
          <w:tcPr>
            <w:tcW w:w="0" w:type="auto"/>
            <w:tcBorders>
              <w:bottom w:val="single" w:sz="4" w:space="0" w:color="auto"/>
            </w:tcBorders>
            <w:vAlign w:val="center"/>
          </w:tcPr>
          <w:p w14:paraId="6BAD0C6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z</m:t>
                </m:r>
              </m:oMath>
            </m:oMathPara>
          </w:p>
        </w:tc>
        <w:tc>
          <w:tcPr>
            <w:tcW w:w="6512" w:type="dxa"/>
            <w:tcBorders>
              <w:bottom w:val="single" w:sz="4" w:space="0" w:color="auto"/>
            </w:tcBorders>
            <w:vAlign w:val="center"/>
          </w:tcPr>
          <w:p w14:paraId="68C287C3"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Zone </w:t>
            </w:r>
            <m:oMath>
              <m:r>
                <w:rPr>
                  <w:rFonts w:ascii="Cambria Math" w:eastAsiaTheme="minorEastAsia" w:hAnsi="Cambria Math"/>
                  <w:sz w:val="20"/>
                  <w:szCs w:val="20"/>
                </w:rPr>
                <m:t>∈{1,2,…,34}</m:t>
              </m:r>
            </m:oMath>
          </w:p>
        </w:tc>
        <w:tc>
          <w:tcPr>
            <w:tcW w:w="1276" w:type="dxa"/>
            <w:tcBorders>
              <w:bottom w:val="single" w:sz="4" w:space="0" w:color="auto"/>
            </w:tcBorders>
            <w:vAlign w:val="center"/>
          </w:tcPr>
          <w:p w14:paraId="09DF3FDA"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55119C76" w14:textId="77777777" w:rsidTr="00E41B8C">
        <w:tc>
          <w:tcPr>
            <w:tcW w:w="9924" w:type="dxa"/>
            <w:gridSpan w:val="3"/>
            <w:tcBorders>
              <w:top w:val="single" w:sz="4" w:space="0" w:color="auto"/>
              <w:bottom w:val="single" w:sz="4" w:space="0" w:color="auto"/>
            </w:tcBorders>
            <w:vAlign w:val="center"/>
          </w:tcPr>
          <w:p w14:paraId="472AEEA2" w14:textId="77777777" w:rsidR="000D4A0E" w:rsidRPr="00744EC6" w:rsidRDefault="000D4A0E" w:rsidP="000D4A0E">
            <w:pPr>
              <w:spacing w:before="0" w:after="60"/>
              <w:jc w:val="center"/>
              <w:rPr>
                <w:b/>
                <w:bCs/>
                <w:sz w:val="20"/>
                <w:szCs w:val="20"/>
              </w:rPr>
            </w:pPr>
            <w:r w:rsidRPr="00744EC6">
              <w:rPr>
                <w:b/>
                <w:bCs/>
                <w:sz w:val="20"/>
                <w:szCs w:val="20"/>
              </w:rPr>
              <w:t>Parameters</w:t>
            </w:r>
          </w:p>
        </w:tc>
      </w:tr>
      <w:tr w:rsidR="000D4A0E" w:rsidRPr="00744EC6" w14:paraId="6C52539D" w14:textId="77777777" w:rsidTr="00E41B8C">
        <w:tc>
          <w:tcPr>
            <w:tcW w:w="0" w:type="auto"/>
            <w:tcBorders>
              <w:top w:val="single" w:sz="4" w:space="0" w:color="auto"/>
            </w:tcBorders>
            <w:vAlign w:val="center"/>
          </w:tcPr>
          <w:p w14:paraId="1FAC2C04"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z</m:t>
                    </m:r>
                  </m:sub>
                </m:sSub>
              </m:oMath>
            </m:oMathPara>
          </w:p>
        </w:tc>
        <w:tc>
          <w:tcPr>
            <w:tcW w:w="6512" w:type="dxa"/>
            <w:tcBorders>
              <w:top w:val="single" w:sz="4" w:space="0" w:color="auto"/>
            </w:tcBorders>
            <w:vAlign w:val="center"/>
          </w:tcPr>
          <w:p w14:paraId="2B21646E"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Land available for onshore wind turbines in zone </w:t>
            </w:r>
            <m:oMath>
              <m:r>
                <w:rPr>
                  <w:rFonts w:ascii="Cambria Math" w:hAnsi="Cambria Math"/>
                  <w:sz w:val="20"/>
                  <w:szCs w:val="20"/>
                </w:rPr>
                <m:t>z</m:t>
              </m:r>
            </m:oMath>
          </w:p>
        </w:tc>
        <w:tc>
          <w:tcPr>
            <w:tcW w:w="1276" w:type="dxa"/>
            <w:tcBorders>
              <w:top w:val="single" w:sz="4" w:space="0" w:color="auto"/>
            </w:tcBorders>
            <w:vAlign w:val="center"/>
          </w:tcPr>
          <w:p w14:paraId="3B1694AC"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k</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m</m:t>
                    </m:r>
                  </m:e>
                  <m:sup>
                    <m:r>
                      <w:rPr>
                        <w:rFonts w:ascii="Cambria Math" w:eastAsia="Calibri" w:hAnsi="Cambria Math" w:cs="Times New Roman"/>
                        <w:sz w:val="20"/>
                        <w:szCs w:val="20"/>
                      </w:rPr>
                      <m:t>2</m:t>
                    </m:r>
                  </m:sup>
                </m:sSup>
              </m:oMath>
            </m:oMathPara>
          </w:p>
        </w:tc>
      </w:tr>
      <w:tr w:rsidR="000D4A0E" w:rsidRPr="00744EC6" w14:paraId="5A006A10" w14:textId="77777777" w:rsidTr="003B4CD4">
        <w:tc>
          <w:tcPr>
            <w:tcW w:w="0" w:type="auto"/>
            <w:vAlign w:val="center"/>
          </w:tcPr>
          <w:p w14:paraId="2D5E92AA"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α</m:t>
                </m:r>
              </m:oMath>
            </m:oMathPara>
          </w:p>
        </w:tc>
        <w:tc>
          <w:tcPr>
            <w:tcW w:w="6512" w:type="dxa"/>
            <w:vAlign w:val="center"/>
          </w:tcPr>
          <w:p w14:paraId="202D5B80" w14:textId="77777777" w:rsidR="000D4A0E" w:rsidRPr="00744EC6" w:rsidRDefault="000D4A0E" w:rsidP="000D4A0E">
            <w:pPr>
              <w:pStyle w:val="Style1"/>
              <w:spacing w:before="0" w:after="60" w:line="240" w:lineRule="auto"/>
              <w:jc w:val="left"/>
              <w:rPr>
                <w:sz w:val="20"/>
                <w:szCs w:val="20"/>
              </w:rPr>
            </w:pPr>
            <w:r w:rsidRPr="00744EC6">
              <w:rPr>
                <w:sz w:val="20"/>
                <w:szCs w:val="20"/>
              </w:rPr>
              <w:t>Number of operating hours of the supply chain in a year.</w:t>
            </w:r>
          </w:p>
        </w:tc>
        <w:tc>
          <w:tcPr>
            <w:tcW w:w="1276" w:type="dxa"/>
            <w:vAlign w:val="center"/>
          </w:tcPr>
          <w:p w14:paraId="071C0BE1"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Hours</m:t>
                    </m:r>
                  </m:num>
                  <m:den>
                    <m:r>
                      <w:rPr>
                        <w:rFonts w:ascii="Cambria Math" w:hAnsi="Cambria Math"/>
                        <w:sz w:val="20"/>
                        <w:szCs w:val="20"/>
                      </w:rPr>
                      <m:t>year</m:t>
                    </m:r>
                  </m:den>
                </m:f>
              </m:oMath>
            </m:oMathPara>
          </w:p>
        </w:tc>
      </w:tr>
      <w:tr w:rsidR="000D4A0E" w:rsidRPr="00744EC6" w14:paraId="428577DD" w14:textId="77777777" w:rsidTr="003B4CD4">
        <w:tc>
          <w:tcPr>
            <w:tcW w:w="0" w:type="auto"/>
            <w:vAlign w:val="center"/>
          </w:tcPr>
          <w:p w14:paraId="5CF1D1E9"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p>
                  <m:sSupPr>
                    <m:ctrlPr>
                      <w:rPr>
                        <w:rFonts w:ascii="Cambria Math" w:hAnsi="Cambria Math"/>
                        <w:i/>
                        <w:sz w:val="20"/>
                        <w:szCs w:val="20"/>
                      </w:rPr>
                    </m:ctrlPr>
                  </m:sSupPr>
                  <m:e>
                    <m:r>
                      <w:rPr>
                        <w:rFonts w:ascii="Cambria Math" w:hAnsi="Cambria Math"/>
                        <w:sz w:val="20"/>
                        <w:szCs w:val="20"/>
                      </w:rPr>
                      <m:t>β</m:t>
                    </m:r>
                  </m:e>
                  <m:sup>
                    <m:r>
                      <w:rPr>
                        <w:rFonts w:ascii="Cambria Math" w:hAnsi="Cambria Math"/>
                        <w:sz w:val="20"/>
                        <w:szCs w:val="20"/>
                      </w:rPr>
                      <m:t>RF</m:t>
                    </m:r>
                  </m:sup>
                </m:sSup>
              </m:oMath>
            </m:oMathPara>
          </w:p>
        </w:tc>
        <w:tc>
          <w:tcPr>
            <w:tcW w:w="6512" w:type="dxa"/>
            <w:vAlign w:val="center"/>
          </w:tcPr>
          <w:p w14:paraId="440EB94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Number of days worth of hydrogen storage installed at refuelling stations. </w:t>
            </w:r>
          </w:p>
        </w:tc>
        <w:tc>
          <w:tcPr>
            <w:tcW w:w="1276" w:type="dxa"/>
            <w:vAlign w:val="center"/>
          </w:tcPr>
          <w:p w14:paraId="03E6A646"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Day(s)</m:t>
                </m:r>
              </m:oMath>
            </m:oMathPara>
          </w:p>
        </w:tc>
      </w:tr>
      <w:tr w:rsidR="000D4A0E" w:rsidRPr="00744EC6" w14:paraId="47512D6B" w14:textId="77777777" w:rsidTr="003B4CD4">
        <w:tc>
          <w:tcPr>
            <w:tcW w:w="0" w:type="auto"/>
            <w:vAlign w:val="center"/>
          </w:tcPr>
          <w:p w14:paraId="1554281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Theme="minorEastAsia" w:hAnsi="Cambria Math"/>
                    <w:sz w:val="20"/>
                    <w:szCs w:val="20"/>
                  </w:rPr>
                  <m:t>CapFacto</m:t>
                </m:r>
                <m:sSub>
                  <m:sSubPr>
                    <m:ctrlPr>
                      <w:rPr>
                        <w:rFonts w:ascii="Cambria Math" w:eastAsiaTheme="minorEastAsia" w:hAnsi="Cambria Math"/>
                        <w:i/>
                        <w:sz w:val="20"/>
                        <w:szCs w:val="20"/>
                      </w:rPr>
                    </m:ctrlPr>
                  </m:sSubPr>
                  <m:e>
                    <m:r>
                      <w:rPr>
                        <w:rFonts w:ascii="Cambria Math" w:eastAsiaTheme="minorEastAsia" w:hAnsi="Cambria Math"/>
                        <w:sz w:val="20"/>
                        <w:szCs w:val="20"/>
                      </w:rPr>
                      <m:t>r</m:t>
                    </m:r>
                  </m:e>
                  <m:sub>
                    <m:r>
                      <w:rPr>
                        <w:rFonts w:ascii="Cambria Math" w:eastAsiaTheme="minorEastAsia" w:hAnsi="Cambria Math"/>
                        <w:sz w:val="20"/>
                        <w:szCs w:val="20"/>
                      </w:rPr>
                      <m:t>p,z</m:t>
                    </m:r>
                  </m:sub>
                </m:sSub>
              </m:oMath>
            </m:oMathPara>
          </w:p>
        </w:tc>
        <w:tc>
          <w:tcPr>
            <w:tcW w:w="6512" w:type="dxa"/>
            <w:vAlign w:val="center"/>
          </w:tcPr>
          <w:p w14:paraId="5893974E"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Capacity factor of production technology </w:t>
            </w:r>
            <m:oMath>
              <m:r>
                <w:rPr>
                  <w:rFonts w:ascii="Cambria Math" w:hAnsi="Cambria Math"/>
                  <w:sz w:val="20"/>
                  <w:szCs w:val="20"/>
                </w:rPr>
                <m:t>p</m:t>
              </m:r>
            </m:oMath>
            <w:r w:rsidRPr="00744EC6">
              <w:rPr>
                <w:rFonts w:eastAsiaTheme="minorEastAsia"/>
                <w:sz w:val="20"/>
                <w:szCs w:val="20"/>
              </w:rPr>
              <w:t xml:space="preserve"> in zone </w:t>
            </w:r>
            <m:oMath>
              <m:r>
                <w:rPr>
                  <w:rFonts w:ascii="Cambria Math" w:eastAsiaTheme="minorEastAsia" w:hAnsi="Cambria Math"/>
                  <w:sz w:val="20"/>
                  <w:szCs w:val="20"/>
                </w:rPr>
                <m:t>z</m:t>
              </m:r>
            </m:oMath>
          </w:p>
        </w:tc>
        <w:tc>
          <w:tcPr>
            <w:tcW w:w="1276" w:type="dxa"/>
            <w:vAlign w:val="center"/>
          </w:tcPr>
          <w:p w14:paraId="31208313"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w:r w:rsidRPr="00744EC6">
              <w:rPr>
                <w:rFonts w:ascii="Calibri" w:eastAsia="Calibri" w:hAnsi="Calibri" w:cs="Times New Roman"/>
                <w:sz w:val="20"/>
                <w:szCs w:val="20"/>
              </w:rPr>
              <w:t>-</w:t>
            </w:r>
          </w:p>
        </w:tc>
      </w:tr>
      <w:tr w:rsidR="000D4A0E" w:rsidRPr="00744EC6" w14:paraId="2B9EF356" w14:textId="77777777" w:rsidTr="003B4CD4">
        <w:tc>
          <w:tcPr>
            <w:tcW w:w="0" w:type="auto"/>
            <w:vAlign w:val="center"/>
          </w:tcPr>
          <w:p w14:paraId="10484095"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CarbonPric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y</m:t>
                    </m:r>
                  </m:sub>
                </m:sSub>
              </m:oMath>
            </m:oMathPara>
          </w:p>
        </w:tc>
        <w:tc>
          <w:tcPr>
            <w:tcW w:w="6512" w:type="dxa"/>
            <w:vAlign w:val="center"/>
          </w:tcPr>
          <w:p w14:paraId="3EE25E62"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Cost associated with carbon emissions in time period </w:t>
            </w:r>
            <m:oMath>
              <m:r>
                <w:rPr>
                  <w:rFonts w:ascii="Cambria Math" w:hAnsi="Cambria Math"/>
                  <w:sz w:val="20"/>
                  <w:szCs w:val="20"/>
                </w:rPr>
                <m:t>y</m:t>
              </m:r>
            </m:oMath>
          </w:p>
        </w:tc>
        <w:tc>
          <w:tcPr>
            <w:tcW w:w="1276" w:type="dxa"/>
            <w:vAlign w:val="center"/>
          </w:tcPr>
          <w:p w14:paraId="0D4BAFAB"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eastAsia="Calibri" w:hAnsi="Cambria Math" w:cs="Times New Roman"/>
                        <w:i/>
                        <w:sz w:val="20"/>
                        <w:szCs w:val="20"/>
                      </w:rPr>
                    </m:ctrlPr>
                  </m:fPr>
                  <m:num>
                    <m:r>
                      <w:rPr>
                        <w:rFonts w:ascii="Cambria Math" w:eastAsia="Calibri" w:hAnsi="Cambria Math" w:cs="Times New Roman"/>
                        <w:sz w:val="20"/>
                        <w:szCs w:val="20"/>
                      </w:rPr>
                      <m:t>£</m:t>
                    </m:r>
                  </m:num>
                  <m:den>
                    <m:r>
                      <w:rPr>
                        <w:rFonts w:ascii="Cambria Math" w:eastAsia="Calibri" w:hAnsi="Cambria Math" w:cs="Times New Roman"/>
                        <w:sz w:val="20"/>
                        <w:szCs w:val="20"/>
                      </w:rPr>
                      <m:t>k</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g</m:t>
                        </m:r>
                      </m:e>
                      <m:sub>
                        <m:r>
                          <w:rPr>
                            <w:rFonts w:ascii="Cambria Math" w:eastAsia="Calibri" w:hAnsi="Cambria Math" w:cs="Times New Roman"/>
                            <w:sz w:val="20"/>
                            <w:szCs w:val="20"/>
                          </w:rPr>
                          <m:t>CO2</m:t>
                        </m:r>
                      </m:sub>
                    </m:sSub>
                  </m:den>
                </m:f>
              </m:oMath>
            </m:oMathPara>
          </w:p>
        </w:tc>
      </w:tr>
      <w:tr w:rsidR="000D4A0E" w:rsidRPr="00744EC6" w14:paraId="0A452557" w14:textId="77777777" w:rsidTr="003B4CD4">
        <w:tc>
          <w:tcPr>
            <w:tcW w:w="0" w:type="auto"/>
            <w:vAlign w:val="center"/>
          </w:tcPr>
          <w:p w14:paraId="0BE9F746"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CCost</m:t>
                    </m:r>
                  </m:e>
                  <m:sub>
                    <m:r>
                      <w:rPr>
                        <w:rFonts w:ascii="Cambria Math" w:eastAsiaTheme="minorEastAsia" w:hAnsi="Cambria Math"/>
                        <w:sz w:val="20"/>
                        <w:szCs w:val="20"/>
                      </w:rPr>
                      <m:t>c,y</m:t>
                    </m:r>
                  </m:sub>
                  <m:sup>
                    <m:r>
                      <w:rPr>
                        <w:rFonts w:ascii="Cambria Math" w:eastAsiaTheme="minorEastAsia" w:hAnsi="Cambria Math"/>
                        <w:sz w:val="20"/>
                        <w:szCs w:val="20"/>
                      </w:rPr>
                      <m:t>L,Dirty</m:t>
                    </m:r>
                  </m:sup>
                </m:sSubSup>
              </m:oMath>
            </m:oMathPara>
          </w:p>
        </w:tc>
        <w:tc>
          <w:tcPr>
            <w:tcW w:w="6512" w:type="dxa"/>
            <w:vAlign w:val="center"/>
          </w:tcPr>
          <w:p w14:paraId="29BFE16B"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Capital costs of localised purification, purifying dirty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4137870F"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m:t>
                    </m:r>
                  </m:den>
                </m:f>
              </m:oMath>
            </m:oMathPara>
          </w:p>
        </w:tc>
      </w:tr>
      <w:tr w:rsidR="000D4A0E" w:rsidRPr="00744EC6" w14:paraId="4F6C7C6D" w14:textId="77777777" w:rsidTr="003B4CD4">
        <w:tc>
          <w:tcPr>
            <w:tcW w:w="0" w:type="auto"/>
            <w:vAlign w:val="center"/>
          </w:tcPr>
          <w:p w14:paraId="19B63ABF"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CCost</m:t>
                    </m:r>
                  </m:e>
                  <m:sub>
                    <m:r>
                      <w:rPr>
                        <w:rFonts w:ascii="Cambria Math" w:eastAsiaTheme="minorEastAsia" w:hAnsi="Cambria Math"/>
                        <w:sz w:val="20"/>
                        <w:szCs w:val="20"/>
                      </w:rPr>
                      <m:t>c,y</m:t>
                    </m:r>
                  </m:sub>
                  <m:sup>
                    <m:r>
                      <w:rPr>
                        <w:rFonts w:ascii="Cambria Math" w:eastAsiaTheme="minorEastAsia" w:hAnsi="Cambria Math"/>
                        <w:sz w:val="20"/>
                        <w:szCs w:val="20"/>
                      </w:rPr>
                      <m:t>C,Dirty</m:t>
                    </m:r>
                  </m:sup>
                </m:sSubSup>
              </m:oMath>
            </m:oMathPara>
          </w:p>
        </w:tc>
        <w:tc>
          <w:tcPr>
            <w:tcW w:w="6512" w:type="dxa"/>
            <w:vAlign w:val="center"/>
          </w:tcPr>
          <w:p w14:paraId="7EF87771"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Capital costs of centralised purification, purifying dirty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1D0B23E3"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m:t>
                    </m:r>
                  </m:den>
                </m:f>
              </m:oMath>
            </m:oMathPara>
          </w:p>
        </w:tc>
      </w:tr>
      <w:tr w:rsidR="000D4A0E" w:rsidRPr="00744EC6" w14:paraId="303546DF" w14:textId="77777777" w:rsidTr="003B4CD4">
        <w:tc>
          <w:tcPr>
            <w:tcW w:w="0" w:type="auto"/>
            <w:vAlign w:val="center"/>
          </w:tcPr>
          <w:p w14:paraId="0FEE4DF2"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CCost</m:t>
                    </m:r>
                  </m:e>
                  <m:sub>
                    <m:r>
                      <w:rPr>
                        <w:rFonts w:ascii="Cambria Math" w:eastAsiaTheme="minorEastAsia" w:hAnsi="Cambria Math"/>
                        <w:sz w:val="20"/>
                        <w:szCs w:val="20"/>
                      </w:rPr>
                      <m:t>c,y</m:t>
                    </m:r>
                  </m:sub>
                  <m:sup>
                    <m:r>
                      <w:rPr>
                        <w:rFonts w:ascii="Cambria Math" w:eastAsiaTheme="minorEastAsia" w:hAnsi="Cambria Math"/>
                        <w:sz w:val="20"/>
                        <w:szCs w:val="20"/>
                      </w:rPr>
                      <m:t>L,Blend</m:t>
                    </m:r>
                  </m:sup>
                </m:sSubSup>
              </m:oMath>
            </m:oMathPara>
          </w:p>
        </w:tc>
        <w:tc>
          <w:tcPr>
            <w:tcW w:w="6512" w:type="dxa"/>
            <w:vAlign w:val="center"/>
          </w:tcPr>
          <w:p w14:paraId="4431096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Capital costs of localised purification, purifying blended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284312CF"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m:t>
                    </m:r>
                  </m:den>
                </m:f>
              </m:oMath>
            </m:oMathPara>
          </w:p>
        </w:tc>
      </w:tr>
      <w:tr w:rsidR="000D4A0E" w:rsidRPr="00744EC6" w14:paraId="40F2759A" w14:textId="77777777" w:rsidTr="003B4CD4">
        <w:tc>
          <w:tcPr>
            <w:tcW w:w="0" w:type="auto"/>
            <w:vAlign w:val="center"/>
          </w:tcPr>
          <w:p w14:paraId="06ECB148"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CCost</m:t>
                    </m:r>
                  </m:e>
                  <m:sub>
                    <m:r>
                      <w:rPr>
                        <w:rFonts w:ascii="Cambria Math" w:eastAsiaTheme="minorEastAsia" w:hAnsi="Cambria Math"/>
                        <w:sz w:val="20"/>
                        <w:szCs w:val="20"/>
                      </w:rPr>
                      <m:t>c,y</m:t>
                    </m:r>
                  </m:sub>
                  <m:sup>
                    <m:r>
                      <w:rPr>
                        <w:rFonts w:ascii="Cambria Math" w:eastAsiaTheme="minorEastAsia" w:hAnsi="Cambria Math"/>
                        <w:sz w:val="20"/>
                        <w:szCs w:val="20"/>
                      </w:rPr>
                      <m:t>L,Clean</m:t>
                    </m:r>
                  </m:sup>
                </m:sSubSup>
              </m:oMath>
            </m:oMathPara>
          </w:p>
        </w:tc>
        <w:tc>
          <w:tcPr>
            <w:tcW w:w="6512" w:type="dxa"/>
            <w:vAlign w:val="center"/>
          </w:tcPr>
          <w:p w14:paraId="4159C995"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Capital costs of localised purification, purifying clean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2C973C56"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m:t>
                    </m:r>
                  </m:den>
                </m:f>
              </m:oMath>
            </m:oMathPara>
          </w:p>
        </w:tc>
      </w:tr>
      <w:tr w:rsidR="000D4A0E" w:rsidRPr="00744EC6" w14:paraId="2542EFE8" w14:textId="77777777" w:rsidTr="003B4CD4">
        <w:tc>
          <w:tcPr>
            <w:tcW w:w="0" w:type="auto"/>
            <w:vAlign w:val="center"/>
          </w:tcPr>
          <w:p w14:paraId="30965DED"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eastAsiaTheme="minorEastAsia" w:hAnsi="Cambria Math"/>
                    <w:sz w:val="20"/>
                    <w:szCs w:val="20"/>
                  </w:rPr>
                  <m:t>CCos</m:t>
                </m:r>
                <m:sSubSup>
                  <m:sSubSupPr>
                    <m:ctrlPr>
                      <w:rPr>
                        <w:rFonts w:ascii="Cambria Math" w:eastAsiaTheme="minorEastAsia" w:hAnsi="Cambria Math"/>
                        <w:i/>
                        <w:sz w:val="20"/>
                        <w:szCs w:val="20"/>
                      </w:rPr>
                    </m:ctrlPr>
                  </m:sSubSupPr>
                  <m:e>
                    <m:r>
                      <w:rPr>
                        <w:rFonts w:ascii="Cambria Math" w:eastAsiaTheme="minorEastAsia" w:hAnsi="Cambria Math"/>
                        <w:sz w:val="20"/>
                        <w:szCs w:val="20"/>
                      </w:rPr>
                      <m:t>t</m:t>
                    </m:r>
                  </m:e>
                  <m:sub>
                    <m:r>
                      <w:rPr>
                        <w:rFonts w:ascii="Cambria Math" w:eastAsiaTheme="minorEastAsia" w:hAnsi="Cambria Math"/>
                        <w:sz w:val="20"/>
                        <w:szCs w:val="20"/>
                      </w:rPr>
                      <m:t>p,g,y</m:t>
                    </m:r>
                  </m:sub>
                  <m:sup>
                    <m:r>
                      <w:rPr>
                        <w:rFonts w:ascii="Cambria Math" w:eastAsiaTheme="minorEastAsia" w:hAnsi="Cambria Math"/>
                        <w:sz w:val="20"/>
                        <w:szCs w:val="20"/>
                      </w:rPr>
                      <m:t>P</m:t>
                    </m:r>
                  </m:sup>
                </m:sSubSup>
              </m:oMath>
            </m:oMathPara>
          </w:p>
        </w:tc>
        <w:tc>
          <w:tcPr>
            <w:tcW w:w="6512" w:type="dxa"/>
            <w:vAlign w:val="center"/>
          </w:tcPr>
          <w:p w14:paraId="139E23CB"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Capital cost of production technology </w:t>
            </w:r>
            <m:oMath>
              <m:r>
                <w:rPr>
                  <w:rFonts w:ascii="Cambria Math" w:hAnsi="Cambria Math"/>
                  <w:sz w:val="20"/>
                  <w:szCs w:val="20"/>
                </w:rPr>
                <m:t>p</m:t>
              </m:r>
            </m:oMath>
            <w:r w:rsidRPr="00744EC6">
              <w:rPr>
                <w:rFonts w:eastAsiaTheme="minorEastAsia"/>
                <w:sz w:val="20"/>
                <w:szCs w:val="20"/>
              </w:rPr>
              <w:t xml:space="preserve">, producing hydrogen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4CFDC4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5F304F32" w14:textId="77777777" w:rsidTr="003B4CD4">
        <w:tc>
          <w:tcPr>
            <w:tcW w:w="0" w:type="auto"/>
            <w:vAlign w:val="center"/>
          </w:tcPr>
          <w:p w14:paraId="13FA55C6"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CCos</m:t>
                </m:r>
                <m:sSubSup>
                  <m:sSubSupPr>
                    <m:ctrlPr>
                      <w:rPr>
                        <w:rFonts w:ascii="Cambria Math" w:hAnsi="Cambria Math"/>
                        <w:i/>
                        <w:sz w:val="20"/>
                        <w:szCs w:val="20"/>
                      </w:rPr>
                    </m:ctrlPr>
                  </m:sSubSupPr>
                  <m:e>
                    <m:r>
                      <w:rPr>
                        <w:rFonts w:ascii="Cambria Math" w:hAnsi="Cambria Math"/>
                        <w:sz w:val="20"/>
                        <w:szCs w:val="20"/>
                      </w:rPr>
                      <m:t>t</m:t>
                    </m:r>
                  </m:e>
                  <m:sub>
                    <m:r>
                      <w:rPr>
                        <w:rFonts w:ascii="Cambria Math" w:hAnsi="Cambria Math"/>
                        <w:sz w:val="20"/>
                        <w:szCs w:val="20"/>
                      </w:rPr>
                      <m:t>y</m:t>
                    </m:r>
                  </m:sub>
                  <m:sup>
                    <m:r>
                      <w:rPr>
                        <w:rFonts w:ascii="Cambria Math" w:hAnsi="Cambria Math"/>
                        <w:sz w:val="20"/>
                        <w:szCs w:val="20"/>
                      </w:rPr>
                      <m:t>RF</m:t>
                    </m:r>
                  </m:sup>
                </m:sSubSup>
              </m:oMath>
            </m:oMathPara>
          </w:p>
        </w:tc>
        <w:tc>
          <w:tcPr>
            <w:tcW w:w="6512" w:type="dxa"/>
            <w:vAlign w:val="center"/>
          </w:tcPr>
          <w:p w14:paraId="05B95324"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Capital costs of refuelling station in time period </w:t>
            </w:r>
            <m:oMath>
              <m:r>
                <w:rPr>
                  <w:rFonts w:ascii="Cambria Math" w:hAnsi="Cambria Math"/>
                  <w:sz w:val="20"/>
                  <w:szCs w:val="20"/>
                </w:rPr>
                <m:t>y</m:t>
              </m:r>
            </m:oMath>
            <w:r w:rsidRPr="00744EC6">
              <w:rPr>
                <w:rFonts w:eastAsiaTheme="minorEastAsia"/>
                <w:sz w:val="20"/>
                <w:szCs w:val="20"/>
              </w:rPr>
              <w:t>.</w:t>
            </w:r>
          </w:p>
        </w:tc>
        <w:tc>
          <w:tcPr>
            <w:tcW w:w="1276" w:type="dxa"/>
            <w:vAlign w:val="center"/>
          </w:tcPr>
          <w:p w14:paraId="31B7471F"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m:t>
                    </m:r>
                  </m:den>
                </m:f>
              </m:oMath>
            </m:oMathPara>
          </w:p>
        </w:tc>
      </w:tr>
      <w:tr w:rsidR="000D4A0E" w:rsidRPr="00744EC6" w14:paraId="478A7904" w14:textId="77777777" w:rsidTr="003B4CD4">
        <w:tc>
          <w:tcPr>
            <w:tcW w:w="0" w:type="auto"/>
            <w:vAlign w:val="center"/>
          </w:tcPr>
          <w:p w14:paraId="5B5B1052"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w:lastRenderedPageBreak/>
                  <m:t>CCos</m:t>
                </m:r>
                <m:sSubSup>
                  <m:sSubSupPr>
                    <m:ctrlPr>
                      <w:rPr>
                        <w:rFonts w:ascii="Cambria Math" w:hAnsi="Cambria Math"/>
                        <w:i/>
                        <w:sz w:val="20"/>
                        <w:szCs w:val="20"/>
                      </w:rPr>
                    </m:ctrlPr>
                  </m:sSubSupPr>
                  <m:e>
                    <m:r>
                      <w:rPr>
                        <w:rFonts w:ascii="Cambria Math" w:hAnsi="Cambria Math"/>
                        <w:sz w:val="20"/>
                        <w:szCs w:val="20"/>
                      </w:rPr>
                      <m:t>t</m:t>
                    </m:r>
                  </m:e>
                  <m:sub>
                    <m:r>
                      <w:rPr>
                        <w:rFonts w:ascii="Cambria Math" w:hAnsi="Cambria Math"/>
                        <w:sz w:val="20"/>
                        <w:szCs w:val="20"/>
                      </w:rPr>
                      <m:t>l,g,y</m:t>
                    </m:r>
                  </m:sub>
                  <m:sup>
                    <m:r>
                      <w:rPr>
                        <w:rFonts w:ascii="Cambria Math" w:hAnsi="Cambria Math"/>
                        <w:sz w:val="20"/>
                        <w:szCs w:val="20"/>
                      </w:rPr>
                      <m:t>Trans,L</m:t>
                    </m:r>
                  </m:sup>
                </m:sSubSup>
              </m:oMath>
            </m:oMathPara>
          </w:p>
        </w:tc>
        <w:tc>
          <w:tcPr>
            <w:tcW w:w="6512" w:type="dxa"/>
            <w:vAlign w:val="center"/>
          </w:tcPr>
          <w:p w14:paraId="4F8E0DD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Local transport capital cost of technology </w:t>
            </w:r>
            <m:oMath>
              <m:r>
                <w:rPr>
                  <w:rFonts w:ascii="Cambria Math" w:hAnsi="Cambria Math"/>
                  <w:sz w:val="20"/>
                  <w:szCs w:val="20"/>
                </w:rPr>
                <m:t>l</m:t>
              </m:r>
            </m:oMath>
            <w:r w:rsidRPr="00744EC6">
              <w:rPr>
                <w:rFonts w:eastAsiaTheme="minorEastAsia"/>
                <w:sz w:val="20"/>
                <w:szCs w:val="20"/>
              </w:rPr>
              <w:t xml:space="preserve">, transporting hydrogen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17B64BE6"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kW-km</m:t>
                    </m:r>
                  </m:den>
                </m:f>
              </m:oMath>
            </m:oMathPara>
          </w:p>
        </w:tc>
      </w:tr>
      <w:tr w:rsidR="000D4A0E" w:rsidRPr="00744EC6" w14:paraId="6BA65907" w14:textId="77777777" w:rsidTr="003B4CD4">
        <w:tc>
          <w:tcPr>
            <w:tcW w:w="0" w:type="auto"/>
            <w:vAlign w:val="center"/>
          </w:tcPr>
          <w:p w14:paraId="26516CB7"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CCos</m:t>
                </m:r>
                <m:sSubSup>
                  <m:sSubSupPr>
                    <m:ctrlPr>
                      <w:rPr>
                        <w:rFonts w:ascii="Cambria Math" w:hAnsi="Cambria Math"/>
                        <w:i/>
                        <w:sz w:val="20"/>
                        <w:szCs w:val="20"/>
                      </w:rPr>
                    </m:ctrlPr>
                  </m:sSubSupPr>
                  <m:e>
                    <m:r>
                      <w:rPr>
                        <w:rFonts w:ascii="Cambria Math" w:hAnsi="Cambria Math"/>
                        <w:sz w:val="20"/>
                        <w:szCs w:val="20"/>
                      </w:rPr>
                      <m:t>t</m:t>
                    </m:r>
                  </m:e>
                  <m:sub>
                    <m:r>
                      <w:rPr>
                        <w:rFonts w:ascii="Cambria Math" w:hAnsi="Cambria Math"/>
                        <w:sz w:val="20"/>
                        <w:szCs w:val="20"/>
                      </w:rPr>
                      <m:t>l,g,y</m:t>
                    </m:r>
                  </m:sub>
                  <m:sup>
                    <m:r>
                      <w:rPr>
                        <w:rFonts w:ascii="Cambria Math" w:hAnsi="Cambria Math"/>
                        <w:sz w:val="20"/>
                        <w:szCs w:val="20"/>
                      </w:rPr>
                      <m:t>Trans,R</m:t>
                    </m:r>
                  </m:sup>
                </m:sSubSup>
              </m:oMath>
            </m:oMathPara>
          </w:p>
        </w:tc>
        <w:tc>
          <w:tcPr>
            <w:tcW w:w="6512" w:type="dxa"/>
            <w:vAlign w:val="center"/>
          </w:tcPr>
          <w:p w14:paraId="1CC46F4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Regional transport capital cost of technology </w:t>
            </w:r>
            <m:oMath>
              <m:r>
                <w:rPr>
                  <w:rFonts w:ascii="Cambria Math" w:hAnsi="Cambria Math"/>
                  <w:sz w:val="20"/>
                  <w:szCs w:val="20"/>
                </w:rPr>
                <m:t>l</m:t>
              </m:r>
            </m:oMath>
            <w:r w:rsidRPr="00744EC6">
              <w:rPr>
                <w:rFonts w:eastAsiaTheme="minorEastAsia"/>
                <w:sz w:val="20"/>
                <w:szCs w:val="20"/>
              </w:rPr>
              <w:t xml:space="preserve">, transporting hydrogen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6EE3650"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kW-km</m:t>
                    </m:r>
                  </m:den>
                </m:f>
              </m:oMath>
            </m:oMathPara>
          </w:p>
        </w:tc>
      </w:tr>
      <w:tr w:rsidR="000D4A0E" w:rsidRPr="00744EC6" w14:paraId="6F768ECD" w14:textId="77777777" w:rsidTr="003B4CD4">
        <w:tc>
          <w:tcPr>
            <w:tcW w:w="0" w:type="auto"/>
            <w:vAlign w:val="center"/>
          </w:tcPr>
          <w:p w14:paraId="67B243B2" w14:textId="77777777" w:rsidR="000D4A0E" w:rsidRPr="00744EC6" w:rsidRDefault="00903D45" w:rsidP="000D4A0E">
            <w:pPr>
              <w:pStyle w:val="Style1"/>
              <w:spacing w:before="0" w:after="60" w:line="240" w:lineRule="auto"/>
              <w:jc w:val="center"/>
              <w:rPr>
                <w:sz w:val="20"/>
                <w:szCs w:val="20"/>
              </w:rPr>
            </w:pPr>
            <m:oMathPara>
              <m:oMath>
                <m:bar>
                  <m:barPr>
                    <m:pos m:val="top"/>
                    <m:ctrlPr>
                      <w:rPr>
                        <w:rFonts w:ascii="Cambria Math" w:hAnsi="Cambria Math"/>
                        <w:i/>
                        <w:sz w:val="20"/>
                        <w:szCs w:val="20"/>
                      </w:rPr>
                    </m:ctrlPr>
                  </m:barPr>
                  <m:e>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z,y</m:t>
                        </m:r>
                      </m:sub>
                    </m:sSub>
                  </m:e>
                </m:bar>
              </m:oMath>
            </m:oMathPara>
          </w:p>
        </w:tc>
        <w:tc>
          <w:tcPr>
            <w:tcW w:w="6512" w:type="dxa"/>
            <w:vAlign w:val="center"/>
          </w:tcPr>
          <w:p w14:paraId="3CDC0212"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The demand for hydrogen for transport in zone </w:t>
            </w:r>
            <m:oMath>
              <m:r>
                <w:rPr>
                  <w:rFonts w:ascii="Cambria Math" w:hAnsi="Cambria Math"/>
                  <w:sz w:val="20"/>
                  <w:szCs w:val="20"/>
                </w:rPr>
                <m:t>z</m:t>
              </m:r>
            </m:oMath>
            <w:r w:rsidRPr="00744EC6">
              <w:rPr>
                <w:rFonts w:eastAsiaTheme="minorEastAsia"/>
                <w:sz w:val="20"/>
                <w:szCs w:val="20"/>
              </w:rPr>
              <w:t xml:space="preserve">, in time period </w:t>
            </w:r>
            <m:oMath>
              <m:r>
                <w:rPr>
                  <w:rFonts w:ascii="Cambria Math" w:eastAsiaTheme="minorEastAsia" w:hAnsi="Cambria Math"/>
                  <w:sz w:val="20"/>
                  <w:szCs w:val="20"/>
                </w:rPr>
                <m:t>y</m:t>
              </m:r>
            </m:oMath>
          </w:p>
        </w:tc>
        <w:tc>
          <w:tcPr>
            <w:tcW w:w="1276" w:type="dxa"/>
            <w:vAlign w:val="center"/>
          </w:tcPr>
          <w:p w14:paraId="5F48306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kWh</m:t>
                </m:r>
              </m:oMath>
            </m:oMathPara>
          </w:p>
        </w:tc>
      </w:tr>
      <w:tr w:rsidR="000D4A0E" w:rsidRPr="00744EC6" w14:paraId="40D7C55E" w14:textId="77777777" w:rsidTr="003B4CD4">
        <w:tc>
          <w:tcPr>
            <w:tcW w:w="0" w:type="auto"/>
            <w:vAlign w:val="center"/>
          </w:tcPr>
          <w:p w14:paraId="32513A12"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DFO</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y</m:t>
                    </m:r>
                  </m:sub>
                </m:sSub>
              </m:oMath>
            </m:oMathPara>
          </w:p>
        </w:tc>
        <w:tc>
          <w:tcPr>
            <w:tcW w:w="6512" w:type="dxa"/>
            <w:vAlign w:val="center"/>
          </w:tcPr>
          <w:p w14:paraId="712D9815"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Discount operating factor in time period </w:t>
            </w:r>
            <m:oMath>
              <m:r>
                <w:rPr>
                  <w:rFonts w:ascii="Cambria Math" w:hAnsi="Cambria Math"/>
                  <w:sz w:val="20"/>
                  <w:szCs w:val="20"/>
                </w:rPr>
                <m:t>y</m:t>
              </m:r>
            </m:oMath>
          </w:p>
        </w:tc>
        <w:tc>
          <w:tcPr>
            <w:tcW w:w="1276" w:type="dxa"/>
            <w:vAlign w:val="center"/>
          </w:tcPr>
          <w:p w14:paraId="7D304BC5"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w:r w:rsidRPr="00744EC6">
              <w:rPr>
                <w:rFonts w:ascii="Calibri" w:eastAsia="Calibri" w:hAnsi="Calibri" w:cs="Times New Roman"/>
                <w:sz w:val="20"/>
                <w:szCs w:val="20"/>
              </w:rPr>
              <w:t>-</w:t>
            </w:r>
          </w:p>
        </w:tc>
      </w:tr>
      <w:tr w:rsidR="000D4A0E" w:rsidRPr="00744EC6" w14:paraId="0C1A41B0" w14:textId="77777777" w:rsidTr="003B4CD4">
        <w:tc>
          <w:tcPr>
            <w:tcW w:w="0" w:type="auto"/>
            <w:vAlign w:val="center"/>
          </w:tcPr>
          <w:p w14:paraId="30BB8A48"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L</m:t>
                    </m:r>
                  </m:sup>
                </m:sSup>
                <m:r>
                  <w:rPr>
                    <w:rFonts w:ascii="Cambria Math" w:hAnsi="Cambria Math"/>
                    <w:sz w:val="20"/>
                    <w:szCs w:val="20"/>
                  </w:rPr>
                  <m:t>(z)</m:t>
                </m:r>
              </m:oMath>
            </m:oMathPara>
          </w:p>
        </w:tc>
        <w:tc>
          <w:tcPr>
            <w:tcW w:w="6512" w:type="dxa"/>
            <w:vAlign w:val="center"/>
          </w:tcPr>
          <w:p w14:paraId="25B4AB8C" w14:textId="77777777" w:rsidR="000D4A0E" w:rsidRPr="00744EC6" w:rsidRDefault="000D4A0E" w:rsidP="000D4A0E">
            <w:pPr>
              <w:pStyle w:val="Style1"/>
              <w:spacing w:before="0" w:after="60" w:line="240" w:lineRule="auto"/>
              <w:jc w:val="left"/>
              <w:rPr>
                <w:sz w:val="20"/>
                <w:szCs w:val="20"/>
              </w:rPr>
            </w:pPr>
            <w:r w:rsidRPr="00744EC6">
              <w:rPr>
                <w:sz w:val="20"/>
                <w:szCs w:val="20"/>
              </w:rPr>
              <w:t>Local distribution distance.</w:t>
            </w:r>
          </w:p>
        </w:tc>
        <w:tc>
          <w:tcPr>
            <w:tcW w:w="1276" w:type="dxa"/>
            <w:vAlign w:val="center"/>
          </w:tcPr>
          <w:p w14:paraId="1F25E6F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km</m:t>
                </m:r>
              </m:oMath>
            </m:oMathPara>
          </w:p>
        </w:tc>
      </w:tr>
      <w:tr w:rsidR="000D4A0E" w:rsidRPr="00744EC6" w14:paraId="153797A1" w14:textId="77777777" w:rsidTr="003B4CD4">
        <w:tc>
          <w:tcPr>
            <w:tcW w:w="0" w:type="auto"/>
            <w:vAlign w:val="center"/>
          </w:tcPr>
          <w:p w14:paraId="6656BA01"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R</m:t>
                    </m:r>
                  </m:sup>
                </m:sSup>
                <m:r>
                  <w:rPr>
                    <w:rFonts w:ascii="Cambria Math" w:hAnsi="Cambria Math"/>
                    <w:sz w:val="20"/>
                    <w:szCs w:val="20"/>
                  </w:rPr>
                  <m:t>(z,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m:t>
                </m:r>
              </m:oMath>
            </m:oMathPara>
          </w:p>
        </w:tc>
        <w:tc>
          <w:tcPr>
            <w:tcW w:w="6512" w:type="dxa"/>
            <w:vAlign w:val="center"/>
          </w:tcPr>
          <w:p w14:paraId="282A93A1" w14:textId="77777777" w:rsidR="000D4A0E" w:rsidRPr="00744EC6" w:rsidRDefault="000D4A0E" w:rsidP="000D4A0E">
            <w:pPr>
              <w:pStyle w:val="Style1"/>
              <w:spacing w:before="0" w:after="60" w:line="240" w:lineRule="auto"/>
              <w:jc w:val="left"/>
              <w:rPr>
                <w:sz w:val="20"/>
                <w:szCs w:val="20"/>
              </w:rPr>
            </w:pPr>
            <w:r w:rsidRPr="00744EC6">
              <w:rPr>
                <w:sz w:val="20"/>
                <w:szCs w:val="20"/>
              </w:rPr>
              <w:t>Regional transmission distance.</w:t>
            </w:r>
          </w:p>
        </w:tc>
        <w:tc>
          <w:tcPr>
            <w:tcW w:w="1276" w:type="dxa"/>
            <w:vAlign w:val="center"/>
          </w:tcPr>
          <w:p w14:paraId="046E441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km</m:t>
                </m:r>
              </m:oMath>
            </m:oMathPara>
          </w:p>
        </w:tc>
      </w:tr>
      <w:tr w:rsidR="000D4A0E" w:rsidRPr="00744EC6" w14:paraId="3653D242" w14:textId="77777777" w:rsidTr="003B4CD4">
        <w:tc>
          <w:tcPr>
            <w:tcW w:w="0" w:type="auto"/>
            <w:vAlign w:val="center"/>
          </w:tcPr>
          <w:p w14:paraId="10C0AA79"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EmissionFacto</m:t>
                </m:r>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p,y</m:t>
                    </m:r>
                  </m:sub>
                  <m:sup>
                    <m:r>
                      <w:rPr>
                        <w:rFonts w:ascii="Cambria Math" w:hAnsi="Cambria Math"/>
                        <w:sz w:val="20"/>
                        <w:szCs w:val="20"/>
                      </w:rPr>
                      <m:t>Prod</m:t>
                    </m:r>
                  </m:sup>
                </m:sSubSup>
              </m:oMath>
            </m:oMathPara>
          </w:p>
        </w:tc>
        <w:tc>
          <w:tcPr>
            <w:tcW w:w="6512" w:type="dxa"/>
            <w:vAlign w:val="center"/>
          </w:tcPr>
          <w:p w14:paraId="4A589329"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Carbon emission factor of production, via technology </w:t>
            </w:r>
            <m:oMath>
              <m:r>
                <w:rPr>
                  <w:rFonts w:ascii="Cambria Math" w:hAnsi="Cambria Math"/>
                  <w:sz w:val="20"/>
                  <w:szCs w:val="20"/>
                </w:rPr>
                <m:t>p,</m:t>
              </m:r>
            </m:oMath>
            <w:r w:rsidRPr="00744EC6">
              <w:rPr>
                <w:rFonts w:eastAsiaTheme="minorEastAsia"/>
                <w:sz w:val="20"/>
                <w:szCs w:val="20"/>
              </w:rPr>
              <w:t xml:space="preserve"> in time period </w:t>
            </w:r>
            <m:oMath>
              <m:r>
                <w:rPr>
                  <w:rFonts w:ascii="Cambria Math" w:eastAsiaTheme="minorEastAsia" w:hAnsi="Cambria Math"/>
                  <w:sz w:val="20"/>
                  <w:szCs w:val="20"/>
                </w:rPr>
                <m:t>y</m:t>
              </m:r>
            </m:oMath>
          </w:p>
        </w:tc>
        <w:tc>
          <w:tcPr>
            <w:tcW w:w="1276" w:type="dxa"/>
            <w:vAlign w:val="center"/>
          </w:tcPr>
          <w:p w14:paraId="4312765E"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eastAsia="Calibri" w:hAnsi="Cambria Math" w:cs="Times New Roman"/>
                        <w:i/>
                        <w:sz w:val="20"/>
                        <w:szCs w:val="20"/>
                      </w:rPr>
                    </m:ctrlPr>
                  </m:fPr>
                  <m:num>
                    <m:r>
                      <w:rPr>
                        <w:rFonts w:ascii="Cambria Math" w:eastAsia="Calibri" w:hAnsi="Cambria Math" w:cs="Times New Roman"/>
                        <w:sz w:val="20"/>
                        <w:szCs w:val="20"/>
                      </w:rPr>
                      <m:t>k</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g</m:t>
                        </m:r>
                      </m:e>
                      <m:sub>
                        <m:r>
                          <w:rPr>
                            <w:rFonts w:ascii="Cambria Math" w:eastAsia="Calibri" w:hAnsi="Cambria Math" w:cs="Times New Roman"/>
                            <w:sz w:val="20"/>
                            <w:szCs w:val="20"/>
                          </w:rPr>
                          <m:t>CO2</m:t>
                        </m:r>
                      </m:sub>
                    </m:sSub>
                  </m:num>
                  <m:den>
                    <m:r>
                      <w:rPr>
                        <w:rFonts w:ascii="Cambria Math" w:eastAsia="Calibri" w:hAnsi="Cambria Math" w:cs="Times New Roman"/>
                        <w:sz w:val="20"/>
                        <w:szCs w:val="20"/>
                      </w:rPr>
                      <m:t>kWh</m:t>
                    </m:r>
                  </m:den>
                </m:f>
              </m:oMath>
            </m:oMathPara>
          </w:p>
        </w:tc>
      </w:tr>
      <w:tr w:rsidR="000D4A0E" w:rsidRPr="00744EC6" w14:paraId="22903949" w14:textId="77777777" w:rsidTr="003B4CD4">
        <w:tc>
          <w:tcPr>
            <w:tcW w:w="0" w:type="auto"/>
            <w:vAlign w:val="center"/>
          </w:tcPr>
          <w:p w14:paraId="48B60D36"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EmissionFacto</m:t>
                </m:r>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c,y</m:t>
                    </m:r>
                  </m:sub>
                  <m:sup>
                    <m:r>
                      <w:rPr>
                        <w:rFonts w:ascii="Cambria Math" w:hAnsi="Cambria Math"/>
                        <w:sz w:val="20"/>
                        <w:szCs w:val="20"/>
                      </w:rPr>
                      <m:t>Pur</m:t>
                    </m:r>
                  </m:sup>
                </m:sSubSup>
              </m:oMath>
            </m:oMathPara>
          </w:p>
        </w:tc>
        <w:tc>
          <w:tcPr>
            <w:tcW w:w="6512" w:type="dxa"/>
            <w:vAlign w:val="center"/>
          </w:tcPr>
          <w:p w14:paraId="0B25A54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Carbon emission factor of purification,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E42C51A"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eastAsia="Calibri" w:hAnsi="Cambria Math" w:cs="Times New Roman"/>
                        <w:i/>
                        <w:sz w:val="20"/>
                        <w:szCs w:val="20"/>
                      </w:rPr>
                    </m:ctrlPr>
                  </m:fPr>
                  <m:num>
                    <m:r>
                      <w:rPr>
                        <w:rFonts w:ascii="Cambria Math" w:eastAsia="Calibri" w:hAnsi="Cambria Math" w:cs="Times New Roman"/>
                        <w:sz w:val="20"/>
                        <w:szCs w:val="20"/>
                      </w:rPr>
                      <m:t>k</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g</m:t>
                        </m:r>
                      </m:e>
                      <m:sub>
                        <m:r>
                          <w:rPr>
                            <w:rFonts w:ascii="Cambria Math" w:eastAsia="Calibri" w:hAnsi="Cambria Math" w:cs="Times New Roman"/>
                            <w:sz w:val="20"/>
                            <w:szCs w:val="20"/>
                          </w:rPr>
                          <m:t>CO2</m:t>
                        </m:r>
                      </m:sub>
                    </m:sSub>
                  </m:num>
                  <m:den>
                    <m:r>
                      <w:rPr>
                        <w:rFonts w:ascii="Cambria Math" w:eastAsia="Calibri" w:hAnsi="Cambria Math" w:cs="Times New Roman"/>
                        <w:sz w:val="20"/>
                        <w:szCs w:val="20"/>
                      </w:rPr>
                      <m:t>kWh</m:t>
                    </m:r>
                  </m:den>
                </m:f>
              </m:oMath>
            </m:oMathPara>
          </w:p>
        </w:tc>
      </w:tr>
      <w:tr w:rsidR="000D4A0E" w:rsidRPr="00744EC6" w14:paraId="7B30F303" w14:textId="77777777" w:rsidTr="003B4CD4">
        <w:tc>
          <w:tcPr>
            <w:tcW w:w="0" w:type="auto"/>
            <w:vAlign w:val="center"/>
          </w:tcPr>
          <w:p w14:paraId="11F259E6"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EmissionFacto</m:t>
                </m:r>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l,y</m:t>
                    </m:r>
                  </m:sub>
                  <m:sup>
                    <m:r>
                      <w:rPr>
                        <w:rFonts w:ascii="Cambria Math" w:hAnsi="Cambria Math"/>
                        <w:sz w:val="20"/>
                        <w:szCs w:val="20"/>
                      </w:rPr>
                      <m:t>Tran,L</m:t>
                    </m:r>
                  </m:sup>
                </m:sSubSup>
              </m:oMath>
            </m:oMathPara>
          </w:p>
        </w:tc>
        <w:tc>
          <w:tcPr>
            <w:tcW w:w="6512" w:type="dxa"/>
            <w:vAlign w:val="center"/>
          </w:tcPr>
          <w:p w14:paraId="196F7EC2"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Carbon emission factor of local transportation, via technology </w:t>
            </w:r>
            <m:oMath>
              <m:r>
                <w:rPr>
                  <w:rFonts w:ascii="Cambria Math" w:hAnsi="Cambria Math"/>
                  <w:sz w:val="20"/>
                  <w:szCs w:val="20"/>
                </w:rPr>
                <m:t>l,</m:t>
              </m:r>
            </m:oMath>
            <w:r w:rsidRPr="00744EC6">
              <w:rPr>
                <w:rFonts w:eastAsiaTheme="minorEastAsia"/>
                <w:sz w:val="20"/>
                <w:szCs w:val="20"/>
              </w:rPr>
              <w:t xml:space="preserve"> in time period </w:t>
            </w:r>
            <m:oMath>
              <m:r>
                <w:rPr>
                  <w:rFonts w:ascii="Cambria Math" w:eastAsiaTheme="minorEastAsia" w:hAnsi="Cambria Math"/>
                  <w:sz w:val="20"/>
                  <w:szCs w:val="20"/>
                </w:rPr>
                <m:t>y</m:t>
              </m:r>
            </m:oMath>
          </w:p>
        </w:tc>
        <w:tc>
          <w:tcPr>
            <w:tcW w:w="1276" w:type="dxa"/>
            <w:vAlign w:val="center"/>
          </w:tcPr>
          <w:p w14:paraId="655EA6C6"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eastAsia="Calibri" w:hAnsi="Cambria Math" w:cs="Times New Roman"/>
                        <w:i/>
                        <w:sz w:val="20"/>
                        <w:szCs w:val="20"/>
                      </w:rPr>
                    </m:ctrlPr>
                  </m:fPr>
                  <m:num>
                    <m:r>
                      <w:rPr>
                        <w:rFonts w:ascii="Cambria Math" w:eastAsia="Calibri" w:hAnsi="Cambria Math" w:cs="Times New Roman"/>
                        <w:sz w:val="20"/>
                        <w:szCs w:val="20"/>
                      </w:rPr>
                      <m:t>k</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g</m:t>
                        </m:r>
                      </m:e>
                      <m:sub>
                        <m:r>
                          <w:rPr>
                            <w:rFonts w:ascii="Cambria Math" w:eastAsia="Calibri" w:hAnsi="Cambria Math" w:cs="Times New Roman"/>
                            <w:sz w:val="20"/>
                            <w:szCs w:val="20"/>
                          </w:rPr>
                          <m:t>CO2</m:t>
                        </m:r>
                      </m:sub>
                    </m:sSub>
                  </m:num>
                  <m:den>
                    <m:r>
                      <w:rPr>
                        <w:rFonts w:ascii="Cambria Math" w:eastAsia="Calibri" w:hAnsi="Cambria Math" w:cs="Times New Roman"/>
                        <w:sz w:val="20"/>
                        <w:szCs w:val="20"/>
                      </w:rPr>
                      <m:t>kWh-km</m:t>
                    </m:r>
                  </m:den>
                </m:f>
              </m:oMath>
            </m:oMathPara>
          </w:p>
        </w:tc>
      </w:tr>
      <w:tr w:rsidR="000D4A0E" w:rsidRPr="00744EC6" w14:paraId="65CAB04A" w14:textId="77777777" w:rsidTr="003B4CD4">
        <w:tc>
          <w:tcPr>
            <w:tcW w:w="0" w:type="auto"/>
            <w:vAlign w:val="center"/>
          </w:tcPr>
          <w:p w14:paraId="1FE7A850"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EmissionFacto</m:t>
                </m:r>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l,y</m:t>
                    </m:r>
                  </m:sub>
                  <m:sup>
                    <m:r>
                      <w:rPr>
                        <w:rFonts w:ascii="Cambria Math" w:hAnsi="Cambria Math"/>
                        <w:sz w:val="20"/>
                        <w:szCs w:val="20"/>
                      </w:rPr>
                      <m:t>Tran,R</m:t>
                    </m:r>
                  </m:sup>
                </m:sSubSup>
              </m:oMath>
            </m:oMathPara>
          </w:p>
        </w:tc>
        <w:tc>
          <w:tcPr>
            <w:tcW w:w="6512" w:type="dxa"/>
            <w:vAlign w:val="center"/>
          </w:tcPr>
          <w:p w14:paraId="1530C009"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Carbon emission factor of regional transportation, via technology </w:t>
            </w:r>
            <m:oMath>
              <m:r>
                <w:rPr>
                  <w:rFonts w:ascii="Cambria Math" w:hAnsi="Cambria Math"/>
                  <w:sz w:val="20"/>
                  <w:szCs w:val="20"/>
                </w:rPr>
                <m:t>l,</m:t>
              </m:r>
            </m:oMath>
            <w:r w:rsidRPr="00744EC6">
              <w:rPr>
                <w:rFonts w:eastAsiaTheme="minorEastAsia"/>
                <w:sz w:val="20"/>
                <w:szCs w:val="20"/>
              </w:rPr>
              <w:t xml:space="preserve"> in time period </w:t>
            </w:r>
            <m:oMath>
              <m:r>
                <w:rPr>
                  <w:rFonts w:ascii="Cambria Math" w:eastAsiaTheme="minorEastAsia" w:hAnsi="Cambria Math"/>
                  <w:sz w:val="20"/>
                  <w:szCs w:val="20"/>
                </w:rPr>
                <m:t>y</m:t>
              </m:r>
            </m:oMath>
          </w:p>
        </w:tc>
        <w:tc>
          <w:tcPr>
            <w:tcW w:w="1276" w:type="dxa"/>
            <w:vAlign w:val="center"/>
          </w:tcPr>
          <w:p w14:paraId="0A43CAE0"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eastAsia="Calibri" w:hAnsi="Cambria Math" w:cs="Times New Roman"/>
                        <w:i/>
                        <w:sz w:val="20"/>
                        <w:szCs w:val="20"/>
                      </w:rPr>
                    </m:ctrlPr>
                  </m:fPr>
                  <m:num>
                    <m:r>
                      <w:rPr>
                        <w:rFonts w:ascii="Cambria Math" w:eastAsia="Calibri" w:hAnsi="Cambria Math" w:cs="Times New Roman"/>
                        <w:sz w:val="20"/>
                        <w:szCs w:val="20"/>
                      </w:rPr>
                      <m:t>k</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g</m:t>
                        </m:r>
                      </m:e>
                      <m:sub>
                        <m:r>
                          <w:rPr>
                            <w:rFonts w:ascii="Cambria Math" w:eastAsia="Calibri" w:hAnsi="Cambria Math" w:cs="Times New Roman"/>
                            <w:sz w:val="20"/>
                            <w:szCs w:val="20"/>
                          </w:rPr>
                          <m:t>CO2</m:t>
                        </m:r>
                      </m:sub>
                    </m:sSub>
                  </m:num>
                  <m:den>
                    <m:r>
                      <w:rPr>
                        <w:rFonts w:ascii="Cambria Math" w:eastAsia="Calibri" w:hAnsi="Cambria Math" w:cs="Times New Roman"/>
                        <w:sz w:val="20"/>
                        <w:szCs w:val="20"/>
                      </w:rPr>
                      <m:t>kWh-km</m:t>
                    </m:r>
                  </m:den>
                </m:f>
              </m:oMath>
            </m:oMathPara>
          </w:p>
        </w:tc>
      </w:tr>
      <w:tr w:rsidR="000D4A0E" w:rsidRPr="00744EC6" w14:paraId="3F523D2B" w14:textId="77777777" w:rsidTr="003B4CD4">
        <w:tc>
          <w:tcPr>
            <w:tcW w:w="0" w:type="auto"/>
            <w:vAlign w:val="center"/>
          </w:tcPr>
          <w:p w14:paraId="2BD9FA93"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b>
                  <m:sSubPr>
                    <m:ctrlPr>
                      <w:rPr>
                        <w:rFonts w:ascii="Cambria Math" w:hAnsi="Cambria Math"/>
                        <w:i/>
                        <w:sz w:val="20"/>
                        <w:szCs w:val="20"/>
                      </w:rPr>
                    </m:ctrlPr>
                  </m:sSubPr>
                  <m:e>
                    <m:r>
                      <w:rPr>
                        <w:rFonts w:ascii="Cambria Math" w:hAnsi="Cambria Math"/>
                        <w:sz w:val="20"/>
                        <w:szCs w:val="20"/>
                      </w:rPr>
                      <m:t>FixedOPEXTrans</m:t>
                    </m:r>
                  </m:e>
                  <m:sub>
                    <m:r>
                      <w:rPr>
                        <w:rFonts w:ascii="Cambria Math" w:hAnsi="Cambria Math"/>
                        <w:sz w:val="20"/>
                        <w:szCs w:val="20"/>
                      </w:rPr>
                      <m:t>l</m:t>
                    </m:r>
                  </m:sub>
                </m:sSub>
              </m:oMath>
            </m:oMathPara>
          </w:p>
        </w:tc>
        <w:tc>
          <w:tcPr>
            <w:tcW w:w="6512" w:type="dxa"/>
            <w:vAlign w:val="center"/>
          </w:tcPr>
          <w:p w14:paraId="646E9E42"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Fixed operational cost of transport via technology </w:t>
            </w:r>
            <m:oMath>
              <m:r>
                <w:rPr>
                  <w:rFonts w:ascii="Cambria Math" w:hAnsi="Cambria Math"/>
                  <w:sz w:val="20"/>
                  <w:szCs w:val="20"/>
                </w:rPr>
                <m:t>l</m:t>
              </m:r>
            </m:oMath>
            <w:r w:rsidRPr="00744EC6">
              <w:rPr>
                <w:rFonts w:eastAsiaTheme="minorEastAsia"/>
                <w:sz w:val="20"/>
                <w:szCs w:val="20"/>
              </w:rPr>
              <w:t xml:space="preserve"> as a percentage of capital cost</w:t>
            </w:r>
          </w:p>
        </w:tc>
        <w:tc>
          <w:tcPr>
            <w:tcW w:w="1276" w:type="dxa"/>
            <w:vAlign w:val="center"/>
          </w:tcPr>
          <w:p w14:paraId="02BA4769"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m:t>
                </m:r>
              </m:oMath>
            </m:oMathPara>
          </w:p>
        </w:tc>
      </w:tr>
      <w:tr w:rsidR="000D4A0E" w:rsidRPr="00744EC6" w14:paraId="1339BA7D" w14:textId="77777777" w:rsidTr="003B4CD4">
        <w:tc>
          <w:tcPr>
            <w:tcW w:w="0" w:type="auto"/>
            <w:vAlign w:val="center"/>
          </w:tcPr>
          <w:p w14:paraId="5101730A" w14:textId="77777777" w:rsidR="000D4A0E" w:rsidRPr="00744EC6" w:rsidRDefault="00903D45" w:rsidP="000D4A0E">
            <w:pPr>
              <w:pStyle w:val="Style1"/>
              <w:spacing w:before="0" w:after="6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 xml:space="preserve"> Lprod</m:t>
                    </m:r>
                  </m:e>
                  <m:sub>
                    <m:r>
                      <w:rPr>
                        <w:rFonts w:ascii="Cambria Math" w:hAnsi="Cambria Math"/>
                        <w:sz w:val="20"/>
                        <w:szCs w:val="20"/>
                      </w:rPr>
                      <m:t>p</m:t>
                    </m:r>
                  </m:sub>
                </m:sSub>
              </m:oMath>
            </m:oMathPara>
          </w:p>
        </w:tc>
        <w:tc>
          <w:tcPr>
            <w:tcW w:w="6512" w:type="dxa"/>
            <w:vAlign w:val="center"/>
          </w:tcPr>
          <w:p w14:paraId="3FA71E0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Lifetime of production technology </w:t>
            </w:r>
            <m:oMath>
              <m:r>
                <w:rPr>
                  <w:rFonts w:ascii="Cambria Math" w:hAnsi="Cambria Math"/>
                  <w:sz w:val="20"/>
                  <w:szCs w:val="20"/>
                </w:rPr>
                <m:t>p</m:t>
              </m:r>
            </m:oMath>
            <w:r w:rsidRPr="00744EC6">
              <w:rPr>
                <w:rFonts w:eastAsiaTheme="minorEastAsia"/>
                <w:sz w:val="20"/>
                <w:szCs w:val="20"/>
              </w:rPr>
              <w:t>.</w:t>
            </w:r>
          </w:p>
        </w:tc>
        <w:tc>
          <w:tcPr>
            <w:tcW w:w="1276" w:type="dxa"/>
            <w:vAlign w:val="center"/>
          </w:tcPr>
          <w:p w14:paraId="0936B7E6"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Year</m:t>
                </m:r>
              </m:oMath>
            </m:oMathPara>
          </w:p>
        </w:tc>
      </w:tr>
      <w:tr w:rsidR="000D4A0E" w:rsidRPr="00744EC6" w14:paraId="1AB7BEF8" w14:textId="77777777" w:rsidTr="003B4CD4">
        <w:tc>
          <w:tcPr>
            <w:tcW w:w="0" w:type="auto"/>
            <w:vAlign w:val="center"/>
          </w:tcPr>
          <w:p w14:paraId="28B40F46" w14:textId="77777777" w:rsidR="000D4A0E" w:rsidRPr="00744EC6" w:rsidRDefault="00903D45" w:rsidP="000D4A0E">
            <w:pPr>
              <w:pStyle w:val="Style1"/>
              <w:spacing w:before="0" w:after="6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 xml:space="preserve"> Lpur</m:t>
                    </m:r>
                  </m:e>
                  <m:sub>
                    <m:r>
                      <w:rPr>
                        <w:rFonts w:ascii="Cambria Math" w:hAnsi="Cambria Math"/>
                        <w:sz w:val="20"/>
                        <w:szCs w:val="20"/>
                      </w:rPr>
                      <m:t>c</m:t>
                    </m:r>
                  </m:sub>
                </m:sSub>
              </m:oMath>
            </m:oMathPara>
          </w:p>
        </w:tc>
        <w:tc>
          <w:tcPr>
            <w:tcW w:w="6512" w:type="dxa"/>
            <w:vAlign w:val="center"/>
          </w:tcPr>
          <w:p w14:paraId="1EBABD4F"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Lifetime of purification technology </w:t>
            </w:r>
            <m:oMath>
              <m:r>
                <w:rPr>
                  <w:rFonts w:ascii="Cambria Math" w:hAnsi="Cambria Math"/>
                  <w:sz w:val="20"/>
                  <w:szCs w:val="20"/>
                </w:rPr>
                <m:t>c</m:t>
              </m:r>
            </m:oMath>
            <w:r w:rsidRPr="00744EC6">
              <w:rPr>
                <w:rFonts w:eastAsiaTheme="minorEastAsia"/>
                <w:sz w:val="20"/>
                <w:szCs w:val="20"/>
              </w:rPr>
              <w:t>.</w:t>
            </w:r>
          </w:p>
        </w:tc>
        <w:tc>
          <w:tcPr>
            <w:tcW w:w="1276" w:type="dxa"/>
            <w:vAlign w:val="center"/>
          </w:tcPr>
          <w:p w14:paraId="7CFD411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Year</m:t>
                </m:r>
              </m:oMath>
            </m:oMathPara>
          </w:p>
        </w:tc>
      </w:tr>
      <w:tr w:rsidR="000D4A0E" w:rsidRPr="00744EC6" w14:paraId="553BFE43" w14:textId="77777777" w:rsidTr="003B4CD4">
        <w:tc>
          <w:tcPr>
            <w:tcW w:w="0" w:type="auto"/>
            <w:vAlign w:val="center"/>
          </w:tcPr>
          <w:p w14:paraId="1625E3DF" w14:textId="77777777" w:rsidR="000D4A0E" w:rsidRPr="00744EC6" w:rsidRDefault="000D4A0E" w:rsidP="000D4A0E">
            <w:pPr>
              <w:pStyle w:val="Style1"/>
              <w:spacing w:before="0" w:after="60" w:line="240" w:lineRule="auto"/>
              <w:jc w:val="center"/>
              <w:rPr>
                <w:sz w:val="20"/>
                <w:szCs w:val="20"/>
              </w:rPr>
            </w:pPr>
            <m:oMathPara>
              <m:oMath>
                <m:r>
                  <w:rPr>
                    <w:rFonts w:ascii="Cambria Math" w:eastAsia="Calibri" w:hAnsi="Cambria Math" w:cs="Times New Roman"/>
                    <w:sz w:val="20"/>
                    <w:szCs w:val="20"/>
                  </w:rPr>
                  <m:t>Lref</m:t>
                </m:r>
              </m:oMath>
            </m:oMathPara>
          </w:p>
        </w:tc>
        <w:tc>
          <w:tcPr>
            <w:tcW w:w="6512" w:type="dxa"/>
            <w:vAlign w:val="center"/>
          </w:tcPr>
          <w:p w14:paraId="46A3A932" w14:textId="77777777" w:rsidR="000D4A0E" w:rsidRPr="00744EC6" w:rsidRDefault="000D4A0E" w:rsidP="000D4A0E">
            <w:pPr>
              <w:pStyle w:val="Style1"/>
              <w:spacing w:before="0" w:after="60" w:line="240" w:lineRule="auto"/>
              <w:jc w:val="left"/>
              <w:rPr>
                <w:sz w:val="20"/>
                <w:szCs w:val="20"/>
              </w:rPr>
            </w:pPr>
            <w:r w:rsidRPr="00744EC6">
              <w:rPr>
                <w:sz w:val="20"/>
                <w:szCs w:val="20"/>
              </w:rPr>
              <w:t>Lifetime of refuelling station.</w:t>
            </w:r>
          </w:p>
        </w:tc>
        <w:tc>
          <w:tcPr>
            <w:tcW w:w="1276" w:type="dxa"/>
            <w:vAlign w:val="center"/>
          </w:tcPr>
          <w:p w14:paraId="0F9EAC1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Year</m:t>
                </m:r>
              </m:oMath>
            </m:oMathPara>
          </w:p>
        </w:tc>
      </w:tr>
      <w:tr w:rsidR="000D4A0E" w:rsidRPr="00744EC6" w14:paraId="338A59D1" w14:textId="77777777" w:rsidTr="003B4CD4">
        <w:tc>
          <w:tcPr>
            <w:tcW w:w="0" w:type="auto"/>
            <w:vAlign w:val="center"/>
          </w:tcPr>
          <w:p w14:paraId="7996345E" w14:textId="77777777" w:rsidR="000D4A0E" w:rsidRPr="00744EC6" w:rsidRDefault="00903D45" w:rsidP="000D4A0E">
            <w:pPr>
              <w:pStyle w:val="Style1"/>
              <w:spacing w:before="0" w:after="6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 xml:space="preserve"> Ltrans</m:t>
                    </m:r>
                  </m:e>
                  <m:sub>
                    <m:r>
                      <w:rPr>
                        <w:rFonts w:ascii="Cambria Math" w:hAnsi="Cambria Math"/>
                        <w:sz w:val="20"/>
                        <w:szCs w:val="20"/>
                      </w:rPr>
                      <m:t>l</m:t>
                    </m:r>
                  </m:sub>
                </m:sSub>
              </m:oMath>
            </m:oMathPara>
          </w:p>
        </w:tc>
        <w:tc>
          <w:tcPr>
            <w:tcW w:w="6512" w:type="dxa"/>
            <w:vAlign w:val="center"/>
          </w:tcPr>
          <w:p w14:paraId="1263E6CC"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Lifetime of transportation technology </w:t>
            </w:r>
            <m:oMath>
              <m:r>
                <w:rPr>
                  <w:rFonts w:ascii="Cambria Math" w:hAnsi="Cambria Math"/>
                  <w:sz w:val="20"/>
                  <w:szCs w:val="20"/>
                </w:rPr>
                <m:t>l</m:t>
              </m:r>
            </m:oMath>
            <w:r w:rsidRPr="00744EC6">
              <w:rPr>
                <w:rFonts w:eastAsiaTheme="minorEastAsia"/>
                <w:sz w:val="20"/>
                <w:szCs w:val="20"/>
              </w:rPr>
              <w:t>.</w:t>
            </w:r>
          </w:p>
        </w:tc>
        <w:tc>
          <w:tcPr>
            <w:tcW w:w="1276" w:type="dxa"/>
            <w:vAlign w:val="center"/>
          </w:tcPr>
          <w:p w14:paraId="1D99E246"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Year</m:t>
                </m:r>
              </m:oMath>
            </m:oMathPara>
          </w:p>
        </w:tc>
      </w:tr>
      <w:tr w:rsidR="000D4A0E" w:rsidRPr="00744EC6" w14:paraId="1066388A" w14:textId="77777777" w:rsidTr="003B4CD4">
        <w:tc>
          <w:tcPr>
            <w:tcW w:w="0" w:type="auto"/>
            <w:vAlign w:val="center"/>
          </w:tcPr>
          <w:p w14:paraId="5DA47E37"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LU</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l,g</m:t>
                    </m:r>
                  </m:sub>
                </m:sSub>
              </m:oMath>
            </m:oMathPara>
          </w:p>
        </w:tc>
        <w:tc>
          <w:tcPr>
            <w:tcW w:w="6512" w:type="dxa"/>
            <w:vAlign w:val="center"/>
          </w:tcPr>
          <w:p w14:paraId="0A8AF54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Loading/unloading time of trucks transporting hydrogen in grade </w:t>
            </w:r>
            <m:oMath>
              <m:r>
                <w:rPr>
                  <w:rFonts w:ascii="Cambria Math" w:hAnsi="Cambria Math"/>
                  <w:sz w:val="20"/>
                  <w:szCs w:val="20"/>
                </w:rPr>
                <m:t>g</m:t>
              </m:r>
            </m:oMath>
            <w:r w:rsidRPr="00744EC6">
              <w:rPr>
                <w:rFonts w:eastAsiaTheme="minorEastAsia"/>
                <w:sz w:val="20"/>
                <w:szCs w:val="20"/>
              </w:rPr>
              <w:t>.</w:t>
            </w:r>
          </w:p>
        </w:tc>
        <w:tc>
          <w:tcPr>
            <w:tcW w:w="1276" w:type="dxa"/>
            <w:vAlign w:val="center"/>
          </w:tcPr>
          <w:p w14:paraId="0FF04A7C"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m:t>
                    </m:r>
                  </m:den>
                </m:f>
              </m:oMath>
            </m:oMathPara>
          </w:p>
        </w:tc>
      </w:tr>
      <w:tr w:rsidR="000D4A0E" w:rsidRPr="00744EC6" w14:paraId="1A16421A" w14:textId="77777777" w:rsidTr="003B4CD4">
        <w:tc>
          <w:tcPr>
            <w:tcW w:w="0" w:type="auto"/>
            <w:vAlign w:val="center"/>
          </w:tcPr>
          <w:p w14:paraId="3C93B02B"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eastAsiaTheme="minorEastAsia" w:hAnsi="Cambria Math"/>
                    <w:sz w:val="20"/>
                    <w:szCs w:val="20"/>
                  </w:rPr>
                  <m:t>M</m:t>
                </m:r>
              </m:oMath>
            </m:oMathPara>
          </w:p>
        </w:tc>
        <w:tc>
          <w:tcPr>
            <w:tcW w:w="6512" w:type="dxa"/>
            <w:vAlign w:val="center"/>
          </w:tcPr>
          <w:p w14:paraId="08DA37A4" w14:textId="77777777" w:rsidR="000D4A0E" w:rsidRPr="00744EC6" w:rsidRDefault="000D4A0E" w:rsidP="000D4A0E">
            <w:pPr>
              <w:pStyle w:val="Style1"/>
              <w:spacing w:before="0" w:after="60" w:line="240" w:lineRule="auto"/>
              <w:jc w:val="left"/>
              <w:rPr>
                <w:sz w:val="20"/>
                <w:szCs w:val="20"/>
              </w:rPr>
            </w:pPr>
            <w:r w:rsidRPr="00744EC6">
              <w:rPr>
                <w:sz w:val="20"/>
                <w:szCs w:val="20"/>
              </w:rPr>
              <w:t>Large value</w:t>
            </w:r>
          </w:p>
        </w:tc>
        <w:tc>
          <w:tcPr>
            <w:tcW w:w="1276" w:type="dxa"/>
            <w:vAlign w:val="center"/>
          </w:tcPr>
          <w:p w14:paraId="36955623"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409E6EE4" w14:textId="77777777" w:rsidTr="003B4CD4">
        <w:tc>
          <w:tcPr>
            <w:tcW w:w="0" w:type="auto"/>
            <w:vAlign w:val="center"/>
          </w:tcPr>
          <w:p w14:paraId="62F29A90"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eastAsiaTheme="minorEastAsia" w:hAnsi="Cambria Math"/>
                    <w:sz w:val="20"/>
                    <w:szCs w:val="20"/>
                  </w:rPr>
                  <m:t>Neigh(z,</m:t>
                </m:r>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r>
                  <w:rPr>
                    <w:rFonts w:ascii="Cambria Math" w:eastAsiaTheme="minorEastAsia" w:hAnsi="Cambria Math"/>
                    <w:sz w:val="20"/>
                    <w:szCs w:val="20"/>
                  </w:rPr>
                  <m:t>)</m:t>
                </m:r>
              </m:oMath>
            </m:oMathPara>
          </w:p>
        </w:tc>
        <w:tc>
          <w:tcPr>
            <w:tcW w:w="6512" w:type="dxa"/>
            <w:vAlign w:val="center"/>
          </w:tcPr>
          <w:p w14:paraId="10206C38"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Matrix of 1’s and 0’s indicating whether zone </w:t>
            </w:r>
            <m:oMath>
              <m:r>
                <w:rPr>
                  <w:rFonts w:ascii="Cambria Math" w:hAnsi="Cambria Math"/>
                  <w:sz w:val="20"/>
                  <w:szCs w:val="20"/>
                </w:rPr>
                <m:t>z</m:t>
              </m:r>
            </m:oMath>
            <w:r w:rsidRPr="00744EC6">
              <w:rPr>
                <w:rFonts w:eastAsiaTheme="minorEastAsia"/>
                <w:sz w:val="20"/>
                <w:szCs w:val="20"/>
              </w:rPr>
              <w:t xml:space="preserve"> and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oMath>
            <w:r w:rsidRPr="00744EC6">
              <w:rPr>
                <w:rFonts w:eastAsiaTheme="minorEastAsia"/>
                <w:sz w:val="20"/>
                <w:szCs w:val="20"/>
              </w:rPr>
              <w:t xml:space="preserve"> are neighbouring.</w:t>
            </w:r>
          </w:p>
        </w:tc>
        <w:tc>
          <w:tcPr>
            <w:tcW w:w="1276" w:type="dxa"/>
            <w:vAlign w:val="center"/>
          </w:tcPr>
          <w:p w14:paraId="46E45505"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7D6BF4EB" w14:textId="77777777" w:rsidTr="003B4CD4">
        <w:tc>
          <w:tcPr>
            <w:tcW w:w="0" w:type="auto"/>
            <w:vAlign w:val="center"/>
          </w:tcPr>
          <w:p w14:paraId="19110503"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OCost</m:t>
                    </m:r>
                  </m:e>
                  <m:sub>
                    <m:r>
                      <w:rPr>
                        <w:rFonts w:ascii="Cambria Math" w:eastAsiaTheme="minorEastAsia" w:hAnsi="Cambria Math"/>
                        <w:sz w:val="20"/>
                        <w:szCs w:val="20"/>
                      </w:rPr>
                      <m:t>c,y</m:t>
                    </m:r>
                  </m:sub>
                  <m:sup>
                    <m:r>
                      <w:rPr>
                        <w:rFonts w:ascii="Cambria Math" w:eastAsiaTheme="minorEastAsia" w:hAnsi="Cambria Math"/>
                        <w:sz w:val="20"/>
                        <w:szCs w:val="20"/>
                      </w:rPr>
                      <m:t>C,Dirty</m:t>
                    </m:r>
                  </m:sup>
                </m:sSubSup>
              </m:oMath>
            </m:oMathPara>
          </w:p>
        </w:tc>
        <w:tc>
          <w:tcPr>
            <w:tcW w:w="6512" w:type="dxa"/>
            <w:vAlign w:val="center"/>
          </w:tcPr>
          <w:p w14:paraId="3CF9F1F2"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costs of centralised purification, purifying dirty hydrogen to clean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5BC3B10C"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m:t>
                    </m:r>
                  </m:den>
                </m:f>
              </m:oMath>
            </m:oMathPara>
          </w:p>
        </w:tc>
      </w:tr>
      <w:tr w:rsidR="000D4A0E" w:rsidRPr="00744EC6" w14:paraId="42E923B6" w14:textId="77777777" w:rsidTr="003B4CD4">
        <w:tc>
          <w:tcPr>
            <w:tcW w:w="0" w:type="auto"/>
            <w:vAlign w:val="center"/>
          </w:tcPr>
          <w:p w14:paraId="319FDA3A"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OCost</m:t>
                    </m:r>
                  </m:e>
                  <m:sub>
                    <m:r>
                      <w:rPr>
                        <w:rFonts w:ascii="Cambria Math" w:eastAsiaTheme="minorEastAsia" w:hAnsi="Cambria Math"/>
                        <w:sz w:val="20"/>
                        <w:szCs w:val="20"/>
                      </w:rPr>
                      <m:t>c,y</m:t>
                    </m:r>
                  </m:sub>
                  <m:sup>
                    <m:r>
                      <w:rPr>
                        <w:rFonts w:ascii="Cambria Math" w:eastAsiaTheme="minorEastAsia" w:hAnsi="Cambria Math"/>
                        <w:sz w:val="20"/>
                        <w:szCs w:val="20"/>
                      </w:rPr>
                      <m:t>L,Blend</m:t>
                    </m:r>
                  </m:sup>
                </m:sSubSup>
              </m:oMath>
            </m:oMathPara>
          </w:p>
        </w:tc>
        <w:tc>
          <w:tcPr>
            <w:tcW w:w="6512" w:type="dxa"/>
            <w:vAlign w:val="center"/>
          </w:tcPr>
          <w:p w14:paraId="5C83AA7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costs of localised purification, purifying blended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422FE821"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m:t>
                    </m:r>
                  </m:den>
                </m:f>
              </m:oMath>
            </m:oMathPara>
          </w:p>
        </w:tc>
      </w:tr>
      <w:tr w:rsidR="000D4A0E" w:rsidRPr="00744EC6" w14:paraId="494A2501" w14:textId="77777777" w:rsidTr="003B4CD4">
        <w:tc>
          <w:tcPr>
            <w:tcW w:w="0" w:type="auto"/>
            <w:vAlign w:val="center"/>
          </w:tcPr>
          <w:p w14:paraId="050BE246"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OCost</m:t>
                    </m:r>
                  </m:e>
                  <m:sub>
                    <m:r>
                      <w:rPr>
                        <w:rFonts w:ascii="Cambria Math" w:eastAsiaTheme="minorEastAsia" w:hAnsi="Cambria Math"/>
                        <w:sz w:val="20"/>
                        <w:szCs w:val="20"/>
                      </w:rPr>
                      <m:t>c,y</m:t>
                    </m:r>
                  </m:sub>
                  <m:sup>
                    <m:r>
                      <w:rPr>
                        <w:rFonts w:ascii="Cambria Math" w:eastAsiaTheme="minorEastAsia" w:hAnsi="Cambria Math"/>
                        <w:sz w:val="20"/>
                        <w:szCs w:val="20"/>
                      </w:rPr>
                      <m:t>L,Clean</m:t>
                    </m:r>
                  </m:sup>
                </m:sSubSup>
              </m:oMath>
            </m:oMathPara>
          </w:p>
        </w:tc>
        <w:tc>
          <w:tcPr>
            <w:tcW w:w="6512" w:type="dxa"/>
            <w:vAlign w:val="center"/>
          </w:tcPr>
          <w:p w14:paraId="33F45326"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costs of localised purification, purifying clean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F26A9BA"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m:t>
                    </m:r>
                  </m:den>
                </m:f>
              </m:oMath>
            </m:oMathPara>
          </w:p>
        </w:tc>
      </w:tr>
      <w:tr w:rsidR="000D4A0E" w:rsidRPr="00744EC6" w14:paraId="68FD69E4" w14:textId="77777777" w:rsidTr="003B4CD4">
        <w:tc>
          <w:tcPr>
            <w:tcW w:w="0" w:type="auto"/>
            <w:vAlign w:val="center"/>
          </w:tcPr>
          <w:p w14:paraId="3C7A6870" w14:textId="77777777" w:rsidR="000D4A0E" w:rsidRPr="00744EC6" w:rsidRDefault="00903D45" w:rsidP="000D4A0E">
            <w:pPr>
              <w:pStyle w:val="Style1"/>
              <w:spacing w:before="0" w:after="60" w:line="240" w:lineRule="auto"/>
              <w:jc w:val="center"/>
              <w:rPr>
                <w:sz w:val="20"/>
                <w:szCs w:val="20"/>
              </w:rPr>
            </w:pPr>
            <m:oMathPara>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OCost</m:t>
                    </m:r>
                  </m:e>
                  <m:sub>
                    <m:r>
                      <w:rPr>
                        <w:rFonts w:ascii="Cambria Math" w:eastAsiaTheme="minorEastAsia" w:hAnsi="Cambria Math"/>
                        <w:sz w:val="20"/>
                        <w:szCs w:val="20"/>
                      </w:rPr>
                      <m:t>c,y</m:t>
                    </m:r>
                  </m:sub>
                  <m:sup>
                    <m:r>
                      <w:rPr>
                        <w:rFonts w:ascii="Cambria Math" w:eastAsiaTheme="minorEastAsia" w:hAnsi="Cambria Math"/>
                        <w:sz w:val="20"/>
                        <w:szCs w:val="20"/>
                      </w:rPr>
                      <m:t>L,Dirty</m:t>
                    </m:r>
                  </m:sup>
                </m:sSubSup>
              </m:oMath>
            </m:oMathPara>
          </w:p>
        </w:tc>
        <w:tc>
          <w:tcPr>
            <w:tcW w:w="6512" w:type="dxa"/>
            <w:vAlign w:val="center"/>
          </w:tcPr>
          <w:p w14:paraId="3F0558B2"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costs of localised purification, cleaning dirty hydrogen to pure hydrogen, via technology </w:t>
            </w:r>
            <m:oMath>
              <m:r>
                <w:rPr>
                  <w:rFonts w:ascii="Cambria Math" w:hAnsi="Cambria Math"/>
                  <w:sz w:val="20"/>
                  <w:szCs w:val="20"/>
                </w:rPr>
                <m:t>c</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4B286D7E"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m:t>
                    </m:r>
                  </m:den>
                </m:f>
              </m:oMath>
            </m:oMathPara>
          </w:p>
        </w:tc>
      </w:tr>
      <w:tr w:rsidR="000D4A0E" w:rsidRPr="00744EC6" w14:paraId="38C07AAB" w14:textId="77777777" w:rsidTr="003B4CD4">
        <w:tc>
          <w:tcPr>
            <w:tcW w:w="0" w:type="auto"/>
            <w:vAlign w:val="center"/>
          </w:tcPr>
          <w:p w14:paraId="5CD437FA" w14:textId="77777777" w:rsidR="000D4A0E" w:rsidRPr="00744EC6" w:rsidRDefault="00903D45" w:rsidP="000D4A0E">
            <w:pPr>
              <w:pStyle w:val="Style1"/>
              <w:spacing w:before="0" w:after="60" w:line="240" w:lineRule="auto"/>
              <w:jc w:val="center"/>
              <w:rPr>
                <w:sz w:val="20"/>
                <w:szCs w:val="20"/>
              </w:rPr>
            </w:pPr>
            <m:oMathPara>
              <m:oMath>
                <m:sSubSup>
                  <m:sSubSupPr>
                    <m:ctrlPr>
                      <w:rPr>
                        <w:rFonts w:ascii="Cambria Math" w:hAnsi="Cambria Math"/>
                        <w:i/>
                        <w:sz w:val="20"/>
                        <w:szCs w:val="20"/>
                      </w:rPr>
                    </m:ctrlPr>
                  </m:sSubSupPr>
                  <m:e>
                    <m:r>
                      <w:rPr>
                        <w:rFonts w:ascii="Cambria Math" w:hAnsi="Cambria Math"/>
                        <w:sz w:val="20"/>
                        <w:szCs w:val="20"/>
                      </w:rPr>
                      <m:t>OCost</m:t>
                    </m:r>
                  </m:e>
                  <m:sub>
                    <m:r>
                      <w:rPr>
                        <w:rFonts w:ascii="Cambria Math" w:hAnsi="Cambria Math"/>
                        <w:sz w:val="20"/>
                        <w:szCs w:val="20"/>
                      </w:rPr>
                      <m:t>p,g,y</m:t>
                    </m:r>
                  </m:sub>
                  <m:sup>
                    <m:r>
                      <w:rPr>
                        <w:rFonts w:ascii="Cambria Math" w:hAnsi="Cambria Math"/>
                        <w:sz w:val="20"/>
                        <w:szCs w:val="20"/>
                      </w:rPr>
                      <m:t>P</m:t>
                    </m:r>
                  </m:sup>
                </m:sSubSup>
              </m:oMath>
            </m:oMathPara>
          </w:p>
        </w:tc>
        <w:tc>
          <w:tcPr>
            <w:tcW w:w="6512" w:type="dxa"/>
            <w:vAlign w:val="center"/>
          </w:tcPr>
          <w:p w14:paraId="54745E1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 of production technology </w:t>
            </w:r>
            <m:oMath>
              <m:r>
                <w:rPr>
                  <w:rFonts w:ascii="Cambria Math" w:hAnsi="Cambria Math"/>
                  <w:sz w:val="20"/>
                  <w:szCs w:val="20"/>
                </w:rPr>
                <m:t>p</m:t>
              </m:r>
            </m:oMath>
            <w:r w:rsidRPr="00744EC6">
              <w:rPr>
                <w:rFonts w:eastAsiaTheme="minorEastAsia"/>
                <w:sz w:val="20"/>
                <w:szCs w:val="20"/>
              </w:rPr>
              <w:t xml:space="preserve">, producing hydrogen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0F4A844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£/kWh</m:t>
                </m:r>
              </m:oMath>
            </m:oMathPara>
          </w:p>
        </w:tc>
      </w:tr>
      <w:tr w:rsidR="000D4A0E" w:rsidRPr="00744EC6" w14:paraId="296561BF" w14:textId="77777777" w:rsidTr="003B4CD4">
        <w:tc>
          <w:tcPr>
            <w:tcW w:w="0" w:type="auto"/>
            <w:vAlign w:val="center"/>
          </w:tcPr>
          <w:p w14:paraId="4B2ECFC8"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Sup>
                  <m:sSubSupPr>
                    <m:ctrlPr>
                      <w:rPr>
                        <w:rFonts w:ascii="Cambria Math" w:hAnsi="Cambria Math"/>
                        <w:i/>
                        <w:sz w:val="20"/>
                        <w:szCs w:val="20"/>
                      </w:rPr>
                    </m:ctrlPr>
                  </m:sSubSupPr>
                  <m:e>
                    <m:r>
                      <w:rPr>
                        <w:rFonts w:ascii="Cambria Math" w:hAnsi="Cambria Math"/>
                        <w:sz w:val="20"/>
                        <w:szCs w:val="20"/>
                      </w:rPr>
                      <m:t>OCost</m:t>
                    </m:r>
                  </m:e>
                  <m:sub>
                    <m:r>
                      <w:rPr>
                        <w:rFonts w:ascii="Cambria Math" w:hAnsi="Cambria Math"/>
                        <w:sz w:val="20"/>
                        <w:szCs w:val="20"/>
                      </w:rPr>
                      <m:t>y</m:t>
                    </m:r>
                  </m:sub>
                  <m:sup>
                    <m:r>
                      <w:rPr>
                        <w:rFonts w:ascii="Cambria Math" w:hAnsi="Cambria Math"/>
                        <w:sz w:val="20"/>
                        <w:szCs w:val="20"/>
                      </w:rPr>
                      <m:t>RF</m:t>
                    </m:r>
                  </m:sup>
                </m:sSubSup>
              </m:oMath>
            </m:oMathPara>
          </w:p>
        </w:tc>
        <w:tc>
          <w:tcPr>
            <w:tcW w:w="6512" w:type="dxa"/>
            <w:vAlign w:val="center"/>
          </w:tcPr>
          <w:p w14:paraId="5DE60771"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costs of refuelling station in time period </w:t>
            </w:r>
            <m:oMath>
              <m:r>
                <w:rPr>
                  <w:rFonts w:ascii="Cambria Math" w:hAnsi="Cambria Math"/>
                  <w:sz w:val="20"/>
                  <w:szCs w:val="20"/>
                </w:rPr>
                <m:t>y</m:t>
              </m:r>
            </m:oMath>
            <w:r w:rsidRPr="00744EC6">
              <w:rPr>
                <w:rFonts w:eastAsiaTheme="minorEastAsia"/>
                <w:sz w:val="20"/>
                <w:szCs w:val="20"/>
              </w:rPr>
              <w:t>.</w:t>
            </w:r>
          </w:p>
        </w:tc>
        <w:tc>
          <w:tcPr>
            <w:tcW w:w="1276" w:type="dxa"/>
            <w:vAlign w:val="center"/>
          </w:tcPr>
          <w:p w14:paraId="5CB86772" w14:textId="77777777" w:rsidR="000D4A0E" w:rsidRPr="00744EC6" w:rsidRDefault="00903D45" w:rsidP="000D4A0E">
            <w:pPr>
              <w:pStyle w:val="Style1"/>
              <w:spacing w:before="0" w:after="60" w:line="240" w:lineRule="auto"/>
              <w:jc w:val="center"/>
              <w:rPr>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m:t>
                    </m:r>
                  </m:den>
                </m:f>
              </m:oMath>
            </m:oMathPara>
          </w:p>
        </w:tc>
      </w:tr>
      <w:tr w:rsidR="000D4A0E" w:rsidRPr="00744EC6" w14:paraId="4AD745AA" w14:textId="77777777" w:rsidTr="003B4CD4">
        <w:tc>
          <w:tcPr>
            <w:tcW w:w="0" w:type="auto"/>
            <w:vAlign w:val="center"/>
          </w:tcPr>
          <w:p w14:paraId="3163B45B"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bSup>
                  <m:sSubSupPr>
                    <m:ctrlPr>
                      <w:rPr>
                        <w:rFonts w:ascii="Cambria Math" w:hAnsi="Cambria Math"/>
                        <w:i/>
                        <w:sz w:val="20"/>
                        <w:szCs w:val="20"/>
                      </w:rPr>
                    </m:ctrlPr>
                  </m:sSubSupPr>
                  <m:e>
                    <m:r>
                      <w:rPr>
                        <w:rFonts w:ascii="Cambria Math" w:hAnsi="Cambria Math"/>
                        <w:sz w:val="20"/>
                        <w:szCs w:val="20"/>
                      </w:rPr>
                      <m:t>OCostT</m:t>
                    </m:r>
                  </m:e>
                  <m:sub>
                    <m:r>
                      <w:rPr>
                        <w:rFonts w:ascii="Cambria Math" w:hAnsi="Cambria Math"/>
                        <w:sz w:val="20"/>
                        <w:szCs w:val="20"/>
                      </w:rPr>
                      <m:t>l,g,y</m:t>
                    </m:r>
                  </m:sub>
                  <m:sup>
                    <m:r>
                      <w:rPr>
                        <w:rFonts w:ascii="Cambria Math" w:hAnsi="Cambria Math"/>
                        <w:sz w:val="20"/>
                        <w:szCs w:val="20"/>
                      </w:rPr>
                      <m:t>L</m:t>
                    </m:r>
                  </m:sup>
                </m:sSubSup>
              </m:oMath>
            </m:oMathPara>
          </w:p>
        </w:tc>
        <w:tc>
          <w:tcPr>
            <w:tcW w:w="6512" w:type="dxa"/>
            <w:vAlign w:val="center"/>
          </w:tcPr>
          <w:p w14:paraId="590AC3F9"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 of local transport via technology </w:t>
            </w:r>
            <m:oMath>
              <m:r>
                <w:rPr>
                  <w:rFonts w:ascii="Cambria Math" w:hAnsi="Cambria Math"/>
                  <w:sz w:val="20"/>
                  <w:szCs w:val="20"/>
                </w:rPr>
                <m:t>l</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p>
        </w:tc>
        <w:tc>
          <w:tcPr>
            <w:tcW w:w="1276" w:type="dxa"/>
            <w:vAlign w:val="center"/>
          </w:tcPr>
          <w:p w14:paraId="0D0D1B26"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kWh-km</m:t>
                    </m:r>
                  </m:den>
                </m:f>
              </m:oMath>
            </m:oMathPara>
          </w:p>
        </w:tc>
      </w:tr>
      <w:tr w:rsidR="000D4A0E" w:rsidRPr="00744EC6" w14:paraId="3ED22316" w14:textId="77777777" w:rsidTr="003B4CD4">
        <w:tc>
          <w:tcPr>
            <w:tcW w:w="0" w:type="auto"/>
            <w:vAlign w:val="center"/>
          </w:tcPr>
          <w:p w14:paraId="3F9861D3"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bSup>
                  <m:sSubSupPr>
                    <m:ctrlPr>
                      <w:rPr>
                        <w:rFonts w:ascii="Cambria Math" w:hAnsi="Cambria Math"/>
                        <w:i/>
                        <w:sz w:val="20"/>
                        <w:szCs w:val="20"/>
                      </w:rPr>
                    </m:ctrlPr>
                  </m:sSubSupPr>
                  <m:e>
                    <m:r>
                      <w:rPr>
                        <w:rFonts w:ascii="Cambria Math" w:hAnsi="Cambria Math"/>
                        <w:sz w:val="20"/>
                        <w:szCs w:val="20"/>
                      </w:rPr>
                      <m:t>OCostT</m:t>
                    </m:r>
                  </m:e>
                  <m:sub>
                    <m:r>
                      <w:rPr>
                        <w:rFonts w:ascii="Cambria Math" w:hAnsi="Cambria Math"/>
                        <w:sz w:val="20"/>
                        <w:szCs w:val="20"/>
                      </w:rPr>
                      <m:t>l,g,y</m:t>
                    </m:r>
                  </m:sub>
                  <m:sup>
                    <m:r>
                      <w:rPr>
                        <w:rFonts w:ascii="Cambria Math" w:hAnsi="Cambria Math"/>
                        <w:sz w:val="20"/>
                        <w:szCs w:val="20"/>
                      </w:rPr>
                      <m:t>R</m:t>
                    </m:r>
                  </m:sup>
                </m:sSubSup>
              </m:oMath>
            </m:oMathPara>
          </w:p>
        </w:tc>
        <w:tc>
          <w:tcPr>
            <w:tcW w:w="6512" w:type="dxa"/>
            <w:vAlign w:val="center"/>
          </w:tcPr>
          <w:p w14:paraId="53EDB80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Operating cost of regional transport via technology </w:t>
            </w:r>
            <m:oMath>
              <m:r>
                <w:rPr>
                  <w:rFonts w:ascii="Cambria Math" w:hAnsi="Cambria Math"/>
                  <w:sz w:val="20"/>
                  <w:szCs w:val="20"/>
                </w:rPr>
                <m:t>l</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p>
        </w:tc>
        <w:tc>
          <w:tcPr>
            <w:tcW w:w="1276" w:type="dxa"/>
            <w:vAlign w:val="center"/>
          </w:tcPr>
          <w:p w14:paraId="61BA300C"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kWh-km</m:t>
                    </m:r>
                  </m:den>
                </m:f>
              </m:oMath>
            </m:oMathPara>
          </w:p>
        </w:tc>
      </w:tr>
      <w:tr w:rsidR="000D4A0E" w:rsidRPr="00744EC6" w14:paraId="0CB7A6CE" w14:textId="77777777" w:rsidTr="003B4CD4">
        <w:tc>
          <w:tcPr>
            <w:tcW w:w="0" w:type="auto"/>
            <w:vAlign w:val="center"/>
          </w:tcPr>
          <w:p w14:paraId="1E98DDF5"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PCa</m:t>
                </m:r>
                <m:sSup>
                  <m:sSupPr>
                    <m:ctrlPr>
                      <w:rPr>
                        <w:rFonts w:ascii="Cambria Math" w:hAnsi="Cambria Math"/>
                        <w:i/>
                        <w:sz w:val="20"/>
                        <w:szCs w:val="20"/>
                      </w:rPr>
                    </m:ctrlPr>
                  </m:sSupPr>
                  <m:e>
                    <m:r>
                      <w:rPr>
                        <w:rFonts w:ascii="Cambria Math" w:hAnsi="Cambria Math"/>
                        <w:sz w:val="20"/>
                        <w:szCs w:val="20"/>
                      </w:rPr>
                      <m:t>p</m:t>
                    </m:r>
                  </m:e>
                  <m:sup>
                    <m:r>
                      <w:rPr>
                        <w:rFonts w:ascii="Cambria Math" w:hAnsi="Cambria Math"/>
                        <w:sz w:val="20"/>
                        <w:szCs w:val="20"/>
                      </w:rPr>
                      <m:t>Turbine,Max</m:t>
                    </m:r>
                  </m:sup>
                </m:sSup>
              </m:oMath>
            </m:oMathPara>
          </w:p>
        </w:tc>
        <w:tc>
          <w:tcPr>
            <w:tcW w:w="6512" w:type="dxa"/>
            <w:vAlign w:val="center"/>
          </w:tcPr>
          <w:p w14:paraId="6987C71C" w14:textId="77777777" w:rsidR="000D4A0E" w:rsidRPr="00744EC6" w:rsidRDefault="000D4A0E" w:rsidP="000D4A0E">
            <w:pPr>
              <w:pStyle w:val="Style1"/>
              <w:spacing w:before="0" w:after="60" w:line="240" w:lineRule="auto"/>
              <w:jc w:val="left"/>
              <w:rPr>
                <w:sz w:val="20"/>
                <w:szCs w:val="20"/>
              </w:rPr>
            </w:pPr>
            <w:r w:rsidRPr="00744EC6">
              <w:rPr>
                <w:sz w:val="20"/>
                <w:szCs w:val="20"/>
              </w:rPr>
              <w:t>Maximum production capacity of a wind turbine</w:t>
            </w:r>
          </w:p>
        </w:tc>
        <w:tc>
          <w:tcPr>
            <w:tcW w:w="1276" w:type="dxa"/>
            <w:vAlign w:val="center"/>
          </w:tcPr>
          <w:p w14:paraId="18EE657A"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kW</m:t>
                </m:r>
              </m:oMath>
            </m:oMathPara>
          </w:p>
        </w:tc>
      </w:tr>
      <w:tr w:rsidR="000D4A0E" w:rsidRPr="00744EC6" w14:paraId="760E0798" w14:textId="77777777" w:rsidTr="003B4CD4">
        <w:tc>
          <w:tcPr>
            <w:tcW w:w="0" w:type="auto"/>
            <w:vAlign w:val="center"/>
          </w:tcPr>
          <w:p w14:paraId="7C86EA20"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ProdFixedOPE</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p</m:t>
                    </m:r>
                  </m:sub>
                </m:sSub>
              </m:oMath>
            </m:oMathPara>
          </w:p>
        </w:tc>
        <w:tc>
          <w:tcPr>
            <w:tcW w:w="6512" w:type="dxa"/>
            <w:vAlign w:val="center"/>
          </w:tcPr>
          <w:p w14:paraId="5ED0BDCB" w14:textId="77777777" w:rsidR="000D4A0E" w:rsidRPr="00744EC6" w:rsidRDefault="000D4A0E" w:rsidP="000D4A0E">
            <w:pPr>
              <w:pStyle w:val="Style1"/>
              <w:spacing w:before="0" w:after="60" w:line="240" w:lineRule="auto"/>
              <w:jc w:val="left"/>
              <w:rPr>
                <w:sz w:val="20"/>
                <w:szCs w:val="20"/>
              </w:rPr>
            </w:pPr>
            <w:r w:rsidRPr="00744EC6">
              <w:rPr>
                <w:sz w:val="20"/>
                <w:szCs w:val="20"/>
              </w:rPr>
              <w:t>Fixed operating cost of production technology as a percentage of capital cost.</w:t>
            </w:r>
          </w:p>
        </w:tc>
        <w:tc>
          <w:tcPr>
            <w:tcW w:w="1276" w:type="dxa"/>
            <w:vAlign w:val="center"/>
          </w:tcPr>
          <w:p w14:paraId="090DEB71"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m:t>
                </m:r>
              </m:oMath>
            </m:oMathPara>
          </w:p>
        </w:tc>
      </w:tr>
      <w:tr w:rsidR="000D4A0E" w:rsidRPr="00744EC6" w14:paraId="47EB6DB1" w14:textId="77777777" w:rsidTr="003B4CD4">
        <w:tc>
          <w:tcPr>
            <w:tcW w:w="0" w:type="auto"/>
            <w:vAlign w:val="center"/>
          </w:tcPr>
          <w:p w14:paraId="13463F3E" w14:textId="77777777" w:rsidR="000D4A0E" w:rsidRPr="00744EC6" w:rsidRDefault="000D4A0E" w:rsidP="000D4A0E">
            <w:pPr>
              <w:pStyle w:val="Style1"/>
              <w:spacing w:before="0" w:after="60" w:line="240" w:lineRule="auto"/>
              <w:jc w:val="center"/>
              <w:rPr>
                <w:sz w:val="20"/>
                <w:szCs w:val="20"/>
              </w:rPr>
            </w:pPr>
            <m:oMathPara>
              <m:oMath>
                <m:r>
                  <w:rPr>
                    <w:rFonts w:ascii="Cambria Math" w:eastAsia="Calibri" w:hAnsi="Cambria Math" w:cs="Times New Roman"/>
                    <w:sz w:val="20"/>
                    <w:szCs w:val="20"/>
                  </w:rPr>
                  <m:t>r</m:t>
                </m:r>
              </m:oMath>
            </m:oMathPara>
          </w:p>
        </w:tc>
        <w:tc>
          <w:tcPr>
            <w:tcW w:w="6512" w:type="dxa"/>
            <w:vAlign w:val="center"/>
          </w:tcPr>
          <w:p w14:paraId="08F4EC18" w14:textId="77777777" w:rsidR="000D4A0E" w:rsidRPr="00744EC6" w:rsidRDefault="000D4A0E" w:rsidP="000D4A0E">
            <w:pPr>
              <w:pStyle w:val="Style1"/>
              <w:spacing w:before="0" w:after="60" w:line="240" w:lineRule="auto"/>
              <w:jc w:val="left"/>
              <w:rPr>
                <w:sz w:val="20"/>
                <w:szCs w:val="20"/>
              </w:rPr>
            </w:pPr>
            <w:r w:rsidRPr="00744EC6">
              <w:rPr>
                <w:sz w:val="20"/>
                <w:szCs w:val="20"/>
              </w:rPr>
              <w:t>Discount rate</w:t>
            </w:r>
          </w:p>
        </w:tc>
        <w:tc>
          <w:tcPr>
            <w:tcW w:w="1276" w:type="dxa"/>
            <w:vAlign w:val="center"/>
          </w:tcPr>
          <w:p w14:paraId="3711FB8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0F8C1842" w14:textId="77777777" w:rsidTr="003B4CD4">
        <w:tc>
          <w:tcPr>
            <w:tcW w:w="0" w:type="auto"/>
            <w:vAlign w:val="center"/>
          </w:tcPr>
          <w:p w14:paraId="2DDBFE9C" w14:textId="77777777" w:rsidR="000D4A0E" w:rsidRPr="00744EC6" w:rsidRDefault="00903D45" w:rsidP="000D4A0E">
            <w:pPr>
              <w:pStyle w:val="Style1"/>
              <w:spacing w:before="0" w:after="60" w:line="240" w:lineRule="auto"/>
              <w:jc w:val="center"/>
              <w:rPr>
                <w:rFonts w:ascii="Calibri" w:eastAsia="Calibri" w:hAnsi="Calibri" w:cs="Times New Roman"/>
                <w:sz w:val="20"/>
                <w:szCs w:val="20"/>
              </w:rPr>
            </w:pPr>
            <m:oMathPara>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W</m:t>
                    </m:r>
                  </m:sup>
                </m:sSup>
              </m:oMath>
            </m:oMathPara>
          </w:p>
        </w:tc>
        <w:tc>
          <w:tcPr>
            <w:tcW w:w="6512" w:type="dxa"/>
            <w:vAlign w:val="center"/>
          </w:tcPr>
          <w:p w14:paraId="6BC3824F" w14:textId="77777777" w:rsidR="000D4A0E" w:rsidRPr="00744EC6" w:rsidRDefault="000D4A0E" w:rsidP="000D4A0E">
            <w:pPr>
              <w:pStyle w:val="Style1"/>
              <w:spacing w:before="0" w:after="60" w:line="240" w:lineRule="auto"/>
              <w:jc w:val="left"/>
              <w:rPr>
                <w:sz w:val="20"/>
                <w:szCs w:val="20"/>
              </w:rPr>
            </w:pPr>
            <w:r w:rsidRPr="00744EC6">
              <w:rPr>
                <w:sz w:val="20"/>
                <w:szCs w:val="20"/>
              </w:rPr>
              <w:t>Radius of wind turbine</w:t>
            </w:r>
          </w:p>
        </w:tc>
        <w:tc>
          <w:tcPr>
            <w:tcW w:w="1276" w:type="dxa"/>
            <w:vAlign w:val="center"/>
          </w:tcPr>
          <w:p w14:paraId="466AF028"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m</m:t>
                </m:r>
              </m:oMath>
            </m:oMathPara>
          </w:p>
        </w:tc>
      </w:tr>
      <w:tr w:rsidR="000D4A0E" w:rsidRPr="00744EC6" w14:paraId="4997B77C" w14:textId="77777777" w:rsidTr="00E41B8C">
        <w:tc>
          <w:tcPr>
            <w:tcW w:w="0" w:type="auto"/>
            <w:tcBorders>
              <w:bottom w:val="single" w:sz="4" w:space="0" w:color="auto"/>
            </w:tcBorders>
            <w:vAlign w:val="center"/>
          </w:tcPr>
          <w:p w14:paraId="0C8B5AC5" w14:textId="77777777" w:rsidR="000D4A0E" w:rsidRPr="00744EC6" w:rsidRDefault="00903D45" w:rsidP="000D4A0E">
            <w:pPr>
              <w:pStyle w:val="Style1"/>
              <w:spacing w:before="0" w:after="60" w:line="240" w:lineRule="auto"/>
              <w:jc w:val="center"/>
              <w:rPr>
                <w:rFonts w:eastAsia="Calibri" w:cs="Times New Roman"/>
                <w:sz w:val="20"/>
                <w:szCs w:val="20"/>
              </w:rPr>
            </w:pPr>
            <m:oMathPara>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y</m:t>
                    </m:r>
                  </m:e>
                  <m:sub>
                    <m:r>
                      <w:rPr>
                        <w:rFonts w:ascii="Cambria Math" w:eastAsia="Calibri" w:hAnsi="Cambria Math" w:cs="Times New Roman"/>
                        <w:sz w:val="20"/>
                        <w:szCs w:val="20"/>
                      </w:rPr>
                      <m:t>final</m:t>
                    </m:r>
                  </m:sub>
                </m:sSub>
              </m:oMath>
            </m:oMathPara>
          </w:p>
        </w:tc>
        <w:tc>
          <w:tcPr>
            <w:tcW w:w="6512" w:type="dxa"/>
            <w:tcBorders>
              <w:bottom w:val="single" w:sz="4" w:space="0" w:color="auto"/>
            </w:tcBorders>
            <w:vAlign w:val="center"/>
          </w:tcPr>
          <w:p w14:paraId="5925F348" w14:textId="77777777" w:rsidR="000D4A0E" w:rsidRPr="00744EC6" w:rsidRDefault="000D4A0E" w:rsidP="000D4A0E">
            <w:pPr>
              <w:pStyle w:val="Style1"/>
              <w:spacing w:before="0" w:after="60" w:line="240" w:lineRule="auto"/>
              <w:jc w:val="left"/>
              <w:rPr>
                <w:sz w:val="20"/>
                <w:szCs w:val="20"/>
              </w:rPr>
            </w:pPr>
            <w:r w:rsidRPr="00744EC6">
              <w:rPr>
                <w:sz w:val="20"/>
                <w:szCs w:val="20"/>
              </w:rPr>
              <w:t>The final year of the model’s operation (2051)</w:t>
            </w:r>
          </w:p>
        </w:tc>
        <w:tc>
          <w:tcPr>
            <w:tcW w:w="1276" w:type="dxa"/>
            <w:tcBorders>
              <w:bottom w:val="single" w:sz="4" w:space="0" w:color="auto"/>
            </w:tcBorders>
            <w:vAlign w:val="center"/>
          </w:tcPr>
          <w:p w14:paraId="1FF30872" w14:textId="77777777" w:rsidR="000D4A0E" w:rsidRPr="00744EC6" w:rsidRDefault="000D4A0E" w:rsidP="000D4A0E">
            <w:pPr>
              <w:pStyle w:val="Style1"/>
              <w:spacing w:before="0" w:after="60" w:line="240" w:lineRule="auto"/>
              <w:jc w:val="center"/>
              <w:rPr>
                <w:sz w:val="20"/>
                <w:szCs w:val="20"/>
              </w:rPr>
            </w:pPr>
            <w:r w:rsidRPr="00744EC6">
              <w:rPr>
                <w:sz w:val="20"/>
                <w:szCs w:val="20"/>
              </w:rPr>
              <w:t>-</w:t>
            </w:r>
          </w:p>
        </w:tc>
      </w:tr>
      <w:tr w:rsidR="000D4A0E" w:rsidRPr="00744EC6" w14:paraId="71D72A44" w14:textId="77777777" w:rsidTr="00E41B8C">
        <w:trPr>
          <w:trHeight w:val="223"/>
        </w:trPr>
        <w:tc>
          <w:tcPr>
            <w:tcW w:w="9924" w:type="dxa"/>
            <w:gridSpan w:val="3"/>
            <w:tcBorders>
              <w:top w:val="single" w:sz="4" w:space="0" w:color="auto"/>
              <w:bottom w:val="single" w:sz="4" w:space="0" w:color="auto"/>
            </w:tcBorders>
            <w:vAlign w:val="bottom"/>
          </w:tcPr>
          <w:p w14:paraId="5C66E11E" w14:textId="77777777" w:rsidR="000D4A0E" w:rsidRPr="00744EC6" w:rsidRDefault="000D4A0E" w:rsidP="000D4A0E">
            <w:pPr>
              <w:spacing w:before="0" w:after="60"/>
              <w:jc w:val="center"/>
              <w:rPr>
                <w:sz w:val="20"/>
                <w:szCs w:val="20"/>
              </w:rPr>
            </w:pPr>
            <w:r w:rsidRPr="00744EC6">
              <w:rPr>
                <w:b/>
                <w:bCs/>
                <w:sz w:val="20"/>
                <w:szCs w:val="20"/>
              </w:rPr>
              <w:t>Variables</w:t>
            </w:r>
          </w:p>
        </w:tc>
      </w:tr>
      <w:tr w:rsidR="000D4A0E" w:rsidRPr="00744EC6" w14:paraId="00F29C42" w14:textId="77777777" w:rsidTr="00E41B8C">
        <w:tc>
          <w:tcPr>
            <w:tcW w:w="0" w:type="auto"/>
            <w:tcBorders>
              <w:top w:val="single" w:sz="4" w:space="0" w:color="auto"/>
            </w:tcBorders>
            <w:vAlign w:val="center"/>
          </w:tcPr>
          <w:p w14:paraId="667D61E5"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w:lastRenderedPageBreak/>
                  <m:t>CARBON</m:t>
                </m:r>
              </m:oMath>
            </m:oMathPara>
          </w:p>
        </w:tc>
        <w:tc>
          <w:tcPr>
            <w:tcW w:w="6512" w:type="dxa"/>
            <w:tcBorders>
              <w:top w:val="single" w:sz="4" w:space="0" w:color="auto"/>
            </w:tcBorders>
            <w:vAlign w:val="center"/>
          </w:tcPr>
          <w:p w14:paraId="73217D4F" w14:textId="77777777" w:rsidR="000D4A0E" w:rsidRPr="00744EC6" w:rsidRDefault="000D4A0E" w:rsidP="000D4A0E">
            <w:pPr>
              <w:pStyle w:val="Style1"/>
              <w:spacing w:before="0" w:after="60" w:line="240" w:lineRule="auto"/>
              <w:jc w:val="left"/>
              <w:rPr>
                <w:sz w:val="20"/>
                <w:szCs w:val="20"/>
              </w:rPr>
            </w:pPr>
            <w:r w:rsidRPr="00744EC6">
              <w:rPr>
                <w:sz w:val="20"/>
                <w:szCs w:val="20"/>
              </w:rPr>
              <w:t>Cost associated with carbon emission of supply chain</w:t>
            </w:r>
          </w:p>
        </w:tc>
        <w:tc>
          <w:tcPr>
            <w:tcW w:w="1276" w:type="dxa"/>
            <w:tcBorders>
              <w:top w:val="single" w:sz="4" w:space="0" w:color="auto"/>
            </w:tcBorders>
            <w:vAlign w:val="center"/>
          </w:tcPr>
          <w:p w14:paraId="66D127D9"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m:t>
                </m:r>
              </m:oMath>
            </m:oMathPara>
          </w:p>
        </w:tc>
      </w:tr>
      <w:tr w:rsidR="000D4A0E" w:rsidRPr="00744EC6" w14:paraId="14C91797" w14:textId="77777777" w:rsidTr="003B4CD4">
        <w:tc>
          <w:tcPr>
            <w:tcW w:w="0" w:type="auto"/>
            <w:vAlign w:val="center"/>
          </w:tcPr>
          <w:p w14:paraId="76613D1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DPRCa</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p,z,g,y,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Sub>
              </m:oMath>
            </m:oMathPara>
          </w:p>
        </w:tc>
        <w:tc>
          <w:tcPr>
            <w:tcW w:w="6512" w:type="dxa"/>
            <w:vAlign w:val="center"/>
          </w:tcPr>
          <w:p w14:paraId="0B7135CF"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capacity of production technology </w:t>
            </w:r>
            <m:oMath>
              <m:r>
                <w:rPr>
                  <w:rFonts w:ascii="Cambria Math" w:hAnsi="Cambria Math"/>
                  <w:sz w:val="20"/>
                  <w:szCs w:val="20"/>
                </w:rPr>
                <m:t>p</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installed in time period</w:t>
            </w:r>
            <m:oMath>
              <m:r>
                <w:rPr>
                  <w:rFonts w:ascii="Cambria Math" w:eastAsiaTheme="minorEastAsia" w:hAnsi="Cambria Math"/>
                  <w:sz w:val="20"/>
                  <w:szCs w:val="20"/>
                </w:rPr>
                <m:t xml:space="preserve"> y</m:t>
              </m:r>
            </m:oMath>
            <w:r w:rsidRPr="00744EC6">
              <w:rPr>
                <w:rFonts w:eastAsiaTheme="minorEastAsia"/>
                <w:sz w:val="20"/>
                <w:szCs w:val="20"/>
              </w:rPr>
              <w:t xml:space="preserve"> and decommissioned in time period</w:t>
            </w:r>
            <m:oMath>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oMath>
            <w:r w:rsidRPr="00744EC6">
              <w:rPr>
                <w:rFonts w:eastAsiaTheme="minorEastAsia"/>
                <w:sz w:val="20"/>
                <w:szCs w:val="20"/>
              </w:rPr>
              <w:t>.</w:t>
            </w:r>
          </w:p>
        </w:tc>
        <w:tc>
          <w:tcPr>
            <w:tcW w:w="1276" w:type="dxa"/>
            <w:vAlign w:val="center"/>
          </w:tcPr>
          <w:p w14:paraId="112A09DD"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4B71A575" w14:textId="77777777" w:rsidTr="003B4CD4">
        <w:tc>
          <w:tcPr>
            <w:tcW w:w="0" w:type="auto"/>
            <w:vAlign w:val="center"/>
          </w:tcPr>
          <w:p w14:paraId="019AA71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C,Dirty</m:t>
                    </m:r>
                  </m:sup>
                </m:sSubSup>
              </m:oMath>
            </m:oMathPara>
          </w:p>
        </w:tc>
        <w:tc>
          <w:tcPr>
            <w:tcW w:w="6512" w:type="dxa"/>
            <w:vAlign w:val="center"/>
          </w:tcPr>
          <w:p w14:paraId="2508EFC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centralised purification capacity, purifying dirty hydrogen to clean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decommissioned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62E377A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764A77E0" w14:textId="77777777" w:rsidTr="003B4CD4">
        <w:tc>
          <w:tcPr>
            <w:tcW w:w="0" w:type="auto"/>
            <w:vAlign w:val="center"/>
          </w:tcPr>
          <w:p w14:paraId="61E5579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DPurCA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L,Blend</m:t>
                    </m:r>
                  </m:sup>
                </m:sSubSup>
              </m:oMath>
            </m:oMathPara>
          </w:p>
        </w:tc>
        <w:tc>
          <w:tcPr>
            <w:tcW w:w="6512" w:type="dxa"/>
            <w:vAlign w:val="center"/>
          </w:tcPr>
          <w:p w14:paraId="365F0145"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localised purification capacity at refuelling station, purifying blended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decommissioned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75C088BB"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12886657" w14:textId="77777777" w:rsidTr="003B4CD4">
        <w:tc>
          <w:tcPr>
            <w:tcW w:w="0" w:type="auto"/>
            <w:vAlign w:val="center"/>
          </w:tcPr>
          <w:p w14:paraId="21E5B5A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L,Clean</m:t>
                    </m:r>
                  </m:sup>
                </m:sSubSup>
              </m:oMath>
            </m:oMathPara>
          </w:p>
        </w:tc>
        <w:tc>
          <w:tcPr>
            <w:tcW w:w="6512" w:type="dxa"/>
            <w:vAlign w:val="center"/>
          </w:tcPr>
          <w:p w14:paraId="0476831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localised purification capacity at refuelling station, purifying clean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decommissioned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518FBE6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4C43AF3B" w14:textId="77777777" w:rsidTr="003B4CD4">
        <w:tc>
          <w:tcPr>
            <w:tcW w:w="0" w:type="auto"/>
            <w:vAlign w:val="center"/>
          </w:tcPr>
          <w:p w14:paraId="15CAC0D2"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L,Dirty</m:t>
                    </m:r>
                  </m:sup>
                </m:sSubSup>
              </m:oMath>
            </m:oMathPara>
          </w:p>
        </w:tc>
        <w:tc>
          <w:tcPr>
            <w:tcW w:w="6512" w:type="dxa"/>
            <w:vAlign w:val="center"/>
          </w:tcPr>
          <w:p w14:paraId="1E53E805"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localised purification capacity at refuelling station, purifying dirty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decommissioned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13F8D65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745AC6A9" w14:textId="77777777" w:rsidTr="003B4CD4">
        <w:tc>
          <w:tcPr>
            <w:tcW w:w="0" w:type="auto"/>
            <w:vAlign w:val="center"/>
          </w:tcPr>
          <w:p w14:paraId="5BA64C4A" w14:textId="77777777" w:rsidR="000D4A0E" w:rsidRPr="00744EC6" w:rsidRDefault="000D4A0E" w:rsidP="000D4A0E">
            <w:pPr>
              <w:pStyle w:val="Style1"/>
              <w:spacing w:before="0" w:after="60" w:line="240" w:lineRule="auto"/>
              <w:jc w:val="center"/>
              <w:rPr>
                <w:sz w:val="20"/>
                <w:szCs w:val="20"/>
              </w:rPr>
            </w:pPr>
            <m:oMathPara>
              <m:oMath>
                <m:r>
                  <w:rPr>
                    <w:rFonts w:ascii="Cambria Math" w:eastAsiaTheme="minorEastAsia" w:hAnsi="Cambria Math"/>
                    <w:sz w:val="20"/>
                    <w:szCs w:val="20"/>
                  </w:rPr>
                  <m:t>DRFCa</m:t>
                </m:r>
                <m:sSub>
                  <m:sSubPr>
                    <m:ctrlPr>
                      <w:rPr>
                        <w:rFonts w:ascii="Cambria Math" w:eastAsiaTheme="minorEastAsia" w:hAnsi="Cambria Math"/>
                        <w:i/>
                        <w:sz w:val="20"/>
                        <w:szCs w:val="20"/>
                      </w:rPr>
                    </m:ctrlPr>
                  </m:sSubPr>
                  <m:e>
                    <m:r>
                      <w:rPr>
                        <w:rFonts w:ascii="Cambria Math" w:eastAsiaTheme="minorEastAsia" w:hAnsi="Cambria Math"/>
                        <w:sz w:val="20"/>
                        <w:szCs w:val="20"/>
                      </w:rPr>
                      <m:t>p</m:t>
                    </m:r>
                  </m:e>
                  <m:sub>
                    <m:r>
                      <w:rPr>
                        <w:rFonts w:ascii="Cambria Math" w:eastAsiaTheme="minorEastAsia" w:hAnsi="Cambria Math"/>
                        <w:sz w:val="20"/>
                        <w:szCs w:val="20"/>
                      </w:rPr>
                      <m:t>z,y,</m:t>
                    </m:r>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sub>
                </m:sSub>
              </m:oMath>
            </m:oMathPara>
          </w:p>
        </w:tc>
        <w:tc>
          <w:tcPr>
            <w:tcW w:w="6512" w:type="dxa"/>
            <w:vAlign w:val="center"/>
          </w:tcPr>
          <w:p w14:paraId="15C99544"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refuelling station capacity in zone </w:t>
            </w:r>
            <m:oMath>
              <m:r>
                <w:rPr>
                  <w:rFonts w:ascii="Cambria Math"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decommissioned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71701822"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57C56203" w14:textId="77777777" w:rsidTr="003B4CD4">
        <w:tc>
          <w:tcPr>
            <w:tcW w:w="0" w:type="auto"/>
            <w:vAlign w:val="center"/>
          </w:tcPr>
          <w:p w14:paraId="59843A6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l,z,g,y,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m:t>
                    </m:r>
                  </m:sup>
                </m:sSubSup>
              </m:oMath>
            </m:oMathPara>
          </w:p>
        </w:tc>
        <w:tc>
          <w:tcPr>
            <w:tcW w:w="6512" w:type="dxa"/>
            <w:vAlign w:val="center"/>
          </w:tcPr>
          <w:p w14:paraId="40C168BF"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capacity of local distribution via technology </w:t>
            </w:r>
            <m:oMath>
              <m:r>
                <w:rPr>
                  <w:rFonts w:ascii="Cambria Math" w:hAnsi="Cambria Math"/>
                  <w:sz w:val="20"/>
                  <w:szCs w:val="20"/>
                </w:rPr>
                <m:t>l</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installed in time period</w:t>
            </w:r>
            <m:oMath>
              <m:r>
                <w:rPr>
                  <w:rFonts w:ascii="Cambria Math" w:eastAsiaTheme="minorEastAsia" w:hAnsi="Cambria Math"/>
                  <w:sz w:val="20"/>
                  <w:szCs w:val="20"/>
                </w:rPr>
                <m:t xml:space="preserve"> y</m:t>
              </m:r>
            </m:oMath>
            <w:r w:rsidRPr="00744EC6">
              <w:rPr>
                <w:rFonts w:eastAsiaTheme="minorEastAsia"/>
                <w:sz w:val="20"/>
                <w:szCs w:val="20"/>
              </w:rPr>
              <w:t xml:space="preserve"> and decommissioned in time period</w:t>
            </w: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56DC2D5E"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4BBAD7F" w14:textId="77777777" w:rsidTr="003B4CD4">
        <w:tc>
          <w:tcPr>
            <w:tcW w:w="0" w:type="auto"/>
            <w:vAlign w:val="center"/>
          </w:tcPr>
          <w:p w14:paraId="4A4DF86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DTCa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,g,y,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R</m:t>
                    </m:r>
                  </m:sup>
                </m:sSubSup>
              </m:oMath>
            </m:oMathPara>
          </w:p>
        </w:tc>
        <w:tc>
          <w:tcPr>
            <w:tcW w:w="6512" w:type="dxa"/>
            <w:vAlign w:val="center"/>
          </w:tcPr>
          <w:p w14:paraId="2C3ECC0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Decommissioned capacity of transmission via technology </w:t>
            </w:r>
            <m:oMath>
              <m:r>
                <w:rPr>
                  <w:rFonts w:ascii="Cambria Math" w:hAnsi="Cambria Math"/>
                  <w:sz w:val="20"/>
                  <w:szCs w:val="20"/>
                </w:rPr>
                <m:t>l</m:t>
              </m:r>
            </m:oMath>
            <w:r w:rsidRPr="00744EC6">
              <w:rPr>
                <w:sz w:val="20"/>
                <w:szCs w:val="20"/>
              </w:rPr>
              <w:t xml:space="preserve">, from zone </w:t>
            </w:r>
            <m:oMath>
              <m:r>
                <w:rPr>
                  <w:rFonts w:ascii="Cambria Math" w:hAnsi="Cambria Math"/>
                  <w:sz w:val="20"/>
                  <w:szCs w:val="20"/>
                </w:rPr>
                <m:t>z</m:t>
              </m:r>
            </m:oMath>
            <w:r w:rsidRPr="00744EC6">
              <w:rPr>
                <w:rFonts w:eastAsiaTheme="minorEastAsia"/>
                <w:sz w:val="20"/>
                <w:szCs w:val="20"/>
              </w:rPr>
              <w:t xml:space="preserve"> to zone </w:t>
            </w:r>
            <m:oMath>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installed in time period</w:t>
            </w:r>
            <m:oMath>
              <m:r>
                <w:rPr>
                  <w:rFonts w:ascii="Cambria Math" w:eastAsiaTheme="minorEastAsia" w:hAnsi="Cambria Math"/>
                  <w:sz w:val="20"/>
                  <w:szCs w:val="20"/>
                </w:rPr>
                <m:t xml:space="preserve"> y</m:t>
              </m:r>
            </m:oMath>
            <w:r w:rsidRPr="00744EC6">
              <w:rPr>
                <w:rFonts w:eastAsiaTheme="minorEastAsia"/>
                <w:sz w:val="20"/>
                <w:szCs w:val="20"/>
              </w:rPr>
              <w:t xml:space="preserve"> and decommissioned in time period</w:t>
            </w: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0024F44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17AB5F06" w14:textId="77777777" w:rsidTr="003B4CD4">
        <w:tc>
          <w:tcPr>
            <w:tcW w:w="0" w:type="auto"/>
            <w:vAlign w:val="center"/>
          </w:tcPr>
          <w:p w14:paraId="4EFB9DF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IPRCa</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p,z,g,y</m:t>
                    </m:r>
                  </m:sub>
                </m:sSub>
              </m:oMath>
            </m:oMathPara>
          </w:p>
        </w:tc>
        <w:tc>
          <w:tcPr>
            <w:tcW w:w="6512" w:type="dxa"/>
            <w:vAlign w:val="center"/>
          </w:tcPr>
          <w:p w14:paraId="25E87AEE"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capacity of production technology </w:t>
            </w:r>
            <m:oMath>
              <m:r>
                <w:rPr>
                  <w:rFonts w:ascii="Cambria Math" w:hAnsi="Cambria Math"/>
                  <w:sz w:val="20"/>
                  <w:szCs w:val="20"/>
                </w:rPr>
                <m:t>p</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w:t>
            </w:r>
            <m:oMath>
              <m:r>
                <w:rPr>
                  <w:rFonts w:ascii="Cambria Math" w:eastAsiaTheme="minorEastAsia" w:hAnsi="Cambria Math"/>
                  <w:sz w:val="20"/>
                  <w:szCs w:val="20"/>
                </w:rPr>
                <m:t xml:space="preserve"> y</m:t>
              </m:r>
            </m:oMath>
            <w:r w:rsidRPr="00744EC6">
              <w:rPr>
                <w:rFonts w:eastAsiaTheme="minorEastAsia"/>
                <w:sz w:val="20"/>
                <w:szCs w:val="20"/>
              </w:rPr>
              <w:t>.</w:t>
            </w:r>
            <w:r w:rsidRPr="00744EC6">
              <w:rPr>
                <w:sz w:val="20"/>
                <w:szCs w:val="20"/>
              </w:rPr>
              <w:t xml:space="preserve"> </w:t>
            </w:r>
          </w:p>
        </w:tc>
        <w:tc>
          <w:tcPr>
            <w:tcW w:w="1276" w:type="dxa"/>
            <w:vAlign w:val="center"/>
          </w:tcPr>
          <w:p w14:paraId="62C0C0A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61275E7A" w14:textId="77777777" w:rsidTr="003B4CD4">
        <w:tc>
          <w:tcPr>
            <w:tcW w:w="0" w:type="auto"/>
            <w:vAlign w:val="center"/>
          </w:tcPr>
          <w:p w14:paraId="24691DEE"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IPurCA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ub>
                  <m:sup>
                    <m:r>
                      <w:rPr>
                        <w:rFonts w:ascii="Cambria Math" w:hAnsi="Cambria Math"/>
                        <w:sz w:val="20"/>
                        <w:szCs w:val="20"/>
                      </w:rPr>
                      <m:t>C,Dirty</m:t>
                    </m:r>
                  </m:sup>
                </m:sSubSup>
              </m:oMath>
            </m:oMathPara>
          </w:p>
        </w:tc>
        <w:tc>
          <w:tcPr>
            <w:tcW w:w="6512" w:type="dxa"/>
            <w:vAlign w:val="center"/>
          </w:tcPr>
          <w:p w14:paraId="6FAE0881"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centralised purification capacity, purifying hydrogen from dirty to clean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and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02891CED"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4A24860D" w14:textId="77777777" w:rsidTr="003B4CD4">
        <w:tc>
          <w:tcPr>
            <w:tcW w:w="0" w:type="auto"/>
            <w:vAlign w:val="center"/>
          </w:tcPr>
          <w:p w14:paraId="3E6058DF"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IPurCA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ub>
                  <m:sup>
                    <m:r>
                      <w:rPr>
                        <w:rFonts w:ascii="Cambria Math" w:hAnsi="Cambria Math"/>
                        <w:sz w:val="20"/>
                        <w:szCs w:val="20"/>
                      </w:rPr>
                      <m:t>L,Blend</m:t>
                    </m:r>
                  </m:sup>
                </m:sSubSup>
              </m:oMath>
            </m:oMathPara>
          </w:p>
        </w:tc>
        <w:tc>
          <w:tcPr>
            <w:tcW w:w="6512" w:type="dxa"/>
            <w:vAlign w:val="center"/>
          </w:tcPr>
          <w:p w14:paraId="113E38BC"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localised purification capacity at refuelling station, purifying blended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and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1B132FFC"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5024D10A" w14:textId="77777777" w:rsidTr="003B4CD4">
        <w:tc>
          <w:tcPr>
            <w:tcW w:w="0" w:type="auto"/>
            <w:vAlign w:val="center"/>
          </w:tcPr>
          <w:p w14:paraId="763780B4"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IPurCA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ub>
                  <m:sup>
                    <m:r>
                      <w:rPr>
                        <w:rFonts w:ascii="Cambria Math" w:hAnsi="Cambria Math"/>
                        <w:sz w:val="20"/>
                        <w:szCs w:val="20"/>
                      </w:rPr>
                      <m:t>L,Clean</m:t>
                    </m:r>
                  </m:sup>
                </m:sSubSup>
              </m:oMath>
            </m:oMathPara>
          </w:p>
        </w:tc>
        <w:tc>
          <w:tcPr>
            <w:tcW w:w="6512" w:type="dxa"/>
            <w:vAlign w:val="center"/>
          </w:tcPr>
          <w:p w14:paraId="4A516D61"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localised purification capacity at refuelling station, purifying clean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and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0DE02F9"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0E550EEB" w14:textId="77777777" w:rsidTr="003B4CD4">
        <w:tc>
          <w:tcPr>
            <w:tcW w:w="0" w:type="auto"/>
            <w:vAlign w:val="center"/>
          </w:tcPr>
          <w:p w14:paraId="2F744A8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IPurCA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ub>
                  <m:sup>
                    <m:r>
                      <w:rPr>
                        <w:rFonts w:ascii="Cambria Math" w:hAnsi="Cambria Math"/>
                        <w:sz w:val="20"/>
                        <w:szCs w:val="20"/>
                      </w:rPr>
                      <m:t>L,Dirty</m:t>
                    </m:r>
                  </m:sup>
                </m:sSubSup>
              </m:oMath>
            </m:oMathPara>
          </w:p>
        </w:tc>
        <w:tc>
          <w:tcPr>
            <w:tcW w:w="6512" w:type="dxa"/>
            <w:vAlign w:val="center"/>
          </w:tcPr>
          <w:p w14:paraId="1B5B9AA6"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localised purification capacity at refuelling station, purifying dirty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and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24488CFA"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1307C62F" w14:textId="77777777" w:rsidTr="003B4CD4">
        <w:tc>
          <w:tcPr>
            <w:tcW w:w="0" w:type="auto"/>
            <w:vAlign w:val="center"/>
          </w:tcPr>
          <w:p w14:paraId="7029F468" w14:textId="77777777" w:rsidR="000D4A0E" w:rsidRPr="00744EC6" w:rsidRDefault="000D4A0E" w:rsidP="000D4A0E">
            <w:pPr>
              <w:pStyle w:val="Style1"/>
              <w:spacing w:before="0" w:after="60" w:line="240" w:lineRule="auto"/>
              <w:jc w:val="center"/>
              <w:rPr>
                <w:sz w:val="20"/>
                <w:szCs w:val="20"/>
              </w:rPr>
            </w:pPr>
            <m:oMathPara>
              <m:oMath>
                <m:r>
                  <w:rPr>
                    <w:rFonts w:ascii="Cambria Math" w:eastAsiaTheme="minorEastAsia" w:hAnsi="Cambria Math"/>
                    <w:sz w:val="20"/>
                    <w:szCs w:val="20"/>
                  </w:rPr>
                  <m:t>IRFCa</m:t>
                </m:r>
                <m:sSub>
                  <m:sSubPr>
                    <m:ctrlPr>
                      <w:rPr>
                        <w:rFonts w:ascii="Cambria Math" w:eastAsiaTheme="minorEastAsia" w:hAnsi="Cambria Math"/>
                        <w:i/>
                        <w:sz w:val="20"/>
                        <w:szCs w:val="20"/>
                      </w:rPr>
                    </m:ctrlPr>
                  </m:sSubPr>
                  <m:e>
                    <m:r>
                      <w:rPr>
                        <w:rFonts w:ascii="Cambria Math" w:eastAsiaTheme="minorEastAsia" w:hAnsi="Cambria Math"/>
                        <w:sz w:val="20"/>
                        <w:szCs w:val="20"/>
                      </w:rPr>
                      <m:t>p</m:t>
                    </m:r>
                  </m:e>
                  <m:sub>
                    <m:r>
                      <w:rPr>
                        <w:rFonts w:ascii="Cambria Math" w:eastAsiaTheme="minorEastAsia" w:hAnsi="Cambria Math"/>
                        <w:sz w:val="20"/>
                        <w:szCs w:val="20"/>
                      </w:rPr>
                      <m:t>z,y</m:t>
                    </m:r>
                  </m:sub>
                </m:sSub>
              </m:oMath>
            </m:oMathPara>
          </w:p>
        </w:tc>
        <w:tc>
          <w:tcPr>
            <w:tcW w:w="6512" w:type="dxa"/>
            <w:vAlign w:val="center"/>
          </w:tcPr>
          <w:p w14:paraId="14922BF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refuelling station capacity in zone </w:t>
            </w:r>
            <m:oMath>
              <m:r>
                <w:rPr>
                  <w:rFonts w:ascii="Cambria Math" w:hAnsi="Cambria Math"/>
                  <w:sz w:val="20"/>
                  <w:szCs w:val="20"/>
                </w:rPr>
                <m:t>z</m:t>
              </m:r>
            </m:oMath>
            <w:r w:rsidRPr="00744EC6">
              <w:rPr>
                <w:rFonts w:eastAsiaTheme="minorEastAsia"/>
                <w:sz w:val="20"/>
                <w:szCs w:val="20"/>
              </w:rPr>
              <w:t xml:space="preserve"> and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46ADC26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04FB14FA" w14:textId="77777777" w:rsidTr="003B4CD4">
        <w:tc>
          <w:tcPr>
            <w:tcW w:w="0" w:type="auto"/>
            <w:vAlign w:val="center"/>
          </w:tcPr>
          <w:p w14:paraId="2C4AA79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ITCa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l,z,g,y</m:t>
                    </m:r>
                  </m:sub>
                  <m:sup>
                    <m:r>
                      <w:rPr>
                        <w:rFonts w:ascii="Cambria Math" w:hAnsi="Cambria Math"/>
                        <w:sz w:val="20"/>
                        <w:szCs w:val="20"/>
                      </w:rPr>
                      <m:t>L</m:t>
                    </m:r>
                  </m:sup>
                </m:sSubSup>
              </m:oMath>
            </m:oMathPara>
          </w:p>
        </w:tc>
        <w:tc>
          <w:tcPr>
            <w:tcW w:w="6512" w:type="dxa"/>
            <w:vAlign w:val="center"/>
          </w:tcPr>
          <w:p w14:paraId="470CB76E"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capacity of local distribution via technology </w:t>
            </w:r>
            <m:oMath>
              <m:r>
                <w:rPr>
                  <w:rFonts w:ascii="Cambria Math" w:hAnsi="Cambria Math"/>
                  <w:sz w:val="20"/>
                  <w:szCs w:val="20"/>
                </w:rPr>
                <m:t>l</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in time period</w:t>
            </w:r>
            <m:oMath>
              <m:r>
                <w:rPr>
                  <w:rFonts w:ascii="Cambria Math" w:eastAsiaTheme="minorEastAsia" w:hAnsi="Cambria Math"/>
                  <w:sz w:val="20"/>
                  <w:szCs w:val="20"/>
                </w:rPr>
                <m:t xml:space="preserve"> y</m:t>
              </m:r>
            </m:oMath>
            <w:r w:rsidRPr="00744EC6">
              <w:rPr>
                <w:rFonts w:eastAsiaTheme="minorEastAsia"/>
                <w:sz w:val="20"/>
                <w:szCs w:val="20"/>
              </w:rPr>
              <w:t>.</w:t>
            </w:r>
          </w:p>
        </w:tc>
        <w:tc>
          <w:tcPr>
            <w:tcW w:w="1276" w:type="dxa"/>
            <w:vAlign w:val="center"/>
          </w:tcPr>
          <w:p w14:paraId="4DE5D3C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08C5430D" w14:textId="77777777" w:rsidTr="003B4CD4">
        <w:tc>
          <w:tcPr>
            <w:tcW w:w="0" w:type="auto"/>
            <w:vAlign w:val="center"/>
          </w:tcPr>
          <w:p w14:paraId="2F60627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ITCa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,g,y</m:t>
                    </m:r>
                  </m:sub>
                  <m:sup>
                    <m:r>
                      <w:rPr>
                        <w:rFonts w:ascii="Cambria Math" w:hAnsi="Cambria Math"/>
                        <w:sz w:val="20"/>
                        <w:szCs w:val="20"/>
                      </w:rPr>
                      <m:t>R</m:t>
                    </m:r>
                  </m:sup>
                </m:sSubSup>
              </m:oMath>
            </m:oMathPara>
          </w:p>
        </w:tc>
        <w:tc>
          <w:tcPr>
            <w:tcW w:w="6512" w:type="dxa"/>
            <w:vAlign w:val="center"/>
          </w:tcPr>
          <w:p w14:paraId="1FADFFB8"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Installed capacity of transmission via technology </w:t>
            </w:r>
            <m:oMath>
              <m:r>
                <w:rPr>
                  <w:rFonts w:ascii="Cambria Math" w:hAnsi="Cambria Math"/>
                  <w:sz w:val="20"/>
                  <w:szCs w:val="20"/>
                </w:rPr>
                <m:t>l</m:t>
              </m:r>
            </m:oMath>
            <w:r w:rsidRPr="00744EC6">
              <w:rPr>
                <w:sz w:val="20"/>
                <w:szCs w:val="20"/>
              </w:rPr>
              <w:t xml:space="preserve">, from zone </w:t>
            </w:r>
            <m:oMath>
              <m:r>
                <w:rPr>
                  <w:rFonts w:ascii="Cambria Math" w:hAnsi="Cambria Math"/>
                  <w:sz w:val="20"/>
                  <w:szCs w:val="20"/>
                </w:rPr>
                <m:t>z</m:t>
              </m:r>
            </m:oMath>
            <w:r w:rsidRPr="00744EC6">
              <w:rPr>
                <w:rFonts w:eastAsiaTheme="minorEastAsia"/>
                <w:sz w:val="20"/>
                <w:szCs w:val="20"/>
              </w:rPr>
              <w:t xml:space="preserve"> to zone </w:t>
            </w:r>
            <m:oMath>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w:t>
            </w:r>
            <m:oMath>
              <m:r>
                <w:rPr>
                  <w:rFonts w:ascii="Cambria Math" w:eastAsiaTheme="minorEastAsia" w:hAnsi="Cambria Math"/>
                  <w:sz w:val="20"/>
                  <w:szCs w:val="20"/>
                </w:rPr>
                <m:t xml:space="preserve"> y</m:t>
              </m:r>
            </m:oMath>
            <w:r w:rsidRPr="00744EC6">
              <w:rPr>
                <w:rFonts w:eastAsiaTheme="minorEastAsia"/>
                <w:sz w:val="20"/>
                <w:szCs w:val="20"/>
              </w:rPr>
              <w:t>.</w:t>
            </w:r>
          </w:p>
        </w:tc>
        <w:tc>
          <w:tcPr>
            <w:tcW w:w="1276" w:type="dxa"/>
            <w:vAlign w:val="center"/>
          </w:tcPr>
          <w:p w14:paraId="7137E7D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03CE9433" w14:textId="77777777" w:rsidTr="003B4CD4">
        <w:tc>
          <w:tcPr>
            <w:tcW w:w="0" w:type="auto"/>
            <w:vAlign w:val="center"/>
          </w:tcPr>
          <w:p w14:paraId="12AA0299"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NPRCa</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p,z,g,y</m:t>
                    </m:r>
                  </m:sub>
                </m:sSub>
              </m:oMath>
            </m:oMathPara>
          </w:p>
        </w:tc>
        <w:tc>
          <w:tcPr>
            <w:tcW w:w="6512" w:type="dxa"/>
            <w:vAlign w:val="center"/>
          </w:tcPr>
          <w:p w14:paraId="1F3255E4"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capacity of production technology </w:t>
            </w:r>
            <m:oMath>
              <m:r>
                <w:rPr>
                  <w:rFonts w:ascii="Cambria Math" w:hAnsi="Cambria Math"/>
                  <w:sz w:val="20"/>
                  <w:szCs w:val="20"/>
                </w:rPr>
                <m:t>p</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installed in time period</w:t>
            </w:r>
            <m:oMath>
              <m:r>
                <w:rPr>
                  <w:rFonts w:ascii="Cambria Math" w:eastAsiaTheme="minorEastAsia" w:hAnsi="Cambria Math"/>
                  <w:sz w:val="20"/>
                  <w:szCs w:val="20"/>
                </w:rPr>
                <m:t xml:space="preserve"> y</m:t>
              </m:r>
            </m:oMath>
            <w:r w:rsidRPr="00744EC6">
              <w:rPr>
                <w:rFonts w:eastAsiaTheme="minorEastAsia"/>
                <w:sz w:val="20"/>
                <w:szCs w:val="20"/>
              </w:rPr>
              <w:t>.</w:t>
            </w:r>
          </w:p>
        </w:tc>
        <w:tc>
          <w:tcPr>
            <w:tcW w:w="1276" w:type="dxa"/>
            <w:vAlign w:val="center"/>
          </w:tcPr>
          <w:p w14:paraId="6915C90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37ED520E" w14:textId="77777777" w:rsidTr="003B4CD4">
        <w:tc>
          <w:tcPr>
            <w:tcW w:w="0" w:type="auto"/>
            <w:vAlign w:val="center"/>
          </w:tcPr>
          <w:p w14:paraId="27181CE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NPurCA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ub>
                  <m:sup>
                    <m:r>
                      <w:rPr>
                        <w:rFonts w:ascii="Cambria Math" w:hAnsi="Cambria Math"/>
                        <w:sz w:val="20"/>
                        <w:szCs w:val="20"/>
                      </w:rPr>
                      <m:t>C,Dirty</m:t>
                    </m:r>
                  </m:sup>
                </m:sSubSup>
              </m:oMath>
            </m:oMathPara>
          </w:p>
        </w:tc>
        <w:tc>
          <w:tcPr>
            <w:tcW w:w="6512" w:type="dxa"/>
            <w:vAlign w:val="center"/>
          </w:tcPr>
          <w:p w14:paraId="6319A27B"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centralised purification capacity, purifying hydrogen from dirty to clean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697B3D5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DCAE3A4" w14:textId="77777777" w:rsidTr="003B4CD4">
        <w:tc>
          <w:tcPr>
            <w:tcW w:w="0" w:type="auto"/>
            <w:vAlign w:val="center"/>
          </w:tcPr>
          <w:p w14:paraId="2671AAF2"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NPurCA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ub>
                  <m:sup>
                    <m:r>
                      <w:rPr>
                        <w:rFonts w:ascii="Cambria Math" w:hAnsi="Cambria Math"/>
                        <w:sz w:val="20"/>
                        <w:szCs w:val="20"/>
                      </w:rPr>
                      <m:t>L,Blend</m:t>
                    </m:r>
                  </m:sup>
                </m:sSubSup>
              </m:oMath>
            </m:oMathPara>
          </w:p>
        </w:tc>
        <w:tc>
          <w:tcPr>
            <w:tcW w:w="6512" w:type="dxa"/>
            <w:vAlign w:val="center"/>
          </w:tcPr>
          <w:p w14:paraId="71B7C0CE"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localised purification capacity at refuelling station, purifying blended hydrogen to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16C9633"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2E0089AC" w14:textId="77777777" w:rsidTr="003B4CD4">
        <w:tc>
          <w:tcPr>
            <w:tcW w:w="0" w:type="auto"/>
            <w:vAlign w:val="center"/>
          </w:tcPr>
          <w:p w14:paraId="5B8BDE7F"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NPurCA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ub>
                  <m:sup>
                    <m:r>
                      <w:rPr>
                        <w:rFonts w:ascii="Cambria Math" w:hAnsi="Cambria Math"/>
                        <w:sz w:val="20"/>
                        <w:szCs w:val="20"/>
                      </w:rPr>
                      <m:t>L,Clean</m:t>
                    </m:r>
                  </m:sup>
                </m:sSubSup>
              </m:oMath>
            </m:oMathPara>
          </w:p>
        </w:tc>
        <w:tc>
          <w:tcPr>
            <w:tcW w:w="6512" w:type="dxa"/>
            <w:vAlign w:val="center"/>
          </w:tcPr>
          <w:p w14:paraId="1FE398C3"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localised purification capacity, purifying clean hydrogen to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7968368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39DCE289" w14:textId="77777777" w:rsidTr="003B4CD4">
        <w:tc>
          <w:tcPr>
            <w:tcW w:w="0" w:type="auto"/>
            <w:vAlign w:val="center"/>
          </w:tcPr>
          <w:p w14:paraId="65AE60FA"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NPurCA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ub>
                  <m:sup>
                    <m:r>
                      <w:rPr>
                        <w:rFonts w:ascii="Cambria Math" w:hAnsi="Cambria Math"/>
                        <w:sz w:val="20"/>
                        <w:szCs w:val="20"/>
                      </w:rPr>
                      <m:t>L,Dirty</m:t>
                    </m:r>
                  </m:sup>
                </m:sSubSup>
              </m:oMath>
            </m:oMathPara>
          </w:p>
        </w:tc>
        <w:tc>
          <w:tcPr>
            <w:tcW w:w="6512" w:type="dxa"/>
            <w:vAlign w:val="center"/>
          </w:tcPr>
          <w:p w14:paraId="6DCB3A53"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localised purification capacity at refuelling station, purifying dirty hydrogen to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2889646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7C16C40A" w14:textId="77777777" w:rsidTr="003B4CD4">
        <w:tc>
          <w:tcPr>
            <w:tcW w:w="0" w:type="auto"/>
            <w:vAlign w:val="center"/>
          </w:tcPr>
          <w:p w14:paraId="69EB80ED" w14:textId="77777777" w:rsidR="000D4A0E" w:rsidRPr="00744EC6" w:rsidRDefault="000D4A0E" w:rsidP="000D4A0E">
            <w:pPr>
              <w:pStyle w:val="Style1"/>
              <w:spacing w:before="0" w:after="60" w:line="240" w:lineRule="auto"/>
              <w:jc w:val="center"/>
              <w:rPr>
                <w:sz w:val="20"/>
                <w:szCs w:val="20"/>
              </w:rPr>
            </w:pPr>
            <m:oMathPara>
              <m:oMath>
                <m:r>
                  <w:rPr>
                    <w:rFonts w:ascii="Cambria Math" w:eastAsiaTheme="minorEastAsia" w:hAnsi="Cambria Math"/>
                    <w:sz w:val="20"/>
                    <w:szCs w:val="20"/>
                  </w:rPr>
                  <m:t>NRFCa</m:t>
                </m:r>
                <m:sSub>
                  <m:sSubPr>
                    <m:ctrlPr>
                      <w:rPr>
                        <w:rFonts w:ascii="Cambria Math" w:eastAsiaTheme="minorEastAsia" w:hAnsi="Cambria Math"/>
                        <w:i/>
                        <w:sz w:val="20"/>
                        <w:szCs w:val="20"/>
                      </w:rPr>
                    </m:ctrlPr>
                  </m:sSubPr>
                  <m:e>
                    <m:r>
                      <w:rPr>
                        <w:rFonts w:ascii="Cambria Math" w:eastAsiaTheme="minorEastAsia" w:hAnsi="Cambria Math"/>
                        <w:sz w:val="20"/>
                        <w:szCs w:val="20"/>
                      </w:rPr>
                      <m:t>p</m:t>
                    </m:r>
                  </m:e>
                  <m:sub>
                    <m:r>
                      <w:rPr>
                        <w:rFonts w:ascii="Cambria Math" w:eastAsiaTheme="minorEastAsia" w:hAnsi="Cambria Math"/>
                        <w:sz w:val="20"/>
                        <w:szCs w:val="20"/>
                      </w:rPr>
                      <m:t>z,y</m:t>
                    </m:r>
                  </m:sub>
                </m:sSub>
              </m:oMath>
            </m:oMathPara>
          </w:p>
        </w:tc>
        <w:tc>
          <w:tcPr>
            <w:tcW w:w="6512" w:type="dxa"/>
            <w:vAlign w:val="center"/>
          </w:tcPr>
          <w:p w14:paraId="0ABDF82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refuelling station capacity in zone </w:t>
            </w:r>
            <m:oMath>
              <m:r>
                <w:rPr>
                  <w:rFonts w:ascii="Cambria Math"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34E62499"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D4C3E87" w14:textId="77777777" w:rsidTr="003B4CD4">
        <w:tc>
          <w:tcPr>
            <w:tcW w:w="0" w:type="auto"/>
            <w:vAlign w:val="center"/>
          </w:tcPr>
          <w:p w14:paraId="106BB842"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NTCa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l,z,g,y</m:t>
                    </m:r>
                  </m:sub>
                  <m:sup>
                    <m:r>
                      <w:rPr>
                        <w:rFonts w:ascii="Cambria Math" w:hAnsi="Cambria Math"/>
                        <w:sz w:val="20"/>
                        <w:szCs w:val="20"/>
                      </w:rPr>
                      <m:t>L</m:t>
                    </m:r>
                  </m:sup>
                </m:sSubSup>
              </m:oMath>
            </m:oMathPara>
          </w:p>
        </w:tc>
        <w:tc>
          <w:tcPr>
            <w:tcW w:w="6512" w:type="dxa"/>
            <w:vAlign w:val="center"/>
          </w:tcPr>
          <w:p w14:paraId="0F8882F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capacity of local distribution via technology </w:t>
            </w:r>
            <m:oMath>
              <m:r>
                <w:rPr>
                  <w:rFonts w:ascii="Cambria Math" w:hAnsi="Cambria Math"/>
                  <w:sz w:val="20"/>
                  <w:szCs w:val="20"/>
                </w:rPr>
                <m:t>l</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w:t>
            </w:r>
            <m:oMath>
              <m:r>
                <w:rPr>
                  <w:rFonts w:ascii="Cambria Math" w:eastAsiaTheme="minorEastAsia" w:hAnsi="Cambria Math"/>
                  <w:sz w:val="20"/>
                  <w:szCs w:val="20"/>
                </w:rPr>
                <m:t xml:space="preserve"> y</m:t>
              </m:r>
            </m:oMath>
            <w:r w:rsidRPr="00744EC6">
              <w:rPr>
                <w:rFonts w:eastAsiaTheme="minorEastAsia"/>
                <w:sz w:val="20"/>
                <w:szCs w:val="20"/>
              </w:rPr>
              <w:t>.</w:t>
            </w:r>
          </w:p>
        </w:tc>
        <w:tc>
          <w:tcPr>
            <w:tcW w:w="1276" w:type="dxa"/>
            <w:vAlign w:val="center"/>
          </w:tcPr>
          <w:p w14:paraId="0313E53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17C4F3E" w14:textId="77777777" w:rsidTr="003B4CD4">
        <w:tc>
          <w:tcPr>
            <w:tcW w:w="0" w:type="auto"/>
            <w:vAlign w:val="center"/>
          </w:tcPr>
          <w:p w14:paraId="61077D96"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w:lastRenderedPageBreak/>
                  <m:t>NTCa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,g,y</m:t>
                    </m:r>
                  </m:sub>
                  <m:sup>
                    <m:r>
                      <w:rPr>
                        <w:rFonts w:ascii="Cambria Math" w:hAnsi="Cambria Math"/>
                        <w:sz w:val="20"/>
                        <w:szCs w:val="20"/>
                      </w:rPr>
                      <m:t>R</m:t>
                    </m:r>
                  </m:sup>
                </m:sSubSup>
              </m:oMath>
            </m:oMathPara>
          </w:p>
        </w:tc>
        <w:tc>
          <w:tcPr>
            <w:tcW w:w="6512" w:type="dxa"/>
            <w:vAlign w:val="center"/>
          </w:tcPr>
          <w:p w14:paraId="7769CB5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Newly installed capacity of transmission via technology </w:t>
            </w:r>
            <m:oMath>
              <m:r>
                <w:rPr>
                  <w:rFonts w:ascii="Cambria Math" w:hAnsi="Cambria Math"/>
                  <w:sz w:val="20"/>
                  <w:szCs w:val="20"/>
                </w:rPr>
                <m:t>l</m:t>
              </m:r>
            </m:oMath>
            <w:r w:rsidRPr="00744EC6">
              <w:rPr>
                <w:sz w:val="20"/>
                <w:szCs w:val="20"/>
              </w:rPr>
              <w:t xml:space="preserve">, from zone </w:t>
            </w:r>
            <m:oMath>
              <m:r>
                <w:rPr>
                  <w:rFonts w:ascii="Cambria Math" w:hAnsi="Cambria Math"/>
                  <w:sz w:val="20"/>
                  <w:szCs w:val="20"/>
                </w:rPr>
                <m:t>z</m:t>
              </m:r>
            </m:oMath>
            <w:r w:rsidRPr="00744EC6">
              <w:rPr>
                <w:rFonts w:eastAsiaTheme="minorEastAsia"/>
                <w:sz w:val="20"/>
                <w:szCs w:val="20"/>
              </w:rPr>
              <w:t xml:space="preserve"> to zone </w:t>
            </w:r>
            <m:oMath>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w:t>
            </w:r>
            <m:oMath>
              <m:r>
                <w:rPr>
                  <w:rFonts w:ascii="Cambria Math" w:eastAsiaTheme="minorEastAsia" w:hAnsi="Cambria Math"/>
                  <w:sz w:val="20"/>
                  <w:szCs w:val="20"/>
                </w:rPr>
                <m:t xml:space="preserve"> y</m:t>
              </m:r>
            </m:oMath>
            <w:r w:rsidRPr="00744EC6">
              <w:rPr>
                <w:rFonts w:eastAsiaTheme="minorEastAsia"/>
                <w:sz w:val="20"/>
                <w:szCs w:val="20"/>
              </w:rPr>
              <w:t>.</w:t>
            </w:r>
          </w:p>
        </w:tc>
        <w:tc>
          <w:tcPr>
            <w:tcW w:w="1276" w:type="dxa"/>
            <w:vAlign w:val="center"/>
          </w:tcPr>
          <w:p w14:paraId="30AABF5E"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46EDC9CC" w14:textId="77777777" w:rsidTr="003B4CD4">
        <w:tc>
          <w:tcPr>
            <w:tcW w:w="0" w:type="auto"/>
            <w:vAlign w:val="center"/>
          </w:tcPr>
          <w:p w14:paraId="38F8CC0D"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PCC</m:t>
                </m:r>
              </m:oMath>
            </m:oMathPara>
          </w:p>
        </w:tc>
        <w:tc>
          <w:tcPr>
            <w:tcW w:w="6512" w:type="dxa"/>
            <w:vAlign w:val="center"/>
          </w:tcPr>
          <w:p w14:paraId="3BB8CFFC" w14:textId="77777777" w:rsidR="000D4A0E" w:rsidRPr="00744EC6" w:rsidRDefault="000D4A0E" w:rsidP="000D4A0E">
            <w:pPr>
              <w:pStyle w:val="Style1"/>
              <w:spacing w:before="0" w:after="60" w:line="240" w:lineRule="auto"/>
              <w:jc w:val="left"/>
              <w:rPr>
                <w:sz w:val="20"/>
                <w:szCs w:val="20"/>
              </w:rPr>
            </w:pPr>
            <w:r w:rsidRPr="00744EC6">
              <w:rPr>
                <w:sz w:val="20"/>
                <w:szCs w:val="20"/>
              </w:rPr>
              <w:t>Total production facilities capital cost.</w:t>
            </w:r>
          </w:p>
        </w:tc>
        <w:tc>
          <w:tcPr>
            <w:tcW w:w="1276" w:type="dxa"/>
            <w:vAlign w:val="center"/>
          </w:tcPr>
          <w:p w14:paraId="3C0FD86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1E108BA6" w14:textId="77777777" w:rsidTr="003B4CD4">
        <w:tc>
          <w:tcPr>
            <w:tcW w:w="0" w:type="auto"/>
            <w:vAlign w:val="center"/>
          </w:tcPr>
          <w:p w14:paraId="2B6383E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POC</m:t>
                </m:r>
              </m:oMath>
            </m:oMathPara>
          </w:p>
        </w:tc>
        <w:tc>
          <w:tcPr>
            <w:tcW w:w="6512" w:type="dxa"/>
            <w:vAlign w:val="center"/>
          </w:tcPr>
          <w:p w14:paraId="23C82B3B" w14:textId="77777777" w:rsidR="000D4A0E" w:rsidRPr="00744EC6" w:rsidRDefault="000D4A0E" w:rsidP="000D4A0E">
            <w:pPr>
              <w:pStyle w:val="Style1"/>
              <w:spacing w:before="0" w:after="60" w:line="240" w:lineRule="auto"/>
              <w:jc w:val="left"/>
              <w:rPr>
                <w:sz w:val="20"/>
                <w:szCs w:val="20"/>
              </w:rPr>
            </w:pPr>
            <w:r w:rsidRPr="00744EC6">
              <w:rPr>
                <w:sz w:val="20"/>
                <w:szCs w:val="20"/>
              </w:rPr>
              <w:t>Total production facilities operating cost.</w:t>
            </w:r>
          </w:p>
        </w:tc>
        <w:tc>
          <w:tcPr>
            <w:tcW w:w="1276" w:type="dxa"/>
            <w:vAlign w:val="center"/>
          </w:tcPr>
          <w:p w14:paraId="512F490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2BF433C2" w14:textId="77777777" w:rsidTr="003B4CD4">
        <w:tc>
          <w:tcPr>
            <w:tcW w:w="0" w:type="auto"/>
            <w:vAlign w:val="center"/>
          </w:tcPr>
          <w:p w14:paraId="7BCA2270" w14:textId="77777777" w:rsidR="000D4A0E" w:rsidRPr="00744EC6" w:rsidRDefault="00903D45" w:rsidP="000D4A0E">
            <w:pPr>
              <w:pStyle w:val="Style1"/>
              <w:spacing w:before="0" w:after="6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PR</m:t>
                    </m:r>
                  </m:e>
                  <m:sub>
                    <m:r>
                      <w:rPr>
                        <w:rFonts w:ascii="Cambria Math" w:hAnsi="Cambria Math"/>
                        <w:sz w:val="20"/>
                        <w:szCs w:val="20"/>
                      </w:rPr>
                      <m:t>p,z,g,y</m:t>
                    </m:r>
                  </m:sub>
                </m:sSub>
              </m:oMath>
            </m:oMathPara>
          </w:p>
        </w:tc>
        <w:tc>
          <w:tcPr>
            <w:tcW w:w="6512" w:type="dxa"/>
            <w:vAlign w:val="center"/>
          </w:tcPr>
          <w:p w14:paraId="1498194D"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Production rate of technology </w:t>
            </w:r>
            <m:oMath>
              <m:r>
                <w:rPr>
                  <w:rFonts w:ascii="Cambria Math" w:hAnsi="Cambria Math"/>
                  <w:sz w:val="20"/>
                  <w:szCs w:val="20"/>
                </w:rPr>
                <m:t>p</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2A0F672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5981DFA5" w14:textId="77777777" w:rsidTr="003B4CD4">
        <w:tc>
          <w:tcPr>
            <w:tcW w:w="0" w:type="auto"/>
            <w:vAlign w:val="center"/>
          </w:tcPr>
          <w:p w14:paraId="527259F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ProdCOEmissio</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oMath>
            </m:oMathPara>
          </w:p>
        </w:tc>
        <w:tc>
          <w:tcPr>
            <w:tcW w:w="6512" w:type="dxa"/>
            <w:vAlign w:val="center"/>
          </w:tcPr>
          <w:p w14:paraId="07F327D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Annual carbon emissions due to production in time period </w:t>
            </w:r>
            <m:oMath>
              <m:r>
                <w:rPr>
                  <w:rFonts w:ascii="Cambria Math" w:hAnsi="Cambria Math"/>
                  <w:sz w:val="20"/>
                  <w:szCs w:val="20"/>
                </w:rPr>
                <m:t>y</m:t>
              </m:r>
            </m:oMath>
          </w:p>
        </w:tc>
        <w:tc>
          <w:tcPr>
            <w:tcW w:w="1276" w:type="dxa"/>
            <w:vAlign w:val="center"/>
          </w:tcPr>
          <w:p w14:paraId="164B156E"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kgC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O</m:t>
                    </m:r>
                  </m:e>
                  <m:sub>
                    <m:r>
                      <w:rPr>
                        <w:rFonts w:ascii="Cambria Math" w:eastAsia="Calibri" w:hAnsi="Cambria Math" w:cs="Times New Roman"/>
                        <w:sz w:val="20"/>
                        <w:szCs w:val="20"/>
                      </w:rPr>
                      <m:t>2</m:t>
                    </m:r>
                  </m:sub>
                </m:sSub>
                <m:r>
                  <w:rPr>
                    <w:rFonts w:ascii="Cambria Math" w:eastAsia="Calibri" w:hAnsi="Cambria Math" w:cs="Times New Roman"/>
                    <w:sz w:val="20"/>
                    <w:szCs w:val="20"/>
                  </w:rPr>
                  <m:t>/year</m:t>
                </m:r>
              </m:oMath>
            </m:oMathPara>
          </w:p>
        </w:tc>
      </w:tr>
      <w:tr w:rsidR="000D4A0E" w:rsidRPr="00744EC6" w14:paraId="75B7520A" w14:textId="77777777" w:rsidTr="003B4CD4">
        <w:tc>
          <w:tcPr>
            <w:tcW w:w="0" w:type="auto"/>
            <w:vAlign w:val="center"/>
          </w:tcPr>
          <w:p w14:paraId="666DB01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PSV</m:t>
                </m:r>
              </m:oMath>
            </m:oMathPara>
          </w:p>
        </w:tc>
        <w:tc>
          <w:tcPr>
            <w:tcW w:w="6512" w:type="dxa"/>
            <w:vAlign w:val="center"/>
          </w:tcPr>
          <w:p w14:paraId="1909DC9E" w14:textId="77777777" w:rsidR="000D4A0E" w:rsidRPr="00744EC6" w:rsidRDefault="000D4A0E" w:rsidP="000D4A0E">
            <w:pPr>
              <w:pStyle w:val="Style1"/>
              <w:spacing w:before="0" w:after="60" w:line="240" w:lineRule="auto"/>
              <w:jc w:val="left"/>
              <w:rPr>
                <w:sz w:val="20"/>
                <w:szCs w:val="20"/>
              </w:rPr>
            </w:pPr>
            <w:r w:rsidRPr="00744EC6">
              <w:rPr>
                <w:sz w:val="20"/>
                <w:szCs w:val="20"/>
              </w:rPr>
              <w:t>Total production facilities salvage value.</w:t>
            </w:r>
          </w:p>
        </w:tc>
        <w:tc>
          <w:tcPr>
            <w:tcW w:w="1276" w:type="dxa"/>
            <w:vAlign w:val="center"/>
          </w:tcPr>
          <w:p w14:paraId="2A6166F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076DFDB7" w14:textId="77777777" w:rsidTr="003B4CD4">
        <w:tc>
          <w:tcPr>
            <w:tcW w:w="0" w:type="auto"/>
            <w:vAlign w:val="center"/>
          </w:tcPr>
          <w:p w14:paraId="14D33AB4"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PurCC</m:t>
                </m:r>
              </m:oMath>
            </m:oMathPara>
          </w:p>
        </w:tc>
        <w:tc>
          <w:tcPr>
            <w:tcW w:w="6512" w:type="dxa"/>
            <w:vAlign w:val="center"/>
          </w:tcPr>
          <w:p w14:paraId="067FC29E" w14:textId="77777777" w:rsidR="000D4A0E" w:rsidRPr="00744EC6" w:rsidRDefault="000D4A0E" w:rsidP="000D4A0E">
            <w:pPr>
              <w:pStyle w:val="Style1"/>
              <w:spacing w:before="0" w:after="60" w:line="240" w:lineRule="auto"/>
              <w:jc w:val="left"/>
              <w:rPr>
                <w:sz w:val="20"/>
                <w:szCs w:val="20"/>
              </w:rPr>
            </w:pPr>
            <w:r w:rsidRPr="00744EC6">
              <w:rPr>
                <w:sz w:val="20"/>
                <w:szCs w:val="20"/>
              </w:rPr>
              <w:t>Total purification capital costs.</w:t>
            </w:r>
          </w:p>
        </w:tc>
        <w:tc>
          <w:tcPr>
            <w:tcW w:w="1276" w:type="dxa"/>
            <w:vAlign w:val="center"/>
          </w:tcPr>
          <w:p w14:paraId="6E59D5DA"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3810E3DA" w14:textId="77777777" w:rsidTr="003B4CD4">
        <w:tc>
          <w:tcPr>
            <w:tcW w:w="0" w:type="auto"/>
            <w:vAlign w:val="center"/>
          </w:tcPr>
          <w:p w14:paraId="21AB1027"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PurCOEmissio</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oMath>
            </m:oMathPara>
          </w:p>
        </w:tc>
        <w:tc>
          <w:tcPr>
            <w:tcW w:w="6512" w:type="dxa"/>
            <w:vAlign w:val="center"/>
          </w:tcPr>
          <w:p w14:paraId="3A976443"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Annual carbon emissions due to purification in time period </w:t>
            </w:r>
            <m:oMath>
              <m:r>
                <w:rPr>
                  <w:rFonts w:ascii="Cambria Math" w:hAnsi="Cambria Math"/>
                  <w:sz w:val="20"/>
                  <w:szCs w:val="20"/>
                </w:rPr>
                <m:t>y</m:t>
              </m:r>
            </m:oMath>
          </w:p>
        </w:tc>
        <w:tc>
          <w:tcPr>
            <w:tcW w:w="1276" w:type="dxa"/>
            <w:vAlign w:val="center"/>
          </w:tcPr>
          <w:p w14:paraId="5CEE2BB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kgC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O</m:t>
                    </m:r>
                  </m:e>
                  <m:sub>
                    <m:r>
                      <w:rPr>
                        <w:rFonts w:ascii="Cambria Math" w:eastAsia="Calibri" w:hAnsi="Cambria Math" w:cs="Times New Roman"/>
                        <w:sz w:val="20"/>
                        <w:szCs w:val="20"/>
                      </w:rPr>
                      <m:t>2</m:t>
                    </m:r>
                  </m:sub>
                </m:sSub>
                <m:r>
                  <w:rPr>
                    <w:rFonts w:ascii="Cambria Math" w:eastAsia="Calibri" w:hAnsi="Cambria Math" w:cs="Times New Roman"/>
                    <w:sz w:val="20"/>
                    <w:szCs w:val="20"/>
                  </w:rPr>
                  <m:t>/year</m:t>
                </m:r>
              </m:oMath>
            </m:oMathPara>
          </w:p>
        </w:tc>
      </w:tr>
      <w:tr w:rsidR="000D4A0E" w:rsidRPr="00744EC6" w14:paraId="42221CDD" w14:textId="77777777" w:rsidTr="003B4CD4">
        <w:tc>
          <w:tcPr>
            <w:tcW w:w="0" w:type="auto"/>
            <w:vAlign w:val="center"/>
          </w:tcPr>
          <w:p w14:paraId="7B01F52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PurOC</m:t>
                </m:r>
              </m:oMath>
            </m:oMathPara>
          </w:p>
        </w:tc>
        <w:tc>
          <w:tcPr>
            <w:tcW w:w="6512" w:type="dxa"/>
            <w:vAlign w:val="center"/>
          </w:tcPr>
          <w:p w14:paraId="152642D8" w14:textId="77777777" w:rsidR="000D4A0E" w:rsidRPr="00744EC6" w:rsidRDefault="000D4A0E" w:rsidP="000D4A0E">
            <w:pPr>
              <w:pStyle w:val="Style1"/>
              <w:spacing w:before="0" w:after="60" w:line="240" w:lineRule="auto"/>
              <w:jc w:val="left"/>
              <w:rPr>
                <w:sz w:val="20"/>
                <w:szCs w:val="20"/>
              </w:rPr>
            </w:pPr>
            <w:r w:rsidRPr="00744EC6">
              <w:rPr>
                <w:sz w:val="20"/>
                <w:szCs w:val="20"/>
              </w:rPr>
              <w:t>Total purification operating costs.</w:t>
            </w:r>
          </w:p>
        </w:tc>
        <w:tc>
          <w:tcPr>
            <w:tcW w:w="1276" w:type="dxa"/>
            <w:vAlign w:val="center"/>
          </w:tcPr>
          <w:p w14:paraId="77DF0725"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2123A270" w14:textId="77777777" w:rsidTr="003B4CD4">
        <w:tc>
          <w:tcPr>
            <w:tcW w:w="0" w:type="auto"/>
            <w:vAlign w:val="center"/>
          </w:tcPr>
          <w:p w14:paraId="31BA1F08"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PurSV</m:t>
                </m:r>
              </m:oMath>
            </m:oMathPara>
          </w:p>
        </w:tc>
        <w:tc>
          <w:tcPr>
            <w:tcW w:w="6512" w:type="dxa"/>
            <w:vAlign w:val="center"/>
          </w:tcPr>
          <w:p w14:paraId="4C453A17" w14:textId="77777777" w:rsidR="000D4A0E" w:rsidRPr="00744EC6" w:rsidRDefault="000D4A0E" w:rsidP="000D4A0E">
            <w:pPr>
              <w:pStyle w:val="Style1"/>
              <w:spacing w:before="0" w:after="60" w:line="240" w:lineRule="auto"/>
              <w:jc w:val="left"/>
              <w:rPr>
                <w:sz w:val="20"/>
                <w:szCs w:val="20"/>
              </w:rPr>
            </w:pPr>
            <w:r w:rsidRPr="00744EC6">
              <w:rPr>
                <w:sz w:val="20"/>
                <w:szCs w:val="20"/>
              </w:rPr>
              <w:t>Total purification salvage value</w:t>
            </w:r>
          </w:p>
        </w:tc>
        <w:tc>
          <w:tcPr>
            <w:tcW w:w="1276" w:type="dxa"/>
            <w:vAlign w:val="center"/>
          </w:tcPr>
          <w:p w14:paraId="16D26970"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1F36D501" w14:textId="77777777" w:rsidTr="003B4CD4">
        <w:tc>
          <w:tcPr>
            <w:tcW w:w="0" w:type="auto"/>
            <w:vAlign w:val="center"/>
          </w:tcPr>
          <w:p w14:paraId="6F1B77BB" w14:textId="77777777" w:rsidR="000D4A0E" w:rsidRPr="00744EC6" w:rsidRDefault="00903D45" w:rsidP="000D4A0E">
            <w:pPr>
              <w:pStyle w:val="Style1"/>
              <w:spacing w:before="0" w:after="6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l,z,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,g,y</m:t>
                    </m:r>
                  </m:sub>
                </m:sSub>
              </m:oMath>
            </m:oMathPara>
          </w:p>
        </w:tc>
        <w:tc>
          <w:tcPr>
            <w:tcW w:w="6512" w:type="dxa"/>
            <w:vAlign w:val="center"/>
          </w:tcPr>
          <w:p w14:paraId="0BCD20FF"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Flowrate of hydrogen from zone </w:t>
            </w:r>
            <m:oMath>
              <m:r>
                <w:rPr>
                  <w:rFonts w:ascii="Cambria Math" w:hAnsi="Cambria Math"/>
                  <w:sz w:val="20"/>
                  <w:szCs w:val="20"/>
                </w:rPr>
                <m:t>z</m:t>
              </m:r>
            </m:oMath>
            <w:r w:rsidRPr="00744EC6">
              <w:rPr>
                <w:rFonts w:eastAsiaTheme="minorEastAsia"/>
                <w:sz w:val="20"/>
                <w:szCs w:val="20"/>
              </w:rPr>
              <w:t xml:space="preserve"> into zone </w:t>
            </w:r>
            <m:oMath>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oMath>
            <w:r w:rsidRPr="00744EC6">
              <w:rPr>
                <w:rFonts w:eastAsiaTheme="minorEastAsia"/>
                <w:sz w:val="20"/>
                <w:szCs w:val="20"/>
              </w:rPr>
              <w:t xml:space="preserve">, via transport technology </w:t>
            </w:r>
            <m:oMath>
              <m:r>
                <w:rPr>
                  <w:rFonts w:ascii="Cambria Math" w:eastAsiaTheme="minorEastAsia" w:hAnsi="Cambria Math"/>
                  <w:sz w:val="20"/>
                  <w:szCs w:val="20"/>
                </w:rPr>
                <m:t>l</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57778504"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2005837" w14:textId="77777777" w:rsidTr="003B4CD4">
        <w:tc>
          <w:tcPr>
            <w:tcW w:w="0" w:type="auto"/>
            <w:vAlign w:val="center"/>
          </w:tcPr>
          <w:p w14:paraId="15964615"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Theme="minorEastAsia" w:hAnsi="Cambria Math"/>
                    <w:sz w:val="20"/>
                    <w:szCs w:val="20"/>
                  </w:rPr>
                  <m:t>QBLEN</m:t>
                </m:r>
                <m:sSubSup>
                  <m:sSubSupPr>
                    <m:ctrlPr>
                      <w:rPr>
                        <w:rFonts w:ascii="Cambria Math" w:eastAsiaTheme="minorEastAsia" w:hAnsi="Cambria Math"/>
                        <w:i/>
                        <w:sz w:val="20"/>
                        <w:szCs w:val="20"/>
                      </w:rPr>
                    </m:ctrlPr>
                  </m:sSubSupPr>
                  <m:e>
                    <m:r>
                      <w:rPr>
                        <w:rFonts w:ascii="Cambria Math" w:eastAsiaTheme="minorEastAsia" w:hAnsi="Cambria Math"/>
                        <w:sz w:val="20"/>
                        <w:szCs w:val="20"/>
                      </w:rPr>
                      <m:t>D</m:t>
                    </m:r>
                  </m:e>
                  <m:sub>
                    <m:r>
                      <w:rPr>
                        <w:rFonts w:ascii="Cambria Math" w:eastAsiaTheme="minorEastAsia" w:hAnsi="Cambria Math"/>
                        <w:sz w:val="20"/>
                        <w:szCs w:val="20"/>
                      </w:rPr>
                      <m:t>z,y</m:t>
                    </m:r>
                  </m:sub>
                  <m:sup>
                    <m:r>
                      <w:rPr>
                        <w:rFonts w:ascii="Cambria Math" w:eastAsiaTheme="minorEastAsia" w:hAnsi="Cambria Math"/>
                        <w:sz w:val="20"/>
                        <w:szCs w:val="20"/>
                      </w:rPr>
                      <m:t>Clean</m:t>
                    </m:r>
                  </m:sup>
                </m:sSubSup>
              </m:oMath>
            </m:oMathPara>
          </w:p>
        </w:tc>
        <w:tc>
          <w:tcPr>
            <w:tcW w:w="6512" w:type="dxa"/>
            <w:vAlign w:val="center"/>
          </w:tcPr>
          <w:p w14:paraId="410B4861"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Flowrate of hydrogen being fed from clean transmission to blended distribution in zone </w:t>
            </w:r>
            <m:oMath>
              <m:r>
                <w:rPr>
                  <w:rFonts w:ascii="Cambria Math" w:hAnsi="Cambria Math"/>
                  <w:sz w:val="20"/>
                  <w:szCs w:val="20"/>
                </w:rPr>
                <m:t>z</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68E48648"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511AC383" w14:textId="77777777" w:rsidTr="003B4CD4">
        <w:tc>
          <w:tcPr>
            <w:tcW w:w="0" w:type="auto"/>
            <w:vAlign w:val="center"/>
          </w:tcPr>
          <w:p w14:paraId="02450A94"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Theme="minorEastAsia" w:hAnsi="Cambria Math"/>
                    <w:sz w:val="20"/>
                    <w:szCs w:val="20"/>
                  </w:rPr>
                  <m:t>QBLEN</m:t>
                </m:r>
                <m:sSubSup>
                  <m:sSubSupPr>
                    <m:ctrlPr>
                      <w:rPr>
                        <w:rFonts w:ascii="Cambria Math" w:eastAsiaTheme="minorEastAsia" w:hAnsi="Cambria Math"/>
                        <w:i/>
                        <w:sz w:val="20"/>
                        <w:szCs w:val="20"/>
                      </w:rPr>
                    </m:ctrlPr>
                  </m:sSubSupPr>
                  <m:e>
                    <m:r>
                      <w:rPr>
                        <w:rFonts w:ascii="Cambria Math" w:eastAsiaTheme="minorEastAsia" w:hAnsi="Cambria Math"/>
                        <w:sz w:val="20"/>
                        <w:szCs w:val="20"/>
                      </w:rPr>
                      <m:t>D</m:t>
                    </m:r>
                  </m:e>
                  <m:sub>
                    <m:r>
                      <w:rPr>
                        <w:rFonts w:ascii="Cambria Math" w:eastAsiaTheme="minorEastAsia" w:hAnsi="Cambria Math"/>
                        <w:sz w:val="20"/>
                        <w:szCs w:val="20"/>
                      </w:rPr>
                      <m:t>z,y</m:t>
                    </m:r>
                  </m:sub>
                  <m:sup>
                    <m:r>
                      <w:rPr>
                        <w:rFonts w:ascii="Cambria Math" w:eastAsiaTheme="minorEastAsia" w:hAnsi="Cambria Math"/>
                        <w:sz w:val="20"/>
                        <w:szCs w:val="20"/>
                      </w:rPr>
                      <m:t>Dirty</m:t>
                    </m:r>
                  </m:sup>
                </m:sSubSup>
              </m:oMath>
            </m:oMathPara>
          </w:p>
        </w:tc>
        <w:tc>
          <w:tcPr>
            <w:tcW w:w="6512" w:type="dxa"/>
            <w:vAlign w:val="center"/>
          </w:tcPr>
          <w:p w14:paraId="2DB38604"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Flowrate of hydrogen being fed from dirty transmission to blended distribution in zone </w:t>
            </w:r>
            <m:oMath>
              <m:r>
                <w:rPr>
                  <w:rFonts w:ascii="Cambria Math" w:hAnsi="Cambria Math"/>
                  <w:sz w:val="20"/>
                  <w:szCs w:val="20"/>
                </w:rPr>
                <m:t>z</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5B290E69"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5115454C" w14:textId="77777777" w:rsidTr="003B4CD4">
        <w:tc>
          <w:tcPr>
            <w:tcW w:w="0" w:type="auto"/>
            <w:vAlign w:val="center"/>
          </w:tcPr>
          <w:p w14:paraId="0ACB4B9D" w14:textId="77777777" w:rsidR="000D4A0E" w:rsidRPr="00744EC6" w:rsidRDefault="000D4A0E" w:rsidP="000D4A0E">
            <w:pPr>
              <w:pStyle w:val="Style1"/>
              <w:spacing w:before="0" w:after="60" w:line="240" w:lineRule="auto"/>
              <w:jc w:val="center"/>
              <w:rPr>
                <w:sz w:val="20"/>
                <w:szCs w:val="20"/>
              </w:rPr>
            </w:pPr>
            <m:oMathPara>
              <m:oMath>
                <m:r>
                  <w:rPr>
                    <w:rFonts w:ascii="Cambria Math" w:eastAsiaTheme="minorEastAsia" w:hAnsi="Cambria Math"/>
                    <w:sz w:val="20"/>
                    <w:szCs w:val="20"/>
                  </w:rPr>
                  <m:t>QCLEANE</m:t>
                </m:r>
                <m:sSub>
                  <m:sSubPr>
                    <m:ctrlPr>
                      <w:rPr>
                        <w:rFonts w:ascii="Cambria Math" w:eastAsiaTheme="minorEastAsia" w:hAnsi="Cambria Math"/>
                        <w:i/>
                        <w:sz w:val="20"/>
                        <w:szCs w:val="20"/>
                      </w:rPr>
                    </m:ctrlPr>
                  </m:sSubPr>
                  <m:e>
                    <m:r>
                      <w:rPr>
                        <w:rFonts w:ascii="Cambria Math" w:eastAsiaTheme="minorEastAsia" w:hAnsi="Cambria Math"/>
                        <w:sz w:val="20"/>
                        <w:szCs w:val="20"/>
                      </w:rPr>
                      <m:t>D</m:t>
                    </m:r>
                  </m:e>
                  <m:sub>
                    <m:r>
                      <w:rPr>
                        <w:rFonts w:ascii="Cambria Math" w:eastAsiaTheme="minorEastAsia" w:hAnsi="Cambria Math"/>
                        <w:sz w:val="20"/>
                        <w:szCs w:val="20"/>
                      </w:rPr>
                      <m:t>z,y</m:t>
                    </m:r>
                  </m:sub>
                </m:sSub>
              </m:oMath>
            </m:oMathPara>
          </w:p>
        </w:tc>
        <w:tc>
          <w:tcPr>
            <w:tcW w:w="6512" w:type="dxa"/>
            <w:vAlign w:val="center"/>
          </w:tcPr>
          <w:p w14:paraId="34208367"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Flowrate of hydrogen being clean from dirty to clean grade in zone </w:t>
            </w:r>
            <m:oMath>
              <m:r>
                <w:rPr>
                  <w:rFonts w:ascii="Cambria Math" w:hAnsi="Cambria Math"/>
                  <w:sz w:val="20"/>
                  <w:szCs w:val="20"/>
                </w:rPr>
                <m:t>z</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5E5DD730"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17B6A6E" w14:textId="77777777" w:rsidTr="003B4CD4">
        <w:tc>
          <w:tcPr>
            <w:tcW w:w="0" w:type="auto"/>
            <w:vAlign w:val="center"/>
          </w:tcPr>
          <w:p w14:paraId="38104DE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Theme="minorEastAsia" w:hAnsi="Cambria Math"/>
                    <w:sz w:val="20"/>
                    <w:szCs w:val="20"/>
                  </w:rPr>
                  <m:t>QDIRTIE</m:t>
                </m:r>
                <m:sSub>
                  <m:sSubPr>
                    <m:ctrlPr>
                      <w:rPr>
                        <w:rFonts w:ascii="Cambria Math" w:eastAsiaTheme="minorEastAsia" w:hAnsi="Cambria Math"/>
                        <w:i/>
                        <w:sz w:val="20"/>
                        <w:szCs w:val="20"/>
                      </w:rPr>
                    </m:ctrlPr>
                  </m:sSubPr>
                  <m:e>
                    <m:r>
                      <w:rPr>
                        <w:rFonts w:ascii="Cambria Math" w:eastAsiaTheme="minorEastAsia" w:hAnsi="Cambria Math"/>
                        <w:sz w:val="20"/>
                        <w:szCs w:val="20"/>
                      </w:rPr>
                      <m:t>D</m:t>
                    </m:r>
                  </m:e>
                  <m:sub>
                    <m:r>
                      <w:rPr>
                        <w:rFonts w:ascii="Cambria Math" w:eastAsiaTheme="minorEastAsia" w:hAnsi="Cambria Math"/>
                        <w:sz w:val="20"/>
                        <w:szCs w:val="20"/>
                      </w:rPr>
                      <m:t>z,y</m:t>
                    </m:r>
                  </m:sub>
                </m:sSub>
              </m:oMath>
            </m:oMathPara>
          </w:p>
        </w:tc>
        <w:tc>
          <w:tcPr>
            <w:tcW w:w="6512" w:type="dxa"/>
            <w:vAlign w:val="center"/>
          </w:tcPr>
          <w:p w14:paraId="648A445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Flowrate of hydrogen being fed from clean transmission to dirty distribution in zone </w:t>
            </w:r>
            <m:oMath>
              <m:r>
                <w:rPr>
                  <w:rFonts w:ascii="Cambria Math" w:hAnsi="Cambria Math"/>
                  <w:sz w:val="20"/>
                  <w:szCs w:val="20"/>
                </w:rPr>
                <m:t>z</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276D26EF"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128E5F61" w14:textId="77777777" w:rsidTr="003B4CD4">
        <w:tc>
          <w:tcPr>
            <w:tcW w:w="0" w:type="auto"/>
            <w:vAlign w:val="center"/>
          </w:tcPr>
          <w:p w14:paraId="16AEBC0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QLO</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l,z,g,y</m:t>
                    </m:r>
                  </m:sub>
                </m:sSub>
              </m:oMath>
            </m:oMathPara>
          </w:p>
        </w:tc>
        <w:tc>
          <w:tcPr>
            <w:tcW w:w="6512" w:type="dxa"/>
            <w:vAlign w:val="center"/>
          </w:tcPr>
          <w:p w14:paraId="486F352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Flowrate of hydrogen into the local distribution of zone </w:t>
            </w:r>
            <m:oMath>
              <m:r>
                <w:rPr>
                  <w:rFonts w:ascii="Cambria Math" w:hAnsi="Cambria Math"/>
                  <w:sz w:val="20"/>
                  <w:szCs w:val="20"/>
                </w:rPr>
                <m:t>z</m:t>
              </m:r>
            </m:oMath>
            <w:r w:rsidRPr="00744EC6">
              <w:rPr>
                <w:rFonts w:eastAsiaTheme="minorEastAsia"/>
                <w:sz w:val="20"/>
                <w:szCs w:val="20"/>
              </w:rPr>
              <w:t xml:space="preserve">, via transport technology </w:t>
            </w:r>
            <m:oMath>
              <m:r>
                <w:rPr>
                  <w:rFonts w:ascii="Cambria Math" w:eastAsiaTheme="minorEastAsia" w:hAnsi="Cambria Math"/>
                  <w:sz w:val="20"/>
                  <w:szCs w:val="20"/>
                </w:rPr>
                <m:t>l</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 time period </w:t>
            </w:r>
            <m:oMath>
              <m:r>
                <w:rPr>
                  <w:rFonts w:ascii="Cambria Math" w:eastAsiaTheme="minorEastAsia" w:hAnsi="Cambria Math"/>
                  <w:sz w:val="20"/>
                  <w:szCs w:val="20"/>
                </w:rPr>
                <m:t>y</m:t>
              </m:r>
            </m:oMath>
            <w:r w:rsidRPr="00744EC6">
              <w:rPr>
                <w:rFonts w:eastAsiaTheme="minorEastAsia"/>
                <w:sz w:val="20"/>
                <w:szCs w:val="20"/>
              </w:rPr>
              <w:t>.</w:t>
            </w:r>
          </w:p>
        </w:tc>
        <w:tc>
          <w:tcPr>
            <w:tcW w:w="1276" w:type="dxa"/>
            <w:vAlign w:val="center"/>
          </w:tcPr>
          <w:p w14:paraId="6D55E064"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21F4D9F5" w14:textId="77777777" w:rsidTr="003B4CD4">
        <w:tc>
          <w:tcPr>
            <w:tcW w:w="0" w:type="auto"/>
            <w:vAlign w:val="center"/>
          </w:tcPr>
          <w:p w14:paraId="7AEDDA3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RFOC</m:t>
                </m:r>
              </m:oMath>
            </m:oMathPara>
          </w:p>
        </w:tc>
        <w:tc>
          <w:tcPr>
            <w:tcW w:w="6512" w:type="dxa"/>
            <w:vAlign w:val="center"/>
          </w:tcPr>
          <w:p w14:paraId="11DA3360" w14:textId="77777777" w:rsidR="000D4A0E" w:rsidRPr="00744EC6" w:rsidRDefault="000D4A0E" w:rsidP="000D4A0E">
            <w:pPr>
              <w:pStyle w:val="Style1"/>
              <w:spacing w:before="0" w:after="60" w:line="240" w:lineRule="auto"/>
              <w:jc w:val="left"/>
              <w:rPr>
                <w:sz w:val="20"/>
                <w:szCs w:val="20"/>
              </w:rPr>
            </w:pPr>
            <w:r w:rsidRPr="00744EC6">
              <w:rPr>
                <w:sz w:val="20"/>
                <w:szCs w:val="20"/>
              </w:rPr>
              <w:t>Total refuelling station operating costs.</w:t>
            </w:r>
          </w:p>
        </w:tc>
        <w:tc>
          <w:tcPr>
            <w:tcW w:w="1276" w:type="dxa"/>
            <w:vAlign w:val="center"/>
          </w:tcPr>
          <w:p w14:paraId="7AF19BD9"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4A601F9A" w14:textId="77777777" w:rsidTr="003B4CD4">
        <w:tc>
          <w:tcPr>
            <w:tcW w:w="0" w:type="auto"/>
            <w:vAlign w:val="center"/>
          </w:tcPr>
          <w:p w14:paraId="495A44E0" w14:textId="77777777" w:rsidR="000D4A0E" w:rsidRPr="00744EC6"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RFSV</m:t>
                </m:r>
              </m:oMath>
            </m:oMathPara>
          </w:p>
        </w:tc>
        <w:tc>
          <w:tcPr>
            <w:tcW w:w="6512" w:type="dxa"/>
            <w:vAlign w:val="center"/>
          </w:tcPr>
          <w:p w14:paraId="27111A0C" w14:textId="77777777" w:rsidR="000D4A0E" w:rsidRPr="00744EC6" w:rsidRDefault="000D4A0E" w:rsidP="000D4A0E">
            <w:pPr>
              <w:pStyle w:val="Style1"/>
              <w:spacing w:before="0" w:after="60" w:line="240" w:lineRule="auto"/>
              <w:jc w:val="left"/>
              <w:rPr>
                <w:sz w:val="20"/>
                <w:szCs w:val="20"/>
              </w:rPr>
            </w:pPr>
            <w:r w:rsidRPr="00744EC6">
              <w:rPr>
                <w:sz w:val="20"/>
                <w:szCs w:val="20"/>
              </w:rPr>
              <w:t>Total refuelling station salvage value</w:t>
            </w:r>
          </w:p>
        </w:tc>
        <w:tc>
          <w:tcPr>
            <w:tcW w:w="1276" w:type="dxa"/>
            <w:vAlign w:val="center"/>
          </w:tcPr>
          <w:p w14:paraId="5620FB9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44D6F9F6" w14:textId="77777777" w:rsidTr="003B4CD4">
        <w:tc>
          <w:tcPr>
            <w:tcW w:w="0" w:type="auto"/>
            <w:vAlign w:val="center"/>
          </w:tcPr>
          <w:p w14:paraId="64A931AE"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TC</m:t>
                </m:r>
              </m:oMath>
            </m:oMathPara>
          </w:p>
        </w:tc>
        <w:tc>
          <w:tcPr>
            <w:tcW w:w="6512" w:type="dxa"/>
            <w:vAlign w:val="center"/>
          </w:tcPr>
          <w:p w14:paraId="49E3DF24" w14:textId="77777777" w:rsidR="000D4A0E" w:rsidRPr="00744EC6" w:rsidRDefault="000D4A0E" w:rsidP="000D4A0E">
            <w:pPr>
              <w:pStyle w:val="Style1"/>
              <w:spacing w:before="0" w:after="60" w:line="240" w:lineRule="auto"/>
              <w:jc w:val="left"/>
              <w:rPr>
                <w:sz w:val="20"/>
                <w:szCs w:val="20"/>
              </w:rPr>
            </w:pPr>
            <w:r w:rsidRPr="00744EC6">
              <w:rPr>
                <w:sz w:val="20"/>
                <w:szCs w:val="20"/>
              </w:rPr>
              <w:t>Total cost of hydrogen supply chain.</w:t>
            </w:r>
          </w:p>
        </w:tc>
        <w:tc>
          <w:tcPr>
            <w:tcW w:w="1276" w:type="dxa"/>
            <w:vAlign w:val="center"/>
          </w:tcPr>
          <w:p w14:paraId="45F4366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6C1B4FF8" w14:textId="77777777" w:rsidTr="003B4CD4">
        <w:tc>
          <w:tcPr>
            <w:tcW w:w="0" w:type="auto"/>
            <w:vAlign w:val="center"/>
          </w:tcPr>
          <w:p w14:paraId="06401A3A"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TCC</m:t>
                </m:r>
              </m:oMath>
            </m:oMathPara>
          </w:p>
        </w:tc>
        <w:tc>
          <w:tcPr>
            <w:tcW w:w="6512" w:type="dxa"/>
            <w:vAlign w:val="center"/>
          </w:tcPr>
          <w:p w14:paraId="643ADDF6" w14:textId="77777777" w:rsidR="000D4A0E" w:rsidRPr="00744EC6" w:rsidRDefault="000D4A0E" w:rsidP="000D4A0E">
            <w:pPr>
              <w:pStyle w:val="Style1"/>
              <w:spacing w:before="0" w:after="60" w:line="240" w:lineRule="auto"/>
              <w:jc w:val="left"/>
              <w:rPr>
                <w:sz w:val="20"/>
                <w:szCs w:val="20"/>
              </w:rPr>
            </w:pPr>
            <w:r w:rsidRPr="00744EC6">
              <w:rPr>
                <w:sz w:val="20"/>
                <w:szCs w:val="20"/>
              </w:rPr>
              <w:t>Total transport capital cost.</w:t>
            </w:r>
          </w:p>
        </w:tc>
        <w:tc>
          <w:tcPr>
            <w:tcW w:w="1276" w:type="dxa"/>
            <w:vAlign w:val="center"/>
          </w:tcPr>
          <w:p w14:paraId="41621DBA"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51EF54F8" w14:textId="77777777" w:rsidTr="003B4CD4">
        <w:tc>
          <w:tcPr>
            <w:tcW w:w="0" w:type="auto"/>
            <w:vAlign w:val="center"/>
          </w:tcPr>
          <w:p w14:paraId="6ED7D06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TOC</m:t>
                </m:r>
              </m:oMath>
            </m:oMathPara>
          </w:p>
        </w:tc>
        <w:tc>
          <w:tcPr>
            <w:tcW w:w="6512" w:type="dxa"/>
            <w:vAlign w:val="center"/>
          </w:tcPr>
          <w:p w14:paraId="68631499" w14:textId="77777777" w:rsidR="000D4A0E" w:rsidRPr="00744EC6" w:rsidRDefault="000D4A0E" w:rsidP="000D4A0E">
            <w:pPr>
              <w:pStyle w:val="Style1"/>
              <w:spacing w:before="0" w:after="60" w:line="240" w:lineRule="auto"/>
              <w:jc w:val="left"/>
              <w:rPr>
                <w:sz w:val="20"/>
                <w:szCs w:val="20"/>
              </w:rPr>
            </w:pPr>
            <w:r w:rsidRPr="00744EC6">
              <w:rPr>
                <w:sz w:val="20"/>
                <w:szCs w:val="20"/>
              </w:rPr>
              <w:t>Total transportation operating costs.</w:t>
            </w:r>
          </w:p>
        </w:tc>
        <w:tc>
          <w:tcPr>
            <w:tcW w:w="1276" w:type="dxa"/>
            <w:vAlign w:val="center"/>
          </w:tcPr>
          <w:p w14:paraId="3C1A244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35E29CEE" w14:textId="77777777" w:rsidTr="003B4CD4">
        <w:tc>
          <w:tcPr>
            <w:tcW w:w="0" w:type="auto"/>
            <w:vAlign w:val="center"/>
          </w:tcPr>
          <w:p w14:paraId="659B945E"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TO</m:t>
                </m:r>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L</m:t>
                    </m:r>
                  </m:sup>
                </m:sSup>
              </m:oMath>
            </m:oMathPara>
          </w:p>
        </w:tc>
        <w:tc>
          <w:tcPr>
            <w:tcW w:w="6512" w:type="dxa"/>
            <w:vAlign w:val="center"/>
          </w:tcPr>
          <w:p w14:paraId="1C97D808" w14:textId="77777777" w:rsidR="000D4A0E" w:rsidRPr="00744EC6" w:rsidRDefault="000D4A0E" w:rsidP="000D4A0E">
            <w:pPr>
              <w:pStyle w:val="Style1"/>
              <w:spacing w:before="0" w:after="60" w:line="240" w:lineRule="auto"/>
              <w:jc w:val="left"/>
              <w:rPr>
                <w:sz w:val="20"/>
                <w:szCs w:val="20"/>
              </w:rPr>
            </w:pPr>
            <w:r w:rsidRPr="00744EC6">
              <w:rPr>
                <w:sz w:val="20"/>
                <w:szCs w:val="20"/>
              </w:rPr>
              <w:t>Local transportation operating cost</w:t>
            </w:r>
          </w:p>
        </w:tc>
        <w:tc>
          <w:tcPr>
            <w:tcW w:w="1276" w:type="dxa"/>
            <w:vAlign w:val="center"/>
          </w:tcPr>
          <w:p w14:paraId="08476461"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m:t>
                </m:r>
              </m:oMath>
            </m:oMathPara>
          </w:p>
        </w:tc>
      </w:tr>
      <w:tr w:rsidR="000D4A0E" w:rsidRPr="00744EC6" w14:paraId="194F3640" w14:textId="77777777" w:rsidTr="003B4CD4">
        <w:tc>
          <w:tcPr>
            <w:tcW w:w="0" w:type="auto"/>
            <w:vAlign w:val="center"/>
          </w:tcPr>
          <w:p w14:paraId="51AB1912"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TO</m:t>
                </m:r>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R</m:t>
                    </m:r>
                  </m:sup>
                </m:sSup>
              </m:oMath>
            </m:oMathPara>
          </w:p>
        </w:tc>
        <w:tc>
          <w:tcPr>
            <w:tcW w:w="6512" w:type="dxa"/>
            <w:vAlign w:val="center"/>
          </w:tcPr>
          <w:p w14:paraId="2BEDB3BD" w14:textId="77777777" w:rsidR="000D4A0E" w:rsidRPr="00744EC6" w:rsidRDefault="000D4A0E" w:rsidP="000D4A0E">
            <w:pPr>
              <w:pStyle w:val="Style1"/>
              <w:spacing w:before="0" w:after="60" w:line="240" w:lineRule="auto"/>
              <w:jc w:val="left"/>
              <w:rPr>
                <w:sz w:val="20"/>
                <w:szCs w:val="20"/>
              </w:rPr>
            </w:pPr>
            <w:r w:rsidRPr="00744EC6">
              <w:rPr>
                <w:sz w:val="20"/>
                <w:szCs w:val="20"/>
              </w:rPr>
              <w:t>Regional transportation operating cost</w:t>
            </w:r>
          </w:p>
        </w:tc>
        <w:tc>
          <w:tcPr>
            <w:tcW w:w="1276" w:type="dxa"/>
            <w:vAlign w:val="center"/>
          </w:tcPr>
          <w:p w14:paraId="59151839"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m:t>
                </m:r>
              </m:oMath>
            </m:oMathPara>
          </w:p>
        </w:tc>
      </w:tr>
      <w:tr w:rsidR="000D4A0E" w:rsidRPr="00744EC6" w14:paraId="7767808F" w14:textId="77777777" w:rsidTr="003B4CD4">
        <w:tc>
          <w:tcPr>
            <w:tcW w:w="0" w:type="auto"/>
            <w:vAlign w:val="center"/>
          </w:tcPr>
          <w:p w14:paraId="0EE0EC2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TranCOEmissio</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y</m:t>
                    </m:r>
                  </m:sub>
                </m:sSub>
              </m:oMath>
            </m:oMathPara>
          </w:p>
        </w:tc>
        <w:tc>
          <w:tcPr>
            <w:tcW w:w="6512" w:type="dxa"/>
            <w:vAlign w:val="center"/>
          </w:tcPr>
          <w:p w14:paraId="65D1334B"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Annual carbon emissions due to transportation in time period </w:t>
            </w:r>
            <m:oMath>
              <m:r>
                <w:rPr>
                  <w:rFonts w:ascii="Cambria Math" w:hAnsi="Cambria Math"/>
                  <w:sz w:val="20"/>
                  <w:szCs w:val="20"/>
                </w:rPr>
                <m:t>y</m:t>
              </m:r>
            </m:oMath>
          </w:p>
        </w:tc>
        <w:tc>
          <w:tcPr>
            <w:tcW w:w="1276" w:type="dxa"/>
            <w:vAlign w:val="center"/>
          </w:tcPr>
          <w:p w14:paraId="25A99FE3"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kgC</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O</m:t>
                    </m:r>
                  </m:e>
                  <m:sub>
                    <m:r>
                      <w:rPr>
                        <w:rFonts w:ascii="Cambria Math" w:eastAsia="Calibri" w:hAnsi="Cambria Math" w:cs="Times New Roman"/>
                        <w:sz w:val="20"/>
                        <w:szCs w:val="20"/>
                      </w:rPr>
                      <m:t>2</m:t>
                    </m:r>
                  </m:sub>
                </m:sSub>
                <m:r>
                  <w:rPr>
                    <w:rFonts w:ascii="Cambria Math" w:eastAsia="Calibri" w:hAnsi="Cambria Math" w:cs="Times New Roman"/>
                    <w:sz w:val="20"/>
                    <w:szCs w:val="20"/>
                  </w:rPr>
                  <m:t>/year</m:t>
                </m:r>
              </m:oMath>
            </m:oMathPara>
          </w:p>
        </w:tc>
      </w:tr>
      <w:tr w:rsidR="000D4A0E" w:rsidRPr="00744EC6" w14:paraId="0C4C2705" w14:textId="77777777" w:rsidTr="003B4CD4">
        <w:tc>
          <w:tcPr>
            <w:tcW w:w="0" w:type="auto"/>
            <w:vAlign w:val="center"/>
          </w:tcPr>
          <w:p w14:paraId="58BBD786"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TSV</m:t>
                </m:r>
              </m:oMath>
            </m:oMathPara>
          </w:p>
        </w:tc>
        <w:tc>
          <w:tcPr>
            <w:tcW w:w="6512" w:type="dxa"/>
            <w:vAlign w:val="center"/>
          </w:tcPr>
          <w:p w14:paraId="394806F9" w14:textId="77777777" w:rsidR="000D4A0E" w:rsidRPr="00744EC6" w:rsidRDefault="000D4A0E" w:rsidP="000D4A0E">
            <w:pPr>
              <w:pStyle w:val="Style1"/>
              <w:spacing w:before="0" w:after="60" w:line="240" w:lineRule="auto"/>
              <w:jc w:val="left"/>
              <w:rPr>
                <w:sz w:val="20"/>
                <w:szCs w:val="20"/>
              </w:rPr>
            </w:pPr>
            <w:r w:rsidRPr="00744EC6">
              <w:rPr>
                <w:sz w:val="20"/>
                <w:szCs w:val="20"/>
              </w:rPr>
              <w:t>Total transport salvage value</w:t>
            </w:r>
          </w:p>
        </w:tc>
        <w:tc>
          <w:tcPr>
            <w:tcW w:w="1276" w:type="dxa"/>
            <w:vAlign w:val="center"/>
          </w:tcPr>
          <w:p w14:paraId="1B40496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m:t>
                </m:r>
              </m:oMath>
            </m:oMathPara>
          </w:p>
        </w:tc>
      </w:tr>
      <w:tr w:rsidR="000D4A0E" w:rsidRPr="00744EC6" w14:paraId="60EF80FB" w14:textId="77777777" w:rsidTr="003B4CD4">
        <w:tc>
          <w:tcPr>
            <w:tcW w:w="0" w:type="auto"/>
            <w:vAlign w:val="center"/>
          </w:tcPr>
          <w:p w14:paraId="6081AC4D"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VPRCa</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p,z,g,y,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Sub>
              </m:oMath>
            </m:oMathPara>
          </w:p>
        </w:tc>
        <w:tc>
          <w:tcPr>
            <w:tcW w:w="6512" w:type="dxa"/>
            <w:vAlign w:val="center"/>
          </w:tcPr>
          <w:p w14:paraId="69BBFCBB"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capacity of production technology </w:t>
            </w:r>
            <m:oMath>
              <m:r>
                <w:rPr>
                  <w:rFonts w:ascii="Cambria Math" w:hAnsi="Cambria Math"/>
                  <w:sz w:val="20"/>
                  <w:szCs w:val="20"/>
                </w:rPr>
                <m:t>p</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installed in time period</w:t>
            </w:r>
            <m:oMath>
              <m:r>
                <w:rPr>
                  <w:rFonts w:ascii="Cambria Math" w:eastAsiaTheme="minorEastAsia" w:hAnsi="Cambria Math"/>
                  <w:sz w:val="20"/>
                  <w:szCs w:val="20"/>
                </w:rPr>
                <m:t xml:space="preserve"> y</m:t>
              </m:r>
            </m:oMath>
            <w:r w:rsidRPr="00744EC6">
              <w:rPr>
                <w:rFonts w:eastAsiaTheme="minorEastAsia"/>
                <w:sz w:val="20"/>
                <w:szCs w:val="20"/>
              </w:rPr>
              <w:t xml:space="preserve"> and running in time period</w:t>
            </w:r>
            <m:oMath>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oMath>
            <w:r w:rsidRPr="00744EC6">
              <w:rPr>
                <w:rFonts w:eastAsiaTheme="minorEastAsia"/>
                <w:sz w:val="20"/>
                <w:szCs w:val="20"/>
              </w:rPr>
              <w:t>.</w:t>
            </w:r>
            <w:r w:rsidRPr="00744EC6">
              <w:rPr>
                <w:sz w:val="20"/>
                <w:szCs w:val="20"/>
              </w:rPr>
              <w:t xml:space="preserve"> </w:t>
            </w:r>
          </w:p>
        </w:tc>
        <w:tc>
          <w:tcPr>
            <w:tcW w:w="1276" w:type="dxa"/>
            <w:vAlign w:val="center"/>
          </w:tcPr>
          <w:p w14:paraId="6BDB8E50"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44AAEF62" w14:textId="77777777" w:rsidTr="003B4CD4">
        <w:tc>
          <w:tcPr>
            <w:tcW w:w="0" w:type="auto"/>
            <w:vAlign w:val="center"/>
          </w:tcPr>
          <w:p w14:paraId="5F340901"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VPurCA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c,z,y,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C,Dirty</m:t>
                    </m:r>
                  </m:sup>
                </m:sSubSup>
              </m:oMath>
            </m:oMathPara>
          </w:p>
        </w:tc>
        <w:tc>
          <w:tcPr>
            <w:tcW w:w="6512" w:type="dxa"/>
            <w:vAlign w:val="center"/>
          </w:tcPr>
          <w:p w14:paraId="6A4A53D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centralised purification capacity, purifying dirty hydrogen to clean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operating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407E3458"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0A262843" w14:textId="77777777" w:rsidTr="003B4CD4">
        <w:tc>
          <w:tcPr>
            <w:tcW w:w="0" w:type="auto"/>
            <w:vAlign w:val="center"/>
          </w:tcPr>
          <w:p w14:paraId="6CAE4D27"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VPurCA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L,Blend</m:t>
                    </m:r>
                  </m:sup>
                </m:sSubSup>
              </m:oMath>
            </m:oMathPara>
          </w:p>
        </w:tc>
        <w:tc>
          <w:tcPr>
            <w:tcW w:w="6512" w:type="dxa"/>
            <w:vAlign w:val="center"/>
          </w:tcPr>
          <w:p w14:paraId="75D2C71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localised purification capacity at refuelling station, purifying blended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operating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322D2D0D" w14:textId="77777777" w:rsidR="000D4A0E" w:rsidRPr="00744EC6" w:rsidRDefault="000D4A0E" w:rsidP="000D4A0E">
            <w:pPr>
              <w:pStyle w:val="Style1"/>
              <w:spacing w:before="0" w:after="60" w:line="240" w:lineRule="auto"/>
              <w:jc w:val="center"/>
              <w:rPr>
                <w:rFonts w:ascii="Calibri" w:eastAsia="Calibri" w:hAnsi="Calibri" w:cs="Times New Roman"/>
                <w:sz w:val="20"/>
                <w:szCs w:val="20"/>
              </w:rPr>
            </w:pPr>
            <m:oMathPara>
              <m:oMath>
                <m:r>
                  <w:rPr>
                    <w:rFonts w:ascii="Cambria Math" w:hAnsi="Cambria Math"/>
                    <w:sz w:val="20"/>
                    <w:szCs w:val="20"/>
                  </w:rPr>
                  <m:t>kW</m:t>
                </m:r>
              </m:oMath>
            </m:oMathPara>
          </w:p>
        </w:tc>
      </w:tr>
      <w:tr w:rsidR="000D4A0E" w:rsidRPr="00744EC6" w14:paraId="2B37126B" w14:textId="77777777" w:rsidTr="003B4CD4">
        <w:tc>
          <w:tcPr>
            <w:tcW w:w="0" w:type="auto"/>
            <w:vAlign w:val="center"/>
          </w:tcPr>
          <w:p w14:paraId="74E35253"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VPurCA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L,Clean</m:t>
                    </m:r>
                  </m:sup>
                </m:sSubSup>
              </m:oMath>
            </m:oMathPara>
          </w:p>
        </w:tc>
        <w:tc>
          <w:tcPr>
            <w:tcW w:w="6512" w:type="dxa"/>
            <w:vAlign w:val="center"/>
          </w:tcPr>
          <w:p w14:paraId="4FDA3F00"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localised purification capacity at refuelling station, purifying clean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operating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02AFBEC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72B453EB" w14:textId="77777777" w:rsidTr="003B4CD4">
        <w:tc>
          <w:tcPr>
            <w:tcW w:w="0" w:type="auto"/>
            <w:vAlign w:val="center"/>
          </w:tcPr>
          <w:p w14:paraId="7ACA4DD7"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VPurCA</m:t>
                </m:r>
                <m:sSubSup>
                  <m:sSubSupPr>
                    <m:ctrlPr>
                      <w:rPr>
                        <w:rFonts w:ascii="Cambria Math" w:hAnsi="Cambria Math"/>
                        <w:i/>
                        <w:sz w:val="20"/>
                        <w:szCs w:val="20"/>
                      </w:rPr>
                    </m:ctrlPr>
                  </m:sSubSupPr>
                  <m:e>
                    <m:r>
                      <w:rPr>
                        <w:rFonts w:ascii="Cambria Math" w:hAnsi="Cambria Math"/>
                        <w:sz w:val="20"/>
                        <w:szCs w:val="20"/>
                      </w:rPr>
                      <m:t>P</m:t>
                    </m:r>
                  </m:e>
                  <m:sub>
                    <m:r>
                      <w:rPr>
                        <w:rFonts w:ascii="Cambria Math" w:eastAsiaTheme="minorEastAsia" w:hAnsi="Cambria Math"/>
                        <w:sz w:val="20"/>
                        <w:szCs w:val="20"/>
                      </w:rPr>
                      <m:t>c,</m:t>
                    </m:r>
                    <m:r>
                      <w:rPr>
                        <w:rFonts w:ascii="Cambria Math" w:hAnsi="Cambria Math"/>
                        <w:sz w:val="20"/>
                        <w:szCs w:val="20"/>
                      </w:rPr>
                      <m:t>z,y,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L,Dirty</m:t>
                    </m:r>
                  </m:sup>
                </m:sSubSup>
              </m:oMath>
            </m:oMathPara>
          </w:p>
        </w:tc>
        <w:tc>
          <w:tcPr>
            <w:tcW w:w="6512" w:type="dxa"/>
            <w:vAlign w:val="center"/>
          </w:tcPr>
          <w:p w14:paraId="3E192013"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localised purification capacity at refuelling station, purifying dirty hydrogen to pure via technology </w:t>
            </w:r>
            <m:oMath>
              <m:r>
                <w:rPr>
                  <w:rFonts w:ascii="Cambria Math" w:hAnsi="Cambria Math"/>
                  <w:sz w:val="20"/>
                  <w:szCs w:val="20"/>
                </w:rPr>
                <m:t>c</m:t>
              </m:r>
            </m:oMath>
            <w:r w:rsidRPr="00744EC6">
              <w:rPr>
                <w:rFonts w:eastAsiaTheme="minorEastAsia"/>
                <w:sz w:val="20"/>
                <w:szCs w:val="20"/>
              </w:rPr>
              <w:t xml:space="preserve">, in zone </w:t>
            </w:r>
            <m:oMath>
              <m:r>
                <w:rPr>
                  <w:rFonts w:ascii="Cambria Math" w:eastAsiaTheme="minorEastAsia"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and operating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64F05330"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686C123B" w14:textId="77777777" w:rsidTr="003B4CD4">
        <w:tc>
          <w:tcPr>
            <w:tcW w:w="0" w:type="auto"/>
            <w:vAlign w:val="center"/>
          </w:tcPr>
          <w:p w14:paraId="0B044567" w14:textId="77777777" w:rsidR="000D4A0E" w:rsidRPr="00744EC6" w:rsidRDefault="000D4A0E" w:rsidP="000D4A0E">
            <w:pPr>
              <w:pStyle w:val="Style1"/>
              <w:spacing w:before="0" w:after="60" w:line="240" w:lineRule="auto"/>
              <w:jc w:val="center"/>
              <w:rPr>
                <w:sz w:val="20"/>
                <w:szCs w:val="20"/>
              </w:rPr>
            </w:pPr>
            <m:oMathPara>
              <m:oMath>
                <m:r>
                  <w:rPr>
                    <w:rFonts w:ascii="Cambria Math" w:eastAsiaTheme="minorEastAsia" w:hAnsi="Cambria Math"/>
                    <w:sz w:val="20"/>
                    <w:szCs w:val="20"/>
                  </w:rPr>
                  <w:lastRenderedPageBreak/>
                  <m:t>VRFCa</m:t>
                </m:r>
                <m:sSub>
                  <m:sSubPr>
                    <m:ctrlPr>
                      <w:rPr>
                        <w:rFonts w:ascii="Cambria Math" w:eastAsiaTheme="minorEastAsia" w:hAnsi="Cambria Math"/>
                        <w:i/>
                        <w:sz w:val="20"/>
                        <w:szCs w:val="20"/>
                      </w:rPr>
                    </m:ctrlPr>
                  </m:sSubPr>
                  <m:e>
                    <m:r>
                      <w:rPr>
                        <w:rFonts w:ascii="Cambria Math" w:eastAsiaTheme="minorEastAsia" w:hAnsi="Cambria Math"/>
                        <w:sz w:val="20"/>
                        <w:szCs w:val="20"/>
                      </w:rPr>
                      <m:t>p</m:t>
                    </m:r>
                  </m:e>
                  <m:sub>
                    <m:r>
                      <w:rPr>
                        <w:rFonts w:ascii="Cambria Math" w:eastAsiaTheme="minorEastAsia" w:hAnsi="Cambria Math"/>
                        <w:sz w:val="20"/>
                        <w:szCs w:val="20"/>
                      </w:rPr>
                      <m:t>z,y,</m:t>
                    </m:r>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sub>
                </m:sSub>
              </m:oMath>
            </m:oMathPara>
          </w:p>
        </w:tc>
        <w:tc>
          <w:tcPr>
            <w:tcW w:w="6512" w:type="dxa"/>
            <w:vAlign w:val="center"/>
          </w:tcPr>
          <w:p w14:paraId="3DE72A9A"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refuelling station capacity in zone </w:t>
            </w:r>
            <m:oMath>
              <m:r>
                <w:rPr>
                  <w:rFonts w:ascii="Cambria Math" w:hAnsi="Cambria Math"/>
                  <w:sz w:val="20"/>
                  <w:szCs w:val="20"/>
                </w:rPr>
                <m:t>z</m:t>
              </m:r>
            </m:oMath>
            <w:r w:rsidRPr="00744EC6">
              <w:rPr>
                <w:rFonts w:eastAsiaTheme="minorEastAsia"/>
                <w:sz w:val="20"/>
                <w:szCs w:val="20"/>
              </w:rPr>
              <w:t xml:space="preserve">, installed in time period </w:t>
            </w:r>
            <m:oMath>
              <m:r>
                <w:rPr>
                  <w:rFonts w:ascii="Cambria Math" w:eastAsiaTheme="minorEastAsia" w:hAnsi="Cambria Math"/>
                  <w:sz w:val="20"/>
                  <w:szCs w:val="20"/>
                </w:rPr>
                <m:t>y</m:t>
              </m:r>
            </m:oMath>
            <w:r w:rsidRPr="00744EC6">
              <w:rPr>
                <w:rFonts w:eastAsiaTheme="minorEastAsia"/>
                <w:sz w:val="20"/>
                <w:szCs w:val="20"/>
              </w:rPr>
              <w:t xml:space="preserve">, operating in time period </w:t>
            </w:r>
            <m:oMath>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p>
        </w:tc>
        <w:tc>
          <w:tcPr>
            <w:tcW w:w="1276" w:type="dxa"/>
            <w:vAlign w:val="center"/>
          </w:tcPr>
          <w:p w14:paraId="685A39E6"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657D1674" w14:textId="77777777" w:rsidTr="003B4CD4">
        <w:tc>
          <w:tcPr>
            <w:tcW w:w="0" w:type="auto"/>
            <w:vAlign w:val="center"/>
          </w:tcPr>
          <w:p w14:paraId="15044DEF"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VTCa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l,z,g,y,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L</m:t>
                    </m:r>
                  </m:sup>
                </m:sSubSup>
              </m:oMath>
            </m:oMathPara>
          </w:p>
        </w:tc>
        <w:tc>
          <w:tcPr>
            <w:tcW w:w="6512" w:type="dxa"/>
            <w:vAlign w:val="center"/>
          </w:tcPr>
          <w:p w14:paraId="612E7DE6"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capacity of local distribution via technology </w:t>
            </w:r>
            <m:oMath>
              <m:r>
                <w:rPr>
                  <w:rFonts w:ascii="Cambria Math" w:hAnsi="Cambria Math"/>
                  <w:sz w:val="20"/>
                  <w:szCs w:val="20"/>
                </w:rPr>
                <m:t>l</m:t>
              </m:r>
            </m:oMath>
            <w:r w:rsidRPr="00744EC6">
              <w:rPr>
                <w:sz w:val="20"/>
                <w:szCs w:val="20"/>
              </w:rPr>
              <w:t xml:space="preserve">, in zone </w:t>
            </w:r>
            <m:oMath>
              <m:r>
                <w:rPr>
                  <w:rFonts w:ascii="Cambria Math" w:hAnsi="Cambria Math"/>
                  <w:sz w:val="20"/>
                  <w:szCs w:val="20"/>
                </w:rPr>
                <m:t>z</m:t>
              </m:r>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installed in time period</w:t>
            </w:r>
            <m:oMath>
              <m:r>
                <w:rPr>
                  <w:rFonts w:ascii="Cambria Math" w:eastAsiaTheme="minorEastAsia" w:hAnsi="Cambria Math"/>
                  <w:sz w:val="20"/>
                  <w:szCs w:val="20"/>
                </w:rPr>
                <m:t xml:space="preserve"> y</m:t>
              </m:r>
            </m:oMath>
            <w:r w:rsidRPr="00744EC6">
              <w:rPr>
                <w:rFonts w:eastAsiaTheme="minorEastAsia"/>
                <w:sz w:val="20"/>
                <w:szCs w:val="20"/>
              </w:rPr>
              <w:t xml:space="preserve"> and running in time period</w:t>
            </w: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vAlign w:val="center"/>
          </w:tcPr>
          <w:p w14:paraId="4FA0C39C"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744EC6" w14:paraId="3CD2D600" w14:textId="77777777" w:rsidTr="00E41B8C">
        <w:tc>
          <w:tcPr>
            <w:tcW w:w="0" w:type="auto"/>
            <w:tcBorders>
              <w:bottom w:val="single" w:sz="4" w:space="0" w:color="auto"/>
            </w:tcBorders>
            <w:vAlign w:val="center"/>
          </w:tcPr>
          <w:p w14:paraId="0AD357BB"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VTCa</m:t>
                </m:r>
                <m:sSubSup>
                  <m:sSubSupPr>
                    <m:ctrlPr>
                      <w:rPr>
                        <w:rFonts w:ascii="Cambria Math" w:hAnsi="Cambria Math"/>
                        <w:i/>
                        <w:sz w:val="20"/>
                        <w:szCs w:val="20"/>
                      </w:rPr>
                    </m:ctrlPr>
                  </m:sSubSupPr>
                  <m:e>
                    <m:r>
                      <w:rPr>
                        <w:rFonts w:ascii="Cambria Math" w:hAnsi="Cambria Math"/>
                        <w:sz w:val="20"/>
                        <w:szCs w:val="20"/>
                      </w:rPr>
                      <m:t>p</m:t>
                    </m:r>
                  </m:e>
                  <m:sub>
                    <m:r>
                      <w:rPr>
                        <w:rFonts w:ascii="Cambria Math" w:hAnsi="Cambria Math"/>
                        <w:sz w:val="20"/>
                        <w:szCs w:val="20"/>
                      </w:rPr>
                      <m:t>l,z,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,g,y,</m:t>
                    </m:r>
                    <m:sSup>
                      <m:sSupPr>
                        <m:ctrlPr>
                          <w:rPr>
                            <w:rFonts w:ascii="Cambria Math" w:hAnsi="Cambria Math"/>
                            <w:i/>
                            <w:sz w:val="20"/>
                            <w:szCs w:val="20"/>
                          </w:rPr>
                        </m:ctrlPr>
                      </m:sSupPr>
                      <m:e>
                        <m:r>
                          <w:rPr>
                            <w:rFonts w:ascii="Cambria Math" w:hAnsi="Cambria Math"/>
                            <w:sz w:val="20"/>
                            <w:szCs w:val="20"/>
                          </w:rPr>
                          <m:t>y</m:t>
                        </m:r>
                      </m:e>
                      <m:sup>
                        <m:r>
                          <w:rPr>
                            <w:rFonts w:ascii="Cambria Math" w:hAnsi="Cambria Math"/>
                            <w:sz w:val="20"/>
                            <w:szCs w:val="20"/>
                          </w:rPr>
                          <m:t>'</m:t>
                        </m:r>
                      </m:sup>
                    </m:sSup>
                  </m:sub>
                  <m:sup>
                    <m:r>
                      <w:rPr>
                        <w:rFonts w:ascii="Cambria Math" w:hAnsi="Cambria Math"/>
                        <w:sz w:val="20"/>
                        <w:szCs w:val="20"/>
                      </w:rPr>
                      <m:t>R</m:t>
                    </m:r>
                  </m:sup>
                </m:sSubSup>
              </m:oMath>
            </m:oMathPara>
          </w:p>
        </w:tc>
        <w:tc>
          <w:tcPr>
            <w:tcW w:w="6512" w:type="dxa"/>
            <w:tcBorders>
              <w:bottom w:val="single" w:sz="4" w:space="0" w:color="auto"/>
            </w:tcBorders>
            <w:vAlign w:val="center"/>
          </w:tcPr>
          <w:p w14:paraId="68D95083" w14:textId="77777777" w:rsidR="000D4A0E" w:rsidRPr="00744EC6" w:rsidRDefault="000D4A0E" w:rsidP="000D4A0E">
            <w:pPr>
              <w:pStyle w:val="Style1"/>
              <w:spacing w:before="0" w:after="60" w:line="240" w:lineRule="auto"/>
              <w:jc w:val="left"/>
              <w:rPr>
                <w:sz w:val="20"/>
                <w:szCs w:val="20"/>
              </w:rPr>
            </w:pPr>
            <w:r w:rsidRPr="00744EC6">
              <w:rPr>
                <w:sz w:val="20"/>
                <w:szCs w:val="20"/>
              </w:rPr>
              <w:t xml:space="preserve">Vintage capacity of transmission via technology </w:t>
            </w:r>
            <m:oMath>
              <m:r>
                <w:rPr>
                  <w:rFonts w:ascii="Cambria Math" w:hAnsi="Cambria Math"/>
                  <w:sz w:val="20"/>
                  <w:szCs w:val="20"/>
                </w:rPr>
                <m:t>l</m:t>
              </m:r>
            </m:oMath>
            <w:r w:rsidRPr="00744EC6">
              <w:rPr>
                <w:sz w:val="20"/>
                <w:szCs w:val="20"/>
              </w:rPr>
              <w:t xml:space="preserve">, from zone </w:t>
            </w:r>
            <m:oMath>
              <m:r>
                <w:rPr>
                  <w:rFonts w:ascii="Cambria Math" w:hAnsi="Cambria Math"/>
                  <w:sz w:val="20"/>
                  <w:szCs w:val="20"/>
                </w:rPr>
                <m:t>z</m:t>
              </m:r>
            </m:oMath>
            <w:r w:rsidRPr="00744EC6">
              <w:rPr>
                <w:rFonts w:eastAsiaTheme="minorEastAsia"/>
                <w:sz w:val="20"/>
                <w:szCs w:val="20"/>
              </w:rPr>
              <w:t xml:space="preserve"> to zone </w:t>
            </w:r>
            <m:oMath>
              <m:sSup>
                <m:sSupPr>
                  <m:ctrlPr>
                    <w:rPr>
                      <w:rFonts w:ascii="Cambria Math" w:eastAsiaTheme="minorEastAsia" w:hAnsi="Cambria Math"/>
                      <w:i/>
                      <w:sz w:val="20"/>
                      <w:szCs w:val="20"/>
                    </w:rPr>
                  </m:ctrlPr>
                </m:sSupPr>
                <m:e>
                  <m:r>
                    <w:rPr>
                      <w:rFonts w:ascii="Cambria Math" w:eastAsiaTheme="minorEastAsia" w:hAnsi="Cambria Math"/>
                      <w:sz w:val="20"/>
                      <w:szCs w:val="20"/>
                    </w:rPr>
                    <m:t>z</m:t>
                  </m:r>
                </m:e>
                <m:sup>
                  <m:r>
                    <w:rPr>
                      <w:rFonts w:ascii="Cambria Math" w:eastAsiaTheme="minorEastAsia" w:hAnsi="Cambria Math"/>
                      <w:sz w:val="20"/>
                      <w:szCs w:val="20"/>
                    </w:rPr>
                    <m:t>'</m:t>
                  </m:r>
                </m:sup>
              </m:sSup>
            </m:oMath>
            <w:r w:rsidRPr="00744EC6">
              <w:rPr>
                <w:rFonts w:eastAsiaTheme="minorEastAsia"/>
                <w:sz w:val="20"/>
                <w:szCs w:val="20"/>
              </w:rPr>
              <w:t xml:space="preserve">, of grade </w:t>
            </w:r>
            <m:oMath>
              <m:r>
                <w:rPr>
                  <w:rFonts w:ascii="Cambria Math" w:eastAsiaTheme="minorEastAsia" w:hAnsi="Cambria Math"/>
                  <w:sz w:val="20"/>
                  <w:szCs w:val="20"/>
                </w:rPr>
                <m:t>g</m:t>
              </m:r>
            </m:oMath>
            <w:r w:rsidRPr="00744EC6">
              <w:rPr>
                <w:rFonts w:eastAsiaTheme="minorEastAsia"/>
                <w:sz w:val="20"/>
                <w:szCs w:val="20"/>
              </w:rPr>
              <w:t xml:space="preserve"> installed in time period</w:t>
            </w:r>
            <m:oMath>
              <m:r>
                <w:rPr>
                  <w:rFonts w:ascii="Cambria Math" w:eastAsiaTheme="minorEastAsia" w:hAnsi="Cambria Math"/>
                  <w:sz w:val="20"/>
                  <w:szCs w:val="20"/>
                </w:rPr>
                <m:t xml:space="preserve"> y</m:t>
              </m:r>
            </m:oMath>
            <w:r w:rsidRPr="00744EC6">
              <w:rPr>
                <w:rFonts w:eastAsiaTheme="minorEastAsia"/>
                <w:sz w:val="20"/>
                <w:szCs w:val="20"/>
              </w:rPr>
              <w:t xml:space="preserve"> and operating in time period</w:t>
            </w: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m:t>
                  </m:r>
                </m:sup>
              </m:sSup>
            </m:oMath>
            <w:r w:rsidRPr="00744EC6">
              <w:rPr>
                <w:rFonts w:eastAsiaTheme="minorEastAsia"/>
                <w:sz w:val="20"/>
                <w:szCs w:val="20"/>
              </w:rPr>
              <w:t>.</w:t>
            </w:r>
          </w:p>
        </w:tc>
        <w:tc>
          <w:tcPr>
            <w:tcW w:w="1276" w:type="dxa"/>
            <w:tcBorders>
              <w:bottom w:val="single" w:sz="4" w:space="0" w:color="auto"/>
            </w:tcBorders>
            <w:vAlign w:val="center"/>
          </w:tcPr>
          <w:p w14:paraId="73F2988A" w14:textId="77777777" w:rsidR="000D4A0E" w:rsidRPr="00744EC6" w:rsidRDefault="000D4A0E" w:rsidP="000D4A0E">
            <w:pPr>
              <w:pStyle w:val="Style1"/>
              <w:spacing w:before="0" w:after="60" w:line="240" w:lineRule="auto"/>
              <w:jc w:val="center"/>
              <w:rPr>
                <w:sz w:val="20"/>
                <w:szCs w:val="20"/>
              </w:rPr>
            </w:pPr>
            <m:oMathPara>
              <m:oMath>
                <m:r>
                  <w:rPr>
                    <w:rFonts w:ascii="Cambria Math" w:hAnsi="Cambria Math"/>
                    <w:sz w:val="20"/>
                    <w:szCs w:val="20"/>
                  </w:rPr>
                  <m:t>kW</m:t>
                </m:r>
              </m:oMath>
            </m:oMathPara>
          </w:p>
        </w:tc>
      </w:tr>
      <w:tr w:rsidR="000D4A0E" w:rsidRPr="008E028E" w14:paraId="6BAF981A" w14:textId="77777777" w:rsidTr="00E41B8C">
        <w:tc>
          <w:tcPr>
            <w:tcW w:w="0" w:type="auto"/>
            <w:gridSpan w:val="3"/>
            <w:tcBorders>
              <w:top w:val="single" w:sz="4" w:space="0" w:color="auto"/>
              <w:bottom w:val="single" w:sz="4" w:space="0" w:color="auto"/>
            </w:tcBorders>
            <w:vAlign w:val="center"/>
          </w:tcPr>
          <w:p w14:paraId="7F689F2E" w14:textId="77777777" w:rsidR="000D4A0E" w:rsidRPr="008E028E" w:rsidRDefault="000D4A0E" w:rsidP="000D4A0E">
            <w:pPr>
              <w:pStyle w:val="Style1"/>
              <w:spacing w:before="0" w:after="60" w:line="240" w:lineRule="auto"/>
              <w:jc w:val="center"/>
              <w:rPr>
                <w:b/>
                <w:bCs/>
                <w:sz w:val="20"/>
                <w:szCs w:val="20"/>
              </w:rPr>
            </w:pPr>
            <w:r>
              <w:rPr>
                <w:b/>
                <w:bCs/>
                <w:sz w:val="20"/>
                <w:szCs w:val="20"/>
              </w:rPr>
              <w:t>Subsets</w:t>
            </w:r>
          </w:p>
        </w:tc>
      </w:tr>
      <w:tr w:rsidR="000D4A0E" w:rsidRPr="004A3D73" w14:paraId="114071C6" w14:textId="77777777" w:rsidTr="00E41B8C">
        <w:tc>
          <w:tcPr>
            <w:tcW w:w="0" w:type="auto"/>
            <w:tcBorders>
              <w:top w:val="single" w:sz="4" w:space="0" w:color="auto"/>
            </w:tcBorders>
            <w:vAlign w:val="center"/>
          </w:tcPr>
          <w:p w14:paraId="4A6B08F8" w14:textId="77777777" w:rsidR="000D4A0E" w:rsidRDefault="000D4A0E" w:rsidP="000D4A0E">
            <w:pPr>
              <w:pStyle w:val="Style1"/>
              <w:spacing w:before="0" w:after="60" w:line="240" w:lineRule="auto"/>
              <w:jc w:val="center"/>
              <w:rPr>
                <w:rFonts w:ascii="Calibri" w:eastAsia="Calibri" w:hAnsi="Calibri" w:cs="Calibri"/>
                <w:i/>
                <w:sz w:val="20"/>
                <w:szCs w:val="20"/>
              </w:rPr>
            </w:pPr>
            <m:oMathPara>
              <m:oMath>
                <m:r>
                  <w:rPr>
                    <w:rFonts w:ascii="Cambria Math" w:hAnsi="Cambria Math"/>
                    <w:sz w:val="20"/>
                    <w:szCs w:val="20"/>
                  </w:rPr>
                  <m:t>BL(l)</m:t>
                </m:r>
              </m:oMath>
            </m:oMathPara>
          </w:p>
        </w:tc>
        <w:tc>
          <w:tcPr>
            <w:tcW w:w="0" w:type="auto"/>
            <w:tcBorders>
              <w:top w:val="single" w:sz="4" w:space="0" w:color="auto"/>
            </w:tcBorders>
            <w:vAlign w:val="center"/>
          </w:tcPr>
          <w:p w14:paraId="0743DEC0" w14:textId="77777777" w:rsidR="000D4A0E" w:rsidRPr="004A3D73" w:rsidRDefault="000D4A0E" w:rsidP="000D4A0E">
            <w:pPr>
              <w:pStyle w:val="Style1"/>
              <w:spacing w:before="0" w:after="60" w:line="240" w:lineRule="auto"/>
              <w:jc w:val="left"/>
              <w:rPr>
                <w:sz w:val="20"/>
                <w:szCs w:val="20"/>
              </w:rPr>
            </w:pPr>
            <w:r w:rsidRPr="004A3D73">
              <w:rPr>
                <w:sz w:val="20"/>
                <w:szCs w:val="20"/>
              </w:rPr>
              <w:t>Transportation technologies</w:t>
            </w:r>
            <w:r>
              <w:rPr>
                <w:sz w:val="20"/>
                <w:szCs w:val="20"/>
              </w:rPr>
              <w:t xml:space="preserve"> </w:t>
            </w:r>
            <m:oMath>
              <m:r>
                <w:rPr>
                  <w:rFonts w:ascii="Cambria Math" w:hAnsi="Cambria Math"/>
                  <w:sz w:val="20"/>
                  <w:szCs w:val="20"/>
                </w:rPr>
                <m:t>l</m:t>
              </m:r>
            </m:oMath>
            <w:r w:rsidRPr="004A3D73">
              <w:rPr>
                <w:sz w:val="20"/>
                <w:szCs w:val="20"/>
              </w:rPr>
              <w:t xml:space="preserve"> that can transport </w:t>
            </w:r>
            <w:r>
              <w:rPr>
                <w:sz w:val="20"/>
                <w:szCs w:val="20"/>
              </w:rPr>
              <w:t>blended</w:t>
            </w:r>
            <w:r w:rsidRPr="004A3D73">
              <w:rPr>
                <w:sz w:val="20"/>
                <w:szCs w:val="20"/>
              </w:rPr>
              <w:t xml:space="preserve"> hydrogen</w:t>
            </w:r>
            <w:r w:rsidRPr="004A3D73">
              <w:rPr>
                <w:rFonts w:eastAsiaTheme="minorEastAsia"/>
                <w:sz w:val="20"/>
                <w:szCs w:val="20"/>
              </w:rPr>
              <w:t>.</w:t>
            </w:r>
          </w:p>
        </w:tc>
        <w:tc>
          <w:tcPr>
            <w:tcW w:w="0" w:type="auto"/>
            <w:tcBorders>
              <w:top w:val="single" w:sz="4" w:space="0" w:color="auto"/>
            </w:tcBorders>
            <w:vAlign w:val="center"/>
          </w:tcPr>
          <w:p w14:paraId="51C51842" w14:textId="77777777" w:rsidR="000D4A0E" w:rsidRPr="004A3D73" w:rsidRDefault="000D4A0E" w:rsidP="000D4A0E">
            <w:pPr>
              <w:pStyle w:val="Style1"/>
              <w:spacing w:before="0" w:after="60" w:line="240" w:lineRule="auto"/>
              <w:jc w:val="center"/>
              <w:rPr>
                <w:sz w:val="20"/>
                <w:szCs w:val="20"/>
              </w:rPr>
            </w:pPr>
            <w:r>
              <w:rPr>
                <w:sz w:val="20"/>
                <w:szCs w:val="20"/>
              </w:rPr>
              <w:t>-</w:t>
            </w:r>
          </w:p>
        </w:tc>
      </w:tr>
      <w:tr w:rsidR="000D4A0E" w:rsidRPr="004A3D73" w14:paraId="7A110745" w14:textId="77777777" w:rsidTr="003B4CD4">
        <w:tc>
          <w:tcPr>
            <w:tcW w:w="0" w:type="auto"/>
            <w:vAlign w:val="center"/>
          </w:tcPr>
          <w:p w14:paraId="70596B94" w14:textId="77777777" w:rsidR="000D4A0E" w:rsidRPr="004A3D73"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CL(l)</m:t>
                </m:r>
              </m:oMath>
            </m:oMathPara>
          </w:p>
        </w:tc>
        <w:tc>
          <w:tcPr>
            <w:tcW w:w="0" w:type="auto"/>
            <w:vAlign w:val="center"/>
          </w:tcPr>
          <w:p w14:paraId="318104E0" w14:textId="77777777" w:rsidR="000D4A0E" w:rsidRPr="004A3D73" w:rsidRDefault="000D4A0E" w:rsidP="000D4A0E">
            <w:pPr>
              <w:pStyle w:val="Style1"/>
              <w:spacing w:before="0" w:after="60" w:line="240" w:lineRule="auto"/>
              <w:jc w:val="left"/>
              <w:rPr>
                <w:sz w:val="20"/>
                <w:szCs w:val="20"/>
              </w:rPr>
            </w:pPr>
            <w:r w:rsidRPr="004A3D73">
              <w:rPr>
                <w:sz w:val="20"/>
                <w:szCs w:val="20"/>
              </w:rPr>
              <w:t>Transportation technologies</w:t>
            </w:r>
            <w:r>
              <w:rPr>
                <w:sz w:val="20"/>
                <w:szCs w:val="20"/>
              </w:rPr>
              <w:t xml:space="preserve"> </w:t>
            </w:r>
            <m:oMath>
              <m:r>
                <w:rPr>
                  <w:rFonts w:ascii="Cambria Math" w:hAnsi="Cambria Math"/>
                  <w:sz w:val="20"/>
                  <w:szCs w:val="20"/>
                </w:rPr>
                <m:t>l</m:t>
              </m:r>
            </m:oMath>
            <w:r w:rsidRPr="004A3D73">
              <w:rPr>
                <w:sz w:val="20"/>
                <w:szCs w:val="20"/>
              </w:rPr>
              <w:t xml:space="preserve"> that can transport clean hydrogen</w:t>
            </w:r>
            <w:r w:rsidRPr="004A3D73">
              <w:rPr>
                <w:rFonts w:eastAsiaTheme="minorEastAsia"/>
                <w:sz w:val="20"/>
                <w:szCs w:val="20"/>
              </w:rPr>
              <w:t>.</w:t>
            </w:r>
          </w:p>
        </w:tc>
        <w:tc>
          <w:tcPr>
            <w:tcW w:w="0" w:type="auto"/>
            <w:vAlign w:val="center"/>
          </w:tcPr>
          <w:p w14:paraId="3DA4E5CF" w14:textId="77777777" w:rsidR="000D4A0E" w:rsidRPr="004A3D73" w:rsidRDefault="000D4A0E" w:rsidP="000D4A0E">
            <w:pPr>
              <w:pStyle w:val="Style1"/>
              <w:spacing w:before="0" w:after="60" w:line="240" w:lineRule="auto"/>
              <w:jc w:val="center"/>
              <w:rPr>
                <w:sz w:val="20"/>
                <w:szCs w:val="20"/>
              </w:rPr>
            </w:pPr>
            <w:r>
              <w:rPr>
                <w:sz w:val="20"/>
                <w:szCs w:val="20"/>
              </w:rPr>
              <w:t>-</w:t>
            </w:r>
          </w:p>
        </w:tc>
      </w:tr>
      <w:tr w:rsidR="000D4A0E" w:rsidRPr="004A3D73" w14:paraId="02BD4874" w14:textId="77777777" w:rsidTr="00E41B8C">
        <w:tc>
          <w:tcPr>
            <w:tcW w:w="0" w:type="auto"/>
            <w:vAlign w:val="center"/>
          </w:tcPr>
          <w:p w14:paraId="7A50D06F" w14:textId="77777777" w:rsidR="000D4A0E" w:rsidRPr="004A3D73"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CP(p)</m:t>
                </m:r>
              </m:oMath>
            </m:oMathPara>
          </w:p>
        </w:tc>
        <w:tc>
          <w:tcPr>
            <w:tcW w:w="0" w:type="auto"/>
            <w:vAlign w:val="center"/>
          </w:tcPr>
          <w:p w14:paraId="09592199" w14:textId="77777777" w:rsidR="000D4A0E" w:rsidRPr="004A3D73" w:rsidRDefault="000D4A0E" w:rsidP="000D4A0E">
            <w:pPr>
              <w:pStyle w:val="Style1"/>
              <w:spacing w:before="0" w:after="60" w:line="240" w:lineRule="auto"/>
              <w:jc w:val="left"/>
              <w:rPr>
                <w:sz w:val="20"/>
                <w:szCs w:val="20"/>
              </w:rPr>
            </w:pPr>
            <w:r w:rsidRPr="004A3D73">
              <w:rPr>
                <w:sz w:val="20"/>
                <w:szCs w:val="20"/>
              </w:rPr>
              <w:t>Production technologies</w:t>
            </w:r>
            <w:r>
              <w:rPr>
                <w:sz w:val="20"/>
                <w:szCs w:val="20"/>
              </w:rPr>
              <w:t xml:space="preserve"> </w:t>
            </w:r>
            <m:oMath>
              <m:r>
                <w:rPr>
                  <w:rFonts w:ascii="Cambria Math" w:hAnsi="Cambria Math"/>
                  <w:sz w:val="20"/>
                  <w:szCs w:val="20"/>
                </w:rPr>
                <m:t>p</m:t>
              </m:r>
            </m:oMath>
            <w:r w:rsidRPr="004A3D73">
              <w:rPr>
                <w:sz w:val="20"/>
                <w:szCs w:val="20"/>
              </w:rPr>
              <w:t xml:space="preserve"> that can produce </w:t>
            </w:r>
            <w:r>
              <w:rPr>
                <w:sz w:val="20"/>
                <w:szCs w:val="20"/>
              </w:rPr>
              <w:t>clean</w:t>
            </w:r>
            <w:r w:rsidRPr="004A3D73">
              <w:rPr>
                <w:sz w:val="20"/>
                <w:szCs w:val="20"/>
              </w:rPr>
              <w:t xml:space="preserve"> hydrogen</w:t>
            </w:r>
            <w:r>
              <w:rPr>
                <w:sz w:val="20"/>
                <w:szCs w:val="20"/>
              </w:rPr>
              <w:t>.</w:t>
            </w:r>
          </w:p>
        </w:tc>
        <w:tc>
          <w:tcPr>
            <w:tcW w:w="0" w:type="auto"/>
            <w:vAlign w:val="center"/>
          </w:tcPr>
          <w:p w14:paraId="3B6A9405" w14:textId="77777777" w:rsidR="000D4A0E" w:rsidRPr="004A3D73" w:rsidRDefault="000D4A0E" w:rsidP="000D4A0E">
            <w:pPr>
              <w:pStyle w:val="Style1"/>
              <w:spacing w:before="0" w:after="60" w:line="240" w:lineRule="auto"/>
              <w:jc w:val="center"/>
              <w:rPr>
                <w:sz w:val="20"/>
                <w:szCs w:val="20"/>
              </w:rPr>
            </w:pPr>
            <w:r>
              <w:rPr>
                <w:sz w:val="20"/>
                <w:szCs w:val="20"/>
              </w:rPr>
              <w:t>-</w:t>
            </w:r>
          </w:p>
        </w:tc>
      </w:tr>
      <w:tr w:rsidR="000D4A0E" w:rsidRPr="004A3D73" w14:paraId="0640BFBB" w14:textId="77777777" w:rsidTr="003B4CD4">
        <w:tc>
          <w:tcPr>
            <w:tcW w:w="0" w:type="auto"/>
            <w:vAlign w:val="center"/>
          </w:tcPr>
          <w:p w14:paraId="32914C4E" w14:textId="77777777" w:rsidR="000D4A0E" w:rsidRPr="004A3D73"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DL(l)</m:t>
                </m:r>
              </m:oMath>
            </m:oMathPara>
          </w:p>
        </w:tc>
        <w:tc>
          <w:tcPr>
            <w:tcW w:w="0" w:type="auto"/>
            <w:vAlign w:val="center"/>
          </w:tcPr>
          <w:p w14:paraId="0B290EBA" w14:textId="77777777" w:rsidR="000D4A0E" w:rsidRPr="004A3D73" w:rsidRDefault="000D4A0E" w:rsidP="000D4A0E">
            <w:pPr>
              <w:pStyle w:val="Style1"/>
              <w:spacing w:before="0" w:after="60" w:line="240" w:lineRule="auto"/>
              <w:jc w:val="left"/>
              <w:rPr>
                <w:sz w:val="20"/>
                <w:szCs w:val="20"/>
              </w:rPr>
            </w:pPr>
            <w:r w:rsidRPr="004A3D73">
              <w:rPr>
                <w:sz w:val="20"/>
                <w:szCs w:val="20"/>
              </w:rPr>
              <w:t>Transportation technologies</w:t>
            </w:r>
            <w:r>
              <w:rPr>
                <w:sz w:val="20"/>
                <w:szCs w:val="20"/>
              </w:rPr>
              <w:t xml:space="preserve"> </w:t>
            </w:r>
            <m:oMath>
              <m:r>
                <w:rPr>
                  <w:rFonts w:ascii="Cambria Math" w:hAnsi="Cambria Math"/>
                  <w:sz w:val="20"/>
                  <w:szCs w:val="20"/>
                </w:rPr>
                <m:t>l</m:t>
              </m:r>
            </m:oMath>
            <w:r w:rsidRPr="004A3D73">
              <w:rPr>
                <w:sz w:val="20"/>
                <w:szCs w:val="20"/>
              </w:rPr>
              <w:t xml:space="preserve"> that can transport </w:t>
            </w:r>
            <w:r>
              <w:rPr>
                <w:sz w:val="20"/>
                <w:szCs w:val="20"/>
              </w:rPr>
              <w:t>dirty</w:t>
            </w:r>
            <w:r w:rsidRPr="004A3D73">
              <w:rPr>
                <w:sz w:val="20"/>
                <w:szCs w:val="20"/>
              </w:rPr>
              <w:t xml:space="preserve"> hydrogen</w:t>
            </w:r>
            <w:r w:rsidRPr="004A3D73">
              <w:rPr>
                <w:rFonts w:eastAsiaTheme="minorEastAsia"/>
                <w:sz w:val="20"/>
                <w:szCs w:val="20"/>
              </w:rPr>
              <w:t>.</w:t>
            </w:r>
          </w:p>
        </w:tc>
        <w:tc>
          <w:tcPr>
            <w:tcW w:w="0" w:type="auto"/>
            <w:vAlign w:val="center"/>
          </w:tcPr>
          <w:p w14:paraId="4126BD80" w14:textId="77777777" w:rsidR="000D4A0E" w:rsidRPr="004A3D73" w:rsidRDefault="000D4A0E" w:rsidP="000D4A0E">
            <w:pPr>
              <w:pStyle w:val="Style1"/>
              <w:spacing w:before="0" w:after="60" w:line="240" w:lineRule="auto"/>
              <w:jc w:val="center"/>
              <w:rPr>
                <w:sz w:val="20"/>
                <w:szCs w:val="20"/>
              </w:rPr>
            </w:pPr>
            <w:r>
              <w:rPr>
                <w:sz w:val="20"/>
                <w:szCs w:val="20"/>
              </w:rPr>
              <w:t>-</w:t>
            </w:r>
          </w:p>
        </w:tc>
      </w:tr>
      <w:tr w:rsidR="000D4A0E" w:rsidRPr="004A3D73" w14:paraId="39837E72" w14:textId="77777777" w:rsidTr="00E41B8C">
        <w:tc>
          <w:tcPr>
            <w:tcW w:w="0" w:type="auto"/>
            <w:tcBorders>
              <w:bottom w:val="single" w:sz="4" w:space="0" w:color="auto"/>
            </w:tcBorders>
            <w:vAlign w:val="center"/>
          </w:tcPr>
          <w:p w14:paraId="7D080F71" w14:textId="77777777" w:rsidR="000D4A0E" w:rsidRPr="004A3D73" w:rsidRDefault="000D4A0E" w:rsidP="000D4A0E">
            <w:pPr>
              <w:pStyle w:val="Style1"/>
              <w:spacing w:before="0" w:after="60" w:line="240" w:lineRule="auto"/>
              <w:jc w:val="center"/>
              <w:rPr>
                <w:rFonts w:eastAsia="Calibri" w:cs="Times New Roman"/>
                <w:sz w:val="20"/>
                <w:szCs w:val="20"/>
              </w:rPr>
            </w:pPr>
            <m:oMathPara>
              <m:oMath>
                <m:r>
                  <w:rPr>
                    <w:rFonts w:ascii="Cambria Math" w:hAnsi="Cambria Math"/>
                    <w:sz w:val="20"/>
                    <w:szCs w:val="20"/>
                  </w:rPr>
                  <m:t>DP(p)</m:t>
                </m:r>
              </m:oMath>
            </m:oMathPara>
          </w:p>
        </w:tc>
        <w:tc>
          <w:tcPr>
            <w:tcW w:w="0" w:type="auto"/>
            <w:tcBorders>
              <w:bottom w:val="single" w:sz="4" w:space="0" w:color="auto"/>
            </w:tcBorders>
            <w:vAlign w:val="center"/>
          </w:tcPr>
          <w:p w14:paraId="39457031" w14:textId="77777777" w:rsidR="000D4A0E" w:rsidRPr="004A3D73" w:rsidRDefault="000D4A0E" w:rsidP="000D4A0E">
            <w:pPr>
              <w:pStyle w:val="Style1"/>
              <w:spacing w:before="0" w:after="60" w:line="240" w:lineRule="auto"/>
              <w:jc w:val="left"/>
              <w:rPr>
                <w:sz w:val="20"/>
                <w:szCs w:val="20"/>
              </w:rPr>
            </w:pPr>
            <w:r w:rsidRPr="004A3D73">
              <w:rPr>
                <w:sz w:val="20"/>
                <w:szCs w:val="20"/>
              </w:rPr>
              <w:t>Production technologies</w:t>
            </w:r>
            <w:r>
              <w:rPr>
                <w:sz w:val="20"/>
                <w:szCs w:val="20"/>
              </w:rPr>
              <w:t xml:space="preserve"> </w:t>
            </w:r>
            <m:oMath>
              <m:r>
                <w:rPr>
                  <w:rFonts w:ascii="Cambria Math" w:hAnsi="Cambria Math"/>
                  <w:sz w:val="20"/>
                  <w:szCs w:val="20"/>
                </w:rPr>
                <m:t>p</m:t>
              </m:r>
            </m:oMath>
            <w:r w:rsidRPr="004A3D73">
              <w:rPr>
                <w:sz w:val="20"/>
                <w:szCs w:val="20"/>
              </w:rPr>
              <w:t xml:space="preserve"> that can produce dirty hydrogen</w:t>
            </w:r>
            <w:r>
              <w:rPr>
                <w:sz w:val="20"/>
                <w:szCs w:val="20"/>
              </w:rPr>
              <w:t>.</w:t>
            </w:r>
          </w:p>
        </w:tc>
        <w:tc>
          <w:tcPr>
            <w:tcW w:w="0" w:type="auto"/>
            <w:tcBorders>
              <w:bottom w:val="single" w:sz="4" w:space="0" w:color="auto"/>
            </w:tcBorders>
            <w:vAlign w:val="center"/>
          </w:tcPr>
          <w:p w14:paraId="37EDD14E" w14:textId="77777777" w:rsidR="000D4A0E" w:rsidRPr="004A3D73" w:rsidRDefault="000D4A0E" w:rsidP="000D4A0E">
            <w:pPr>
              <w:pStyle w:val="Style1"/>
              <w:spacing w:before="0" w:after="60" w:line="240" w:lineRule="auto"/>
              <w:jc w:val="center"/>
              <w:rPr>
                <w:sz w:val="20"/>
                <w:szCs w:val="20"/>
              </w:rPr>
            </w:pPr>
            <w:r>
              <w:rPr>
                <w:sz w:val="20"/>
                <w:szCs w:val="20"/>
              </w:rPr>
              <w:t>-</w:t>
            </w:r>
          </w:p>
        </w:tc>
      </w:tr>
    </w:tbl>
    <w:p w14:paraId="2C3EA902" w14:textId="63E499C2" w:rsidR="00270263" w:rsidRPr="0013489D" w:rsidRDefault="0013489D" w:rsidP="004959A9">
      <w:pPr>
        <w:pStyle w:val="Heading7"/>
      </w:pPr>
      <w:bookmarkStart w:id="201" w:name="_Ref55564654"/>
      <w:r>
        <w:t xml:space="preserve">Model </w:t>
      </w:r>
      <w:r w:rsidRPr="004959A9">
        <w:t>formulation</w:t>
      </w:r>
      <w:bookmarkEnd w:id="201"/>
    </w:p>
    <w:p w14:paraId="2A4A0894" w14:textId="103C9C4A" w:rsidR="0013489D" w:rsidRPr="0013489D" w:rsidRDefault="0013489D" w:rsidP="004959A9">
      <w:pPr>
        <w:pStyle w:val="Heading8"/>
      </w:pPr>
      <w:r w:rsidRPr="0013489D">
        <w:t xml:space="preserve">Objective </w:t>
      </w:r>
      <w:r w:rsidRPr="004959A9">
        <w:t>function</w:t>
      </w:r>
    </w:p>
    <w:p w14:paraId="3825ADC8" w14:textId="7C822F57" w:rsidR="00DF20CA" w:rsidRPr="00B12896" w:rsidRDefault="00DF20CA" w:rsidP="00DF20CA">
      <w:r>
        <w:t xml:space="preserve">The objective function, shown in Equation </w:t>
      </w:r>
      <w:r w:rsidR="00E41B8C">
        <w:t>(B.1)</w:t>
      </w:r>
      <w:r>
        <w:t>, is to minimise the overall total costs of the hydrogen supply chain, which is made up of production facilities operating and capital costs (</w:t>
      </w:r>
      <m:oMath>
        <m:r>
          <w:rPr>
            <w:rFonts w:ascii="Cambria Math" w:hAnsi="Cambria Math"/>
          </w:rPr>
          <m:t>POC</m:t>
        </m:r>
      </m:oMath>
      <w:r>
        <w:rPr>
          <w:rFonts w:eastAsiaTheme="minorEastAsia"/>
        </w:rPr>
        <w:t xml:space="preserve"> and </w:t>
      </w:r>
      <m:oMath>
        <m:r>
          <w:rPr>
            <w:rFonts w:ascii="Cambria Math" w:hAnsi="Cambria Math"/>
          </w:rPr>
          <m:t>PCC</m:t>
        </m:r>
      </m:oMath>
      <w:r>
        <w:rPr>
          <w:rFonts w:eastAsiaTheme="minorEastAsia"/>
        </w:rPr>
        <w:t>); transportation operating costs and capital costs (</w:t>
      </w:r>
      <m:oMath>
        <m:r>
          <w:rPr>
            <w:rFonts w:ascii="Cambria Math" w:hAnsi="Cambria Math"/>
          </w:rPr>
          <m:t>TOC</m:t>
        </m:r>
      </m:oMath>
      <w:r>
        <w:rPr>
          <w:rFonts w:eastAsiaTheme="minorEastAsia"/>
        </w:rPr>
        <w:t xml:space="preserve"> and </w:t>
      </w:r>
      <m:oMath>
        <m:r>
          <w:rPr>
            <w:rFonts w:ascii="Cambria Math" w:hAnsi="Cambria Math"/>
          </w:rPr>
          <m:t>TCC</m:t>
        </m:r>
      </m:oMath>
      <w:r>
        <w:rPr>
          <w:rFonts w:eastAsiaTheme="minorEastAsia"/>
        </w:rPr>
        <w:t>); purification facilities operating costs and capital costs (</w:t>
      </w:r>
      <m:oMath>
        <m:r>
          <w:rPr>
            <w:rFonts w:ascii="Cambria Math" w:hAnsi="Cambria Math"/>
          </w:rPr>
          <m:t>PurOC</m:t>
        </m:r>
      </m:oMath>
      <w:r>
        <w:rPr>
          <w:rFonts w:eastAsiaTheme="minorEastAsia"/>
        </w:rPr>
        <w:t xml:space="preserve"> and </w:t>
      </w:r>
      <m:oMath>
        <m:r>
          <w:rPr>
            <w:rFonts w:ascii="Cambria Math" w:hAnsi="Cambria Math"/>
          </w:rPr>
          <m:t>PurCC</m:t>
        </m:r>
      </m:oMath>
      <w:r>
        <w:rPr>
          <w:rFonts w:eastAsiaTheme="minorEastAsia"/>
        </w:rPr>
        <w:t>); refuelling station facilities operating and capital costs (</w:t>
      </w:r>
      <m:oMath>
        <m:r>
          <w:rPr>
            <w:rFonts w:ascii="Cambria Math" w:hAnsi="Cambria Math"/>
          </w:rPr>
          <m:t>RFOC</m:t>
        </m:r>
      </m:oMath>
      <w:r>
        <w:rPr>
          <w:rFonts w:eastAsiaTheme="minorEastAsia"/>
        </w:rPr>
        <w:t xml:space="preserve"> and </w:t>
      </w:r>
      <m:oMath>
        <m:r>
          <w:rPr>
            <w:rFonts w:ascii="Cambria Math" w:hAnsi="Cambria Math"/>
          </w:rPr>
          <m:t>RFCC</m:t>
        </m:r>
      </m:oMath>
      <w:r>
        <w:rPr>
          <w:rFonts w:eastAsiaTheme="minorEastAsia"/>
        </w:rPr>
        <w:t>); and the cost associated with carbon emissions (</w:t>
      </w:r>
      <m:oMath>
        <m:r>
          <w:rPr>
            <w:rFonts w:ascii="Cambria Math" w:hAnsi="Cambria Math"/>
          </w:rPr>
          <m:t>CARBON</m:t>
        </m:r>
      </m:oMath>
      <w:r>
        <w:rPr>
          <w:rFonts w:eastAsiaTheme="minorEastAsia"/>
        </w:rPr>
        <w:t>). The total cost Equation also takes away the salvage cost of the production facilities, transportation facilities, purification facilities and refuelling station facilities (</w:t>
      </w:r>
      <m:oMath>
        <m:r>
          <w:rPr>
            <w:rFonts w:ascii="Cambria Math" w:hAnsi="Cambria Math"/>
          </w:rPr>
          <m:t>PSV</m:t>
        </m:r>
      </m:oMath>
      <w:r>
        <w:rPr>
          <w:rFonts w:eastAsiaTheme="minorEastAsia"/>
        </w:rPr>
        <w:t xml:space="preserve">, </w:t>
      </w:r>
      <m:oMath>
        <m:r>
          <w:rPr>
            <w:rFonts w:ascii="Cambria Math" w:hAnsi="Cambria Math"/>
          </w:rPr>
          <m:t>TSV</m:t>
        </m:r>
      </m:oMath>
      <w:r>
        <w:rPr>
          <w:rFonts w:eastAsiaTheme="minorEastAsia"/>
        </w:rPr>
        <w:t xml:space="preserve">, </w:t>
      </w:r>
      <m:oMath>
        <m:r>
          <w:rPr>
            <w:rFonts w:ascii="Cambria Math" w:hAnsi="Cambria Math"/>
          </w:rPr>
          <m:t>PurSV</m:t>
        </m:r>
      </m:oMath>
      <w:r>
        <w:rPr>
          <w:rFonts w:eastAsiaTheme="minorEastAsia"/>
        </w:rPr>
        <w:t xml:space="preserve"> and </w:t>
      </w:r>
      <m:oMath>
        <m:r>
          <w:rPr>
            <w:rFonts w:ascii="Cambria Math" w:hAnsi="Cambria Math"/>
          </w:rPr>
          <m:t>RFSV</m:t>
        </m:r>
      </m:oMath>
      <w:r>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
        <w:gridCol w:w="8031"/>
        <w:gridCol w:w="637"/>
      </w:tblGrid>
      <w:tr w:rsidR="00DF20CA" w14:paraId="36F4A227" w14:textId="77777777" w:rsidTr="00DF20CA">
        <w:tc>
          <w:tcPr>
            <w:tcW w:w="250" w:type="pct"/>
            <w:shd w:val="clear" w:color="auto" w:fill="auto"/>
          </w:tcPr>
          <w:p w14:paraId="1888AD5F" w14:textId="77777777" w:rsidR="00DF20CA" w:rsidRDefault="00DF20CA" w:rsidP="00DF20CA"/>
        </w:tc>
        <w:tc>
          <w:tcPr>
            <w:tcW w:w="4500" w:type="pct"/>
            <w:shd w:val="clear" w:color="auto" w:fill="auto"/>
            <w:vAlign w:val="center"/>
          </w:tcPr>
          <w:p w14:paraId="4E6FD593" w14:textId="77777777" w:rsidR="00DF20CA" w:rsidRDefault="00903D45" w:rsidP="00DF20CA">
            <w:pPr>
              <w:jc w:val="center"/>
            </w:pPr>
            <m:oMathPara>
              <m:oMath>
                <m:func>
                  <m:funcPr>
                    <m:ctrlPr>
                      <w:rPr>
                        <w:rFonts w:ascii="Cambria Math" w:hAnsi="Cambria Math"/>
                        <w:i/>
                      </w:rPr>
                    </m:ctrlPr>
                  </m:funcPr>
                  <m:fName>
                    <m:r>
                      <m:rPr>
                        <m:sty m:val="p"/>
                      </m:rPr>
                      <w:rPr>
                        <w:rFonts w:ascii="Cambria Math" w:hAnsi="Cambria Math"/>
                      </w:rPr>
                      <m:t>min</m:t>
                    </m:r>
                  </m:fName>
                  <m:e>
                    <m:r>
                      <w:rPr>
                        <w:rFonts w:ascii="Cambria Math" w:hAnsi="Cambria Math"/>
                      </w:rPr>
                      <m:t>TC</m:t>
                    </m:r>
                  </m:e>
                </m:func>
                <m:r>
                  <w:rPr>
                    <w:rFonts w:ascii="Cambria Math" w:hAnsi="Cambria Math"/>
                  </w:rPr>
                  <m:t>=</m:t>
                </m:r>
                <m:func>
                  <m:funcPr>
                    <m:ctrlPr>
                      <w:rPr>
                        <w:rFonts w:ascii="Cambria Math" w:hAnsi="Cambria Math"/>
                        <w:i/>
                      </w:rPr>
                    </m:ctrlPr>
                  </m:funcPr>
                  <m:fName>
                    <m:r>
                      <m:rPr>
                        <m:sty m:val="p"/>
                      </m:rPr>
                      <w:rPr>
                        <w:rFonts w:ascii="Cambria Math" w:hAnsi="Cambria Math"/>
                      </w:rPr>
                      <m:t>min</m:t>
                    </m:r>
                  </m:fName>
                  <m:e>
                    <m:d>
                      <m:dPr>
                        <m:begChr m:val="["/>
                        <m:endChr m:val="]"/>
                        <m:ctrlPr>
                          <w:rPr>
                            <w:rFonts w:ascii="Cambria Math" w:hAnsi="Cambria Math"/>
                            <w:i/>
                          </w:rPr>
                        </m:ctrlPr>
                      </m:dPr>
                      <m:e>
                        <m:r>
                          <w:rPr>
                            <w:rFonts w:ascii="Cambria Math" w:hAnsi="Cambria Math"/>
                          </w:rPr>
                          <m:t>POC+PCC+</m:t>
                        </m:r>
                        <w:bookmarkStart w:id="202" w:name="_Hlk43454449"/>
                        <m:r>
                          <w:rPr>
                            <w:rFonts w:ascii="Cambria Math" w:hAnsi="Cambria Math"/>
                          </w:rPr>
                          <m:t>TOC</m:t>
                        </m:r>
                        <w:bookmarkEnd w:id="202"/>
                        <m:r>
                          <w:rPr>
                            <w:rFonts w:ascii="Cambria Math" w:hAnsi="Cambria Math"/>
                          </w:rPr>
                          <m:t>+TCC+PurOC+PurCC+RFOC+RFCC-PSV-TSV-PurSV-RFSV+CARBON</m:t>
                        </m:r>
                      </m:e>
                    </m:d>
                  </m:e>
                </m:func>
              </m:oMath>
            </m:oMathPara>
          </w:p>
        </w:tc>
        <w:tc>
          <w:tcPr>
            <w:tcW w:w="250" w:type="pct"/>
            <w:shd w:val="clear" w:color="auto" w:fill="auto"/>
            <w:vAlign w:val="center"/>
          </w:tcPr>
          <w:p w14:paraId="33614DDB" w14:textId="0FE43382" w:rsidR="00DF20CA" w:rsidRPr="00BF2BA0" w:rsidRDefault="00DF20CA" w:rsidP="00DF20CA">
            <w:pPr>
              <w:jc w:val="center"/>
            </w:pPr>
            <w:bookmarkStart w:id="203" w:name="_Ref48676157"/>
            <w:r w:rsidRPr="00BF2BA0">
              <w:t>(</w:t>
            </w:r>
            <w:r w:rsidR="001C1DD0">
              <w:t>B.1</w:t>
            </w:r>
            <w:r w:rsidRPr="00BF2BA0">
              <w:t>)</w:t>
            </w:r>
            <w:bookmarkEnd w:id="203"/>
          </w:p>
        </w:tc>
      </w:tr>
    </w:tbl>
    <w:bookmarkEnd w:id="18"/>
    <w:p w14:paraId="005533AA" w14:textId="0723D652" w:rsidR="0041538E" w:rsidRPr="003B7396" w:rsidRDefault="006F7A1C" w:rsidP="004959A9">
      <w:pPr>
        <w:pStyle w:val="Heading8"/>
      </w:pPr>
      <w:r>
        <w:t>Material balances</w:t>
      </w:r>
    </w:p>
    <w:p w14:paraId="5FABC371" w14:textId="611088CE" w:rsidR="0041538E" w:rsidRDefault="006F7A1C" w:rsidP="0041538E">
      <w:pPr>
        <w:rPr>
          <w:rFonts w:eastAsiaTheme="minorEastAsia"/>
        </w:rPr>
      </w:pPr>
      <w:r>
        <w:t xml:space="preserve">Material </w:t>
      </w:r>
      <w:r w:rsidR="0041538E">
        <w:t xml:space="preserve">balance in a zone </w:t>
      </w:r>
      <m:oMath>
        <m:r>
          <w:rPr>
            <w:rFonts w:ascii="Cambria Math" w:hAnsi="Cambria Math"/>
          </w:rPr>
          <m:t>z</m:t>
        </m:r>
      </m:oMath>
      <w:r>
        <w:rPr>
          <w:rFonts w:eastAsiaTheme="minorEastAsia"/>
        </w:rPr>
        <w:t>:</w:t>
      </w:r>
      <w:r w:rsidR="0041538E">
        <w:rPr>
          <w:rFonts w:eastAsiaTheme="minorEastAsia"/>
        </w:rPr>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00"/>
        <w:gridCol w:w="1204"/>
      </w:tblGrid>
      <w:tr w:rsidR="0041538E" w14:paraId="26C9157E" w14:textId="77777777" w:rsidTr="006F7A1C">
        <w:tc>
          <w:tcPr>
            <w:tcW w:w="123" w:type="pct"/>
            <w:shd w:val="clear" w:color="auto" w:fill="auto"/>
          </w:tcPr>
          <w:p w14:paraId="4E4F622C" w14:textId="77777777" w:rsidR="0041538E" w:rsidRDefault="0041538E" w:rsidP="0041538E"/>
        </w:tc>
        <w:tc>
          <w:tcPr>
            <w:tcW w:w="4210" w:type="pct"/>
            <w:shd w:val="clear" w:color="auto" w:fill="auto"/>
            <w:vAlign w:val="center"/>
          </w:tcPr>
          <w:p w14:paraId="5676211A" w14:textId="77777777" w:rsidR="0041538E" w:rsidRDefault="00903D45" w:rsidP="0041538E">
            <w:pPr>
              <w:jc w:val="center"/>
            </w:pPr>
            <m:oMathPara>
              <m:oMath>
                <m:nary>
                  <m:naryPr>
                    <m:chr m:val="∑"/>
                    <m:limLoc m:val="undOvr"/>
                    <m:supHide m:val="1"/>
                    <m:ctrlPr>
                      <w:rPr>
                        <w:rFonts w:ascii="Cambria Math" w:hAnsi="Cambria Math"/>
                        <w:i/>
                      </w:rPr>
                    </m:ctrlPr>
                  </m:naryPr>
                  <m:sub>
                    <m:r>
                      <w:rPr>
                        <w:rFonts w:ascii="Cambria Math" w:hAnsi="Cambria Math"/>
                      </w:rPr>
                      <m:t>p,g</m:t>
                    </m:r>
                  </m:sub>
                  <m:sup/>
                  <m:e>
                    <m:sSub>
                      <m:sSubPr>
                        <m:ctrlPr>
                          <w:rPr>
                            <w:rFonts w:ascii="Cambria Math" w:hAnsi="Cambria Math"/>
                            <w:i/>
                          </w:rPr>
                        </m:ctrlPr>
                      </m:sSubPr>
                      <m:e>
                        <m:r>
                          <w:rPr>
                            <w:rFonts w:ascii="Cambria Math" w:hAnsi="Cambria Math"/>
                          </w:rPr>
                          <m:t>PR</m:t>
                        </m:r>
                      </m:e>
                      <m:sub>
                        <m:r>
                          <w:rPr>
                            <w:rFonts w:ascii="Cambria Math" w:hAnsi="Cambria Math"/>
                          </w:rPr>
                          <m:t>p,z,g,y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ub>
                  <m:sup/>
                  <m:e>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l,g</m:t>
                    </m:r>
                  </m:sub>
                  <m:sup/>
                  <m:e>
                    <m:r>
                      <w:rPr>
                        <w:rFonts w:ascii="Cambria Math" w:hAnsi="Cambria Math"/>
                      </w:rPr>
                      <m:t>QLO</m:t>
                    </m:r>
                    <m:sSub>
                      <m:sSubPr>
                        <m:ctrlPr>
                          <w:rPr>
                            <w:rFonts w:ascii="Cambria Math" w:hAnsi="Cambria Math"/>
                          </w:rPr>
                        </m:ctrlPr>
                      </m:sSubPr>
                      <m:e>
                        <m:r>
                          <w:rPr>
                            <w:rFonts w:ascii="Cambria Math" w:hAnsi="Cambria Math"/>
                          </w:rPr>
                          <m:t>C</m:t>
                        </m:r>
                      </m:e>
                      <m:sub>
                        <m:r>
                          <w:rPr>
                            <w:rFonts w:ascii="Cambria Math" w:hAnsi="Cambria Math"/>
                          </w:rPr>
                          <m:t>l,z,g,y</m:t>
                        </m:r>
                      </m:sub>
                    </m:sSub>
                  </m:e>
                </m:nary>
                <m:r>
                  <w:rPr>
                    <w:rFonts w:ascii="Cambria Math" w:eastAsiaTheme="minorEastAsia" w:hAnsi="Cambria Math"/>
                  </w:rPr>
                  <m:t>=0      ∀z,y</m:t>
                </m:r>
              </m:oMath>
            </m:oMathPara>
          </w:p>
        </w:tc>
        <w:tc>
          <w:tcPr>
            <w:tcW w:w="667" w:type="pct"/>
            <w:shd w:val="clear" w:color="auto" w:fill="auto"/>
            <w:vAlign w:val="center"/>
          </w:tcPr>
          <w:p w14:paraId="0CE0CA99" w14:textId="76744FC2" w:rsidR="0041538E" w:rsidRPr="00BF2BA0" w:rsidRDefault="0041538E" w:rsidP="0041538E">
            <w:pPr>
              <w:jc w:val="center"/>
            </w:pPr>
            <w:bookmarkStart w:id="204" w:name="_Ref43200983"/>
            <w:r w:rsidRPr="00BF2BA0">
              <w:t>(</w:t>
            </w:r>
            <w:r w:rsidR="001C1DD0">
              <w:t>B.2</w:t>
            </w:r>
            <w:r w:rsidRPr="00BF2BA0">
              <w:t>)</w:t>
            </w:r>
            <w:bookmarkEnd w:id="204"/>
          </w:p>
        </w:tc>
      </w:tr>
    </w:tbl>
    <w:p w14:paraId="0B4A484F" w14:textId="51874A04" w:rsidR="0041538E" w:rsidRDefault="006F7A1C" w:rsidP="0041538E">
      <w:r>
        <w:t xml:space="preserve">No </w:t>
      </w:r>
      <w:r w:rsidR="0041538E">
        <w:t>regional transportation</w:t>
      </w:r>
      <w:r>
        <w:t xml:space="preserve"> of a zone to </w:t>
      </w:r>
      <w:r w:rsidR="0041538E">
        <w:t>itself (</w:t>
      </w:r>
      <m:oMath>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oMath>
      <w:r w:rsidR="0041538E">
        <w:rPr>
          <w:rFonts w:eastAsiaTheme="minorEastAsia"/>
        </w:rPr>
        <w:t>)</w:t>
      </w:r>
      <w:r>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
        <w:gridCol w:w="8031"/>
        <w:gridCol w:w="637"/>
      </w:tblGrid>
      <w:tr w:rsidR="0041538E" w14:paraId="592918E0" w14:textId="77777777" w:rsidTr="0041538E">
        <w:tc>
          <w:tcPr>
            <w:tcW w:w="250" w:type="pct"/>
            <w:shd w:val="clear" w:color="auto" w:fill="auto"/>
          </w:tcPr>
          <w:p w14:paraId="3BC4C7C1" w14:textId="77777777" w:rsidR="0041538E" w:rsidRDefault="0041538E" w:rsidP="0041538E"/>
        </w:tc>
        <w:tc>
          <w:tcPr>
            <w:tcW w:w="4500" w:type="pct"/>
            <w:shd w:val="clear" w:color="auto" w:fill="auto"/>
            <w:vAlign w:val="center"/>
          </w:tcPr>
          <w:p w14:paraId="073014C7" w14:textId="77777777" w:rsidR="0041538E" w:rsidRDefault="00903D45" w:rsidP="0041538E">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r>
                  <w:rPr>
                    <w:rFonts w:ascii="Cambria Math" w:hAnsi="Cambria Math"/>
                  </w:rPr>
                  <m:t>=0</m:t>
                </m:r>
                <m:r>
                  <w:rPr>
                    <w:rFonts w:ascii="Cambria Math" w:eastAsiaTheme="minorEastAsia" w:hAnsi="Cambria Math"/>
                  </w:rPr>
                  <m:t xml:space="preserve">      ∀l,z=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,g,y</m:t>
                </m:r>
              </m:oMath>
            </m:oMathPara>
          </w:p>
        </w:tc>
        <w:tc>
          <w:tcPr>
            <w:tcW w:w="250" w:type="pct"/>
            <w:shd w:val="clear" w:color="auto" w:fill="auto"/>
            <w:vAlign w:val="center"/>
          </w:tcPr>
          <w:p w14:paraId="5A99CBB7" w14:textId="345BBE02" w:rsidR="0041538E" w:rsidRPr="00BF2BA0" w:rsidRDefault="0041538E" w:rsidP="0041538E">
            <w:pPr>
              <w:jc w:val="center"/>
            </w:pPr>
            <w:bookmarkStart w:id="205" w:name="_Ref48578118"/>
            <w:r w:rsidRPr="00BF2BA0">
              <w:t>(</w:t>
            </w:r>
            <w:r w:rsidR="001C1DD0">
              <w:t>B.3</w:t>
            </w:r>
            <w:r w:rsidRPr="00BF2BA0">
              <w:t>)</w:t>
            </w:r>
            <w:bookmarkEnd w:id="205"/>
          </w:p>
        </w:tc>
      </w:tr>
    </w:tbl>
    <w:p w14:paraId="18AC2AB6" w14:textId="478555F5" w:rsidR="0041538E" w:rsidRDefault="006F7A1C" w:rsidP="0041538E">
      <w:pPr>
        <w:rPr>
          <w:rFonts w:eastAsiaTheme="minorEastAsia"/>
        </w:rPr>
      </w:pPr>
      <w:r>
        <w:t xml:space="preserve">Hydrogen can only flow </w:t>
      </w:r>
      <w:r w:rsidR="0041538E">
        <w:t xml:space="preserve">to neighbouring </w:t>
      </w:r>
      <w:r>
        <w:t>zones</w:t>
      </w:r>
      <w:r w:rsidR="0041538E">
        <w:t xml:space="preserve">, where </w:t>
      </w:r>
      <m:oMath>
        <m:r>
          <w:rPr>
            <w:rFonts w:ascii="Cambria Math" w:hAnsi="Cambria Math"/>
          </w:rPr>
          <m:t>Neigh</m:t>
        </m:r>
        <m:d>
          <m:dPr>
            <m:ctrlPr>
              <w:rPr>
                <w:rFonts w:ascii="Cambria Math" w:hAnsi="Cambria Math"/>
                <w:i/>
              </w:rPr>
            </m:ctrlPr>
          </m:dPr>
          <m:e>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e>
        </m:d>
      </m:oMath>
      <w:r w:rsidR="0041538E">
        <w:rPr>
          <w:rFonts w:eastAsiaTheme="minorEastAsia"/>
        </w:rPr>
        <w:t xml:space="preserve"> </w:t>
      </w:r>
      <w:r>
        <w:rPr>
          <w:rFonts w:eastAsiaTheme="minorEastAsia"/>
        </w:rPr>
        <w:t>is a</w:t>
      </w:r>
      <w:r w:rsidR="0041538E">
        <w:rPr>
          <w:rFonts w:eastAsiaTheme="minorEastAsia"/>
        </w:rPr>
        <w:t xml:space="preserve"> matrix consisting of 1 if zone </w:t>
      </w:r>
      <m:oMath>
        <m:r>
          <w:rPr>
            <w:rFonts w:ascii="Cambria Math" w:hAnsi="Cambria Math"/>
          </w:rPr>
          <m:t>z</m:t>
        </m:r>
      </m:oMath>
      <w:r w:rsidR="0041538E">
        <w:rPr>
          <w:rFonts w:eastAsiaTheme="minorEastAsia"/>
        </w:rPr>
        <w:t xml:space="preserve"> and </w:t>
      </w:r>
      <m:oMath>
        <m:sSup>
          <m:sSupPr>
            <m:ctrlPr>
              <w:rPr>
                <w:rFonts w:ascii="Cambria Math" w:hAnsi="Cambria Math"/>
                <w:i/>
              </w:rPr>
            </m:ctrlPr>
          </m:sSupPr>
          <m:e>
            <m:r>
              <w:rPr>
                <w:rFonts w:ascii="Cambria Math" w:hAnsi="Cambria Math"/>
              </w:rPr>
              <m:t>z</m:t>
            </m:r>
          </m:e>
          <m:sup>
            <m:r>
              <w:rPr>
                <w:rFonts w:ascii="Cambria Math" w:hAnsi="Cambria Math"/>
              </w:rPr>
              <m:t>'</m:t>
            </m:r>
          </m:sup>
        </m:sSup>
      </m:oMath>
      <w:r w:rsidR="0041538E">
        <w:rPr>
          <w:rFonts w:eastAsiaTheme="minorEastAsia"/>
        </w:rPr>
        <w:t xml:space="preserve"> are neighbour</w:t>
      </w:r>
      <w:r>
        <w:rPr>
          <w:rFonts w:eastAsiaTheme="minorEastAsia"/>
        </w:rPr>
        <w:t xml:space="preserve">s, </w:t>
      </w:r>
      <w:r w:rsidR="0041538E">
        <w:rPr>
          <w:rFonts w:eastAsiaTheme="minorEastAsia"/>
        </w:rPr>
        <w:t xml:space="preserve">and a 0 otherwise; and </w:t>
      </w:r>
      <m:oMath>
        <m:r>
          <w:rPr>
            <w:rFonts w:ascii="Cambria Math" w:hAnsi="Cambria Math"/>
          </w:rPr>
          <m:t>M</m:t>
        </m:r>
      </m:oMath>
      <w:r w:rsidR="0041538E">
        <w:rPr>
          <w:rFonts w:eastAsiaTheme="minorEastAsia"/>
        </w:rPr>
        <w:t xml:space="preserve"> is a sufficiently large value.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
        <w:gridCol w:w="8031"/>
        <w:gridCol w:w="637"/>
      </w:tblGrid>
      <w:tr w:rsidR="0041538E" w14:paraId="483C5080" w14:textId="77777777" w:rsidTr="0041538E">
        <w:tc>
          <w:tcPr>
            <w:tcW w:w="250" w:type="pct"/>
            <w:shd w:val="clear" w:color="auto" w:fill="auto"/>
          </w:tcPr>
          <w:p w14:paraId="1FEF39B9" w14:textId="77777777" w:rsidR="0041538E" w:rsidRDefault="0041538E" w:rsidP="0041538E"/>
        </w:tc>
        <w:tc>
          <w:tcPr>
            <w:tcW w:w="4500" w:type="pct"/>
            <w:shd w:val="clear" w:color="auto" w:fill="auto"/>
            <w:vAlign w:val="center"/>
          </w:tcPr>
          <w:p w14:paraId="37862B20" w14:textId="5EF8E2E1" w:rsidR="0041538E" w:rsidRDefault="00903D45" w:rsidP="0041538E">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r>
                  <w:rPr>
                    <w:rFonts w:ascii="Cambria Math" w:hAnsi="Cambria Math"/>
                  </w:rPr>
                  <m:t>≤M⋅Neigh</m:t>
                </m:r>
                <m:d>
                  <m:dPr>
                    <m:ctrlPr>
                      <w:rPr>
                        <w:rFonts w:ascii="Cambria Math" w:hAnsi="Cambria Math"/>
                        <w:i/>
                      </w:rPr>
                    </m:ctrlPr>
                  </m:dPr>
                  <m:e>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e>
                </m:d>
                <m:r>
                  <w:rPr>
                    <w:rFonts w:ascii="Cambria Math" w:eastAsiaTheme="minorEastAsia" w:hAnsi="Cambria Math"/>
                  </w:rPr>
                  <m:t xml:space="preserve">      ∀l,z,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,g,y</m:t>
                </m:r>
              </m:oMath>
            </m:oMathPara>
          </w:p>
        </w:tc>
        <w:tc>
          <w:tcPr>
            <w:tcW w:w="250" w:type="pct"/>
            <w:shd w:val="clear" w:color="auto" w:fill="auto"/>
            <w:vAlign w:val="center"/>
          </w:tcPr>
          <w:p w14:paraId="313137F4" w14:textId="1BBF42C3" w:rsidR="0041538E" w:rsidRPr="00BF2BA0" w:rsidRDefault="0041538E" w:rsidP="0041538E">
            <w:pPr>
              <w:jc w:val="center"/>
            </w:pPr>
            <w:bookmarkStart w:id="206" w:name="_Ref49329886"/>
            <w:r w:rsidRPr="00BF2BA0">
              <w:t>(</w:t>
            </w:r>
            <w:r w:rsidR="001C1DD0">
              <w:t>B.4</w:t>
            </w:r>
            <w:r w:rsidRPr="00BF2BA0">
              <w:t>)</w:t>
            </w:r>
            <w:bookmarkEnd w:id="206"/>
          </w:p>
        </w:tc>
      </w:tr>
    </w:tbl>
    <w:p w14:paraId="4CE91591" w14:textId="7FBA297F" w:rsidR="0041538E" w:rsidRDefault="006F7A1C" w:rsidP="0041538E">
      <w:pPr>
        <w:rPr>
          <w:rFonts w:eastAsiaTheme="minorEastAsia"/>
        </w:rPr>
      </w:pPr>
      <w:r>
        <w:t>A</w:t>
      </w:r>
      <w:r w:rsidR="0041538E">
        <w:t xml:space="preserve">ll hydrogen flowing to the localised distribution network in zone </w:t>
      </w:r>
      <m:oMath>
        <m:r>
          <w:rPr>
            <w:rFonts w:ascii="Cambria Math" w:hAnsi="Cambria Math"/>
          </w:rPr>
          <m:t>z</m:t>
        </m:r>
      </m:oMath>
      <w:r w:rsidR="0041538E">
        <w:rPr>
          <w:rFonts w:eastAsiaTheme="minorEastAsia"/>
        </w:rPr>
        <w:t xml:space="preserve"> is being used to supply the refuelling station demand of the same zone</w:t>
      </w:r>
      <w:r>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00"/>
        <w:gridCol w:w="1204"/>
      </w:tblGrid>
      <w:tr w:rsidR="0041538E" w14:paraId="1C8D0E13" w14:textId="77777777" w:rsidTr="006F7A1C">
        <w:tc>
          <w:tcPr>
            <w:tcW w:w="123" w:type="pct"/>
            <w:shd w:val="clear" w:color="auto" w:fill="auto"/>
          </w:tcPr>
          <w:p w14:paraId="24ED3810" w14:textId="77777777" w:rsidR="0041538E" w:rsidRDefault="0041538E" w:rsidP="0041538E"/>
        </w:tc>
        <w:tc>
          <w:tcPr>
            <w:tcW w:w="4210" w:type="pct"/>
            <w:shd w:val="clear" w:color="auto" w:fill="auto"/>
            <w:vAlign w:val="center"/>
          </w:tcPr>
          <w:p w14:paraId="3B8C963A" w14:textId="65ABA026" w:rsidR="0041538E" w:rsidRDefault="00903D45" w:rsidP="0041538E">
            <w:pPr>
              <w:jc w:val="center"/>
            </w:pPr>
            <m:oMathPara>
              <m:oMath>
                <m:f>
                  <m:fPr>
                    <m:ctrlPr>
                      <w:rPr>
                        <w:rFonts w:ascii="Cambria Math" w:hAnsi="Cambria Math"/>
                        <w:i/>
                      </w:rPr>
                    </m:ctrlPr>
                  </m:fPr>
                  <m:num>
                    <m:bar>
                      <m:barPr>
                        <m:pos m:val="top"/>
                        <m:ctrlPr>
                          <w:rPr>
                            <w:rFonts w:ascii="Cambria Math" w:hAnsi="Cambria Math"/>
                            <w:i/>
                          </w:rPr>
                        </m:ctrlPr>
                      </m:barPr>
                      <m:e>
                        <m:sSub>
                          <m:sSubPr>
                            <m:ctrlPr>
                              <w:rPr>
                                <w:rFonts w:ascii="Cambria Math" w:hAnsi="Cambria Math"/>
                                <w:i/>
                              </w:rPr>
                            </m:ctrlPr>
                          </m:sSubPr>
                          <m:e>
                            <m:r>
                              <w:rPr>
                                <w:rFonts w:ascii="Cambria Math" w:hAnsi="Cambria Math"/>
                              </w:rPr>
                              <m:t>D</m:t>
                            </m:r>
                          </m:e>
                          <m:sub>
                            <m:r>
                              <w:rPr>
                                <w:rFonts w:ascii="Cambria Math" w:hAnsi="Cambria Math"/>
                              </w:rPr>
                              <m:t>z,y</m:t>
                            </m:r>
                          </m:sub>
                        </m:sSub>
                      </m:e>
                    </m:bar>
                  </m:num>
                  <m:den>
                    <m:r>
                      <w:rPr>
                        <w:rFonts w:ascii="Cambria Math" w:hAnsi="Cambria Math"/>
                      </w:rPr>
                      <m:t>α</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l,g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 xml:space="preserve">       </m:t>
                </m:r>
                <m:r>
                  <w:rPr>
                    <w:rFonts w:ascii="Cambria Math" w:eastAsiaTheme="minorEastAsia" w:hAnsi="Cambria Math"/>
                  </w:rPr>
                  <m:t>∀z,y</m:t>
                </m:r>
              </m:oMath>
            </m:oMathPara>
          </w:p>
        </w:tc>
        <w:tc>
          <w:tcPr>
            <w:tcW w:w="667" w:type="pct"/>
            <w:shd w:val="clear" w:color="auto" w:fill="auto"/>
            <w:vAlign w:val="center"/>
          </w:tcPr>
          <w:p w14:paraId="1B6C15CD" w14:textId="1B25EBDF" w:rsidR="0041538E" w:rsidRPr="00BF2BA0" w:rsidRDefault="0041538E" w:rsidP="0041538E">
            <w:pPr>
              <w:jc w:val="center"/>
            </w:pPr>
            <w:r w:rsidRPr="00BF2BA0">
              <w:t>(</w:t>
            </w:r>
            <w:r w:rsidR="001C1DD0">
              <w:t>B.5</w:t>
            </w:r>
            <w:r w:rsidRPr="00BF2BA0">
              <w:t>)</w:t>
            </w:r>
          </w:p>
        </w:tc>
      </w:tr>
    </w:tbl>
    <w:p w14:paraId="6A61B602" w14:textId="66628EB6" w:rsidR="0041538E" w:rsidRDefault="006F7A1C" w:rsidP="0041538E">
      <w:pPr>
        <w:rPr>
          <w:rFonts w:eastAsiaTheme="minorEastAsia"/>
        </w:rPr>
      </w:pPr>
      <w:r>
        <w:rPr>
          <w:rFonts w:eastAsiaTheme="minorEastAsia"/>
        </w:rPr>
        <w:lastRenderedPageBreak/>
        <w:t xml:space="preserve">Dirty hydrogen can be cleaned in a centralised hub in zone </w:t>
      </w:r>
      <m:oMath>
        <m:r>
          <w:rPr>
            <w:rFonts w:ascii="Cambria Math" w:eastAsiaTheme="minorEastAsia" w:hAnsi="Cambria Math"/>
          </w:rPr>
          <m:t>z</m:t>
        </m:r>
      </m:oMath>
      <w:r>
        <w:rPr>
          <w:rFonts w:eastAsiaTheme="minorEastAsia"/>
        </w:rPr>
        <w:t>, so that it may enter clean hydrogen distribution (</w:t>
      </w:r>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 xml:space="preserve">). Hydrogen can be added into dirty hydrogen distribution, or blended into local gas distribution network represented by the variables </w:t>
      </w:r>
      <m:oMath>
        <m:r>
          <w:rPr>
            <w:rFonts w:ascii="Cambria Math" w:eastAsiaTheme="minorEastAsia" w:hAnsi="Cambria Math"/>
          </w:rPr>
          <m:t>QDIRTIE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 xml:space="preserve"> and </w:t>
      </w:r>
      <m:oMath>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oMath>
      <w:r>
        <w:rPr>
          <w:rFonts w:eastAsiaTheme="minorEastAsia"/>
        </w:rPr>
        <w:t xml:space="preserve">, respectively. Equation </w:t>
      </w:r>
      <w:r w:rsidR="00E41B8C">
        <w:t xml:space="preserve">(B.6) </w:t>
      </w:r>
      <w:r>
        <w:rPr>
          <w:rFonts w:eastAsiaTheme="minorEastAsia"/>
        </w:rPr>
        <w:t>shows the m</w:t>
      </w:r>
      <w:r>
        <w:t xml:space="preserve">aterial balance in zone </w:t>
      </w:r>
      <m:oMath>
        <m:r>
          <w:rPr>
            <w:rFonts w:ascii="Cambria Math" w:eastAsiaTheme="minorEastAsia" w:hAnsi="Cambria Math"/>
          </w:rPr>
          <m:t>z</m:t>
        </m:r>
      </m:oMath>
      <w:r>
        <w:t xml:space="preserve"> for </w:t>
      </w:r>
      <m:oMath>
        <m:r>
          <w:rPr>
            <w:rFonts w:ascii="Cambria Math" w:eastAsiaTheme="minorEastAsia" w:hAnsi="Cambria Math"/>
          </w:rPr>
          <m:t>clean</m:t>
        </m:r>
      </m:oMath>
      <w:r w:rsidR="0041538E">
        <w:t xml:space="preserve"> hydrogen grade</w:t>
      </w:r>
      <w:r>
        <w:t>:</w:t>
      </w:r>
      <w:r w:rsidR="0041538E">
        <w:rPr>
          <w:rFonts w:eastAsiaTheme="minorEastAsia"/>
        </w:rPr>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
        <w:gridCol w:w="8032"/>
        <w:gridCol w:w="637"/>
      </w:tblGrid>
      <w:tr w:rsidR="0041538E" w14:paraId="2494FE5F" w14:textId="77777777" w:rsidTr="006F7A1C">
        <w:tc>
          <w:tcPr>
            <w:tcW w:w="216" w:type="pct"/>
            <w:shd w:val="clear" w:color="auto" w:fill="auto"/>
          </w:tcPr>
          <w:p w14:paraId="58CE0763" w14:textId="77777777" w:rsidR="0041538E" w:rsidRDefault="0041538E" w:rsidP="0041538E"/>
        </w:tc>
        <w:tc>
          <w:tcPr>
            <w:tcW w:w="4467" w:type="pct"/>
            <w:shd w:val="clear" w:color="auto" w:fill="auto"/>
            <w:vAlign w:val="center"/>
          </w:tcPr>
          <w:p w14:paraId="72FE449E" w14:textId="6BE1BC12" w:rsidR="0041538E" w:rsidRDefault="00903D45" w:rsidP="0041538E">
            <w:pPr>
              <w:jc w:val="center"/>
            </w:pPr>
            <m:oMathPara>
              <m:oMath>
                <m:nary>
                  <m:naryPr>
                    <m:chr m:val="∑"/>
                    <m:limLoc m:val="undOvr"/>
                    <m:supHide m:val="1"/>
                    <m:ctrlPr>
                      <w:rPr>
                        <w:rFonts w:ascii="Cambria Math" w:hAnsi="Cambria Math"/>
                        <w:i/>
                      </w:rPr>
                    </m:ctrlPr>
                  </m:naryPr>
                  <m:sub>
                    <m:r>
                      <w:rPr>
                        <w:rFonts w:ascii="Cambria Math" w:hAnsi="Cambria Math"/>
                      </w:rPr>
                      <m:t>p∈CP(p)</m:t>
                    </m:r>
                  </m:sub>
                  <m:sup/>
                  <m:e>
                    <m:sSub>
                      <m:sSubPr>
                        <m:ctrlPr>
                          <w:rPr>
                            <w:rFonts w:ascii="Cambria Math" w:hAnsi="Cambria Math"/>
                            <w:i/>
                          </w:rPr>
                        </m:ctrlPr>
                      </m:sSubPr>
                      <m:e>
                        <m:r>
                          <w:rPr>
                            <w:rFonts w:ascii="Cambria Math" w:hAnsi="Cambria Math"/>
                          </w:rPr>
                          <m:t>PR</m:t>
                        </m:r>
                      </m:e>
                      <m:sub>
                        <m:r>
                          <w:rPr>
                            <w:rFonts w:ascii="Cambria Math" w:hAnsi="Cambria Math"/>
                          </w:rPr>
                          <m:t>p,z,clean,y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l∈CL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,z,clean,y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l∈CL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z,z</m:t>
                            </m:r>
                          </m:e>
                          <m:sup>
                            <m:r>
                              <w:rPr>
                                <w:rFonts w:ascii="Cambria Math" w:hAnsi="Cambria Math"/>
                              </w:rPr>
                              <m:t>'</m:t>
                            </m:r>
                          </m:sup>
                        </m:sSup>
                        <m:r>
                          <w:rPr>
                            <w:rFonts w:ascii="Cambria Math" w:hAnsi="Cambria Math"/>
                          </w:rPr>
                          <m:t>,clean,y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l∈CL</m:t>
                    </m:r>
                    <m:d>
                      <m:dPr>
                        <m:ctrlPr>
                          <w:rPr>
                            <w:rFonts w:ascii="Cambria Math" w:hAnsi="Cambria Math"/>
                            <w:i/>
                          </w:rPr>
                        </m:ctrlPr>
                      </m:dPr>
                      <m:e>
                        <m:r>
                          <w:rPr>
                            <w:rFonts w:ascii="Cambria Math" w:hAnsi="Cambria Math"/>
                          </w:rPr>
                          <m:t>l</m:t>
                        </m:r>
                      </m:e>
                    </m:d>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l,z,clean,y</m:t>
                        </m:r>
                      </m:sub>
                    </m:sSub>
                  </m:e>
                </m:nary>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-QDIRTIE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r>
                  <w:rPr>
                    <w:rFonts w:ascii="Cambria Math" w:eastAsiaTheme="minorEastAsia" w:hAnsi="Cambria Math"/>
                  </w:rPr>
                  <m:t>=0      ∀z,y</m:t>
                </m:r>
              </m:oMath>
            </m:oMathPara>
          </w:p>
        </w:tc>
        <w:tc>
          <w:tcPr>
            <w:tcW w:w="317" w:type="pct"/>
            <w:shd w:val="clear" w:color="auto" w:fill="auto"/>
            <w:vAlign w:val="center"/>
          </w:tcPr>
          <w:p w14:paraId="1F9B5192" w14:textId="4164FED5" w:rsidR="0041538E" w:rsidRPr="00BF2BA0" w:rsidRDefault="0041538E" w:rsidP="0041538E">
            <w:pPr>
              <w:jc w:val="center"/>
            </w:pPr>
            <w:bookmarkStart w:id="207" w:name="_Ref43211154"/>
            <w:r w:rsidRPr="00BF2BA0">
              <w:t>(</w:t>
            </w:r>
            <w:r w:rsidR="001C1DD0">
              <w:t>B.6</w:t>
            </w:r>
            <w:r w:rsidRPr="00BF2BA0">
              <w:t>)</w:t>
            </w:r>
            <w:bookmarkEnd w:id="207"/>
          </w:p>
        </w:tc>
      </w:tr>
    </w:tbl>
    <w:p w14:paraId="2EDFD21C" w14:textId="5E2BEA93" w:rsidR="0041538E" w:rsidRDefault="00125079" w:rsidP="0041538E">
      <w:pPr>
        <w:rPr>
          <w:rFonts w:eastAsiaTheme="minorEastAsia"/>
        </w:rPr>
      </w:pPr>
      <w:r>
        <w:rPr>
          <w:rFonts w:eastAsiaTheme="minorEastAsia"/>
        </w:rPr>
        <w:t>D</w:t>
      </w:r>
      <w:r w:rsidR="0041538E">
        <w:rPr>
          <w:rFonts w:eastAsiaTheme="minorEastAsia"/>
        </w:rPr>
        <w:t xml:space="preserve">irty hydrogen may flow into the clean material balance by passing through a centralised purification hub, or blended into the local gas distribution network, thus leaving the dirty material balance, shown by the variables </w:t>
      </w:r>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sidR="0041538E">
        <w:rPr>
          <w:rFonts w:eastAsiaTheme="minorEastAsia"/>
        </w:rPr>
        <w:t xml:space="preserve"> and </w:t>
      </w:r>
      <m:oMath>
        <m:r>
          <w:rPr>
            <w:rFonts w:ascii="Cambria Math" w:hAnsi="Cambria Math"/>
          </w:rPr>
          <m:t>QBLEN</m:t>
        </m:r>
        <m:sSubSup>
          <m:sSubSupPr>
            <m:ctrlPr>
              <w:rPr>
                <w:rFonts w:ascii="Cambria Math" w:hAnsi="Cambria Math"/>
              </w:rPr>
            </m:ctrlPr>
          </m:sSubSupPr>
          <m:e>
            <m:r>
              <w:rPr>
                <w:rFonts w:ascii="Cambria Math" w:hAnsi="Cambria Math"/>
              </w:rPr>
              <m:t>D</m:t>
            </m:r>
          </m:e>
          <m:sub>
            <m:r>
              <w:rPr>
                <w:rFonts w:ascii="Cambria Math" w:hAnsi="Cambria Math"/>
              </w:rPr>
              <m:t>z,y</m:t>
            </m:r>
          </m:sub>
          <m:sup>
            <m:r>
              <w:rPr>
                <w:rFonts w:ascii="Cambria Math" w:hAnsi="Cambria Math"/>
              </w:rPr>
              <m:t>Dirty</m:t>
            </m:r>
          </m:sup>
        </m:sSubSup>
      </m:oMath>
      <w:r w:rsidR="0041538E">
        <w:rPr>
          <w:rFonts w:eastAsiaTheme="minorEastAsia"/>
        </w:rPr>
        <w:t xml:space="preserve">, respectively. </w:t>
      </w:r>
      <w:r>
        <w:rPr>
          <w:rFonts w:eastAsiaTheme="minorEastAsia"/>
        </w:rPr>
        <w:t xml:space="preserve">Equation </w:t>
      </w:r>
      <w:r w:rsidR="00E41B8C">
        <w:t xml:space="preserve">(B.7) </w:t>
      </w:r>
      <w:r>
        <w:rPr>
          <w:rFonts w:eastAsiaTheme="minorEastAsia"/>
        </w:rPr>
        <w:t>shows the m</w:t>
      </w:r>
      <w:r>
        <w:t xml:space="preserve">aterial balance in zone </w:t>
      </w:r>
      <m:oMath>
        <m:r>
          <w:rPr>
            <w:rFonts w:ascii="Cambria Math" w:eastAsiaTheme="minorEastAsia" w:hAnsi="Cambria Math"/>
          </w:rPr>
          <m:t>z</m:t>
        </m:r>
      </m:oMath>
      <w:r>
        <w:t xml:space="preserve"> for </w:t>
      </w:r>
      <m:oMath>
        <m:r>
          <w:rPr>
            <w:rFonts w:ascii="Cambria Math" w:eastAsiaTheme="minorEastAsia" w:hAnsi="Cambria Math"/>
          </w:rPr>
          <m:t>dirty</m:t>
        </m:r>
      </m:oMath>
      <w:r>
        <w:t xml:space="preserve"> hydrogen grade: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
        <w:gridCol w:w="8031"/>
        <w:gridCol w:w="637"/>
      </w:tblGrid>
      <w:tr w:rsidR="0041538E" w14:paraId="5638E415" w14:textId="77777777" w:rsidTr="0041538E">
        <w:tc>
          <w:tcPr>
            <w:tcW w:w="250" w:type="pct"/>
            <w:shd w:val="clear" w:color="auto" w:fill="auto"/>
          </w:tcPr>
          <w:p w14:paraId="5B8C3AAA" w14:textId="77777777" w:rsidR="0041538E" w:rsidRDefault="0041538E" w:rsidP="0041538E"/>
        </w:tc>
        <w:tc>
          <w:tcPr>
            <w:tcW w:w="4500" w:type="pct"/>
            <w:shd w:val="clear" w:color="auto" w:fill="auto"/>
            <w:vAlign w:val="center"/>
          </w:tcPr>
          <w:p w14:paraId="2DB368F8" w14:textId="77777777" w:rsidR="0041538E" w:rsidRDefault="00903D45" w:rsidP="00C474A9">
            <w:pPr>
              <w:jc w:val="center"/>
            </w:pPr>
            <m:oMathPara>
              <m:oMath>
                <m:nary>
                  <m:naryPr>
                    <m:chr m:val="∑"/>
                    <m:limLoc m:val="undOvr"/>
                    <m:supHide m:val="1"/>
                    <m:ctrlPr>
                      <w:rPr>
                        <w:rFonts w:ascii="Cambria Math" w:hAnsi="Cambria Math"/>
                        <w:i/>
                      </w:rPr>
                    </m:ctrlPr>
                  </m:naryPr>
                  <m:sub>
                    <m:r>
                      <w:rPr>
                        <w:rFonts w:ascii="Cambria Math" w:hAnsi="Cambria Math"/>
                      </w:rPr>
                      <m:t>p∈DP(p)</m:t>
                    </m:r>
                  </m:sub>
                  <m:sup/>
                  <m:e>
                    <m:sSub>
                      <m:sSubPr>
                        <m:ctrlPr>
                          <w:rPr>
                            <w:rFonts w:ascii="Cambria Math" w:hAnsi="Cambria Math"/>
                            <w:i/>
                          </w:rPr>
                        </m:ctrlPr>
                      </m:sSubPr>
                      <m:e>
                        <m:r>
                          <w:rPr>
                            <w:rFonts w:ascii="Cambria Math" w:hAnsi="Cambria Math"/>
                          </w:rPr>
                          <m:t>PR</m:t>
                        </m:r>
                      </m:e>
                      <m:sub>
                        <m:r>
                          <w:rPr>
                            <w:rFonts w:ascii="Cambria Math" w:hAnsi="Cambria Math"/>
                          </w:rPr>
                          <m:t>p,z,dirty,y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l∈DL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,z,  dirty,y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l∈DL</m:t>
                    </m:r>
                    <m:d>
                      <m:dPr>
                        <m:ctrlPr>
                          <w:rPr>
                            <w:rFonts w:ascii="Cambria Math" w:hAnsi="Cambria Math"/>
                            <w:i/>
                          </w:rPr>
                        </m:ctrlPr>
                      </m:dPr>
                      <m:e>
                        <m:r>
                          <w:rPr>
                            <w:rFonts w:ascii="Cambria Math" w:hAnsi="Cambria Math"/>
                          </w:rPr>
                          <m:t>l</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sub>
                  <m:sup/>
                  <m:e>
                    <m:sSub>
                      <m:sSubPr>
                        <m:ctrlPr>
                          <w:rPr>
                            <w:rFonts w:ascii="Cambria Math" w:hAnsi="Cambria Math"/>
                            <w:i/>
                          </w:rPr>
                        </m:ctrlPr>
                      </m:sSubPr>
                      <m:e>
                        <m:r>
                          <w:rPr>
                            <w:rFonts w:ascii="Cambria Math" w:hAnsi="Cambria Math"/>
                          </w:rPr>
                          <m:t>Q</m:t>
                        </m:r>
                      </m:e>
                      <m:sub>
                        <m:r>
                          <w:rPr>
                            <w:rFonts w:ascii="Cambria Math" w:hAnsi="Cambria Math"/>
                          </w:rPr>
                          <m:t>l,</m:t>
                        </m:r>
                        <m:sSup>
                          <m:sSupPr>
                            <m:ctrlPr>
                              <w:rPr>
                                <w:rFonts w:ascii="Cambria Math" w:hAnsi="Cambria Math"/>
                                <w:i/>
                              </w:rPr>
                            </m:ctrlPr>
                          </m:sSupPr>
                          <m:e>
                            <m:r>
                              <w:rPr>
                                <w:rFonts w:ascii="Cambria Math" w:hAnsi="Cambria Math"/>
                              </w:rPr>
                              <m:t>z,z</m:t>
                            </m:r>
                          </m:e>
                          <m:sup>
                            <m:r>
                              <w:rPr>
                                <w:rFonts w:ascii="Cambria Math" w:hAnsi="Cambria Math"/>
                              </w:rPr>
                              <m:t>'</m:t>
                            </m:r>
                          </m:sup>
                        </m:sSup>
                        <m:r>
                          <w:rPr>
                            <w:rFonts w:ascii="Cambria Math" w:hAnsi="Cambria Math"/>
                          </w:rPr>
                          <m:t>,dirty,y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l∈Dl</m:t>
                    </m:r>
                    <m:d>
                      <m:dPr>
                        <m:ctrlPr>
                          <w:rPr>
                            <w:rFonts w:ascii="Cambria Math" w:hAnsi="Cambria Math"/>
                            <w:i/>
                          </w:rPr>
                        </m:ctrlPr>
                      </m:dPr>
                      <m:e>
                        <m:r>
                          <w:rPr>
                            <w:rFonts w:ascii="Cambria Math" w:hAnsi="Cambria Math"/>
                          </w:rPr>
                          <m:t>l</m:t>
                        </m:r>
                      </m:e>
                    </m:d>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l,z,dirty,y</m:t>
                        </m:r>
                      </m:sub>
                    </m:sSub>
                  </m:e>
                </m:nary>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+QDIRTIE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eastAsiaTheme="minorEastAsia" w:hAnsi="Cambria Math"/>
                  </w:rPr>
                  <m:t>-</m:t>
                </m:r>
                <m:r>
                  <w:rPr>
                    <w:rFonts w:ascii="Cambria Math" w:hAnsi="Cambria Math"/>
                  </w:rPr>
                  <m:t>QBLEN</m:t>
                </m:r>
                <m:sSubSup>
                  <m:sSubSupPr>
                    <m:ctrlPr>
                      <w:rPr>
                        <w:rFonts w:ascii="Cambria Math" w:hAnsi="Cambria Math"/>
                      </w:rPr>
                    </m:ctrlPr>
                  </m:sSubSupPr>
                  <m:e>
                    <m:r>
                      <w:rPr>
                        <w:rFonts w:ascii="Cambria Math" w:hAnsi="Cambria Math"/>
                      </w:rPr>
                      <m:t>D</m:t>
                    </m:r>
                  </m:e>
                  <m:sub>
                    <m:r>
                      <w:rPr>
                        <w:rFonts w:ascii="Cambria Math" w:hAnsi="Cambria Math"/>
                      </w:rPr>
                      <m:t>z,y</m:t>
                    </m:r>
                  </m:sub>
                  <m:sup>
                    <m:r>
                      <w:rPr>
                        <w:rFonts w:ascii="Cambria Math" w:hAnsi="Cambria Math"/>
                      </w:rPr>
                      <m:t>Dirty</m:t>
                    </m:r>
                  </m:sup>
                </m:sSubSup>
                <m:r>
                  <w:rPr>
                    <w:rFonts w:ascii="Cambria Math" w:eastAsiaTheme="minorEastAsia" w:hAnsi="Cambria Math"/>
                  </w:rPr>
                  <m:t>=0      ∀z,y</m:t>
                </m:r>
              </m:oMath>
            </m:oMathPara>
          </w:p>
        </w:tc>
        <w:tc>
          <w:tcPr>
            <w:tcW w:w="250" w:type="pct"/>
            <w:shd w:val="clear" w:color="auto" w:fill="auto"/>
            <w:vAlign w:val="center"/>
          </w:tcPr>
          <w:p w14:paraId="56CECA6F" w14:textId="674BE564" w:rsidR="0041538E" w:rsidRPr="00BF2BA0" w:rsidRDefault="0041538E" w:rsidP="0041538E">
            <w:pPr>
              <w:jc w:val="center"/>
            </w:pPr>
            <w:bookmarkStart w:id="208" w:name="_Ref43211445"/>
            <w:r w:rsidRPr="00BF2BA0">
              <w:t>(</w:t>
            </w:r>
            <w:r w:rsidR="001C1DD0">
              <w:t>B.7</w:t>
            </w:r>
            <w:r w:rsidRPr="00BF2BA0">
              <w:t>)</w:t>
            </w:r>
            <w:bookmarkEnd w:id="208"/>
          </w:p>
        </w:tc>
      </w:tr>
    </w:tbl>
    <w:p w14:paraId="5F92D8B6" w14:textId="55EBA97E" w:rsidR="0041538E" w:rsidRDefault="00125079" w:rsidP="0041538E">
      <w:r>
        <w:t>Balance of clean and dirty hydrogen blended into distribution network:</w:t>
      </w:r>
      <w:r w:rsidR="0041538E">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
        <w:gridCol w:w="8031"/>
        <w:gridCol w:w="637"/>
      </w:tblGrid>
      <w:tr w:rsidR="0041538E" w14:paraId="75431F7E" w14:textId="77777777" w:rsidTr="0041538E">
        <w:tc>
          <w:tcPr>
            <w:tcW w:w="250" w:type="pct"/>
            <w:shd w:val="clear" w:color="auto" w:fill="auto"/>
          </w:tcPr>
          <w:p w14:paraId="1F90AB37" w14:textId="77777777" w:rsidR="0041538E" w:rsidRDefault="0041538E" w:rsidP="0041538E"/>
        </w:tc>
        <w:tc>
          <w:tcPr>
            <w:tcW w:w="4500" w:type="pct"/>
            <w:shd w:val="clear" w:color="auto" w:fill="auto"/>
            <w:vAlign w:val="center"/>
          </w:tcPr>
          <w:p w14:paraId="0C052271" w14:textId="77777777" w:rsidR="0041538E" w:rsidRDefault="0041538E" w:rsidP="00C474A9">
            <w:pPr>
              <w:jc w:val="center"/>
            </w:pPr>
            <m:oMathPara>
              <m:oMath>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Clean</m:t>
                    </m:r>
                  </m:sup>
                </m:sSubSup>
                <m:r>
                  <w:rPr>
                    <w:rFonts w:ascii="Cambria Math" w:eastAsiaTheme="minorEastAsia" w:hAnsi="Cambria Math"/>
                  </w:rPr>
                  <m:t>+QBLEN</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z,y</m:t>
                    </m:r>
                  </m:sub>
                  <m:sup>
                    <m:r>
                      <w:rPr>
                        <w:rFonts w:ascii="Cambria Math" w:eastAsiaTheme="minorEastAsia" w:hAnsi="Cambria Math"/>
                      </w:rPr>
                      <m:t>Dirty</m:t>
                    </m:r>
                  </m:sup>
                </m:sSubSup>
                <m:r>
                  <w:rPr>
                    <w:rFonts w:ascii="Cambria Math" w:eastAsiaTheme="minorEastAsia" w:hAnsi="Cambria Math"/>
                  </w:rPr>
                  <m:t>-</m:t>
                </m:r>
                <m:nary>
                  <m:naryPr>
                    <m:chr m:val="∑"/>
                    <m:limLoc m:val="undOvr"/>
                    <m:supHide m:val="1"/>
                    <m:ctrlPr>
                      <w:rPr>
                        <w:rFonts w:ascii="Cambria Math" w:hAnsi="Cambria Math"/>
                        <w:i/>
                      </w:rPr>
                    </m:ctrlPr>
                  </m:naryPr>
                  <m:sub>
                    <m:r>
                      <w:rPr>
                        <w:rFonts w:ascii="Cambria Math" w:hAnsi="Cambria Math"/>
                      </w:rPr>
                      <m:t>l∈Bl</m:t>
                    </m:r>
                    <m:d>
                      <m:dPr>
                        <m:ctrlPr>
                          <w:rPr>
                            <w:rFonts w:ascii="Cambria Math" w:hAnsi="Cambria Math"/>
                            <w:i/>
                          </w:rPr>
                        </m:ctrlPr>
                      </m:dPr>
                      <m:e>
                        <m:r>
                          <w:rPr>
                            <w:rFonts w:ascii="Cambria Math" w:hAnsi="Cambria Math"/>
                          </w:rPr>
                          <m:t>l</m:t>
                        </m:r>
                      </m:e>
                    </m:d>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 blend,y</m:t>
                        </m:r>
                      </m:sub>
                    </m:sSub>
                  </m:e>
                </m:nary>
                <m:r>
                  <w:rPr>
                    <w:rFonts w:ascii="Cambria Math" w:hAnsi="Cambria Math"/>
                  </w:rPr>
                  <m:t>=0</m:t>
                </m:r>
                <m:r>
                  <w:rPr>
                    <w:rFonts w:ascii="Cambria Math" w:eastAsiaTheme="minorEastAsia" w:hAnsi="Cambria Math"/>
                  </w:rPr>
                  <m:t xml:space="preserve">      ∀z,y</m:t>
                </m:r>
              </m:oMath>
            </m:oMathPara>
          </w:p>
        </w:tc>
        <w:tc>
          <w:tcPr>
            <w:tcW w:w="250" w:type="pct"/>
            <w:shd w:val="clear" w:color="auto" w:fill="auto"/>
            <w:vAlign w:val="center"/>
          </w:tcPr>
          <w:p w14:paraId="3C070B23" w14:textId="71AF9BEB" w:rsidR="0041538E" w:rsidRPr="00BF2BA0" w:rsidRDefault="0041538E" w:rsidP="0041538E">
            <w:pPr>
              <w:jc w:val="center"/>
            </w:pPr>
            <w:r w:rsidRPr="00BF2BA0">
              <w:t>(</w:t>
            </w:r>
            <w:r w:rsidR="001C1DD0">
              <w:t>B.8</w:t>
            </w:r>
            <w:r w:rsidRPr="00BF2BA0">
              <w:t>)</w:t>
            </w:r>
          </w:p>
        </w:tc>
      </w:tr>
    </w:tbl>
    <w:p w14:paraId="2B1C268D" w14:textId="06E494A6" w:rsidR="0041538E" w:rsidRPr="00E53BA0" w:rsidRDefault="0041538E" w:rsidP="004959A9">
      <w:pPr>
        <w:pStyle w:val="Heading8"/>
      </w:pPr>
      <w:bookmarkStart w:id="209" w:name="_Toc50359417"/>
      <w:r w:rsidRPr="00E53BA0">
        <w:t>Production Facility Constraints</w:t>
      </w:r>
      <w:bookmarkEnd w:id="209"/>
    </w:p>
    <w:p w14:paraId="71FFB9C6" w14:textId="33C41E03" w:rsidR="0041538E" w:rsidRDefault="0041538E" w:rsidP="0041538E">
      <w:r>
        <w:t>Installed production facility capacity must be greater than, or equal to the rate of production of hydrogen, multiplied by the associated capacity factor of the production technology</w:t>
      </w:r>
      <w:r w:rsidR="00125079">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
        <w:gridCol w:w="8031"/>
        <w:gridCol w:w="637"/>
      </w:tblGrid>
      <w:tr w:rsidR="0041538E" w14:paraId="5A70F923" w14:textId="77777777" w:rsidTr="0041538E">
        <w:tc>
          <w:tcPr>
            <w:tcW w:w="250" w:type="pct"/>
            <w:shd w:val="clear" w:color="auto" w:fill="auto"/>
          </w:tcPr>
          <w:p w14:paraId="7A86D6DD" w14:textId="77777777" w:rsidR="0041538E" w:rsidRDefault="0041538E" w:rsidP="0041538E"/>
        </w:tc>
        <w:tc>
          <w:tcPr>
            <w:tcW w:w="4500" w:type="pct"/>
            <w:shd w:val="clear" w:color="auto" w:fill="auto"/>
            <w:vAlign w:val="center"/>
          </w:tcPr>
          <w:p w14:paraId="21EDD8E5" w14:textId="77777777" w:rsidR="0041538E" w:rsidRPr="00A30E3B" w:rsidRDefault="0041538E" w:rsidP="0041538E">
            <w:pPr>
              <w:jc w:val="center"/>
            </w:pPr>
            <m:oMathPara>
              <m:oMath>
                <m:r>
                  <w:rPr>
                    <w:rFonts w:ascii="Cambria Math" w:hAnsi="Cambria Math"/>
                  </w:rPr>
                  <m:t>P</m:t>
                </m:r>
                <m:sSub>
                  <m:sSubPr>
                    <m:ctrlPr>
                      <w:rPr>
                        <w:rFonts w:ascii="Cambria Math" w:hAnsi="Cambria Math"/>
                        <w:i/>
                      </w:rPr>
                    </m:ctrlPr>
                  </m:sSubPr>
                  <m:e>
                    <m:r>
                      <w:rPr>
                        <w:rFonts w:ascii="Cambria Math" w:hAnsi="Cambria Math"/>
                      </w:rPr>
                      <m:t>R</m:t>
                    </m:r>
                  </m:e>
                  <m:sub>
                    <m:r>
                      <w:rPr>
                        <w:rFonts w:ascii="Cambria Math" w:hAnsi="Cambria Math"/>
                      </w:rPr>
                      <m:t>p,z,g,y</m:t>
                    </m:r>
                  </m:sub>
                </m:sSub>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hAnsi="Cambria Math"/>
                      </w:rPr>
                      <m:t>p,z,g,y</m:t>
                    </m:r>
                  </m:sub>
                </m:sSub>
                <m:r>
                  <w:rPr>
                    <w:rFonts w:ascii="Cambria Math" w:eastAsiaTheme="minorEastAsia" w:hAnsi="Cambria Math"/>
                  </w:rPr>
                  <m:t>⋅CapFacto</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p,z</m:t>
                    </m:r>
                  </m:sub>
                </m:sSub>
                <m:r>
                  <w:rPr>
                    <w:rFonts w:ascii="Cambria Math" w:eastAsiaTheme="minorEastAsia" w:hAnsi="Cambria Math"/>
                  </w:rPr>
                  <m:t xml:space="preserve">     ∀p,z,g,y</m:t>
                </m:r>
              </m:oMath>
            </m:oMathPara>
          </w:p>
        </w:tc>
        <w:tc>
          <w:tcPr>
            <w:tcW w:w="250" w:type="pct"/>
            <w:shd w:val="clear" w:color="auto" w:fill="auto"/>
            <w:vAlign w:val="center"/>
          </w:tcPr>
          <w:p w14:paraId="3CA67F5D" w14:textId="1B94BB61" w:rsidR="0041538E" w:rsidRPr="00BF2BA0" w:rsidRDefault="0041538E" w:rsidP="0041538E">
            <w:pPr>
              <w:jc w:val="center"/>
            </w:pPr>
            <w:bookmarkStart w:id="210" w:name="_Ref43451124"/>
            <w:r w:rsidRPr="00A30E3B">
              <w:t>(</w:t>
            </w:r>
            <w:r w:rsidR="001C1DD0">
              <w:t>B.9</w:t>
            </w:r>
            <w:r w:rsidRPr="00A30E3B">
              <w:t>)</w:t>
            </w:r>
            <w:bookmarkEnd w:id="210"/>
          </w:p>
        </w:tc>
      </w:tr>
    </w:tbl>
    <w:p w14:paraId="3B129233" w14:textId="50AD80D3" w:rsidR="0041538E" w:rsidRDefault="00125079" w:rsidP="0041538E">
      <w:pPr>
        <w:rPr>
          <w:rFonts w:eastAsiaTheme="minorEastAsia"/>
        </w:rPr>
      </w:pPr>
      <w:r>
        <w:t xml:space="preserve">Maximum </w:t>
      </w:r>
      <w:r w:rsidR="0041538E">
        <w:t>installed capacity of electrolysis production from onshore wind</w:t>
      </w:r>
      <w: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
        <w:gridCol w:w="7977"/>
        <w:gridCol w:w="748"/>
      </w:tblGrid>
      <w:tr w:rsidR="0041538E" w14:paraId="35222A82" w14:textId="77777777" w:rsidTr="00E5050E">
        <w:tc>
          <w:tcPr>
            <w:tcW w:w="167" w:type="pct"/>
            <w:shd w:val="clear" w:color="auto" w:fill="auto"/>
          </w:tcPr>
          <w:p w14:paraId="527F8A3D" w14:textId="77777777" w:rsidR="0041538E" w:rsidRDefault="0041538E" w:rsidP="0041538E"/>
        </w:tc>
        <w:tc>
          <w:tcPr>
            <w:tcW w:w="4418" w:type="pct"/>
            <w:shd w:val="clear" w:color="auto" w:fill="auto"/>
            <w:vAlign w:val="center"/>
          </w:tcPr>
          <w:p w14:paraId="01E72C97" w14:textId="52DBF45F" w:rsidR="0041538E" w:rsidRDefault="00125079" w:rsidP="00125079">
            <m:oMathPara>
              <m:oMath>
                <m:r>
                  <w:rPr>
                    <w:rFonts w:ascii="Cambria Math" w:hAnsi="Cambria Math"/>
                  </w:rPr>
                  <m:t>2</m:t>
                </m:r>
                <m:rad>
                  <m:radPr>
                    <m:degHide m:val="1"/>
                    <m:ctrlPr>
                      <w:rPr>
                        <w:rFonts w:ascii="Cambria Math" w:hAnsi="Cambria Math"/>
                        <w:i/>
                      </w:rPr>
                    </m:ctrlPr>
                  </m:radPr>
                  <m:deg/>
                  <m:e>
                    <m:r>
                      <w:rPr>
                        <w:rFonts w:ascii="Cambria Math" w:hAnsi="Cambria Math"/>
                      </w:rPr>
                      <m:t>3</m:t>
                    </m:r>
                  </m:e>
                </m:ra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m:t>
                        </m:r>
                        <m:sSup>
                          <m:sSupPr>
                            <m:ctrlPr>
                              <w:rPr>
                                <w:rFonts w:ascii="Cambria Math" w:hAnsi="Cambria Math"/>
                                <w:i/>
                              </w:rPr>
                            </m:ctrlPr>
                          </m:sSupPr>
                          <m:e>
                            <m:r>
                              <w:rPr>
                                <w:rFonts w:ascii="Cambria Math" w:hAnsi="Cambria Math"/>
                              </w:rPr>
                              <m:t>R</m:t>
                            </m:r>
                          </m:e>
                          <m:sup>
                            <m:r>
                              <w:rPr>
                                <w:rFonts w:ascii="Cambria Math" w:hAnsi="Cambria Math"/>
                              </w:rPr>
                              <m:t>W</m:t>
                            </m:r>
                          </m:sup>
                        </m:sSup>
                      </m:e>
                    </m:d>
                  </m:e>
                  <m:sup>
                    <m:r>
                      <w:rPr>
                        <w:rFonts w:ascii="Cambria Math" w:hAnsi="Cambria Math"/>
                      </w:rPr>
                      <m:t>2</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eastAsiaTheme="minorEastAsia" w:hAnsi="Cambria Math"/>
                              </w:rPr>
                              <m:t>OnshoreWind</m:t>
                            </m:r>
                            <m:r>
                              <w:rPr>
                                <w:rFonts w:ascii="Cambria Math" w:hAnsi="Cambria Math"/>
                              </w:rPr>
                              <m:t>,z,g,y</m:t>
                            </m:r>
                          </m:sub>
                        </m:sSub>
                      </m:num>
                      <m:den>
                        <m:r>
                          <w:rPr>
                            <w:rFonts w:ascii="Cambria Math" w:hAnsi="Cambria Math"/>
                          </w:rPr>
                          <m:t>PCa</m:t>
                        </m:r>
                        <m:sSup>
                          <m:sSupPr>
                            <m:ctrlPr>
                              <w:rPr>
                                <w:rFonts w:ascii="Cambria Math" w:hAnsi="Cambria Math"/>
                                <w:i/>
                              </w:rPr>
                            </m:ctrlPr>
                          </m:sSupPr>
                          <m:e>
                            <m:r>
                              <w:rPr>
                                <w:rFonts w:ascii="Cambria Math" w:hAnsi="Cambria Math"/>
                              </w:rPr>
                              <m:t>p</m:t>
                            </m:r>
                          </m:e>
                          <m:sup>
                            <m:r>
                              <w:rPr>
                                <w:rFonts w:ascii="Cambria Math" w:hAnsi="Cambria Math"/>
                              </w:rPr>
                              <m:t>Turbine,Max</m:t>
                            </m:r>
                          </m:sup>
                        </m:sSup>
                      </m:den>
                    </m:f>
                  </m:e>
                </m:d>
                <m: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z</m:t>
                    </m:r>
                  </m:sub>
                </m:sSub>
                <m:r>
                  <w:rPr>
                    <w:rFonts w:ascii="Cambria Math" w:eastAsiaTheme="minorEastAsia" w:hAnsi="Cambria Math"/>
                  </w:rPr>
                  <m:t xml:space="preserve">    ∀z,g,y</m:t>
                </m:r>
              </m:oMath>
            </m:oMathPara>
          </w:p>
        </w:tc>
        <w:tc>
          <w:tcPr>
            <w:tcW w:w="414" w:type="pct"/>
            <w:shd w:val="clear" w:color="auto" w:fill="auto"/>
            <w:vAlign w:val="center"/>
          </w:tcPr>
          <w:p w14:paraId="1CA65BF3" w14:textId="01387530" w:rsidR="0041538E" w:rsidRPr="00BF2BA0" w:rsidRDefault="0041538E" w:rsidP="0041538E">
            <w:pPr>
              <w:jc w:val="center"/>
            </w:pPr>
            <w:bookmarkStart w:id="211" w:name="_Ref49242860"/>
            <w:r w:rsidRPr="00BF2BA0">
              <w:t>(</w:t>
            </w:r>
            <w:r w:rsidR="001C1DD0">
              <w:t>B.10</w:t>
            </w:r>
            <w:r w:rsidRPr="00BF2BA0">
              <w:t>)</w:t>
            </w:r>
            <w:bookmarkEnd w:id="211"/>
          </w:p>
        </w:tc>
      </w:tr>
    </w:tbl>
    <w:p w14:paraId="10B980B3" w14:textId="77777777" w:rsidR="00E5050E" w:rsidRDefault="00E5050E" w:rsidP="00E5050E">
      <w:r>
        <w:t>Maximum installed capacity of electrolysis production from solar PV:</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976"/>
        <w:gridCol w:w="748"/>
      </w:tblGrid>
      <w:tr w:rsidR="00E5050E" w14:paraId="27265E98" w14:textId="77777777" w:rsidTr="00F4052C">
        <w:tc>
          <w:tcPr>
            <w:tcW w:w="216" w:type="pct"/>
            <w:shd w:val="clear" w:color="auto" w:fill="auto"/>
          </w:tcPr>
          <w:p w14:paraId="378B1C15" w14:textId="77777777" w:rsidR="00E5050E" w:rsidRDefault="00E5050E" w:rsidP="00F4052C"/>
        </w:tc>
        <w:tc>
          <w:tcPr>
            <w:tcW w:w="4467" w:type="pct"/>
            <w:shd w:val="clear" w:color="auto" w:fill="auto"/>
            <w:vAlign w:val="center"/>
          </w:tcPr>
          <w:p w14:paraId="6EC12F49" w14:textId="77777777" w:rsidR="00E5050E" w:rsidRDefault="00903D45" w:rsidP="00F4052C">
            <m:oMathPara>
              <m:oMath>
                <m:f>
                  <m:fPr>
                    <m:ctrlPr>
                      <w:rPr>
                        <w:rFonts w:ascii="Cambria Math" w:hAnsi="Cambria Math"/>
                        <w:i/>
                      </w:rPr>
                    </m:ctrlPr>
                  </m:fPr>
                  <m:num>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eastAsiaTheme="minorEastAsia" w:hAnsi="Cambria Math"/>
                          </w:rPr>
                          <m:t>SolarPV</m:t>
                        </m:r>
                        <m:r>
                          <w:rPr>
                            <w:rFonts w:ascii="Cambria Math" w:hAnsi="Cambria Math"/>
                          </w:rPr>
                          <m:t>,z,g,y</m:t>
                        </m:r>
                      </m:sub>
                    </m:sSub>
                  </m:num>
                  <m:den>
                    <m:r>
                      <w:rPr>
                        <w:rFonts w:ascii="Cambria Math" w:hAnsi="Cambria Math"/>
                      </w:rPr>
                      <m:t>PCa</m:t>
                    </m:r>
                    <m:sSup>
                      <m:sSupPr>
                        <m:ctrlPr>
                          <w:rPr>
                            <w:rFonts w:ascii="Cambria Math" w:hAnsi="Cambria Math"/>
                            <w:i/>
                          </w:rPr>
                        </m:ctrlPr>
                      </m:sSupPr>
                      <m:e>
                        <m:r>
                          <w:rPr>
                            <w:rFonts w:ascii="Cambria Math" w:hAnsi="Cambria Math"/>
                          </w:rPr>
                          <m:t>p</m:t>
                        </m:r>
                      </m:e>
                      <m:sup>
                        <m:r>
                          <w:rPr>
                            <w:rFonts w:ascii="Cambria Math" w:hAnsi="Cambria Math"/>
                          </w:rPr>
                          <m:t>SolarPV</m:t>
                        </m:r>
                      </m:sup>
                    </m:sSup>
                  </m:den>
                </m:f>
                <m: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z</m:t>
                    </m:r>
                  </m:sub>
                </m:sSub>
                <m:r>
                  <w:rPr>
                    <w:rFonts w:ascii="Cambria Math" w:eastAsiaTheme="minorEastAsia" w:hAnsi="Cambria Math"/>
                  </w:rPr>
                  <m:t xml:space="preserve">    ∀z,g,y</m:t>
                </m:r>
              </m:oMath>
            </m:oMathPara>
          </w:p>
        </w:tc>
        <w:tc>
          <w:tcPr>
            <w:tcW w:w="317" w:type="pct"/>
            <w:shd w:val="clear" w:color="auto" w:fill="auto"/>
            <w:vAlign w:val="center"/>
          </w:tcPr>
          <w:p w14:paraId="044005AD" w14:textId="77777777" w:rsidR="00E5050E" w:rsidRPr="00BF2BA0" w:rsidRDefault="00E5050E" w:rsidP="00F4052C">
            <w:pPr>
              <w:jc w:val="center"/>
            </w:pPr>
            <w:r w:rsidRPr="00BF2BA0">
              <w:t>(</w:t>
            </w:r>
            <w:r>
              <w:t>B.11</w:t>
            </w:r>
            <w:r w:rsidRPr="00BF2BA0">
              <w:t>)</w:t>
            </w:r>
          </w:p>
        </w:tc>
      </w:tr>
    </w:tbl>
    <w:p w14:paraId="7AC594AA" w14:textId="1C96A1DD" w:rsidR="0041538E" w:rsidRDefault="0041538E" w:rsidP="0041538E">
      <w:pPr>
        <w:rPr>
          <w:rFonts w:eastAsiaTheme="minorEastAsia"/>
        </w:rPr>
      </w:pPr>
      <w:r>
        <w:t>The installed capacity of production facilities can be described as all vintage capacity independently of when it was installed</w:t>
      </w:r>
      <w:r w:rsidR="00F45ABD">
        <w:t>:</w:t>
      </w:r>
      <w:r>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00"/>
        <w:gridCol w:w="1204"/>
      </w:tblGrid>
      <w:tr w:rsidR="0041538E" w14:paraId="667E628C" w14:textId="77777777" w:rsidTr="0041538E">
        <w:tc>
          <w:tcPr>
            <w:tcW w:w="123" w:type="pct"/>
            <w:shd w:val="clear" w:color="auto" w:fill="auto"/>
          </w:tcPr>
          <w:p w14:paraId="08E53CFD" w14:textId="77777777" w:rsidR="0041538E" w:rsidRDefault="0041538E" w:rsidP="0041538E"/>
        </w:tc>
        <w:tc>
          <w:tcPr>
            <w:tcW w:w="4210" w:type="pct"/>
            <w:shd w:val="clear" w:color="auto" w:fill="auto"/>
            <w:vAlign w:val="center"/>
          </w:tcPr>
          <w:p w14:paraId="5D6179DE" w14:textId="77777777" w:rsidR="0041538E" w:rsidRDefault="0041538E" w:rsidP="0041538E">
            <w:pPr>
              <w:jc w:val="center"/>
            </w:pPr>
            <m:oMathPara>
              <m:oMath>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hAnsi="Cambria Math"/>
                      </w:rPr>
                      <m:t>p,z,g,</m:t>
                    </m:r>
                    <m:sSup>
                      <m:sSupPr>
                        <m:ctrlPr>
                          <w:rPr>
                            <w:rFonts w:ascii="Cambria Math" w:hAnsi="Cambria Math"/>
                            <w:i/>
                          </w:rPr>
                        </m:ctrlPr>
                      </m:sSupPr>
                      <m:e>
                        <m:r>
                          <w:rPr>
                            <w:rFonts w:ascii="Cambria Math" w:hAnsi="Cambria Math"/>
                          </w:rPr>
                          <m:t>y</m:t>
                        </m:r>
                      </m:e>
                      <m:sup>
                        <m:r>
                          <w:rPr>
                            <w:rFonts w:ascii="Cambria Math" w:hAnsi="Cambria Math"/>
                          </w:rPr>
                          <m:t>'</m:t>
                        </m:r>
                      </m:sup>
                    </m:sSup>
                  </m:sub>
                </m:sSub>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sub>
                    </m:sSub>
                  </m:e>
                </m:nary>
                <m:r>
                  <w:rPr>
                    <w:rFonts w:ascii="Cambria Math" w:eastAsiaTheme="minorEastAsia" w:hAnsi="Cambria Math"/>
                  </w:rPr>
                  <m:t xml:space="preserve">      ∀p,z,g,</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668" w:type="pct"/>
            <w:shd w:val="clear" w:color="auto" w:fill="auto"/>
            <w:vAlign w:val="center"/>
          </w:tcPr>
          <w:p w14:paraId="7F8D302E" w14:textId="643B6D05" w:rsidR="0041538E" w:rsidRPr="00BF2BA0" w:rsidRDefault="0041538E" w:rsidP="0041538E">
            <w:pPr>
              <w:jc w:val="center"/>
            </w:pPr>
            <w:bookmarkStart w:id="212" w:name="_Ref43230121"/>
            <w:r w:rsidRPr="00BF2BA0">
              <w:t>(</w:t>
            </w:r>
            <w:r w:rsidR="001C1DD0">
              <w:t>B.</w:t>
            </w:r>
            <w:r w:rsidR="005851DD">
              <w:t>12</w:t>
            </w:r>
            <w:r w:rsidRPr="00BF2BA0">
              <w:t>)</w:t>
            </w:r>
            <w:bookmarkEnd w:id="212"/>
          </w:p>
        </w:tc>
      </w:tr>
    </w:tbl>
    <w:p w14:paraId="19978F38" w14:textId="053465FF" w:rsidR="0041538E" w:rsidRDefault="0041538E" w:rsidP="0041538E">
      <w:pPr>
        <w:rPr>
          <w:rFonts w:eastAsiaTheme="minorEastAsia"/>
        </w:rPr>
      </w:pPr>
      <w:r>
        <w:rPr>
          <w:rFonts w:eastAsiaTheme="minorEastAsia"/>
        </w:rPr>
        <w:t>The vintage production capacity is the new production capacity of each year minus what has previously been decommissioned</w:t>
      </w:r>
      <w:r w:rsidR="00F45ABD">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270CD1FB" w14:textId="77777777" w:rsidTr="0041538E">
        <w:tc>
          <w:tcPr>
            <w:tcW w:w="250" w:type="pct"/>
            <w:shd w:val="clear" w:color="auto" w:fill="auto"/>
          </w:tcPr>
          <w:p w14:paraId="665E2292" w14:textId="77777777" w:rsidR="0041538E" w:rsidRDefault="0041538E" w:rsidP="0041538E"/>
        </w:tc>
        <w:tc>
          <w:tcPr>
            <w:tcW w:w="4500" w:type="pct"/>
            <w:shd w:val="clear" w:color="auto" w:fill="auto"/>
            <w:vAlign w:val="center"/>
          </w:tcPr>
          <w:p w14:paraId="446122F7" w14:textId="77777777" w:rsidR="0041538E" w:rsidRDefault="0041538E" w:rsidP="0041538E">
            <w:pPr>
              <w:jc w:val="center"/>
            </w:pPr>
            <m:oMathPara>
              <m:oMath>
                <m:r>
                  <w:rPr>
                    <w:rFonts w:ascii="Cambria Math" w:hAnsi="Cambria Math"/>
                  </w:rPr>
                  <m:t>VPRCa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sub>
                </m:sSub>
                <m:r>
                  <w:rPr>
                    <w:rFonts w:ascii="Cambria Math" w:hAnsi="Cambria Math"/>
                  </w:rPr>
                  <m:t>=NPRCa</m:t>
                </m:r>
                <m:sSub>
                  <m:sSubPr>
                    <m:ctrlPr>
                      <w:rPr>
                        <w:rFonts w:ascii="Cambria Math" w:hAnsi="Cambria Math"/>
                        <w:i/>
                      </w:rPr>
                    </m:ctrlPr>
                  </m:sSubPr>
                  <m:e>
                    <m:r>
                      <w:rPr>
                        <w:rFonts w:ascii="Cambria Math" w:hAnsi="Cambria Math"/>
                      </w:rPr>
                      <m:t>p</m:t>
                    </m:r>
                  </m:e>
                  <m:sub>
                    <m:r>
                      <w:rPr>
                        <w:rFonts w:ascii="Cambria Math" w:hAnsi="Cambria Math"/>
                      </w:rPr>
                      <m:t>p,z,g,y</m:t>
                    </m:r>
                  </m:sub>
                </m:sSub>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sub>
                    </m:sSub>
                  </m:e>
                </m:nary>
                <m:r>
                  <w:rPr>
                    <w:rFonts w:ascii="Cambria Math" w:eastAsiaTheme="minorEastAsia" w:hAnsi="Cambria Math"/>
                  </w:rPr>
                  <m:t xml:space="preserve">      ∀p,z,g,y≤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250" w:type="pct"/>
            <w:shd w:val="clear" w:color="auto" w:fill="auto"/>
            <w:vAlign w:val="center"/>
          </w:tcPr>
          <w:p w14:paraId="5D873518" w14:textId="47E887A6" w:rsidR="0041538E" w:rsidRPr="00BF2BA0" w:rsidRDefault="0041538E" w:rsidP="0041538E">
            <w:pPr>
              <w:jc w:val="center"/>
            </w:pPr>
            <w:bookmarkStart w:id="213" w:name="_Ref43230577"/>
            <w:r w:rsidRPr="00BF2BA0">
              <w:t>(</w:t>
            </w:r>
            <w:r w:rsidR="001C1DD0">
              <w:t>B.</w:t>
            </w:r>
            <w:r w:rsidR="005851DD">
              <w:t>13</w:t>
            </w:r>
            <w:r w:rsidRPr="00BF2BA0">
              <w:t>)</w:t>
            </w:r>
            <w:bookmarkEnd w:id="213"/>
          </w:p>
        </w:tc>
      </w:tr>
    </w:tbl>
    <w:p w14:paraId="31E0521E" w14:textId="6685B5D2" w:rsidR="0041538E" w:rsidRDefault="00F45ABD" w:rsidP="0041538E">
      <w:r>
        <w:t>E</w:t>
      </w:r>
      <w:r w:rsidR="0041538E">
        <w:t>quipment is decommissioned once it has reached its lifetime</w:t>
      </w:r>
      <w: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045B507C" w14:textId="77777777" w:rsidTr="0041538E">
        <w:tc>
          <w:tcPr>
            <w:tcW w:w="250" w:type="pct"/>
            <w:shd w:val="clear" w:color="auto" w:fill="auto"/>
          </w:tcPr>
          <w:p w14:paraId="05BB0AC4" w14:textId="77777777" w:rsidR="0041538E" w:rsidRDefault="0041538E" w:rsidP="0041538E"/>
        </w:tc>
        <w:tc>
          <w:tcPr>
            <w:tcW w:w="4500" w:type="pct"/>
            <w:shd w:val="clear" w:color="auto" w:fill="auto"/>
            <w:vAlign w:val="center"/>
          </w:tcPr>
          <w:p w14:paraId="7398A7B7" w14:textId="77777777" w:rsidR="0041538E" w:rsidRDefault="0041538E" w:rsidP="0041538E">
            <w:pPr>
              <w:jc w:val="center"/>
            </w:pPr>
            <m:oMathPara>
              <m:oMath>
                <m:r>
                  <w:rPr>
                    <w:rFonts w:ascii="Cambria Math" w:hAnsi="Cambria Math"/>
                  </w:rPr>
                  <m:t>NPRCa</m:t>
                </m:r>
                <m:sSub>
                  <m:sSubPr>
                    <m:ctrlPr>
                      <w:rPr>
                        <w:rFonts w:ascii="Cambria Math" w:hAnsi="Cambria Math"/>
                        <w:i/>
                      </w:rPr>
                    </m:ctrlPr>
                  </m:sSubPr>
                  <m:e>
                    <m:r>
                      <w:rPr>
                        <w:rFonts w:ascii="Cambria Math" w:hAnsi="Cambria Math"/>
                      </w:rPr>
                      <m:t>p</m:t>
                    </m:r>
                  </m:e>
                  <m:sub>
                    <m:r>
                      <w:rPr>
                        <w:rFonts w:ascii="Cambria Math" w:hAnsi="Cambria Math"/>
                      </w:rPr>
                      <m:t>p,z,g,y</m:t>
                    </m:r>
                  </m:sub>
                </m:sSub>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sSub>
                      <m:sSubPr>
                        <m:ctrlPr>
                          <w:rPr>
                            <w:rFonts w:ascii="Cambria Math" w:hAnsi="Cambria Math"/>
                            <w:i/>
                          </w:rPr>
                        </m:ctrlPr>
                      </m:sSubPr>
                      <m:e>
                        <m:r>
                          <w:rPr>
                            <w:rFonts w:ascii="Cambria Math" w:hAnsi="Cambria Math"/>
                          </w:rPr>
                          <m:t xml:space="preserve"> Lprod</m:t>
                        </m:r>
                      </m:e>
                      <m:sub>
                        <m:r>
                          <w:rPr>
                            <w:rFonts w:ascii="Cambria Math" w:hAnsi="Cambria Math"/>
                          </w:rPr>
                          <m:t>p</m:t>
                        </m:r>
                      </m:sub>
                    </m:sSub>
                  </m:sup>
                  <m:e>
                    <m:r>
                      <w:rPr>
                        <w:rFonts w:ascii="Cambria Math" w:eastAsiaTheme="minorEastAsia" w:hAnsi="Cambria Math"/>
                      </w:rPr>
                      <m:t>DPRCa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sub>
                    </m:sSub>
                  </m:e>
                </m:nary>
                <m:r>
                  <w:rPr>
                    <w:rFonts w:ascii="Cambria Math" w:eastAsiaTheme="minorEastAsia" w:hAnsi="Cambria Math"/>
                  </w:rPr>
                  <m:t xml:space="preserve">      ∀p,z,g,y</m:t>
                </m:r>
              </m:oMath>
            </m:oMathPara>
          </w:p>
        </w:tc>
        <w:tc>
          <w:tcPr>
            <w:tcW w:w="250" w:type="pct"/>
            <w:shd w:val="clear" w:color="auto" w:fill="auto"/>
            <w:vAlign w:val="center"/>
          </w:tcPr>
          <w:p w14:paraId="4266FF42" w14:textId="61000753" w:rsidR="0041538E" w:rsidRPr="00BF2BA0" w:rsidRDefault="0041538E" w:rsidP="0041538E">
            <w:pPr>
              <w:jc w:val="center"/>
            </w:pPr>
            <w:bookmarkStart w:id="214" w:name="_Ref43295673"/>
            <w:r w:rsidRPr="00BF2BA0">
              <w:t>(</w:t>
            </w:r>
            <w:r w:rsidR="001C1DD0">
              <w:t>B.</w:t>
            </w:r>
            <w:r w:rsidR="005851DD">
              <w:t>14</w:t>
            </w:r>
            <w:r w:rsidRPr="00BF2BA0">
              <w:t>)</w:t>
            </w:r>
            <w:bookmarkEnd w:id="214"/>
          </w:p>
        </w:tc>
      </w:tr>
    </w:tbl>
    <w:p w14:paraId="3E2B5FCB" w14:textId="2617DC21" w:rsidR="0041538E" w:rsidRDefault="00F45ABD" w:rsidP="0041538E">
      <w:r>
        <w:t>B</w:t>
      </w:r>
      <w:r w:rsidR="0041538E">
        <w:t>oundary conditions</w:t>
      </w:r>
      <w:r>
        <w:t>:</w:t>
      </w:r>
      <w:r w:rsidR="0041538E">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25"/>
        <w:gridCol w:w="1204"/>
      </w:tblGrid>
      <w:tr w:rsidR="0041538E" w14:paraId="390718E4" w14:textId="77777777" w:rsidTr="009D7E74">
        <w:tc>
          <w:tcPr>
            <w:tcW w:w="123" w:type="pct"/>
            <w:shd w:val="clear" w:color="auto" w:fill="auto"/>
          </w:tcPr>
          <w:p w14:paraId="2106B1CF" w14:textId="77777777" w:rsidR="0041538E" w:rsidRDefault="0041538E" w:rsidP="0041538E"/>
        </w:tc>
        <w:tc>
          <w:tcPr>
            <w:tcW w:w="4210" w:type="pct"/>
            <w:gridSpan w:val="2"/>
            <w:shd w:val="clear" w:color="auto" w:fill="auto"/>
            <w:vAlign w:val="center"/>
          </w:tcPr>
          <w:p w14:paraId="18E01B7B" w14:textId="77777777" w:rsidR="0041538E" w:rsidRDefault="0041538E" w:rsidP="0041538E">
            <w:pPr>
              <w:jc w:val="center"/>
            </w:pPr>
            <m:oMathPara>
              <m:oMath>
                <m:r>
                  <w:rPr>
                    <w:rFonts w:ascii="Cambria Math" w:hAnsi="Cambria Math"/>
                  </w:rPr>
                  <m:t>VPRCa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sub>
                </m:sSub>
                <m:r>
                  <w:rPr>
                    <w:rFonts w:ascii="Cambria Math" w:hAnsi="Cambria Math"/>
                  </w:rPr>
                  <m:t>=0</m:t>
                </m:r>
                <m:r>
                  <w:rPr>
                    <w:rFonts w:ascii="Cambria Math" w:eastAsiaTheme="minorEastAsia" w:hAnsi="Cambria Math"/>
                  </w:rPr>
                  <m:t xml:space="preserve">      ∀p,z,g,y&gt;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667" w:type="pct"/>
            <w:shd w:val="clear" w:color="auto" w:fill="auto"/>
            <w:vAlign w:val="center"/>
          </w:tcPr>
          <w:p w14:paraId="688B09E2" w14:textId="1AA18E0B" w:rsidR="0041538E" w:rsidRPr="00BF2BA0" w:rsidRDefault="0041538E" w:rsidP="0041538E">
            <w:pPr>
              <w:jc w:val="center"/>
            </w:pPr>
            <w:bookmarkStart w:id="215" w:name="_Ref43295789"/>
            <w:r w:rsidRPr="00BF2BA0">
              <w:t>(</w:t>
            </w:r>
            <w:r w:rsidR="001C1DD0">
              <w:t>B.</w:t>
            </w:r>
            <w:r w:rsidR="005851DD">
              <w:t>15</w:t>
            </w:r>
            <w:r w:rsidRPr="00BF2BA0">
              <w:t>)</w:t>
            </w:r>
            <w:bookmarkEnd w:id="215"/>
          </w:p>
        </w:tc>
      </w:tr>
      <w:tr w:rsidR="0041538E" w14:paraId="55C79316" w14:textId="77777777" w:rsidTr="0041538E">
        <w:tc>
          <w:tcPr>
            <w:tcW w:w="123" w:type="pct"/>
            <w:shd w:val="clear" w:color="auto" w:fill="auto"/>
          </w:tcPr>
          <w:p w14:paraId="6052AAFC" w14:textId="77777777" w:rsidR="0041538E" w:rsidRDefault="0041538E" w:rsidP="0041538E"/>
        </w:tc>
        <w:tc>
          <w:tcPr>
            <w:tcW w:w="4141" w:type="pct"/>
            <w:shd w:val="clear" w:color="auto" w:fill="auto"/>
            <w:vAlign w:val="center"/>
          </w:tcPr>
          <w:p w14:paraId="5E765C50" w14:textId="77777777" w:rsidR="0041538E" w:rsidRDefault="0041538E" w:rsidP="0041538E">
            <w:pPr>
              <w:jc w:val="center"/>
            </w:pPr>
            <m:oMathPara>
              <m:oMath>
                <m:r>
                  <w:rPr>
                    <w:rFonts w:ascii="Cambria Math" w:eastAsiaTheme="minorEastAsia" w:hAnsi="Cambria Math"/>
                  </w:rPr>
                  <m:t>DPRCa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sub>
                </m:sSub>
                <m:r>
                  <w:rPr>
                    <w:rFonts w:ascii="Cambria Math" w:hAnsi="Cambria Math"/>
                  </w:rPr>
                  <m:t>=0</m:t>
                </m:r>
                <m:r>
                  <w:rPr>
                    <w:rFonts w:ascii="Cambria Math" w:eastAsiaTheme="minorEastAsia" w:hAnsi="Cambria Math"/>
                  </w:rPr>
                  <m:t xml:space="preserve">      ∀p,z,g,y≥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gridSpan w:val="2"/>
            <w:shd w:val="clear" w:color="auto" w:fill="auto"/>
            <w:vAlign w:val="center"/>
          </w:tcPr>
          <w:p w14:paraId="7DC04FF0" w14:textId="2622B287" w:rsidR="0041538E" w:rsidRPr="00BF2BA0" w:rsidRDefault="0041538E" w:rsidP="0041538E">
            <w:pPr>
              <w:jc w:val="center"/>
            </w:pPr>
            <w:bookmarkStart w:id="216" w:name="_Ref43295895"/>
            <w:r w:rsidRPr="00BF2BA0">
              <w:t>(</w:t>
            </w:r>
            <w:r w:rsidR="001C1DD0">
              <w:t>B.</w:t>
            </w:r>
            <w:r w:rsidR="005851DD">
              <w:t>16</w:t>
            </w:r>
            <w:r w:rsidRPr="00BF2BA0">
              <w:t>)</w:t>
            </w:r>
            <w:bookmarkEnd w:id="216"/>
          </w:p>
        </w:tc>
      </w:tr>
    </w:tbl>
    <w:p w14:paraId="57E05298" w14:textId="77777777" w:rsidR="009D7E74" w:rsidRDefault="009D7E74" w:rsidP="009D7E74">
      <w:pPr>
        <w:pStyle w:val="Heading8"/>
      </w:pPr>
      <w:bookmarkStart w:id="217" w:name="_Toc50359418"/>
      <w:r>
        <w:t>Transportation Constraints</w:t>
      </w:r>
      <w:bookmarkEnd w:id="217"/>
    </w:p>
    <w:p w14:paraId="53CD7446" w14:textId="48EA49D8" w:rsidR="009D7E74" w:rsidRDefault="009D7E74" w:rsidP="009D7E74">
      <w:r>
        <w:t xml:space="preserve">Transportation is made up of local intra-zonal distribution and regional inter-zonal transmission. This is represented in the model by having two different variables for flow of hydrogen,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oMath>
      <w:r>
        <w:rPr>
          <w:rFonts w:eastAsiaTheme="minor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oMath>
      <w:r>
        <w:rPr>
          <w:rFonts w:eastAsiaTheme="minorEastAsia"/>
        </w:rPr>
        <w:t>, representing the local distribution and regional transmission in kW, respectively.</w:t>
      </w:r>
      <w:r>
        <w:t xml:space="preserve"> The installed transport capacity for both local distribution and regional transmission must be greater than their respective flows, as represented by Equations </w:t>
      </w:r>
      <w:r w:rsidR="00E41B8C">
        <w:t>(B.1</w:t>
      </w:r>
      <w:r w:rsidR="005851DD">
        <w:t>7</w:t>
      </w:r>
      <w:r w:rsidR="00E41B8C">
        <w:t>)</w:t>
      </w:r>
      <w:r>
        <w:t xml:space="preserve"> and </w:t>
      </w:r>
      <w:r w:rsidR="00E41B8C">
        <w:t>(B.1</w:t>
      </w:r>
      <w:r w:rsidR="005851DD">
        <w:t>8</w:t>
      </w:r>
      <w:r w:rsidR="00E41B8C">
        <w:t>)</w:t>
      </w:r>
      <w: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9D7E74" w14:paraId="31C33968" w14:textId="77777777" w:rsidTr="003B4CD4">
        <w:tc>
          <w:tcPr>
            <w:tcW w:w="123" w:type="pct"/>
            <w:shd w:val="clear" w:color="auto" w:fill="auto"/>
          </w:tcPr>
          <w:p w14:paraId="0BF28038" w14:textId="77777777" w:rsidR="009D7E74" w:rsidRDefault="009D7E74" w:rsidP="003B4CD4"/>
        </w:tc>
        <w:tc>
          <w:tcPr>
            <w:tcW w:w="4141" w:type="pct"/>
            <w:shd w:val="clear" w:color="auto" w:fill="auto"/>
            <w:vAlign w:val="center"/>
          </w:tcPr>
          <w:p w14:paraId="712D8F33" w14:textId="77777777" w:rsidR="009D7E74" w:rsidRDefault="009D7E74" w:rsidP="003B4CD4">
            <w:pPr>
              <w:jc w:val="center"/>
            </w:pPr>
            <m:oMathPara>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l,z,g,y</m:t>
                    </m:r>
                  </m:sub>
                  <m:sup>
                    <m:r>
                      <w:rPr>
                        <w:rFonts w:ascii="Cambria Math" w:hAnsi="Cambria Math"/>
                      </w:rPr>
                      <m:t>L</m:t>
                    </m:r>
                  </m:sup>
                </m:sSubSup>
                <m:r>
                  <w:rPr>
                    <w:rFonts w:ascii="Cambria Math" w:eastAsiaTheme="minorEastAsia" w:hAnsi="Cambria Math"/>
                  </w:rPr>
                  <m:t xml:space="preserve">      ∀l,z,g,y</m:t>
                </m:r>
              </m:oMath>
            </m:oMathPara>
          </w:p>
        </w:tc>
        <w:tc>
          <w:tcPr>
            <w:tcW w:w="736" w:type="pct"/>
            <w:shd w:val="clear" w:color="auto" w:fill="auto"/>
            <w:vAlign w:val="center"/>
          </w:tcPr>
          <w:p w14:paraId="7BDB93D4" w14:textId="5F1FC52C" w:rsidR="009D7E74" w:rsidRPr="00BF2BA0" w:rsidRDefault="009D7E74" w:rsidP="003B4CD4">
            <w:pPr>
              <w:jc w:val="center"/>
            </w:pPr>
            <w:bookmarkStart w:id="218" w:name="_Ref43451495"/>
            <w:r w:rsidRPr="00BF2BA0">
              <w:t>(</w:t>
            </w:r>
            <w:r w:rsidR="001C1DD0">
              <w:t>B.1</w:t>
            </w:r>
            <w:r w:rsidR="005851DD">
              <w:t>7</w:t>
            </w:r>
            <w:r w:rsidRPr="00BF2BA0">
              <w:t>)</w:t>
            </w:r>
            <w:bookmarkEnd w:id="218"/>
          </w:p>
        </w:tc>
      </w:tr>
      <w:tr w:rsidR="009D7E74" w14:paraId="3C565190" w14:textId="77777777" w:rsidTr="003B4CD4">
        <w:tc>
          <w:tcPr>
            <w:tcW w:w="123" w:type="pct"/>
            <w:shd w:val="clear" w:color="auto" w:fill="auto"/>
          </w:tcPr>
          <w:p w14:paraId="297E1B55" w14:textId="77777777" w:rsidR="009D7E74" w:rsidRDefault="009D7E74" w:rsidP="003B4CD4"/>
        </w:tc>
        <w:tc>
          <w:tcPr>
            <w:tcW w:w="4141" w:type="pct"/>
            <w:shd w:val="clear" w:color="auto" w:fill="auto"/>
            <w:vAlign w:val="center"/>
          </w:tcPr>
          <w:p w14:paraId="65EB4978" w14:textId="77777777" w:rsidR="009D7E74" w:rsidRDefault="00903D45" w:rsidP="003B4CD4">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Sub>
                <m:r>
                  <w:rPr>
                    <w:rFonts w:ascii="Cambria Math" w:hAnsi="Cambria Math"/>
                  </w:rPr>
                  <m:t>≤ 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eastAsiaTheme="minorEastAsia" w:hAnsi="Cambria Math"/>
                  </w:rPr>
                  <m:t xml:space="preserve">      ∀l,z,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g,y</m:t>
                </m:r>
              </m:oMath>
            </m:oMathPara>
          </w:p>
        </w:tc>
        <w:tc>
          <w:tcPr>
            <w:tcW w:w="736" w:type="pct"/>
            <w:shd w:val="clear" w:color="auto" w:fill="auto"/>
            <w:vAlign w:val="center"/>
          </w:tcPr>
          <w:p w14:paraId="0E6E6646" w14:textId="7790EF11" w:rsidR="009D7E74" w:rsidRPr="00BF2BA0" w:rsidRDefault="009D7E74" w:rsidP="003B4CD4">
            <w:pPr>
              <w:jc w:val="center"/>
            </w:pPr>
            <w:bookmarkStart w:id="219" w:name="_Ref43451497"/>
            <w:r w:rsidRPr="00BF2BA0">
              <w:t>(</w:t>
            </w:r>
            <w:r w:rsidR="001C1DD0">
              <w:t>B.1</w:t>
            </w:r>
            <w:r w:rsidR="005851DD">
              <w:t>8</w:t>
            </w:r>
            <w:r w:rsidRPr="00BF2BA0">
              <w:t>)</w:t>
            </w:r>
            <w:bookmarkEnd w:id="219"/>
          </w:p>
        </w:tc>
      </w:tr>
    </w:tbl>
    <w:p w14:paraId="5683DBC0" w14:textId="14EF8887" w:rsidR="009D7E74" w:rsidRDefault="009D7E74" w:rsidP="009D7E74">
      <w:r>
        <w:t>Installed capacity for regional transmission is established only between neighbouring zones: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9D7E74" w14:paraId="248DA57E" w14:textId="77777777" w:rsidTr="003B4CD4">
        <w:tc>
          <w:tcPr>
            <w:tcW w:w="250" w:type="pct"/>
            <w:shd w:val="clear" w:color="auto" w:fill="auto"/>
          </w:tcPr>
          <w:p w14:paraId="1B9237CF" w14:textId="77777777" w:rsidR="009D7E74" w:rsidRDefault="009D7E74" w:rsidP="003B4CD4"/>
        </w:tc>
        <w:tc>
          <w:tcPr>
            <w:tcW w:w="4500" w:type="pct"/>
            <w:shd w:val="clear" w:color="auto" w:fill="auto"/>
            <w:vAlign w:val="center"/>
          </w:tcPr>
          <w:p w14:paraId="5373B89F" w14:textId="0F33BBC4" w:rsidR="009D7E74" w:rsidRDefault="009D7E74" w:rsidP="003B4CD4">
            <w:pPr>
              <w:jc w:val="center"/>
            </w:pPr>
            <m:oMathPara>
              <m:oMath>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eastAsiaTheme="minorEastAsia" w:hAnsi="Cambria Math"/>
                  </w:rPr>
                  <m:t>≤M⋅Neigh</m:t>
                </m:r>
                <m:d>
                  <m:dPr>
                    <m:ctrlPr>
                      <w:rPr>
                        <w:rFonts w:ascii="Cambria Math" w:eastAsiaTheme="minorEastAsia" w:hAnsi="Cambria Math"/>
                        <w:i/>
                      </w:rPr>
                    </m:ctrlPr>
                  </m:dPr>
                  <m:e>
                    <m:r>
                      <w:rPr>
                        <w:rFonts w:ascii="Cambria Math" w:eastAsiaTheme="minorEastAsia" w:hAnsi="Cambria Math"/>
                      </w:rPr>
                      <m:t>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e>
                </m:d>
                <m:r>
                  <w:rPr>
                    <w:rFonts w:ascii="Cambria Math" w:eastAsiaTheme="minorEastAsia" w:hAnsi="Cambria Math"/>
                  </w:rPr>
                  <m:t xml:space="preserve">     ∀l,z,</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,g,y</m:t>
                </m:r>
              </m:oMath>
            </m:oMathPara>
          </w:p>
        </w:tc>
        <w:tc>
          <w:tcPr>
            <w:tcW w:w="250" w:type="pct"/>
            <w:shd w:val="clear" w:color="auto" w:fill="auto"/>
            <w:vAlign w:val="center"/>
          </w:tcPr>
          <w:p w14:paraId="197E7CFD" w14:textId="3B02E0C3" w:rsidR="009D7E74" w:rsidRPr="00BF2BA0" w:rsidRDefault="009D7E74" w:rsidP="003B4CD4">
            <w:pPr>
              <w:jc w:val="center"/>
            </w:pPr>
            <w:bookmarkStart w:id="220" w:name="_Ref43307997"/>
            <w:r w:rsidRPr="00BF2BA0">
              <w:t>(</w:t>
            </w:r>
            <w:r w:rsidR="001C1DD0">
              <w:t>B.1</w:t>
            </w:r>
            <w:r w:rsidR="005851DD">
              <w:t>9</w:t>
            </w:r>
            <w:r w:rsidRPr="00BF2BA0">
              <w:t>)</w:t>
            </w:r>
            <w:bookmarkEnd w:id="220"/>
          </w:p>
        </w:tc>
      </w:tr>
    </w:tbl>
    <w:p w14:paraId="6912935C" w14:textId="697F3852" w:rsidR="009D7E74" w:rsidRDefault="009D7E74" w:rsidP="009D7E74">
      <w:r>
        <w:t xml:space="preserve">As the same with production capacities, local and regional transportation capacities are made up of installed capacity, vintage capacity, newly installed capacity, and decommissioned capacity. These are all represented by Equations </w:t>
      </w:r>
      <w:r w:rsidR="00E41B8C">
        <w:t>(B.</w:t>
      </w:r>
      <w:r w:rsidR="005851DD">
        <w:t>20</w:t>
      </w:r>
      <w:r w:rsidR="00E41B8C">
        <w:t>)-(B.</w:t>
      </w:r>
      <w:r w:rsidR="005851DD">
        <w:t>29</w:t>
      </w:r>
      <w:r w:rsidR="00E41B8C">
        <w:t>)</w:t>
      </w:r>
      <w: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05"/>
        <w:gridCol w:w="70"/>
        <w:gridCol w:w="125"/>
        <w:gridCol w:w="1204"/>
      </w:tblGrid>
      <w:tr w:rsidR="009D7E74" w14:paraId="4C6AE286" w14:textId="77777777" w:rsidTr="003B4CD4">
        <w:tc>
          <w:tcPr>
            <w:tcW w:w="123" w:type="pct"/>
            <w:shd w:val="clear" w:color="auto" w:fill="auto"/>
          </w:tcPr>
          <w:p w14:paraId="08AC204B" w14:textId="77777777" w:rsidR="009D7E74" w:rsidRDefault="009D7E74" w:rsidP="003B4CD4"/>
        </w:tc>
        <w:tc>
          <w:tcPr>
            <w:tcW w:w="4102" w:type="pct"/>
            <w:shd w:val="clear" w:color="auto" w:fill="auto"/>
            <w:vAlign w:val="center"/>
          </w:tcPr>
          <w:p w14:paraId="4E5F97FD" w14:textId="77777777" w:rsidR="009D7E74" w:rsidRDefault="009D7E74" w:rsidP="003B4CD4">
            <w:pPr>
              <w:jc w:val="center"/>
            </w:pPr>
            <m:oMathPara>
              <m:oMath>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l,z,g,</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e>
                </m:nary>
                <m:r>
                  <w:rPr>
                    <w:rFonts w:ascii="Cambria Math" w:eastAsiaTheme="minorEastAsia" w:hAnsi="Cambria Math"/>
                  </w:rPr>
                  <m:t xml:space="preserve">      ∀l,z,g,</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75" w:type="pct"/>
            <w:gridSpan w:val="3"/>
            <w:shd w:val="clear" w:color="auto" w:fill="auto"/>
            <w:vAlign w:val="center"/>
          </w:tcPr>
          <w:p w14:paraId="4456AE56" w14:textId="50A088BD" w:rsidR="009D7E74" w:rsidRPr="00BF2BA0" w:rsidRDefault="009D7E74" w:rsidP="003B4CD4">
            <w:pPr>
              <w:jc w:val="center"/>
            </w:pPr>
            <w:bookmarkStart w:id="221" w:name="_Ref43308388"/>
            <w:r w:rsidRPr="00BF2BA0">
              <w:t>(</w:t>
            </w:r>
            <w:r w:rsidR="001C1DD0">
              <w:t>B.</w:t>
            </w:r>
            <w:r w:rsidR="005851DD">
              <w:t>20</w:t>
            </w:r>
            <w:r w:rsidRPr="00BF2BA0">
              <w:t>)</w:t>
            </w:r>
            <w:bookmarkEnd w:id="221"/>
          </w:p>
        </w:tc>
      </w:tr>
      <w:tr w:rsidR="009D7E74" w14:paraId="37B8494C"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 w:type="pct"/>
            <w:tcBorders>
              <w:top w:val="nil"/>
              <w:left w:val="nil"/>
              <w:bottom w:val="nil"/>
              <w:right w:val="nil"/>
            </w:tcBorders>
          </w:tcPr>
          <w:p w14:paraId="3B80FAE2" w14:textId="77777777" w:rsidR="009D7E74" w:rsidRDefault="009D7E74" w:rsidP="003B4CD4"/>
        </w:tc>
        <w:tc>
          <w:tcPr>
            <w:tcW w:w="4102" w:type="pct"/>
            <w:tcBorders>
              <w:top w:val="nil"/>
              <w:left w:val="nil"/>
              <w:bottom w:val="nil"/>
              <w:right w:val="nil"/>
            </w:tcBorders>
          </w:tcPr>
          <w:p w14:paraId="5E257F86" w14:textId="77777777" w:rsidR="009D7E74" w:rsidRDefault="009D7E74" w:rsidP="003B4CD4">
            <w:pPr>
              <w:jc w:val="center"/>
            </w:pPr>
            <m:oMathPara>
              <m:oMath>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r>
                  <w:rPr>
                    <w:rFonts w:ascii="Cambria Math" w:hAnsi="Cambria Math"/>
                  </w:rPr>
                  <m:t>=NTCa</m:t>
                </m:r>
                <m:sSubSup>
                  <m:sSubSupPr>
                    <m:ctrlPr>
                      <w:rPr>
                        <w:rFonts w:ascii="Cambria Math" w:hAnsi="Cambria Math"/>
                        <w:i/>
                      </w:rPr>
                    </m:ctrlPr>
                  </m:sSubSupPr>
                  <m:e>
                    <m:r>
                      <w:rPr>
                        <w:rFonts w:ascii="Cambria Math" w:hAnsi="Cambria Math"/>
                      </w:rPr>
                      <m:t>p</m:t>
                    </m:r>
                  </m:e>
                  <m:sub>
                    <m:r>
                      <w:rPr>
                        <w:rFonts w:ascii="Cambria Math" w:hAnsi="Cambria Math"/>
                      </w:rPr>
                      <m:t>l,z,g,y</m:t>
                    </m:r>
                  </m:sub>
                  <m:sup>
                    <m:r>
                      <w:rPr>
                        <w:rFonts w:ascii="Cambria Math" w:hAnsi="Cambria Math"/>
                      </w:rPr>
                      <m:t>L</m:t>
                    </m:r>
                  </m:sup>
                </m:sSubSup>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DTCa</m:t>
                    </m:r>
                    <m:sSubSup>
                      <m:sSubSupPr>
                        <m:ctrlPr>
                          <w:rPr>
                            <w:rFonts w:ascii="Cambria Math" w:hAnsi="Cambria Math"/>
                            <w:i/>
                          </w:rPr>
                        </m:ctrlPr>
                      </m:sSubSupPr>
                      <m:e>
                        <m:r>
                          <w:rPr>
                            <w:rFonts w:ascii="Cambria Math" w:hAnsi="Cambria Math"/>
                          </w:rPr>
                          <m:t>p</m:t>
                        </m:r>
                      </m:e>
                      <m:sub>
                        <m:r>
                          <w:rPr>
                            <w:rFonts w:ascii="Cambria Math" w:hAnsi="Cambria Math"/>
                          </w:rPr>
                          <m:t>l,z,g,y,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e>
                </m:nary>
                <m:r>
                  <w:rPr>
                    <w:rFonts w:ascii="Cambria Math" w:eastAsiaTheme="minorEastAsia" w:hAnsi="Cambria Math"/>
                  </w:rPr>
                  <m:t xml:space="preserve">      ∀l,z,g,y≤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75" w:type="pct"/>
            <w:gridSpan w:val="3"/>
            <w:tcBorders>
              <w:top w:val="nil"/>
              <w:left w:val="nil"/>
              <w:bottom w:val="nil"/>
              <w:right w:val="nil"/>
            </w:tcBorders>
            <w:vAlign w:val="center"/>
          </w:tcPr>
          <w:p w14:paraId="5F9A2633" w14:textId="19CC05BE" w:rsidR="009D7E74" w:rsidRPr="00BF2BA0" w:rsidRDefault="009D7E74" w:rsidP="003B4CD4">
            <w:pPr>
              <w:jc w:val="center"/>
            </w:pPr>
            <w:r w:rsidRPr="00BF2BA0">
              <w:t>(</w:t>
            </w:r>
            <w:r w:rsidR="001C1DD0">
              <w:t>B.2</w:t>
            </w:r>
            <w:r w:rsidR="005851DD">
              <w:t>1</w:t>
            </w:r>
            <w:r w:rsidRPr="00BF2BA0">
              <w:t>)</w:t>
            </w:r>
          </w:p>
        </w:tc>
      </w:tr>
      <w:tr w:rsidR="009D7E74" w14:paraId="3F81FB50" w14:textId="77777777" w:rsidTr="003B4CD4">
        <w:tc>
          <w:tcPr>
            <w:tcW w:w="123" w:type="pct"/>
            <w:shd w:val="clear" w:color="auto" w:fill="auto"/>
          </w:tcPr>
          <w:p w14:paraId="33E0A920" w14:textId="77777777" w:rsidR="009D7E74" w:rsidRDefault="009D7E74" w:rsidP="003B4CD4"/>
        </w:tc>
        <w:tc>
          <w:tcPr>
            <w:tcW w:w="4141" w:type="pct"/>
            <w:gridSpan w:val="2"/>
            <w:shd w:val="clear" w:color="auto" w:fill="auto"/>
            <w:vAlign w:val="center"/>
          </w:tcPr>
          <w:p w14:paraId="4CC4F329" w14:textId="77777777" w:rsidR="009D7E74" w:rsidRDefault="009D7E74" w:rsidP="003B4CD4">
            <w:pPr>
              <w:jc w:val="center"/>
            </w:pPr>
            <m:oMathPara>
              <m:oMath>
                <m:r>
                  <w:rPr>
                    <w:rFonts w:ascii="Cambria Math" w:hAnsi="Cambria Math"/>
                  </w:rPr>
                  <m:t>NTCa</m:t>
                </m:r>
                <m:sSubSup>
                  <m:sSubSupPr>
                    <m:ctrlPr>
                      <w:rPr>
                        <w:rFonts w:ascii="Cambria Math" w:hAnsi="Cambria Math"/>
                        <w:i/>
                      </w:rPr>
                    </m:ctrlPr>
                  </m:sSubSupPr>
                  <m:e>
                    <m:r>
                      <w:rPr>
                        <w:rFonts w:ascii="Cambria Math" w:hAnsi="Cambria Math"/>
                      </w:rPr>
                      <m:t>p</m:t>
                    </m:r>
                  </m:e>
                  <m:sub>
                    <m:r>
                      <w:rPr>
                        <w:rFonts w:ascii="Cambria Math" w:hAnsi="Cambria Math"/>
                      </w:rPr>
                      <m:t>l,z,g,y</m:t>
                    </m:r>
                  </m:sub>
                  <m:sup>
                    <m:r>
                      <w:rPr>
                        <w:rFonts w:ascii="Cambria Math" w:hAnsi="Cambria Math"/>
                      </w:rPr>
                      <m:t>L</m:t>
                    </m:r>
                  </m:sup>
                </m:sSubSup>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sSub>
                      <m:sSubPr>
                        <m:ctrlPr>
                          <w:rPr>
                            <w:rFonts w:ascii="Cambria Math" w:hAnsi="Cambria Math"/>
                            <w:i/>
                          </w:rPr>
                        </m:ctrlPr>
                      </m:sSubPr>
                      <m:e>
                        <m:r>
                          <w:rPr>
                            <w:rFonts w:ascii="Cambria Math" w:hAnsi="Cambria Math"/>
                          </w:rPr>
                          <m:t xml:space="preserve"> Ltrans</m:t>
                        </m:r>
                      </m:e>
                      <m:sub>
                        <m:r>
                          <w:rPr>
                            <w:rFonts w:ascii="Cambria Math" w:hAnsi="Cambria Math"/>
                          </w:rPr>
                          <m:t>l</m:t>
                        </m:r>
                      </m:sub>
                    </m:sSub>
                  </m:sup>
                  <m:e>
                    <m:r>
                      <w:rPr>
                        <w:rFonts w:ascii="Cambria Math" w:eastAsiaTheme="minorEastAsia" w:hAnsi="Cambria Math"/>
                      </w:rPr>
                      <m:t>DTCa</m:t>
                    </m:r>
                    <m:sSubSup>
                      <m:sSubSupPr>
                        <m:ctrlPr>
                          <w:rPr>
                            <w:rFonts w:ascii="Cambria Math" w:hAnsi="Cambria Math"/>
                            <w:i/>
                          </w:rPr>
                        </m:ctrlPr>
                      </m:sSubSupPr>
                      <m:e>
                        <m:r>
                          <w:rPr>
                            <w:rFonts w:ascii="Cambria Math" w:hAnsi="Cambria Math"/>
                          </w:rPr>
                          <m:t>p</m:t>
                        </m:r>
                      </m:e>
                      <m:sub>
                        <m:r>
                          <w:rPr>
                            <w:rFonts w:ascii="Cambria Math" w:hAnsi="Cambria Math"/>
                          </w:rPr>
                          <m:t>l,z,g,y,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e>
                </m:nary>
                <m:r>
                  <w:rPr>
                    <w:rFonts w:ascii="Cambria Math" w:eastAsiaTheme="minorEastAsia" w:hAnsi="Cambria Math"/>
                  </w:rPr>
                  <m:t xml:space="preserve">      ∀l,z,g,y</m:t>
                </m:r>
              </m:oMath>
            </m:oMathPara>
          </w:p>
        </w:tc>
        <w:tc>
          <w:tcPr>
            <w:tcW w:w="736" w:type="pct"/>
            <w:gridSpan w:val="2"/>
            <w:shd w:val="clear" w:color="auto" w:fill="auto"/>
            <w:vAlign w:val="center"/>
          </w:tcPr>
          <w:p w14:paraId="3AB15120" w14:textId="430509F0" w:rsidR="009D7E74" w:rsidRPr="00BF2BA0" w:rsidRDefault="009D7E74" w:rsidP="003B4CD4">
            <w:pPr>
              <w:jc w:val="center"/>
            </w:pPr>
            <w:r w:rsidRPr="00BF2BA0">
              <w:t>(</w:t>
            </w:r>
            <w:r w:rsidR="001C1DD0">
              <w:t>B.2</w:t>
            </w:r>
            <w:r w:rsidR="005851DD">
              <w:t>2</w:t>
            </w:r>
            <w:r w:rsidRPr="00BF2BA0">
              <w:t>)</w:t>
            </w:r>
          </w:p>
        </w:tc>
      </w:tr>
      <w:tr w:rsidR="009D7E74" w14:paraId="012F4DD6"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 w:type="pct"/>
            <w:tcBorders>
              <w:top w:val="nil"/>
              <w:left w:val="nil"/>
              <w:bottom w:val="nil"/>
              <w:right w:val="nil"/>
            </w:tcBorders>
          </w:tcPr>
          <w:p w14:paraId="7892F8DC" w14:textId="77777777" w:rsidR="009D7E74" w:rsidRDefault="009D7E74" w:rsidP="003B4CD4"/>
        </w:tc>
        <w:tc>
          <w:tcPr>
            <w:tcW w:w="4102" w:type="pct"/>
            <w:tcBorders>
              <w:top w:val="nil"/>
              <w:left w:val="nil"/>
              <w:bottom w:val="nil"/>
              <w:right w:val="nil"/>
            </w:tcBorders>
          </w:tcPr>
          <w:p w14:paraId="39621718" w14:textId="77777777" w:rsidR="009D7E74" w:rsidRDefault="009D7E74" w:rsidP="003B4CD4">
            <w:pPr>
              <w:jc w:val="center"/>
            </w:pPr>
            <m:oMathPara>
              <m:oMath>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e>
                </m:nary>
                <m:r>
                  <w:rPr>
                    <w:rFonts w:ascii="Cambria Math" w:eastAsiaTheme="minorEastAsia" w:hAnsi="Cambria Math"/>
                  </w:rPr>
                  <m:t xml:space="preserve">      ∀l,z</m:t>
                </m:r>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75" w:type="pct"/>
            <w:gridSpan w:val="3"/>
            <w:tcBorders>
              <w:top w:val="nil"/>
              <w:left w:val="nil"/>
              <w:bottom w:val="nil"/>
              <w:right w:val="nil"/>
            </w:tcBorders>
            <w:vAlign w:val="center"/>
          </w:tcPr>
          <w:p w14:paraId="031CC146" w14:textId="335B13B4" w:rsidR="009D7E74" w:rsidRPr="00BF2BA0" w:rsidRDefault="009D7E74" w:rsidP="003B4CD4">
            <w:pPr>
              <w:jc w:val="center"/>
            </w:pPr>
            <w:r w:rsidRPr="00BF2BA0">
              <w:t>(</w:t>
            </w:r>
            <w:r w:rsidR="001C1DD0">
              <w:t>B.2</w:t>
            </w:r>
            <w:r w:rsidR="005851DD">
              <w:t>3</w:t>
            </w:r>
            <w:r w:rsidRPr="00BF2BA0">
              <w:t>)</w:t>
            </w:r>
          </w:p>
        </w:tc>
      </w:tr>
      <w:tr w:rsidR="009D7E74" w14:paraId="407DF16A"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 w:type="pct"/>
            <w:tcBorders>
              <w:top w:val="nil"/>
              <w:left w:val="nil"/>
              <w:bottom w:val="nil"/>
              <w:right w:val="nil"/>
            </w:tcBorders>
          </w:tcPr>
          <w:p w14:paraId="0EC9AF17" w14:textId="77777777" w:rsidR="009D7E74" w:rsidRDefault="009D7E74" w:rsidP="003B4CD4"/>
        </w:tc>
        <w:tc>
          <w:tcPr>
            <w:tcW w:w="4102" w:type="pct"/>
            <w:tcBorders>
              <w:top w:val="nil"/>
              <w:left w:val="nil"/>
              <w:bottom w:val="nil"/>
              <w:right w:val="nil"/>
            </w:tcBorders>
          </w:tcPr>
          <w:p w14:paraId="6A4EAD22" w14:textId="27A4335C" w:rsidR="009D7E74" w:rsidRDefault="009D7E74" w:rsidP="003B4CD4">
            <w:pPr>
              <w:jc w:val="center"/>
            </w:pPr>
            <m:oMathPara>
              <m:oMath>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r>
                  <w:rPr>
                    <w:rFonts w:ascii="Cambria Math" w:hAnsi="Cambria Math"/>
                  </w:rPr>
                  <m:t>=NTCa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e>
                </m:nary>
                <m:r>
                  <w:rPr>
                    <w:rFonts w:ascii="Cambria Math" w:eastAsiaTheme="minorEastAsia" w:hAnsi="Cambria Math"/>
                  </w:rPr>
                  <m:t xml:space="preserve">    ∀l,z</m:t>
                </m:r>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eastAsiaTheme="minorEastAsia" w:hAnsi="Cambria Math"/>
                  </w:rPr>
                  <m:t>,g,y≤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75" w:type="pct"/>
            <w:gridSpan w:val="3"/>
            <w:tcBorders>
              <w:top w:val="nil"/>
              <w:left w:val="nil"/>
              <w:bottom w:val="nil"/>
              <w:right w:val="nil"/>
            </w:tcBorders>
            <w:vAlign w:val="center"/>
          </w:tcPr>
          <w:p w14:paraId="6754EFBC" w14:textId="480FC039" w:rsidR="009D7E74" w:rsidRPr="00BF2BA0" w:rsidRDefault="009D7E74" w:rsidP="003B4CD4">
            <w:pPr>
              <w:jc w:val="center"/>
            </w:pPr>
            <w:r w:rsidRPr="00BF2BA0">
              <w:t>(</w:t>
            </w:r>
            <w:r w:rsidR="001C1DD0">
              <w:t>B.2</w:t>
            </w:r>
            <w:r w:rsidR="005851DD">
              <w:t>4</w:t>
            </w:r>
            <w:r w:rsidRPr="00BF2BA0">
              <w:t>)</w:t>
            </w:r>
          </w:p>
        </w:tc>
      </w:tr>
      <w:tr w:rsidR="009D7E74" w14:paraId="4AE03CD4"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 w:type="pct"/>
            <w:tcBorders>
              <w:top w:val="nil"/>
              <w:left w:val="nil"/>
              <w:bottom w:val="nil"/>
              <w:right w:val="nil"/>
            </w:tcBorders>
          </w:tcPr>
          <w:p w14:paraId="3AA33B7C" w14:textId="77777777" w:rsidR="009D7E74" w:rsidRDefault="009D7E74" w:rsidP="003B4CD4"/>
        </w:tc>
        <w:tc>
          <w:tcPr>
            <w:tcW w:w="4141" w:type="pct"/>
            <w:gridSpan w:val="2"/>
            <w:tcBorders>
              <w:top w:val="nil"/>
              <w:left w:val="nil"/>
              <w:bottom w:val="nil"/>
              <w:right w:val="nil"/>
            </w:tcBorders>
          </w:tcPr>
          <w:p w14:paraId="232DE4EE" w14:textId="77777777" w:rsidR="009D7E74" w:rsidRDefault="009D7E74" w:rsidP="003B4CD4">
            <w:pPr>
              <w:jc w:val="center"/>
            </w:pPr>
            <m:oMathPara>
              <m:oMath>
                <m:r>
                  <w:rPr>
                    <w:rFonts w:ascii="Cambria Math" w:hAnsi="Cambria Math"/>
                  </w:rPr>
                  <m:t>NTCa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sSub>
                      <m:sSubPr>
                        <m:ctrlPr>
                          <w:rPr>
                            <w:rFonts w:ascii="Cambria Math" w:hAnsi="Cambria Math"/>
                            <w:i/>
                          </w:rPr>
                        </m:ctrlPr>
                      </m:sSubPr>
                      <m:e>
                        <m:r>
                          <w:rPr>
                            <w:rFonts w:ascii="Cambria Math" w:hAnsi="Cambria Math"/>
                          </w:rPr>
                          <m:t xml:space="preserve"> Ltrans</m:t>
                        </m:r>
                      </m:e>
                      <m:sub>
                        <m:r>
                          <w:rPr>
                            <w:rFonts w:ascii="Cambria Math" w:hAnsi="Cambria Math"/>
                          </w:rPr>
                          <m:t>l</m:t>
                        </m:r>
                      </m:sub>
                    </m:sSub>
                  </m:sup>
                  <m:e>
                    <m:r>
                      <w:rPr>
                        <w:rFonts w:ascii="Cambria Math" w:eastAsiaTheme="minorEastAsia" w:hAnsi="Cambria Math"/>
                      </w:rPr>
                      <m:t>DTCa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e>
                </m:nary>
                <m:r>
                  <w:rPr>
                    <w:rFonts w:ascii="Cambria Math" w:eastAsiaTheme="minorEastAsia" w:hAnsi="Cambria Math"/>
                  </w:rPr>
                  <m:t xml:space="preserve">      ∀l,z</m:t>
                </m:r>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eastAsiaTheme="minorEastAsia" w:hAnsi="Cambria Math"/>
                  </w:rPr>
                  <m:t>,g,y</m:t>
                </m:r>
              </m:oMath>
            </m:oMathPara>
          </w:p>
        </w:tc>
        <w:tc>
          <w:tcPr>
            <w:tcW w:w="736" w:type="pct"/>
            <w:gridSpan w:val="2"/>
            <w:tcBorders>
              <w:top w:val="nil"/>
              <w:left w:val="nil"/>
              <w:bottom w:val="nil"/>
              <w:right w:val="nil"/>
            </w:tcBorders>
          </w:tcPr>
          <w:p w14:paraId="32B452FB" w14:textId="1F4E30C3" w:rsidR="009D7E74" w:rsidRPr="00BF2BA0" w:rsidRDefault="009D7E74" w:rsidP="003B4CD4">
            <w:pPr>
              <w:jc w:val="center"/>
            </w:pPr>
            <w:bookmarkStart w:id="222" w:name="_Ref43308395"/>
            <w:r w:rsidRPr="00BF2BA0">
              <w:t>(</w:t>
            </w:r>
            <w:r w:rsidR="001C1DD0">
              <w:t>B.2</w:t>
            </w:r>
            <w:r w:rsidR="005851DD">
              <w:t>5</w:t>
            </w:r>
            <w:r w:rsidRPr="00BF2BA0">
              <w:t>)</w:t>
            </w:r>
            <w:bookmarkEnd w:id="222"/>
          </w:p>
        </w:tc>
      </w:tr>
      <w:tr w:rsidR="009D7E74" w14:paraId="3C23B1EF" w14:textId="77777777" w:rsidTr="009D7E74">
        <w:tc>
          <w:tcPr>
            <w:tcW w:w="123" w:type="pct"/>
            <w:shd w:val="clear" w:color="auto" w:fill="auto"/>
          </w:tcPr>
          <w:p w14:paraId="178A5C19" w14:textId="77777777" w:rsidR="009D7E74" w:rsidRDefault="009D7E74" w:rsidP="003B4CD4"/>
        </w:tc>
        <w:tc>
          <w:tcPr>
            <w:tcW w:w="4210" w:type="pct"/>
            <w:gridSpan w:val="3"/>
            <w:shd w:val="clear" w:color="auto" w:fill="auto"/>
            <w:vAlign w:val="center"/>
          </w:tcPr>
          <w:p w14:paraId="31FBDEB5" w14:textId="77777777" w:rsidR="009D7E74" w:rsidRDefault="009D7E74" w:rsidP="003B4CD4">
            <w:pPr>
              <w:jc w:val="center"/>
            </w:pPr>
            <m:oMathPara>
              <m:oMath>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r>
                  <w:rPr>
                    <w:rFonts w:ascii="Cambria Math" w:hAnsi="Cambria Math"/>
                  </w:rPr>
                  <m:t>=0</m:t>
                </m:r>
                <m:r>
                  <w:rPr>
                    <w:rFonts w:ascii="Cambria Math" w:eastAsiaTheme="minorEastAsia" w:hAnsi="Cambria Math"/>
                  </w:rPr>
                  <m:t xml:space="preserve">      ∀l,z,g,y&gt;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667" w:type="pct"/>
            <w:shd w:val="clear" w:color="auto" w:fill="auto"/>
            <w:vAlign w:val="center"/>
          </w:tcPr>
          <w:p w14:paraId="269BA55D" w14:textId="2318B319" w:rsidR="009D7E74" w:rsidRPr="00BF2BA0" w:rsidRDefault="009D7E74" w:rsidP="003B4CD4">
            <w:pPr>
              <w:jc w:val="center"/>
            </w:pPr>
            <w:r w:rsidRPr="00BF2BA0">
              <w:t>(</w:t>
            </w:r>
            <w:r w:rsidR="001C1DD0">
              <w:t>B.2</w:t>
            </w:r>
            <w:r w:rsidR="005851DD">
              <w:t>6</w:t>
            </w:r>
            <w:r w:rsidRPr="00BF2BA0">
              <w:t>)</w:t>
            </w:r>
          </w:p>
        </w:tc>
      </w:tr>
      <w:tr w:rsidR="009D7E74" w14:paraId="3CB47485" w14:textId="77777777" w:rsidTr="009D7E74">
        <w:tc>
          <w:tcPr>
            <w:tcW w:w="123" w:type="pct"/>
            <w:shd w:val="clear" w:color="auto" w:fill="auto"/>
          </w:tcPr>
          <w:p w14:paraId="406DECCD" w14:textId="77777777" w:rsidR="009D7E74" w:rsidRDefault="009D7E74" w:rsidP="003B4CD4"/>
        </w:tc>
        <w:tc>
          <w:tcPr>
            <w:tcW w:w="4141" w:type="pct"/>
            <w:gridSpan w:val="2"/>
            <w:shd w:val="clear" w:color="auto" w:fill="auto"/>
            <w:vAlign w:val="center"/>
          </w:tcPr>
          <w:p w14:paraId="5422392E" w14:textId="77777777" w:rsidR="009D7E74" w:rsidRDefault="009D7E74" w:rsidP="003B4CD4">
            <w:pPr>
              <w:jc w:val="center"/>
            </w:pPr>
            <m:oMathPara>
              <m:oMath>
                <m:r>
                  <w:rPr>
                    <w:rFonts w:ascii="Cambria Math" w:eastAsiaTheme="minorEastAsia" w:hAnsi="Cambria Math"/>
                  </w:rPr>
                  <m:t>DTCa</m:t>
                </m:r>
                <m:sSubSup>
                  <m:sSubSupPr>
                    <m:ctrlPr>
                      <w:rPr>
                        <w:rFonts w:ascii="Cambria Math" w:hAnsi="Cambria Math"/>
                        <w:i/>
                      </w:rPr>
                    </m:ctrlPr>
                  </m:sSubSupPr>
                  <m:e>
                    <m:r>
                      <w:rPr>
                        <w:rFonts w:ascii="Cambria Math" w:hAnsi="Cambria Math"/>
                      </w:rPr>
                      <m:t>p</m:t>
                    </m:r>
                  </m:e>
                  <m:sub>
                    <m:r>
                      <w:rPr>
                        <w:rFonts w:ascii="Cambria Math" w:hAnsi="Cambria Math"/>
                      </w:rPr>
                      <m:t>l,z,g,y,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r>
                  <w:rPr>
                    <w:rFonts w:ascii="Cambria Math" w:hAnsi="Cambria Math"/>
                  </w:rPr>
                  <m:t>=0</m:t>
                </m:r>
                <m:r>
                  <w:rPr>
                    <w:rFonts w:ascii="Cambria Math" w:eastAsiaTheme="minorEastAsia" w:hAnsi="Cambria Math"/>
                  </w:rPr>
                  <m:t xml:space="preserve">      ∀l,z,g,y≥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gridSpan w:val="2"/>
            <w:shd w:val="clear" w:color="auto" w:fill="auto"/>
            <w:vAlign w:val="center"/>
          </w:tcPr>
          <w:p w14:paraId="3FF88934" w14:textId="059B7B5C" w:rsidR="009D7E74" w:rsidRPr="00BF2BA0" w:rsidRDefault="009D7E74" w:rsidP="003B4CD4">
            <w:pPr>
              <w:jc w:val="center"/>
            </w:pPr>
            <w:r w:rsidRPr="00BF2BA0">
              <w:t>(</w:t>
            </w:r>
            <w:r w:rsidR="001C1DD0">
              <w:t>B.2</w:t>
            </w:r>
            <w:r w:rsidR="005851DD">
              <w:t>7</w:t>
            </w:r>
            <w:r w:rsidRPr="00BF2BA0">
              <w:t>)</w:t>
            </w:r>
          </w:p>
        </w:tc>
      </w:tr>
      <w:tr w:rsidR="009D7E74" w14:paraId="1D84E260" w14:textId="77777777" w:rsidTr="009D7E74">
        <w:tc>
          <w:tcPr>
            <w:tcW w:w="123" w:type="pct"/>
          </w:tcPr>
          <w:p w14:paraId="71E6E9FB" w14:textId="77777777" w:rsidR="009D7E74" w:rsidRDefault="009D7E74" w:rsidP="003B4CD4"/>
        </w:tc>
        <w:tc>
          <w:tcPr>
            <w:tcW w:w="4210" w:type="pct"/>
            <w:gridSpan w:val="3"/>
          </w:tcPr>
          <w:p w14:paraId="42AB2FF4" w14:textId="77777777" w:rsidR="009D7E74" w:rsidRDefault="009D7E74" w:rsidP="003B4CD4">
            <w:pPr>
              <w:jc w:val="center"/>
            </w:pPr>
            <m:oMathPara>
              <m:oMath>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r>
                  <w:rPr>
                    <w:rFonts w:ascii="Cambria Math" w:hAnsi="Cambria Math"/>
                  </w:rPr>
                  <m:t>=0</m:t>
                </m:r>
                <m:r>
                  <w:rPr>
                    <w:rFonts w:ascii="Cambria Math" w:eastAsiaTheme="minorEastAsia" w:hAnsi="Cambria Math"/>
                  </w:rPr>
                  <m:t xml:space="preserve">      ∀l,z</m:t>
                </m:r>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eastAsiaTheme="minorEastAsia" w:hAnsi="Cambria Math"/>
                  </w:rPr>
                  <m:t>,g,y&gt;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667" w:type="pct"/>
          </w:tcPr>
          <w:p w14:paraId="3C5B8187" w14:textId="38D83185" w:rsidR="009D7E74" w:rsidRPr="00BF2BA0" w:rsidRDefault="009D7E74" w:rsidP="003B4CD4">
            <w:pPr>
              <w:jc w:val="center"/>
            </w:pPr>
            <w:bookmarkStart w:id="223" w:name="_Ref48644823"/>
            <w:r w:rsidRPr="00BF2BA0">
              <w:t>(</w:t>
            </w:r>
            <w:r w:rsidR="001C1DD0">
              <w:t>B.2</w:t>
            </w:r>
            <w:r w:rsidR="005851DD">
              <w:t>8</w:t>
            </w:r>
            <w:r w:rsidRPr="00BF2BA0">
              <w:t>)</w:t>
            </w:r>
            <w:bookmarkEnd w:id="223"/>
          </w:p>
        </w:tc>
      </w:tr>
      <w:tr w:rsidR="009D7E74" w14:paraId="386190D3" w14:textId="77777777" w:rsidTr="009D7E74">
        <w:tc>
          <w:tcPr>
            <w:tcW w:w="123" w:type="pct"/>
          </w:tcPr>
          <w:p w14:paraId="0DED378C" w14:textId="77777777" w:rsidR="009D7E74" w:rsidRDefault="009D7E74" w:rsidP="003B4CD4"/>
        </w:tc>
        <w:tc>
          <w:tcPr>
            <w:tcW w:w="4141" w:type="pct"/>
            <w:gridSpan w:val="2"/>
          </w:tcPr>
          <w:p w14:paraId="6078B1F3" w14:textId="77777777" w:rsidR="009D7E74" w:rsidRDefault="009D7E74" w:rsidP="003B4CD4">
            <w:pPr>
              <w:jc w:val="center"/>
            </w:pPr>
            <m:oMathPara>
              <m:oMath>
                <m:r>
                  <w:rPr>
                    <w:rFonts w:ascii="Cambria Math" w:eastAsiaTheme="minorEastAsia" w:hAnsi="Cambria Math"/>
                  </w:rPr>
                  <m:t>DTCa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r>
                  <w:rPr>
                    <w:rFonts w:ascii="Cambria Math" w:hAnsi="Cambria Math"/>
                  </w:rPr>
                  <m:t>=0</m:t>
                </m:r>
                <m:r>
                  <w:rPr>
                    <w:rFonts w:ascii="Cambria Math" w:eastAsiaTheme="minorEastAsia" w:hAnsi="Cambria Math"/>
                  </w:rPr>
                  <m:t xml:space="preserve">      ∀l,z</m:t>
                </m:r>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eastAsiaTheme="minorEastAsia" w:hAnsi="Cambria Math"/>
                  </w:rPr>
                  <m:t>,g,y≥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gridSpan w:val="2"/>
          </w:tcPr>
          <w:p w14:paraId="114FAB0B" w14:textId="022C7D5F" w:rsidR="009D7E74" w:rsidRPr="00BF2BA0" w:rsidRDefault="009D7E74" w:rsidP="003B4CD4">
            <w:pPr>
              <w:jc w:val="center"/>
            </w:pPr>
            <w:bookmarkStart w:id="224" w:name="_Ref43308601"/>
            <w:r w:rsidRPr="00BF2BA0">
              <w:t>(</w:t>
            </w:r>
            <w:r w:rsidR="001C1DD0">
              <w:t>B.2</w:t>
            </w:r>
            <w:r w:rsidR="005851DD">
              <w:t>9</w:t>
            </w:r>
            <w:r w:rsidRPr="00BF2BA0">
              <w:t>)</w:t>
            </w:r>
            <w:bookmarkEnd w:id="224"/>
          </w:p>
        </w:tc>
      </w:tr>
    </w:tbl>
    <w:p w14:paraId="6E23E6CB" w14:textId="77777777" w:rsidR="009D7E74" w:rsidRDefault="009D7E74" w:rsidP="009D7E74">
      <w:pPr>
        <w:pStyle w:val="Heading8"/>
        <w:rPr>
          <w:rFonts w:eastAsiaTheme="minorEastAsia"/>
        </w:rPr>
      </w:pPr>
      <w:bookmarkStart w:id="225" w:name="_Toc50359419"/>
      <w:r>
        <w:rPr>
          <w:rFonts w:eastAsiaTheme="minorEastAsia"/>
        </w:rPr>
        <w:t>Purification Constraints</w:t>
      </w:r>
      <w:bookmarkEnd w:id="225"/>
    </w:p>
    <w:p w14:paraId="7259DC33" w14:textId="77777777" w:rsidR="009D7E74" w:rsidRDefault="009D7E74" w:rsidP="009D7E74">
      <w:r>
        <w:t>Purification was considered at two stages:</w:t>
      </w:r>
    </w:p>
    <w:p w14:paraId="7C618470" w14:textId="77777777" w:rsidR="009D7E74" w:rsidRDefault="009D7E74" w:rsidP="009D7E74">
      <w:pPr>
        <w:pStyle w:val="ListParagraph"/>
        <w:numPr>
          <w:ilvl w:val="0"/>
          <w:numId w:val="45"/>
        </w:numPr>
        <w:spacing w:line="240" w:lineRule="auto"/>
        <w:ind w:left="426" w:hanging="426"/>
      </w:pPr>
      <w:r>
        <w:t>Centralised – Large scale, in the centroid of a zone where hydrogen can be purified from dirty grade to clean grade.</w:t>
      </w:r>
    </w:p>
    <w:p w14:paraId="4422BCE4" w14:textId="77777777" w:rsidR="009D7E74" w:rsidRDefault="009D7E74" w:rsidP="009D7E74">
      <w:pPr>
        <w:pStyle w:val="ListParagraph"/>
        <w:numPr>
          <w:ilvl w:val="0"/>
          <w:numId w:val="45"/>
        </w:numPr>
        <w:spacing w:line="240" w:lineRule="auto"/>
        <w:ind w:left="426" w:hanging="426"/>
      </w:pPr>
      <w:r>
        <w:t>Localised – At the refuelling station, where hydrogen can be purified from dirty grade to pure grade; from clean grade to pure grade or it can be separated and purified from a blend to pure grade.</w:t>
      </w:r>
    </w:p>
    <w:p w14:paraId="03B54894" w14:textId="77777777" w:rsidR="009D7E74" w:rsidRDefault="009D7E74" w:rsidP="009D7E74">
      <w:pPr>
        <w:rPr>
          <w:rFonts w:eastAsiaTheme="minorEastAsia"/>
        </w:rPr>
      </w:pPr>
      <w:r>
        <w:t xml:space="preserve">The centralised flow of hydrogen that needs to be purified from a dirty to clean grade is represented by the variable </w:t>
      </w:r>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oMath>
      <w:r>
        <w:rPr>
          <w:rFonts w:eastAsiaTheme="minorEastAsia"/>
        </w:rPr>
        <w:t>, whereas the localised flow of hydrogen to be purified from a dirty grade; a clean grade; and separated and purified is represented by the variables</w:t>
      </w:r>
      <m:oMath>
        <m:r>
          <w:rPr>
            <w:rFonts w:ascii="Cambria Math" w:hAnsi="Cambria Math"/>
          </w:rPr>
          <m:t xml:space="preserve"> QLO</m:t>
        </m:r>
        <m:sSub>
          <m:sSubPr>
            <m:ctrlPr>
              <w:rPr>
                <w:rFonts w:ascii="Cambria Math" w:hAnsi="Cambria Math"/>
                <w:i/>
              </w:rPr>
            </m:ctrlPr>
          </m:sSubPr>
          <m:e>
            <m:r>
              <w:rPr>
                <w:rFonts w:ascii="Cambria Math" w:hAnsi="Cambria Math"/>
              </w:rPr>
              <m:t>C</m:t>
            </m:r>
          </m:e>
          <m:sub>
            <m:r>
              <w:rPr>
                <w:rFonts w:ascii="Cambria Math" w:hAnsi="Cambria Math"/>
              </w:rPr>
              <m:t>l,z,g=dirty,y</m:t>
            </m:r>
          </m:sub>
        </m:sSub>
      </m:oMath>
      <w:r>
        <w:rPr>
          <w:rFonts w:eastAsiaTheme="minorEastAsia"/>
        </w:rPr>
        <w:t xml:space="preserve">,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l,z,g=clean,y</m:t>
            </m:r>
          </m:sub>
        </m:sSub>
      </m:oMath>
      <w:r>
        <w:rPr>
          <w:rFonts w:eastAsiaTheme="minorEastAsia"/>
        </w:rPr>
        <w:t xml:space="preserve"> and </w:t>
      </w:r>
      <m:oMath>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l,z,g=blend,y</m:t>
            </m:r>
          </m:sub>
        </m:sSub>
      </m:oMath>
      <w:r>
        <w:rPr>
          <w:rFonts w:eastAsiaTheme="minorEastAsia"/>
        </w:rPr>
        <w:t xml:space="preserve">, respectively. </w:t>
      </w:r>
    </w:p>
    <w:p w14:paraId="5CAE0FC2" w14:textId="4BBB5E5A" w:rsidR="009D7E74" w:rsidRDefault="009D7E74" w:rsidP="009D7E74">
      <w:pPr>
        <w:rPr>
          <w:rFonts w:eastAsiaTheme="minorEastAsia"/>
        </w:rPr>
      </w:pPr>
      <w:r>
        <w:rPr>
          <w:rFonts w:eastAsiaTheme="minorEastAsia"/>
        </w:rPr>
        <w:t xml:space="preserve">The sum of </w:t>
      </w:r>
      <w:r w:rsidR="006053B8">
        <w:rPr>
          <w:rFonts w:eastAsiaTheme="minorEastAsia"/>
        </w:rPr>
        <w:t xml:space="preserve">capacities of </w:t>
      </w:r>
      <w:r>
        <w:rPr>
          <w:rFonts w:eastAsiaTheme="minorEastAsia"/>
        </w:rPr>
        <w:t>all centralised purification technolog</w:t>
      </w:r>
      <w:r w:rsidR="006053B8">
        <w:rPr>
          <w:rFonts w:eastAsiaTheme="minorEastAsia"/>
        </w:rPr>
        <w:t>ies</w:t>
      </w:r>
      <w:r>
        <w:rPr>
          <w:rFonts w:eastAsiaTheme="minorEastAsia"/>
        </w:rPr>
        <w:t xml:space="preserve"> must be larger than the flow of hydrogen from a dirty to clean grade</w:t>
      </w:r>
      <w:r w:rsidR="006053B8">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9D7E74" w14:paraId="278AFD6B" w14:textId="77777777" w:rsidTr="003B4CD4">
        <w:tc>
          <w:tcPr>
            <w:tcW w:w="123" w:type="pct"/>
            <w:shd w:val="clear" w:color="auto" w:fill="auto"/>
          </w:tcPr>
          <w:p w14:paraId="1C9F75F2" w14:textId="77777777" w:rsidR="009D7E74" w:rsidRDefault="009D7E74" w:rsidP="003B4CD4"/>
        </w:tc>
        <w:tc>
          <w:tcPr>
            <w:tcW w:w="4141" w:type="pct"/>
            <w:shd w:val="clear" w:color="auto" w:fill="auto"/>
            <w:vAlign w:val="center"/>
          </w:tcPr>
          <w:p w14:paraId="2C7C910B" w14:textId="77777777" w:rsidR="009D7E74" w:rsidRDefault="009D7E74" w:rsidP="003B4CD4">
            <w:pPr>
              <w:jc w:val="center"/>
            </w:pPr>
            <m:oMathPara>
              <m:oMath>
                <m:r>
                  <w:rPr>
                    <w:rFonts w:ascii="Cambria Math" w:eastAsiaTheme="minorEastAsia" w:hAnsi="Cambria Math"/>
                  </w:rPr>
                  <m:t>QCLEANE</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C,Dirty</m:t>
                        </m:r>
                      </m:sup>
                    </m:sSubSup>
                  </m:e>
                </m:nary>
                <m:r>
                  <w:rPr>
                    <w:rFonts w:ascii="Cambria Math" w:eastAsiaTheme="minorEastAsia" w:hAnsi="Cambria Math"/>
                  </w:rPr>
                  <m:t xml:space="preserve">      ∀z,y</m:t>
                </m:r>
              </m:oMath>
            </m:oMathPara>
          </w:p>
        </w:tc>
        <w:tc>
          <w:tcPr>
            <w:tcW w:w="736" w:type="pct"/>
            <w:shd w:val="clear" w:color="auto" w:fill="auto"/>
            <w:vAlign w:val="center"/>
          </w:tcPr>
          <w:p w14:paraId="41D51B74" w14:textId="34075AB9" w:rsidR="009D7E74" w:rsidRPr="00BF2BA0" w:rsidRDefault="009D7E74" w:rsidP="003B4CD4">
            <w:pPr>
              <w:jc w:val="center"/>
            </w:pPr>
            <w:bookmarkStart w:id="226" w:name="_Ref43452536"/>
            <w:r w:rsidRPr="00BF2BA0">
              <w:t>(</w:t>
            </w:r>
            <w:r w:rsidR="001C1DD0">
              <w:t>B.</w:t>
            </w:r>
            <w:r w:rsidR="005851DD">
              <w:t>30</w:t>
            </w:r>
            <w:r w:rsidRPr="00BF2BA0">
              <w:t>)</w:t>
            </w:r>
            <w:bookmarkEnd w:id="226"/>
          </w:p>
        </w:tc>
      </w:tr>
    </w:tbl>
    <w:p w14:paraId="1A28C844" w14:textId="511B1415" w:rsidR="009D7E74" w:rsidRPr="009F709A" w:rsidRDefault="009D7E74" w:rsidP="009D7E74">
      <w:r>
        <w:lastRenderedPageBreak/>
        <w:t xml:space="preserve">The sum of all localised purification technologies, purifying hydrogen from a clean to </w:t>
      </w:r>
      <w:r w:rsidR="006053B8">
        <w:t xml:space="preserve">a </w:t>
      </w:r>
      <w:r>
        <w:t xml:space="preserve">pure grade must be larger than the sum of all flows from transport technology </w:t>
      </w:r>
      <m:oMath>
        <m:r>
          <w:rPr>
            <w:rFonts w:ascii="Cambria Math" w:hAnsi="Cambria Math"/>
          </w:rPr>
          <m:t>l</m:t>
        </m:r>
      </m:oMath>
      <w:r>
        <w:rPr>
          <w:rFonts w:eastAsiaTheme="minorEastAsia"/>
        </w:rPr>
        <w:t>, transporting clean hydrogen entering the localised distribution network</w:t>
      </w:r>
      <w:r w:rsidR="006053B8">
        <w:rPr>
          <w:rFonts w:eastAsiaTheme="minorEastAsia"/>
        </w:rPr>
        <w:t>:</w:t>
      </w:r>
      <w:r>
        <w:rPr>
          <w:rFonts w:eastAsiaTheme="minorEastAsia"/>
        </w:rPr>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9D7E74" w:rsidRPr="009F709A" w14:paraId="16722550" w14:textId="77777777" w:rsidTr="003B4CD4">
        <w:tc>
          <w:tcPr>
            <w:tcW w:w="123" w:type="pct"/>
            <w:shd w:val="clear" w:color="auto" w:fill="auto"/>
          </w:tcPr>
          <w:p w14:paraId="29979CBD" w14:textId="77777777" w:rsidR="009D7E74" w:rsidRPr="009F709A" w:rsidRDefault="009D7E74" w:rsidP="003B4CD4"/>
        </w:tc>
        <w:tc>
          <w:tcPr>
            <w:tcW w:w="4141" w:type="pct"/>
            <w:shd w:val="clear" w:color="auto" w:fill="auto"/>
            <w:vAlign w:val="center"/>
          </w:tcPr>
          <w:p w14:paraId="3864D5CD" w14:textId="77777777" w:rsidR="009D7E74" w:rsidRPr="009F709A" w:rsidRDefault="00903D45" w:rsidP="003B4CD4">
            <w:pPr>
              <w:jc w:val="center"/>
            </w:pPr>
            <m:oMathPara>
              <m:oMath>
                <m:nary>
                  <m:naryPr>
                    <m:chr m:val="∑"/>
                    <m:limLoc m:val="undOvr"/>
                    <m:supHide m:val="1"/>
                    <m:ctrlPr>
                      <w:rPr>
                        <w:rFonts w:ascii="Cambria Math" w:hAnsi="Cambria Math"/>
                        <w:i/>
                      </w:rPr>
                    </m:ctrlPr>
                  </m:naryPr>
                  <m:sub>
                    <m:r>
                      <w:rPr>
                        <w:rFonts w:ascii="Cambria Math" w:eastAsiaTheme="minorEastAsia" w:hAnsi="Cambria Math"/>
                      </w:rPr>
                      <m:t>l</m:t>
                    </m:r>
                    <m:r>
                      <w:rPr>
                        <w:rFonts w:ascii="Cambria Math" w:hAnsi="Cambria Math"/>
                      </w:rPr>
                      <m:t>∈CL</m:t>
                    </m:r>
                    <m:d>
                      <m:dPr>
                        <m:ctrlPr>
                          <w:rPr>
                            <w:rFonts w:ascii="Cambria Math" w:hAnsi="Cambria Math"/>
                            <w:i/>
                          </w:rPr>
                        </m:ctrlPr>
                      </m:dPr>
                      <m:e>
                        <m:r>
                          <w:rPr>
                            <w:rFonts w:ascii="Cambria Math" w:hAnsi="Cambria Math"/>
                          </w:rPr>
                          <m:t>l</m:t>
                        </m:r>
                      </m:e>
                    </m:d>
                    <m:r>
                      <w:rPr>
                        <w:rFonts w:ascii="Cambria Math" w:hAnsi="Cambria Math"/>
                      </w:rPr>
                      <m:t>,  g∈CG(g)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L,Clean</m:t>
                        </m:r>
                      </m:sup>
                    </m:sSubSup>
                  </m:e>
                </m:nary>
                <m:r>
                  <w:rPr>
                    <w:rFonts w:ascii="Cambria Math" w:eastAsiaTheme="minorEastAsia" w:hAnsi="Cambria Math"/>
                  </w:rPr>
                  <m:t xml:space="preserve">      ∀z,y</m:t>
                </m:r>
              </m:oMath>
            </m:oMathPara>
          </w:p>
        </w:tc>
        <w:tc>
          <w:tcPr>
            <w:tcW w:w="736" w:type="pct"/>
            <w:shd w:val="clear" w:color="auto" w:fill="auto"/>
            <w:vAlign w:val="center"/>
          </w:tcPr>
          <w:p w14:paraId="0F6AFCD5" w14:textId="61A72C00" w:rsidR="009D7E74" w:rsidRPr="009F709A" w:rsidRDefault="009D7E74" w:rsidP="003B4CD4">
            <w:pPr>
              <w:jc w:val="center"/>
            </w:pPr>
            <w:bookmarkStart w:id="227" w:name="_Ref43452667"/>
            <w:r w:rsidRPr="009F709A">
              <w:t>(</w:t>
            </w:r>
            <w:r w:rsidR="001C1DD0">
              <w:t>B.</w:t>
            </w:r>
            <w:bookmarkEnd w:id="227"/>
            <w:r w:rsidR="001C1DD0">
              <w:t>3</w:t>
            </w:r>
            <w:r w:rsidR="005851DD">
              <w:t>1</w:t>
            </w:r>
            <w:r w:rsidR="001C1DD0">
              <w:t>)</w:t>
            </w:r>
          </w:p>
        </w:tc>
      </w:tr>
    </w:tbl>
    <w:p w14:paraId="340E2ECD" w14:textId="0F48EBF5" w:rsidR="009D7E74" w:rsidRPr="009F709A" w:rsidRDefault="009D7E74" w:rsidP="009D7E74">
      <w:r w:rsidRPr="009F709A">
        <w:t>The sum of all localised purification technologies, purifying</w:t>
      </w:r>
      <w:r>
        <w:t xml:space="preserve"> hydrogen</w:t>
      </w:r>
      <w:r w:rsidRPr="009F709A">
        <w:t xml:space="preserve"> </w:t>
      </w:r>
      <w:r>
        <w:t xml:space="preserve">from a </w:t>
      </w:r>
      <w:r w:rsidRPr="009F709A">
        <w:t xml:space="preserve">dirty to </w:t>
      </w:r>
      <w:r w:rsidR="006053B8">
        <w:t xml:space="preserve">a </w:t>
      </w:r>
      <w:r w:rsidRPr="009F709A">
        <w:t xml:space="preserve">pure </w:t>
      </w:r>
      <w:r>
        <w:t>grade</w:t>
      </w:r>
      <w:r w:rsidRPr="009F709A">
        <w:t xml:space="preserve"> must be larger than the sum of all flows from transport technology </w:t>
      </w:r>
      <m:oMath>
        <m:r>
          <w:rPr>
            <w:rFonts w:ascii="Cambria Math" w:hAnsi="Cambria Math"/>
          </w:rPr>
          <m:t>l</m:t>
        </m:r>
      </m:oMath>
      <w:r w:rsidRPr="009F709A">
        <w:rPr>
          <w:rFonts w:eastAsiaTheme="minorEastAsia"/>
        </w:rPr>
        <w:t>, transporting dirty hydrogen entering the localised distribution network</w:t>
      </w:r>
      <w:r w:rsidR="006053B8">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9D7E74" w14:paraId="4AD11EAC" w14:textId="77777777" w:rsidTr="003B4CD4">
        <w:tc>
          <w:tcPr>
            <w:tcW w:w="123" w:type="pct"/>
            <w:shd w:val="clear" w:color="auto" w:fill="auto"/>
          </w:tcPr>
          <w:p w14:paraId="1F2645EB" w14:textId="77777777" w:rsidR="009D7E74" w:rsidRPr="009F709A" w:rsidRDefault="009D7E74" w:rsidP="003B4CD4"/>
        </w:tc>
        <w:tc>
          <w:tcPr>
            <w:tcW w:w="4141" w:type="pct"/>
            <w:shd w:val="clear" w:color="auto" w:fill="auto"/>
            <w:vAlign w:val="center"/>
          </w:tcPr>
          <w:p w14:paraId="1A54FAE0" w14:textId="77777777" w:rsidR="009D7E74" w:rsidRPr="009F709A" w:rsidRDefault="00903D45" w:rsidP="003B4CD4">
            <w:pPr>
              <w:jc w:val="center"/>
            </w:pPr>
            <m:oMathPara>
              <m:oMath>
                <m:nary>
                  <m:naryPr>
                    <m:chr m:val="∑"/>
                    <m:limLoc m:val="undOvr"/>
                    <m:supHide m:val="1"/>
                    <m:ctrlPr>
                      <w:rPr>
                        <w:rFonts w:ascii="Cambria Math" w:hAnsi="Cambria Math"/>
                        <w:i/>
                      </w:rPr>
                    </m:ctrlPr>
                  </m:naryPr>
                  <m:sub>
                    <m:r>
                      <w:rPr>
                        <w:rFonts w:ascii="Cambria Math" w:eastAsiaTheme="minorEastAsia" w:hAnsi="Cambria Math"/>
                      </w:rPr>
                      <m:t>l</m:t>
                    </m:r>
                    <m:r>
                      <w:rPr>
                        <w:rFonts w:ascii="Cambria Math" w:hAnsi="Cambria Math"/>
                      </w:rPr>
                      <m:t>∈DL</m:t>
                    </m:r>
                    <m:d>
                      <m:dPr>
                        <m:ctrlPr>
                          <w:rPr>
                            <w:rFonts w:ascii="Cambria Math" w:hAnsi="Cambria Math"/>
                            <w:i/>
                          </w:rPr>
                        </m:ctrlPr>
                      </m:dPr>
                      <m:e>
                        <m:r>
                          <w:rPr>
                            <w:rFonts w:ascii="Cambria Math" w:hAnsi="Cambria Math"/>
                          </w:rPr>
                          <m:t>l</m:t>
                        </m:r>
                      </m:e>
                    </m:d>
                    <m:r>
                      <w:rPr>
                        <w:rFonts w:ascii="Cambria Math" w:hAnsi="Cambria Math"/>
                      </w:rPr>
                      <m:t>,g∈DG(g)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L,Dirty</m:t>
                        </m:r>
                      </m:sup>
                    </m:sSubSup>
                  </m:e>
                </m:nary>
                <m:r>
                  <w:rPr>
                    <w:rFonts w:ascii="Cambria Math" w:eastAsiaTheme="minorEastAsia" w:hAnsi="Cambria Math"/>
                  </w:rPr>
                  <m:t xml:space="preserve">      ∀z,y</m:t>
                </m:r>
              </m:oMath>
            </m:oMathPara>
          </w:p>
        </w:tc>
        <w:tc>
          <w:tcPr>
            <w:tcW w:w="736" w:type="pct"/>
            <w:shd w:val="clear" w:color="auto" w:fill="auto"/>
            <w:vAlign w:val="center"/>
          </w:tcPr>
          <w:p w14:paraId="4929272F" w14:textId="654FDD55" w:rsidR="009D7E74" w:rsidRPr="00BF2BA0" w:rsidRDefault="009D7E74" w:rsidP="003B4CD4">
            <w:pPr>
              <w:jc w:val="center"/>
            </w:pPr>
            <w:bookmarkStart w:id="228" w:name="_Ref43452709"/>
            <w:r w:rsidRPr="009F709A">
              <w:t>(</w:t>
            </w:r>
            <w:r w:rsidR="001C1DD0">
              <w:t>B.3</w:t>
            </w:r>
            <w:r w:rsidR="005851DD">
              <w:t>2</w:t>
            </w:r>
            <w:r w:rsidRPr="009F709A">
              <w:t>)</w:t>
            </w:r>
            <w:bookmarkEnd w:id="228"/>
          </w:p>
        </w:tc>
      </w:tr>
    </w:tbl>
    <w:p w14:paraId="53929C34" w14:textId="50AD2442" w:rsidR="009D7E74" w:rsidRPr="009F709A" w:rsidRDefault="009D7E74" w:rsidP="009D7E74">
      <w:r w:rsidRPr="009F709A">
        <w:t xml:space="preserve">The sum of all localised </w:t>
      </w:r>
      <w:r>
        <w:t>separation</w:t>
      </w:r>
      <w:r w:rsidRPr="009F709A">
        <w:t xml:space="preserve"> technologies, </w:t>
      </w:r>
      <w:r>
        <w:t>separating and purifying hydrogen</w:t>
      </w:r>
      <w:r w:rsidRPr="009F709A">
        <w:t xml:space="preserve"> </w:t>
      </w:r>
      <w:r>
        <w:t>from a blended</w:t>
      </w:r>
      <w:r w:rsidRPr="009F709A">
        <w:t xml:space="preserve"> to </w:t>
      </w:r>
      <w:r w:rsidR="006053B8">
        <w:t xml:space="preserve">a </w:t>
      </w:r>
      <w:r w:rsidRPr="009F709A">
        <w:t xml:space="preserve">pure </w:t>
      </w:r>
      <w:r>
        <w:t>grade</w:t>
      </w:r>
      <w:r w:rsidRPr="009F709A">
        <w:t xml:space="preserve"> must be larger than the sum of all flows from transport technology </w:t>
      </w:r>
      <m:oMath>
        <m:r>
          <w:rPr>
            <w:rFonts w:ascii="Cambria Math" w:hAnsi="Cambria Math"/>
          </w:rPr>
          <m:t>l</m:t>
        </m:r>
      </m:oMath>
      <w:r w:rsidRPr="009F709A">
        <w:rPr>
          <w:rFonts w:eastAsiaTheme="minorEastAsia"/>
        </w:rPr>
        <w:t xml:space="preserve">, transporting </w:t>
      </w:r>
      <w:r>
        <w:rPr>
          <w:rFonts w:eastAsiaTheme="minorEastAsia"/>
        </w:rPr>
        <w:t>blended</w:t>
      </w:r>
      <w:r w:rsidRPr="009F709A">
        <w:rPr>
          <w:rFonts w:eastAsiaTheme="minorEastAsia"/>
        </w:rPr>
        <w:t xml:space="preserve"> hydrogen entering the localised distribution network</w:t>
      </w:r>
      <w:r w:rsidR="006053B8">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9D7E74" w14:paraId="1A550535" w14:textId="77777777" w:rsidTr="003B4CD4">
        <w:tc>
          <w:tcPr>
            <w:tcW w:w="123" w:type="pct"/>
            <w:shd w:val="clear" w:color="auto" w:fill="auto"/>
          </w:tcPr>
          <w:p w14:paraId="3A7F4A10" w14:textId="77777777" w:rsidR="009D7E74" w:rsidRPr="009F709A" w:rsidRDefault="009D7E74" w:rsidP="003B4CD4"/>
        </w:tc>
        <w:tc>
          <w:tcPr>
            <w:tcW w:w="4141" w:type="pct"/>
            <w:shd w:val="clear" w:color="auto" w:fill="auto"/>
            <w:vAlign w:val="center"/>
          </w:tcPr>
          <w:p w14:paraId="4049131E" w14:textId="77777777" w:rsidR="009D7E74" w:rsidRPr="009F709A" w:rsidRDefault="00903D45" w:rsidP="003B4CD4">
            <w:pPr>
              <w:jc w:val="center"/>
            </w:pPr>
            <m:oMathPara>
              <m:oMath>
                <m:nary>
                  <m:naryPr>
                    <m:chr m:val="∑"/>
                    <m:limLoc m:val="undOvr"/>
                    <m:supHide m:val="1"/>
                    <m:ctrlPr>
                      <w:rPr>
                        <w:rFonts w:ascii="Cambria Math" w:hAnsi="Cambria Math"/>
                        <w:i/>
                      </w:rPr>
                    </m:ctrlPr>
                  </m:naryPr>
                  <m:sub>
                    <m:r>
                      <w:rPr>
                        <w:rFonts w:ascii="Cambria Math" w:eastAsiaTheme="minorEastAsia" w:hAnsi="Cambria Math"/>
                      </w:rPr>
                      <m:t>l</m:t>
                    </m:r>
                    <m:r>
                      <w:rPr>
                        <w:rFonts w:ascii="Cambria Math" w:hAnsi="Cambria Math"/>
                      </w:rPr>
                      <m:t>∈BL</m:t>
                    </m:r>
                    <m:d>
                      <m:dPr>
                        <m:ctrlPr>
                          <w:rPr>
                            <w:rFonts w:ascii="Cambria Math" w:hAnsi="Cambria Math"/>
                            <w:i/>
                          </w:rPr>
                        </m:ctrlPr>
                      </m:dPr>
                      <m:e>
                        <m:r>
                          <w:rPr>
                            <w:rFonts w:ascii="Cambria Math" w:hAnsi="Cambria Math"/>
                          </w:rPr>
                          <m:t>l</m:t>
                        </m:r>
                      </m:e>
                    </m:d>
                    <m:r>
                      <w:rPr>
                        <w:rFonts w:ascii="Cambria Math" w:hAnsi="Cambria Math"/>
                      </w:rPr>
                      <m:t>,g∈BG(g)</m:t>
                    </m:r>
                  </m:sub>
                  <m:sup/>
                  <m:e>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L,Blend</m:t>
                        </m:r>
                      </m:sup>
                    </m:sSubSup>
                  </m:e>
                </m:nary>
                <m:r>
                  <w:rPr>
                    <w:rFonts w:ascii="Cambria Math" w:eastAsiaTheme="minorEastAsia" w:hAnsi="Cambria Math"/>
                  </w:rPr>
                  <m:t xml:space="preserve">      ∀z,y</m:t>
                </m:r>
              </m:oMath>
            </m:oMathPara>
          </w:p>
        </w:tc>
        <w:tc>
          <w:tcPr>
            <w:tcW w:w="736" w:type="pct"/>
            <w:shd w:val="clear" w:color="auto" w:fill="auto"/>
            <w:vAlign w:val="center"/>
          </w:tcPr>
          <w:p w14:paraId="4E6F2E6E" w14:textId="3449A660" w:rsidR="009D7E74" w:rsidRPr="00BF2BA0" w:rsidRDefault="009D7E74" w:rsidP="003B4CD4">
            <w:pPr>
              <w:jc w:val="center"/>
            </w:pPr>
            <w:bookmarkStart w:id="229" w:name="_Ref48646296"/>
            <w:r w:rsidRPr="009F709A">
              <w:t>(</w:t>
            </w:r>
            <w:r w:rsidR="001C1DD0">
              <w:t>B.3</w:t>
            </w:r>
            <w:r w:rsidR="005851DD">
              <w:t>3</w:t>
            </w:r>
            <w:r w:rsidRPr="009F709A">
              <w:t>)</w:t>
            </w:r>
            <w:bookmarkEnd w:id="229"/>
          </w:p>
        </w:tc>
      </w:tr>
    </w:tbl>
    <w:p w14:paraId="4AB59486" w14:textId="5ED017A2" w:rsidR="009D7E74" w:rsidRDefault="009D7E74" w:rsidP="009D7E74">
      <w:r>
        <w:t xml:space="preserve">As </w:t>
      </w:r>
      <w:r w:rsidR="006053B8">
        <w:t xml:space="preserve">for </w:t>
      </w:r>
      <w:r>
        <w:t>production and transportation capacities</w:t>
      </w:r>
      <w:r w:rsidR="006053B8">
        <w:t xml:space="preserve">, Equations </w:t>
      </w:r>
      <w:r w:rsidR="00E41B8C">
        <w:t>(B.3</w:t>
      </w:r>
      <w:r w:rsidR="005851DD">
        <w:t>4</w:t>
      </w:r>
      <w:r w:rsidR="00E41B8C">
        <w:t>)-(B.5</w:t>
      </w:r>
      <w:r w:rsidR="005851DD">
        <w:t>3</w:t>
      </w:r>
      <w:r w:rsidR="00E41B8C">
        <w:t>)</w:t>
      </w:r>
      <w:r w:rsidR="006053B8">
        <w:t xml:space="preserve"> show equations for</w:t>
      </w:r>
      <w:r>
        <w:t xml:space="preserve"> vintage capacities, newly installed capacities and decommissioned capacities</w:t>
      </w:r>
      <w:r w:rsidR="006053B8">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
        <w:gridCol w:w="7363"/>
        <w:gridCol w:w="31"/>
        <w:gridCol w:w="79"/>
        <w:gridCol w:w="1329"/>
      </w:tblGrid>
      <w:tr w:rsidR="009D7E74" w14:paraId="61F16E19" w14:textId="77777777" w:rsidTr="003B4CD4">
        <w:tc>
          <w:tcPr>
            <w:tcW w:w="124" w:type="pct"/>
            <w:shd w:val="clear" w:color="auto" w:fill="auto"/>
          </w:tcPr>
          <w:p w14:paraId="330FC374" w14:textId="77777777" w:rsidR="009D7E74" w:rsidRDefault="009D7E74" w:rsidP="003B4CD4"/>
        </w:tc>
        <w:tc>
          <w:tcPr>
            <w:tcW w:w="4079" w:type="pct"/>
            <w:shd w:val="clear" w:color="auto" w:fill="auto"/>
            <w:vAlign w:val="center"/>
          </w:tcPr>
          <w:p w14:paraId="7ECA0CC2" w14:textId="77777777" w:rsidR="009D7E74" w:rsidRDefault="009D7E74" w:rsidP="003B4CD4">
            <w:pPr>
              <w:jc w:val="center"/>
            </w:pPr>
            <m:oMathPara>
              <m:oMath>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C,Dirty</m:t>
                    </m:r>
                  </m:sup>
                </m:sSubSup>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hAnsi="Cambria Math"/>
                          </w:rPr>
                          <m:t>c,z,y,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C,Dirty</m:t>
                        </m:r>
                      </m:sup>
                    </m:sSubSup>
                  </m:e>
                </m:nary>
                <m:r>
                  <w:rPr>
                    <w:rFonts w:ascii="Cambria Math" w:eastAsiaTheme="minorEastAsia" w:hAnsi="Cambria Math"/>
                  </w:rPr>
                  <m:t xml:space="preserve">      ∀c,z,</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97" w:type="pct"/>
            <w:gridSpan w:val="3"/>
            <w:shd w:val="clear" w:color="auto" w:fill="auto"/>
            <w:vAlign w:val="center"/>
          </w:tcPr>
          <w:p w14:paraId="28586397" w14:textId="70277DA3" w:rsidR="009D7E74" w:rsidRPr="00BF2BA0" w:rsidRDefault="009D7E74" w:rsidP="003B4CD4">
            <w:pPr>
              <w:jc w:val="center"/>
            </w:pPr>
            <w:bookmarkStart w:id="230" w:name="_Ref43452818"/>
            <w:r w:rsidRPr="00BF2BA0">
              <w:t>(</w:t>
            </w:r>
            <w:r w:rsidR="001C1DD0">
              <w:t>B.3</w:t>
            </w:r>
            <w:r w:rsidR="005851DD">
              <w:t>4</w:t>
            </w:r>
            <w:r w:rsidRPr="00BF2BA0">
              <w:t>)</w:t>
            </w:r>
            <w:bookmarkEnd w:id="230"/>
          </w:p>
        </w:tc>
      </w:tr>
      <w:tr w:rsidR="009D7E74" w14:paraId="3C485D4F"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0619918C" w14:textId="77777777" w:rsidR="009D7E74" w:rsidRDefault="009D7E74" w:rsidP="003B4CD4"/>
        </w:tc>
        <w:tc>
          <w:tcPr>
            <w:tcW w:w="4079" w:type="pct"/>
            <w:tcBorders>
              <w:top w:val="nil"/>
              <w:left w:val="nil"/>
              <w:bottom w:val="nil"/>
              <w:right w:val="nil"/>
            </w:tcBorders>
          </w:tcPr>
          <w:p w14:paraId="1DF160E2" w14:textId="77777777" w:rsidR="009D7E74" w:rsidRDefault="009D7E74" w:rsidP="003B4CD4">
            <w:pPr>
              <w:jc w:val="cente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hAnsi="Cambria Math"/>
                      </w:rPr>
                      <m:t>c,z,y,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C,Dirty</m:t>
                    </m:r>
                  </m:sup>
                </m:sSubSup>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C,Dirty</m:t>
                    </m:r>
                  </m:sup>
                </m:sSubSup>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hAnsi="Cambria Math"/>
                          </w:rPr>
                          <m:t>c,z,</m:t>
                        </m:r>
                        <m:sSup>
                          <m:sSupPr>
                            <m:ctrlPr>
                              <w:rPr>
                                <w:rFonts w:ascii="Cambria Math" w:hAnsi="Cambria Math"/>
                                <w:i/>
                              </w:rPr>
                            </m:ctrlPr>
                          </m:sSupPr>
                          <m:e>
                            <m:r>
                              <w:rPr>
                                <w:rFonts w:ascii="Cambria Math" w:hAnsi="Cambria Math"/>
                              </w:rPr>
                              <m:t>y,y</m:t>
                            </m:r>
                          </m:e>
                          <m:sup>
                            <m:r>
                              <w:rPr>
                                <w:rFonts w:ascii="Cambria Math" w:hAnsi="Cambria Math"/>
                              </w:rPr>
                              <m:t>'</m:t>
                            </m:r>
                          </m:sup>
                        </m:sSup>
                      </m:sub>
                      <m:sup>
                        <m:r>
                          <w:rPr>
                            <w:rFonts w:ascii="Cambria Math" w:hAnsi="Cambria Math"/>
                          </w:rPr>
                          <m:t>C,Dirty</m:t>
                        </m:r>
                      </m:sup>
                    </m:sSubSup>
                  </m:e>
                </m:nary>
                <m:r>
                  <w:rPr>
                    <w:rFonts w:ascii="Cambria Math" w:eastAsiaTheme="minorEastAsia" w:hAnsi="Cambria Math"/>
                  </w:rPr>
                  <m:t xml:space="preserve">      ∀c,z,y≤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97" w:type="pct"/>
            <w:gridSpan w:val="3"/>
            <w:tcBorders>
              <w:top w:val="nil"/>
              <w:left w:val="nil"/>
              <w:bottom w:val="nil"/>
              <w:right w:val="nil"/>
            </w:tcBorders>
            <w:vAlign w:val="center"/>
          </w:tcPr>
          <w:p w14:paraId="501E7A58" w14:textId="5FCE2432" w:rsidR="009D7E74" w:rsidRPr="00BF2BA0" w:rsidRDefault="009D7E74" w:rsidP="003B4CD4">
            <w:pPr>
              <w:jc w:val="center"/>
            </w:pPr>
            <w:r w:rsidRPr="00BF2BA0">
              <w:t>(</w:t>
            </w:r>
            <w:r w:rsidR="001C1DD0">
              <w:t>B.3</w:t>
            </w:r>
            <w:r w:rsidR="005851DD">
              <w:t>5</w:t>
            </w:r>
            <w:r w:rsidRPr="00BF2BA0">
              <w:t>)</w:t>
            </w:r>
          </w:p>
        </w:tc>
      </w:tr>
      <w:tr w:rsidR="009D7E74" w14:paraId="42485F13" w14:textId="77777777" w:rsidTr="003B4CD4">
        <w:tc>
          <w:tcPr>
            <w:tcW w:w="124" w:type="pct"/>
            <w:shd w:val="clear" w:color="auto" w:fill="auto"/>
          </w:tcPr>
          <w:p w14:paraId="3F306349" w14:textId="77777777" w:rsidR="009D7E74" w:rsidRDefault="009D7E74" w:rsidP="003B4CD4"/>
        </w:tc>
        <w:tc>
          <w:tcPr>
            <w:tcW w:w="4096" w:type="pct"/>
            <w:gridSpan w:val="2"/>
            <w:shd w:val="clear" w:color="auto" w:fill="auto"/>
            <w:vAlign w:val="center"/>
          </w:tcPr>
          <w:p w14:paraId="3E5DBB37" w14:textId="77777777" w:rsidR="009D7E74" w:rsidRDefault="009D7E74" w:rsidP="003B4CD4">
            <w:pPr>
              <w:jc w:val="center"/>
            </w:pPr>
            <m:oMathPara>
              <m:oMath>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C,Dirty</m:t>
                    </m:r>
                  </m:sup>
                </m:sSubSup>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C,Dirty</m:t>
                        </m:r>
                      </m:sup>
                    </m:sSubSup>
                  </m:e>
                </m:nary>
                <m:r>
                  <w:rPr>
                    <w:rFonts w:ascii="Cambria Math" w:eastAsiaTheme="minorEastAsia" w:hAnsi="Cambria Math"/>
                  </w:rPr>
                  <m:t xml:space="preserve">      ∀c,z,y</m:t>
                </m:r>
              </m:oMath>
            </m:oMathPara>
          </w:p>
        </w:tc>
        <w:tc>
          <w:tcPr>
            <w:tcW w:w="780" w:type="pct"/>
            <w:gridSpan w:val="2"/>
            <w:shd w:val="clear" w:color="auto" w:fill="auto"/>
            <w:vAlign w:val="center"/>
          </w:tcPr>
          <w:p w14:paraId="2CE402B3" w14:textId="024F8C3A" w:rsidR="009D7E74" w:rsidRPr="00BF2BA0" w:rsidRDefault="009D7E74" w:rsidP="003B4CD4">
            <w:pPr>
              <w:jc w:val="center"/>
            </w:pPr>
            <w:r w:rsidRPr="00BF2BA0">
              <w:t>(</w:t>
            </w:r>
            <w:r w:rsidR="001C1DD0">
              <w:t>B.3</w:t>
            </w:r>
            <w:r w:rsidR="005851DD">
              <w:t>6</w:t>
            </w:r>
            <w:r w:rsidRPr="00BF2BA0">
              <w:t>)</w:t>
            </w:r>
          </w:p>
        </w:tc>
      </w:tr>
      <w:tr w:rsidR="009D7E74" w14:paraId="483EFD6F"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6D7431C5" w14:textId="77777777" w:rsidR="009D7E74" w:rsidRDefault="009D7E74" w:rsidP="003B4CD4"/>
        </w:tc>
        <w:tc>
          <w:tcPr>
            <w:tcW w:w="4079" w:type="pct"/>
            <w:tcBorders>
              <w:top w:val="nil"/>
              <w:left w:val="nil"/>
              <w:bottom w:val="nil"/>
              <w:right w:val="nil"/>
            </w:tcBorders>
          </w:tcPr>
          <w:p w14:paraId="1DA6328D" w14:textId="77777777" w:rsidR="009D7E74" w:rsidRDefault="009D7E74" w:rsidP="003B4CD4">
            <w:pPr>
              <w:jc w:val="center"/>
            </w:pPr>
            <m:oMathPara>
              <m:oMath>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L,Clean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L,Clean</m:t>
                        </m:r>
                      </m:sup>
                    </m:sSubSup>
                  </m:e>
                </m:nary>
                <m:r>
                  <w:rPr>
                    <w:rFonts w:ascii="Cambria Math" w:eastAsiaTheme="minorEastAsia" w:hAnsi="Cambria Math"/>
                  </w:rPr>
                  <m:t xml:space="preserve">      ∀c,z,</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97" w:type="pct"/>
            <w:gridSpan w:val="3"/>
            <w:tcBorders>
              <w:top w:val="nil"/>
              <w:left w:val="nil"/>
              <w:bottom w:val="nil"/>
              <w:right w:val="nil"/>
            </w:tcBorders>
            <w:vAlign w:val="center"/>
          </w:tcPr>
          <w:p w14:paraId="0BEE18ED" w14:textId="40C33C6D" w:rsidR="009D7E74" w:rsidRPr="00BF2BA0" w:rsidRDefault="009D7E74" w:rsidP="003B4CD4">
            <w:pPr>
              <w:jc w:val="center"/>
            </w:pPr>
            <w:r w:rsidRPr="00BF2BA0">
              <w:t>(</w:t>
            </w:r>
            <w:r w:rsidR="001C1DD0">
              <w:t>B.3</w:t>
            </w:r>
            <w:r w:rsidR="005851DD">
              <w:t>7</w:t>
            </w:r>
            <w:r w:rsidRPr="00BF2BA0">
              <w:t>)</w:t>
            </w:r>
          </w:p>
        </w:tc>
      </w:tr>
      <w:tr w:rsidR="009D7E74" w14:paraId="3C35ADF9"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338D7426" w14:textId="77777777" w:rsidR="009D7E74" w:rsidRDefault="009D7E74" w:rsidP="003B4CD4"/>
        </w:tc>
        <w:tc>
          <w:tcPr>
            <w:tcW w:w="4079" w:type="pct"/>
            <w:tcBorders>
              <w:top w:val="nil"/>
              <w:left w:val="nil"/>
              <w:bottom w:val="nil"/>
              <w:right w:val="nil"/>
            </w:tcBorders>
          </w:tcPr>
          <w:p w14:paraId="54ADB410" w14:textId="77777777" w:rsidR="009D7E74" w:rsidRDefault="009D7E74" w:rsidP="003B4CD4">
            <w:pPr>
              <w:jc w:val="cente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L,Clean</m:t>
                    </m:r>
                  </m:sup>
                </m:sSubSup>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L,Clean</m:t>
                    </m:r>
                  </m:sup>
                </m:sSubSup>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m:t>
                        </m:r>
                        <m:sSup>
                          <m:sSupPr>
                            <m:ctrlPr>
                              <w:rPr>
                                <w:rFonts w:ascii="Cambria Math" w:hAnsi="Cambria Math"/>
                                <w:i/>
                              </w:rPr>
                            </m:ctrlPr>
                          </m:sSupPr>
                          <m:e>
                            <m:r>
                              <w:rPr>
                                <w:rFonts w:ascii="Cambria Math" w:hAnsi="Cambria Math"/>
                              </w:rPr>
                              <m:t>y,y</m:t>
                            </m:r>
                          </m:e>
                          <m:sup>
                            <m:r>
                              <w:rPr>
                                <w:rFonts w:ascii="Cambria Math" w:hAnsi="Cambria Math"/>
                              </w:rPr>
                              <m:t>'</m:t>
                            </m:r>
                          </m:sup>
                        </m:sSup>
                      </m:sub>
                      <m:sup>
                        <m:r>
                          <w:rPr>
                            <w:rFonts w:ascii="Cambria Math" w:hAnsi="Cambria Math"/>
                          </w:rPr>
                          <m:t>L,Clean</m:t>
                        </m:r>
                      </m:sup>
                    </m:sSubSup>
                  </m:e>
                </m:nary>
                <m:r>
                  <w:rPr>
                    <w:rFonts w:ascii="Cambria Math" w:eastAsiaTheme="minorEastAsia" w:hAnsi="Cambria Math"/>
                  </w:rPr>
                  <m:t xml:space="preserve">      ∀c,z,y≤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97" w:type="pct"/>
            <w:gridSpan w:val="3"/>
            <w:tcBorders>
              <w:top w:val="nil"/>
              <w:left w:val="nil"/>
              <w:bottom w:val="nil"/>
              <w:right w:val="nil"/>
            </w:tcBorders>
            <w:vAlign w:val="center"/>
          </w:tcPr>
          <w:p w14:paraId="26E1B6FC" w14:textId="1CF1F3A6" w:rsidR="009D7E74" w:rsidRPr="00BF2BA0" w:rsidRDefault="009D7E74" w:rsidP="003B4CD4">
            <w:pPr>
              <w:jc w:val="center"/>
            </w:pPr>
            <w:r w:rsidRPr="00BF2BA0">
              <w:t>(</w:t>
            </w:r>
            <w:r w:rsidR="001C1DD0">
              <w:t>B.3</w:t>
            </w:r>
            <w:r w:rsidR="005851DD">
              <w:t>8</w:t>
            </w:r>
            <w:r w:rsidRPr="00BF2BA0">
              <w:t>)</w:t>
            </w:r>
          </w:p>
        </w:tc>
      </w:tr>
      <w:tr w:rsidR="009D7E74" w14:paraId="2A064837"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72600DC9" w14:textId="77777777" w:rsidR="009D7E74" w:rsidRDefault="009D7E74" w:rsidP="003B4CD4"/>
        </w:tc>
        <w:tc>
          <w:tcPr>
            <w:tcW w:w="4096" w:type="pct"/>
            <w:gridSpan w:val="2"/>
            <w:tcBorders>
              <w:top w:val="nil"/>
              <w:left w:val="nil"/>
              <w:bottom w:val="nil"/>
              <w:right w:val="nil"/>
            </w:tcBorders>
          </w:tcPr>
          <w:p w14:paraId="69FDBA2C" w14:textId="77777777" w:rsidR="009D7E74" w:rsidRDefault="009D7E74" w:rsidP="003B4CD4">
            <w:pPr>
              <w:jc w:val="center"/>
            </w:pPr>
            <m:oMathPara>
              <m:oMath>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L,Clean</m:t>
                    </m:r>
                  </m:sup>
                </m:sSubSup>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sup>
                  <m:e>
                    <m:r>
                      <w:rPr>
                        <w:rFonts w:ascii="Cambria Math" w:hAnsi="Cambria Math"/>
                      </w:rPr>
                      <m:t>DVPurCA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L,Clean</m:t>
                        </m:r>
                      </m:sup>
                    </m:sSubSup>
                  </m:e>
                </m:nary>
                <m:r>
                  <w:rPr>
                    <w:rFonts w:ascii="Cambria Math" w:eastAsiaTheme="minorEastAsia" w:hAnsi="Cambria Math"/>
                  </w:rPr>
                  <m:t xml:space="preserve">      ∀c,z,y</m:t>
                </m:r>
              </m:oMath>
            </m:oMathPara>
          </w:p>
        </w:tc>
        <w:tc>
          <w:tcPr>
            <w:tcW w:w="780" w:type="pct"/>
            <w:gridSpan w:val="2"/>
            <w:tcBorders>
              <w:top w:val="nil"/>
              <w:left w:val="nil"/>
              <w:bottom w:val="nil"/>
              <w:right w:val="nil"/>
            </w:tcBorders>
            <w:vAlign w:val="center"/>
          </w:tcPr>
          <w:p w14:paraId="45DC2863" w14:textId="091CEDD1" w:rsidR="009D7E74" w:rsidRPr="00BF2BA0" w:rsidRDefault="009D7E74" w:rsidP="003B4CD4">
            <w:pPr>
              <w:jc w:val="center"/>
            </w:pPr>
            <w:r w:rsidRPr="00BF2BA0">
              <w:t>(</w:t>
            </w:r>
            <w:r w:rsidR="001C1DD0">
              <w:t>B.3</w:t>
            </w:r>
            <w:r w:rsidR="005851DD">
              <w:t>9</w:t>
            </w:r>
            <w:r w:rsidRPr="00BF2BA0">
              <w:t>)</w:t>
            </w:r>
          </w:p>
        </w:tc>
      </w:tr>
      <w:tr w:rsidR="009D7E74" w14:paraId="4C33FDC3"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4E0D2F2F" w14:textId="77777777" w:rsidR="009D7E74" w:rsidRDefault="009D7E74" w:rsidP="003B4CD4"/>
        </w:tc>
        <w:tc>
          <w:tcPr>
            <w:tcW w:w="4096" w:type="pct"/>
            <w:gridSpan w:val="2"/>
            <w:tcBorders>
              <w:top w:val="nil"/>
              <w:left w:val="nil"/>
              <w:bottom w:val="nil"/>
              <w:right w:val="nil"/>
            </w:tcBorders>
          </w:tcPr>
          <w:p w14:paraId="6AD809AB" w14:textId="77777777" w:rsidR="009D7E74" w:rsidRDefault="009D7E74" w:rsidP="003B4CD4">
            <w:pPr>
              <w:jc w:val="center"/>
              <w:rPr>
                <w:rFonts w:eastAsia="Calibri" w:cs="Times New Roman"/>
              </w:rPr>
            </w:pPr>
            <m:oMathPara>
              <m:oMath>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L,Dirty</m:t>
                    </m:r>
                  </m:sup>
                </m:sSubSup>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L,Dirty</m:t>
                        </m:r>
                      </m:sup>
                    </m:sSubSup>
                  </m:e>
                </m:nary>
                <m:r>
                  <w:rPr>
                    <w:rFonts w:ascii="Cambria Math" w:eastAsiaTheme="minorEastAsia" w:hAnsi="Cambria Math"/>
                  </w:rPr>
                  <m:t xml:space="preserve">      ∀c,z,</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Borders>
              <w:top w:val="nil"/>
              <w:left w:val="nil"/>
              <w:bottom w:val="nil"/>
              <w:right w:val="nil"/>
            </w:tcBorders>
            <w:vAlign w:val="center"/>
          </w:tcPr>
          <w:p w14:paraId="7CF7DF07" w14:textId="35DC1B7B" w:rsidR="009D7E74" w:rsidRPr="00BF2BA0" w:rsidRDefault="009D7E74" w:rsidP="003B4CD4">
            <w:pPr>
              <w:jc w:val="center"/>
            </w:pPr>
            <w:r w:rsidRPr="00BF2BA0">
              <w:t>(</w:t>
            </w:r>
            <w:r w:rsidR="001C1DD0">
              <w:t>B.</w:t>
            </w:r>
            <w:r w:rsidR="005851DD">
              <w:t>40</w:t>
            </w:r>
            <w:r w:rsidRPr="00BF2BA0">
              <w:t>)</w:t>
            </w:r>
          </w:p>
        </w:tc>
      </w:tr>
      <w:tr w:rsidR="009D7E74" w14:paraId="550D75C7"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019B032D" w14:textId="77777777" w:rsidR="009D7E74" w:rsidRDefault="009D7E74" w:rsidP="003B4CD4"/>
        </w:tc>
        <w:tc>
          <w:tcPr>
            <w:tcW w:w="4096" w:type="pct"/>
            <w:gridSpan w:val="2"/>
            <w:tcBorders>
              <w:top w:val="nil"/>
              <w:left w:val="nil"/>
              <w:bottom w:val="nil"/>
              <w:right w:val="nil"/>
            </w:tcBorders>
          </w:tcPr>
          <w:p w14:paraId="32D586F4" w14:textId="77777777" w:rsidR="009D7E74" w:rsidRDefault="009D7E74" w:rsidP="003B4CD4">
            <w:pPr>
              <w:jc w:val="center"/>
              <w:rPr>
                <w:rFonts w:eastAsia="Calibri" w:cs="Times New Roman"/>
              </w:rP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L,Dirty</m:t>
                    </m:r>
                  </m:sup>
                </m:sSubSup>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L,Dirty</m:t>
                    </m:r>
                  </m:sup>
                </m:sSubSup>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m:t>
                        </m:r>
                        <m:sSup>
                          <m:sSupPr>
                            <m:ctrlPr>
                              <w:rPr>
                                <w:rFonts w:ascii="Cambria Math" w:hAnsi="Cambria Math"/>
                                <w:i/>
                              </w:rPr>
                            </m:ctrlPr>
                          </m:sSupPr>
                          <m:e>
                            <m:r>
                              <w:rPr>
                                <w:rFonts w:ascii="Cambria Math" w:hAnsi="Cambria Math"/>
                              </w:rPr>
                              <m:t>y,y</m:t>
                            </m:r>
                          </m:e>
                          <m:sup>
                            <m:r>
                              <w:rPr>
                                <w:rFonts w:ascii="Cambria Math" w:hAnsi="Cambria Math"/>
                              </w:rPr>
                              <m:t>'</m:t>
                            </m:r>
                          </m:sup>
                        </m:sSup>
                      </m:sub>
                      <m:sup>
                        <m:r>
                          <w:rPr>
                            <w:rFonts w:ascii="Cambria Math" w:hAnsi="Cambria Math"/>
                          </w:rPr>
                          <m:t>L,Dirty</m:t>
                        </m:r>
                      </m:sup>
                    </m:sSubSup>
                  </m:e>
                </m:nary>
                <m:r>
                  <w:rPr>
                    <w:rFonts w:ascii="Cambria Math" w:eastAsiaTheme="minorEastAsia" w:hAnsi="Cambria Math"/>
                  </w:rPr>
                  <m:t xml:space="preserve">      ∀c,z,y≤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Borders>
              <w:top w:val="nil"/>
              <w:left w:val="nil"/>
              <w:bottom w:val="nil"/>
              <w:right w:val="nil"/>
            </w:tcBorders>
            <w:vAlign w:val="center"/>
          </w:tcPr>
          <w:p w14:paraId="44A6FB8F" w14:textId="58170C22" w:rsidR="009D7E74" w:rsidRPr="00BF2BA0" w:rsidRDefault="009D7E74" w:rsidP="003B4CD4">
            <w:pPr>
              <w:jc w:val="center"/>
            </w:pPr>
            <w:r w:rsidRPr="00BF2BA0">
              <w:t>(</w:t>
            </w:r>
            <w:r w:rsidR="001C1DD0">
              <w:t>B.4</w:t>
            </w:r>
            <w:r w:rsidR="005851DD">
              <w:t>1</w:t>
            </w:r>
            <w:r w:rsidRPr="00BF2BA0">
              <w:t>)</w:t>
            </w:r>
          </w:p>
        </w:tc>
      </w:tr>
      <w:tr w:rsidR="009D7E74" w14:paraId="0E3C177F"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006C26C4" w14:textId="77777777" w:rsidR="009D7E74" w:rsidRDefault="009D7E74" w:rsidP="003B4CD4"/>
        </w:tc>
        <w:tc>
          <w:tcPr>
            <w:tcW w:w="4096" w:type="pct"/>
            <w:gridSpan w:val="2"/>
            <w:tcBorders>
              <w:top w:val="nil"/>
              <w:left w:val="nil"/>
              <w:bottom w:val="nil"/>
              <w:right w:val="nil"/>
            </w:tcBorders>
          </w:tcPr>
          <w:p w14:paraId="5017EE04" w14:textId="77777777" w:rsidR="009D7E74" w:rsidRDefault="009D7E74" w:rsidP="003B4CD4">
            <w:pPr>
              <w:jc w:val="center"/>
              <w:rPr>
                <w:rFonts w:eastAsia="Calibri" w:cs="Times New Roman"/>
              </w:rPr>
            </w:pPr>
            <m:oMathPara>
              <m:oMath>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L,Dirty</m:t>
                    </m:r>
                  </m:sup>
                </m:sSubSup>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L,Dirty</m:t>
                        </m:r>
                      </m:sup>
                    </m:sSubSup>
                  </m:e>
                </m:nary>
                <m:r>
                  <w:rPr>
                    <w:rFonts w:ascii="Cambria Math" w:eastAsiaTheme="minorEastAsia" w:hAnsi="Cambria Math"/>
                  </w:rPr>
                  <m:t xml:space="preserve">      ∀c,z,y</m:t>
                </m:r>
              </m:oMath>
            </m:oMathPara>
          </w:p>
        </w:tc>
        <w:tc>
          <w:tcPr>
            <w:tcW w:w="780" w:type="pct"/>
            <w:gridSpan w:val="2"/>
            <w:tcBorders>
              <w:top w:val="nil"/>
              <w:left w:val="nil"/>
              <w:bottom w:val="nil"/>
              <w:right w:val="nil"/>
            </w:tcBorders>
            <w:vAlign w:val="center"/>
          </w:tcPr>
          <w:p w14:paraId="4112EDDD" w14:textId="07395503" w:rsidR="009D7E74" w:rsidRPr="00BF2BA0" w:rsidRDefault="009D7E74" w:rsidP="003B4CD4">
            <w:pPr>
              <w:jc w:val="center"/>
            </w:pPr>
            <w:r w:rsidRPr="00BF2BA0">
              <w:t>(</w:t>
            </w:r>
            <w:r w:rsidR="001C1DD0">
              <w:t>B.4</w:t>
            </w:r>
            <w:r w:rsidR="005851DD">
              <w:t>2</w:t>
            </w:r>
            <w:r w:rsidRPr="00BF2BA0">
              <w:t>)</w:t>
            </w:r>
          </w:p>
        </w:tc>
      </w:tr>
      <w:tr w:rsidR="009D7E74" w14:paraId="51A9AC30"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325E1F4E" w14:textId="77777777" w:rsidR="009D7E74" w:rsidRDefault="009D7E74" w:rsidP="003B4CD4"/>
        </w:tc>
        <w:tc>
          <w:tcPr>
            <w:tcW w:w="4096" w:type="pct"/>
            <w:gridSpan w:val="2"/>
            <w:tcBorders>
              <w:top w:val="nil"/>
              <w:left w:val="nil"/>
              <w:bottom w:val="nil"/>
              <w:right w:val="nil"/>
            </w:tcBorders>
          </w:tcPr>
          <w:p w14:paraId="5FE3C7B4" w14:textId="77777777" w:rsidR="009D7E74" w:rsidRDefault="009D7E74" w:rsidP="003B4CD4">
            <w:pPr>
              <w:jc w:val="center"/>
              <w:rPr>
                <w:rFonts w:eastAsia="Calibri" w:cs="Times New Roman"/>
              </w:rPr>
            </w:pPr>
            <m:oMathPara>
              <m:oMath>
                <m:r>
                  <w:rPr>
                    <w:rFonts w:ascii="Cambria Math" w:hAnsi="Cambria Math"/>
                  </w:rPr>
                  <m:t>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L,Blend</m:t>
                    </m:r>
                  </m:sup>
                </m:sSubSup>
                <m:r>
                  <w:rPr>
                    <w:rFonts w:ascii="Cambria Math" w:hAnsi="Cambria Math"/>
                  </w:rPr>
                  <m:t>=</m:t>
                </m:r>
                <m:nary>
                  <m:naryPr>
                    <m:chr m:val="∑"/>
                    <m:limLoc m:val="undOvr"/>
                    <m:ctrlPr>
                      <w:rPr>
                        <w:rFonts w:ascii="Cambria Math" w:hAnsi="Cambria Math"/>
                        <w:i/>
                      </w:rPr>
                    </m:ctrlPr>
                  </m:naryPr>
                  <m:sub>
                    <m:r>
                      <w:rPr>
                        <w:rFonts w:ascii="Cambria Math" w:hAnsi="Cambria Math"/>
                      </w:rPr>
                      <m:t>y=0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L,Blend</m:t>
                        </m:r>
                      </m:sup>
                    </m:sSubSup>
                  </m:e>
                </m:nary>
                <m:r>
                  <w:rPr>
                    <w:rFonts w:ascii="Cambria Math" w:eastAsiaTheme="minorEastAsia" w:hAnsi="Cambria Math"/>
                  </w:rPr>
                  <m:t xml:space="preserve">      ∀c,z,</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Borders>
              <w:top w:val="nil"/>
              <w:left w:val="nil"/>
              <w:bottom w:val="nil"/>
              <w:right w:val="nil"/>
            </w:tcBorders>
            <w:vAlign w:val="center"/>
          </w:tcPr>
          <w:p w14:paraId="40713276" w14:textId="3D7F13B4" w:rsidR="009D7E74" w:rsidRPr="00BF2BA0" w:rsidRDefault="009D7E74" w:rsidP="003B4CD4">
            <w:pPr>
              <w:jc w:val="center"/>
            </w:pPr>
            <w:r w:rsidRPr="00BF2BA0">
              <w:t>(</w:t>
            </w:r>
            <w:r w:rsidR="001C1DD0">
              <w:t>B.4</w:t>
            </w:r>
            <w:r w:rsidR="005851DD">
              <w:t>3</w:t>
            </w:r>
            <w:r w:rsidRPr="00BF2BA0">
              <w:t>)</w:t>
            </w:r>
          </w:p>
        </w:tc>
      </w:tr>
      <w:tr w:rsidR="009D7E74" w14:paraId="7B42961A"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753F86AD" w14:textId="77777777" w:rsidR="009D7E74" w:rsidRDefault="009D7E74" w:rsidP="003B4CD4"/>
        </w:tc>
        <w:tc>
          <w:tcPr>
            <w:tcW w:w="4096" w:type="pct"/>
            <w:gridSpan w:val="2"/>
            <w:tcBorders>
              <w:top w:val="nil"/>
              <w:left w:val="nil"/>
              <w:bottom w:val="nil"/>
              <w:right w:val="nil"/>
            </w:tcBorders>
          </w:tcPr>
          <w:p w14:paraId="211E8180" w14:textId="77777777" w:rsidR="009D7E74" w:rsidRDefault="009D7E74" w:rsidP="003B4CD4">
            <w:pPr>
              <w:jc w:val="center"/>
              <w:rPr>
                <w:rFonts w:eastAsia="Calibri" w:cs="Times New Roman"/>
              </w:rP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L,Blend</m:t>
                    </m:r>
                  </m:sup>
                </m:sSubSup>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L,Blend</m:t>
                    </m:r>
                  </m:sup>
                </m:sSubSup>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sub>
                  <m:sup>
                    <m:sSup>
                      <m:sSupPr>
                        <m:ctrlPr>
                          <w:rPr>
                            <w:rFonts w:ascii="Cambria Math" w:hAnsi="Cambria Math"/>
                            <w:i/>
                          </w:rPr>
                        </m:ctrlPr>
                      </m:sSupPr>
                      <m:e>
                        <m:r>
                          <w:rPr>
                            <w:rFonts w:ascii="Cambria Math" w:hAnsi="Cambria Math"/>
                          </w:rPr>
                          <m:t>y</m:t>
                        </m:r>
                      </m:e>
                      <m:sup>
                        <m:r>
                          <w:rPr>
                            <w:rFonts w:ascii="Cambria Math" w:hAnsi="Cambria Math"/>
                          </w:rPr>
                          <m:t>*</m:t>
                        </m:r>
                      </m:sup>
                    </m:sSup>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m:t>
                        </m:r>
                        <m:sSup>
                          <m:sSupPr>
                            <m:ctrlPr>
                              <w:rPr>
                                <w:rFonts w:ascii="Cambria Math" w:hAnsi="Cambria Math"/>
                                <w:i/>
                              </w:rPr>
                            </m:ctrlPr>
                          </m:sSupPr>
                          <m:e>
                            <m:r>
                              <w:rPr>
                                <w:rFonts w:ascii="Cambria Math" w:hAnsi="Cambria Math"/>
                              </w:rPr>
                              <m:t>y,y</m:t>
                            </m:r>
                          </m:e>
                          <m:sup>
                            <m:r>
                              <w:rPr>
                                <w:rFonts w:ascii="Cambria Math" w:hAnsi="Cambria Math"/>
                              </w:rPr>
                              <m:t>'</m:t>
                            </m:r>
                          </m:sup>
                        </m:sSup>
                      </m:sub>
                      <m:sup>
                        <m:r>
                          <w:rPr>
                            <w:rFonts w:ascii="Cambria Math" w:hAnsi="Cambria Math"/>
                          </w:rPr>
                          <m:t>L,Blend</m:t>
                        </m:r>
                      </m:sup>
                    </m:sSubSup>
                  </m:e>
                </m:nary>
                <m:r>
                  <w:rPr>
                    <w:rFonts w:ascii="Cambria Math" w:eastAsiaTheme="minorEastAsia" w:hAnsi="Cambria Math"/>
                  </w:rPr>
                  <m:t xml:space="preserve">      ∀c,z,y≤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Borders>
              <w:top w:val="nil"/>
              <w:left w:val="nil"/>
              <w:bottom w:val="nil"/>
              <w:right w:val="nil"/>
            </w:tcBorders>
            <w:vAlign w:val="center"/>
          </w:tcPr>
          <w:p w14:paraId="2A5ADFA5" w14:textId="4F23C265" w:rsidR="009D7E74" w:rsidRPr="00BF2BA0" w:rsidRDefault="009D7E74" w:rsidP="003B4CD4">
            <w:pPr>
              <w:jc w:val="center"/>
            </w:pPr>
            <w:r w:rsidRPr="00BF2BA0">
              <w:t>(</w:t>
            </w:r>
            <w:r w:rsidR="001C1DD0">
              <w:t>B.4</w:t>
            </w:r>
            <w:r w:rsidR="005851DD">
              <w:t>4</w:t>
            </w:r>
            <w:r w:rsidRPr="00BF2BA0">
              <w:t>)</w:t>
            </w:r>
          </w:p>
        </w:tc>
      </w:tr>
      <w:tr w:rsidR="009D7E74" w14:paraId="3BFAB78D" w14:textId="77777777" w:rsidTr="003B4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 w:type="pct"/>
            <w:tcBorders>
              <w:top w:val="nil"/>
              <w:left w:val="nil"/>
              <w:bottom w:val="nil"/>
              <w:right w:val="nil"/>
            </w:tcBorders>
          </w:tcPr>
          <w:p w14:paraId="4485697E" w14:textId="77777777" w:rsidR="009D7E74" w:rsidRDefault="009D7E74" w:rsidP="003B4CD4"/>
        </w:tc>
        <w:tc>
          <w:tcPr>
            <w:tcW w:w="4096" w:type="pct"/>
            <w:gridSpan w:val="2"/>
            <w:tcBorders>
              <w:top w:val="nil"/>
              <w:left w:val="nil"/>
              <w:bottom w:val="nil"/>
              <w:right w:val="nil"/>
            </w:tcBorders>
          </w:tcPr>
          <w:p w14:paraId="4D2CDEF7" w14:textId="77777777" w:rsidR="009D7E74" w:rsidRDefault="009D7E74" w:rsidP="003B4CD4">
            <w:pPr>
              <w:jc w:val="center"/>
              <w:rPr>
                <w:rFonts w:eastAsia="Calibri" w:cs="Times New Roman"/>
              </w:rPr>
            </w:pPr>
            <m:oMathPara>
              <m:oMath>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L,Blend</m:t>
                    </m:r>
                  </m:sup>
                </m:sSubSup>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 +</m:t>
                    </m:r>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sup>
                  <m:e>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L,Blend</m:t>
                        </m:r>
                      </m:sup>
                    </m:sSubSup>
                  </m:e>
                </m:nary>
                <m:r>
                  <w:rPr>
                    <w:rFonts w:ascii="Cambria Math" w:eastAsiaTheme="minorEastAsia" w:hAnsi="Cambria Math"/>
                  </w:rPr>
                  <m:t xml:space="preserve">      ∀c,z,y</m:t>
                </m:r>
              </m:oMath>
            </m:oMathPara>
          </w:p>
        </w:tc>
        <w:tc>
          <w:tcPr>
            <w:tcW w:w="780" w:type="pct"/>
            <w:gridSpan w:val="2"/>
            <w:tcBorders>
              <w:top w:val="nil"/>
              <w:left w:val="nil"/>
              <w:bottom w:val="nil"/>
              <w:right w:val="nil"/>
            </w:tcBorders>
            <w:vAlign w:val="center"/>
          </w:tcPr>
          <w:p w14:paraId="4D727B8D" w14:textId="29E58D03" w:rsidR="009D7E74" w:rsidRPr="00BF2BA0" w:rsidRDefault="009D7E74" w:rsidP="003B4CD4">
            <w:pPr>
              <w:jc w:val="center"/>
            </w:pPr>
            <w:r w:rsidRPr="00BF2BA0">
              <w:t>(</w:t>
            </w:r>
            <w:r w:rsidR="001C1DD0">
              <w:t>B.4</w:t>
            </w:r>
            <w:r w:rsidR="005851DD">
              <w:t>5</w:t>
            </w:r>
            <w:r w:rsidRPr="00BF2BA0">
              <w:t>)</w:t>
            </w:r>
          </w:p>
        </w:tc>
      </w:tr>
      <w:tr w:rsidR="009D7E74" w14:paraId="657D042D" w14:textId="77777777" w:rsidTr="003B4CD4">
        <w:tc>
          <w:tcPr>
            <w:tcW w:w="124" w:type="pct"/>
            <w:shd w:val="clear" w:color="auto" w:fill="auto"/>
          </w:tcPr>
          <w:p w14:paraId="1C606235" w14:textId="77777777" w:rsidR="009D7E74" w:rsidRDefault="009D7E74" w:rsidP="003B4CD4"/>
        </w:tc>
        <w:tc>
          <w:tcPr>
            <w:tcW w:w="4140" w:type="pct"/>
            <w:gridSpan w:val="3"/>
            <w:shd w:val="clear" w:color="auto" w:fill="auto"/>
            <w:vAlign w:val="center"/>
          </w:tcPr>
          <w:p w14:paraId="38A457C2" w14:textId="77777777" w:rsidR="009D7E74" w:rsidRDefault="009D7E74" w:rsidP="003B4CD4">
            <w:pPr>
              <w:jc w:val="cente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C</m:t>
                    </m:r>
                  </m:sup>
                </m:sSubSup>
                <m:r>
                  <w:rPr>
                    <w:rFonts w:ascii="Cambria Math" w:hAnsi="Cambria Math"/>
                  </w:rPr>
                  <m:t>=0</m:t>
                </m:r>
                <m:r>
                  <w:rPr>
                    <w:rFonts w:ascii="Cambria Math" w:eastAsiaTheme="minorEastAsia" w:hAnsi="Cambria Math"/>
                  </w:rPr>
                  <m:t xml:space="preserve">      ∀c,z,y&gt;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shd w:val="clear" w:color="auto" w:fill="auto"/>
            <w:vAlign w:val="center"/>
          </w:tcPr>
          <w:p w14:paraId="13C7726A" w14:textId="665F6A47" w:rsidR="009D7E74" w:rsidRPr="00BF2BA0" w:rsidRDefault="009D7E74" w:rsidP="003B4CD4">
            <w:pPr>
              <w:jc w:val="center"/>
            </w:pPr>
            <w:r w:rsidRPr="00BF2BA0">
              <w:t>(</w:t>
            </w:r>
            <w:r w:rsidR="001C1DD0">
              <w:t>B.4</w:t>
            </w:r>
            <w:r w:rsidR="005851DD">
              <w:t>6</w:t>
            </w:r>
            <w:r w:rsidRPr="00BF2BA0">
              <w:t>)</w:t>
            </w:r>
          </w:p>
        </w:tc>
      </w:tr>
      <w:tr w:rsidR="009D7E74" w14:paraId="570ECC18" w14:textId="77777777" w:rsidTr="003B4CD4">
        <w:tc>
          <w:tcPr>
            <w:tcW w:w="124" w:type="pct"/>
            <w:shd w:val="clear" w:color="auto" w:fill="auto"/>
          </w:tcPr>
          <w:p w14:paraId="081630FB" w14:textId="77777777" w:rsidR="009D7E74" w:rsidRDefault="009D7E74" w:rsidP="003B4CD4"/>
        </w:tc>
        <w:tc>
          <w:tcPr>
            <w:tcW w:w="4096" w:type="pct"/>
            <w:gridSpan w:val="2"/>
            <w:shd w:val="clear" w:color="auto" w:fill="auto"/>
            <w:vAlign w:val="center"/>
          </w:tcPr>
          <w:p w14:paraId="5661BF9C" w14:textId="77777777" w:rsidR="009D7E74" w:rsidRDefault="009D7E74" w:rsidP="003B4CD4">
            <w:pPr>
              <w:jc w:val="center"/>
            </w:pPr>
            <m:oMathPara>
              <m:oMath>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C</m:t>
                    </m:r>
                  </m:sup>
                </m:sSubSup>
                <m:r>
                  <w:rPr>
                    <w:rFonts w:ascii="Cambria Math" w:hAnsi="Cambria Math"/>
                  </w:rPr>
                  <m:t>=0</m:t>
                </m:r>
                <m:r>
                  <w:rPr>
                    <w:rFonts w:ascii="Cambria Math" w:eastAsiaTheme="minorEastAsia" w:hAnsi="Cambria Math"/>
                  </w:rPr>
                  <m:t xml:space="preserve">      ∀c,z,y≥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shd w:val="clear" w:color="auto" w:fill="auto"/>
            <w:vAlign w:val="center"/>
          </w:tcPr>
          <w:p w14:paraId="7F00A6E0" w14:textId="757D1CDA" w:rsidR="009D7E74" w:rsidRPr="00BF2BA0" w:rsidRDefault="009D7E74" w:rsidP="003B4CD4">
            <w:pPr>
              <w:jc w:val="center"/>
            </w:pPr>
            <w:r w:rsidRPr="00BF2BA0">
              <w:t>(</w:t>
            </w:r>
            <w:r w:rsidR="001C1DD0">
              <w:t>B.4</w:t>
            </w:r>
            <w:r w:rsidR="005851DD">
              <w:t>7</w:t>
            </w:r>
            <w:r w:rsidRPr="00BF2BA0">
              <w:t>)</w:t>
            </w:r>
          </w:p>
        </w:tc>
      </w:tr>
      <w:tr w:rsidR="009D7E74" w14:paraId="13E4B689" w14:textId="77777777" w:rsidTr="003B4CD4">
        <w:tc>
          <w:tcPr>
            <w:tcW w:w="124" w:type="pct"/>
          </w:tcPr>
          <w:p w14:paraId="6DB8A422" w14:textId="77777777" w:rsidR="009D7E74" w:rsidRDefault="009D7E74" w:rsidP="003B4CD4"/>
        </w:tc>
        <w:tc>
          <w:tcPr>
            <w:tcW w:w="4140" w:type="pct"/>
            <w:gridSpan w:val="3"/>
          </w:tcPr>
          <w:p w14:paraId="5F7DB060" w14:textId="77777777" w:rsidR="009D7E74" w:rsidRDefault="009D7E74" w:rsidP="003B4CD4">
            <w:pPr>
              <w:jc w:val="cente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L,Clean</m:t>
                    </m:r>
                  </m:sup>
                </m:sSubSup>
                <m:r>
                  <w:rPr>
                    <w:rFonts w:ascii="Cambria Math" w:hAnsi="Cambria Math"/>
                  </w:rPr>
                  <m:t>=0</m:t>
                </m:r>
                <m:r>
                  <w:rPr>
                    <w:rFonts w:ascii="Cambria Math" w:eastAsiaTheme="minorEastAsia" w:hAnsi="Cambria Math"/>
                  </w:rPr>
                  <m:t xml:space="preserve">      ∀c,z,y&gt;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tcPr>
          <w:p w14:paraId="73E42ECF" w14:textId="5BC8C916" w:rsidR="009D7E74" w:rsidRPr="00BF2BA0" w:rsidRDefault="009D7E74" w:rsidP="003B4CD4">
            <w:pPr>
              <w:jc w:val="center"/>
            </w:pPr>
            <w:r w:rsidRPr="00BF2BA0">
              <w:t>(</w:t>
            </w:r>
            <w:r w:rsidR="001C1DD0">
              <w:t>B.4</w:t>
            </w:r>
            <w:r w:rsidR="005851DD">
              <w:t>8</w:t>
            </w:r>
            <w:r w:rsidRPr="00BF2BA0">
              <w:t>)</w:t>
            </w:r>
          </w:p>
        </w:tc>
      </w:tr>
      <w:tr w:rsidR="009D7E74" w14:paraId="0599B036" w14:textId="77777777" w:rsidTr="003B4CD4">
        <w:tc>
          <w:tcPr>
            <w:tcW w:w="124" w:type="pct"/>
          </w:tcPr>
          <w:p w14:paraId="483B58A5" w14:textId="77777777" w:rsidR="009D7E74" w:rsidRDefault="009D7E74" w:rsidP="003B4CD4"/>
        </w:tc>
        <w:tc>
          <w:tcPr>
            <w:tcW w:w="4096" w:type="pct"/>
            <w:gridSpan w:val="2"/>
          </w:tcPr>
          <w:p w14:paraId="27C49898" w14:textId="77777777" w:rsidR="009D7E74" w:rsidRDefault="009D7E74" w:rsidP="003B4CD4">
            <w:pPr>
              <w:jc w:val="center"/>
            </w:pPr>
            <m:oMathPara>
              <m:oMath>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L,Clean</m:t>
                    </m:r>
                  </m:sup>
                </m:sSubSup>
                <m:r>
                  <w:rPr>
                    <w:rFonts w:ascii="Cambria Math" w:hAnsi="Cambria Math"/>
                  </w:rPr>
                  <m:t>=0</m:t>
                </m:r>
                <m:r>
                  <w:rPr>
                    <w:rFonts w:ascii="Cambria Math" w:eastAsiaTheme="minorEastAsia" w:hAnsi="Cambria Math"/>
                  </w:rPr>
                  <m:t xml:space="preserve">      ∀c,z,y≥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Pr>
          <w:p w14:paraId="3C1ED337" w14:textId="40D72E6E" w:rsidR="009D7E74" w:rsidRPr="00BF2BA0" w:rsidRDefault="009D7E74" w:rsidP="003B4CD4">
            <w:pPr>
              <w:jc w:val="center"/>
            </w:pPr>
            <w:r w:rsidRPr="00BF2BA0">
              <w:t>(</w:t>
            </w:r>
            <w:r w:rsidR="001C1DD0">
              <w:t>B.4</w:t>
            </w:r>
            <w:r w:rsidR="005851DD">
              <w:t>9</w:t>
            </w:r>
            <w:r w:rsidRPr="00BF2BA0">
              <w:t>)</w:t>
            </w:r>
          </w:p>
        </w:tc>
      </w:tr>
      <w:tr w:rsidR="009D7E74" w14:paraId="756148ED" w14:textId="77777777" w:rsidTr="003B4CD4">
        <w:tc>
          <w:tcPr>
            <w:tcW w:w="124" w:type="pct"/>
          </w:tcPr>
          <w:p w14:paraId="7409C92D" w14:textId="77777777" w:rsidR="009D7E74" w:rsidRDefault="009D7E74" w:rsidP="003B4CD4"/>
        </w:tc>
        <w:tc>
          <w:tcPr>
            <w:tcW w:w="4096" w:type="pct"/>
            <w:gridSpan w:val="2"/>
          </w:tcPr>
          <w:p w14:paraId="3677C114" w14:textId="77777777" w:rsidR="009D7E74" w:rsidRDefault="009D7E74" w:rsidP="003B4CD4">
            <w:pPr>
              <w:jc w:val="center"/>
              <w:rPr>
                <w:rFonts w:eastAsia="Calibri" w:cs="Times New Roman"/>
              </w:rP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L,Dirty</m:t>
                    </m:r>
                  </m:sup>
                </m:sSubSup>
                <m:r>
                  <w:rPr>
                    <w:rFonts w:ascii="Cambria Math" w:hAnsi="Cambria Math"/>
                  </w:rPr>
                  <m:t>=0</m:t>
                </m:r>
                <m:r>
                  <w:rPr>
                    <w:rFonts w:ascii="Cambria Math" w:eastAsiaTheme="minorEastAsia" w:hAnsi="Cambria Math"/>
                  </w:rPr>
                  <m:t xml:space="preserve">      ∀c,z,y&gt;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Pr>
          <w:p w14:paraId="2B36EE50" w14:textId="1A1CF8D9" w:rsidR="009D7E74" w:rsidRPr="00BF2BA0" w:rsidRDefault="009D7E74" w:rsidP="003B4CD4">
            <w:pPr>
              <w:jc w:val="center"/>
            </w:pPr>
            <w:r w:rsidRPr="00BF2BA0">
              <w:t>(</w:t>
            </w:r>
            <w:r w:rsidR="001C1DD0">
              <w:t>B.</w:t>
            </w:r>
            <w:r w:rsidR="005851DD">
              <w:t>50</w:t>
            </w:r>
            <w:r w:rsidRPr="00BF2BA0">
              <w:t>)</w:t>
            </w:r>
          </w:p>
        </w:tc>
      </w:tr>
      <w:tr w:rsidR="009D7E74" w14:paraId="620EDB9F" w14:textId="77777777" w:rsidTr="003B4CD4">
        <w:tc>
          <w:tcPr>
            <w:tcW w:w="124" w:type="pct"/>
          </w:tcPr>
          <w:p w14:paraId="3037B272" w14:textId="77777777" w:rsidR="009D7E74" w:rsidRDefault="009D7E74" w:rsidP="003B4CD4"/>
        </w:tc>
        <w:tc>
          <w:tcPr>
            <w:tcW w:w="4096" w:type="pct"/>
            <w:gridSpan w:val="2"/>
          </w:tcPr>
          <w:p w14:paraId="63C58D1D" w14:textId="77777777" w:rsidR="009D7E74" w:rsidRDefault="009D7E74" w:rsidP="003B4CD4">
            <w:pPr>
              <w:jc w:val="center"/>
              <w:rPr>
                <w:rFonts w:eastAsia="Calibri" w:cs="Times New Roman"/>
              </w:rPr>
            </w:pPr>
            <m:oMathPara>
              <m:oMath>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L,Dirty</m:t>
                    </m:r>
                  </m:sup>
                </m:sSubSup>
                <m:r>
                  <w:rPr>
                    <w:rFonts w:ascii="Cambria Math" w:hAnsi="Cambria Math"/>
                  </w:rPr>
                  <m:t>=0</m:t>
                </m:r>
                <m:r>
                  <w:rPr>
                    <w:rFonts w:ascii="Cambria Math" w:eastAsiaTheme="minorEastAsia" w:hAnsi="Cambria Math"/>
                  </w:rPr>
                  <m:t xml:space="preserve">      ∀c,z</m:t>
                </m:r>
                <m:r>
                  <w:rPr>
                    <w:rFonts w:ascii="Cambria Math" w:hAnsi="Cambria Math"/>
                  </w:rPr>
                  <m:t>,</m:t>
                </m:r>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Pr>
          <w:p w14:paraId="2CC3793D" w14:textId="648349DD" w:rsidR="009D7E74" w:rsidRPr="00BF2BA0" w:rsidRDefault="009D7E74" w:rsidP="003B4CD4">
            <w:pPr>
              <w:jc w:val="center"/>
            </w:pPr>
            <w:bookmarkStart w:id="231" w:name="_Ref43452824"/>
            <w:r w:rsidRPr="00BF2BA0">
              <w:t>(</w:t>
            </w:r>
            <w:r w:rsidR="001C1DD0">
              <w:t>B.5</w:t>
            </w:r>
            <w:r w:rsidR="005851DD">
              <w:t>1</w:t>
            </w:r>
            <w:r w:rsidRPr="00BF2BA0">
              <w:t>)</w:t>
            </w:r>
            <w:bookmarkEnd w:id="231"/>
          </w:p>
        </w:tc>
      </w:tr>
      <w:tr w:rsidR="009D7E74" w14:paraId="7E4A1670" w14:textId="77777777" w:rsidTr="003B4CD4">
        <w:tc>
          <w:tcPr>
            <w:tcW w:w="124" w:type="pct"/>
          </w:tcPr>
          <w:p w14:paraId="6F0C4105" w14:textId="77777777" w:rsidR="009D7E74" w:rsidRDefault="009D7E74" w:rsidP="003B4CD4"/>
        </w:tc>
        <w:tc>
          <w:tcPr>
            <w:tcW w:w="4096" w:type="pct"/>
            <w:gridSpan w:val="2"/>
          </w:tcPr>
          <w:p w14:paraId="442749FD" w14:textId="77777777" w:rsidR="009D7E74" w:rsidRDefault="009D7E74" w:rsidP="003B4CD4">
            <w:pPr>
              <w:jc w:val="center"/>
              <w:rPr>
                <w:rFonts w:eastAsia="Calibri" w:cs="Times New Roman"/>
              </w:rPr>
            </w:pPr>
            <m:oMathPara>
              <m:oMath>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L,Blend</m:t>
                    </m:r>
                  </m:sup>
                </m:sSubSup>
                <m:r>
                  <w:rPr>
                    <w:rFonts w:ascii="Cambria Math" w:hAnsi="Cambria Math"/>
                  </w:rPr>
                  <m:t>=0</m:t>
                </m:r>
                <m:r>
                  <w:rPr>
                    <w:rFonts w:ascii="Cambria Math" w:eastAsiaTheme="minorEastAsia" w:hAnsi="Cambria Math"/>
                  </w:rPr>
                  <m:t xml:space="preserve">      ∀c,z,y&gt;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Pr>
          <w:p w14:paraId="324E3B6A" w14:textId="01F882AE" w:rsidR="009D7E74" w:rsidRPr="00BF2BA0" w:rsidRDefault="009D7E74" w:rsidP="003B4CD4">
            <w:pPr>
              <w:jc w:val="center"/>
            </w:pPr>
            <w:r w:rsidRPr="00BF2BA0">
              <w:t>(</w:t>
            </w:r>
            <w:r w:rsidR="001C1DD0">
              <w:t>B.5</w:t>
            </w:r>
            <w:r w:rsidR="005851DD">
              <w:t>2</w:t>
            </w:r>
            <w:r w:rsidRPr="00BF2BA0">
              <w:t>)</w:t>
            </w:r>
          </w:p>
        </w:tc>
      </w:tr>
      <w:tr w:rsidR="009D7E74" w14:paraId="36F1132C" w14:textId="77777777" w:rsidTr="003B4CD4">
        <w:tc>
          <w:tcPr>
            <w:tcW w:w="124" w:type="pct"/>
          </w:tcPr>
          <w:p w14:paraId="7B4BCB15" w14:textId="77777777" w:rsidR="009D7E74" w:rsidRDefault="009D7E74" w:rsidP="003B4CD4"/>
        </w:tc>
        <w:tc>
          <w:tcPr>
            <w:tcW w:w="4096" w:type="pct"/>
            <w:gridSpan w:val="2"/>
          </w:tcPr>
          <w:p w14:paraId="25BAE356" w14:textId="77777777" w:rsidR="009D7E74" w:rsidRDefault="009D7E74" w:rsidP="003B4CD4">
            <w:pPr>
              <w:jc w:val="center"/>
              <w:rPr>
                <w:rFonts w:eastAsia="Calibri" w:cs="Times New Roman"/>
              </w:rPr>
            </w:pPr>
            <m:oMathPara>
              <m:oMath>
                <m:r>
                  <w:rPr>
                    <w:rFonts w:ascii="Cambria Math" w:hAnsi="Cambria Math"/>
                  </w:rPr>
                  <m:t>DPurCA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L,Blend</m:t>
                    </m:r>
                  </m:sup>
                </m:sSubSup>
                <m:r>
                  <w:rPr>
                    <w:rFonts w:ascii="Cambria Math" w:hAnsi="Cambria Math"/>
                  </w:rPr>
                  <m:t>=0</m:t>
                </m:r>
                <m:r>
                  <w:rPr>
                    <w:rFonts w:ascii="Cambria Math" w:eastAsiaTheme="minorEastAsia" w:hAnsi="Cambria Math"/>
                  </w:rPr>
                  <m:t xml:space="preserve">      ∀c,z</m:t>
                </m:r>
                <m:r>
                  <w:rPr>
                    <w:rFonts w:ascii="Cambria Math" w:hAnsi="Cambria Math"/>
                  </w:rPr>
                  <m:t>,</m:t>
                </m:r>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80" w:type="pct"/>
            <w:gridSpan w:val="2"/>
          </w:tcPr>
          <w:p w14:paraId="0DB013B7" w14:textId="35BA0D80" w:rsidR="009D7E74" w:rsidRPr="00BF2BA0" w:rsidRDefault="009D7E74" w:rsidP="003B4CD4">
            <w:pPr>
              <w:jc w:val="center"/>
            </w:pPr>
            <w:bookmarkStart w:id="232" w:name="_Ref48646723"/>
            <w:r w:rsidRPr="00BF2BA0">
              <w:t>(</w:t>
            </w:r>
            <w:r w:rsidR="001C1DD0">
              <w:t>B.5</w:t>
            </w:r>
            <w:r w:rsidR="005851DD">
              <w:t>3</w:t>
            </w:r>
            <w:r w:rsidRPr="00BF2BA0">
              <w:t>)</w:t>
            </w:r>
            <w:bookmarkEnd w:id="232"/>
          </w:p>
        </w:tc>
      </w:tr>
    </w:tbl>
    <w:p w14:paraId="5503639C" w14:textId="77777777" w:rsidR="009D7E74" w:rsidRDefault="009D7E74" w:rsidP="009D7E74">
      <w:pPr>
        <w:pStyle w:val="Heading8"/>
      </w:pPr>
      <w:bookmarkStart w:id="233" w:name="_Toc50359421"/>
      <w:r>
        <w:t>Refuelling Station Constraints</w:t>
      </w:r>
      <w:bookmarkEnd w:id="233"/>
    </w:p>
    <w:p w14:paraId="7E11334E" w14:textId="6563ACD8" w:rsidR="009D7E74" w:rsidRPr="008E37CC" w:rsidRDefault="009D7E74" w:rsidP="009D7E74">
      <w:pPr>
        <w:rPr>
          <w:rFonts w:eastAsiaTheme="minorEastAsia"/>
        </w:rPr>
      </w:pPr>
      <w:r>
        <w:t xml:space="preserve">It was assumed the installed refuelling station capacity for hydrogen in zone </w:t>
      </w:r>
      <m:oMath>
        <m:r>
          <w:rPr>
            <w:rFonts w:ascii="Cambria Math" w:hAnsi="Cambria Math"/>
          </w:rPr>
          <m:t>z</m:t>
        </m:r>
      </m:oMath>
      <w:r>
        <w:rPr>
          <w:rFonts w:eastAsiaTheme="minorEastAsia"/>
        </w:rPr>
        <w:t xml:space="preserve"> and time-period </w:t>
      </w:r>
      <m:oMath>
        <m:r>
          <w:rPr>
            <w:rFonts w:ascii="Cambria Math" w:eastAsiaTheme="minorEastAsia" w:hAnsi="Cambria Math"/>
          </w:rPr>
          <m:t>y</m:t>
        </m:r>
      </m:oMath>
      <w:r>
        <w:rPr>
          <w:rFonts w:eastAsiaTheme="minorEastAsia"/>
        </w:rPr>
        <w:t xml:space="preserve"> must be equal to or larger than the total amount of hydrogen delivered in the same zone in the same time period</w:t>
      </w:r>
      <w:r w:rsidR="006053B8">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9D7E74" w14:paraId="2CCD5428" w14:textId="77777777" w:rsidTr="003B4CD4">
        <w:tc>
          <w:tcPr>
            <w:tcW w:w="250" w:type="pct"/>
            <w:shd w:val="clear" w:color="auto" w:fill="auto"/>
          </w:tcPr>
          <w:p w14:paraId="74EA3D28" w14:textId="77777777" w:rsidR="009D7E74" w:rsidRPr="008E37CC" w:rsidRDefault="009D7E74" w:rsidP="003B4CD4"/>
        </w:tc>
        <w:tc>
          <w:tcPr>
            <w:tcW w:w="4500" w:type="pct"/>
            <w:shd w:val="clear" w:color="auto" w:fill="auto"/>
            <w:vAlign w:val="center"/>
          </w:tcPr>
          <w:p w14:paraId="59391141" w14:textId="77777777" w:rsidR="009D7E74" w:rsidRPr="008E37CC" w:rsidRDefault="00903D45" w:rsidP="003B4CD4">
            <w:pPr>
              <w:jc w:val="center"/>
            </w:pPr>
            <m:oMathPara>
              <m:oMath>
                <m:f>
                  <m:fPr>
                    <m:ctrlPr>
                      <w:rPr>
                        <w:rFonts w:ascii="Cambria Math" w:eastAsiaTheme="minorEastAsia" w:hAnsi="Cambria Math"/>
                        <w:i/>
                      </w:rPr>
                    </m:ctrlPr>
                  </m:fPr>
                  <m:num>
                    <m:bar>
                      <m:barPr>
                        <m:pos m:val="top"/>
                        <m:ctrlPr>
                          <w:rPr>
                            <w:rFonts w:ascii="Cambria Math" w:hAnsi="Cambria Math"/>
                            <w:i/>
                          </w:rPr>
                        </m:ctrlPr>
                      </m:barPr>
                      <m:e>
                        <m:sSub>
                          <m:sSubPr>
                            <m:ctrlPr>
                              <w:rPr>
                                <w:rFonts w:ascii="Cambria Math" w:hAnsi="Cambria Math"/>
                                <w:i/>
                              </w:rPr>
                            </m:ctrlPr>
                          </m:sSubPr>
                          <m:e>
                            <m:r>
                              <w:rPr>
                                <w:rFonts w:ascii="Cambria Math" w:hAnsi="Cambria Math"/>
                              </w:rPr>
                              <m:t>D</m:t>
                            </m:r>
                          </m:e>
                          <m:sub>
                            <m:r>
                              <w:rPr>
                                <w:rFonts w:ascii="Cambria Math" w:hAnsi="Cambria Math"/>
                              </w:rPr>
                              <m:t>z,y</m:t>
                            </m:r>
                          </m:sub>
                        </m:sSub>
                      </m:e>
                    </m:bar>
                  </m:num>
                  <m:den>
                    <m:r>
                      <w:rPr>
                        <w:rFonts w:ascii="Cambria Math" w:eastAsiaTheme="minorEastAsia" w:hAnsi="Cambria Math"/>
                      </w:rPr>
                      <m:t>α</m:t>
                    </m:r>
                  </m:den>
                </m:f>
                <m:r>
                  <w:rPr>
                    <w:rFonts w:ascii="Cambria Math" w:eastAsiaTheme="minorEastAsia" w:hAnsi="Cambria Math"/>
                  </w:rPr>
                  <m:t>≤IRFCa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ub>
                </m:sSub>
                <m:r>
                  <w:rPr>
                    <w:rFonts w:ascii="Cambria Math" w:eastAsiaTheme="minorEastAsia" w:hAnsi="Cambria Math"/>
                  </w:rPr>
                  <m:t xml:space="preserve">      ∀z,y</m:t>
                </m:r>
              </m:oMath>
            </m:oMathPara>
          </w:p>
        </w:tc>
        <w:tc>
          <w:tcPr>
            <w:tcW w:w="250" w:type="pct"/>
            <w:shd w:val="clear" w:color="auto" w:fill="auto"/>
            <w:vAlign w:val="center"/>
          </w:tcPr>
          <w:p w14:paraId="7D57CFD7" w14:textId="2D478E0F" w:rsidR="009D7E74" w:rsidRPr="00BF2BA0" w:rsidRDefault="009D7E74" w:rsidP="003B4CD4">
            <w:pPr>
              <w:jc w:val="center"/>
            </w:pPr>
            <w:bookmarkStart w:id="234" w:name="_Ref43453733"/>
            <w:r w:rsidRPr="008E37CC">
              <w:t>(</w:t>
            </w:r>
            <w:r w:rsidR="001C1DD0">
              <w:t>B.5</w:t>
            </w:r>
            <w:r w:rsidR="005851DD">
              <w:t>4</w:t>
            </w:r>
            <w:r w:rsidRPr="008E37CC">
              <w:t>)</w:t>
            </w:r>
            <w:bookmarkEnd w:id="234"/>
          </w:p>
        </w:tc>
      </w:tr>
    </w:tbl>
    <w:p w14:paraId="5C224F7B" w14:textId="4F637BD0" w:rsidR="009D7E74" w:rsidRDefault="009D7E74" w:rsidP="009D7E74">
      <w:r>
        <w:lastRenderedPageBreak/>
        <w:t xml:space="preserve">As with the rest of the components of the hydrogen supply chain, refuelling stations have associated vintage capacities, newly installed capacities and decommissioned capacities, represented by Equations </w:t>
      </w:r>
      <w:r w:rsidR="00E41B8C">
        <w:t>(B.5</w:t>
      </w:r>
      <w:r w:rsidR="005851DD">
        <w:t>5</w:t>
      </w:r>
      <w:r w:rsidR="00E41B8C">
        <w:t>)-(B.5</w:t>
      </w:r>
      <w:r w:rsidR="005851DD">
        <w:t>9</w:t>
      </w:r>
      <w:r w:rsidR="00E41B8C">
        <w:t>)</w:t>
      </w:r>
      <w:r w:rsidR="006053B8">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12"/>
        <w:gridCol w:w="63"/>
        <w:gridCol w:w="1329"/>
      </w:tblGrid>
      <w:tr w:rsidR="009D7E74" w14:paraId="5ADB3DCA" w14:textId="77777777" w:rsidTr="003B4CD4">
        <w:tc>
          <w:tcPr>
            <w:tcW w:w="123" w:type="pct"/>
            <w:shd w:val="clear" w:color="auto" w:fill="auto"/>
          </w:tcPr>
          <w:p w14:paraId="2B50106E" w14:textId="77777777" w:rsidR="009D7E74" w:rsidRDefault="009D7E74" w:rsidP="003B4CD4"/>
        </w:tc>
        <w:tc>
          <w:tcPr>
            <w:tcW w:w="4141" w:type="pct"/>
            <w:gridSpan w:val="2"/>
            <w:shd w:val="clear" w:color="auto" w:fill="auto"/>
            <w:vAlign w:val="center"/>
          </w:tcPr>
          <w:p w14:paraId="39931145" w14:textId="77777777" w:rsidR="009D7E74" w:rsidRDefault="009D7E74" w:rsidP="003B4CD4">
            <w:pPr>
              <w:jc w:val="center"/>
            </w:pPr>
            <m:oMathPara>
              <m:oMath>
                <m:r>
                  <w:rPr>
                    <w:rFonts w:ascii="Cambria Math" w:eastAsiaTheme="minorEastAsia" w:hAnsi="Cambria Math"/>
                  </w:rPr>
                  <m:t>IRFCa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y=0</m:t>
                    </m:r>
                  </m:sub>
                  <m:sup>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p>
                  <m:e>
                    <m:r>
                      <w:rPr>
                        <w:rFonts w:ascii="Cambria Math" w:eastAsiaTheme="minorEastAsia" w:hAnsi="Cambria Math"/>
                      </w:rPr>
                      <m:t>VRFCa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b>
                    </m:sSub>
                  </m:e>
                </m:nary>
                <m:r>
                  <w:rPr>
                    <w:rFonts w:ascii="Cambria Math" w:eastAsiaTheme="minorEastAsia" w:hAnsi="Cambria Math"/>
                  </w:rPr>
                  <m:t xml:space="preserve">      ∀z,</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shd w:val="clear" w:color="auto" w:fill="auto"/>
            <w:vAlign w:val="center"/>
          </w:tcPr>
          <w:p w14:paraId="5A0A5E94" w14:textId="3691C8C8" w:rsidR="009D7E74" w:rsidRPr="00BF2BA0" w:rsidRDefault="009D7E74" w:rsidP="003B4CD4">
            <w:pPr>
              <w:jc w:val="center"/>
            </w:pPr>
            <w:bookmarkStart w:id="235" w:name="_Ref43453812"/>
            <w:r w:rsidRPr="00BF2BA0">
              <w:t>(</w:t>
            </w:r>
            <w:r w:rsidR="001C1DD0">
              <w:t>B.</w:t>
            </w:r>
            <w:r w:rsidR="005851DD">
              <w:t>55</w:t>
            </w:r>
            <w:r w:rsidRPr="00BF2BA0">
              <w:t>)</w:t>
            </w:r>
            <w:bookmarkEnd w:id="235"/>
          </w:p>
        </w:tc>
      </w:tr>
      <w:tr w:rsidR="009D7E74" w14:paraId="1D339EF2" w14:textId="77777777" w:rsidTr="003B4CD4">
        <w:tc>
          <w:tcPr>
            <w:tcW w:w="123" w:type="pct"/>
            <w:shd w:val="clear" w:color="auto" w:fill="auto"/>
          </w:tcPr>
          <w:p w14:paraId="27DE490C" w14:textId="77777777" w:rsidR="009D7E74" w:rsidRDefault="009D7E74" w:rsidP="003B4CD4"/>
        </w:tc>
        <w:tc>
          <w:tcPr>
            <w:tcW w:w="4141" w:type="pct"/>
            <w:gridSpan w:val="2"/>
            <w:shd w:val="clear" w:color="auto" w:fill="auto"/>
            <w:vAlign w:val="center"/>
          </w:tcPr>
          <w:p w14:paraId="15A522F6" w14:textId="77777777" w:rsidR="009D7E74" w:rsidRDefault="009D7E74" w:rsidP="003B4CD4">
            <w:pPr>
              <w:jc w:val="center"/>
            </w:pPr>
            <m:oMathPara>
              <m:oMath>
                <m:r>
                  <w:rPr>
                    <w:rFonts w:ascii="Cambria Math" w:eastAsiaTheme="minorEastAsia" w:hAnsi="Cambria Math"/>
                  </w:rPr>
                  <m:t>VRFCa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b>
                </m:sSub>
                <m:r>
                  <w:rPr>
                    <w:rFonts w:ascii="Cambria Math" w:eastAsiaTheme="minorEastAsia" w:hAnsi="Cambria Math"/>
                  </w:rPr>
                  <m:t>=NRFCa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ub>
                </m:sSub>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p>
                  <m:e>
                    <m:r>
                      <w:rPr>
                        <w:rFonts w:ascii="Cambria Math" w:eastAsiaTheme="minorEastAsia" w:hAnsi="Cambria Math"/>
                      </w:rPr>
                      <m:t>DRFCa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b>
                    </m:sSub>
                  </m:e>
                </m:nary>
                <m:r>
                  <w:rPr>
                    <w:rFonts w:ascii="Cambria Math" w:eastAsiaTheme="minorEastAsia" w:hAnsi="Cambria Math"/>
                  </w:rPr>
                  <m:t xml:space="preserve">      ∀z,y≤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shd w:val="clear" w:color="auto" w:fill="auto"/>
            <w:vAlign w:val="center"/>
          </w:tcPr>
          <w:p w14:paraId="7B3AE36C" w14:textId="76308050" w:rsidR="009D7E74" w:rsidRPr="00BF2BA0" w:rsidRDefault="009D7E74" w:rsidP="003B4CD4">
            <w:pPr>
              <w:jc w:val="center"/>
            </w:pPr>
            <w:r w:rsidRPr="00BF2BA0">
              <w:t>(</w:t>
            </w:r>
            <w:r w:rsidR="001C1DD0">
              <w:t>B.</w:t>
            </w:r>
            <w:r w:rsidR="005851DD">
              <w:t>56</w:t>
            </w:r>
            <w:r w:rsidRPr="00BF2BA0">
              <w:t>)</w:t>
            </w:r>
          </w:p>
        </w:tc>
      </w:tr>
      <w:tr w:rsidR="009D7E74" w14:paraId="31EE6F71" w14:textId="77777777" w:rsidTr="003B4CD4">
        <w:tc>
          <w:tcPr>
            <w:tcW w:w="123" w:type="pct"/>
            <w:shd w:val="clear" w:color="auto" w:fill="auto"/>
          </w:tcPr>
          <w:p w14:paraId="6065755D" w14:textId="77777777" w:rsidR="009D7E74" w:rsidRDefault="009D7E74" w:rsidP="003B4CD4"/>
        </w:tc>
        <w:tc>
          <w:tcPr>
            <w:tcW w:w="4141" w:type="pct"/>
            <w:gridSpan w:val="2"/>
            <w:shd w:val="clear" w:color="auto" w:fill="auto"/>
            <w:vAlign w:val="center"/>
          </w:tcPr>
          <w:p w14:paraId="2F546D9E" w14:textId="77777777" w:rsidR="009D7E74" w:rsidRDefault="009D7E74" w:rsidP="003B4CD4">
            <w:pPr>
              <w:jc w:val="center"/>
            </w:pPr>
            <m:oMathPara>
              <m:oMath>
                <m:r>
                  <w:rPr>
                    <w:rFonts w:ascii="Cambria Math" w:eastAsiaTheme="minorEastAsia" w:hAnsi="Cambria Math"/>
                  </w:rPr>
                  <m:t>NRFCa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ub>
                </m:sSub>
                <m:r>
                  <w:rPr>
                    <w:rFonts w:ascii="Cambria Math" w:eastAsiaTheme="minorEastAsia" w:hAnsi="Cambria Math"/>
                  </w:rPr>
                  <m:t>=</m:t>
                </m:r>
                <m:nary>
                  <m:naryPr>
                    <m:chr m:val="∑"/>
                    <m:limLoc m:val="undOvr"/>
                    <m:ctrlPr>
                      <w:rPr>
                        <w:rFonts w:ascii="Cambria Math" w:eastAsiaTheme="minorEastAsia" w:hAnsi="Cambria Math"/>
                        <w:i/>
                      </w:rPr>
                    </m:ctrlPr>
                  </m:naryPr>
                  <m: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=0</m:t>
                    </m:r>
                  </m:sub>
                  <m:sup>
                    <m:r>
                      <w:rPr>
                        <w:rFonts w:ascii="Cambria Math" w:eastAsiaTheme="minorEastAsia" w:hAnsi="Cambria Math"/>
                      </w:rPr>
                      <m:t>y+Lref</m:t>
                    </m:r>
                  </m:sup>
                  <m:e>
                    <m:r>
                      <w:rPr>
                        <w:rFonts w:ascii="Cambria Math" w:eastAsiaTheme="minorEastAsia" w:hAnsi="Cambria Math"/>
                      </w:rPr>
                      <m:t>DRFCa</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sub>
                    </m:sSub>
                  </m:e>
                </m:nary>
                <m:r>
                  <w:rPr>
                    <w:rFonts w:ascii="Cambria Math" w:eastAsiaTheme="minorEastAsia" w:hAnsi="Cambria Math"/>
                  </w:rPr>
                  <m:t xml:space="preserve">      ∀z,y</m:t>
                </m:r>
              </m:oMath>
            </m:oMathPara>
          </w:p>
        </w:tc>
        <w:tc>
          <w:tcPr>
            <w:tcW w:w="736" w:type="pct"/>
            <w:shd w:val="clear" w:color="auto" w:fill="auto"/>
            <w:vAlign w:val="center"/>
          </w:tcPr>
          <w:p w14:paraId="54FE1167" w14:textId="3DB77DF1" w:rsidR="009D7E74" w:rsidRPr="00BF2BA0" w:rsidRDefault="009D7E74" w:rsidP="003B4CD4">
            <w:pPr>
              <w:jc w:val="center"/>
            </w:pPr>
            <w:r w:rsidRPr="00BF2BA0">
              <w:t>(</w:t>
            </w:r>
            <w:r w:rsidR="001C1DD0">
              <w:t>B.</w:t>
            </w:r>
            <w:r w:rsidR="005851DD">
              <w:t>57</w:t>
            </w:r>
            <w:r w:rsidRPr="00BF2BA0">
              <w:t>)</w:t>
            </w:r>
          </w:p>
        </w:tc>
      </w:tr>
      <w:tr w:rsidR="009D7E74" w14:paraId="13AADA01" w14:textId="77777777" w:rsidTr="003B4CD4">
        <w:tc>
          <w:tcPr>
            <w:tcW w:w="123" w:type="pct"/>
            <w:shd w:val="clear" w:color="auto" w:fill="auto"/>
          </w:tcPr>
          <w:p w14:paraId="2335FF6B" w14:textId="77777777" w:rsidR="009D7E74" w:rsidRDefault="009D7E74" w:rsidP="003B4CD4"/>
        </w:tc>
        <w:tc>
          <w:tcPr>
            <w:tcW w:w="4141" w:type="pct"/>
            <w:gridSpan w:val="2"/>
            <w:shd w:val="clear" w:color="auto" w:fill="auto"/>
            <w:vAlign w:val="center"/>
          </w:tcPr>
          <w:p w14:paraId="69947CA4" w14:textId="77777777" w:rsidR="009D7E74" w:rsidRDefault="009D7E74" w:rsidP="003B4CD4">
            <w:pPr>
              <w:jc w:val="center"/>
            </w:pPr>
            <m:oMathPara>
              <m:oMath>
                <m:r>
                  <w:rPr>
                    <w:rFonts w:ascii="Cambria Math" w:hAnsi="Cambria Math"/>
                  </w:rPr>
                  <m:t>VRFCa</m:t>
                </m:r>
                <m:sSub>
                  <m:sSubPr>
                    <m:ctrlPr>
                      <w:rPr>
                        <w:rFonts w:ascii="Cambria Math" w:hAnsi="Cambria Math"/>
                        <w:i/>
                      </w:rPr>
                    </m:ctrlPr>
                  </m:sSubPr>
                  <m:e>
                    <m:r>
                      <w:rPr>
                        <w:rFonts w:ascii="Cambria Math" w:hAnsi="Cambria Math"/>
                      </w:rPr>
                      <m:t>p</m:t>
                    </m:r>
                  </m:e>
                  <m:sub>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Sub>
                <m:r>
                  <w:rPr>
                    <w:rFonts w:ascii="Cambria Math" w:hAnsi="Cambria Math"/>
                  </w:rPr>
                  <m:t>=0</m:t>
                </m:r>
                <m:r>
                  <w:rPr>
                    <w:rFonts w:ascii="Cambria Math" w:eastAsiaTheme="minorEastAsia" w:hAnsi="Cambria Math"/>
                  </w:rPr>
                  <m:t xml:space="preserve">      ∀z,y&gt;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36" w:type="pct"/>
            <w:shd w:val="clear" w:color="auto" w:fill="auto"/>
            <w:vAlign w:val="center"/>
          </w:tcPr>
          <w:p w14:paraId="007E9871" w14:textId="43674A36" w:rsidR="009D7E74" w:rsidRPr="00BF2BA0" w:rsidRDefault="009D7E74" w:rsidP="003B4CD4">
            <w:pPr>
              <w:jc w:val="center"/>
            </w:pPr>
            <w:r w:rsidRPr="00BF2BA0">
              <w:t>(</w:t>
            </w:r>
            <w:r w:rsidR="001C1DD0">
              <w:t>B.</w:t>
            </w:r>
            <w:r w:rsidR="005851DD">
              <w:t>58</w:t>
            </w:r>
            <w:r w:rsidRPr="00BF2BA0">
              <w:t>)</w:t>
            </w:r>
          </w:p>
        </w:tc>
      </w:tr>
      <w:tr w:rsidR="009D7E74" w14:paraId="19EFA28D" w14:textId="77777777" w:rsidTr="003B4CD4">
        <w:tc>
          <w:tcPr>
            <w:tcW w:w="123" w:type="pct"/>
            <w:shd w:val="clear" w:color="auto" w:fill="auto"/>
          </w:tcPr>
          <w:p w14:paraId="1C7A1FA0" w14:textId="77777777" w:rsidR="009D7E74" w:rsidRDefault="009D7E74" w:rsidP="003B4CD4"/>
        </w:tc>
        <w:tc>
          <w:tcPr>
            <w:tcW w:w="4106" w:type="pct"/>
            <w:shd w:val="clear" w:color="auto" w:fill="auto"/>
            <w:vAlign w:val="center"/>
          </w:tcPr>
          <w:p w14:paraId="141BF224" w14:textId="77777777" w:rsidR="009D7E74" w:rsidRDefault="009D7E74" w:rsidP="003B4CD4">
            <w:pPr>
              <w:jc w:val="center"/>
            </w:pPr>
            <m:oMathPara>
              <m:oMath>
                <m:r>
                  <w:rPr>
                    <w:rFonts w:ascii="Cambria Math" w:eastAsiaTheme="minorEastAsia" w:hAnsi="Cambria Math"/>
                  </w:rPr>
                  <m:t>DRFCa</m:t>
                </m:r>
                <m:sSub>
                  <m:sSubPr>
                    <m:ctrlPr>
                      <w:rPr>
                        <w:rFonts w:ascii="Cambria Math" w:hAnsi="Cambria Math"/>
                        <w:i/>
                      </w:rPr>
                    </m:ctrlPr>
                  </m:sSubPr>
                  <m:e>
                    <m:r>
                      <w:rPr>
                        <w:rFonts w:ascii="Cambria Math" w:hAnsi="Cambria Math"/>
                      </w:rPr>
                      <m:t>p</m:t>
                    </m:r>
                  </m:e>
                  <m:sub>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sub>
                </m:sSub>
                <m:r>
                  <w:rPr>
                    <w:rFonts w:ascii="Cambria Math" w:hAnsi="Cambria Math"/>
                  </w:rPr>
                  <m:t>=0</m:t>
                </m:r>
                <m:r>
                  <w:rPr>
                    <w:rFonts w:ascii="Cambria Math" w:eastAsiaTheme="minorEastAsia" w:hAnsi="Cambria Math"/>
                  </w:rPr>
                  <m:t xml:space="preserve">      ∀z,y≥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m:oMathPara>
          </w:p>
        </w:tc>
        <w:tc>
          <w:tcPr>
            <w:tcW w:w="771" w:type="pct"/>
            <w:gridSpan w:val="2"/>
            <w:shd w:val="clear" w:color="auto" w:fill="auto"/>
            <w:vAlign w:val="center"/>
          </w:tcPr>
          <w:p w14:paraId="0F2502F8" w14:textId="6C96D447" w:rsidR="009D7E74" w:rsidRPr="00BF2BA0" w:rsidRDefault="009D7E74" w:rsidP="003B4CD4">
            <w:pPr>
              <w:jc w:val="center"/>
            </w:pPr>
            <w:bookmarkStart w:id="236" w:name="_Ref43453815"/>
            <w:r w:rsidRPr="00BF2BA0">
              <w:t>(</w:t>
            </w:r>
            <w:r w:rsidR="001C1DD0">
              <w:t>B.</w:t>
            </w:r>
            <w:r w:rsidR="005851DD">
              <w:t>59</w:t>
            </w:r>
            <w:r w:rsidRPr="00BF2BA0">
              <w:t>)</w:t>
            </w:r>
            <w:bookmarkEnd w:id="236"/>
          </w:p>
        </w:tc>
      </w:tr>
    </w:tbl>
    <w:p w14:paraId="3FA7CB2A" w14:textId="77777777" w:rsidR="009C57B6" w:rsidRDefault="009C57B6" w:rsidP="009C57B6">
      <w:pPr>
        <w:pStyle w:val="Heading8"/>
      </w:pPr>
      <w:bookmarkStart w:id="237" w:name="_Toc50359422"/>
      <w:r>
        <w:t>Carbon Emissions</w:t>
      </w:r>
      <w:bookmarkEnd w:id="237"/>
    </w:p>
    <w:p w14:paraId="2329E599" w14:textId="77777777" w:rsidR="009C57B6" w:rsidRDefault="009C57B6" w:rsidP="009C57B6">
      <w:r>
        <w:t>Carbon emissions were included in the model and are assumed to arise from three main parts:</w:t>
      </w:r>
    </w:p>
    <w:p w14:paraId="1959E22C" w14:textId="77777777" w:rsidR="009C57B6" w:rsidRDefault="009C57B6" w:rsidP="009C57B6">
      <w:pPr>
        <w:pStyle w:val="ListParagraph"/>
        <w:numPr>
          <w:ilvl w:val="0"/>
          <w:numId w:val="46"/>
        </w:numPr>
        <w:spacing w:line="240" w:lineRule="auto"/>
        <w:ind w:left="1434" w:hanging="357"/>
      </w:pPr>
      <w:r>
        <w:t>Production</w:t>
      </w:r>
    </w:p>
    <w:p w14:paraId="28465F51" w14:textId="77777777" w:rsidR="009C57B6" w:rsidRDefault="009C57B6" w:rsidP="009C57B6">
      <w:pPr>
        <w:pStyle w:val="ListParagraph"/>
        <w:numPr>
          <w:ilvl w:val="0"/>
          <w:numId w:val="46"/>
        </w:numPr>
        <w:spacing w:line="240" w:lineRule="auto"/>
        <w:ind w:left="1434" w:hanging="357"/>
      </w:pPr>
      <w:r>
        <w:t>Transportation</w:t>
      </w:r>
    </w:p>
    <w:p w14:paraId="2EC37C25" w14:textId="77777777" w:rsidR="009C57B6" w:rsidRDefault="009C57B6" w:rsidP="009C57B6">
      <w:pPr>
        <w:pStyle w:val="ListParagraph"/>
        <w:numPr>
          <w:ilvl w:val="0"/>
          <w:numId w:val="46"/>
        </w:numPr>
        <w:spacing w:line="240" w:lineRule="auto"/>
        <w:ind w:left="1434" w:hanging="357"/>
      </w:pPr>
      <w:r>
        <w:t>Purification</w:t>
      </w:r>
    </w:p>
    <w:p w14:paraId="1C7E697E" w14:textId="77777777" w:rsidR="009C57B6" w:rsidRDefault="009C57B6" w:rsidP="009C57B6">
      <w:r>
        <w:t>Annual carbon emissions from production facilities: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9C57B6" w14:paraId="1ECB441B" w14:textId="77777777" w:rsidTr="003B4CD4">
        <w:tc>
          <w:tcPr>
            <w:tcW w:w="250" w:type="pct"/>
            <w:shd w:val="clear" w:color="auto" w:fill="auto"/>
          </w:tcPr>
          <w:p w14:paraId="38A1B647" w14:textId="77777777" w:rsidR="009C57B6" w:rsidRDefault="009C57B6" w:rsidP="003B4CD4"/>
        </w:tc>
        <w:tc>
          <w:tcPr>
            <w:tcW w:w="4500" w:type="pct"/>
            <w:shd w:val="clear" w:color="auto" w:fill="auto"/>
            <w:vAlign w:val="center"/>
          </w:tcPr>
          <w:p w14:paraId="2EDAA1C7" w14:textId="77777777" w:rsidR="009C57B6" w:rsidRDefault="009C57B6" w:rsidP="003B4CD4">
            <w:pPr>
              <w:jc w:val="center"/>
            </w:pPr>
            <m:oMathPara>
              <m:oMath>
                <m:r>
                  <w:rPr>
                    <w:rFonts w:ascii="Cambria Math" w:hAnsi="Cambria Math"/>
                  </w:rPr>
                  <m:t>ProdCOEmissio</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p,z,g</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p,y</m:t>
                            </m:r>
                          </m:sub>
                          <m:sup>
                            <m:r>
                              <w:rPr>
                                <w:rFonts w:ascii="Cambria Math" w:hAnsi="Cambria Math"/>
                              </w:rPr>
                              <m:t>Prod</m:t>
                            </m:r>
                          </m:sup>
                        </m:sSubSup>
                        <m:r>
                          <w:rPr>
                            <w:rFonts w:ascii="Cambria Math" w:hAnsi="Cambria Math"/>
                          </w:rPr>
                          <m:t>⋅α⋅IP</m:t>
                        </m:r>
                        <m:sSub>
                          <m:sSubPr>
                            <m:ctrlPr>
                              <w:rPr>
                                <w:rFonts w:ascii="Cambria Math" w:hAnsi="Cambria Math"/>
                                <w:i/>
                              </w:rPr>
                            </m:ctrlPr>
                          </m:sSubPr>
                          <m:e>
                            <m:r>
                              <w:rPr>
                                <w:rFonts w:ascii="Cambria Math" w:hAnsi="Cambria Math"/>
                              </w:rPr>
                              <m:t>RCap</m:t>
                            </m:r>
                          </m:e>
                          <m:sub>
                            <m:r>
                              <w:rPr>
                                <w:rFonts w:ascii="Cambria Math" w:hAnsi="Cambria Math"/>
                              </w:rPr>
                              <m:t>p,z,g,y</m:t>
                            </m:r>
                          </m:sub>
                        </m:sSub>
                      </m:e>
                    </m:d>
                    <m:r>
                      <w:rPr>
                        <w:rFonts w:ascii="Cambria Math" w:eastAsiaTheme="minorEastAsia" w:hAnsi="Cambria Math"/>
                      </w:rPr>
                      <m:t xml:space="preserve">      ∀y</m:t>
                    </m:r>
                  </m:e>
                </m:nary>
              </m:oMath>
            </m:oMathPara>
          </w:p>
        </w:tc>
        <w:tc>
          <w:tcPr>
            <w:tcW w:w="250" w:type="pct"/>
            <w:shd w:val="clear" w:color="auto" w:fill="auto"/>
            <w:vAlign w:val="center"/>
          </w:tcPr>
          <w:p w14:paraId="147D1CEC" w14:textId="3DF727F1" w:rsidR="009C57B6" w:rsidRPr="00BF2BA0" w:rsidRDefault="009C57B6" w:rsidP="003B4CD4">
            <w:pPr>
              <w:jc w:val="center"/>
            </w:pPr>
            <w:r w:rsidRPr="00BF2BA0">
              <w:t>(</w:t>
            </w:r>
            <w:r w:rsidR="001C1DD0">
              <w:t>B.</w:t>
            </w:r>
            <w:r w:rsidR="005851DD">
              <w:t>60</w:t>
            </w:r>
            <w:r w:rsidRPr="00BF2BA0">
              <w:t>)</w:t>
            </w:r>
          </w:p>
        </w:tc>
      </w:tr>
    </w:tbl>
    <w:p w14:paraId="77008663" w14:textId="77777777" w:rsidR="009C57B6" w:rsidRDefault="009C57B6" w:rsidP="009C57B6">
      <w:r>
        <w:t xml:space="preserve">Annual carbon emissions from transport technologies: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9C57B6" w14:paraId="6431BD47" w14:textId="77777777" w:rsidTr="003B4CD4">
        <w:tc>
          <w:tcPr>
            <w:tcW w:w="250" w:type="pct"/>
            <w:shd w:val="clear" w:color="auto" w:fill="auto"/>
          </w:tcPr>
          <w:p w14:paraId="6A308836" w14:textId="77777777" w:rsidR="009C57B6" w:rsidRDefault="009C57B6" w:rsidP="003B4CD4"/>
        </w:tc>
        <w:tc>
          <w:tcPr>
            <w:tcW w:w="4500" w:type="pct"/>
            <w:shd w:val="clear" w:color="auto" w:fill="auto"/>
            <w:vAlign w:val="center"/>
          </w:tcPr>
          <w:p w14:paraId="62E67062" w14:textId="77777777" w:rsidR="009C57B6" w:rsidRDefault="009C57B6" w:rsidP="003B4CD4">
            <w:pPr>
              <w:jc w:val="center"/>
            </w:pPr>
            <m:oMathPara>
              <m:oMath>
                <m:r>
                  <w:rPr>
                    <w:rFonts w:ascii="Cambria Math" w:hAnsi="Cambria Math"/>
                  </w:rPr>
                  <m:t>TranCOEmissio</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l,y</m:t>
                            </m:r>
                          </m:sub>
                          <m:sup>
                            <m:r>
                              <w:rPr>
                                <w:rFonts w:ascii="Cambria Math" w:hAnsi="Cambria Math"/>
                              </w:rPr>
                              <m:t>Tran,R</m:t>
                            </m:r>
                          </m:sup>
                        </m:sSubSup>
                        <m:r>
                          <w:rPr>
                            <w:rFonts w:ascii="Cambria Math" w:hAnsi="Cambria Math"/>
                          </w:rPr>
                          <m:t>⋅α⋅ITCa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R</m:t>
                            </m:r>
                          </m:sup>
                        </m:sSubSup>
                        <m:r>
                          <w:rPr>
                            <w:rFonts w:ascii="Cambria Math" w:hAnsi="Cambria Math"/>
                          </w:rPr>
                          <m:t>⋅dR</m:t>
                        </m:r>
                        <m:d>
                          <m:dPr>
                            <m:ctrlPr>
                              <w:rPr>
                                <w:rFonts w:ascii="Cambria Math" w:hAnsi="Cambria Math"/>
                                <w:i/>
                              </w:rPr>
                            </m:ctrlPr>
                          </m:dPr>
                          <m:e>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e>
                        </m:d>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l,z,g</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l,y</m:t>
                            </m:r>
                          </m:sub>
                          <m:sup>
                            <m:r>
                              <w:rPr>
                                <w:rFonts w:ascii="Cambria Math" w:hAnsi="Cambria Math"/>
                              </w:rPr>
                              <m:t>Tran,L</m:t>
                            </m:r>
                          </m:sup>
                        </m:sSubSup>
                        <m:r>
                          <w:rPr>
                            <w:rFonts w:ascii="Cambria Math" w:hAnsi="Cambria Math"/>
                          </w:rPr>
                          <m:t>⋅α⋅ITCa</m:t>
                        </m:r>
                        <m:sSubSup>
                          <m:sSubSupPr>
                            <m:ctrlPr>
                              <w:rPr>
                                <w:rFonts w:ascii="Cambria Math" w:hAnsi="Cambria Math"/>
                                <w:i/>
                              </w:rPr>
                            </m:ctrlPr>
                          </m:sSubSupPr>
                          <m:e>
                            <m:r>
                              <w:rPr>
                                <w:rFonts w:ascii="Cambria Math" w:hAnsi="Cambria Math"/>
                              </w:rPr>
                              <m:t>p</m:t>
                            </m:r>
                          </m:e>
                          <m:sub>
                            <m:r>
                              <w:rPr>
                                <w:rFonts w:ascii="Cambria Math" w:hAnsi="Cambria Math"/>
                              </w:rPr>
                              <m:t>l,z,g,</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r>
                          <w:rPr>
                            <w:rFonts w:ascii="Cambria Math" w:hAnsi="Cambria Math"/>
                          </w:rPr>
                          <m:t>⋅dL</m:t>
                        </m:r>
                        <m:d>
                          <m:dPr>
                            <m:ctrlPr>
                              <w:rPr>
                                <w:rFonts w:ascii="Cambria Math" w:hAnsi="Cambria Math"/>
                                <w:i/>
                              </w:rPr>
                            </m:ctrlPr>
                          </m:dPr>
                          <m:e>
                            <m:r>
                              <w:rPr>
                                <w:rFonts w:ascii="Cambria Math" w:hAnsi="Cambria Math"/>
                              </w:rPr>
                              <m:t>z</m:t>
                            </m:r>
                          </m:e>
                        </m:d>
                      </m:e>
                    </m:d>
                  </m:e>
                </m:nary>
                <m:r>
                  <w:rPr>
                    <w:rFonts w:ascii="Cambria Math" w:eastAsiaTheme="minorEastAsia" w:hAnsi="Cambria Math"/>
                  </w:rPr>
                  <m:t xml:space="preserve">      ∀y</m:t>
                </m:r>
              </m:oMath>
            </m:oMathPara>
          </w:p>
        </w:tc>
        <w:tc>
          <w:tcPr>
            <w:tcW w:w="250" w:type="pct"/>
            <w:shd w:val="clear" w:color="auto" w:fill="auto"/>
            <w:vAlign w:val="center"/>
          </w:tcPr>
          <w:p w14:paraId="3D72479A" w14:textId="4DC4296F" w:rsidR="009C57B6" w:rsidRPr="00BF2BA0" w:rsidRDefault="009C57B6" w:rsidP="003B4CD4">
            <w:pPr>
              <w:jc w:val="center"/>
            </w:pPr>
            <w:r w:rsidRPr="00BF2BA0">
              <w:t>(</w:t>
            </w:r>
            <w:r w:rsidR="001C1DD0">
              <w:t>B.</w:t>
            </w:r>
            <w:r w:rsidR="005851DD">
              <w:t>61</w:t>
            </w:r>
            <w:r w:rsidRPr="00BF2BA0">
              <w:t>)</w:t>
            </w:r>
          </w:p>
        </w:tc>
      </w:tr>
    </w:tbl>
    <w:p w14:paraId="633740EE" w14:textId="77777777" w:rsidR="009C57B6" w:rsidRDefault="009C57B6" w:rsidP="009C57B6">
      <w:r>
        <w:t>Annual carbon emissions from purification technologies: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9C57B6" w14:paraId="3CAD5179" w14:textId="77777777" w:rsidTr="003B4CD4">
        <w:tc>
          <w:tcPr>
            <w:tcW w:w="250" w:type="pct"/>
            <w:shd w:val="clear" w:color="auto" w:fill="auto"/>
          </w:tcPr>
          <w:p w14:paraId="59C2D921" w14:textId="77777777" w:rsidR="009C57B6" w:rsidRDefault="009C57B6" w:rsidP="003B4CD4"/>
        </w:tc>
        <w:tc>
          <w:tcPr>
            <w:tcW w:w="4500" w:type="pct"/>
            <w:shd w:val="clear" w:color="auto" w:fill="auto"/>
            <w:vAlign w:val="center"/>
          </w:tcPr>
          <w:p w14:paraId="2310ABB2" w14:textId="77777777" w:rsidR="009C57B6" w:rsidRDefault="009C57B6" w:rsidP="003B4CD4">
            <w:pPr>
              <w:jc w:val="center"/>
            </w:pPr>
            <m:oMathPara>
              <m:oMath>
                <m:r>
                  <w:rPr>
                    <w:rFonts w:ascii="Cambria Math" w:hAnsi="Cambria Math"/>
                  </w:rPr>
                  <m:t>PurCOEmissio</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c,z</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c,y</m:t>
                            </m:r>
                          </m:sub>
                          <m:sup>
                            <m:r>
                              <w:rPr>
                                <w:rFonts w:ascii="Cambria Math" w:hAnsi="Cambria Math"/>
                              </w:rPr>
                              <m:t>Pur</m:t>
                            </m:r>
                          </m:sup>
                        </m:sSubSup>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C,Clean</m:t>
                            </m:r>
                          </m:sup>
                        </m:sSubSup>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c,z</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c,y</m:t>
                            </m:r>
                          </m:sub>
                          <m:sup>
                            <m:r>
                              <w:rPr>
                                <w:rFonts w:ascii="Cambria Math" w:hAnsi="Cambria Math"/>
                              </w:rPr>
                              <m:t>Pur</m:t>
                            </m:r>
                          </m:sup>
                        </m:sSubSup>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L,Clean</m:t>
                            </m:r>
                          </m:sup>
                        </m:sSubSup>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c,z</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c,y</m:t>
                            </m:r>
                          </m:sub>
                          <m:sup>
                            <m:r>
                              <w:rPr>
                                <w:rFonts w:ascii="Cambria Math" w:hAnsi="Cambria Math"/>
                              </w:rPr>
                              <m:t>Pur</m:t>
                            </m:r>
                          </m:sup>
                        </m:sSubSup>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L,Dirty</m:t>
                            </m:r>
                          </m:sup>
                        </m:sSubSup>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c,z</m:t>
                    </m:r>
                  </m:sub>
                  <m:sup/>
                  <m:e>
                    <m:d>
                      <m:dPr>
                        <m:begChr m:val="["/>
                        <m:endChr m:val="]"/>
                        <m:ctrlPr>
                          <w:rPr>
                            <w:rFonts w:ascii="Cambria Math" w:hAnsi="Cambria Math"/>
                            <w:i/>
                          </w:rPr>
                        </m:ctrlPr>
                      </m:dPr>
                      <m:e>
                        <m:r>
                          <w:rPr>
                            <w:rFonts w:ascii="Cambria Math" w:hAnsi="Cambria Math"/>
                          </w:rPr>
                          <m:t>EmissionFacto</m:t>
                        </m:r>
                        <m:sSubSup>
                          <m:sSubSupPr>
                            <m:ctrlPr>
                              <w:rPr>
                                <w:rFonts w:ascii="Cambria Math" w:hAnsi="Cambria Math"/>
                                <w:i/>
                              </w:rPr>
                            </m:ctrlPr>
                          </m:sSubSupPr>
                          <m:e>
                            <m:r>
                              <w:rPr>
                                <w:rFonts w:ascii="Cambria Math" w:hAnsi="Cambria Math"/>
                              </w:rPr>
                              <m:t>r</m:t>
                            </m:r>
                          </m:e>
                          <m:sub>
                            <m:r>
                              <w:rPr>
                                <w:rFonts w:ascii="Cambria Math" w:hAnsi="Cambria Math"/>
                              </w:rPr>
                              <m:t>c,y</m:t>
                            </m:r>
                          </m:sub>
                          <m:sup>
                            <m:r>
                              <w:rPr>
                                <w:rFonts w:ascii="Cambria Math" w:hAnsi="Cambria Math"/>
                              </w:rPr>
                              <m:t>Pur</m:t>
                            </m:r>
                          </m:sup>
                        </m:sSubSup>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hAnsi="Cambria Math"/>
                              </w:rPr>
                              <m:t>c,z,y</m:t>
                            </m:r>
                          </m:sub>
                          <m:sup>
                            <m:r>
                              <w:rPr>
                                <w:rFonts w:ascii="Cambria Math" w:hAnsi="Cambria Math"/>
                              </w:rPr>
                              <m:t>L,Blend</m:t>
                            </m:r>
                          </m:sup>
                        </m:sSubSup>
                      </m:e>
                    </m:d>
                  </m:e>
                </m:nary>
                <m:r>
                  <w:rPr>
                    <w:rFonts w:ascii="Cambria Math" w:eastAsiaTheme="minorEastAsia" w:hAnsi="Cambria Math"/>
                  </w:rPr>
                  <m:t xml:space="preserve">      ∀y</m:t>
                </m:r>
              </m:oMath>
            </m:oMathPara>
          </w:p>
        </w:tc>
        <w:tc>
          <w:tcPr>
            <w:tcW w:w="250" w:type="pct"/>
            <w:shd w:val="clear" w:color="auto" w:fill="auto"/>
            <w:vAlign w:val="center"/>
          </w:tcPr>
          <w:p w14:paraId="519783EF" w14:textId="79765BD7" w:rsidR="009C57B6" w:rsidRPr="00BF2BA0" w:rsidRDefault="009C57B6" w:rsidP="003B4CD4">
            <w:pPr>
              <w:jc w:val="center"/>
            </w:pPr>
            <w:bookmarkStart w:id="238" w:name="_Ref48675933"/>
            <w:r w:rsidRPr="00BF2BA0">
              <w:t>(</w:t>
            </w:r>
            <w:r w:rsidR="001C1DD0">
              <w:t>B.</w:t>
            </w:r>
            <w:r w:rsidR="005851DD">
              <w:t>62</w:t>
            </w:r>
            <w:r w:rsidRPr="00BF2BA0">
              <w:t>)</w:t>
            </w:r>
            <w:bookmarkEnd w:id="238"/>
          </w:p>
        </w:tc>
      </w:tr>
    </w:tbl>
    <w:p w14:paraId="7DF7D5B6" w14:textId="697AC1EC" w:rsidR="00B94823" w:rsidRDefault="00B94823" w:rsidP="00B94823">
      <w:pPr>
        <w:pStyle w:val="Heading8"/>
      </w:pPr>
      <w:r>
        <w:t>Cost components</w:t>
      </w:r>
    </w:p>
    <w:p w14:paraId="7AE6A9DD" w14:textId="0A9F7E1B" w:rsidR="002026C8" w:rsidRDefault="002026C8" w:rsidP="002026C8">
      <w:r>
        <w:t>It was assumed the infrastructure of the whole supply chain will be operating on a yearly basis within each 5-year time interval, thus operational expenditure must be discounted on a yearly basis. This is represented by the discount operating factor (</w:t>
      </w:r>
      <m:oMath>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oMath>
      <w:r>
        <w:rPr>
          <w:rFonts w:eastAsiaTheme="minorEastAsia"/>
        </w:rPr>
        <w:t>) and is calculated using the following Equations: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2026C8" w14:paraId="667DCBB6" w14:textId="77777777" w:rsidTr="003B4CD4">
        <w:tc>
          <w:tcPr>
            <w:tcW w:w="250" w:type="pct"/>
            <w:shd w:val="clear" w:color="auto" w:fill="auto"/>
          </w:tcPr>
          <w:p w14:paraId="7E0F8E6C" w14:textId="77777777" w:rsidR="002026C8" w:rsidRDefault="002026C8" w:rsidP="003B4CD4"/>
        </w:tc>
        <w:tc>
          <w:tcPr>
            <w:tcW w:w="4500" w:type="pct"/>
            <w:shd w:val="clear" w:color="auto" w:fill="auto"/>
            <w:vAlign w:val="center"/>
          </w:tcPr>
          <w:p w14:paraId="35D7D147" w14:textId="77777777" w:rsidR="002026C8" w:rsidRPr="008419B7" w:rsidRDefault="002026C8" w:rsidP="003B4CD4">
            <w:pPr>
              <w:jc w:val="center"/>
              <w:rPr>
                <w:rFonts w:eastAsiaTheme="minorEastAsia"/>
              </w:rPr>
            </w:pPr>
            <m:oMath>
              <m:r>
                <w:rPr>
                  <w:rFonts w:ascii="Cambria Math" w:hAnsi="Cambria Math"/>
                </w:rPr>
                <m:t>DFO</m:t>
              </m:r>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y</m:t>
                      </m:r>
                    </m:e>
                    <m:sub>
                      <m:r>
                        <w:rPr>
                          <w:rFonts w:ascii="Cambria Math" w:hAnsi="Cambria Math"/>
                        </w:rPr>
                        <m:t>0</m:t>
                      </m:r>
                    </m:sub>
                  </m:sSub>
                </m:sub>
              </m:sSub>
              <m:r>
                <w:rPr>
                  <w:rFonts w:ascii="Cambria Math" w:hAnsi="Cambria Math"/>
                </w:rPr>
                <m:t>=1</m:t>
              </m:r>
            </m:oMath>
            <w:r>
              <w:rPr>
                <w:rFonts w:eastAsiaTheme="minorEastAsia"/>
              </w:rPr>
              <w:t>;</w:t>
            </w:r>
          </w:p>
          <w:p w14:paraId="33845700" w14:textId="77777777" w:rsidR="002026C8" w:rsidRPr="002A42CE" w:rsidRDefault="002026C8" w:rsidP="003B4CD4">
            <w:pPr>
              <w:jc w:val="center"/>
              <w:rPr>
                <w:rFonts w:eastAsiaTheme="minorEastAsia"/>
              </w:rPr>
            </w:pPr>
            <m:oMathPara>
              <m:oMath>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+4</m:t>
                            </m:r>
                          </m:sup>
                        </m:sSup>
                      </m:den>
                    </m:f>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0</m:t>
                        </m:r>
                      </m:sub>
                    </m:sSub>
                    <m:r>
                      <w:rPr>
                        <w:rFonts w:ascii="Cambria Math" w:eastAsiaTheme="minorEastAsia" w:hAnsi="Cambria Math"/>
                      </w:rPr>
                      <m:t>&lt; y&lt;2050</m:t>
                    </m:r>
                    <m:ctrlPr>
                      <w:rPr>
                        <w:rFonts w:ascii="Cambria Math" w:eastAsiaTheme="minorEastAsia" w:hAnsi="Cambria Math"/>
                        <w:i/>
                      </w:rPr>
                    </m:ctrlPr>
                  </m:e>
                </m:d>
                <m:r>
                  <w:rPr>
                    <w:rFonts w:ascii="Cambria Math" w:eastAsiaTheme="minorEastAsia" w:hAnsi="Cambria Math"/>
                  </w:rPr>
                  <m:t>;</m:t>
                </m:r>
              </m:oMath>
            </m:oMathPara>
          </w:p>
          <w:p w14:paraId="770A7C67" w14:textId="77777777" w:rsidR="002026C8" w:rsidRDefault="002026C8" w:rsidP="003B4CD4">
            <w:pPr>
              <w:jc w:val="center"/>
            </w:pPr>
            <m:oMathPara>
              <m:oMath>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2050</m:t>
                    </m:r>
                  </m:sub>
                </m:sSub>
                <m:r>
                  <w:rPr>
                    <w:rFonts w:ascii="Cambria Math" w:hAnsi="Cambria Math"/>
                  </w:rPr>
                  <m:t>=</m:t>
                </m:r>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2050-</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r>
                      <w:rPr>
                        <w:rFonts w:ascii="Cambria Math" w:eastAsiaTheme="minorEastAsia" w:hAnsi="Cambria Math"/>
                      </w:rPr>
                      <m:t xml:space="preserve">      </m:t>
                    </m:r>
                  </m:e>
                </m:d>
              </m:oMath>
            </m:oMathPara>
          </w:p>
        </w:tc>
        <w:tc>
          <w:tcPr>
            <w:tcW w:w="250" w:type="pct"/>
            <w:shd w:val="clear" w:color="auto" w:fill="auto"/>
            <w:vAlign w:val="center"/>
          </w:tcPr>
          <w:p w14:paraId="685380B7" w14:textId="0E0631C1" w:rsidR="002026C8" w:rsidRPr="00BF2BA0" w:rsidRDefault="002026C8" w:rsidP="003B4CD4">
            <w:pPr>
              <w:jc w:val="center"/>
            </w:pPr>
            <w:r w:rsidRPr="00D84BBD">
              <w:t>(</w:t>
            </w:r>
            <w:r w:rsidR="001C1DD0">
              <w:t>B.</w:t>
            </w:r>
            <w:r w:rsidR="005851DD">
              <w:t>63</w:t>
            </w:r>
            <w:r w:rsidRPr="00D84BBD">
              <w:t>)</w:t>
            </w:r>
          </w:p>
        </w:tc>
      </w:tr>
    </w:tbl>
    <w:p w14:paraId="256E7CE3" w14:textId="77777777" w:rsidR="002026C8" w:rsidRPr="002026C8" w:rsidRDefault="002026C8" w:rsidP="002026C8"/>
    <w:p w14:paraId="64629838" w14:textId="680687EB" w:rsidR="0041538E" w:rsidRDefault="00B94823" w:rsidP="00B94823">
      <w:pPr>
        <w:pStyle w:val="Heading9"/>
      </w:pPr>
      <w:r>
        <w:t>Production technologies</w:t>
      </w:r>
    </w:p>
    <w:p w14:paraId="6388EB1C" w14:textId="35FDE193" w:rsidR="00B94823" w:rsidRDefault="00B94823" w:rsidP="0041538E">
      <w:r>
        <w:t xml:space="preserve">Operating costs of production facilities considers </w:t>
      </w:r>
      <w:r w:rsidRPr="00D84BBD">
        <w:rPr>
          <w:rFonts w:eastAsiaTheme="minorEastAsia"/>
        </w:rPr>
        <w:t xml:space="preserve">variable operation expenditure </w:t>
      </w:r>
      <w:r>
        <w:rPr>
          <w:rFonts w:eastAsiaTheme="minorEastAsia"/>
        </w:rPr>
        <w:t>(</w:t>
      </w:r>
      <w:r w:rsidRPr="00D84BBD">
        <w:rPr>
          <w:rFonts w:eastAsiaTheme="minorEastAsia"/>
        </w:rPr>
        <w:t>feedstock and associated energy requirements</w:t>
      </w:r>
      <w:r>
        <w:rPr>
          <w:rFonts w:eastAsiaTheme="minorEastAsia"/>
        </w:rPr>
        <w:t xml:space="preserve">), and </w:t>
      </w:r>
      <w:r w:rsidRPr="00D84BBD">
        <w:rPr>
          <w:rFonts w:eastAsiaTheme="minorEastAsia"/>
        </w:rPr>
        <w:t>fixed annual operational expenditure</w:t>
      </w:r>
      <w:r>
        <w:rPr>
          <w:rFonts w:eastAsiaTheme="minorEastAsia"/>
        </w:rPr>
        <w:t xml:space="preserve"> as a percentage of CAPEX</w:t>
      </w:r>
      <w: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41538E" w14:paraId="76827BF9" w14:textId="77777777" w:rsidTr="0041538E">
        <w:tc>
          <w:tcPr>
            <w:tcW w:w="123" w:type="pct"/>
            <w:shd w:val="clear" w:color="auto" w:fill="auto"/>
          </w:tcPr>
          <w:p w14:paraId="1EE8407F" w14:textId="77777777" w:rsidR="0041538E" w:rsidRDefault="0041538E" w:rsidP="0041538E"/>
        </w:tc>
        <w:tc>
          <w:tcPr>
            <w:tcW w:w="4141" w:type="pct"/>
            <w:shd w:val="clear" w:color="auto" w:fill="auto"/>
            <w:vAlign w:val="center"/>
          </w:tcPr>
          <w:p w14:paraId="4EFF0295" w14:textId="16654DB2" w:rsidR="0041538E" w:rsidRPr="00D84BBD" w:rsidRDefault="0041538E" w:rsidP="0041538E">
            <w:pPr>
              <w:jc w:val="center"/>
            </w:pPr>
            <m:oMathPara>
              <m:oMath>
                <m:r>
                  <w:rPr>
                    <w:rFonts w:ascii="Cambria Math" w:hAnsi="Cambria Math"/>
                  </w:rPr>
                  <m:t>POC=</m:t>
                </m:r>
                <m:nary>
                  <m:naryPr>
                    <m:chr m:val="∑"/>
                    <m:limLoc m:val="undOvr"/>
                    <m:supHide m:val="1"/>
                    <m:ctrlPr>
                      <w:rPr>
                        <w:rFonts w:ascii="Cambria Math" w:hAnsi="Cambria Math"/>
                        <w:i/>
                      </w:rPr>
                    </m:ctrlPr>
                  </m:naryPr>
                  <m:sub>
                    <m:r>
                      <w:rPr>
                        <w:rFonts w:ascii="Cambria Math" w:hAnsi="Cambria Math"/>
                      </w:rPr>
                      <m:t>p,z,g,y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α⋅</m:t>
                            </m:r>
                            <m:sSubSup>
                              <m:sSubSupPr>
                                <m:ctrlPr>
                                  <w:rPr>
                                    <w:rFonts w:ascii="Cambria Math" w:hAnsi="Cambria Math"/>
                                    <w:i/>
                                  </w:rPr>
                                </m:ctrlPr>
                              </m:sSubSupPr>
                              <m:e>
                                <m:r>
                                  <w:rPr>
                                    <w:rFonts w:ascii="Cambria Math" w:hAnsi="Cambria Math"/>
                                  </w:rPr>
                                  <m:t>OCost</m:t>
                                </m:r>
                              </m:e>
                              <m:sub>
                                <m:r>
                                  <w:rPr>
                                    <w:rFonts w:ascii="Cambria Math" w:hAnsi="Cambria Math"/>
                                  </w:rPr>
                                  <m:t>p,g,y</m:t>
                                </m:r>
                              </m:sub>
                              <m:sup>
                                <m:r>
                                  <w:rPr>
                                    <w:rFonts w:ascii="Cambria Math" w:hAnsi="Cambria Math"/>
                                  </w:rPr>
                                  <m:t>P</m:t>
                                </m:r>
                              </m:sup>
                            </m:sSubSup>
                            <m:r>
                              <w:rPr>
                                <w:rFonts w:ascii="Cambria Math" w:hAnsi="Cambria Math"/>
                              </w:rPr>
                              <m:t>⋅IP</m:t>
                            </m:r>
                            <m:sSub>
                              <m:sSubPr>
                                <m:ctrlPr>
                                  <w:rPr>
                                    <w:rFonts w:ascii="Cambria Math" w:hAnsi="Cambria Math"/>
                                    <w:i/>
                                  </w:rPr>
                                </m:ctrlPr>
                              </m:sSubPr>
                              <m:e>
                                <m:r>
                                  <w:rPr>
                                    <w:rFonts w:ascii="Cambria Math" w:hAnsi="Cambria Math"/>
                                  </w:rPr>
                                  <m:t>RCap</m:t>
                                </m:r>
                              </m:e>
                              <m:sub>
                                <m:r>
                                  <w:rPr>
                                    <w:rFonts w:ascii="Cambria Math" w:hAnsi="Cambria Math"/>
                                  </w:rPr>
                                  <m:t>p,z,g,y</m:t>
                                </m:r>
                              </m:sub>
                            </m:sSub>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p,z,g,y</m:t>
                        </m:r>
                      </m:sub>
                      <m:sup/>
                      <m:e>
                        <m:r>
                          <w:rPr>
                            <w:rFonts w:ascii="Cambria Math" w:hAnsi="Cambria Math"/>
                          </w:rPr>
                          <m:t>ProdFixedOPE</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m:t>
                        </m:r>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CCos</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p,g,y</m:t>
                                    </m:r>
                                  </m:sub>
                                  <m:sup>
                                    <m:r>
                                      <w:rPr>
                                        <w:rFonts w:ascii="Cambria Math" w:eastAsiaTheme="minorEastAsia" w:hAnsi="Cambria Math"/>
                                      </w:rPr>
                                      <m:t>P</m:t>
                                    </m:r>
                                  </m:sup>
                                </m:sSubSup>
                                <m:r>
                                  <w:rPr>
                                    <w:rFonts w:ascii="Cambria Math" w:hAnsi="Cambria Math"/>
                                  </w:rPr>
                                  <m:t>⋅IPRCa</m:t>
                                </m:r>
                                <m:sSub>
                                  <m:sSubPr>
                                    <m:ctrlPr>
                                      <w:rPr>
                                        <w:rFonts w:ascii="Cambria Math" w:hAnsi="Cambria Math"/>
                                        <w:i/>
                                      </w:rPr>
                                    </m:ctrlPr>
                                  </m:sSubPr>
                                  <m:e>
                                    <m:r>
                                      <w:rPr>
                                        <w:rFonts w:ascii="Cambria Math" w:hAnsi="Cambria Math"/>
                                      </w:rPr>
                                      <m:t>p</m:t>
                                    </m:r>
                                  </m:e>
                                  <m:sub>
                                    <m:r>
                                      <w:rPr>
                                        <w:rFonts w:ascii="Cambria Math" w:hAnsi="Cambria Math"/>
                                      </w:rPr>
                                      <m:t>p,z,g,y</m:t>
                                    </m:r>
                                  </m:sub>
                                </m:sSub>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ctrlPr>
                              <w:rPr>
                                <w:rFonts w:ascii="Cambria Math" w:hAnsi="Cambria Math"/>
                                <w:i/>
                              </w:rPr>
                            </m:ctrlPr>
                          </m:e>
                        </m:d>
                      </m:e>
                    </m:nary>
                    <m:ctrlPr>
                      <w:rPr>
                        <w:rFonts w:ascii="Cambria Math" w:eastAsiaTheme="minorEastAsia" w:hAnsi="Cambria Math"/>
                        <w:i/>
                      </w:rPr>
                    </m:ctrlPr>
                  </m:e>
                </m:d>
              </m:oMath>
            </m:oMathPara>
          </w:p>
        </w:tc>
        <w:tc>
          <w:tcPr>
            <w:tcW w:w="736" w:type="pct"/>
            <w:shd w:val="clear" w:color="auto" w:fill="auto"/>
            <w:vAlign w:val="center"/>
          </w:tcPr>
          <w:p w14:paraId="2812DBAE" w14:textId="1EAF6938" w:rsidR="0041538E" w:rsidRPr="00371E14" w:rsidRDefault="0041538E" w:rsidP="0041538E">
            <w:pPr>
              <w:jc w:val="center"/>
            </w:pPr>
            <w:bookmarkStart w:id="239" w:name="_Ref43451197"/>
            <w:r w:rsidRPr="00D84BBD">
              <w:t>(</w:t>
            </w:r>
            <w:r w:rsidR="001C1DD0">
              <w:t>B.</w:t>
            </w:r>
            <w:r w:rsidR="005851DD">
              <w:t>64</w:t>
            </w:r>
            <w:r w:rsidRPr="00D84BBD">
              <w:t>)</w:t>
            </w:r>
            <w:bookmarkEnd w:id="239"/>
          </w:p>
        </w:tc>
      </w:tr>
    </w:tbl>
    <w:p w14:paraId="76A056D6" w14:textId="0D36600E" w:rsidR="0041538E" w:rsidRPr="00CD5FB2" w:rsidRDefault="002026C8" w:rsidP="0041538E">
      <w:pPr>
        <w:rPr>
          <w:rFonts w:eastAsiaTheme="minorEastAsia"/>
        </w:rPr>
      </w:pPr>
      <w:r>
        <w:t>Capital costs of</w:t>
      </w:r>
      <w:r w:rsidR="0041538E">
        <w:t xml:space="preserve"> production facilit</w:t>
      </w:r>
      <w:r>
        <w:t>ies’ newly</w:t>
      </w:r>
      <w:r w:rsidR="0041538E">
        <w:t xml:space="preserve"> installed capacity in each year</w:t>
      </w:r>
      <w:r>
        <w:t>:</w:t>
      </w:r>
      <w:r w:rsidR="0041538E">
        <w:t xml:space="preserve">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00"/>
        <w:gridCol w:w="1204"/>
      </w:tblGrid>
      <w:tr w:rsidR="0041538E" w14:paraId="2F36F567" w14:textId="77777777" w:rsidTr="0041538E">
        <w:tc>
          <w:tcPr>
            <w:tcW w:w="123" w:type="pct"/>
            <w:shd w:val="clear" w:color="auto" w:fill="auto"/>
          </w:tcPr>
          <w:p w14:paraId="003052DF" w14:textId="77777777" w:rsidR="0041538E" w:rsidRDefault="0041538E" w:rsidP="0041538E"/>
        </w:tc>
        <w:tc>
          <w:tcPr>
            <w:tcW w:w="4210" w:type="pct"/>
            <w:shd w:val="clear" w:color="auto" w:fill="auto"/>
            <w:vAlign w:val="center"/>
          </w:tcPr>
          <w:p w14:paraId="58E7E3B1" w14:textId="254CF15F" w:rsidR="0041538E" w:rsidRPr="0002098E" w:rsidRDefault="0041538E" w:rsidP="0041538E">
            <w:pPr>
              <w:jc w:val="center"/>
            </w:pPr>
            <m:oMathPara>
              <m:oMath>
                <m:r>
                  <w:rPr>
                    <w:rFonts w:ascii="Cambria Math" w:hAnsi="Cambria Math"/>
                  </w:rPr>
                  <m:t>PCC</m:t>
                </m:r>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p,z,g,y</m:t>
                    </m:r>
                  </m:sub>
                  <m:sup/>
                  <m:e>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CCos</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p,g,y</m:t>
                                </m:r>
                              </m:sub>
                              <m:sup>
                                <m:r>
                                  <w:rPr>
                                    <w:rFonts w:ascii="Cambria Math" w:eastAsiaTheme="minorEastAsia" w:hAnsi="Cambria Math"/>
                                  </w:rPr>
                                  <m:t>P</m:t>
                                </m:r>
                              </m:sup>
                            </m:sSubSup>
                            <m:r>
                              <w:rPr>
                                <w:rFonts w:ascii="Cambria Math" w:hAnsi="Cambria Math"/>
                              </w:rPr>
                              <m:t>⋅NPRCa</m:t>
                            </m:r>
                            <m:sSub>
                              <m:sSubPr>
                                <m:ctrlPr>
                                  <w:rPr>
                                    <w:rFonts w:ascii="Cambria Math" w:hAnsi="Cambria Math"/>
                                    <w:i/>
                                  </w:rPr>
                                </m:ctrlPr>
                              </m:sSubPr>
                              <m:e>
                                <m:r>
                                  <w:rPr>
                                    <w:rFonts w:ascii="Cambria Math" w:hAnsi="Cambria Math"/>
                                  </w:rPr>
                                  <m:t>p</m:t>
                                </m:r>
                              </m:e>
                              <m:sub>
                                <m:r>
                                  <w:rPr>
                                    <w:rFonts w:ascii="Cambria Math" w:hAnsi="Cambria Math"/>
                                  </w:rPr>
                                  <m:t>p,z,g,y</m:t>
                                </m:r>
                              </m:sub>
                            </m:sSub>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ctrlPr>
                          <w:rPr>
                            <w:rFonts w:ascii="Cambria Math" w:hAnsi="Cambria Math"/>
                            <w:i/>
                          </w:rPr>
                        </m:ctrlPr>
                      </m:e>
                    </m:d>
                  </m:e>
                </m:nary>
              </m:oMath>
            </m:oMathPara>
          </w:p>
        </w:tc>
        <w:tc>
          <w:tcPr>
            <w:tcW w:w="668" w:type="pct"/>
            <w:shd w:val="clear" w:color="auto" w:fill="auto"/>
            <w:vAlign w:val="center"/>
          </w:tcPr>
          <w:p w14:paraId="5316DD5C" w14:textId="4F024BC8" w:rsidR="0041538E" w:rsidRPr="00BF2BA0" w:rsidRDefault="0041538E" w:rsidP="0041538E">
            <w:pPr>
              <w:jc w:val="center"/>
            </w:pPr>
            <w:bookmarkStart w:id="240" w:name="_Ref43451247"/>
            <w:r w:rsidRPr="0002098E">
              <w:t>(</w:t>
            </w:r>
            <w:r w:rsidR="001C1DD0">
              <w:t>B.</w:t>
            </w:r>
            <w:r w:rsidR="005851DD">
              <w:t>65</w:t>
            </w:r>
            <w:r w:rsidRPr="0002098E">
              <w:t>)</w:t>
            </w:r>
            <w:bookmarkEnd w:id="240"/>
          </w:p>
        </w:tc>
      </w:tr>
    </w:tbl>
    <w:p w14:paraId="16ECFB25" w14:textId="5BB0AAC5" w:rsidR="0041538E" w:rsidRDefault="002026C8" w:rsidP="0041538E">
      <w:r>
        <w:lastRenderedPageBreak/>
        <w:t>S</w:t>
      </w:r>
      <w:r w:rsidR="0041538E">
        <w:t xml:space="preserve">alvage value </w:t>
      </w:r>
      <w:r>
        <w:t>(</w:t>
      </w:r>
      <w:r w:rsidR="0041538E">
        <w:t>cost of the production facilities in the supply chain after depreciation</w:t>
      </w:r>
      <w:r>
        <w:t>) at the end of the modelled time horizon:</w:t>
      </w:r>
      <w:r w:rsidR="0041538E">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32D91DA2" w14:textId="77777777" w:rsidTr="0041538E">
        <w:tc>
          <w:tcPr>
            <w:tcW w:w="250" w:type="pct"/>
            <w:shd w:val="clear" w:color="auto" w:fill="auto"/>
          </w:tcPr>
          <w:p w14:paraId="1C6B69A6" w14:textId="77777777" w:rsidR="0041538E" w:rsidRDefault="0041538E" w:rsidP="0041538E"/>
        </w:tc>
        <w:tc>
          <w:tcPr>
            <w:tcW w:w="4500" w:type="pct"/>
            <w:shd w:val="clear" w:color="auto" w:fill="auto"/>
            <w:vAlign w:val="center"/>
          </w:tcPr>
          <w:p w14:paraId="5FC0C96A" w14:textId="5A3902AB" w:rsidR="0041538E" w:rsidRPr="00EB5619" w:rsidRDefault="0041538E" w:rsidP="0041538E">
            <w:pPr>
              <w:jc w:val="center"/>
            </w:pPr>
            <m:oMathPara>
              <m:oMath>
                <m:r>
                  <w:rPr>
                    <w:rFonts w:ascii="Cambria Math" w:hAnsi="Cambria Math"/>
                  </w:rPr>
                  <m:t>PSV=</m:t>
                </m:r>
                <m:nary>
                  <m:naryPr>
                    <m:chr m:val="∑"/>
                    <m:limLoc m:val="undOvr"/>
                    <m:supHide m:val="1"/>
                    <m:ctrlPr>
                      <w:rPr>
                        <w:rFonts w:ascii="Cambria Math" w:hAnsi="Cambria Math"/>
                        <w:i/>
                      </w:rPr>
                    </m:ctrlPr>
                  </m:naryPr>
                  <m:sub>
                    <m:r>
                      <w:rPr>
                        <w:rFonts w:ascii="Cambria Math" w:hAnsi="Cambria Math"/>
                      </w:rPr>
                      <m:t>p,z,g,y</m:t>
                    </m:r>
                  </m:sub>
                  <m:sup/>
                  <m:e>
                    <m:d>
                      <m:dPr>
                        <m:begChr m:val="["/>
                        <m:endChr m:val="]"/>
                        <m:ctrlPr>
                          <w:rPr>
                            <w:rFonts w:ascii="Cambria Math" w:hAnsi="Cambria Math"/>
                            <w:i/>
                          </w:rPr>
                        </m:ctrlPr>
                      </m:dPr>
                      <m:e>
                        <m:d>
                          <m:dPr>
                            <m:ctrlPr>
                              <w:rPr>
                                <w:rFonts w:ascii="Cambria Math" w:hAnsi="Cambria Math"/>
                                <w:i/>
                              </w:rPr>
                            </m:ctrlPr>
                          </m:dPr>
                          <m:e>
                            <m:r>
                              <w:rPr>
                                <w:rFonts w:ascii="Cambria Math" w:eastAsiaTheme="minorEastAsia" w:hAnsi="Cambria Math"/>
                              </w:rPr>
                              <m:t>CCos</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p,g,y</m:t>
                                </m:r>
                              </m:sub>
                              <m:sup>
                                <m:r>
                                  <w:rPr>
                                    <w:rFonts w:ascii="Cambria Math" w:eastAsiaTheme="minorEastAsia" w:hAnsi="Cambria Math"/>
                                  </w:rPr>
                                  <m:t>P</m:t>
                                </m:r>
                              </m:sup>
                            </m:sSubSup>
                            <m:r>
                              <w:rPr>
                                <w:rFonts w:ascii="Cambria Math" w:hAnsi="Cambria Math"/>
                              </w:rPr>
                              <m:t>⋅VPRCa</m:t>
                            </m:r>
                            <m:sSub>
                              <m:sSubPr>
                                <m:ctrlPr>
                                  <w:rPr>
                                    <w:rFonts w:ascii="Cambria Math" w:hAnsi="Cambria Math"/>
                                    <w:i/>
                                  </w:rPr>
                                </m:ctrlPr>
                              </m:sSubPr>
                              <m:e>
                                <m:r>
                                  <w:rPr>
                                    <w:rFonts w:ascii="Cambria Math" w:hAnsi="Cambria Math"/>
                                  </w:rPr>
                                  <m:t>p</m:t>
                                </m:r>
                              </m:e>
                              <m:sub>
                                <m:r>
                                  <w:rPr>
                                    <w:rFonts w:ascii="Cambria Math" w:hAnsi="Cambria Math"/>
                                  </w:rPr>
                                  <m:t>p,z,g,y,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Lprod</m:t>
                                </m:r>
                              </m:e>
                              <m:sub>
                                <m:r>
                                  <w:rPr>
                                    <w:rFonts w:ascii="Cambria Math" w:hAnsi="Cambria Math"/>
                                  </w:rPr>
                                  <m:t>p</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sSub>
                              <m:sSubPr>
                                <m:ctrlPr>
                                  <w:rPr>
                                    <w:rFonts w:ascii="Cambria Math" w:hAnsi="Cambria Math"/>
                                    <w:i/>
                                  </w:rPr>
                                </m:ctrlPr>
                              </m:sSubPr>
                              <m:e>
                                <m:r>
                                  <w:rPr>
                                    <w:rFonts w:ascii="Cambria Math" w:hAnsi="Cambria Math"/>
                                  </w:rPr>
                                  <m:t xml:space="preserve"> Lprod</m:t>
                                </m:r>
                              </m:e>
                              <m:sub>
                                <m:r>
                                  <w:rPr>
                                    <w:rFonts w:ascii="Cambria Math" w:hAnsi="Cambria Math"/>
                                  </w:rPr>
                                  <m:t>p</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e>
                    </m:d>
                  </m:e>
                </m:nary>
              </m:oMath>
            </m:oMathPara>
          </w:p>
        </w:tc>
        <w:tc>
          <w:tcPr>
            <w:tcW w:w="250" w:type="pct"/>
            <w:shd w:val="clear" w:color="auto" w:fill="auto"/>
            <w:vAlign w:val="center"/>
          </w:tcPr>
          <w:p w14:paraId="01FBC59F" w14:textId="6095AB2B" w:rsidR="0041538E" w:rsidRPr="00BF2BA0" w:rsidRDefault="0041538E" w:rsidP="0041538E">
            <w:pPr>
              <w:jc w:val="center"/>
            </w:pPr>
            <w:bookmarkStart w:id="241" w:name="_Ref43451295"/>
            <w:r w:rsidRPr="00EB5619">
              <w:t>(</w:t>
            </w:r>
            <w:r w:rsidR="001C1DD0">
              <w:t>B.</w:t>
            </w:r>
            <w:r w:rsidR="005851DD">
              <w:t>66</w:t>
            </w:r>
            <w:r w:rsidRPr="00EB5619">
              <w:t>)</w:t>
            </w:r>
            <w:bookmarkEnd w:id="241"/>
          </w:p>
        </w:tc>
      </w:tr>
    </w:tbl>
    <w:p w14:paraId="4B1FB334" w14:textId="2EBF7534" w:rsidR="0041538E" w:rsidRPr="007175D5" w:rsidRDefault="0041538E" w:rsidP="00B94823">
      <w:pPr>
        <w:pStyle w:val="Heading9"/>
      </w:pPr>
      <w:r w:rsidRPr="007175D5">
        <w:t xml:space="preserve">Transportation </w:t>
      </w:r>
      <w:r w:rsidR="002026C8">
        <w:t xml:space="preserve">technologies </w:t>
      </w:r>
    </w:p>
    <w:p w14:paraId="1A2AAD9B" w14:textId="77777777" w:rsidR="0041538E" w:rsidRDefault="0041538E" w:rsidP="0041538E">
      <w:r>
        <w:t>In this model, the transport operational costs were broken down into regional costs (transmission) and local costs (distribution). This was done to allow for a higher level of granularity, as well as technical aspects such as the current gas transmission network not currently being suitable for transporting hydrogen, compared to the current gas distribution network being able to transport hydrogen.</w:t>
      </w:r>
    </w:p>
    <w:p w14:paraId="7252D35F" w14:textId="42525F00" w:rsidR="0041538E" w:rsidRDefault="0041538E" w:rsidP="0041538E">
      <w:pPr>
        <w:rPr>
          <w:rFonts w:eastAsiaTheme="minorEastAsia"/>
        </w:rPr>
      </w:pPr>
      <w:r>
        <w:t xml:space="preserve">The regional transport operating costs, represented by </w:t>
      </w:r>
      <w:r>
        <w:rPr>
          <w:rFonts w:eastAsiaTheme="minorEastAsia"/>
        </w:rPr>
        <w:t xml:space="preserve">Equation </w:t>
      </w:r>
      <w:r w:rsidR="00E41B8C">
        <w:rPr>
          <w:rFonts w:eastAsiaTheme="minorEastAsia"/>
        </w:rPr>
        <w:t>(B.66)</w:t>
      </w:r>
      <w:r>
        <w:rPr>
          <w:rFonts w:eastAsiaTheme="minorEastAsia"/>
        </w:rPr>
        <w:t>,</w:t>
      </w:r>
      <w:r>
        <w:t xml:space="preserve"> like the production operating costs was split into two parts. The former part is the variable transportation costs, which is the installed regional transport capacity (</w:t>
      </w:r>
      <m:oMath>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oMath>
      <w:r>
        <w:rPr>
          <w:rFonts w:eastAsiaTheme="minorEastAsia"/>
        </w:rPr>
        <w:t xml:space="preserve">), multiplied by the cost to transport a unit of hydrogen parameter </w:t>
      </w:r>
      <m:oMath>
        <m:sSubSup>
          <m:sSubSupPr>
            <m:ctrlPr>
              <w:rPr>
                <w:rFonts w:ascii="Cambria Math" w:hAnsi="Cambria Math"/>
                <w:i/>
              </w:rPr>
            </m:ctrlPr>
          </m:sSubSupPr>
          <m:e>
            <m:r>
              <w:rPr>
                <w:rFonts w:ascii="Cambria Math" w:hAnsi="Cambria Math"/>
              </w:rPr>
              <m:t>OCostT</m:t>
            </m:r>
          </m:e>
          <m:sub>
            <m:r>
              <w:rPr>
                <w:rFonts w:ascii="Cambria Math" w:hAnsi="Cambria Math"/>
              </w:rPr>
              <m:t>l,g,y</m:t>
            </m:r>
          </m:sub>
          <m:sup>
            <m:r>
              <w:rPr>
                <w:rFonts w:ascii="Cambria Math" w:hAnsi="Cambria Math"/>
              </w:rPr>
              <m:t>R</m:t>
            </m:r>
          </m:sup>
        </m:sSubSup>
      </m:oMath>
      <w:r>
        <w:rPr>
          <w:rFonts w:eastAsiaTheme="minorEastAsia"/>
        </w:rPr>
        <w:t xml:space="preserve"> for transport technology </w:t>
      </w:r>
      <m:oMath>
        <m:r>
          <w:rPr>
            <w:rFonts w:ascii="Cambria Math" w:eastAsiaTheme="minorEastAsia" w:hAnsi="Cambria Math"/>
          </w:rPr>
          <m:t>l</m:t>
        </m:r>
      </m:oMath>
      <w:r>
        <w:rPr>
          <w:rFonts w:eastAsiaTheme="minorEastAsia"/>
        </w:rPr>
        <w:t xml:space="preserve"> in £/kWh-km. The unit transportation cost parameter is assumed to be equal to zero for pipelines, however, for trucks it takes into consideration the driver and fuel costs. The variable cost of transporting a unit of hydrogen also considers the cost associated with the loading and unloading time required at the start and end of the journey, represented by the parameter </w:t>
      </w:r>
      <m:oMath>
        <m:r>
          <w:rPr>
            <w:rFonts w:ascii="Cambria Math" w:hAnsi="Cambria Math"/>
          </w:rPr>
          <m:t>LU</m:t>
        </m:r>
        <m:sSub>
          <m:sSubPr>
            <m:ctrlPr>
              <w:rPr>
                <w:rFonts w:ascii="Cambria Math" w:hAnsi="Cambria Math"/>
                <w:i/>
              </w:rPr>
            </m:ctrlPr>
          </m:sSubPr>
          <m:e>
            <m:r>
              <w:rPr>
                <w:rFonts w:ascii="Cambria Math" w:hAnsi="Cambria Math"/>
              </w:rPr>
              <m:t>T</m:t>
            </m:r>
          </m:e>
          <m:sub>
            <m:r>
              <w:rPr>
                <w:rFonts w:ascii="Cambria Math" w:hAnsi="Cambria Math"/>
              </w:rPr>
              <m:t>l</m:t>
            </m:r>
          </m:sub>
        </m:sSub>
      </m:oMath>
      <w:r>
        <w:rPr>
          <w:rFonts w:eastAsiaTheme="minorEastAsia"/>
        </w:rPr>
        <w:t xml:space="preserve">, in £/kWh. Again, this parameter is assumed to be equal to zero for pipelines, but for trucks this includes the cost associated with the driver’s wage. </w:t>
      </w:r>
    </w:p>
    <w:p w14:paraId="6E83C8F6" w14:textId="668030F7" w:rsidR="0041538E" w:rsidRPr="009A5C76" w:rsidRDefault="0041538E" w:rsidP="0041538E">
      <w:r>
        <w:rPr>
          <w:rFonts w:eastAsiaTheme="minorEastAsia"/>
        </w:rPr>
        <w:t xml:space="preserve">The latter part of Equation </w:t>
      </w:r>
      <w:r w:rsidR="00E41B8C">
        <w:rPr>
          <w:rFonts w:eastAsiaTheme="minorEastAsia"/>
        </w:rPr>
        <w:t>(B.66)</w:t>
      </w:r>
      <w:r>
        <w:rPr>
          <w:rFonts w:eastAsiaTheme="minorEastAsia"/>
        </w:rPr>
        <w:t xml:space="preserve"> takes into consideration the fixed annual operational expenditure, represented as a percentage of the capital cost (</w:t>
      </w:r>
      <m:oMath>
        <m:sSub>
          <m:sSubPr>
            <m:ctrlPr>
              <w:rPr>
                <w:rFonts w:ascii="Cambria Math" w:hAnsi="Cambria Math"/>
                <w:i/>
              </w:rPr>
            </m:ctrlPr>
          </m:sSubPr>
          <m:e>
            <m:r>
              <w:rPr>
                <w:rFonts w:ascii="Cambria Math" w:hAnsi="Cambria Math"/>
              </w:rPr>
              <m:t>FixedOPEXTrans</m:t>
            </m:r>
          </m:e>
          <m:sub>
            <m:r>
              <w:rPr>
                <w:rFonts w:ascii="Cambria Math" w:hAnsi="Cambria Math"/>
              </w:rPr>
              <m:t>l</m:t>
            </m:r>
          </m:sub>
        </m:sSub>
      </m:oMath>
      <w:r>
        <w:rPr>
          <w:rFonts w:eastAsiaTheme="minorEastAsia"/>
        </w:rPr>
        <w:t xml:space="preserve">), multiplied by the installed regional transportation capacity, </w:t>
      </w:r>
      <m:oMath>
        <m:r>
          <w:rPr>
            <w:rFonts w:ascii="Cambria Math" w:hAnsi="Cambria Math"/>
          </w:rPr>
          <m:t>CCos</m:t>
        </m:r>
        <m:sSubSup>
          <m:sSubSupPr>
            <m:ctrlPr>
              <w:rPr>
                <w:rFonts w:ascii="Cambria Math" w:hAnsi="Cambria Math"/>
                <w:i/>
              </w:rPr>
            </m:ctrlPr>
          </m:sSubSupPr>
          <m:e>
            <m:r>
              <w:rPr>
                <w:rFonts w:ascii="Cambria Math" w:hAnsi="Cambria Math"/>
              </w:rPr>
              <m:t>tT</m:t>
            </m:r>
          </m:e>
          <m:sub>
            <m:r>
              <w:rPr>
                <w:rFonts w:ascii="Cambria Math" w:hAnsi="Cambria Math"/>
              </w:rPr>
              <m:t>l,g,y</m:t>
            </m:r>
          </m:sub>
          <m:sup>
            <m:r>
              <w:rPr>
                <w:rFonts w:ascii="Cambria Math" w:hAnsi="Cambria Math"/>
              </w:rPr>
              <m:t>R</m:t>
            </m:r>
          </m:sup>
        </m:sSubSup>
      </m:oMath>
      <w:r>
        <w:rPr>
          <w:rFonts w:eastAsiaTheme="minorEastAsia"/>
        </w:rPr>
        <w:t xml:space="preserve">. Both the variable and fixed operational expenditure are multiplied by the distance between the centroids of two zones, represented by the parameter </w:t>
      </w:r>
      <m:oMath>
        <m:sSup>
          <m:sSupPr>
            <m:ctrlPr>
              <w:rPr>
                <w:rFonts w:ascii="Cambria Math" w:hAnsi="Cambria Math"/>
                <w:i/>
              </w:rPr>
            </m:ctrlPr>
          </m:sSupPr>
          <m:e>
            <m:r>
              <w:rPr>
                <w:rFonts w:ascii="Cambria Math" w:hAnsi="Cambria Math"/>
              </w:rPr>
              <m:t>d</m:t>
            </m:r>
          </m:e>
          <m:sup>
            <m:r>
              <w:rPr>
                <w:rFonts w:ascii="Cambria Math" w:hAnsi="Cambria Math"/>
              </w:rPr>
              <m:t>R</m:t>
            </m:r>
          </m:sup>
        </m:sSup>
        <m:d>
          <m:dPr>
            <m:ctrlPr>
              <w:rPr>
                <w:rFonts w:ascii="Cambria Math" w:hAnsi="Cambria Math"/>
                <w:i/>
              </w:rPr>
            </m:ctrlPr>
          </m:dPr>
          <m:e>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e>
        </m:d>
      </m:oMath>
      <w:r>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41538E" w14:paraId="1B928BAB" w14:textId="77777777" w:rsidTr="0041538E">
        <w:tc>
          <w:tcPr>
            <w:tcW w:w="123" w:type="pct"/>
            <w:shd w:val="clear" w:color="auto" w:fill="auto"/>
          </w:tcPr>
          <w:p w14:paraId="50C18379" w14:textId="77777777" w:rsidR="0041538E" w:rsidRDefault="0041538E" w:rsidP="0041538E">
            <w:pPr>
              <w:spacing w:after="160" w:line="259" w:lineRule="auto"/>
            </w:pPr>
          </w:p>
        </w:tc>
        <w:tc>
          <w:tcPr>
            <w:tcW w:w="4141" w:type="pct"/>
            <w:shd w:val="clear" w:color="auto" w:fill="auto"/>
            <w:vAlign w:val="center"/>
          </w:tcPr>
          <w:p w14:paraId="2ADD8769" w14:textId="7166F8AC" w:rsidR="0041538E" w:rsidRPr="007963F3" w:rsidRDefault="0041538E" w:rsidP="0041538E">
            <w:pPr>
              <w:jc w:val="center"/>
            </w:pPr>
            <m:oMathPara>
              <m:oMath>
                <m:r>
                  <w:rPr>
                    <w:rFonts w:ascii="Cambria Math" w:hAnsi="Cambria Math"/>
                  </w:rPr>
                  <m:t>TO</m:t>
                </m:r>
                <m:sSup>
                  <m:sSupPr>
                    <m:ctrlPr>
                      <w:rPr>
                        <w:rFonts w:ascii="Cambria Math" w:hAnsi="Cambria Math"/>
                        <w:i/>
                      </w:rPr>
                    </m:ctrlPr>
                  </m:sSupPr>
                  <m:e>
                    <m:r>
                      <w:rPr>
                        <w:rFonts w:ascii="Cambria Math" w:hAnsi="Cambria Math"/>
                      </w:rPr>
                      <m:t>C</m:t>
                    </m:r>
                  </m:e>
                  <m:sup>
                    <m:r>
                      <w:rPr>
                        <w:rFonts w:ascii="Cambria Math" w:hAnsi="Cambria Math"/>
                      </w:rPr>
                      <m:t>R</m:t>
                    </m:r>
                  </m:sup>
                </m:sSup>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e>
                        <m:r>
                          <w:rPr>
                            <w:rFonts w:ascii="Cambria Math" w:hAnsi="Cambria Math"/>
                          </w:rPr>
                          <m:t>[(α⋅</m:t>
                        </m:r>
                        <m:sSubSup>
                          <m:sSubSupPr>
                            <m:ctrlPr>
                              <w:rPr>
                                <w:rFonts w:ascii="Cambria Math" w:hAnsi="Cambria Math"/>
                                <w:i/>
                              </w:rPr>
                            </m:ctrlPr>
                          </m:sSubSupPr>
                          <m:e>
                            <m:r>
                              <w:rPr>
                                <w:rFonts w:ascii="Cambria Math" w:hAnsi="Cambria Math"/>
                              </w:rPr>
                              <m:t>OCostT</m:t>
                            </m:r>
                          </m:e>
                          <m:sub>
                            <m:r>
                              <w:rPr>
                                <w:rFonts w:ascii="Cambria Math" w:hAnsi="Cambria Math"/>
                              </w:rPr>
                              <m:t>l,g,y</m:t>
                            </m:r>
                          </m:sub>
                          <m:sup>
                            <m:r>
                              <w:rPr>
                                <w:rFonts w:ascii="Cambria Math" w:hAnsi="Cambria Math"/>
                              </w:rPr>
                              <m:t>R</m:t>
                            </m:r>
                          </m:sup>
                        </m:sSubSup>
                        <m:r>
                          <w:rPr>
                            <w:rFonts w:ascii="Cambria Math" w:hAnsi="Cambria Math"/>
                          </w:rPr>
                          <m:t>⋅</m:t>
                        </m:r>
                      </m:e>
                    </m:nary>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R</m:t>
                        </m:r>
                      </m:sup>
                    </m:sSup>
                    <m:d>
                      <m:dPr>
                        <m:ctrlPr>
                          <w:rPr>
                            <w:rFonts w:ascii="Cambria Math" w:hAnsi="Cambria Math"/>
                            <w:i/>
                          </w:rPr>
                        </m:ctrlPr>
                      </m:dPr>
                      <m:e>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e>
                    </m:d>
                    <m:r>
                      <w:rPr>
                        <w:rFonts w:ascii="Cambria Math" w:hAnsi="Cambria Math"/>
                      </w:rPr>
                      <m:t>+(α⋅LU</m:t>
                    </m:r>
                    <m:sSub>
                      <m:sSubPr>
                        <m:ctrlPr>
                          <w:rPr>
                            <w:rFonts w:ascii="Cambria Math" w:hAnsi="Cambria Math"/>
                            <w:i/>
                          </w:rPr>
                        </m:ctrlPr>
                      </m:sSubPr>
                      <m:e>
                        <m:r>
                          <w:rPr>
                            <w:rFonts w:ascii="Cambria Math" w:hAnsi="Cambria Math"/>
                          </w:rPr>
                          <m:t>T</m:t>
                        </m:r>
                      </m:e>
                      <m:sub>
                        <m:r>
                          <w:rPr>
                            <w:rFonts w:ascii="Cambria Math" w:hAnsi="Cambria Math"/>
                          </w:rPr>
                          <m:t>l</m:t>
                        </m:r>
                      </m:sub>
                    </m:sSub>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r>
                      <w:rPr>
                        <w:rFonts w:ascii="Cambria Math" w:hAnsi="Cambria Math"/>
                      </w:rPr>
                      <m:t>]</m:t>
                    </m:r>
                  </m:e>
                </m:d>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e>
                        <m:sSub>
                          <m:sSubPr>
                            <m:ctrlPr>
                              <w:rPr>
                                <w:rFonts w:ascii="Cambria Math" w:hAnsi="Cambria Math"/>
                                <w:i/>
                              </w:rPr>
                            </m:ctrlPr>
                          </m:sSubPr>
                          <m:e>
                            <m:r>
                              <w:rPr>
                                <w:rFonts w:ascii="Cambria Math" w:hAnsi="Cambria Math"/>
                              </w:rPr>
                              <m:t>FixedOPEXTrans</m:t>
                            </m:r>
                          </m:e>
                          <m:sub>
                            <m:r>
                              <w:rPr>
                                <w:rFonts w:ascii="Cambria Math" w:hAnsi="Cambria Math"/>
                              </w:rPr>
                              <m:t>l</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tT</m:t>
                                    </m:r>
                                  </m:e>
                                  <m:sub>
                                    <m:r>
                                      <w:rPr>
                                        <w:rFonts w:ascii="Cambria Math" w:hAnsi="Cambria Math"/>
                                      </w:rPr>
                                      <m:t>l,g,y</m:t>
                                    </m:r>
                                  </m:sub>
                                  <m:sup>
                                    <m:r>
                                      <w:rPr>
                                        <w:rFonts w:ascii="Cambria Math" w:hAnsi="Cambria Math"/>
                                      </w:rPr>
                                      <m:t>R</m:t>
                                    </m:r>
                                  </m:sup>
                                </m:sSubSup>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R</m:t>
                                    </m:r>
                                  </m:sup>
                                </m:sSup>
                                <m:d>
                                  <m:dPr>
                                    <m:ctrlPr>
                                      <w:rPr>
                                        <w:rFonts w:ascii="Cambria Math" w:hAnsi="Cambria Math"/>
                                        <w:i/>
                                      </w:rPr>
                                    </m:ctrlPr>
                                  </m:dPr>
                                  <m:e>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e>
                                </m:d>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e>
                </m:d>
              </m:oMath>
            </m:oMathPara>
          </w:p>
        </w:tc>
        <w:tc>
          <w:tcPr>
            <w:tcW w:w="736" w:type="pct"/>
            <w:shd w:val="clear" w:color="auto" w:fill="auto"/>
            <w:vAlign w:val="center"/>
          </w:tcPr>
          <w:p w14:paraId="0FA08171" w14:textId="0A334292" w:rsidR="0041538E" w:rsidRPr="00BF2BA0" w:rsidRDefault="0041538E" w:rsidP="0041538E">
            <w:pPr>
              <w:jc w:val="center"/>
            </w:pPr>
            <w:bookmarkStart w:id="242" w:name="_Ref47513350"/>
            <w:r w:rsidRPr="007963F3">
              <w:t>(</w:t>
            </w:r>
            <w:r w:rsidR="001C1DD0">
              <w:t>B.</w:t>
            </w:r>
            <w:r w:rsidR="005851DD">
              <w:t>67</w:t>
            </w:r>
            <w:r w:rsidRPr="007963F3">
              <w:t>)</w:t>
            </w:r>
            <w:bookmarkEnd w:id="242"/>
          </w:p>
        </w:tc>
      </w:tr>
    </w:tbl>
    <w:p w14:paraId="6004DAC3" w14:textId="450DF29F" w:rsidR="0041538E" w:rsidRPr="00B26890" w:rsidRDefault="0041538E" w:rsidP="0041538E">
      <w:r>
        <w:t>The local transport operational costs were formulated in the same way to the regional transp</w:t>
      </w:r>
      <w:r w:rsidRPr="00B26890">
        <w:t xml:space="preserve">ort operating costs, as shown in Equation </w:t>
      </w:r>
      <w:r w:rsidR="00E41B8C">
        <w:t>(B.</w:t>
      </w:r>
      <w:r w:rsidR="005851DD">
        <w:t>68</w:t>
      </w:r>
      <w:r w:rsidR="00E41B8C">
        <w:t>)</w:t>
      </w:r>
      <w:r w:rsidRPr="00B26890">
        <w:t xml:space="preserve">. The difference </w:t>
      </w:r>
      <w:r>
        <w:t>between local and regional transport was the</w:t>
      </w:r>
      <w:r w:rsidRPr="00B26890">
        <w:t xml:space="preserve"> two operational costs </w:t>
      </w:r>
      <w:r>
        <w:t>were</w:t>
      </w:r>
      <w:r w:rsidRPr="00B26890">
        <w:t xml:space="preserve"> multiplied by the distribution distances within each zone, represented by the parameter </w:t>
      </w:r>
      <m:oMath>
        <m:sSup>
          <m:sSupPr>
            <m:ctrlPr>
              <w:rPr>
                <w:rFonts w:ascii="Cambria Math" w:hAnsi="Cambria Math"/>
                <w:i/>
              </w:rPr>
            </m:ctrlPr>
          </m:sSupPr>
          <m:e>
            <m:r>
              <w:rPr>
                <w:rFonts w:ascii="Cambria Math" w:hAnsi="Cambria Math"/>
              </w:rPr>
              <m:t>d</m:t>
            </m:r>
          </m:e>
          <m:sup>
            <m:r>
              <w:rPr>
                <w:rFonts w:ascii="Cambria Math" w:hAnsi="Cambria Math"/>
              </w:rPr>
              <m:t>L</m:t>
            </m:r>
          </m:sup>
        </m:sSup>
        <m:d>
          <m:dPr>
            <m:ctrlPr>
              <w:rPr>
                <w:rFonts w:ascii="Cambria Math" w:hAnsi="Cambria Math"/>
                <w:i/>
              </w:rPr>
            </m:ctrlPr>
          </m:dPr>
          <m:e>
            <m:r>
              <w:rPr>
                <w:rFonts w:ascii="Cambria Math" w:hAnsi="Cambria Math"/>
              </w:rPr>
              <m:t>z</m:t>
            </m:r>
          </m:e>
        </m:d>
      </m:oMath>
      <w:r w:rsidRPr="00B26890">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3F1B7FD4" w14:textId="77777777" w:rsidTr="0041538E">
        <w:tc>
          <w:tcPr>
            <w:tcW w:w="250" w:type="pct"/>
            <w:shd w:val="clear" w:color="auto" w:fill="auto"/>
          </w:tcPr>
          <w:p w14:paraId="35495B29" w14:textId="77777777" w:rsidR="0041538E" w:rsidRPr="00B26890" w:rsidRDefault="0041538E" w:rsidP="0041538E"/>
        </w:tc>
        <w:tc>
          <w:tcPr>
            <w:tcW w:w="4500" w:type="pct"/>
            <w:shd w:val="clear" w:color="auto" w:fill="auto"/>
            <w:vAlign w:val="center"/>
          </w:tcPr>
          <w:p w14:paraId="5A3AF215" w14:textId="5500A4FB" w:rsidR="0041538E" w:rsidRPr="00B26890" w:rsidRDefault="0041538E" w:rsidP="0041538E">
            <w:pPr>
              <w:jc w:val="center"/>
            </w:pPr>
            <m:oMathPara>
              <m:oMath>
                <m:r>
                  <w:rPr>
                    <w:rFonts w:ascii="Cambria Math" w:hAnsi="Cambria Math"/>
                  </w:rPr>
                  <m:t>TO</m:t>
                </m:r>
                <m:sSup>
                  <m:sSupPr>
                    <m:ctrlPr>
                      <w:rPr>
                        <w:rFonts w:ascii="Cambria Math" w:hAnsi="Cambria Math"/>
                        <w:i/>
                      </w:rPr>
                    </m:ctrlPr>
                  </m:sSupPr>
                  <m:e>
                    <m:r>
                      <w:rPr>
                        <w:rFonts w:ascii="Cambria Math" w:hAnsi="Cambria Math"/>
                      </w:rPr>
                      <m:t>C</m:t>
                    </m:r>
                  </m:e>
                  <m:sup>
                    <m:r>
                      <w:rPr>
                        <w:rFonts w:ascii="Cambria Math" w:hAnsi="Cambria Math"/>
                      </w:rPr>
                      <m:t>L</m:t>
                    </m:r>
                  </m:sup>
                </m:sSup>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l,z,g,y</m:t>
                        </m:r>
                      </m:sub>
                      <m:sup/>
                      <m:e>
                        <m:r>
                          <w:rPr>
                            <w:rFonts w:ascii="Cambria Math" w:hAnsi="Cambria Math"/>
                          </w:rPr>
                          <m:t>[(α⋅</m:t>
                        </m:r>
                        <m:sSubSup>
                          <m:sSubSupPr>
                            <m:ctrlPr>
                              <w:rPr>
                                <w:rFonts w:ascii="Cambria Math" w:hAnsi="Cambria Math"/>
                                <w:i/>
                              </w:rPr>
                            </m:ctrlPr>
                          </m:sSubSupPr>
                          <m:e>
                            <m:r>
                              <w:rPr>
                                <w:rFonts w:ascii="Cambria Math" w:hAnsi="Cambria Math"/>
                              </w:rPr>
                              <m:t>OCostT</m:t>
                            </m:r>
                          </m:e>
                          <m:sub>
                            <m:r>
                              <w:rPr>
                                <w:rFonts w:ascii="Cambria Math" w:hAnsi="Cambria Math"/>
                              </w:rPr>
                              <m:t>l,g,y</m:t>
                            </m:r>
                          </m:sub>
                          <m:sup>
                            <m:r>
                              <w:rPr>
                                <w:rFonts w:ascii="Cambria Math" w:hAnsi="Cambria Math"/>
                              </w:rPr>
                              <m:t>L</m:t>
                            </m:r>
                          </m:sup>
                        </m:sSubSup>
                        <m:r>
                          <w:rPr>
                            <w:rFonts w:ascii="Cambria Math" w:hAnsi="Cambria Math"/>
                          </w:rPr>
                          <m:t>⋅</m:t>
                        </m:r>
                      </m:e>
                    </m:nary>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l,z,g,</m:t>
                        </m:r>
                        <m:sSup>
                          <m:sSupPr>
                            <m:ctrlPr>
                              <w:rPr>
                                <w:rFonts w:ascii="Cambria Math" w:hAnsi="Cambria Math"/>
                                <w:i/>
                              </w:rPr>
                            </m:ctrlPr>
                          </m:sSupPr>
                          <m:e>
                            <m:r>
                              <w:rPr>
                                <w:rFonts w:ascii="Cambria Math" w:hAnsi="Cambria Math"/>
                              </w:rPr>
                              <m:t>y</m:t>
                            </m:r>
                          </m:e>
                          <m:sup>
                            <m:r>
                              <w:rPr>
                                <w:rFonts w:ascii="Cambria Math" w:hAnsi="Cambria Math"/>
                              </w:rPr>
                              <m:t>'</m:t>
                            </m:r>
                          </m:sup>
                        </m:sSup>
                      </m:sub>
                      <m:sup>
                        <m:r>
                          <w:rPr>
                            <w:rFonts w:ascii="Cambria Math" w:hAnsi="Cambria Math"/>
                          </w:rPr>
                          <m:t>L</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L</m:t>
                        </m:r>
                      </m:sup>
                    </m:sSup>
                    <m:d>
                      <m:dPr>
                        <m:ctrlPr>
                          <w:rPr>
                            <w:rFonts w:ascii="Cambria Math" w:hAnsi="Cambria Math"/>
                            <w:i/>
                          </w:rPr>
                        </m:ctrlPr>
                      </m:dPr>
                      <m:e>
                        <m:r>
                          <w:rPr>
                            <w:rFonts w:ascii="Cambria Math" w:hAnsi="Cambria Math"/>
                          </w:rPr>
                          <m:t>z</m:t>
                        </m:r>
                      </m:e>
                    </m:d>
                    <m:r>
                      <w:rPr>
                        <w:rFonts w:ascii="Cambria Math" w:hAnsi="Cambria Math"/>
                      </w:rPr>
                      <m:t>+(α⋅LU</m:t>
                    </m:r>
                    <m:sSub>
                      <m:sSubPr>
                        <m:ctrlPr>
                          <w:rPr>
                            <w:rFonts w:ascii="Cambria Math" w:hAnsi="Cambria Math"/>
                            <w:i/>
                          </w:rPr>
                        </m:ctrlPr>
                      </m:sSubPr>
                      <m:e>
                        <m:r>
                          <w:rPr>
                            <w:rFonts w:ascii="Cambria Math" w:hAnsi="Cambria Math"/>
                          </w:rPr>
                          <m:t>T</m:t>
                        </m:r>
                      </m:e>
                      <m:sub>
                        <m:r>
                          <w:rPr>
                            <w:rFonts w:ascii="Cambria Math" w:hAnsi="Cambria Math"/>
                          </w:rPr>
                          <m:t>l</m:t>
                        </m:r>
                      </m:sub>
                    </m:sSub>
                    <m:r>
                      <w:rPr>
                        <w:rFonts w:ascii="Cambria Math" w:hAnsi="Cambria Math"/>
                      </w:rPr>
                      <m:t>⋅QLO</m:t>
                    </m:r>
                    <m:sSub>
                      <m:sSubPr>
                        <m:ctrlPr>
                          <w:rPr>
                            <w:rFonts w:ascii="Cambria Math" w:hAnsi="Cambria Math"/>
                            <w:i/>
                          </w:rPr>
                        </m:ctrlPr>
                      </m:sSubPr>
                      <m:e>
                        <m:r>
                          <w:rPr>
                            <w:rFonts w:ascii="Cambria Math" w:hAnsi="Cambria Math"/>
                          </w:rPr>
                          <m:t>C</m:t>
                        </m:r>
                      </m:e>
                      <m:sub>
                        <m:r>
                          <w:rPr>
                            <w:rFonts w:ascii="Cambria Math" w:hAnsi="Cambria Math"/>
                          </w:rPr>
                          <m:t>l,z,g,y</m:t>
                        </m:r>
                      </m:sub>
                    </m:sSub>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FixedOPEXTrans</m:t>
                        </m:r>
                      </m:e>
                      <m:sub>
                        <m:r>
                          <w:rPr>
                            <w:rFonts w:ascii="Cambria Math" w:hAnsi="Cambria Math"/>
                          </w:rPr>
                          <m:t>l</m:t>
                        </m:r>
                      </m:sub>
                    </m:sSub>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l,z,g,y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tT</m:t>
                                        </m:r>
                                      </m:e>
                                      <m:sub>
                                        <m:r>
                                          <w:rPr>
                                            <w:rFonts w:ascii="Cambria Math" w:hAnsi="Cambria Math"/>
                                          </w:rPr>
                                          <m:t>l,g,y</m:t>
                                        </m:r>
                                      </m:sub>
                                      <m:sup>
                                        <m:r>
                                          <w:rPr>
                                            <w:rFonts w:ascii="Cambria Math" w:hAnsi="Cambria Math"/>
                                          </w:rPr>
                                          <m:t>L</m:t>
                                        </m:r>
                                      </m:sup>
                                    </m:sSubSup>
                                    <m:r>
                                      <w:rPr>
                                        <w:rFonts w:ascii="Cambria Math" w:hAnsi="Cambria Math"/>
                                      </w:rPr>
                                      <m:t>×ITCa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L</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L</m:t>
                                        </m:r>
                                      </m:sup>
                                    </m:sSup>
                                    <m:d>
                                      <m:dPr>
                                        <m:ctrlPr>
                                          <w:rPr>
                                            <w:rFonts w:ascii="Cambria Math" w:hAnsi="Cambria Math"/>
                                            <w:i/>
                                          </w:rPr>
                                        </m:ctrlPr>
                                      </m:dPr>
                                      <m:e>
                                        <m:r>
                                          <w:rPr>
                                            <w:rFonts w:ascii="Cambria Math" w:hAnsi="Cambria Math"/>
                                          </w:rPr>
                                          <m:t>z</m:t>
                                        </m:r>
                                      </m:e>
                                    </m:d>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e>
                    </m:d>
                  </m:e>
                </m:d>
              </m:oMath>
            </m:oMathPara>
          </w:p>
        </w:tc>
        <w:tc>
          <w:tcPr>
            <w:tcW w:w="250" w:type="pct"/>
            <w:shd w:val="clear" w:color="auto" w:fill="auto"/>
            <w:vAlign w:val="center"/>
          </w:tcPr>
          <w:p w14:paraId="226606B1" w14:textId="4321A04B" w:rsidR="0041538E" w:rsidRPr="00BF2BA0" w:rsidRDefault="0041538E" w:rsidP="0041538E">
            <w:pPr>
              <w:jc w:val="center"/>
            </w:pPr>
            <w:bookmarkStart w:id="243" w:name="_Ref48645137"/>
            <w:r w:rsidRPr="00B26890">
              <w:t>(</w:t>
            </w:r>
            <w:r w:rsidR="001C1DD0">
              <w:t>B.</w:t>
            </w:r>
            <w:r w:rsidR="005851DD">
              <w:t>68</w:t>
            </w:r>
            <w:r w:rsidRPr="00B26890">
              <w:t>)</w:t>
            </w:r>
            <w:bookmarkEnd w:id="243"/>
          </w:p>
        </w:tc>
      </w:tr>
    </w:tbl>
    <w:p w14:paraId="1D03C574" w14:textId="77777777" w:rsidR="0041538E" w:rsidRDefault="0041538E" w:rsidP="0041538E">
      <w:r>
        <w:t>The total transportation operational cost is the summation of the local and regional transportation operating costs.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426D1134" w14:textId="77777777" w:rsidTr="0041538E">
        <w:tc>
          <w:tcPr>
            <w:tcW w:w="250" w:type="pct"/>
            <w:shd w:val="clear" w:color="auto" w:fill="auto"/>
          </w:tcPr>
          <w:p w14:paraId="34BABA06" w14:textId="77777777" w:rsidR="0041538E" w:rsidRDefault="0041538E" w:rsidP="0041538E"/>
        </w:tc>
        <w:tc>
          <w:tcPr>
            <w:tcW w:w="4500" w:type="pct"/>
            <w:shd w:val="clear" w:color="auto" w:fill="auto"/>
            <w:vAlign w:val="center"/>
          </w:tcPr>
          <w:p w14:paraId="7A7F4B92" w14:textId="77777777" w:rsidR="0041538E" w:rsidRDefault="0041538E" w:rsidP="0041538E">
            <w:pPr>
              <w:jc w:val="center"/>
            </w:pPr>
            <m:oMathPara>
              <m:oMath>
                <m:r>
                  <w:rPr>
                    <w:rFonts w:ascii="Cambria Math" w:hAnsi="Cambria Math"/>
                  </w:rPr>
                  <m:t>TOC=TO</m:t>
                </m:r>
                <m:sSup>
                  <m:sSupPr>
                    <m:ctrlPr>
                      <w:rPr>
                        <w:rFonts w:ascii="Cambria Math" w:hAnsi="Cambria Math"/>
                        <w:i/>
                      </w:rPr>
                    </m:ctrlPr>
                  </m:sSupPr>
                  <m:e>
                    <m:r>
                      <w:rPr>
                        <w:rFonts w:ascii="Cambria Math" w:hAnsi="Cambria Math"/>
                      </w:rPr>
                      <m:t>C</m:t>
                    </m:r>
                  </m:e>
                  <m:sup>
                    <m:r>
                      <w:rPr>
                        <w:rFonts w:ascii="Cambria Math" w:hAnsi="Cambria Math"/>
                      </w:rPr>
                      <m:t>R</m:t>
                    </m:r>
                  </m:sup>
                </m:sSup>
                <m:r>
                  <w:rPr>
                    <w:rFonts w:ascii="Cambria Math" w:hAnsi="Cambria Math"/>
                  </w:rPr>
                  <m:t>+TO</m:t>
                </m:r>
                <m:sSup>
                  <m:sSupPr>
                    <m:ctrlPr>
                      <w:rPr>
                        <w:rFonts w:ascii="Cambria Math" w:hAnsi="Cambria Math"/>
                        <w:i/>
                      </w:rPr>
                    </m:ctrlPr>
                  </m:sSupPr>
                  <m:e>
                    <m:r>
                      <w:rPr>
                        <w:rFonts w:ascii="Cambria Math" w:hAnsi="Cambria Math"/>
                      </w:rPr>
                      <m:t>C</m:t>
                    </m:r>
                  </m:e>
                  <m:sup>
                    <m:r>
                      <w:rPr>
                        <w:rFonts w:ascii="Cambria Math" w:hAnsi="Cambria Math"/>
                      </w:rPr>
                      <m:t>L</m:t>
                    </m:r>
                  </m:sup>
                </m:sSup>
              </m:oMath>
            </m:oMathPara>
          </w:p>
        </w:tc>
        <w:tc>
          <w:tcPr>
            <w:tcW w:w="250" w:type="pct"/>
            <w:shd w:val="clear" w:color="auto" w:fill="auto"/>
            <w:vAlign w:val="center"/>
          </w:tcPr>
          <w:p w14:paraId="0083269D" w14:textId="3743C24C" w:rsidR="0041538E" w:rsidRPr="00BF2BA0" w:rsidRDefault="0041538E" w:rsidP="0041538E">
            <w:pPr>
              <w:jc w:val="center"/>
            </w:pPr>
            <w:r w:rsidRPr="00BF2BA0">
              <w:t>(</w:t>
            </w:r>
            <w:r w:rsidR="001C1DD0">
              <w:t>B.</w:t>
            </w:r>
            <w:r w:rsidR="005851DD">
              <w:t>69</w:t>
            </w:r>
            <w:r w:rsidRPr="00BF2BA0">
              <w:t>)</w:t>
            </w:r>
          </w:p>
        </w:tc>
      </w:tr>
    </w:tbl>
    <w:p w14:paraId="5D5DF982" w14:textId="6CC0F9D9" w:rsidR="0041538E" w:rsidRPr="0074136C" w:rsidRDefault="0041538E" w:rsidP="0041538E">
      <w:r>
        <w:t>Capital costs of transportation is determined by the newly installed capacity and is made up of local and regional transport</w:t>
      </w:r>
      <w:r w:rsidR="007C0B89">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5198768F" w14:textId="77777777" w:rsidTr="0041538E">
        <w:tc>
          <w:tcPr>
            <w:tcW w:w="250" w:type="pct"/>
            <w:shd w:val="clear" w:color="auto" w:fill="auto"/>
          </w:tcPr>
          <w:p w14:paraId="7939E20A" w14:textId="77777777" w:rsidR="0041538E" w:rsidRDefault="0041538E" w:rsidP="0041538E"/>
        </w:tc>
        <w:tc>
          <w:tcPr>
            <w:tcW w:w="4500" w:type="pct"/>
            <w:shd w:val="clear" w:color="auto" w:fill="auto"/>
            <w:vAlign w:val="center"/>
          </w:tcPr>
          <w:p w14:paraId="3CA19677" w14:textId="47F9DE4B" w:rsidR="0041538E" w:rsidRPr="00FB175F" w:rsidRDefault="0041538E" w:rsidP="0041538E">
            <w:pPr>
              <w:jc w:val="center"/>
            </w:pPr>
            <m:oMathPara>
              <m:oMath>
                <m:r>
                  <w:rPr>
                    <w:rFonts w:ascii="Cambria Math" w:hAnsi="Cambria Math"/>
                  </w:rPr>
                  <m:t>TCC=</m:t>
                </m:r>
                <m:nary>
                  <m:naryPr>
                    <m:chr m:val="∑"/>
                    <m:limLoc m:val="undOvr"/>
                    <m:supHide m:val="1"/>
                    <m:ctrlPr>
                      <w:rPr>
                        <w:rFonts w:ascii="Cambria Math" w:hAnsi="Cambria Math"/>
                        <w:i/>
                      </w:rPr>
                    </m:ctrlPr>
                  </m:naryPr>
                  <m:sub>
                    <m:r>
                      <w:rPr>
                        <w:rFonts w:ascii="Cambria Math" w:hAnsi="Cambria Math"/>
                      </w:rPr>
                      <m:t>l,z,g,y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l,g,y</m:t>
                                </m:r>
                              </m:sub>
                              <m:sup>
                                <m:r>
                                  <w:rPr>
                                    <w:rFonts w:ascii="Cambria Math" w:hAnsi="Cambria Math"/>
                                  </w:rPr>
                                  <m:t>Trans,L</m:t>
                                </m:r>
                              </m:sup>
                            </m:sSubSup>
                            <m:r>
                              <w:rPr>
                                <w:rFonts w:ascii="Cambria Math" w:hAnsi="Cambria Math"/>
                              </w:rPr>
                              <m:t>⋅NTCa</m:t>
                            </m:r>
                            <m:sSubSup>
                              <m:sSubSupPr>
                                <m:ctrlPr>
                                  <w:rPr>
                                    <w:rFonts w:ascii="Cambria Math" w:hAnsi="Cambria Math"/>
                                    <w:i/>
                                  </w:rPr>
                                </m:ctrlPr>
                              </m:sSubSupPr>
                              <m:e>
                                <m:r>
                                  <w:rPr>
                                    <w:rFonts w:ascii="Cambria Math" w:hAnsi="Cambria Math"/>
                                  </w:rPr>
                                  <m:t>p</m:t>
                                </m:r>
                              </m:e>
                              <m:sub>
                                <m:r>
                                  <w:rPr>
                                    <w:rFonts w:ascii="Cambria Math" w:hAnsi="Cambria Math"/>
                                  </w:rPr>
                                  <m:t>l,z,g,y</m:t>
                                </m:r>
                              </m:sub>
                              <m:sup>
                                <m:r>
                                  <w:rPr>
                                    <w:rFonts w:ascii="Cambria Math" w:hAnsi="Cambria Math"/>
                                  </w:rPr>
                                  <m:t>L</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L</m:t>
                                </m:r>
                              </m:sup>
                            </m:sSup>
                            <m:r>
                              <w:rPr>
                                <w:rFonts w:ascii="Cambria Math" w:hAnsi="Cambria Math"/>
                              </w:rPr>
                              <m:t>(z)</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l,g,y</m:t>
                                </m:r>
                              </m:sub>
                              <m:sup>
                                <m:r>
                                  <w:rPr>
                                    <w:rFonts w:ascii="Cambria Math" w:hAnsi="Cambria Math"/>
                                  </w:rPr>
                                  <m:t>Trans,R</m:t>
                                </m:r>
                              </m:sup>
                            </m:sSubSup>
                            <m:r>
                              <w:rPr>
                                <w:rFonts w:ascii="Cambria Math" w:hAnsi="Cambria Math"/>
                              </w:rPr>
                              <m:t>⋅NTCa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r>
                                  <w:rPr>
                                    <w:rFonts w:ascii="Cambria Math" w:hAnsi="Cambria Math"/>
                                  </w:rPr>
                                  <m:t>R</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R</m:t>
                                </m:r>
                              </m:sup>
                            </m:sSup>
                            <m:r>
                              <w:rPr>
                                <w:rFonts w:ascii="Cambria Math" w:hAnsi="Cambria Math"/>
                              </w:rPr>
                              <m:t>(z,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e>
                    </m:d>
                  </m:e>
                </m:nary>
              </m:oMath>
            </m:oMathPara>
          </w:p>
        </w:tc>
        <w:tc>
          <w:tcPr>
            <w:tcW w:w="250" w:type="pct"/>
            <w:shd w:val="clear" w:color="auto" w:fill="auto"/>
            <w:vAlign w:val="center"/>
          </w:tcPr>
          <w:p w14:paraId="1E161E63" w14:textId="3D81A5B1" w:rsidR="0041538E" w:rsidRPr="00BF2BA0" w:rsidRDefault="0041538E" w:rsidP="0041538E">
            <w:pPr>
              <w:jc w:val="center"/>
            </w:pPr>
            <w:bookmarkStart w:id="244" w:name="_Ref43319154"/>
            <w:r w:rsidRPr="00FB175F">
              <w:t>(</w:t>
            </w:r>
            <w:r w:rsidR="001C1DD0">
              <w:t>B.</w:t>
            </w:r>
            <w:r w:rsidR="005851DD">
              <w:t>70</w:t>
            </w:r>
            <w:r w:rsidRPr="00FB175F">
              <w:t>)</w:t>
            </w:r>
            <w:bookmarkEnd w:id="244"/>
          </w:p>
        </w:tc>
      </w:tr>
    </w:tbl>
    <w:p w14:paraId="373AC536" w14:textId="5D7CBB2F" w:rsidR="0041538E" w:rsidRDefault="007C0B89" w:rsidP="0041538E">
      <w:r>
        <w:t>Salvage value of transportation technologies at the end of the time horizon: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1CAA08F5" w14:textId="77777777" w:rsidTr="0041538E">
        <w:tc>
          <w:tcPr>
            <w:tcW w:w="250" w:type="pct"/>
            <w:shd w:val="clear" w:color="auto" w:fill="auto"/>
          </w:tcPr>
          <w:p w14:paraId="64AC7411" w14:textId="77777777" w:rsidR="0041538E" w:rsidRDefault="0041538E" w:rsidP="0041538E"/>
        </w:tc>
        <w:tc>
          <w:tcPr>
            <w:tcW w:w="4500" w:type="pct"/>
            <w:shd w:val="clear" w:color="auto" w:fill="auto"/>
            <w:vAlign w:val="center"/>
          </w:tcPr>
          <w:p w14:paraId="46EDAD02" w14:textId="2C9D83DF" w:rsidR="0041538E" w:rsidRPr="00367BF0" w:rsidRDefault="0041538E" w:rsidP="0041538E">
            <w:pPr>
              <w:jc w:val="center"/>
            </w:pPr>
            <m:oMathPara>
              <m:oMath>
                <m:r>
                  <w:rPr>
                    <w:rFonts w:ascii="Cambria Math" w:hAnsi="Cambria Math"/>
                  </w:rPr>
                  <m:t>TSV=</m:t>
                </m:r>
                <m:nary>
                  <m:naryPr>
                    <m:chr m:val="∑"/>
                    <m:limLoc m:val="undOvr"/>
                    <m:supHide m:val="1"/>
                    <m:ctrlPr>
                      <w:rPr>
                        <w:rFonts w:ascii="Cambria Math" w:eastAsiaTheme="minorEastAsia" w:hAnsi="Cambria Math"/>
                        <w:i/>
                      </w:rPr>
                    </m:ctrlPr>
                  </m:naryPr>
                  <m:sub>
                    <m:r>
                      <w:rPr>
                        <w:rFonts w:ascii="Cambria Math" w:hAnsi="Cambria Math"/>
                      </w:rPr>
                      <m:t>l,z,g,y</m:t>
                    </m:r>
                  </m:sub>
                  <m:sup/>
                  <m:e>
                    <m:d>
                      <m:dPr>
                        <m:begChr m:val="["/>
                        <m:endChr m:val="]"/>
                        <m:ctrlPr>
                          <w:rPr>
                            <w:rFonts w:ascii="Cambria Math" w:eastAsiaTheme="minorEastAsia"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l,g,y</m:t>
                                </m:r>
                              </m:sub>
                              <m:sup>
                                <m:r>
                                  <w:rPr>
                                    <w:rFonts w:ascii="Cambria Math" w:hAnsi="Cambria Math"/>
                                  </w:rPr>
                                  <m:t>Trans,L</m:t>
                                </m:r>
                              </m:sup>
                            </m:sSubSup>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ll,z,g,y,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up>
                                <m:r>
                                  <w:rPr>
                                    <w:rFonts w:ascii="Cambria Math" w:hAnsi="Cambria Math"/>
                                  </w:rPr>
                                  <m:t>L</m:t>
                                </m:r>
                              </m:sup>
                            </m:sSubSup>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Ltrans</m:t>
                                </m:r>
                              </m:e>
                              <m:sub>
                                <m:r>
                                  <w:rPr>
                                    <w:rFonts w:ascii="Cambria Math" w:hAnsi="Cambria Math"/>
                                  </w:rPr>
                                  <m:t>l</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sSub>
                              <m:sSubPr>
                                <m:ctrlPr>
                                  <w:rPr>
                                    <w:rFonts w:ascii="Cambria Math" w:hAnsi="Cambria Math"/>
                                    <w:i/>
                                  </w:rPr>
                                </m:ctrlPr>
                              </m:sSubPr>
                              <m:e>
                                <m:r>
                                  <w:rPr>
                                    <w:rFonts w:ascii="Cambria Math" w:hAnsi="Cambria Math"/>
                                  </w:rPr>
                                  <m:t xml:space="preserve"> Ltrans</m:t>
                                </m:r>
                              </m:e>
                              <m:sub>
                                <m:r>
                                  <w:rPr>
                                    <w:rFonts w:ascii="Cambria Math" w:hAnsi="Cambria Math"/>
                                  </w:rPr>
                                  <m:t>l</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ctrlPr>
                          <w:rPr>
                            <w:rFonts w:ascii="Cambria Math" w:hAnsi="Cambria Math"/>
                            <w:i/>
                          </w:rPr>
                        </m:ctrlPr>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ub>
                  <m:sup/>
                  <m:e>
                    <m:d>
                      <m:dPr>
                        <m:begChr m:val="["/>
                        <m:endChr m:val="]"/>
                        <m:ctrlPr>
                          <w:rPr>
                            <w:rFonts w:ascii="Cambria Math" w:eastAsiaTheme="minorEastAsia"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l,g,y</m:t>
                                </m:r>
                              </m:sub>
                              <m:sup>
                                <m:r>
                                  <w:rPr>
                                    <w:rFonts w:ascii="Cambria Math" w:hAnsi="Cambria Math"/>
                                  </w:rPr>
                                  <m:t>Trans,R</m:t>
                                </m:r>
                              </m:sup>
                            </m:sSubSup>
                            <m:r>
                              <w:rPr>
                                <w:rFonts w:ascii="Cambria Math" w:hAnsi="Cambria Math"/>
                              </w:rPr>
                              <m:t>⋅VTCa</m:t>
                            </m:r>
                            <m:sSubSup>
                              <m:sSubSupPr>
                                <m:ctrlPr>
                                  <w:rPr>
                                    <w:rFonts w:ascii="Cambria Math" w:hAnsi="Cambria Math"/>
                                    <w:i/>
                                  </w:rPr>
                                </m:ctrlPr>
                              </m:sSubSupPr>
                              <m:e>
                                <m:r>
                                  <w:rPr>
                                    <w:rFonts w:ascii="Cambria Math" w:hAnsi="Cambria Math"/>
                                  </w:rPr>
                                  <m:t>p</m:t>
                                </m:r>
                              </m:e>
                              <m:sub>
                                <m:r>
                                  <w:rPr>
                                    <w:rFonts w:ascii="Cambria Math" w:hAnsi="Cambria Math"/>
                                  </w:rPr>
                                  <m:t>l,z,</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g,y,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up>
                                <m:r>
                                  <w:rPr>
                                    <w:rFonts w:ascii="Cambria Math" w:hAnsi="Cambria Math"/>
                                  </w:rPr>
                                  <m:t>R</m:t>
                                </m:r>
                              </m:sup>
                            </m:sSubSup>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Ltrans</m:t>
                                </m:r>
                              </m:e>
                              <m:sub>
                                <m:r>
                                  <w:rPr>
                                    <w:rFonts w:ascii="Cambria Math" w:hAnsi="Cambria Math"/>
                                  </w:rPr>
                                  <m:t>l</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sSub>
                              <m:sSubPr>
                                <m:ctrlPr>
                                  <w:rPr>
                                    <w:rFonts w:ascii="Cambria Math" w:hAnsi="Cambria Math"/>
                                    <w:i/>
                                  </w:rPr>
                                </m:ctrlPr>
                              </m:sSubPr>
                              <m:e>
                                <m:r>
                                  <w:rPr>
                                    <w:rFonts w:ascii="Cambria Math" w:hAnsi="Cambria Math"/>
                                  </w:rPr>
                                  <m:t xml:space="preserve"> Ltrans</m:t>
                                </m:r>
                              </m:e>
                              <m:sub>
                                <m:r>
                                  <w:rPr>
                                    <w:rFonts w:ascii="Cambria Math" w:hAnsi="Cambria Math"/>
                                  </w:rPr>
                                  <m:t>l</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ctrlPr>
                          <w:rPr>
                            <w:rFonts w:ascii="Cambria Math" w:hAnsi="Cambria Math"/>
                            <w:i/>
                          </w:rPr>
                        </m:ctrlPr>
                      </m:e>
                    </m:d>
                  </m:e>
                </m:nary>
              </m:oMath>
            </m:oMathPara>
          </w:p>
        </w:tc>
        <w:tc>
          <w:tcPr>
            <w:tcW w:w="250" w:type="pct"/>
            <w:shd w:val="clear" w:color="auto" w:fill="auto"/>
            <w:vAlign w:val="center"/>
          </w:tcPr>
          <w:p w14:paraId="2712F0BB" w14:textId="015DC7A3" w:rsidR="0041538E" w:rsidRPr="00BF2BA0" w:rsidRDefault="0041538E" w:rsidP="0041538E">
            <w:pPr>
              <w:jc w:val="center"/>
            </w:pPr>
            <w:bookmarkStart w:id="245" w:name="_Ref43452389"/>
            <w:r w:rsidRPr="00367BF0">
              <w:t>(</w:t>
            </w:r>
            <w:r w:rsidR="001C1DD0">
              <w:t>B.</w:t>
            </w:r>
            <w:r w:rsidR="005851DD">
              <w:t>71</w:t>
            </w:r>
            <w:r w:rsidRPr="00367BF0">
              <w:t>)</w:t>
            </w:r>
            <w:bookmarkEnd w:id="245"/>
          </w:p>
        </w:tc>
      </w:tr>
    </w:tbl>
    <w:p w14:paraId="34D928B7" w14:textId="225C01A1" w:rsidR="0041538E" w:rsidRDefault="0041538E" w:rsidP="00B94823">
      <w:pPr>
        <w:pStyle w:val="Heading9"/>
      </w:pPr>
      <w:r>
        <w:t xml:space="preserve">Purification </w:t>
      </w:r>
      <w:r w:rsidR="007C0B89">
        <w:t>technologies</w:t>
      </w:r>
    </w:p>
    <w:p w14:paraId="195851CC" w14:textId="661CE919" w:rsidR="0041538E" w:rsidRDefault="0041538E" w:rsidP="0041538E">
      <w:r>
        <w:t xml:space="preserve">The operating cost of purification is split into four parts; the operating cost of centralised purification of clean hydrogen; the localised purification of clean hydrogen; the localised purification of dirty hydrogen; and the separation and purification of blended hydrogen, represented in Equation </w:t>
      </w:r>
      <w:r>
        <w:fldChar w:fldCharType="begin"/>
      </w:r>
      <w:r>
        <w:instrText xml:space="preserve"> REF _Ref48651654 \h </w:instrText>
      </w:r>
      <w:r>
        <w:fldChar w:fldCharType="separate"/>
      </w:r>
      <w:r w:rsidR="005851DD" w:rsidRPr="00BF2BA0">
        <w:t>(</w:t>
      </w:r>
      <w:r w:rsidR="005851DD">
        <w:t>B.72</w:t>
      </w:r>
      <w:r w:rsidR="005851DD" w:rsidRPr="00BF2BA0">
        <w:t>)</w:t>
      </w:r>
      <w:r>
        <w:fldChar w:fldCharType="end"/>
      </w:r>
      <w:r w:rsidR="002F5B8C">
        <w:t>. V</w:t>
      </w:r>
      <w:r>
        <w:t>ariable and fixed operational expenditure are not separated</w:t>
      </w:r>
      <w:r w:rsidR="002F5B8C">
        <w:t xml:space="preserve">, </w:t>
      </w:r>
      <w:r>
        <w:t>due to the format of techno-economic data of hydrogen purification technologies.</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41538E" w14:paraId="60E29820" w14:textId="77777777" w:rsidTr="0041538E">
        <w:tc>
          <w:tcPr>
            <w:tcW w:w="123" w:type="pct"/>
            <w:shd w:val="clear" w:color="auto" w:fill="auto"/>
          </w:tcPr>
          <w:p w14:paraId="6C46AC97" w14:textId="77777777" w:rsidR="0041538E" w:rsidRDefault="0041538E" w:rsidP="0041538E"/>
        </w:tc>
        <w:tc>
          <w:tcPr>
            <w:tcW w:w="4141" w:type="pct"/>
            <w:shd w:val="clear" w:color="auto" w:fill="auto"/>
            <w:vAlign w:val="center"/>
          </w:tcPr>
          <w:p w14:paraId="6E580082" w14:textId="3C59C492" w:rsidR="0041538E" w:rsidRDefault="0041538E" w:rsidP="0041538E">
            <w:pPr>
              <w:jc w:val="center"/>
            </w:pPr>
            <m:oMathPara>
              <m:oMath>
                <m:r>
                  <w:rPr>
                    <w:rFonts w:ascii="Cambria Math" w:hAnsi="Cambria Math"/>
                  </w:rPr>
                  <m:t>PurOC=</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C,Clean</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OCost</m:t>
                                </m:r>
                              </m:e>
                              <m:sub>
                                <m:r>
                                  <w:rPr>
                                    <w:rFonts w:ascii="Cambria Math" w:eastAsiaTheme="minorEastAsia" w:hAnsi="Cambria Math"/>
                                  </w:rPr>
                                  <m:t>c,y</m:t>
                                </m:r>
                              </m:sub>
                              <m:sup>
                                <m:r>
                                  <w:rPr>
                                    <w:rFonts w:ascii="Cambria Math" w:eastAsiaTheme="minorEastAsia" w:hAnsi="Cambria Math"/>
                                  </w:rPr>
                                  <m:t>C,Dirty</m:t>
                                </m:r>
                              </m:sup>
                            </m:sSubSup>
                            <m:ctrlPr>
                              <w:rPr>
                                <w:rFonts w:ascii="Cambria Math" w:eastAsiaTheme="minorEastAsia" w:hAnsi="Cambria Math"/>
                                <w:i/>
                              </w:rPr>
                            </m:ctrlPr>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ctrlPr>
                          <w:rPr>
                            <w:rFonts w:ascii="Cambria Math" w:eastAsiaTheme="minorEastAsia" w:hAnsi="Cambria Math"/>
                            <w:i/>
                          </w:rPr>
                        </m:ctrlPr>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L,Clean</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OCost</m:t>
                                </m:r>
                              </m:e>
                              <m:sub>
                                <m:r>
                                  <w:rPr>
                                    <w:rFonts w:ascii="Cambria Math" w:eastAsiaTheme="minorEastAsia" w:hAnsi="Cambria Math"/>
                                  </w:rPr>
                                  <m:t>c,y</m:t>
                                </m:r>
                              </m:sub>
                              <m:sup>
                                <m:r>
                                  <w:rPr>
                                    <w:rFonts w:ascii="Cambria Math" w:eastAsiaTheme="minorEastAsia" w:hAnsi="Cambria Math"/>
                                  </w:rPr>
                                  <m:t>L,Clean</m:t>
                                </m:r>
                              </m:sup>
                            </m:sSubSup>
                            <m:ctrlPr>
                              <w:rPr>
                                <w:rFonts w:ascii="Cambria Math" w:eastAsiaTheme="minorEastAsia" w:hAnsi="Cambria Math"/>
                                <w:i/>
                              </w:rPr>
                            </m:ctrlPr>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L,Dirty</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OCost</m:t>
                                </m:r>
                              </m:e>
                              <m:sub>
                                <m:r>
                                  <w:rPr>
                                    <w:rFonts w:ascii="Cambria Math" w:eastAsiaTheme="minorEastAsia" w:hAnsi="Cambria Math"/>
                                  </w:rPr>
                                  <m:t>c,y</m:t>
                                </m:r>
                              </m:sub>
                              <m:sup>
                                <m:r>
                                  <w:rPr>
                                    <w:rFonts w:ascii="Cambria Math" w:eastAsiaTheme="minorEastAsia" w:hAnsi="Cambria Math"/>
                                  </w:rPr>
                                  <m:t>L,Dirty</m:t>
                                </m:r>
                              </m:sup>
                            </m:sSubSup>
                            <m:ctrlPr>
                              <w:rPr>
                                <w:rFonts w:ascii="Cambria Math" w:eastAsiaTheme="minorEastAsia" w:hAnsi="Cambria Math"/>
                                <w:i/>
                              </w:rPr>
                            </m:ctrlPr>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ctrlPr>
                          <w:rPr>
                            <w:rFonts w:ascii="Cambria Math" w:eastAsiaTheme="minorEastAsia" w:hAnsi="Cambria Math"/>
                            <w:i/>
                          </w:rPr>
                        </m:ctrlPr>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α⋅IPurCA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L,Blend</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OCost</m:t>
                                </m:r>
                              </m:e>
                              <m:sub>
                                <m:r>
                                  <w:rPr>
                                    <w:rFonts w:ascii="Cambria Math" w:eastAsiaTheme="minorEastAsia" w:hAnsi="Cambria Math"/>
                                  </w:rPr>
                                  <m:t>c,y</m:t>
                                </m:r>
                              </m:sub>
                              <m:sup>
                                <m:r>
                                  <w:rPr>
                                    <w:rFonts w:ascii="Cambria Math" w:eastAsiaTheme="minorEastAsia" w:hAnsi="Cambria Math"/>
                                  </w:rPr>
                                  <m:t>L,Blend</m:t>
                                </m:r>
                              </m:sup>
                            </m:sSubSup>
                            <m:ctrlPr>
                              <w:rPr>
                                <w:rFonts w:ascii="Cambria Math" w:eastAsiaTheme="minorEastAsia" w:hAnsi="Cambria Math"/>
                                <w:i/>
                              </w:rPr>
                            </m:ctrlPr>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ctrlPr>
                          <w:rPr>
                            <w:rFonts w:ascii="Cambria Math" w:eastAsiaTheme="minorEastAsia" w:hAnsi="Cambria Math"/>
                            <w:i/>
                          </w:rPr>
                        </m:ctrlPr>
                      </m:e>
                    </m:d>
                  </m:e>
                </m:nary>
              </m:oMath>
            </m:oMathPara>
          </w:p>
        </w:tc>
        <w:tc>
          <w:tcPr>
            <w:tcW w:w="736" w:type="pct"/>
            <w:shd w:val="clear" w:color="auto" w:fill="auto"/>
            <w:vAlign w:val="center"/>
          </w:tcPr>
          <w:p w14:paraId="41186B8B" w14:textId="7E27561F" w:rsidR="0041538E" w:rsidRPr="00BF2BA0" w:rsidRDefault="0041538E" w:rsidP="0041538E">
            <w:pPr>
              <w:jc w:val="center"/>
            </w:pPr>
            <w:bookmarkStart w:id="246" w:name="_Ref48651654"/>
            <w:r w:rsidRPr="00BF2BA0">
              <w:t>(</w:t>
            </w:r>
            <w:r w:rsidR="001C1DD0">
              <w:t>B.</w:t>
            </w:r>
            <w:r w:rsidR="005851DD">
              <w:t>72</w:t>
            </w:r>
            <w:r w:rsidRPr="00BF2BA0">
              <w:t>)</w:t>
            </w:r>
            <w:bookmarkEnd w:id="246"/>
          </w:p>
        </w:tc>
      </w:tr>
    </w:tbl>
    <w:p w14:paraId="52D393A7" w14:textId="62F1A7E4" w:rsidR="0041538E" w:rsidRDefault="007C0B89" w:rsidP="0041538E">
      <w:pPr>
        <w:rPr>
          <w:rFonts w:eastAsiaTheme="minorEastAsia"/>
        </w:rPr>
      </w:pPr>
      <w:r>
        <w:t>Capital costs of purification technologies,</w:t>
      </w:r>
      <w:r w:rsidR="0041538E">
        <w:rPr>
          <w:rFonts w:eastAsiaTheme="minorEastAsia"/>
        </w:rPr>
        <w:t xml:space="preserve"> represent</w:t>
      </w:r>
      <w:r w:rsidR="002F5B8C">
        <w:rPr>
          <w:rFonts w:eastAsiaTheme="minorEastAsia"/>
        </w:rPr>
        <w:t xml:space="preserve">ed by </w:t>
      </w:r>
      <w:r w:rsidR="0041538E">
        <w:rPr>
          <w:rFonts w:eastAsiaTheme="minorEastAsia"/>
        </w:rPr>
        <w:t>capital cost of centralised purification of dirty hydrogen; local purification of clean hydrogen; local purification of dirty hydrogen; and local separation and purification of blended hydrogen, respectively</w:t>
      </w:r>
      <w:r>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41538E" w14:paraId="696F1C16" w14:textId="77777777" w:rsidTr="0041538E">
        <w:tc>
          <w:tcPr>
            <w:tcW w:w="123" w:type="pct"/>
            <w:shd w:val="clear" w:color="auto" w:fill="auto"/>
          </w:tcPr>
          <w:p w14:paraId="19D44B8E" w14:textId="77777777" w:rsidR="0041538E" w:rsidRDefault="0041538E" w:rsidP="0041538E"/>
        </w:tc>
        <w:tc>
          <w:tcPr>
            <w:tcW w:w="4141" w:type="pct"/>
            <w:shd w:val="clear" w:color="auto" w:fill="auto"/>
            <w:vAlign w:val="center"/>
          </w:tcPr>
          <w:p w14:paraId="006350EB" w14:textId="236AA0FB" w:rsidR="0041538E" w:rsidRDefault="0041538E" w:rsidP="0041538E">
            <w:pPr>
              <w:jc w:val="center"/>
            </w:pPr>
            <m:oMathPara>
              <m:oMath>
                <m:r>
                  <w:rPr>
                    <w:rFonts w:ascii="Cambria Math" w:hAnsi="Cambria Math"/>
                  </w:rPr>
                  <m:t>PurCC=</m:t>
                </m:r>
                <m:nary>
                  <m:naryPr>
                    <m:chr m:val="∑"/>
                    <m:limLoc m:val="undOvr"/>
                    <m:supHide m:val="1"/>
                    <m:ctrlPr>
                      <w:rPr>
                        <w:rFonts w:ascii="Cambria Math" w:hAnsi="Cambria Math"/>
                        <w:i/>
                      </w:rPr>
                    </m:ctrlPr>
                  </m:naryPr>
                  <m:sub>
                    <m:r>
                      <w:rPr>
                        <w:rFonts w:ascii="Cambria Math" w:eastAsiaTheme="minorEastAsia" w:hAnsi="Cambria Math"/>
                      </w:rPr>
                      <m:t>c,</m:t>
                    </m:r>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C</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C,Dirty</m:t>
                                </m:r>
                              </m:sup>
                            </m:sSubSup>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e>
                    </m:d>
                  </m:e>
                </m:nary>
                <m:r>
                  <w:rPr>
                    <w:rFonts w:ascii="Cambria Math" w:hAnsi="Cambria Math"/>
                  </w:rPr>
                  <m:t>+</m:t>
                </m:r>
                <m:nary>
                  <m:naryPr>
                    <m:chr m:val="∑"/>
                    <m:limLoc m:val="undOvr"/>
                    <m:supHide m:val="1"/>
                    <m:ctrlPr>
                      <w:rPr>
                        <w:rFonts w:ascii="Cambria Math" w:hAnsi="Cambria Math"/>
                        <w:i/>
                      </w:rPr>
                    </m:ctrlPr>
                  </m:naryPr>
                  <m:sub>
                    <m:r>
                      <w:rPr>
                        <w:rFonts w:ascii="Cambria Math" w:eastAsiaTheme="minorEastAsia" w:hAnsi="Cambria Math"/>
                      </w:rPr>
                      <m:t>c,</m:t>
                    </m:r>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L,Clean</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L,Clean</m:t>
                                </m:r>
                              </m:sup>
                            </m:sSubSup>
                            <m:ctrlPr>
                              <w:rPr>
                                <w:rFonts w:ascii="Cambria Math" w:eastAsiaTheme="minorEastAsia" w:hAnsi="Cambria Math"/>
                                <w:i/>
                              </w:rPr>
                            </m:ctrlP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ctrlPr>
                          <w:rPr>
                            <w:rFonts w:ascii="Cambria Math" w:eastAsiaTheme="minorEastAsia" w:hAnsi="Cambria Math"/>
                            <w:i/>
                          </w:rPr>
                        </m:ctrlPr>
                      </m:e>
                    </m:d>
                  </m:e>
                </m:nary>
                <m:r>
                  <w:rPr>
                    <w:rFonts w:ascii="Cambria Math" w:hAnsi="Cambria Math"/>
                  </w:rPr>
                  <m:t>+</m:t>
                </m:r>
                <m:nary>
                  <m:naryPr>
                    <m:chr m:val="∑"/>
                    <m:limLoc m:val="undOvr"/>
                    <m:supHide m:val="1"/>
                    <m:ctrlPr>
                      <w:rPr>
                        <w:rFonts w:ascii="Cambria Math" w:hAnsi="Cambria Math"/>
                        <w:i/>
                      </w:rPr>
                    </m:ctrlPr>
                  </m:naryPr>
                  <m:sub>
                    <m:r>
                      <w:rPr>
                        <w:rFonts w:ascii="Cambria Math" w:eastAsiaTheme="minorEastAsia" w:hAnsi="Cambria Math"/>
                      </w:rPr>
                      <m:t>c,</m:t>
                    </m:r>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L,Dirty</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L,Dirty</m:t>
                                </m:r>
                              </m:sup>
                            </m:sSubSup>
                          </m:e>
                        </m:d>
                        <m:r>
                          <w:rPr>
                            <w:rFonts w:ascii="Cambria Math" w:hAnsi="Cambria Math"/>
                          </w:rPr>
                          <m:t xml:space="preserve"> ∙</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e>
                    </m:d>
                  </m:e>
                </m:nary>
                <m:r>
                  <w:rPr>
                    <w:rFonts w:ascii="Cambria Math" w:hAnsi="Cambria Math"/>
                  </w:rPr>
                  <m:t>+</m:t>
                </m:r>
                <m:nary>
                  <m:naryPr>
                    <m:chr m:val="∑"/>
                    <m:limLoc m:val="undOvr"/>
                    <m:supHide m:val="1"/>
                    <m:ctrlPr>
                      <w:rPr>
                        <w:rFonts w:ascii="Cambria Math" w:hAnsi="Cambria Math"/>
                        <w:i/>
                      </w:rPr>
                    </m:ctrlPr>
                  </m:naryPr>
                  <m:sub>
                    <m:r>
                      <w:rPr>
                        <w:rFonts w:ascii="Cambria Math" w:eastAsiaTheme="minorEastAsia" w:hAnsi="Cambria Math"/>
                      </w:rPr>
                      <m:t>c,</m:t>
                    </m:r>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NPurCA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ub>
                              <m:sup>
                                <m:r>
                                  <w:rPr>
                                    <w:rFonts w:ascii="Cambria Math" w:hAnsi="Cambria Math"/>
                                  </w:rPr>
                                  <m:t>L,Blend</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L,Blend</m:t>
                                </m:r>
                              </m:sup>
                            </m:sSubSup>
                          </m:e>
                        </m:d>
                        <m:r>
                          <w:rPr>
                            <w:rFonts w:ascii="Cambria Math" w:hAnsi="Cambria Math"/>
                          </w:rPr>
                          <m:t xml:space="preserve"> ∙</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e>
                    </m:d>
                  </m:e>
                </m:nary>
              </m:oMath>
            </m:oMathPara>
          </w:p>
        </w:tc>
        <w:tc>
          <w:tcPr>
            <w:tcW w:w="736" w:type="pct"/>
            <w:shd w:val="clear" w:color="auto" w:fill="auto"/>
            <w:vAlign w:val="center"/>
          </w:tcPr>
          <w:p w14:paraId="7D240209" w14:textId="6D631D8C" w:rsidR="0041538E" w:rsidRPr="00BF2BA0" w:rsidRDefault="0041538E" w:rsidP="0041538E">
            <w:pPr>
              <w:jc w:val="center"/>
            </w:pPr>
            <w:bookmarkStart w:id="247" w:name="_Ref43453074"/>
            <w:r w:rsidRPr="00BF2BA0">
              <w:t>(</w:t>
            </w:r>
            <w:r w:rsidR="001C1DD0">
              <w:t>B.</w:t>
            </w:r>
            <w:r w:rsidR="005851DD">
              <w:t>73</w:t>
            </w:r>
            <w:r w:rsidRPr="00BF2BA0">
              <w:t>)</w:t>
            </w:r>
            <w:bookmarkEnd w:id="247"/>
          </w:p>
        </w:tc>
      </w:tr>
    </w:tbl>
    <w:p w14:paraId="0F7BA47A" w14:textId="0C92B234" w:rsidR="0041538E" w:rsidRPr="00B576C1" w:rsidRDefault="007C0B89" w:rsidP="0041538E">
      <w:r>
        <w:t>Salvage value of purification technologies at the end of the modelled time horizon:</w:t>
      </w:r>
      <w:r w:rsidR="0041538E">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585FBEDC" w14:textId="77777777" w:rsidTr="0041538E">
        <w:tc>
          <w:tcPr>
            <w:tcW w:w="250" w:type="pct"/>
            <w:shd w:val="clear" w:color="auto" w:fill="auto"/>
          </w:tcPr>
          <w:p w14:paraId="1561974B" w14:textId="77777777" w:rsidR="0041538E" w:rsidRDefault="0041538E" w:rsidP="0041538E"/>
        </w:tc>
        <w:tc>
          <w:tcPr>
            <w:tcW w:w="4500" w:type="pct"/>
            <w:shd w:val="clear" w:color="auto" w:fill="auto"/>
            <w:vAlign w:val="center"/>
          </w:tcPr>
          <w:p w14:paraId="5BF5C9D9" w14:textId="020AA413" w:rsidR="0041538E" w:rsidRDefault="0041538E" w:rsidP="0041538E">
            <w:pPr>
              <w:jc w:val="center"/>
            </w:pPr>
            <m:oMathPara>
              <m:oMath>
                <m:r>
                  <w:rPr>
                    <w:rFonts w:ascii="Cambria Math" w:hAnsi="Cambria Math"/>
                  </w:rPr>
                  <m:t>PurSV=</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up>
                                <m:r>
                                  <w:rPr>
                                    <w:rFonts w:ascii="Cambria Math" w:hAnsi="Cambria Math"/>
                                  </w:rPr>
                                  <m:t>C</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C,Dirty</m:t>
                                </m:r>
                              </m:sup>
                            </m:sSubSup>
                            <m:ctrlPr>
                              <w:rPr>
                                <w:rFonts w:ascii="Cambria Math" w:eastAsiaTheme="minorEastAsia" w:hAnsi="Cambria Math"/>
                                <w:i/>
                              </w:rPr>
                            </m:ctrlPr>
                          </m:e>
                        </m:d>
                        <m:r>
                          <w:rPr>
                            <w:rFonts w:ascii="Cambria Math" w:hAnsi="Cambria Math"/>
                          </w:rPr>
                          <m:t>∙</m:t>
                        </m:r>
                        <m:f>
                          <m:fPr>
                            <m:ctrlPr>
                              <w:rPr>
                                <w:rFonts w:ascii="Cambria Math" w:hAnsi="Cambria Math"/>
                                <w:i/>
                              </w:rPr>
                            </m:ctrlPr>
                          </m:fPr>
                          <m:num>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eastAsiaTheme="minorEastAsia" w:hAnsi="Cambria Math"/>
                                  </w:rPr>
                                  <m:t>c</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ctrlPr>
                          <w:rPr>
                            <w:rFonts w:ascii="Cambria Math" w:eastAsiaTheme="minorEastAsia" w:hAnsi="Cambria Math"/>
                            <w:i/>
                          </w:rPr>
                        </m:ctrlPr>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up>
                                <m:r>
                                  <w:rPr>
                                    <w:rFonts w:ascii="Cambria Math" w:hAnsi="Cambria Math"/>
                                  </w:rPr>
                                  <m:t>L,Clean</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L,Clean</m:t>
                                </m:r>
                              </m:sup>
                            </m:sSubSup>
                            <m:ctrlPr>
                              <w:rPr>
                                <w:rFonts w:ascii="Cambria Math" w:eastAsiaTheme="minorEastAsia" w:hAnsi="Cambria Math"/>
                                <w:i/>
                              </w:rPr>
                            </m:ctrlPr>
                          </m:e>
                        </m:d>
                        <m:r>
                          <w:rPr>
                            <w:rFonts w:ascii="Cambria Math" w:hAnsi="Cambria Math"/>
                          </w:rPr>
                          <m:t>∙</m:t>
                        </m:r>
                        <m:f>
                          <m:fPr>
                            <m:ctrlPr>
                              <w:rPr>
                                <w:rFonts w:ascii="Cambria Math" w:hAnsi="Cambria Math"/>
                                <w:i/>
                              </w:rPr>
                            </m:ctrlPr>
                          </m:fPr>
                          <m:num>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up>
                                <m:r>
                                  <w:rPr>
                                    <w:rFonts w:ascii="Cambria Math" w:hAnsi="Cambria Math"/>
                                  </w:rPr>
                                  <m:t>L,Dirty</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L,Clean</m:t>
                                </m:r>
                              </m:sup>
                            </m:sSubSup>
                            <m:ctrlPr>
                              <w:rPr>
                                <w:rFonts w:ascii="Cambria Math" w:eastAsiaTheme="minorEastAsia" w:hAnsi="Cambria Math"/>
                                <w:i/>
                              </w:rPr>
                            </m:ctrlPr>
                          </m:e>
                        </m:d>
                        <m:r>
                          <w:rPr>
                            <w:rFonts w:ascii="Cambria Math" w:hAnsi="Cambria Math"/>
                          </w:rPr>
                          <m:t>∙</m:t>
                        </m:r>
                        <m:f>
                          <m:fPr>
                            <m:ctrlPr>
                              <w:rPr>
                                <w:rFonts w:ascii="Cambria Math" w:hAnsi="Cambria Math"/>
                                <w:i/>
                              </w:rPr>
                            </m:ctrlPr>
                          </m:fPr>
                          <m:num>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ctrlPr>
                          <w:rPr>
                            <w:rFonts w:ascii="Cambria Math" w:eastAsiaTheme="minorEastAsia" w:hAnsi="Cambria Math"/>
                            <w:i/>
                          </w:rPr>
                        </m:ctrlPr>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c,z,y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VPurCA</m:t>
                            </m:r>
                            <m:sSubSup>
                              <m:sSubSupPr>
                                <m:ctrlPr>
                                  <w:rPr>
                                    <w:rFonts w:ascii="Cambria Math" w:hAnsi="Cambria Math"/>
                                    <w:i/>
                                  </w:rPr>
                                </m:ctrlPr>
                              </m:sSubSupPr>
                              <m:e>
                                <m:r>
                                  <w:rPr>
                                    <w:rFonts w:ascii="Cambria Math" w:hAnsi="Cambria Math"/>
                                  </w:rPr>
                                  <m:t>P</m:t>
                                </m:r>
                              </m:e>
                              <m:sub>
                                <m:r>
                                  <w:rPr>
                                    <w:rFonts w:ascii="Cambria Math" w:eastAsiaTheme="minorEastAsia" w:hAnsi="Cambria Math"/>
                                  </w:rPr>
                                  <m:t>c,</m:t>
                                </m:r>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up>
                                <m:r>
                                  <w:rPr>
                                    <w:rFonts w:ascii="Cambria Math" w:hAnsi="Cambria Math"/>
                                  </w:rPr>
                                  <m:t>L,Blend</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CCost</m:t>
                                </m:r>
                              </m:e>
                              <m:sub>
                                <m:r>
                                  <w:rPr>
                                    <w:rFonts w:ascii="Cambria Math" w:eastAsiaTheme="minorEastAsia" w:hAnsi="Cambria Math"/>
                                  </w:rPr>
                                  <m:t>c,y</m:t>
                                </m:r>
                              </m:sub>
                              <m:sup>
                                <m:r>
                                  <w:rPr>
                                    <w:rFonts w:ascii="Cambria Math" w:eastAsiaTheme="minorEastAsia" w:hAnsi="Cambria Math"/>
                                  </w:rPr>
                                  <m:t>L,Blend</m:t>
                                </m:r>
                              </m:sup>
                            </m:sSubSup>
                            <m:ctrlPr>
                              <w:rPr>
                                <w:rFonts w:ascii="Cambria Math" w:eastAsiaTheme="minorEastAsia" w:hAnsi="Cambria Math"/>
                                <w:i/>
                              </w:rPr>
                            </m:ctrlPr>
                          </m:e>
                        </m:d>
                        <m:r>
                          <w:rPr>
                            <w:rFonts w:ascii="Cambria Math" w:hAnsi="Cambria Math"/>
                          </w:rPr>
                          <m:t>∙</m:t>
                        </m:r>
                        <m:f>
                          <m:fPr>
                            <m:ctrlPr>
                              <w:rPr>
                                <w:rFonts w:ascii="Cambria Math" w:hAnsi="Cambria Math"/>
                                <w:i/>
                              </w:rPr>
                            </m:ctrlPr>
                          </m:fPr>
                          <m:num>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r>
                              <w:rPr>
                                <w:rFonts w:ascii="Cambria Math" w:hAnsi="Cambria Math"/>
                              </w:rPr>
                              <m:t>Lpu</m:t>
                            </m:r>
                            <m:sSub>
                              <m:sSubPr>
                                <m:ctrlPr>
                                  <w:rPr>
                                    <w:rFonts w:ascii="Cambria Math" w:hAnsi="Cambria Math"/>
                                    <w:i/>
                                  </w:rPr>
                                </m:ctrlPr>
                              </m:sSubPr>
                              <m:e>
                                <m:r>
                                  <w:rPr>
                                    <w:rFonts w:ascii="Cambria Math" w:hAnsi="Cambria Math"/>
                                  </w:rPr>
                                  <m:t>r</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ctrlPr>
                          <w:rPr>
                            <w:rFonts w:ascii="Cambria Math" w:eastAsiaTheme="minorEastAsia" w:hAnsi="Cambria Math"/>
                            <w:i/>
                          </w:rPr>
                        </m:ctrlPr>
                      </m:e>
                    </m:d>
                  </m:e>
                </m:nary>
              </m:oMath>
            </m:oMathPara>
          </w:p>
        </w:tc>
        <w:tc>
          <w:tcPr>
            <w:tcW w:w="250" w:type="pct"/>
            <w:shd w:val="clear" w:color="auto" w:fill="auto"/>
            <w:vAlign w:val="center"/>
          </w:tcPr>
          <w:p w14:paraId="7F4D6D1C" w14:textId="6316A35B" w:rsidR="0041538E" w:rsidRPr="00BF2BA0" w:rsidRDefault="0041538E" w:rsidP="0041538E">
            <w:pPr>
              <w:jc w:val="center"/>
            </w:pPr>
            <w:bookmarkStart w:id="248" w:name="_Ref43453689"/>
            <w:r w:rsidRPr="00BF2BA0">
              <w:t>(</w:t>
            </w:r>
            <w:r w:rsidR="001C1DD0">
              <w:t>B.</w:t>
            </w:r>
            <w:r w:rsidR="005851DD">
              <w:t>74</w:t>
            </w:r>
            <w:r w:rsidRPr="00BF2BA0">
              <w:t>)</w:t>
            </w:r>
            <w:bookmarkEnd w:id="248"/>
          </w:p>
        </w:tc>
      </w:tr>
    </w:tbl>
    <w:p w14:paraId="5BB3F64A" w14:textId="138143A1" w:rsidR="0041538E" w:rsidRDefault="0041538E" w:rsidP="00B94823">
      <w:pPr>
        <w:pStyle w:val="Heading9"/>
      </w:pPr>
      <w:r>
        <w:t xml:space="preserve">Refuelling </w:t>
      </w:r>
      <w:r w:rsidR="007C0B89">
        <w:t>s</w:t>
      </w:r>
      <w:r>
        <w:t>tation</w:t>
      </w:r>
      <w:r w:rsidR="007C0B89">
        <w:t>s</w:t>
      </w:r>
    </w:p>
    <w:p w14:paraId="21FC601B" w14:textId="640AD9AF" w:rsidR="0041538E" w:rsidRPr="0011051B" w:rsidRDefault="0041538E" w:rsidP="0041538E">
      <w:r>
        <w:t>The total refuelling station operating cost takes into consideration the operating cost of the refuelling station itself, and the installed localised storage at the refuelling station</w:t>
      </w:r>
      <w:r w:rsidRPr="0028589E">
        <w:t xml:space="preserve"> </w:t>
      </w:r>
      <w:r>
        <w:t xml:space="preserve">represented by </w:t>
      </w:r>
      <w:r>
        <w:lastRenderedPageBreak/>
        <w:t>the first and second half</w:t>
      </w:r>
      <w:r w:rsidRPr="00535536">
        <w:t xml:space="preserve"> </w:t>
      </w:r>
      <w:r>
        <w:t xml:space="preserve">of Equation </w:t>
      </w:r>
      <w:r>
        <w:fldChar w:fldCharType="begin"/>
      </w:r>
      <w:r>
        <w:instrText xml:space="preserve"> REF _Ref43453934 \h </w:instrText>
      </w:r>
      <w:r>
        <w:fldChar w:fldCharType="separate"/>
      </w:r>
      <w:r w:rsidR="005851DD" w:rsidRPr="0011051B">
        <w:t>(</w:t>
      </w:r>
      <w:r w:rsidR="005851DD">
        <w:t>B.75</w:t>
      </w:r>
      <w:r w:rsidR="005851DD" w:rsidRPr="0011051B">
        <w:t>)</w:t>
      </w:r>
      <w:r>
        <w:fldChar w:fldCharType="end"/>
      </w:r>
      <w:r>
        <w:t xml:space="preserve">. </w:t>
      </w:r>
      <w:r w:rsidR="008217FF">
        <w:t>P</w:t>
      </w:r>
      <w:r>
        <w:t xml:space="preserve">arameter </w:t>
      </w:r>
      <m:oMath>
        <m:sSubSup>
          <m:sSubSupPr>
            <m:ctrlPr>
              <w:rPr>
                <w:rFonts w:ascii="Cambria Math" w:hAnsi="Cambria Math"/>
                <w:i/>
              </w:rPr>
            </m:ctrlPr>
          </m:sSubSupPr>
          <m:e>
            <m:r>
              <w:rPr>
                <w:rFonts w:ascii="Cambria Math" w:hAnsi="Cambria Math"/>
              </w:rPr>
              <m:t>OCost</m:t>
            </m:r>
          </m:e>
          <m:sub>
            <m:r>
              <w:rPr>
                <w:rFonts w:ascii="Cambria Math" w:hAnsi="Cambria Math"/>
              </w:rPr>
              <m:t>y</m:t>
            </m:r>
          </m:sub>
          <m:sup>
            <m:r>
              <w:rPr>
                <w:rFonts w:ascii="Cambria Math" w:hAnsi="Cambria Math"/>
              </w:rPr>
              <m:t>RF</m:t>
            </m:r>
          </m:sup>
        </m:sSubSup>
      </m:oMath>
      <w:r>
        <w:rPr>
          <w:rFonts w:eastAsiaTheme="minorEastAsia"/>
        </w:rPr>
        <w:t>, represents the operating cost of the hydrogen refuelling station and the storage in £/kW</w:t>
      </w:r>
      <w:r w:rsidRPr="0011051B">
        <w:rPr>
          <w:rFonts w:eastAsiaTheme="minorEastAsi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41538E" w14:paraId="70603056" w14:textId="77777777" w:rsidTr="0041538E">
        <w:tc>
          <w:tcPr>
            <w:tcW w:w="250" w:type="pct"/>
            <w:shd w:val="clear" w:color="auto" w:fill="auto"/>
          </w:tcPr>
          <w:p w14:paraId="69FFC2DF" w14:textId="77777777" w:rsidR="0041538E" w:rsidRPr="0011051B" w:rsidRDefault="0041538E" w:rsidP="0041538E"/>
        </w:tc>
        <w:tc>
          <w:tcPr>
            <w:tcW w:w="4500" w:type="pct"/>
            <w:shd w:val="clear" w:color="auto" w:fill="auto"/>
            <w:vAlign w:val="center"/>
          </w:tcPr>
          <w:p w14:paraId="13E3E7C4" w14:textId="588A75A9" w:rsidR="0041538E" w:rsidRPr="0011051B" w:rsidRDefault="0041538E" w:rsidP="0041538E">
            <w:pPr>
              <w:jc w:val="center"/>
            </w:pPr>
            <m:oMathPara>
              <m:oMath>
                <m:r>
                  <w:rPr>
                    <w:rFonts w:ascii="Cambria Math" w:hAnsi="Cambria Math"/>
                  </w:rPr>
                  <m:t>RFOC=</m:t>
                </m:r>
                <m:nary>
                  <m:naryPr>
                    <m:chr m:val="∑"/>
                    <m:limLoc m:val="undOvr"/>
                    <m:supHide m:val="1"/>
                    <m:ctrlPr>
                      <w:rPr>
                        <w:rFonts w:ascii="Cambria Math" w:hAnsi="Cambria Math"/>
                        <w:i/>
                      </w:rPr>
                    </m:ctrlPr>
                  </m:naryPr>
                  <m:sub>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sSubSup>
                              <m:sSubSupPr>
                                <m:ctrlPr>
                                  <w:rPr>
                                    <w:rFonts w:ascii="Cambria Math" w:hAnsi="Cambria Math"/>
                                    <w:i/>
                                  </w:rPr>
                                </m:ctrlPr>
                              </m:sSubSupPr>
                              <m:e>
                                <m:r>
                                  <w:rPr>
                                    <w:rFonts w:ascii="Cambria Math" w:hAnsi="Cambria Math"/>
                                  </w:rPr>
                                  <m:t>OCost</m:t>
                                </m:r>
                              </m:e>
                              <m:sub>
                                <m:r>
                                  <w:rPr>
                                    <w:rFonts w:ascii="Cambria Math" w:hAnsi="Cambria Math"/>
                                  </w:rPr>
                                  <m:t>y</m:t>
                                </m:r>
                              </m:sub>
                              <m:sup>
                                <m:r>
                                  <w:rPr>
                                    <w:rFonts w:ascii="Cambria Math" w:hAnsi="Cambria Math"/>
                                  </w:rPr>
                                  <m:t>RF</m:t>
                                </m:r>
                              </m:sup>
                            </m:sSubSup>
                            <m:r>
                              <w:rPr>
                                <w:rFonts w:ascii="Cambria Math" w:hAnsi="Cambria Math"/>
                              </w:rPr>
                              <m:t>⋅IRFCa</m:t>
                            </m:r>
                            <m:sSub>
                              <m:sSubPr>
                                <m:ctrlPr>
                                  <w:rPr>
                                    <w:rFonts w:ascii="Cambria Math" w:hAnsi="Cambria Math"/>
                                    <w:i/>
                                  </w:rPr>
                                </m:ctrlPr>
                              </m:sSubPr>
                              <m:e>
                                <m:r>
                                  <w:rPr>
                                    <w:rFonts w:ascii="Cambria Math" w:hAnsi="Cambria Math"/>
                                  </w:rPr>
                                  <m:t>p</m:t>
                                </m:r>
                              </m:e>
                              <m:sub>
                                <m:r>
                                  <w:rPr>
                                    <w:rFonts w:ascii="Cambria Math" w:hAnsi="Cambria Math"/>
                                  </w:rPr>
                                  <m:t>z,y</m:t>
                                </m:r>
                              </m:sub>
                            </m:sSub>
                          </m:e>
                        </m:d>
                        <m:r>
                          <w:rPr>
                            <w:rFonts w:ascii="Cambria Math" w:hAnsi="Cambria Math"/>
                          </w:rPr>
                          <m:t>∙</m:t>
                        </m:r>
                        <m:sSub>
                          <m:sSubPr>
                            <m:ctrlPr>
                              <w:rPr>
                                <w:rFonts w:ascii="Cambria Math" w:hAnsi="Cambria Math"/>
                                <w:i/>
                              </w:rPr>
                            </m:ctrlPr>
                          </m:sSubPr>
                          <m:e>
                            <m:r>
                              <w:rPr>
                                <w:rFonts w:ascii="Cambria Math" w:hAnsi="Cambria Math"/>
                              </w:rPr>
                              <m:t>DFOC</m:t>
                            </m:r>
                          </m:e>
                          <m:sub>
                            <m:r>
                              <w:rPr>
                                <w:rFonts w:ascii="Cambria Math" w:hAnsi="Cambria Math"/>
                              </w:rPr>
                              <m:t>y</m:t>
                            </m:r>
                          </m:sub>
                        </m:sSub>
                      </m:e>
                    </m:d>
                  </m:e>
                </m:nary>
              </m:oMath>
            </m:oMathPara>
          </w:p>
        </w:tc>
        <w:tc>
          <w:tcPr>
            <w:tcW w:w="250" w:type="pct"/>
            <w:shd w:val="clear" w:color="auto" w:fill="auto"/>
            <w:vAlign w:val="center"/>
          </w:tcPr>
          <w:p w14:paraId="293EFC42" w14:textId="0F4DEB6A" w:rsidR="0041538E" w:rsidRPr="00BF2BA0" w:rsidRDefault="0041538E" w:rsidP="0041538E">
            <w:pPr>
              <w:jc w:val="center"/>
            </w:pPr>
            <w:bookmarkStart w:id="249" w:name="_Ref43453934"/>
            <w:r w:rsidRPr="0011051B">
              <w:t>(</w:t>
            </w:r>
            <w:r w:rsidR="001C1DD0">
              <w:t>B.</w:t>
            </w:r>
            <w:r w:rsidR="005851DD">
              <w:t>75</w:t>
            </w:r>
            <w:r w:rsidRPr="0011051B">
              <w:t>)</w:t>
            </w:r>
            <w:bookmarkEnd w:id="249"/>
          </w:p>
        </w:tc>
      </w:tr>
    </w:tbl>
    <w:p w14:paraId="5A582C4B" w14:textId="7830DF8A" w:rsidR="0041538E" w:rsidRPr="00AB6080" w:rsidRDefault="008217FF" w:rsidP="0041538E">
      <w:r>
        <w:t>The c</w:t>
      </w:r>
      <w:r w:rsidR="0041538E">
        <w:t>apital cost of</w:t>
      </w:r>
      <w:r>
        <w:t xml:space="preserve"> </w:t>
      </w:r>
      <w:r w:rsidR="0041538E">
        <w:t>refuelling station</w:t>
      </w:r>
      <w:r>
        <w:t>s</w:t>
      </w:r>
      <w:r w:rsidR="0041538E">
        <w:t xml:space="preserve"> is calculated by the newly installed capacity multiplied by the capital cost of converting a refuelling station to supply hydrogen</w:t>
      </w:r>
      <w:r>
        <w:t xml:space="preserve">. </w:t>
      </w:r>
      <w:r w:rsidR="0041538E">
        <w:t xml:space="preserve">The parameter </w:t>
      </w:r>
      <m:oMath>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y</m:t>
            </m:r>
          </m:sub>
          <m:sup>
            <m:r>
              <w:rPr>
                <w:rFonts w:ascii="Cambria Math" w:hAnsi="Cambria Math"/>
              </w:rPr>
              <m:t>RF</m:t>
            </m:r>
          </m:sup>
        </m:sSubSup>
      </m:oMath>
      <w:r w:rsidR="0041538E">
        <w:rPr>
          <w:rFonts w:eastAsiaTheme="minorEastAsia"/>
        </w:rPr>
        <w:t xml:space="preserve"> includes the capital cost associated with installing a hydrogen pump and all the ancillaries, as well as on-site hydrogen storage in £/kW</w:t>
      </w:r>
      <w:r w:rsidR="00E41B8C">
        <w:rPr>
          <w:rFonts w:eastAsiaTheme="minorEastAsia"/>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41538E" w14:paraId="5C7B87E0" w14:textId="77777777" w:rsidTr="0041538E">
        <w:tc>
          <w:tcPr>
            <w:tcW w:w="123" w:type="pct"/>
            <w:shd w:val="clear" w:color="auto" w:fill="auto"/>
          </w:tcPr>
          <w:p w14:paraId="03A82F7D" w14:textId="77777777" w:rsidR="0041538E" w:rsidRPr="00AB6080" w:rsidRDefault="0041538E" w:rsidP="0041538E"/>
        </w:tc>
        <w:tc>
          <w:tcPr>
            <w:tcW w:w="4141" w:type="pct"/>
            <w:shd w:val="clear" w:color="auto" w:fill="auto"/>
            <w:vAlign w:val="center"/>
          </w:tcPr>
          <w:p w14:paraId="663273A6" w14:textId="2EFA7475" w:rsidR="0041538E" w:rsidRPr="00AB6080" w:rsidRDefault="0041538E" w:rsidP="0041538E">
            <w:pPr>
              <w:jc w:val="center"/>
            </w:pPr>
            <m:oMathPara>
              <m:oMath>
                <m:r>
                  <w:rPr>
                    <w:rFonts w:ascii="Cambria Math" w:hAnsi="Cambria Math"/>
                  </w:rPr>
                  <m:t>RFCC=</m:t>
                </m:r>
                <m:nary>
                  <m:naryPr>
                    <m:chr m:val="∑"/>
                    <m:limLoc m:val="undOvr"/>
                    <m:supHide m:val="1"/>
                    <m:ctrlPr>
                      <w:rPr>
                        <w:rFonts w:ascii="Cambria Math" w:hAnsi="Cambria Math"/>
                        <w:i/>
                      </w:rPr>
                    </m:ctrlPr>
                  </m:naryPr>
                  <m:sub>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y</m:t>
                                </m:r>
                              </m:sub>
                              <m:sup>
                                <m:r>
                                  <w:rPr>
                                    <w:rFonts w:ascii="Cambria Math" w:hAnsi="Cambria Math"/>
                                  </w:rPr>
                                  <m:t>RF</m:t>
                                </m:r>
                              </m:sup>
                            </m:sSubSup>
                            <m:r>
                              <w:rPr>
                                <w:rFonts w:ascii="Cambria Math" w:hAnsi="Cambria Math"/>
                              </w:rPr>
                              <m:t>⋅NRFCa</m:t>
                            </m:r>
                            <m:sSub>
                              <m:sSubPr>
                                <m:ctrlPr>
                                  <w:rPr>
                                    <w:rFonts w:ascii="Cambria Math" w:hAnsi="Cambria Math"/>
                                    <w:i/>
                                  </w:rPr>
                                </m:ctrlPr>
                              </m:sSubPr>
                              <m:e>
                                <m:r>
                                  <w:rPr>
                                    <w:rFonts w:ascii="Cambria Math" w:hAnsi="Cambria Math"/>
                                  </w:rPr>
                                  <m:t>p</m:t>
                                </m:r>
                              </m:e>
                              <m:sub>
                                <m:r>
                                  <w:rPr>
                                    <w:rFonts w:ascii="Cambria Math" w:hAnsi="Cambria Math"/>
                                  </w:rPr>
                                  <m:t>z,y</m:t>
                                </m:r>
                              </m:sub>
                            </m:sSub>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sup>
                            </m:sSup>
                          </m:den>
                        </m:f>
                      </m:e>
                    </m:d>
                  </m:e>
                </m:nary>
              </m:oMath>
            </m:oMathPara>
          </w:p>
        </w:tc>
        <w:tc>
          <w:tcPr>
            <w:tcW w:w="736" w:type="pct"/>
            <w:shd w:val="clear" w:color="auto" w:fill="auto"/>
            <w:vAlign w:val="center"/>
          </w:tcPr>
          <w:p w14:paraId="388B8BB6" w14:textId="6994E0C6" w:rsidR="0041538E" w:rsidRPr="00BF2BA0" w:rsidRDefault="0041538E" w:rsidP="0041538E">
            <w:pPr>
              <w:jc w:val="center"/>
            </w:pPr>
            <w:bookmarkStart w:id="250" w:name="_Ref43454113"/>
            <w:r w:rsidRPr="00AB6080">
              <w:t>(</w:t>
            </w:r>
            <w:r w:rsidR="001C1DD0">
              <w:t>B.</w:t>
            </w:r>
            <w:r w:rsidR="005851DD">
              <w:t>76</w:t>
            </w:r>
            <w:r w:rsidRPr="00AB6080">
              <w:t>)</w:t>
            </w:r>
            <w:bookmarkEnd w:id="250"/>
          </w:p>
        </w:tc>
      </w:tr>
    </w:tbl>
    <w:p w14:paraId="6C52D5E9" w14:textId="4556D38E" w:rsidR="0041538E" w:rsidRDefault="008217FF" w:rsidP="0041538E">
      <w:r>
        <w:t>S</w:t>
      </w:r>
      <w:r w:rsidR="0041538E">
        <w:t xml:space="preserve">alvage value of </w:t>
      </w:r>
      <w:r>
        <w:t>refuelling stations:</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475"/>
        <w:gridCol w:w="1329"/>
      </w:tblGrid>
      <w:tr w:rsidR="0041538E" w14:paraId="615E6E99" w14:textId="77777777" w:rsidTr="0041538E">
        <w:tc>
          <w:tcPr>
            <w:tcW w:w="123" w:type="pct"/>
            <w:shd w:val="clear" w:color="auto" w:fill="auto"/>
          </w:tcPr>
          <w:p w14:paraId="40E53FEF" w14:textId="77777777" w:rsidR="0041538E" w:rsidRDefault="0041538E" w:rsidP="0041538E"/>
        </w:tc>
        <w:tc>
          <w:tcPr>
            <w:tcW w:w="4141" w:type="pct"/>
            <w:shd w:val="clear" w:color="auto" w:fill="auto"/>
            <w:vAlign w:val="center"/>
          </w:tcPr>
          <w:p w14:paraId="35D28A11" w14:textId="49CE3F9F" w:rsidR="0041538E" w:rsidRPr="00AA634C" w:rsidRDefault="0041538E" w:rsidP="0041538E">
            <w:pPr>
              <w:jc w:val="center"/>
            </w:pPr>
            <m:oMathPara>
              <m:oMath>
                <m:r>
                  <w:rPr>
                    <w:rFonts w:ascii="Cambria Math" w:hAnsi="Cambria Math"/>
                  </w:rPr>
                  <m:t>RFSV=</m:t>
                </m:r>
                <m:nary>
                  <m:naryPr>
                    <m:chr m:val="∑"/>
                    <m:limLoc m:val="undOvr"/>
                    <m:supHide m:val="1"/>
                    <m:ctrlPr>
                      <w:rPr>
                        <w:rFonts w:ascii="Cambria Math" w:hAnsi="Cambria Math"/>
                        <w:i/>
                      </w:rPr>
                    </m:ctrlPr>
                  </m:naryPr>
                  <m:sub>
                    <m:r>
                      <w:rPr>
                        <w:rFonts w:ascii="Cambria Math" w:hAnsi="Cambria Math"/>
                      </w:rPr>
                      <m:t>z,y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CCos</m:t>
                            </m:r>
                            <m:sSubSup>
                              <m:sSubSupPr>
                                <m:ctrlPr>
                                  <w:rPr>
                                    <w:rFonts w:ascii="Cambria Math" w:hAnsi="Cambria Math"/>
                                    <w:i/>
                                  </w:rPr>
                                </m:ctrlPr>
                              </m:sSubSupPr>
                              <m:e>
                                <m:r>
                                  <w:rPr>
                                    <w:rFonts w:ascii="Cambria Math" w:hAnsi="Cambria Math"/>
                                  </w:rPr>
                                  <m:t>t</m:t>
                                </m:r>
                              </m:e>
                              <m:sub>
                                <m:r>
                                  <w:rPr>
                                    <w:rFonts w:ascii="Cambria Math" w:hAnsi="Cambria Math"/>
                                  </w:rPr>
                                  <m:t>y</m:t>
                                </m:r>
                              </m:sub>
                              <m:sup>
                                <m:r>
                                  <w:rPr>
                                    <w:rFonts w:ascii="Cambria Math" w:hAnsi="Cambria Math"/>
                                  </w:rPr>
                                  <m:t>RF</m:t>
                                </m:r>
                              </m:sup>
                            </m:sSubSup>
                            <m:r>
                              <w:rPr>
                                <w:rFonts w:ascii="Cambria Math" w:hAnsi="Cambria Math"/>
                              </w:rPr>
                              <m:t>⋅VRFCa</m:t>
                            </m:r>
                            <m:sSub>
                              <m:sSubPr>
                                <m:ctrlPr>
                                  <w:rPr>
                                    <w:rFonts w:ascii="Cambria Math" w:hAnsi="Cambria Math"/>
                                    <w:i/>
                                  </w:rPr>
                                </m:ctrlPr>
                              </m:sSubPr>
                              <m:e>
                                <m:r>
                                  <w:rPr>
                                    <w:rFonts w:ascii="Cambria Math" w:hAnsi="Cambria Math"/>
                                  </w:rPr>
                                  <m:t>p</m:t>
                                </m:r>
                              </m:e>
                              <m:sub>
                                <m:r>
                                  <w:rPr>
                                    <w:rFonts w:ascii="Cambria Math" w:hAnsi="Cambria Math"/>
                                  </w:rPr>
                                  <m:t>z,y,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=2050</m:t>
                                </m:r>
                              </m:sub>
                            </m:sSub>
                          </m:e>
                        </m:d>
                        <m:r>
                          <w:rPr>
                            <w:rFonts w:ascii="Cambria Math" w:hAnsi="Cambria Math"/>
                          </w:rPr>
                          <m:t>∙</m:t>
                        </m:r>
                        <m:f>
                          <m:fPr>
                            <m:ctrlPr>
                              <w:rPr>
                                <w:rFonts w:ascii="Cambria Math" w:hAnsi="Cambria Math"/>
                                <w:i/>
                              </w:rPr>
                            </m:ctrlPr>
                          </m:fPr>
                          <m:num>
                            <m:r>
                              <w:rPr>
                                <w:rFonts w:ascii="Cambria Math" w:hAnsi="Cambria Math"/>
                              </w:rPr>
                              <m:t>Lref-</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final</m:t>
                                    </m:r>
                                  </m:sub>
                                </m:sSub>
                                <m:r>
                                  <w:rPr>
                                    <w:rFonts w:ascii="Cambria Math" w:hAnsi="Cambria Math"/>
                                  </w:rPr>
                                  <m:t>-y</m:t>
                                </m:r>
                              </m:e>
                            </m:d>
                          </m:num>
                          <m:den>
                            <m:r>
                              <w:rPr>
                                <w:rFonts w:ascii="Cambria Math" w:hAnsi="Cambria Math"/>
                              </w:rPr>
                              <m:t>Lref</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sSub>
                                  <m:sSubPr>
                                    <m:ctrlPr>
                                      <w:rPr>
                                        <w:rFonts w:ascii="Cambria Math" w:hAnsi="Cambria Math"/>
                                        <w:i/>
                                      </w:rPr>
                                    </m:ctrlPr>
                                  </m:sSubPr>
                                  <m:e>
                                    <m:r>
                                      <w:rPr>
                                        <w:rFonts w:ascii="Cambria Math" w:hAnsi="Cambria Math"/>
                                      </w:rPr>
                                      <m:t>y</m:t>
                                    </m:r>
                                  </m:e>
                                  <m:sub>
                                    <m:r>
                                      <w:rPr>
                                        <w:rFonts w:ascii="Cambria Math" w:hAnsi="Cambria Math"/>
                                      </w:rPr>
                                      <m:t>final</m:t>
                                    </m:r>
                                  </m:sub>
                                </m:sSub>
                              </m:sup>
                            </m:sSup>
                          </m:den>
                        </m:f>
                      </m:e>
                    </m:d>
                  </m:e>
                </m:nary>
              </m:oMath>
            </m:oMathPara>
          </w:p>
        </w:tc>
        <w:tc>
          <w:tcPr>
            <w:tcW w:w="736" w:type="pct"/>
            <w:shd w:val="clear" w:color="auto" w:fill="auto"/>
            <w:vAlign w:val="center"/>
          </w:tcPr>
          <w:p w14:paraId="69078AA3" w14:textId="4B75C652" w:rsidR="0041538E" w:rsidRPr="00BF2BA0" w:rsidRDefault="0041538E" w:rsidP="0041538E">
            <w:pPr>
              <w:jc w:val="center"/>
            </w:pPr>
            <w:bookmarkStart w:id="251" w:name="_Ref43454313"/>
            <w:r w:rsidRPr="00AA634C">
              <w:t>(</w:t>
            </w:r>
            <w:r w:rsidR="001C1DD0">
              <w:t>B.</w:t>
            </w:r>
            <w:r w:rsidR="005851DD">
              <w:t>77</w:t>
            </w:r>
            <w:r w:rsidRPr="00AA634C">
              <w:t>)</w:t>
            </w:r>
            <w:bookmarkEnd w:id="251"/>
          </w:p>
        </w:tc>
      </w:tr>
    </w:tbl>
    <w:p w14:paraId="1885FB2E" w14:textId="52056A90" w:rsidR="009C57B6" w:rsidRDefault="009C57B6" w:rsidP="009C57B6">
      <w:pPr>
        <w:pStyle w:val="Heading9"/>
      </w:pPr>
      <w:bookmarkStart w:id="252" w:name="_Toc50359424"/>
      <w:r>
        <w:t>Carbon costs</w:t>
      </w:r>
    </w:p>
    <w:p w14:paraId="34D5E5BD" w14:textId="593307CB" w:rsidR="009C57B6" w:rsidRPr="009C57B6" w:rsidRDefault="009C57B6" w:rsidP="009C57B6">
      <w:r>
        <w:t>Total cost of carbon: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7975"/>
        <w:gridCol w:w="748"/>
      </w:tblGrid>
      <w:tr w:rsidR="009C57B6" w14:paraId="6A8E7305" w14:textId="77777777" w:rsidTr="003B4CD4">
        <w:tc>
          <w:tcPr>
            <w:tcW w:w="250" w:type="pct"/>
            <w:shd w:val="clear" w:color="auto" w:fill="auto"/>
          </w:tcPr>
          <w:p w14:paraId="6701D44C" w14:textId="77777777" w:rsidR="009C57B6" w:rsidRDefault="009C57B6" w:rsidP="003B4CD4"/>
        </w:tc>
        <w:tc>
          <w:tcPr>
            <w:tcW w:w="4500" w:type="pct"/>
            <w:shd w:val="clear" w:color="auto" w:fill="auto"/>
            <w:vAlign w:val="center"/>
          </w:tcPr>
          <w:p w14:paraId="4C3A577A" w14:textId="77777777" w:rsidR="009C57B6" w:rsidRDefault="009C57B6" w:rsidP="003B4CD4">
            <w:pPr>
              <w:jc w:val="center"/>
            </w:pPr>
            <m:oMathPara>
              <m:oMath>
                <m:r>
                  <w:rPr>
                    <w:rFonts w:ascii="Cambria Math" w:hAnsi="Cambria Math"/>
                  </w:rPr>
                  <m:t>CARBON=</m:t>
                </m:r>
                <m:nary>
                  <m:naryPr>
                    <m:chr m:val="∑"/>
                    <m:limLoc m:val="undOvr"/>
                    <m:supHide m:val="1"/>
                    <m:ctrlPr>
                      <w:rPr>
                        <w:rFonts w:ascii="Cambria Math" w:hAnsi="Cambria Math"/>
                        <w:i/>
                      </w:rPr>
                    </m:ctrlPr>
                  </m:naryPr>
                  <m:sub>
                    <m:r>
                      <w:rPr>
                        <w:rFonts w:ascii="Cambria Math" w:hAnsi="Cambria Math"/>
                      </w:rPr>
                      <m:t>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ProdCOEmissio</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⋅CarbonPric</m:t>
                            </m:r>
                            <m:sSub>
                              <m:sSubPr>
                                <m:ctrlPr>
                                  <w:rPr>
                                    <w:rFonts w:ascii="Cambria Math" w:hAnsi="Cambria Math"/>
                                    <w:i/>
                                  </w:rPr>
                                </m:ctrlPr>
                              </m:sSubPr>
                              <m:e>
                                <m:r>
                                  <w:rPr>
                                    <w:rFonts w:ascii="Cambria Math" w:hAnsi="Cambria Math"/>
                                  </w:rPr>
                                  <m:t>e</m:t>
                                </m:r>
                              </m:e>
                              <m:sub>
                                <m:r>
                                  <w:rPr>
                                    <w:rFonts w:ascii="Cambria Math" w:hAnsi="Cambria Math"/>
                                  </w:rPr>
                                  <m:t>y</m:t>
                                </m:r>
                              </m:sub>
                            </m:sSub>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TranCOEmissio</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⋅CarbonPric</m:t>
                            </m:r>
                            <m:sSub>
                              <m:sSubPr>
                                <m:ctrlPr>
                                  <w:rPr>
                                    <w:rFonts w:ascii="Cambria Math" w:hAnsi="Cambria Math"/>
                                    <w:i/>
                                  </w:rPr>
                                </m:ctrlPr>
                              </m:sSubPr>
                              <m:e>
                                <m:r>
                                  <w:rPr>
                                    <w:rFonts w:ascii="Cambria Math" w:hAnsi="Cambria Math"/>
                                  </w:rPr>
                                  <m:t>e</m:t>
                                </m:r>
                              </m:e>
                              <m:sub>
                                <m:r>
                                  <w:rPr>
                                    <w:rFonts w:ascii="Cambria Math" w:hAnsi="Cambria Math"/>
                                  </w:rPr>
                                  <m:t>y</m:t>
                                </m:r>
                              </m:sub>
                            </m:sSub>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y</m:t>
                    </m:r>
                  </m:sub>
                  <m:sup/>
                  <m:e>
                    <m:d>
                      <m:dPr>
                        <m:begChr m:val="["/>
                        <m:endChr m:val="]"/>
                        <m:ctrlPr>
                          <w:rPr>
                            <w:rFonts w:ascii="Cambria Math" w:hAnsi="Cambria Math"/>
                            <w:i/>
                          </w:rPr>
                        </m:ctrlPr>
                      </m:dPr>
                      <m:e>
                        <m:d>
                          <m:dPr>
                            <m:ctrlPr>
                              <w:rPr>
                                <w:rFonts w:ascii="Cambria Math" w:hAnsi="Cambria Math"/>
                                <w:i/>
                              </w:rPr>
                            </m:ctrlPr>
                          </m:dPr>
                          <m:e>
                            <m:r>
                              <w:rPr>
                                <w:rFonts w:ascii="Cambria Math" w:hAnsi="Cambria Math"/>
                              </w:rPr>
                              <m:t>PurCOEmissio</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⋅CarbonPric</m:t>
                            </m:r>
                            <m:sSub>
                              <m:sSubPr>
                                <m:ctrlPr>
                                  <w:rPr>
                                    <w:rFonts w:ascii="Cambria Math" w:hAnsi="Cambria Math"/>
                                    <w:i/>
                                  </w:rPr>
                                </m:ctrlPr>
                              </m:sSubPr>
                              <m:e>
                                <m:r>
                                  <w:rPr>
                                    <w:rFonts w:ascii="Cambria Math" w:hAnsi="Cambria Math"/>
                                  </w:rPr>
                                  <m:t>e</m:t>
                                </m:r>
                              </m:e>
                              <m:sub>
                                <m:r>
                                  <w:rPr>
                                    <w:rFonts w:ascii="Cambria Math" w:hAnsi="Cambria Math"/>
                                  </w:rPr>
                                  <m:t>y</m:t>
                                </m:r>
                              </m:sub>
                            </m:sSub>
                          </m:e>
                        </m:d>
                        <m:r>
                          <w:rPr>
                            <w:rFonts w:ascii="Cambria Math" w:hAnsi="Cambria Math"/>
                          </w:rPr>
                          <m:t>∙DFO</m:t>
                        </m:r>
                        <m:sSub>
                          <m:sSubPr>
                            <m:ctrlPr>
                              <w:rPr>
                                <w:rFonts w:ascii="Cambria Math" w:hAnsi="Cambria Math"/>
                                <w:i/>
                              </w:rPr>
                            </m:ctrlPr>
                          </m:sSubPr>
                          <m:e>
                            <m:r>
                              <w:rPr>
                                <w:rFonts w:ascii="Cambria Math" w:hAnsi="Cambria Math"/>
                              </w:rPr>
                              <m:t>C</m:t>
                            </m:r>
                          </m:e>
                          <m:sub>
                            <m:r>
                              <w:rPr>
                                <w:rFonts w:ascii="Cambria Math" w:hAnsi="Cambria Math"/>
                              </w:rPr>
                              <m:t>y</m:t>
                            </m:r>
                          </m:sub>
                        </m:sSub>
                      </m:e>
                    </m:d>
                  </m:e>
                </m:nary>
              </m:oMath>
            </m:oMathPara>
          </w:p>
        </w:tc>
        <w:tc>
          <w:tcPr>
            <w:tcW w:w="250" w:type="pct"/>
            <w:shd w:val="clear" w:color="auto" w:fill="auto"/>
            <w:vAlign w:val="center"/>
          </w:tcPr>
          <w:p w14:paraId="753AC46D" w14:textId="0D3939D3" w:rsidR="009C57B6" w:rsidRPr="00BF2BA0" w:rsidRDefault="009C57B6" w:rsidP="003B4CD4">
            <w:pPr>
              <w:jc w:val="center"/>
            </w:pPr>
            <w:bookmarkStart w:id="253" w:name="_Ref48676073"/>
            <w:r w:rsidRPr="00BF2BA0">
              <w:t>(</w:t>
            </w:r>
            <w:r w:rsidR="001C1DD0">
              <w:t>B.</w:t>
            </w:r>
            <w:r w:rsidR="005851DD">
              <w:t>78</w:t>
            </w:r>
            <w:r w:rsidRPr="00BF2BA0">
              <w:t>)</w:t>
            </w:r>
            <w:bookmarkEnd w:id="253"/>
          </w:p>
        </w:tc>
      </w:tr>
    </w:tbl>
    <w:p w14:paraId="41664EA6" w14:textId="61A65BF8" w:rsidR="0041538E" w:rsidRDefault="0041538E" w:rsidP="004959A9">
      <w:pPr>
        <w:pStyle w:val="Heading8"/>
      </w:pPr>
      <w:r>
        <w:t>Non-negativity Constraints</w:t>
      </w:r>
      <w:bookmarkEnd w:id="252"/>
    </w:p>
    <w:p w14:paraId="7343E401" w14:textId="1B5197B3" w:rsidR="00A31B1B" w:rsidRDefault="00543DA6" w:rsidP="00A31B1B">
      <w:r>
        <w:t xml:space="preserve">Finally, all continuous variables in the model are defined as </w:t>
      </w:r>
      <w:r w:rsidR="0041538E">
        <w:t>non-negative</w:t>
      </w:r>
      <w:r>
        <w:t>.</w:t>
      </w:r>
    </w:p>
    <w:p w14:paraId="3F427231" w14:textId="371EEC88" w:rsidR="004959A9" w:rsidRDefault="004959A9" w:rsidP="004959A9">
      <w:pPr>
        <w:pStyle w:val="Heading7"/>
      </w:pPr>
      <w:bookmarkStart w:id="254" w:name="_Ref54859703"/>
      <w:r>
        <w:t>Input parameters</w:t>
      </w:r>
      <w:bookmarkEnd w:id="254"/>
    </w:p>
    <w:p w14:paraId="268750BB" w14:textId="10EC9996" w:rsidR="004959A9" w:rsidRDefault="004959A9" w:rsidP="004959A9">
      <w:pPr>
        <w:pStyle w:val="Heading8"/>
      </w:pPr>
      <w:bookmarkStart w:id="255" w:name="_Ref54860839"/>
      <w:r>
        <w:t>Distances between zones</w:t>
      </w:r>
      <w:bookmarkEnd w:id="255"/>
    </w:p>
    <w:p w14:paraId="55EF62C0" w14:textId="77777777" w:rsidR="004959A9" w:rsidRDefault="004959A9" w:rsidP="004959A9">
      <w:pPr>
        <w:rPr>
          <w:rFonts w:eastAsiaTheme="majorEastAsia" w:cstheme="majorBidi"/>
          <w:sz w:val="25"/>
          <w:szCs w:val="24"/>
        </w:rPr>
      </w:pPr>
    </w:p>
    <w:p w14:paraId="5BAC4EDE" w14:textId="77777777" w:rsidR="004959A9" w:rsidRPr="00F80F3B" w:rsidRDefault="004959A9" w:rsidP="004959A9">
      <w:pPr>
        <w:sectPr w:rsidR="004959A9" w:rsidRPr="00F80F3B" w:rsidSect="00D757F9">
          <w:type w:val="continuous"/>
          <w:pgSz w:w="11906" w:h="16838"/>
          <w:pgMar w:top="1440" w:right="1440" w:bottom="1440" w:left="1440" w:header="708" w:footer="708" w:gutter="0"/>
          <w:cols w:space="708"/>
          <w:docGrid w:linePitch="360"/>
        </w:sectPr>
      </w:pPr>
    </w:p>
    <w:p w14:paraId="3758B862" w14:textId="7CF2041D" w:rsidR="004959A9" w:rsidRDefault="004959A9" w:rsidP="004959A9">
      <w:pPr>
        <w:pStyle w:val="Caption"/>
        <w:keepNext/>
      </w:pPr>
      <w:bookmarkStart w:id="256" w:name="_Ref49431636"/>
      <w:bookmarkStart w:id="257" w:name="_Toc50359163"/>
      <w:bookmarkStart w:id="258" w:name="_Ref54860150"/>
      <w:r>
        <w:lastRenderedPageBreak/>
        <w:t xml:space="preserve">Table </w:t>
      </w:r>
      <w:fldSimple w:instr=" SEQ Table \* ARABIC ">
        <w:r w:rsidR="00403A31">
          <w:rPr>
            <w:noProof/>
          </w:rPr>
          <w:t>14</w:t>
        </w:r>
      </w:fldSimple>
      <w:bookmarkEnd w:id="256"/>
      <w:r w:rsidR="00E41B8C">
        <w:t>:</w:t>
      </w:r>
      <w:r>
        <w:t xml:space="preserve"> Assumed distances between the centre of zones (Beeline km).</w:t>
      </w:r>
      <w:bookmarkEnd w:id="257"/>
      <w:bookmarkEnd w:id="258"/>
    </w:p>
    <w:tbl>
      <w:tblPr>
        <w:tblStyle w:val="PlainTable2"/>
        <w:tblW w:w="5000" w:type="pct"/>
        <w:tblLook w:val="04A0" w:firstRow="1" w:lastRow="0" w:firstColumn="1" w:lastColumn="0" w:noHBand="0" w:noVBand="1"/>
      </w:tblPr>
      <w:tblGrid>
        <w:gridCol w:w="601"/>
        <w:gridCol w:w="641"/>
        <w:gridCol w:w="641"/>
        <w:gridCol w:w="641"/>
        <w:gridCol w:w="641"/>
        <w:gridCol w:w="641"/>
        <w:gridCol w:w="641"/>
        <w:gridCol w:w="641"/>
        <w:gridCol w:w="641"/>
        <w:gridCol w:w="641"/>
        <w:gridCol w:w="641"/>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tblGrid>
      <w:tr w:rsidR="004959A9" w:rsidRPr="002F7C87" w14:paraId="0FD21EB3" w14:textId="77777777" w:rsidTr="004959A9">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tcBorders>
              <w:top w:val="nil"/>
            </w:tcBorders>
            <w:noWrap/>
            <w:vAlign w:val="center"/>
            <w:hideMark/>
          </w:tcPr>
          <w:p w14:paraId="61A64D35"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Zones</w:t>
            </w:r>
          </w:p>
        </w:tc>
        <w:tc>
          <w:tcPr>
            <w:tcW w:w="143" w:type="pct"/>
            <w:noWrap/>
            <w:vAlign w:val="center"/>
            <w:hideMark/>
          </w:tcPr>
          <w:p w14:paraId="43ECE0A4"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w:t>
            </w:r>
          </w:p>
        </w:tc>
        <w:tc>
          <w:tcPr>
            <w:tcW w:w="143" w:type="pct"/>
            <w:noWrap/>
            <w:vAlign w:val="center"/>
            <w:hideMark/>
          </w:tcPr>
          <w:p w14:paraId="7172CD1D"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w:t>
            </w:r>
          </w:p>
        </w:tc>
        <w:tc>
          <w:tcPr>
            <w:tcW w:w="143" w:type="pct"/>
            <w:noWrap/>
            <w:vAlign w:val="center"/>
            <w:hideMark/>
          </w:tcPr>
          <w:p w14:paraId="5C33D40F"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z3</w:t>
            </w:r>
          </w:p>
        </w:tc>
        <w:tc>
          <w:tcPr>
            <w:tcW w:w="143" w:type="pct"/>
            <w:noWrap/>
            <w:vAlign w:val="center"/>
            <w:hideMark/>
          </w:tcPr>
          <w:p w14:paraId="4B5B2D79"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z4</w:t>
            </w:r>
          </w:p>
        </w:tc>
        <w:tc>
          <w:tcPr>
            <w:tcW w:w="143" w:type="pct"/>
            <w:noWrap/>
            <w:vAlign w:val="center"/>
            <w:hideMark/>
          </w:tcPr>
          <w:p w14:paraId="03EC55A0"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z5</w:t>
            </w:r>
          </w:p>
        </w:tc>
        <w:tc>
          <w:tcPr>
            <w:tcW w:w="143" w:type="pct"/>
            <w:noWrap/>
            <w:vAlign w:val="center"/>
            <w:hideMark/>
          </w:tcPr>
          <w:p w14:paraId="1C9D865C"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z6</w:t>
            </w:r>
          </w:p>
        </w:tc>
        <w:tc>
          <w:tcPr>
            <w:tcW w:w="143" w:type="pct"/>
            <w:noWrap/>
            <w:vAlign w:val="center"/>
            <w:hideMark/>
          </w:tcPr>
          <w:p w14:paraId="623849D7"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z7</w:t>
            </w:r>
          </w:p>
        </w:tc>
        <w:tc>
          <w:tcPr>
            <w:tcW w:w="143" w:type="pct"/>
            <w:noWrap/>
            <w:vAlign w:val="center"/>
            <w:hideMark/>
          </w:tcPr>
          <w:p w14:paraId="2475B5D1"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z8</w:t>
            </w:r>
          </w:p>
        </w:tc>
        <w:tc>
          <w:tcPr>
            <w:tcW w:w="143" w:type="pct"/>
            <w:noWrap/>
            <w:vAlign w:val="center"/>
            <w:hideMark/>
          </w:tcPr>
          <w:p w14:paraId="52CCDE4E"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z9</w:t>
            </w:r>
          </w:p>
        </w:tc>
        <w:tc>
          <w:tcPr>
            <w:tcW w:w="143" w:type="pct"/>
            <w:noWrap/>
            <w:vAlign w:val="center"/>
            <w:hideMark/>
          </w:tcPr>
          <w:p w14:paraId="187925D6"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z10</w:t>
            </w:r>
          </w:p>
        </w:tc>
        <w:tc>
          <w:tcPr>
            <w:tcW w:w="143" w:type="pct"/>
            <w:noWrap/>
            <w:vAlign w:val="center"/>
            <w:hideMark/>
          </w:tcPr>
          <w:p w14:paraId="7AAD51DD"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z11</w:t>
            </w:r>
          </w:p>
        </w:tc>
        <w:tc>
          <w:tcPr>
            <w:tcW w:w="143" w:type="pct"/>
            <w:noWrap/>
            <w:vAlign w:val="center"/>
            <w:hideMark/>
          </w:tcPr>
          <w:p w14:paraId="662A844B"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z12</w:t>
            </w:r>
          </w:p>
        </w:tc>
        <w:tc>
          <w:tcPr>
            <w:tcW w:w="143" w:type="pct"/>
            <w:noWrap/>
            <w:vAlign w:val="center"/>
            <w:hideMark/>
          </w:tcPr>
          <w:p w14:paraId="08221893"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z13</w:t>
            </w:r>
          </w:p>
        </w:tc>
        <w:tc>
          <w:tcPr>
            <w:tcW w:w="143" w:type="pct"/>
            <w:noWrap/>
            <w:vAlign w:val="center"/>
            <w:hideMark/>
          </w:tcPr>
          <w:p w14:paraId="1F158563"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z14</w:t>
            </w:r>
          </w:p>
        </w:tc>
        <w:tc>
          <w:tcPr>
            <w:tcW w:w="143" w:type="pct"/>
            <w:noWrap/>
            <w:vAlign w:val="center"/>
            <w:hideMark/>
          </w:tcPr>
          <w:p w14:paraId="17AAF378"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z15</w:t>
            </w:r>
          </w:p>
        </w:tc>
        <w:tc>
          <w:tcPr>
            <w:tcW w:w="143" w:type="pct"/>
            <w:noWrap/>
            <w:vAlign w:val="center"/>
            <w:hideMark/>
          </w:tcPr>
          <w:p w14:paraId="144B0788"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z16</w:t>
            </w:r>
          </w:p>
        </w:tc>
        <w:tc>
          <w:tcPr>
            <w:tcW w:w="143" w:type="pct"/>
            <w:noWrap/>
            <w:vAlign w:val="center"/>
            <w:hideMark/>
          </w:tcPr>
          <w:p w14:paraId="1D6CA415"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z17</w:t>
            </w:r>
          </w:p>
        </w:tc>
        <w:tc>
          <w:tcPr>
            <w:tcW w:w="143" w:type="pct"/>
            <w:noWrap/>
            <w:vAlign w:val="center"/>
            <w:hideMark/>
          </w:tcPr>
          <w:p w14:paraId="6BDF6B87"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z18</w:t>
            </w:r>
          </w:p>
        </w:tc>
        <w:tc>
          <w:tcPr>
            <w:tcW w:w="143" w:type="pct"/>
            <w:noWrap/>
            <w:vAlign w:val="center"/>
            <w:hideMark/>
          </w:tcPr>
          <w:p w14:paraId="752D1932"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z19</w:t>
            </w:r>
          </w:p>
        </w:tc>
        <w:tc>
          <w:tcPr>
            <w:tcW w:w="143" w:type="pct"/>
            <w:noWrap/>
            <w:vAlign w:val="center"/>
            <w:hideMark/>
          </w:tcPr>
          <w:p w14:paraId="5E2C7671"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z20</w:t>
            </w:r>
          </w:p>
        </w:tc>
        <w:tc>
          <w:tcPr>
            <w:tcW w:w="143" w:type="pct"/>
            <w:noWrap/>
            <w:vAlign w:val="center"/>
            <w:hideMark/>
          </w:tcPr>
          <w:p w14:paraId="6AC8C0D0"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z21</w:t>
            </w:r>
          </w:p>
        </w:tc>
        <w:tc>
          <w:tcPr>
            <w:tcW w:w="143" w:type="pct"/>
            <w:noWrap/>
            <w:vAlign w:val="center"/>
            <w:hideMark/>
          </w:tcPr>
          <w:p w14:paraId="3299DDC1"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z22</w:t>
            </w:r>
          </w:p>
        </w:tc>
        <w:tc>
          <w:tcPr>
            <w:tcW w:w="143" w:type="pct"/>
            <w:noWrap/>
            <w:vAlign w:val="center"/>
            <w:hideMark/>
          </w:tcPr>
          <w:p w14:paraId="53DD080F"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z23</w:t>
            </w:r>
          </w:p>
        </w:tc>
        <w:tc>
          <w:tcPr>
            <w:tcW w:w="143" w:type="pct"/>
            <w:noWrap/>
            <w:vAlign w:val="center"/>
            <w:hideMark/>
          </w:tcPr>
          <w:p w14:paraId="618B0435"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z24</w:t>
            </w:r>
          </w:p>
        </w:tc>
        <w:tc>
          <w:tcPr>
            <w:tcW w:w="143" w:type="pct"/>
            <w:noWrap/>
            <w:vAlign w:val="center"/>
            <w:hideMark/>
          </w:tcPr>
          <w:p w14:paraId="2D2D6083"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z25</w:t>
            </w:r>
          </w:p>
        </w:tc>
        <w:tc>
          <w:tcPr>
            <w:tcW w:w="143" w:type="pct"/>
            <w:noWrap/>
            <w:vAlign w:val="center"/>
            <w:hideMark/>
          </w:tcPr>
          <w:p w14:paraId="40DC53B6"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z26</w:t>
            </w:r>
          </w:p>
        </w:tc>
        <w:tc>
          <w:tcPr>
            <w:tcW w:w="143" w:type="pct"/>
            <w:noWrap/>
            <w:vAlign w:val="center"/>
            <w:hideMark/>
          </w:tcPr>
          <w:p w14:paraId="5F8449F4"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z27</w:t>
            </w:r>
          </w:p>
        </w:tc>
        <w:tc>
          <w:tcPr>
            <w:tcW w:w="143" w:type="pct"/>
            <w:noWrap/>
            <w:vAlign w:val="center"/>
            <w:hideMark/>
          </w:tcPr>
          <w:p w14:paraId="7115F180"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z28</w:t>
            </w:r>
          </w:p>
        </w:tc>
        <w:tc>
          <w:tcPr>
            <w:tcW w:w="143" w:type="pct"/>
            <w:noWrap/>
            <w:vAlign w:val="center"/>
            <w:hideMark/>
          </w:tcPr>
          <w:p w14:paraId="71DEAFDC"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z29</w:t>
            </w:r>
          </w:p>
        </w:tc>
        <w:tc>
          <w:tcPr>
            <w:tcW w:w="143" w:type="pct"/>
            <w:noWrap/>
            <w:vAlign w:val="center"/>
            <w:hideMark/>
          </w:tcPr>
          <w:p w14:paraId="070D8E93"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z30</w:t>
            </w:r>
          </w:p>
        </w:tc>
        <w:tc>
          <w:tcPr>
            <w:tcW w:w="143" w:type="pct"/>
            <w:noWrap/>
            <w:vAlign w:val="center"/>
            <w:hideMark/>
          </w:tcPr>
          <w:p w14:paraId="2E23566D"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z31</w:t>
            </w:r>
          </w:p>
        </w:tc>
        <w:tc>
          <w:tcPr>
            <w:tcW w:w="143" w:type="pct"/>
            <w:noWrap/>
            <w:vAlign w:val="center"/>
            <w:hideMark/>
          </w:tcPr>
          <w:p w14:paraId="1CB74FD8"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z32</w:t>
            </w:r>
          </w:p>
        </w:tc>
        <w:tc>
          <w:tcPr>
            <w:tcW w:w="143" w:type="pct"/>
            <w:noWrap/>
            <w:vAlign w:val="center"/>
            <w:hideMark/>
          </w:tcPr>
          <w:p w14:paraId="3F7EC672"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z33</w:t>
            </w:r>
          </w:p>
        </w:tc>
        <w:tc>
          <w:tcPr>
            <w:tcW w:w="143" w:type="pct"/>
            <w:noWrap/>
            <w:vAlign w:val="center"/>
            <w:hideMark/>
          </w:tcPr>
          <w:p w14:paraId="7D8FC6FF" w14:textId="77777777" w:rsidR="004959A9" w:rsidRPr="002F7C87" w:rsidRDefault="004959A9"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z34</w:t>
            </w:r>
          </w:p>
        </w:tc>
      </w:tr>
      <w:tr w:rsidR="004959A9" w:rsidRPr="002F7C87" w14:paraId="01545BAF"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0AF06876"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w:t>
            </w:r>
          </w:p>
        </w:tc>
        <w:tc>
          <w:tcPr>
            <w:tcW w:w="143" w:type="pct"/>
            <w:noWrap/>
            <w:vAlign w:val="center"/>
            <w:hideMark/>
          </w:tcPr>
          <w:p w14:paraId="43E4298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2319A51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58.81</w:t>
            </w:r>
          </w:p>
        </w:tc>
        <w:tc>
          <w:tcPr>
            <w:tcW w:w="143" w:type="pct"/>
            <w:noWrap/>
            <w:vAlign w:val="center"/>
            <w:hideMark/>
          </w:tcPr>
          <w:p w14:paraId="29DE372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206.40</w:t>
            </w:r>
          </w:p>
        </w:tc>
        <w:tc>
          <w:tcPr>
            <w:tcW w:w="143" w:type="pct"/>
            <w:noWrap/>
            <w:vAlign w:val="center"/>
            <w:hideMark/>
          </w:tcPr>
          <w:p w14:paraId="4CF75D1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358.80</w:t>
            </w:r>
          </w:p>
        </w:tc>
        <w:tc>
          <w:tcPr>
            <w:tcW w:w="143" w:type="pct"/>
            <w:noWrap/>
            <w:vAlign w:val="center"/>
            <w:hideMark/>
          </w:tcPr>
          <w:p w14:paraId="48BB077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342.09</w:t>
            </w:r>
          </w:p>
        </w:tc>
        <w:tc>
          <w:tcPr>
            <w:tcW w:w="143" w:type="pct"/>
            <w:noWrap/>
            <w:vAlign w:val="center"/>
            <w:hideMark/>
          </w:tcPr>
          <w:p w14:paraId="4A1AE88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150.27</w:t>
            </w:r>
          </w:p>
        </w:tc>
        <w:tc>
          <w:tcPr>
            <w:tcW w:w="143" w:type="pct"/>
            <w:noWrap/>
            <w:vAlign w:val="center"/>
            <w:hideMark/>
          </w:tcPr>
          <w:p w14:paraId="0556692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276.61</w:t>
            </w:r>
          </w:p>
        </w:tc>
        <w:tc>
          <w:tcPr>
            <w:tcW w:w="143" w:type="pct"/>
            <w:noWrap/>
            <w:vAlign w:val="center"/>
            <w:hideMark/>
          </w:tcPr>
          <w:p w14:paraId="5F0C607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192.34</w:t>
            </w:r>
          </w:p>
        </w:tc>
        <w:tc>
          <w:tcPr>
            <w:tcW w:w="143" w:type="pct"/>
            <w:noWrap/>
            <w:vAlign w:val="center"/>
            <w:hideMark/>
          </w:tcPr>
          <w:p w14:paraId="78DDC5F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92.00</w:t>
            </w:r>
          </w:p>
        </w:tc>
        <w:tc>
          <w:tcPr>
            <w:tcW w:w="143" w:type="pct"/>
            <w:noWrap/>
            <w:vAlign w:val="center"/>
            <w:hideMark/>
          </w:tcPr>
          <w:p w14:paraId="6F01786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213.67</w:t>
            </w:r>
          </w:p>
        </w:tc>
        <w:tc>
          <w:tcPr>
            <w:tcW w:w="143" w:type="pct"/>
            <w:noWrap/>
            <w:vAlign w:val="center"/>
            <w:hideMark/>
          </w:tcPr>
          <w:p w14:paraId="26755DF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215.89</w:t>
            </w:r>
          </w:p>
        </w:tc>
        <w:tc>
          <w:tcPr>
            <w:tcW w:w="143" w:type="pct"/>
            <w:noWrap/>
            <w:vAlign w:val="center"/>
            <w:hideMark/>
          </w:tcPr>
          <w:p w14:paraId="7FA19B8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514.01</w:t>
            </w:r>
          </w:p>
        </w:tc>
        <w:tc>
          <w:tcPr>
            <w:tcW w:w="143" w:type="pct"/>
            <w:noWrap/>
            <w:vAlign w:val="center"/>
            <w:hideMark/>
          </w:tcPr>
          <w:p w14:paraId="75D84D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61.98</w:t>
            </w:r>
          </w:p>
        </w:tc>
        <w:tc>
          <w:tcPr>
            <w:tcW w:w="143" w:type="pct"/>
            <w:noWrap/>
            <w:vAlign w:val="center"/>
            <w:hideMark/>
          </w:tcPr>
          <w:p w14:paraId="0626ED5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127.93</w:t>
            </w:r>
          </w:p>
        </w:tc>
        <w:tc>
          <w:tcPr>
            <w:tcW w:w="143" w:type="pct"/>
            <w:noWrap/>
            <w:vAlign w:val="center"/>
            <w:hideMark/>
          </w:tcPr>
          <w:p w14:paraId="1E6BB99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121.37</w:t>
            </w:r>
          </w:p>
        </w:tc>
        <w:tc>
          <w:tcPr>
            <w:tcW w:w="143" w:type="pct"/>
            <w:noWrap/>
            <w:vAlign w:val="center"/>
            <w:hideMark/>
          </w:tcPr>
          <w:p w14:paraId="25BC667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131.15</w:t>
            </w:r>
          </w:p>
        </w:tc>
        <w:tc>
          <w:tcPr>
            <w:tcW w:w="143" w:type="pct"/>
            <w:noWrap/>
            <w:vAlign w:val="center"/>
            <w:hideMark/>
          </w:tcPr>
          <w:p w14:paraId="47B2F5E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682.37</w:t>
            </w:r>
          </w:p>
        </w:tc>
        <w:tc>
          <w:tcPr>
            <w:tcW w:w="143" w:type="pct"/>
            <w:noWrap/>
            <w:vAlign w:val="center"/>
            <w:hideMark/>
          </w:tcPr>
          <w:p w14:paraId="3790C4F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106.50</w:t>
            </w:r>
          </w:p>
        </w:tc>
        <w:tc>
          <w:tcPr>
            <w:tcW w:w="143" w:type="pct"/>
            <w:noWrap/>
            <w:vAlign w:val="center"/>
            <w:hideMark/>
          </w:tcPr>
          <w:p w14:paraId="47E0D8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262.15</w:t>
            </w:r>
          </w:p>
        </w:tc>
        <w:tc>
          <w:tcPr>
            <w:tcW w:w="143" w:type="pct"/>
            <w:noWrap/>
            <w:vAlign w:val="center"/>
            <w:hideMark/>
          </w:tcPr>
          <w:p w14:paraId="17E3420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76.06</w:t>
            </w:r>
          </w:p>
        </w:tc>
        <w:tc>
          <w:tcPr>
            <w:tcW w:w="143" w:type="pct"/>
            <w:noWrap/>
            <w:vAlign w:val="center"/>
            <w:hideMark/>
          </w:tcPr>
          <w:p w14:paraId="0467C59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139.05</w:t>
            </w:r>
          </w:p>
        </w:tc>
        <w:tc>
          <w:tcPr>
            <w:tcW w:w="143" w:type="pct"/>
            <w:noWrap/>
            <w:vAlign w:val="center"/>
            <w:hideMark/>
          </w:tcPr>
          <w:p w14:paraId="1C14895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50.32</w:t>
            </w:r>
          </w:p>
        </w:tc>
        <w:tc>
          <w:tcPr>
            <w:tcW w:w="143" w:type="pct"/>
            <w:noWrap/>
            <w:vAlign w:val="center"/>
            <w:hideMark/>
          </w:tcPr>
          <w:p w14:paraId="5AE6047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227.55</w:t>
            </w:r>
          </w:p>
        </w:tc>
        <w:tc>
          <w:tcPr>
            <w:tcW w:w="143" w:type="pct"/>
            <w:noWrap/>
            <w:vAlign w:val="center"/>
            <w:hideMark/>
          </w:tcPr>
          <w:p w14:paraId="4545D04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608.91</w:t>
            </w:r>
          </w:p>
        </w:tc>
        <w:tc>
          <w:tcPr>
            <w:tcW w:w="143" w:type="pct"/>
            <w:noWrap/>
            <w:vAlign w:val="center"/>
            <w:hideMark/>
          </w:tcPr>
          <w:p w14:paraId="2253EA1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261.89</w:t>
            </w:r>
          </w:p>
        </w:tc>
        <w:tc>
          <w:tcPr>
            <w:tcW w:w="143" w:type="pct"/>
            <w:noWrap/>
            <w:vAlign w:val="center"/>
            <w:hideMark/>
          </w:tcPr>
          <w:p w14:paraId="08494ED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381.71</w:t>
            </w:r>
          </w:p>
        </w:tc>
        <w:tc>
          <w:tcPr>
            <w:tcW w:w="143" w:type="pct"/>
            <w:noWrap/>
            <w:vAlign w:val="center"/>
            <w:hideMark/>
          </w:tcPr>
          <w:p w14:paraId="7F61CAE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168.78</w:t>
            </w:r>
          </w:p>
        </w:tc>
        <w:tc>
          <w:tcPr>
            <w:tcW w:w="143" w:type="pct"/>
            <w:noWrap/>
            <w:vAlign w:val="center"/>
            <w:hideMark/>
          </w:tcPr>
          <w:p w14:paraId="65B18FA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456.20</w:t>
            </w:r>
          </w:p>
        </w:tc>
        <w:tc>
          <w:tcPr>
            <w:tcW w:w="143" w:type="pct"/>
            <w:noWrap/>
            <w:vAlign w:val="center"/>
            <w:hideMark/>
          </w:tcPr>
          <w:p w14:paraId="67E0D9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185.64</w:t>
            </w:r>
          </w:p>
        </w:tc>
        <w:tc>
          <w:tcPr>
            <w:tcW w:w="143" w:type="pct"/>
            <w:noWrap/>
            <w:vAlign w:val="center"/>
            <w:hideMark/>
          </w:tcPr>
          <w:p w14:paraId="37F96A1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99.64</w:t>
            </w:r>
          </w:p>
        </w:tc>
        <w:tc>
          <w:tcPr>
            <w:tcW w:w="143" w:type="pct"/>
            <w:noWrap/>
            <w:vAlign w:val="center"/>
            <w:hideMark/>
          </w:tcPr>
          <w:p w14:paraId="766707A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319.76</w:t>
            </w:r>
          </w:p>
        </w:tc>
        <w:tc>
          <w:tcPr>
            <w:tcW w:w="143" w:type="pct"/>
            <w:noWrap/>
            <w:vAlign w:val="center"/>
            <w:hideMark/>
          </w:tcPr>
          <w:p w14:paraId="699CBC8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122.99</w:t>
            </w:r>
          </w:p>
        </w:tc>
        <w:tc>
          <w:tcPr>
            <w:tcW w:w="143" w:type="pct"/>
            <w:noWrap/>
            <w:vAlign w:val="center"/>
            <w:hideMark/>
          </w:tcPr>
          <w:p w14:paraId="3CFA39E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265.97</w:t>
            </w:r>
          </w:p>
        </w:tc>
        <w:tc>
          <w:tcPr>
            <w:tcW w:w="143" w:type="pct"/>
            <w:noWrap/>
            <w:vAlign w:val="center"/>
            <w:hideMark/>
          </w:tcPr>
          <w:p w14:paraId="668B193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221.51</w:t>
            </w:r>
          </w:p>
        </w:tc>
      </w:tr>
      <w:tr w:rsidR="004959A9" w:rsidRPr="002F7C87" w14:paraId="6605A31C"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1C4DFB3A"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w:t>
            </w:r>
          </w:p>
        </w:tc>
        <w:tc>
          <w:tcPr>
            <w:tcW w:w="143" w:type="pct"/>
            <w:noWrap/>
            <w:vAlign w:val="center"/>
            <w:hideMark/>
          </w:tcPr>
          <w:p w14:paraId="76ABB1D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58.81</w:t>
            </w:r>
          </w:p>
        </w:tc>
        <w:tc>
          <w:tcPr>
            <w:tcW w:w="143" w:type="pct"/>
            <w:noWrap/>
            <w:vAlign w:val="center"/>
            <w:hideMark/>
          </w:tcPr>
          <w:p w14:paraId="33D18AC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08C619D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192.32</w:t>
            </w:r>
          </w:p>
        </w:tc>
        <w:tc>
          <w:tcPr>
            <w:tcW w:w="143" w:type="pct"/>
            <w:noWrap/>
            <w:vAlign w:val="center"/>
            <w:hideMark/>
          </w:tcPr>
          <w:p w14:paraId="32D8FD6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300.08</w:t>
            </w:r>
          </w:p>
        </w:tc>
        <w:tc>
          <w:tcPr>
            <w:tcW w:w="143" w:type="pct"/>
            <w:noWrap/>
            <w:vAlign w:val="center"/>
            <w:hideMark/>
          </w:tcPr>
          <w:p w14:paraId="497E452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341.53</w:t>
            </w:r>
          </w:p>
        </w:tc>
        <w:tc>
          <w:tcPr>
            <w:tcW w:w="143" w:type="pct"/>
            <w:noWrap/>
            <w:vAlign w:val="center"/>
            <w:hideMark/>
          </w:tcPr>
          <w:p w14:paraId="0C2F3F1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158.11</w:t>
            </w:r>
          </w:p>
        </w:tc>
        <w:tc>
          <w:tcPr>
            <w:tcW w:w="143" w:type="pct"/>
            <w:noWrap/>
            <w:vAlign w:val="center"/>
            <w:hideMark/>
          </w:tcPr>
          <w:p w14:paraId="0B92F92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217.92</w:t>
            </w:r>
          </w:p>
        </w:tc>
        <w:tc>
          <w:tcPr>
            <w:tcW w:w="143" w:type="pct"/>
            <w:noWrap/>
            <w:vAlign w:val="center"/>
            <w:hideMark/>
          </w:tcPr>
          <w:p w14:paraId="206CB9F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134.25</w:t>
            </w:r>
          </w:p>
        </w:tc>
        <w:tc>
          <w:tcPr>
            <w:tcW w:w="143" w:type="pct"/>
            <w:noWrap/>
            <w:vAlign w:val="center"/>
            <w:hideMark/>
          </w:tcPr>
          <w:p w14:paraId="0627E59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149.48</w:t>
            </w:r>
          </w:p>
        </w:tc>
        <w:tc>
          <w:tcPr>
            <w:tcW w:w="143" w:type="pct"/>
            <w:noWrap/>
            <w:vAlign w:val="center"/>
            <w:hideMark/>
          </w:tcPr>
          <w:p w14:paraId="439ED08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172.38</w:t>
            </w:r>
          </w:p>
        </w:tc>
        <w:tc>
          <w:tcPr>
            <w:tcW w:w="143" w:type="pct"/>
            <w:noWrap/>
            <w:vAlign w:val="center"/>
            <w:hideMark/>
          </w:tcPr>
          <w:p w14:paraId="3EB2B79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243.05</w:t>
            </w:r>
          </w:p>
        </w:tc>
        <w:tc>
          <w:tcPr>
            <w:tcW w:w="143" w:type="pct"/>
            <w:noWrap/>
            <w:vAlign w:val="center"/>
            <w:hideMark/>
          </w:tcPr>
          <w:p w14:paraId="693AE37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519.39</w:t>
            </w:r>
          </w:p>
        </w:tc>
        <w:tc>
          <w:tcPr>
            <w:tcW w:w="143" w:type="pct"/>
            <w:noWrap/>
            <w:vAlign w:val="center"/>
            <w:hideMark/>
          </w:tcPr>
          <w:p w14:paraId="133444F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114.26</w:t>
            </w:r>
          </w:p>
        </w:tc>
        <w:tc>
          <w:tcPr>
            <w:tcW w:w="143" w:type="pct"/>
            <w:noWrap/>
            <w:vAlign w:val="center"/>
            <w:hideMark/>
          </w:tcPr>
          <w:p w14:paraId="574756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69.41</w:t>
            </w:r>
          </w:p>
        </w:tc>
        <w:tc>
          <w:tcPr>
            <w:tcW w:w="143" w:type="pct"/>
            <w:noWrap/>
            <w:vAlign w:val="center"/>
            <w:hideMark/>
          </w:tcPr>
          <w:p w14:paraId="66D62B7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78.08</w:t>
            </w:r>
          </w:p>
        </w:tc>
        <w:tc>
          <w:tcPr>
            <w:tcW w:w="143" w:type="pct"/>
            <w:noWrap/>
            <w:vAlign w:val="center"/>
            <w:hideMark/>
          </w:tcPr>
          <w:p w14:paraId="414DE8D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92.04</w:t>
            </w:r>
          </w:p>
        </w:tc>
        <w:tc>
          <w:tcPr>
            <w:tcW w:w="143" w:type="pct"/>
            <w:noWrap/>
            <w:vAlign w:val="center"/>
            <w:hideMark/>
          </w:tcPr>
          <w:p w14:paraId="64EA68E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685.33</w:t>
            </w:r>
          </w:p>
        </w:tc>
        <w:tc>
          <w:tcPr>
            <w:tcW w:w="143" w:type="pct"/>
            <w:noWrap/>
            <w:vAlign w:val="center"/>
            <w:hideMark/>
          </w:tcPr>
          <w:p w14:paraId="0FC850B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137.62</w:t>
            </w:r>
          </w:p>
        </w:tc>
        <w:tc>
          <w:tcPr>
            <w:tcW w:w="143" w:type="pct"/>
            <w:noWrap/>
            <w:vAlign w:val="center"/>
            <w:hideMark/>
          </w:tcPr>
          <w:p w14:paraId="12CD900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257.05</w:t>
            </w:r>
          </w:p>
        </w:tc>
        <w:tc>
          <w:tcPr>
            <w:tcW w:w="143" w:type="pct"/>
            <w:noWrap/>
            <w:vAlign w:val="center"/>
            <w:hideMark/>
          </w:tcPr>
          <w:p w14:paraId="731AB5E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86.72</w:t>
            </w:r>
          </w:p>
        </w:tc>
        <w:tc>
          <w:tcPr>
            <w:tcW w:w="143" w:type="pct"/>
            <w:noWrap/>
            <w:vAlign w:val="center"/>
            <w:hideMark/>
          </w:tcPr>
          <w:p w14:paraId="62C05D1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172.02</w:t>
            </w:r>
          </w:p>
        </w:tc>
        <w:tc>
          <w:tcPr>
            <w:tcW w:w="143" w:type="pct"/>
            <w:noWrap/>
            <w:vAlign w:val="center"/>
            <w:hideMark/>
          </w:tcPr>
          <w:p w14:paraId="08BF376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72.47</w:t>
            </w:r>
          </w:p>
        </w:tc>
        <w:tc>
          <w:tcPr>
            <w:tcW w:w="143" w:type="pct"/>
            <w:noWrap/>
            <w:vAlign w:val="center"/>
            <w:hideMark/>
          </w:tcPr>
          <w:p w14:paraId="2ABD6FA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218.99</w:t>
            </w:r>
          </w:p>
        </w:tc>
        <w:tc>
          <w:tcPr>
            <w:tcW w:w="143" w:type="pct"/>
            <w:noWrap/>
            <w:vAlign w:val="center"/>
            <w:hideMark/>
          </w:tcPr>
          <w:p w14:paraId="4070BEC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622.33</w:t>
            </w:r>
          </w:p>
        </w:tc>
        <w:tc>
          <w:tcPr>
            <w:tcW w:w="143" w:type="pct"/>
            <w:noWrap/>
            <w:vAlign w:val="center"/>
            <w:hideMark/>
          </w:tcPr>
          <w:p w14:paraId="40535D6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276.41</w:t>
            </w:r>
          </w:p>
        </w:tc>
        <w:tc>
          <w:tcPr>
            <w:tcW w:w="143" w:type="pct"/>
            <w:noWrap/>
            <w:vAlign w:val="center"/>
            <w:hideMark/>
          </w:tcPr>
          <w:p w14:paraId="5932864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393.46</w:t>
            </w:r>
          </w:p>
        </w:tc>
        <w:tc>
          <w:tcPr>
            <w:tcW w:w="143" w:type="pct"/>
            <w:noWrap/>
            <w:vAlign w:val="center"/>
            <w:hideMark/>
          </w:tcPr>
          <w:p w14:paraId="0256B13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144.91</w:t>
            </w:r>
          </w:p>
        </w:tc>
        <w:tc>
          <w:tcPr>
            <w:tcW w:w="143" w:type="pct"/>
            <w:noWrap/>
            <w:vAlign w:val="center"/>
            <w:hideMark/>
          </w:tcPr>
          <w:p w14:paraId="52D9F0E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451.27</w:t>
            </w:r>
          </w:p>
        </w:tc>
        <w:tc>
          <w:tcPr>
            <w:tcW w:w="143" w:type="pct"/>
            <w:noWrap/>
            <w:vAlign w:val="center"/>
            <w:hideMark/>
          </w:tcPr>
          <w:p w14:paraId="0DFCEC2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197.14</w:t>
            </w:r>
          </w:p>
        </w:tc>
        <w:tc>
          <w:tcPr>
            <w:tcW w:w="143" w:type="pct"/>
            <w:noWrap/>
            <w:vAlign w:val="center"/>
            <w:hideMark/>
          </w:tcPr>
          <w:p w14:paraId="3AFB564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96.92</w:t>
            </w:r>
          </w:p>
        </w:tc>
        <w:tc>
          <w:tcPr>
            <w:tcW w:w="143" w:type="pct"/>
            <w:noWrap/>
            <w:vAlign w:val="center"/>
            <w:hideMark/>
          </w:tcPr>
          <w:p w14:paraId="572A972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331.90</w:t>
            </w:r>
          </w:p>
        </w:tc>
        <w:tc>
          <w:tcPr>
            <w:tcW w:w="143" w:type="pct"/>
            <w:noWrap/>
            <w:vAlign w:val="center"/>
            <w:hideMark/>
          </w:tcPr>
          <w:p w14:paraId="17F64C9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100.87</w:t>
            </w:r>
          </w:p>
        </w:tc>
        <w:tc>
          <w:tcPr>
            <w:tcW w:w="143" w:type="pct"/>
            <w:noWrap/>
            <w:vAlign w:val="center"/>
            <w:hideMark/>
          </w:tcPr>
          <w:p w14:paraId="5EE56CB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218.85</w:t>
            </w:r>
          </w:p>
        </w:tc>
        <w:tc>
          <w:tcPr>
            <w:tcW w:w="143" w:type="pct"/>
            <w:noWrap/>
            <w:vAlign w:val="center"/>
            <w:hideMark/>
          </w:tcPr>
          <w:p w14:paraId="228867D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228.81</w:t>
            </w:r>
          </w:p>
        </w:tc>
      </w:tr>
      <w:tr w:rsidR="004959A9" w:rsidRPr="002F7C87" w14:paraId="24CC47C4"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014F65DB"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z3</w:t>
            </w:r>
          </w:p>
        </w:tc>
        <w:tc>
          <w:tcPr>
            <w:tcW w:w="143" w:type="pct"/>
            <w:noWrap/>
            <w:vAlign w:val="center"/>
            <w:hideMark/>
          </w:tcPr>
          <w:p w14:paraId="5E033F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206.40</w:t>
            </w:r>
          </w:p>
        </w:tc>
        <w:tc>
          <w:tcPr>
            <w:tcW w:w="143" w:type="pct"/>
            <w:noWrap/>
            <w:vAlign w:val="center"/>
            <w:hideMark/>
          </w:tcPr>
          <w:p w14:paraId="3DACB86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192.32</w:t>
            </w:r>
          </w:p>
        </w:tc>
        <w:tc>
          <w:tcPr>
            <w:tcW w:w="143" w:type="pct"/>
            <w:noWrap/>
            <w:vAlign w:val="center"/>
            <w:hideMark/>
          </w:tcPr>
          <w:p w14:paraId="262A9C6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4BBF37F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350.34</w:t>
            </w:r>
          </w:p>
        </w:tc>
        <w:tc>
          <w:tcPr>
            <w:tcW w:w="143" w:type="pct"/>
            <w:noWrap/>
            <w:vAlign w:val="center"/>
            <w:hideMark/>
          </w:tcPr>
          <w:p w14:paraId="01D2038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155.57</w:t>
            </w:r>
          </w:p>
        </w:tc>
        <w:tc>
          <w:tcPr>
            <w:tcW w:w="143" w:type="pct"/>
            <w:noWrap/>
            <w:vAlign w:val="center"/>
            <w:hideMark/>
          </w:tcPr>
          <w:p w14:paraId="70DEFA6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79.85</w:t>
            </w:r>
          </w:p>
        </w:tc>
        <w:tc>
          <w:tcPr>
            <w:tcW w:w="143" w:type="pct"/>
            <w:noWrap/>
            <w:vAlign w:val="center"/>
            <w:hideMark/>
          </w:tcPr>
          <w:p w14:paraId="35386A5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287.16</w:t>
            </w:r>
          </w:p>
        </w:tc>
        <w:tc>
          <w:tcPr>
            <w:tcW w:w="143" w:type="pct"/>
            <w:noWrap/>
            <w:vAlign w:val="center"/>
            <w:hideMark/>
          </w:tcPr>
          <w:p w14:paraId="5054ED1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244.47</w:t>
            </w:r>
          </w:p>
        </w:tc>
        <w:tc>
          <w:tcPr>
            <w:tcW w:w="143" w:type="pct"/>
            <w:noWrap/>
            <w:vAlign w:val="center"/>
            <w:hideMark/>
          </w:tcPr>
          <w:p w14:paraId="65176E0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235.06</w:t>
            </w:r>
          </w:p>
        </w:tc>
        <w:tc>
          <w:tcPr>
            <w:tcW w:w="143" w:type="pct"/>
            <w:noWrap/>
            <w:vAlign w:val="center"/>
            <w:hideMark/>
          </w:tcPr>
          <w:p w14:paraId="4EE40B7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103.91</w:t>
            </w:r>
          </w:p>
        </w:tc>
        <w:tc>
          <w:tcPr>
            <w:tcW w:w="143" w:type="pct"/>
            <w:noWrap/>
            <w:vAlign w:val="center"/>
            <w:hideMark/>
          </w:tcPr>
          <w:p w14:paraId="1D9955D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154.01</w:t>
            </w:r>
          </w:p>
        </w:tc>
        <w:tc>
          <w:tcPr>
            <w:tcW w:w="143" w:type="pct"/>
            <w:noWrap/>
            <w:vAlign w:val="center"/>
            <w:hideMark/>
          </w:tcPr>
          <w:p w14:paraId="1E7EB8A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335.96</w:t>
            </w:r>
          </w:p>
        </w:tc>
        <w:tc>
          <w:tcPr>
            <w:tcW w:w="143" w:type="pct"/>
            <w:noWrap/>
            <w:vAlign w:val="center"/>
            <w:hideMark/>
          </w:tcPr>
          <w:p w14:paraId="7E7EA4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261.83</w:t>
            </w:r>
          </w:p>
        </w:tc>
        <w:tc>
          <w:tcPr>
            <w:tcW w:w="143" w:type="pct"/>
            <w:noWrap/>
            <w:vAlign w:val="center"/>
            <w:hideMark/>
          </w:tcPr>
          <w:p w14:paraId="5B6E27F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189.01</w:t>
            </w:r>
          </w:p>
        </w:tc>
        <w:tc>
          <w:tcPr>
            <w:tcW w:w="143" w:type="pct"/>
            <w:noWrap/>
            <w:vAlign w:val="center"/>
            <w:hideMark/>
          </w:tcPr>
          <w:p w14:paraId="2BFF4CA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257.22</w:t>
            </w:r>
          </w:p>
        </w:tc>
        <w:tc>
          <w:tcPr>
            <w:tcW w:w="143" w:type="pct"/>
            <w:noWrap/>
            <w:vAlign w:val="center"/>
            <w:hideMark/>
          </w:tcPr>
          <w:p w14:paraId="7C2C5F0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114.17</w:t>
            </w:r>
          </w:p>
        </w:tc>
        <w:tc>
          <w:tcPr>
            <w:tcW w:w="143" w:type="pct"/>
            <w:noWrap/>
            <w:vAlign w:val="center"/>
            <w:hideMark/>
          </w:tcPr>
          <w:p w14:paraId="4D47ABB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497.72</w:t>
            </w:r>
          </w:p>
        </w:tc>
        <w:tc>
          <w:tcPr>
            <w:tcW w:w="143" w:type="pct"/>
            <w:noWrap/>
            <w:vAlign w:val="center"/>
            <w:hideMark/>
          </w:tcPr>
          <w:p w14:paraId="5193B9F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312.82</w:t>
            </w:r>
          </w:p>
        </w:tc>
        <w:tc>
          <w:tcPr>
            <w:tcW w:w="143" w:type="pct"/>
            <w:noWrap/>
            <w:vAlign w:val="center"/>
            <w:hideMark/>
          </w:tcPr>
          <w:p w14:paraId="2B52FA5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70.19</w:t>
            </w:r>
          </w:p>
        </w:tc>
        <w:tc>
          <w:tcPr>
            <w:tcW w:w="143" w:type="pct"/>
            <w:noWrap/>
            <w:vAlign w:val="center"/>
            <w:hideMark/>
          </w:tcPr>
          <w:p w14:paraId="295A0CB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132.46</w:t>
            </w:r>
          </w:p>
        </w:tc>
        <w:tc>
          <w:tcPr>
            <w:tcW w:w="143" w:type="pct"/>
            <w:noWrap/>
            <w:vAlign w:val="center"/>
            <w:hideMark/>
          </w:tcPr>
          <w:p w14:paraId="7EA64B5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149.75</w:t>
            </w:r>
          </w:p>
        </w:tc>
        <w:tc>
          <w:tcPr>
            <w:tcW w:w="143" w:type="pct"/>
            <w:noWrap/>
            <w:vAlign w:val="center"/>
            <w:hideMark/>
          </w:tcPr>
          <w:p w14:paraId="4CA4AB9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251.55</w:t>
            </w:r>
          </w:p>
        </w:tc>
        <w:tc>
          <w:tcPr>
            <w:tcW w:w="143" w:type="pct"/>
            <w:noWrap/>
            <w:vAlign w:val="center"/>
            <w:hideMark/>
          </w:tcPr>
          <w:p w14:paraId="64584E4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31.45</w:t>
            </w:r>
          </w:p>
        </w:tc>
        <w:tc>
          <w:tcPr>
            <w:tcW w:w="143" w:type="pct"/>
            <w:noWrap/>
            <w:vAlign w:val="center"/>
            <w:hideMark/>
          </w:tcPr>
          <w:p w14:paraId="2ABF9BA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448.61</w:t>
            </w:r>
          </w:p>
        </w:tc>
        <w:tc>
          <w:tcPr>
            <w:tcW w:w="143" w:type="pct"/>
            <w:noWrap/>
            <w:vAlign w:val="center"/>
            <w:hideMark/>
          </w:tcPr>
          <w:p w14:paraId="13C3802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132.80</w:t>
            </w:r>
          </w:p>
        </w:tc>
        <w:tc>
          <w:tcPr>
            <w:tcW w:w="143" w:type="pct"/>
            <w:noWrap/>
            <w:vAlign w:val="center"/>
            <w:hideMark/>
          </w:tcPr>
          <w:p w14:paraId="4E1754B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225.20</w:t>
            </w:r>
          </w:p>
        </w:tc>
        <w:tc>
          <w:tcPr>
            <w:tcW w:w="143" w:type="pct"/>
            <w:noWrap/>
            <w:vAlign w:val="center"/>
            <w:hideMark/>
          </w:tcPr>
          <w:p w14:paraId="701AE64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53.09</w:t>
            </w:r>
          </w:p>
        </w:tc>
        <w:tc>
          <w:tcPr>
            <w:tcW w:w="143" w:type="pct"/>
            <w:noWrap/>
            <w:vAlign w:val="center"/>
            <w:hideMark/>
          </w:tcPr>
          <w:p w14:paraId="5301D35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259.92</w:t>
            </w:r>
          </w:p>
        </w:tc>
        <w:tc>
          <w:tcPr>
            <w:tcW w:w="143" w:type="pct"/>
            <w:noWrap/>
            <w:vAlign w:val="center"/>
            <w:hideMark/>
          </w:tcPr>
          <w:p w14:paraId="08149EE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85.35</w:t>
            </w:r>
          </w:p>
        </w:tc>
        <w:tc>
          <w:tcPr>
            <w:tcW w:w="143" w:type="pct"/>
            <w:noWrap/>
            <w:vAlign w:val="center"/>
            <w:hideMark/>
          </w:tcPr>
          <w:p w14:paraId="1A1F9FB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288.38</w:t>
            </w:r>
          </w:p>
        </w:tc>
        <w:tc>
          <w:tcPr>
            <w:tcW w:w="143" w:type="pct"/>
            <w:noWrap/>
            <w:vAlign w:val="center"/>
            <w:hideMark/>
          </w:tcPr>
          <w:p w14:paraId="4A3DF22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170.61</w:t>
            </w:r>
          </w:p>
        </w:tc>
        <w:tc>
          <w:tcPr>
            <w:tcW w:w="143" w:type="pct"/>
            <w:noWrap/>
            <w:vAlign w:val="center"/>
            <w:hideMark/>
          </w:tcPr>
          <w:p w14:paraId="457F025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91.55</w:t>
            </w:r>
          </w:p>
        </w:tc>
        <w:tc>
          <w:tcPr>
            <w:tcW w:w="143" w:type="pct"/>
            <w:noWrap/>
            <w:vAlign w:val="center"/>
            <w:hideMark/>
          </w:tcPr>
          <w:p w14:paraId="348933A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153.96</w:t>
            </w:r>
          </w:p>
        </w:tc>
        <w:tc>
          <w:tcPr>
            <w:tcW w:w="143" w:type="pct"/>
            <w:noWrap/>
            <w:vAlign w:val="center"/>
            <w:hideMark/>
          </w:tcPr>
          <w:p w14:paraId="0E8F26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81.42</w:t>
            </w:r>
          </w:p>
        </w:tc>
      </w:tr>
      <w:tr w:rsidR="004959A9" w:rsidRPr="002F7C87" w14:paraId="0F2E555B"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4BEA0085"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z4</w:t>
            </w:r>
          </w:p>
        </w:tc>
        <w:tc>
          <w:tcPr>
            <w:tcW w:w="143" w:type="pct"/>
            <w:noWrap/>
            <w:vAlign w:val="center"/>
            <w:hideMark/>
          </w:tcPr>
          <w:p w14:paraId="6B22D1B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358.80</w:t>
            </w:r>
          </w:p>
        </w:tc>
        <w:tc>
          <w:tcPr>
            <w:tcW w:w="143" w:type="pct"/>
            <w:noWrap/>
            <w:vAlign w:val="center"/>
            <w:hideMark/>
          </w:tcPr>
          <w:p w14:paraId="31D567A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300.08</w:t>
            </w:r>
          </w:p>
        </w:tc>
        <w:tc>
          <w:tcPr>
            <w:tcW w:w="143" w:type="pct"/>
            <w:noWrap/>
            <w:vAlign w:val="center"/>
            <w:hideMark/>
          </w:tcPr>
          <w:p w14:paraId="62F62E6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350.34</w:t>
            </w:r>
          </w:p>
        </w:tc>
        <w:tc>
          <w:tcPr>
            <w:tcW w:w="143" w:type="pct"/>
            <w:noWrap/>
            <w:vAlign w:val="center"/>
            <w:hideMark/>
          </w:tcPr>
          <w:p w14:paraId="19603E1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1C3A525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483.95</w:t>
            </w:r>
          </w:p>
        </w:tc>
        <w:tc>
          <w:tcPr>
            <w:tcW w:w="143" w:type="pct"/>
            <w:noWrap/>
            <w:vAlign w:val="center"/>
            <w:hideMark/>
          </w:tcPr>
          <w:p w14:paraId="0476B67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387.56</w:t>
            </w:r>
          </w:p>
        </w:tc>
        <w:tc>
          <w:tcPr>
            <w:tcW w:w="143" w:type="pct"/>
            <w:noWrap/>
            <w:vAlign w:val="center"/>
            <w:hideMark/>
          </w:tcPr>
          <w:p w14:paraId="5942D6A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82.23</w:t>
            </w:r>
          </w:p>
        </w:tc>
        <w:tc>
          <w:tcPr>
            <w:tcW w:w="143" w:type="pct"/>
            <w:noWrap/>
            <w:vAlign w:val="center"/>
            <w:hideMark/>
          </w:tcPr>
          <w:p w14:paraId="7431ECA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167.84</w:t>
            </w:r>
          </w:p>
        </w:tc>
        <w:tc>
          <w:tcPr>
            <w:tcW w:w="143" w:type="pct"/>
            <w:noWrap/>
            <w:vAlign w:val="center"/>
            <w:hideMark/>
          </w:tcPr>
          <w:p w14:paraId="3A50CC0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448.97</w:t>
            </w:r>
          </w:p>
        </w:tc>
        <w:tc>
          <w:tcPr>
            <w:tcW w:w="143" w:type="pct"/>
            <w:noWrap/>
            <w:vAlign w:val="center"/>
            <w:hideMark/>
          </w:tcPr>
          <w:p w14:paraId="48AF66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246.83</w:t>
            </w:r>
          </w:p>
        </w:tc>
        <w:tc>
          <w:tcPr>
            <w:tcW w:w="143" w:type="pct"/>
            <w:noWrap/>
            <w:vAlign w:val="center"/>
            <w:hideMark/>
          </w:tcPr>
          <w:p w14:paraId="0C0E878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487.10</w:t>
            </w:r>
          </w:p>
        </w:tc>
        <w:tc>
          <w:tcPr>
            <w:tcW w:w="143" w:type="pct"/>
            <w:noWrap/>
            <w:vAlign w:val="center"/>
            <w:hideMark/>
          </w:tcPr>
          <w:p w14:paraId="2470E49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650.81</w:t>
            </w:r>
          </w:p>
        </w:tc>
        <w:tc>
          <w:tcPr>
            <w:tcW w:w="143" w:type="pct"/>
            <w:noWrap/>
            <w:vAlign w:val="center"/>
            <w:hideMark/>
          </w:tcPr>
          <w:p w14:paraId="19FE12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407.82</w:t>
            </w:r>
          </w:p>
        </w:tc>
        <w:tc>
          <w:tcPr>
            <w:tcW w:w="143" w:type="pct"/>
            <w:noWrap/>
            <w:vAlign w:val="center"/>
            <w:hideMark/>
          </w:tcPr>
          <w:p w14:paraId="432ADB6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232.34</w:t>
            </w:r>
          </w:p>
        </w:tc>
        <w:tc>
          <w:tcPr>
            <w:tcW w:w="143" w:type="pct"/>
            <w:noWrap/>
            <w:vAlign w:val="center"/>
            <w:hideMark/>
          </w:tcPr>
          <w:p w14:paraId="5E3015C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259.83</w:t>
            </w:r>
          </w:p>
        </w:tc>
        <w:tc>
          <w:tcPr>
            <w:tcW w:w="143" w:type="pct"/>
            <w:noWrap/>
            <w:vAlign w:val="center"/>
            <w:hideMark/>
          </w:tcPr>
          <w:p w14:paraId="75C0237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272.91</w:t>
            </w:r>
          </w:p>
        </w:tc>
        <w:tc>
          <w:tcPr>
            <w:tcW w:w="143" w:type="pct"/>
            <w:noWrap/>
            <w:vAlign w:val="center"/>
            <w:hideMark/>
          </w:tcPr>
          <w:p w14:paraId="671DAAE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788.33</w:t>
            </w:r>
          </w:p>
        </w:tc>
        <w:tc>
          <w:tcPr>
            <w:tcW w:w="143" w:type="pct"/>
            <w:noWrap/>
            <w:vAlign w:val="center"/>
            <w:hideMark/>
          </w:tcPr>
          <w:p w14:paraId="78333B8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402.19</w:t>
            </w:r>
          </w:p>
        </w:tc>
        <w:tc>
          <w:tcPr>
            <w:tcW w:w="143" w:type="pct"/>
            <w:noWrap/>
            <w:vAlign w:val="center"/>
            <w:hideMark/>
          </w:tcPr>
          <w:p w14:paraId="607EDC4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411.33</w:t>
            </w:r>
          </w:p>
        </w:tc>
        <w:tc>
          <w:tcPr>
            <w:tcW w:w="143" w:type="pct"/>
            <w:noWrap/>
            <w:vAlign w:val="center"/>
            <w:hideMark/>
          </w:tcPr>
          <w:p w14:paraId="7DD5083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355.85</w:t>
            </w:r>
          </w:p>
        </w:tc>
        <w:tc>
          <w:tcPr>
            <w:tcW w:w="143" w:type="pct"/>
            <w:noWrap/>
            <w:vAlign w:val="center"/>
            <w:hideMark/>
          </w:tcPr>
          <w:p w14:paraId="70A965A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440.37</w:t>
            </w:r>
          </w:p>
        </w:tc>
        <w:tc>
          <w:tcPr>
            <w:tcW w:w="143" w:type="pct"/>
            <w:noWrap/>
            <w:vAlign w:val="center"/>
            <w:hideMark/>
          </w:tcPr>
          <w:p w14:paraId="2DAD5D5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353.57</w:t>
            </w:r>
          </w:p>
        </w:tc>
        <w:tc>
          <w:tcPr>
            <w:tcW w:w="143" w:type="pct"/>
            <w:noWrap/>
            <w:vAlign w:val="center"/>
            <w:hideMark/>
          </w:tcPr>
          <w:p w14:paraId="6EE353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379.18</w:t>
            </w:r>
          </w:p>
        </w:tc>
        <w:tc>
          <w:tcPr>
            <w:tcW w:w="143" w:type="pct"/>
            <w:noWrap/>
            <w:vAlign w:val="center"/>
            <w:hideMark/>
          </w:tcPr>
          <w:p w14:paraId="2219C1E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774.47</w:t>
            </w:r>
          </w:p>
        </w:tc>
        <w:tc>
          <w:tcPr>
            <w:tcW w:w="143" w:type="pct"/>
            <w:noWrap/>
            <w:vAlign w:val="center"/>
            <w:hideMark/>
          </w:tcPr>
          <w:p w14:paraId="5131000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482.63</w:t>
            </w:r>
          </w:p>
        </w:tc>
        <w:tc>
          <w:tcPr>
            <w:tcW w:w="143" w:type="pct"/>
            <w:noWrap/>
            <w:vAlign w:val="center"/>
            <w:hideMark/>
          </w:tcPr>
          <w:p w14:paraId="5FDBEEF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567.48</w:t>
            </w:r>
          </w:p>
        </w:tc>
        <w:tc>
          <w:tcPr>
            <w:tcW w:w="143" w:type="pct"/>
            <w:noWrap/>
            <w:vAlign w:val="center"/>
            <w:hideMark/>
          </w:tcPr>
          <w:p w14:paraId="136AE6A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308.93</w:t>
            </w:r>
          </w:p>
        </w:tc>
        <w:tc>
          <w:tcPr>
            <w:tcW w:w="143" w:type="pct"/>
            <w:noWrap/>
            <w:vAlign w:val="center"/>
            <w:hideMark/>
          </w:tcPr>
          <w:p w14:paraId="071E55C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551.52</w:t>
            </w:r>
          </w:p>
        </w:tc>
        <w:tc>
          <w:tcPr>
            <w:tcW w:w="143" w:type="pct"/>
            <w:noWrap/>
            <w:vAlign w:val="center"/>
            <w:hideMark/>
          </w:tcPr>
          <w:p w14:paraId="31CC877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418.84</w:t>
            </w:r>
          </w:p>
        </w:tc>
        <w:tc>
          <w:tcPr>
            <w:tcW w:w="143" w:type="pct"/>
            <w:noWrap/>
            <w:vAlign w:val="center"/>
            <w:hideMark/>
          </w:tcPr>
          <w:p w14:paraId="0E7666A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333.23</w:t>
            </w:r>
          </w:p>
        </w:tc>
        <w:tc>
          <w:tcPr>
            <w:tcW w:w="143" w:type="pct"/>
            <w:noWrap/>
            <w:vAlign w:val="center"/>
            <w:hideMark/>
          </w:tcPr>
          <w:p w14:paraId="6F4C0C5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518.81</w:t>
            </w:r>
          </w:p>
        </w:tc>
        <w:tc>
          <w:tcPr>
            <w:tcW w:w="143" w:type="pct"/>
            <w:noWrap/>
            <w:vAlign w:val="center"/>
            <w:hideMark/>
          </w:tcPr>
          <w:p w14:paraId="5383893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310.02</w:t>
            </w:r>
          </w:p>
        </w:tc>
        <w:tc>
          <w:tcPr>
            <w:tcW w:w="143" w:type="pct"/>
            <w:noWrap/>
            <w:vAlign w:val="center"/>
            <w:hideMark/>
          </w:tcPr>
          <w:p w14:paraId="783370E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210.30</w:t>
            </w:r>
          </w:p>
        </w:tc>
        <w:tc>
          <w:tcPr>
            <w:tcW w:w="143" w:type="pct"/>
            <w:noWrap/>
            <w:vAlign w:val="center"/>
            <w:hideMark/>
          </w:tcPr>
          <w:p w14:paraId="687FF03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429.53</w:t>
            </w:r>
          </w:p>
        </w:tc>
      </w:tr>
      <w:tr w:rsidR="004959A9" w:rsidRPr="002F7C87" w14:paraId="41A0D4F5"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F8D3775"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z5</w:t>
            </w:r>
          </w:p>
        </w:tc>
        <w:tc>
          <w:tcPr>
            <w:tcW w:w="143" w:type="pct"/>
            <w:noWrap/>
            <w:vAlign w:val="center"/>
            <w:hideMark/>
          </w:tcPr>
          <w:p w14:paraId="6795749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342.09</w:t>
            </w:r>
          </w:p>
        </w:tc>
        <w:tc>
          <w:tcPr>
            <w:tcW w:w="143" w:type="pct"/>
            <w:noWrap/>
            <w:vAlign w:val="center"/>
            <w:hideMark/>
          </w:tcPr>
          <w:p w14:paraId="6BA5E29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341.53</w:t>
            </w:r>
          </w:p>
        </w:tc>
        <w:tc>
          <w:tcPr>
            <w:tcW w:w="143" w:type="pct"/>
            <w:noWrap/>
            <w:vAlign w:val="center"/>
            <w:hideMark/>
          </w:tcPr>
          <w:p w14:paraId="55F3E8F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155.57</w:t>
            </w:r>
          </w:p>
        </w:tc>
        <w:tc>
          <w:tcPr>
            <w:tcW w:w="143" w:type="pct"/>
            <w:noWrap/>
            <w:vAlign w:val="center"/>
            <w:hideMark/>
          </w:tcPr>
          <w:p w14:paraId="093C571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483.95</w:t>
            </w:r>
          </w:p>
        </w:tc>
        <w:tc>
          <w:tcPr>
            <w:tcW w:w="143" w:type="pct"/>
            <w:noWrap/>
            <w:vAlign w:val="center"/>
            <w:hideMark/>
          </w:tcPr>
          <w:p w14:paraId="6AE5082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6F75DBD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191.99</w:t>
            </w:r>
          </w:p>
        </w:tc>
        <w:tc>
          <w:tcPr>
            <w:tcW w:w="143" w:type="pct"/>
            <w:noWrap/>
            <w:vAlign w:val="center"/>
            <w:hideMark/>
          </w:tcPr>
          <w:p w14:paraId="177F98B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431.36</w:t>
            </w:r>
          </w:p>
        </w:tc>
        <w:tc>
          <w:tcPr>
            <w:tcW w:w="143" w:type="pct"/>
            <w:noWrap/>
            <w:vAlign w:val="center"/>
            <w:hideMark/>
          </w:tcPr>
          <w:p w14:paraId="151203E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398.26</w:t>
            </w:r>
          </w:p>
        </w:tc>
        <w:tc>
          <w:tcPr>
            <w:tcW w:w="143" w:type="pct"/>
            <w:noWrap/>
            <w:vAlign w:val="center"/>
            <w:hideMark/>
          </w:tcPr>
          <w:p w14:paraId="6F2BF4C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338.24</w:t>
            </w:r>
          </w:p>
        </w:tc>
        <w:tc>
          <w:tcPr>
            <w:tcW w:w="143" w:type="pct"/>
            <w:noWrap/>
            <w:vAlign w:val="center"/>
            <w:hideMark/>
          </w:tcPr>
          <w:p w14:paraId="045A63E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243.68</w:t>
            </w:r>
          </w:p>
        </w:tc>
        <w:tc>
          <w:tcPr>
            <w:tcW w:w="143" w:type="pct"/>
            <w:noWrap/>
            <w:vAlign w:val="center"/>
            <w:hideMark/>
          </w:tcPr>
          <w:p w14:paraId="1AB7D7F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176.47</w:t>
            </w:r>
          </w:p>
        </w:tc>
        <w:tc>
          <w:tcPr>
            <w:tcW w:w="143" w:type="pct"/>
            <w:noWrap/>
            <w:vAlign w:val="center"/>
            <w:hideMark/>
          </w:tcPr>
          <w:p w14:paraId="19E4A49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180.39</w:t>
            </w:r>
          </w:p>
        </w:tc>
        <w:tc>
          <w:tcPr>
            <w:tcW w:w="143" w:type="pct"/>
            <w:noWrap/>
            <w:vAlign w:val="center"/>
            <w:hideMark/>
          </w:tcPr>
          <w:p w14:paraId="738A7BA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387.26</w:t>
            </w:r>
          </w:p>
        </w:tc>
        <w:tc>
          <w:tcPr>
            <w:tcW w:w="143" w:type="pct"/>
            <w:noWrap/>
            <w:vAlign w:val="center"/>
            <w:hideMark/>
          </w:tcPr>
          <w:p w14:paraId="22B7D21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344.57</w:t>
            </w:r>
          </w:p>
        </w:tc>
        <w:tc>
          <w:tcPr>
            <w:tcW w:w="143" w:type="pct"/>
            <w:noWrap/>
            <w:vAlign w:val="center"/>
            <w:hideMark/>
          </w:tcPr>
          <w:p w14:paraId="0102F32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411.05</w:t>
            </w:r>
          </w:p>
        </w:tc>
        <w:tc>
          <w:tcPr>
            <w:tcW w:w="143" w:type="pct"/>
            <w:noWrap/>
            <w:vAlign w:val="center"/>
            <w:hideMark/>
          </w:tcPr>
          <w:p w14:paraId="6936E73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269.64</w:t>
            </w:r>
          </w:p>
        </w:tc>
        <w:tc>
          <w:tcPr>
            <w:tcW w:w="143" w:type="pct"/>
            <w:noWrap/>
            <w:vAlign w:val="center"/>
            <w:hideMark/>
          </w:tcPr>
          <w:p w14:paraId="7A52520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343.89</w:t>
            </w:r>
          </w:p>
        </w:tc>
        <w:tc>
          <w:tcPr>
            <w:tcW w:w="143" w:type="pct"/>
            <w:noWrap/>
            <w:vAlign w:val="center"/>
            <w:hideMark/>
          </w:tcPr>
          <w:p w14:paraId="43228CD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446.23</w:t>
            </w:r>
          </w:p>
        </w:tc>
        <w:tc>
          <w:tcPr>
            <w:tcW w:w="143" w:type="pct"/>
            <w:noWrap/>
            <w:vAlign w:val="center"/>
            <w:hideMark/>
          </w:tcPr>
          <w:p w14:paraId="1F8134E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85.77</w:t>
            </w:r>
          </w:p>
        </w:tc>
        <w:tc>
          <w:tcPr>
            <w:tcW w:w="143" w:type="pct"/>
            <w:noWrap/>
            <w:vAlign w:val="center"/>
            <w:hideMark/>
          </w:tcPr>
          <w:p w14:paraId="3AD62E0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266.50</w:t>
            </w:r>
          </w:p>
        </w:tc>
        <w:tc>
          <w:tcPr>
            <w:tcW w:w="143" w:type="pct"/>
            <w:noWrap/>
            <w:vAlign w:val="center"/>
            <w:hideMark/>
          </w:tcPr>
          <w:p w14:paraId="45B05BF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232.37</w:t>
            </w:r>
          </w:p>
        </w:tc>
        <w:tc>
          <w:tcPr>
            <w:tcW w:w="143" w:type="pct"/>
            <w:noWrap/>
            <w:vAlign w:val="center"/>
            <w:hideMark/>
          </w:tcPr>
          <w:p w14:paraId="19C41C7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391.34</w:t>
            </w:r>
          </w:p>
        </w:tc>
        <w:tc>
          <w:tcPr>
            <w:tcW w:w="143" w:type="pct"/>
            <w:noWrap/>
            <w:vAlign w:val="center"/>
            <w:hideMark/>
          </w:tcPr>
          <w:p w14:paraId="1385F5D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125.03</w:t>
            </w:r>
          </w:p>
        </w:tc>
        <w:tc>
          <w:tcPr>
            <w:tcW w:w="143" w:type="pct"/>
            <w:noWrap/>
            <w:vAlign w:val="center"/>
            <w:hideMark/>
          </w:tcPr>
          <w:p w14:paraId="15356B2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295.44</w:t>
            </w:r>
          </w:p>
        </w:tc>
        <w:tc>
          <w:tcPr>
            <w:tcW w:w="143" w:type="pct"/>
            <w:noWrap/>
            <w:vAlign w:val="center"/>
            <w:hideMark/>
          </w:tcPr>
          <w:p w14:paraId="3D5BE7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107.07</w:t>
            </w:r>
          </w:p>
        </w:tc>
        <w:tc>
          <w:tcPr>
            <w:tcW w:w="143" w:type="pct"/>
            <w:noWrap/>
            <w:vAlign w:val="center"/>
            <w:hideMark/>
          </w:tcPr>
          <w:p w14:paraId="09C7F03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89.22</w:t>
            </w:r>
          </w:p>
        </w:tc>
        <w:tc>
          <w:tcPr>
            <w:tcW w:w="143" w:type="pct"/>
            <w:noWrap/>
            <w:vAlign w:val="center"/>
            <w:hideMark/>
          </w:tcPr>
          <w:p w14:paraId="565668F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208.66</w:t>
            </w:r>
          </w:p>
        </w:tc>
        <w:tc>
          <w:tcPr>
            <w:tcW w:w="143" w:type="pct"/>
            <w:noWrap/>
            <w:vAlign w:val="center"/>
            <w:hideMark/>
          </w:tcPr>
          <w:p w14:paraId="4C06559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115.99</w:t>
            </w:r>
          </w:p>
        </w:tc>
        <w:tc>
          <w:tcPr>
            <w:tcW w:w="143" w:type="pct"/>
            <w:noWrap/>
            <w:vAlign w:val="center"/>
            <w:hideMark/>
          </w:tcPr>
          <w:p w14:paraId="2A0DD3E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160.30</w:t>
            </w:r>
          </w:p>
        </w:tc>
        <w:tc>
          <w:tcPr>
            <w:tcW w:w="143" w:type="pct"/>
            <w:noWrap/>
            <w:vAlign w:val="center"/>
            <w:hideMark/>
          </w:tcPr>
          <w:p w14:paraId="6F87F7A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434.21</w:t>
            </w:r>
          </w:p>
        </w:tc>
        <w:tc>
          <w:tcPr>
            <w:tcW w:w="143" w:type="pct"/>
            <w:noWrap/>
            <w:vAlign w:val="center"/>
            <w:hideMark/>
          </w:tcPr>
          <w:p w14:paraId="4E3573C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74.13</w:t>
            </w:r>
          </w:p>
        </w:tc>
        <w:tc>
          <w:tcPr>
            <w:tcW w:w="143" w:type="pct"/>
            <w:noWrap/>
            <w:vAlign w:val="center"/>
            <w:hideMark/>
          </w:tcPr>
          <w:p w14:paraId="73A666B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243.58</w:t>
            </w:r>
          </w:p>
        </w:tc>
        <w:tc>
          <w:tcPr>
            <w:tcW w:w="143" w:type="pct"/>
            <w:noWrap/>
            <w:vAlign w:val="center"/>
            <w:hideMark/>
          </w:tcPr>
          <w:p w14:paraId="51C0404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273.98</w:t>
            </w:r>
          </w:p>
        </w:tc>
        <w:tc>
          <w:tcPr>
            <w:tcW w:w="143" w:type="pct"/>
            <w:noWrap/>
            <w:vAlign w:val="center"/>
            <w:hideMark/>
          </w:tcPr>
          <w:p w14:paraId="576E683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123.04</w:t>
            </w:r>
          </w:p>
        </w:tc>
      </w:tr>
      <w:tr w:rsidR="004959A9" w:rsidRPr="002F7C87" w14:paraId="606F765B"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52167FB6"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z6</w:t>
            </w:r>
          </w:p>
        </w:tc>
        <w:tc>
          <w:tcPr>
            <w:tcW w:w="143" w:type="pct"/>
            <w:noWrap/>
            <w:vAlign w:val="center"/>
            <w:hideMark/>
          </w:tcPr>
          <w:p w14:paraId="442E589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150.27</w:t>
            </w:r>
          </w:p>
        </w:tc>
        <w:tc>
          <w:tcPr>
            <w:tcW w:w="143" w:type="pct"/>
            <w:noWrap/>
            <w:vAlign w:val="center"/>
            <w:hideMark/>
          </w:tcPr>
          <w:p w14:paraId="410A3D4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158.11</w:t>
            </w:r>
          </w:p>
        </w:tc>
        <w:tc>
          <w:tcPr>
            <w:tcW w:w="143" w:type="pct"/>
            <w:noWrap/>
            <w:vAlign w:val="center"/>
            <w:hideMark/>
          </w:tcPr>
          <w:p w14:paraId="40DE8AA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79.85</w:t>
            </w:r>
          </w:p>
        </w:tc>
        <w:tc>
          <w:tcPr>
            <w:tcW w:w="143" w:type="pct"/>
            <w:noWrap/>
            <w:vAlign w:val="center"/>
            <w:hideMark/>
          </w:tcPr>
          <w:p w14:paraId="34797CF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387.56</w:t>
            </w:r>
          </w:p>
        </w:tc>
        <w:tc>
          <w:tcPr>
            <w:tcW w:w="143" w:type="pct"/>
            <w:noWrap/>
            <w:vAlign w:val="center"/>
            <w:hideMark/>
          </w:tcPr>
          <w:p w14:paraId="33BCAD5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191.99</w:t>
            </w:r>
          </w:p>
        </w:tc>
        <w:tc>
          <w:tcPr>
            <w:tcW w:w="143" w:type="pct"/>
            <w:noWrap/>
            <w:vAlign w:val="center"/>
            <w:hideMark/>
          </w:tcPr>
          <w:p w14:paraId="685365C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62748EC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314.43</w:t>
            </w:r>
          </w:p>
        </w:tc>
        <w:tc>
          <w:tcPr>
            <w:tcW w:w="143" w:type="pct"/>
            <w:noWrap/>
            <w:vAlign w:val="center"/>
            <w:hideMark/>
          </w:tcPr>
          <w:p w14:paraId="2C977D4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252.41</w:t>
            </w:r>
          </w:p>
        </w:tc>
        <w:tc>
          <w:tcPr>
            <w:tcW w:w="143" w:type="pct"/>
            <w:noWrap/>
            <w:vAlign w:val="center"/>
            <w:hideMark/>
          </w:tcPr>
          <w:p w14:paraId="4AAE041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158.72</w:t>
            </w:r>
          </w:p>
        </w:tc>
        <w:tc>
          <w:tcPr>
            <w:tcW w:w="143" w:type="pct"/>
            <w:noWrap/>
            <w:vAlign w:val="center"/>
            <w:hideMark/>
          </w:tcPr>
          <w:p w14:paraId="10DF53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156.69</w:t>
            </w:r>
          </w:p>
        </w:tc>
        <w:tc>
          <w:tcPr>
            <w:tcW w:w="143" w:type="pct"/>
            <w:noWrap/>
            <w:vAlign w:val="center"/>
            <w:hideMark/>
          </w:tcPr>
          <w:p w14:paraId="629ACB1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99.92</w:t>
            </w:r>
          </w:p>
        </w:tc>
        <w:tc>
          <w:tcPr>
            <w:tcW w:w="143" w:type="pct"/>
            <w:noWrap/>
            <w:vAlign w:val="center"/>
            <w:hideMark/>
          </w:tcPr>
          <w:p w14:paraId="676E6C7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364.67</w:t>
            </w:r>
          </w:p>
        </w:tc>
        <w:tc>
          <w:tcPr>
            <w:tcW w:w="143" w:type="pct"/>
            <w:noWrap/>
            <w:vAlign w:val="center"/>
            <w:hideMark/>
          </w:tcPr>
          <w:p w14:paraId="124366F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196.74</w:t>
            </w:r>
          </w:p>
        </w:tc>
        <w:tc>
          <w:tcPr>
            <w:tcW w:w="143" w:type="pct"/>
            <w:noWrap/>
            <w:vAlign w:val="center"/>
            <w:hideMark/>
          </w:tcPr>
          <w:p w14:paraId="3ED2273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184.11</w:t>
            </w:r>
          </w:p>
        </w:tc>
        <w:tc>
          <w:tcPr>
            <w:tcW w:w="143" w:type="pct"/>
            <w:noWrap/>
            <w:vAlign w:val="center"/>
            <w:hideMark/>
          </w:tcPr>
          <w:p w14:paraId="1F372AC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234.17</w:t>
            </w:r>
          </w:p>
        </w:tc>
        <w:tc>
          <w:tcPr>
            <w:tcW w:w="143" w:type="pct"/>
            <w:noWrap/>
            <w:vAlign w:val="center"/>
            <w:hideMark/>
          </w:tcPr>
          <w:p w14:paraId="22708D7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117.58</w:t>
            </w:r>
          </w:p>
        </w:tc>
        <w:tc>
          <w:tcPr>
            <w:tcW w:w="143" w:type="pct"/>
            <w:noWrap/>
            <w:vAlign w:val="center"/>
            <w:hideMark/>
          </w:tcPr>
          <w:p w14:paraId="52F046D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532.52</w:t>
            </w:r>
          </w:p>
        </w:tc>
        <w:tc>
          <w:tcPr>
            <w:tcW w:w="143" w:type="pct"/>
            <w:noWrap/>
            <w:vAlign w:val="center"/>
            <w:hideMark/>
          </w:tcPr>
          <w:p w14:paraId="66DB089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254.38</w:t>
            </w:r>
          </w:p>
        </w:tc>
        <w:tc>
          <w:tcPr>
            <w:tcW w:w="143" w:type="pct"/>
            <w:noWrap/>
            <w:vAlign w:val="center"/>
            <w:hideMark/>
          </w:tcPr>
          <w:p w14:paraId="7BE64CB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115.28</w:t>
            </w:r>
          </w:p>
        </w:tc>
        <w:tc>
          <w:tcPr>
            <w:tcW w:w="143" w:type="pct"/>
            <w:noWrap/>
            <w:vAlign w:val="center"/>
            <w:hideMark/>
          </w:tcPr>
          <w:p w14:paraId="4D19247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75.60</w:t>
            </w:r>
          </w:p>
        </w:tc>
        <w:tc>
          <w:tcPr>
            <w:tcW w:w="143" w:type="pct"/>
            <w:noWrap/>
            <w:vAlign w:val="center"/>
            <w:hideMark/>
          </w:tcPr>
          <w:p w14:paraId="58983D3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70.70</w:t>
            </w:r>
          </w:p>
        </w:tc>
        <w:tc>
          <w:tcPr>
            <w:tcW w:w="143" w:type="pct"/>
            <w:noWrap/>
            <w:vAlign w:val="center"/>
            <w:hideMark/>
          </w:tcPr>
          <w:p w14:paraId="6372822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199.95</w:t>
            </w:r>
          </w:p>
        </w:tc>
        <w:tc>
          <w:tcPr>
            <w:tcW w:w="143" w:type="pct"/>
            <w:noWrap/>
            <w:vAlign w:val="center"/>
            <w:hideMark/>
          </w:tcPr>
          <w:p w14:paraId="3AF93F4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86.99</w:t>
            </w:r>
          </w:p>
        </w:tc>
        <w:tc>
          <w:tcPr>
            <w:tcW w:w="143" w:type="pct"/>
            <w:noWrap/>
            <w:vAlign w:val="center"/>
            <w:hideMark/>
          </w:tcPr>
          <w:p w14:paraId="06FD90D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464.43</w:t>
            </w:r>
          </w:p>
        </w:tc>
        <w:tc>
          <w:tcPr>
            <w:tcW w:w="143" w:type="pct"/>
            <w:noWrap/>
            <w:vAlign w:val="center"/>
            <w:hideMark/>
          </w:tcPr>
          <w:p w14:paraId="48A9455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118.50</w:t>
            </w:r>
          </w:p>
        </w:tc>
        <w:tc>
          <w:tcPr>
            <w:tcW w:w="143" w:type="pct"/>
            <w:noWrap/>
            <w:vAlign w:val="center"/>
            <w:hideMark/>
          </w:tcPr>
          <w:p w14:paraId="20D6FDC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235.64</w:t>
            </w:r>
          </w:p>
        </w:tc>
        <w:tc>
          <w:tcPr>
            <w:tcW w:w="143" w:type="pct"/>
            <w:noWrap/>
            <w:vAlign w:val="center"/>
            <w:hideMark/>
          </w:tcPr>
          <w:p w14:paraId="72D2212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84.70</w:t>
            </w:r>
          </w:p>
        </w:tc>
        <w:tc>
          <w:tcPr>
            <w:tcW w:w="143" w:type="pct"/>
            <w:noWrap/>
            <w:vAlign w:val="center"/>
            <w:hideMark/>
          </w:tcPr>
          <w:p w14:paraId="024E533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306.81</w:t>
            </w:r>
          </w:p>
        </w:tc>
        <w:tc>
          <w:tcPr>
            <w:tcW w:w="143" w:type="pct"/>
            <w:noWrap/>
            <w:vAlign w:val="center"/>
            <w:hideMark/>
          </w:tcPr>
          <w:p w14:paraId="11DB6FF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39.27</w:t>
            </w:r>
          </w:p>
        </w:tc>
        <w:tc>
          <w:tcPr>
            <w:tcW w:w="143" w:type="pct"/>
            <w:noWrap/>
            <w:vAlign w:val="center"/>
            <w:hideMark/>
          </w:tcPr>
          <w:p w14:paraId="2A637B2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244.98</w:t>
            </w:r>
          </w:p>
        </w:tc>
        <w:tc>
          <w:tcPr>
            <w:tcW w:w="143" w:type="pct"/>
            <w:noWrap/>
            <w:vAlign w:val="center"/>
            <w:hideMark/>
          </w:tcPr>
          <w:p w14:paraId="4577590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173.89</w:t>
            </w:r>
          </w:p>
        </w:tc>
        <w:tc>
          <w:tcPr>
            <w:tcW w:w="143" w:type="pct"/>
            <w:noWrap/>
            <w:vAlign w:val="center"/>
            <w:hideMark/>
          </w:tcPr>
          <w:p w14:paraId="0E9F830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80.12</w:t>
            </w:r>
          </w:p>
        </w:tc>
        <w:tc>
          <w:tcPr>
            <w:tcW w:w="143" w:type="pct"/>
            <w:noWrap/>
            <w:vAlign w:val="center"/>
            <w:hideMark/>
          </w:tcPr>
          <w:p w14:paraId="1871F4A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214.82</w:t>
            </w:r>
          </w:p>
        </w:tc>
        <w:tc>
          <w:tcPr>
            <w:tcW w:w="143" w:type="pct"/>
            <w:noWrap/>
            <w:vAlign w:val="center"/>
            <w:hideMark/>
          </w:tcPr>
          <w:p w14:paraId="66C2F64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71.88</w:t>
            </w:r>
          </w:p>
        </w:tc>
      </w:tr>
      <w:tr w:rsidR="004959A9" w:rsidRPr="002F7C87" w14:paraId="33FA4931"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2F1C7C78"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z7</w:t>
            </w:r>
          </w:p>
        </w:tc>
        <w:tc>
          <w:tcPr>
            <w:tcW w:w="143" w:type="pct"/>
            <w:noWrap/>
            <w:vAlign w:val="center"/>
            <w:hideMark/>
          </w:tcPr>
          <w:p w14:paraId="72DFC14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276.61</w:t>
            </w:r>
          </w:p>
        </w:tc>
        <w:tc>
          <w:tcPr>
            <w:tcW w:w="143" w:type="pct"/>
            <w:noWrap/>
            <w:vAlign w:val="center"/>
            <w:hideMark/>
          </w:tcPr>
          <w:p w14:paraId="0D07087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217.92</w:t>
            </w:r>
          </w:p>
        </w:tc>
        <w:tc>
          <w:tcPr>
            <w:tcW w:w="143" w:type="pct"/>
            <w:noWrap/>
            <w:vAlign w:val="center"/>
            <w:hideMark/>
          </w:tcPr>
          <w:p w14:paraId="61DD0D0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287.16</w:t>
            </w:r>
          </w:p>
        </w:tc>
        <w:tc>
          <w:tcPr>
            <w:tcW w:w="143" w:type="pct"/>
            <w:noWrap/>
            <w:vAlign w:val="center"/>
            <w:hideMark/>
          </w:tcPr>
          <w:p w14:paraId="7848D3A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82.23</w:t>
            </w:r>
          </w:p>
        </w:tc>
        <w:tc>
          <w:tcPr>
            <w:tcW w:w="143" w:type="pct"/>
            <w:noWrap/>
            <w:vAlign w:val="center"/>
            <w:hideMark/>
          </w:tcPr>
          <w:p w14:paraId="1CEC83E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431.36</w:t>
            </w:r>
          </w:p>
        </w:tc>
        <w:tc>
          <w:tcPr>
            <w:tcW w:w="143" w:type="pct"/>
            <w:noWrap/>
            <w:vAlign w:val="center"/>
            <w:hideMark/>
          </w:tcPr>
          <w:p w14:paraId="388D5E2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314.43</w:t>
            </w:r>
          </w:p>
        </w:tc>
        <w:tc>
          <w:tcPr>
            <w:tcW w:w="143" w:type="pct"/>
            <w:noWrap/>
            <w:vAlign w:val="center"/>
            <w:hideMark/>
          </w:tcPr>
          <w:p w14:paraId="2262F11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48C6D14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85.99</w:t>
            </w:r>
          </w:p>
        </w:tc>
        <w:tc>
          <w:tcPr>
            <w:tcW w:w="143" w:type="pct"/>
            <w:noWrap/>
            <w:vAlign w:val="center"/>
            <w:hideMark/>
          </w:tcPr>
          <w:p w14:paraId="0E582C5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367.00</w:t>
            </w:r>
          </w:p>
        </w:tc>
        <w:tc>
          <w:tcPr>
            <w:tcW w:w="143" w:type="pct"/>
            <w:noWrap/>
            <w:vAlign w:val="center"/>
            <w:hideMark/>
          </w:tcPr>
          <w:p w14:paraId="67A92C3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187.88</w:t>
            </w:r>
          </w:p>
        </w:tc>
        <w:tc>
          <w:tcPr>
            <w:tcW w:w="143" w:type="pct"/>
            <w:noWrap/>
            <w:vAlign w:val="center"/>
            <w:hideMark/>
          </w:tcPr>
          <w:p w14:paraId="60121F6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414.35</w:t>
            </w:r>
          </w:p>
        </w:tc>
        <w:tc>
          <w:tcPr>
            <w:tcW w:w="143" w:type="pct"/>
            <w:noWrap/>
            <w:vAlign w:val="center"/>
            <w:hideMark/>
          </w:tcPr>
          <w:p w14:paraId="324CBCE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605.40</w:t>
            </w:r>
          </w:p>
        </w:tc>
        <w:tc>
          <w:tcPr>
            <w:tcW w:w="143" w:type="pct"/>
            <w:noWrap/>
            <w:vAlign w:val="center"/>
            <w:hideMark/>
          </w:tcPr>
          <w:p w14:paraId="44F843C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325.87</w:t>
            </w:r>
          </w:p>
        </w:tc>
        <w:tc>
          <w:tcPr>
            <w:tcW w:w="143" w:type="pct"/>
            <w:noWrap/>
            <w:vAlign w:val="center"/>
            <w:hideMark/>
          </w:tcPr>
          <w:p w14:paraId="034E3E2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150.65</w:t>
            </w:r>
          </w:p>
        </w:tc>
        <w:tc>
          <w:tcPr>
            <w:tcW w:w="143" w:type="pct"/>
            <w:noWrap/>
            <w:vAlign w:val="center"/>
            <w:hideMark/>
          </w:tcPr>
          <w:p w14:paraId="6BB2615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180.11</w:t>
            </w:r>
          </w:p>
        </w:tc>
        <w:tc>
          <w:tcPr>
            <w:tcW w:w="143" w:type="pct"/>
            <w:noWrap/>
            <w:vAlign w:val="center"/>
            <w:hideMark/>
          </w:tcPr>
          <w:p w14:paraId="354D08E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197.44</w:t>
            </w:r>
          </w:p>
        </w:tc>
        <w:tc>
          <w:tcPr>
            <w:tcW w:w="143" w:type="pct"/>
            <w:noWrap/>
            <w:vAlign w:val="center"/>
            <w:hideMark/>
          </w:tcPr>
          <w:p w14:paraId="675C06B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752.30</w:t>
            </w:r>
          </w:p>
        </w:tc>
        <w:tc>
          <w:tcPr>
            <w:tcW w:w="143" w:type="pct"/>
            <w:noWrap/>
            <w:vAlign w:val="center"/>
            <w:hideMark/>
          </w:tcPr>
          <w:p w14:paraId="5079C70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322.71</w:t>
            </w:r>
          </w:p>
        </w:tc>
        <w:tc>
          <w:tcPr>
            <w:tcW w:w="143" w:type="pct"/>
            <w:noWrap/>
            <w:vAlign w:val="center"/>
            <w:hideMark/>
          </w:tcPr>
          <w:p w14:paraId="6AD48A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352.90</w:t>
            </w:r>
          </w:p>
        </w:tc>
        <w:tc>
          <w:tcPr>
            <w:tcW w:w="143" w:type="pct"/>
            <w:noWrap/>
            <w:vAlign w:val="center"/>
            <w:hideMark/>
          </w:tcPr>
          <w:p w14:paraId="76D5AE2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276.63</w:t>
            </w:r>
          </w:p>
        </w:tc>
        <w:tc>
          <w:tcPr>
            <w:tcW w:w="143" w:type="pct"/>
            <w:noWrap/>
            <w:vAlign w:val="center"/>
            <w:hideMark/>
          </w:tcPr>
          <w:p w14:paraId="7E86EC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362.92</w:t>
            </w:r>
          </w:p>
        </w:tc>
        <w:tc>
          <w:tcPr>
            <w:tcW w:w="143" w:type="pct"/>
            <w:noWrap/>
            <w:vAlign w:val="center"/>
            <w:hideMark/>
          </w:tcPr>
          <w:p w14:paraId="19205F3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272.05</w:t>
            </w:r>
          </w:p>
        </w:tc>
        <w:tc>
          <w:tcPr>
            <w:tcW w:w="143" w:type="pct"/>
            <w:noWrap/>
            <w:vAlign w:val="center"/>
            <w:hideMark/>
          </w:tcPr>
          <w:p w14:paraId="09F23A4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317.65</w:t>
            </w:r>
          </w:p>
        </w:tc>
        <w:tc>
          <w:tcPr>
            <w:tcW w:w="143" w:type="pct"/>
            <w:noWrap/>
            <w:vAlign w:val="center"/>
            <w:hideMark/>
          </w:tcPr>
          <w:p w14:paraId="2CB228C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726.04</w:t>
            </w:r>
          </w:p>
        </w:tc>
        <w:tc>
          <w:tcPr>
            <w:tcW w:w="143" w:type="pct"/>
            <w:noWrap/>
            <w:vAlign w:val="center"/>
            <w:hideMark/>
          </w:tcPr>
          <w:p w14:paraId="49D25D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416.69</w:t>
            </w:r>
          </w:p>
        </w:tc>
        <w:tc>
          <w:tcPr>
            <w:tcW w:w="143" w:type="pct"/>
            <w:noWrap/>
            <w:vAlign w:val="center"/>
            <w:hideMark/>
          </w:tcPr>
          <w:p w14:paraId="264A013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510.39</w:t>
            </w:r>
          </w:p>
        </w:tc>
        <w:tc>
          <w:tcPr>
            <w:tcW w:w="143" w:type="pct"/>
            <w:noWrap/>
            <w:vAlign w:val="center"/>
            <w:hideMark/>
          </w:tcPr>
          <w:p w14:paraId="001C73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240.78</w:t>
            </w:r>
          </w:p>
        </w:tc>
        <w:tc>
          <w:tcPr>
            <w:tcW w:w="143" w:type="pct"/>
            <w:noWrap/>
            <w:vAlign w:val="center"/>
            <w:hideMark/>
          </w:tcPr>
          <w:p w14:paraId="5E82AA5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511.24</w:t>
            </w:r>
          </w:p>
        </w:tc>
        <w:tc>
          <w:tcPr>
            <w:tcW w:w="143" w:type="pct"/>
            <w:noWrap/>
            <w:vAlign w:val="center"/>
            <w:hideMark/>
          </w:tcPr>
          <w:p w14:paraId="55CD0F7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348.10</w:t>
            </w:r>
          </w:p>
        </w:tc>
        <w:tc>
          <w:tcPr>
            <w:tcW w:w="143" w:type="pct"/>
            <w:noWrap/>
            <w:vAlign w:val="center"/>
            <w:hideMark/>
          </w:tcPr>
          <w:p w14:paraId="36D6296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254.49</w:t>
            </w:r>
          </w:p>
        </w:tc>
        <w:tc>
          <w:tcPr>
            <w:tcW w:w="143" w:type="pct"/>
            <w:noWrap/>
            <w:vAlign w:val="center"/>
            <w:hideMark/>
          </w:tcPr>
          <w:p w14:paraId="50FE6B7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457.74</w:t>
            </w:r>
          </w:p>
        </w:tc>
        <w:tc>
          <w:tcPr>
            <w:tcW w:w="143" w:type="pct"/>
            <w:noWrap/>
            <w:vAlign w:val="center"/>
            <w:hideMark/>
          </w:tcPr>
          <w:p w14:paraId="4B6CBBE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235.07</w:t>
            </w:r>
          </w:p>
        </w:tc>
        <w:tc>
          <w:tcPr>
            <w:tcW w:w="143" w:type="pct"/>
            <w:noWrap/>
            <w:vAlign w:val="center"/>
            <w:hideMark/>
          </w:tcPr>
          <w:p w14:paraId="257124F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167.98</w:t>
            </w:r>
          </w:p>
        </w:tc>
        <w:tc>
          <w:tcPr>
            <w:tcW w:w="143" w:type="pct"/>
            <w:noWrap/>
            <w:vAlign w:val="center"/>
            <w:hideMark/>
          </w:tcPr>
          <w:p w14:paraId="00A423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362.86</w:t>
            </w:r>
          </w:p>
        </w:tc>
      </w:tr>
      <w:tr w:rsidR="004959A9" w:rsidRPr="002F7C87" w14:paraId="3BD48290"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23D6BB5D"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z8</w:t>
            </w:r>
          </w:p>
        </w:tc>
        <w:tc>
          <w:tcPr>
            <w:tcW w:w="143" w:type="pct"/>
            <w:noWrap/>
            <w:vAlign w:val="center"/>
            <w:hideMark/>
          </w:tcPr>
          <w:p w14:paraId="7FDEA69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192.34</w:t>
            </w:r>
          </w:p>
        </w:tc>
        <w:tc>
          <w:tcPr>
            <w:tcW w:w="143" w:type="pct"/>
            <w:noWrap/>
            <w:vAlign w:val="center"/>
            <w:hideMark/>
          </w:tcPr>
          <w:p w14:paraId="1BAA52E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134.25</w:t>
            </w:r>
          </w:p>
        </w:tc>
        <w:tc>
          <w:tcPr>
            <w:tcW w:w="143" w:type="pct"/>
            <w:noWrap/>
            <w:vAlign w:val="center"/>
            <w:hideMark/>
          </w:tcPr>
          <w:p w14:paraId="703B27D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244.47</w:t>
            </w:r>
          </w:p>
        </w:tc>
        <w:tc>
          <w:tcPr>
            <w:tcW w:w="143" w:type="pct"/>
            <w:noWrap/>
            <w:vAlign w:val="center"/>
            <w:hideMark/>
          </w:tcPr>
          <w:p w14:paraId="2873EDE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167.84</w:t>
            </w:r>
          </w:p>
        </w:tc>
        <w:tc>
          <w:tcPr>
            <w:tcW w:w="143" w:type="pct"/>
            <w:noWrap/>
            <w:vAlign w:val="center"/>
            <w:hideMark/>
          </w:tcPr>
          <w:p w14:paraId="027A4A0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398.26</w:t>
            </w:r>
          </w:p>
        </w:tc>
        <w:tc>
          <w:tcPr>
            <w:tcW w:w="143" w:type="pct"/>
            <w:noWrap/>
            <w:vAlign w:val="center"/>
            <w:hideMark/>
          </w:tcPr>
          <w:p w14:paraId="2876AE3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252.41</w:t>
            </w:r>
          </w:p>
        </w:tc>
        <w:tc>
          <w:tcPr>
            <w:tcW w:w="143" w:type="pct"/>
            <w:noWrap/>
            <w:vAlign w:val="center"/>
            <w:hideMark/>
          </w:tcPr>
          <w:p w14:paraId="6C06F66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85.99</w:t>
            </w:r>
          </w:p>
        </w:tc>
        <w:tc>
          <w:tcPr>
            <w:tcW w:w="143" w:type="pct"/>
            <w:noWrap/>
            <w:vAlign w:val="center"/>
            <w:hideMark/>
          </w:tcPr>
          <w:p w14:paraId="6227F6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23AD71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283.71</w:t>
            </w:r>
          </w:p>
        </w:tc>
        <w:tc>
          <w:tcPr>
            <w:tcW w:w="143" w:type="pct"/>
            <w:noWrap/>
            <w:vAlign w:val="center"/>
            <w:hideMark/>
          </w:tcPr>
          <w:p w14:paraId="165B953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162.94</w:t>
            </w:r>
          </w:p>
        </w:tc>
        <w:tc>
          <w:tcPr>
            <w:tcW w:w="143" w:type="pct"/>
            <w:noWrap/>
            <w:vAlign w:val="center"/>
            <w:hideMark/>
          </w:tcPr>
          <w:p w14:paraId="5278D18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350.59</w:t>
            </w:r>
          </w:p>
        </w:tc>
        <w:tc>
          <w:tcPr>
            <w:tcW w:w="143" w:type="pct"/>
            <w:noWrap/>
            <w:vAlign w:val="center"/>
            <w:hideMark/>
          </w:tcPr>
          <w:p w14:paraId="000ADA6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577.69</w:t>
            </w:r>
          </w:p>
        </w:tc>
        <w:tc>
          <w:tcPr>
            <w:tcW w:w="143" w:type="pct"/>
            <w:noWrap/>
            <w:vAlign w:val="center"/>
            <w:hideMark/>
          </w:tcPr>
          <w:p w14:paraId="3B6930E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239.98</w:t>
            </w:r>
          </w:p>
        </w:tc>
        <w:tc>
          <w:tcPr>
            <w:tcW w:w="143" w:type="pct"/>
            <w:noWrap/>
            <w:vAlign w:val="center"/>
            <w:hideMark/>
          </w:tcPr>
          <w:p w14:paraId="4D86E4F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71.85</w:t>
            </w:r>
          </w:p>
        </w:tc>
        <w:tc>
          <w:tcPr>
            <w:tcW w:w="143" w:type="pct"/>
            <w:noWrap/>
            <w:vAlign w:val="center"/>
            <w:hideMark/>
          </w:tcPr>
          <w:p w14:paraId="4B09C7C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96.32</w:t>
            </w:r>
          </w:p>
        </w:tc>
        <w:tc>
          <w:tcPr>
            <w:tcW w:w="143" w:type="pct"/>
            <w:noWrap/>
            <w:vAlign w:val="center"/>
            <w:hideMark/>
          </w:tcPr>
          <w:p w14:paraId="5142933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136.75</w:t>
            </w:r>
          </w:p>
        </w:tc>
        <w:tc>
          <w:tcPr>
            <w:tcW w:w="143" w:type="pct"/>
            <w:noWrap/>
            <w:vAlign w:val="center"/>
            <w:hideMark/>
          </w:tcPr>
          <w:p w14:paraId="021637A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733.92</w:t>
            </w:r>
          </w:p>
        </w:tc>
        <w:tc>
          <w:tcPr>
            <w:tcW w:w="143" w:type="pct"/>
            <w:noWrap/>
            <w:vAlign w:val="center"/>
            <w:hideMark/>
          </w:tcPr>
          <w:p w14:paraId="29614AD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238.14</w:t>
            </w:r>
          </w:p>
        </w:tc>
        <w:tc>
          <w:tcPr>
            <w:tcW w:w="143" w:type="pct"/>
            <w:noWrap/>
            <w:vAlign w:val="center"/>
            <w:hideMark/>
          </w:tcPr>
          <w:p w14:paraId="148035A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314.29</w:t>
            </w:r>
          </w:p>
        </w:tc>
        <w:tc>
          <w:tcPr>
            <w:tcW w:w="143" w:type="pct"/>
            <w:noWrap/>
            <w:vAlign w:val="center"/>
            <w:hideMark/>
          </w:tcPr>
          <w:p w14:paraId="15963C1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202.31</w:t>
            </w:r>
          </w:p>
        </w:tc>
        <w:tc>
          <w:tcPr>
            <w:tcW w:w="143" w:type="pct"/>
            <w:noWrap/>
            <w:vAlign w:val="center"/>
            <w:hideMark/>
          </w:tcPr>
          <w:p w14:paraId="3F8B95E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291.05</w:t>
            </w:r>
          </w:p>
        </w:tc>
        <w:tc>
          <w:tcPr>
            <w:tcW w:w="143" w:type="pct"/>
            <w:noWrap/>
            <w:vAlign w:val="center"/>
            <w:hideMark/>
          </w:tcPr>
          <w:p w14:paraId="690248B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186.08</w:t>
            </w:r>
          </w:p>
        </w:tc>
        <w:tc>
          <w:tcPr>
            <w:tcW w:w="143" w:type="pct"/>
            <w:noWrap/>
            <w:vAlign w:val="center"/>
            <w:hideMark/>
          </w:tcPr>
          <w:p w14:paraId="17AD264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275.91</w:t>
            </w:r>
          </w:p>
        </w:tc>
        <w:tc>
          <w:tcPr>
            <w:tcW w:w="143" w:type="pct"/>
            <w:noWrap/>
            <w:vAlign w:val="center"/>
            <w:hideMark/>
          </w:tcPr>
          <w:p w14:paraId="68A1F3F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692.87</w:t>
            </w:r>
          </w:p>
        </w:tc>
        <w:tc>
          <w:tcPr>
            <w:tcW w:w="143" w:type="pct"/>
            <w:noWrap/>
            <w:vAlign w:val="center"/>
            <w:hideMark/>
          </w:tcPr>
          <w:p w14:paraId="28192ED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364.28</w:t>
            </w:r>
          </w:p>
        </w:tc>
        <w:tc>
          <w:tcPr>
            <w:tcW w:w="143" w:type="pct"/>
            <w:noWrap/>
            <w:vAlign w:val="center"/>
            <w:hideMark/>
          </w:tcPr>
          <w:p w14:paraId="692694F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469.01</w:t>
            </w:r>
          </w:p>
        </w:tc>
        <w:tc>
          <w:tcPr>
            <w:tcW w:w="143" w:type="pct"/>
            <w:noWrap/>
            <w:vAlign w:val="center"/>
            <w:hideMark/>
          </w:tcPr>
          <w:p w14:paraId="082EB88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192.45</w:t>
            </w:r>
          </w:p>
        </w:tc>
        <w:tc>
          <w:tcPr>
            <w:tcW w:w="143" w:type="pct"/>
            <w:noWrap/>
            <w:vAlign w:val="center"/>
            <w:hideMark/>
          </w:tcPr>
          <w:p w14:paraId="0369EE3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491.91</w:t>
            </w:r>
          </w:p>
        </w:tc>
        <w:tc>
          <w:tcPr>
            <w:tcW w:w="143" w:type="pct"/>
            <w:noWrap/>
            <w:vAlign w:val="center"/>
            <w:hideMark/>
          </w:tcPr>
          <w:p w14:paraId="11E5297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289.49</w:t>
            </w:r>
          </w:p>
        </w:tc>
        <w:tc>
          <w:tcPr>
            <w:tcW w:w="143" w:type="pct"/>
            <w:noWrap/>
            <w:vAlign w:val="center"/>
            <w:hideMark/>
          </w:tcPr>
          <w:p w14:paraId="1F73D65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171.11</w:t>
            </w:r>
          </w:p>
        </w:tc>
        <w:tc>
          <w:tcPr>
            <w:tcW w:w="143" w:type="pct"/>
            <w:noWrap/>
            <w:vAlign w:val="center"/>
            <w:hideMark/>
          </w:tcPr>
          <w:p w14:paraId="39F30FA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411.79</w:t>
            </w:r>
          </w:p>
        </w:tc>
        <w:tc>
          <w:tcPr>
            <w:tcW w:w="143" w:type="pct"/>
            <w:noWrap/>
            <w:vAlign w:val="center"/>
            <w:hideMark/>
          </w:tcPr>
          <w:p w14:paraId="3CACC5D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172.80</w:t>
            </w:r>
          </w:p>
        </w:tc>
        <w:tc>
          <w:tcPr>
            <w:tcW w:w="143" w:type="pct"/>
            <w:noWrap/>
            <w:vAlign w:val="center"/>
            <w:hideMark/>
          </w:tcPr>
          <w:p w14:paraId="4B2EEE8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172.21</w:t>
            </w:r>
          </w:p>
        </w:tc>
        <w:tc>
          <w:tcPr>
            <w:tcW w:w="143" w:type="pct"/>
            <w:noWrap/>
            <w:vAlign w:val="center"/>
            <w:hideMark/>
          </w:tcPr>
          <w:p w14:paraId="62824D1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310.81</w:t>
            </w:r>
          </w:p>
        </w:tc>
      </w:tr>
      <w:tr w:rsidR="004959A9" w:rsidRPr="002F7C87" w14:paraId="3823CA57"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62A196EB"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z9</w:t>
            </w:r>
          </w:p>
        </w:tc>
        <w:tc>
          <w:tcPr>
            <w:tcW w:w="143" w:type="pct"/>
            <w:noWrap/>
            <w:vAlign w:val="center"/>
            <w:hideMark/>
          </w:tcPr>
          <w:p w14:paraId="6C278F9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92.00</w:t>
            </w:r>
          </w:p>
        </w:tc>
        <w:tc>
          <w:tcPr>
            <w:tcW w:w="143" w:type="pct"/>
            <w:noWrap/>
            <w:vAlign w:val="center"/>
            <w:hideMark/>
          </w:tcPr>
          <w:p w14:paraId="44BC3BA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149.48</w:t>
            </w:r>
          </w:p>
        </w:tc>
        <w:tc>
          <w:tcPr>
            <w:tcW w:w="143" w:type="pct"/>
            <w:noWrap/>
            <w:vAlign w:val="center"/>
            <w:hideMark/>
          </w:tcPr>
          <w:p w14:paraId="0448EDC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235.06</w:t>
            </w:r>
          </w:p>
        </w:tc>
        <w:tc>
          <w:tcPr>
            <w:tcW w:w="143" w:type="pct"/>
            <w:noWrap/>
            <w:vAlign w:val="center"/>
            <w:hideMark/>
          </w:tcPr>
          <w:p w14:paraId="7CD7A88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448.97</w:t>
            </w:r>
          </w:p>
        </w:tc>
        <w:tc>
          <w:tcPr>
            <w:tcW w:w="143" w:type="pct"/>
            <w:noWrap/>
            <w:vAlign w:val="center"/>
            <w:hideMark/>
          </w:tcPr>
          <w:p w14:paraId="7869928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338.24</w:t>
            </w:r>
          </w:p>
        </w:tc>
        <w:tc>
          <w:tcPr>
            <w:tcW w:w="143" w:type="pct"/>
            <w:noWrap/>
            <w:vAlign w:val="center"/>
            <w:hideMark/>
          </w:tcPr>
          <w:p w14:paraId="0526D0D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158.72</w:t>
            </w:r>
          </w:p>
        </w:tc>
        <w:tc>
          <w:tcPr>
            <w:tcW w:w="143" w:type="pct"/>
            <w:noWrap/>
            <w:vAlign w:val="center"/>
            <w:hideMark/>
          </w:tcPr>
          <w:p w14:paraId="3D255C9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367.00</w:t>
            </w:r>
          </w:p>
        </w:tc>
        <w:tc>
          <w:tcPr>
            <w:tcW w:w="143" w:type="pct"/>
            <w:noWrap/>
            <w:vAlign w:val="center"/>
            <w:hideMark/>
          </w:tcPr>
          <w:p w14:paraId="5D5E841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283.71</w:t>
            </w:r>
          </w:p>
        </w:tc>
        <w:tc>
          <w:tcPr>
            <w:tcW w:w="143" w:type="pct"/>
            <w:noWrap/>
            <w:vAlign w:val="center"/>
            <w:hideMark/>
          </w:tcPr>
          <w:p w14:paraId="0DFF5C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189124E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276.81</w:t>
            </w:r>
          </w:p>
        </w:tc>
        <w:tc>
          <w:tcPr>
            <w:tcW w:w="143" w:type="pct"/>
            <w:noWrap/>
            <w:vAlign w:val="center"/>
            <w:hideMark/>
          </w:tcPr>
          <w:p w14:paraId="1342071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177.52</w:t>
            </w:r>
          </w:p>
        </w:tc>
        <w:tc>
          <w:tcPr>
            <w:tcW w:w="143" w:type="pct"/>
            <w:noWrap/>
            <w:vAlign w:val="center"/>
            <w:hideMark/>
          </w:tcPr>
          <w:p w14:paraId="6716CE4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494.01</w:t>
            </w:r>
          </w:p>
        </w:tc>
        <w:tc>
          <w:tcPr>
            <w:tcW w:w="143" w:type="pct"/>
            <w:noWrap/>
            <w:vAlign w:val="center"/>
            <w:hideMark/>
          </w:tcPr>
          <w:p w14:paraId="70F45A3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74.27</w:t>
            </w:r>
          </w:p>
        </w:tc>
        <w:tc>
          <w:tcPr>
            <w:tcW w:w="143" w:type="pct"/>
            <w:noWrap/>
            <w:vAlign w:val="center"/>
            <w:hideMark/>
          </w:tcPr>
          <w:p w14:paraId="6936342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216.75</w:t>
            </w:r>
          </w:p>
        </w:tc>
        <w:tc>
          <w:tcPr>
            <w:tcW w:w="143" w:type="pct"/>
            <w:noWrap/>
            <w:vAlign w:val="center"/>
            <w:hideMark/>
          </w:tcPr>
          <w:p w14:paraId="5F7B379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211.20</w:t>
            </w:r>
          </w:p>
        </w:tc>
        <w:tc>
          <w:tcPr>
            <w:tcW w:w="143" w:type="pct"/>
            <w:noWrap/>
            <w:vAlign w:val="center"/>
            <w:hideMark/>
          </w:tcPr>
          <w:p w14:paraId="1510BF5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200.12</w:t>
            </w:r>
          </w:p>
        </w:tc>
        <w:tc>
          <w:tcPr>
            <w:tcW w:w="143" w:type="pct"/>
            <w:noWrap/>
            <w:vAlign w:val="center"/>
            <w:hideMark/>
          </w:tcPr>
          <w:p w14:paraId="3E89A03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662.86</w:t>
            </w:r>
          </w:p>
        </w:tc>
        <w:tc>
          <w:tcPr>
            <w:tcW w:w="143" w:type="pct"/>
            <w:noWrap/>
            <w:vAlign w:val="center"/>
            <w:hideMark/>
          </w:tcPr>
          <w:p w14:paraId="40D3FA2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136.18</w:t>
            </w:r>
          </w:p>
        </w:tc>
        <w:tc>
          <w:tcPr>
            <w:tcW w:w="143" w:type="pct"/>
            <w:noWrap/>
            <w:vAlign w:val="center"/>
            <w:hideMark/>
          </w:tcPr>
          <w:p w14:paraId="1F308F6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271.41</w:t>
            </w:r>
          </w:p>
        </w:tc>
        <w:tc>
          <w:tcPr>
            <w:tcW w:w="143" w:type="pct"/>
            <w:noWrap/>
            <w:vAlign w:val="center"/>
            <w:hideMark/>
          </w:tcPr>
          <w:p w14:paraId="24F9FEB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114.68</w:t>
            </w:r>
          </w:p>
        </w:tc>
        <w:tc>
          <w:tcPr>
            <w:tcW w:w="143" w:type="pct"/>
            <w:noWrap/>
            <w:vAlign w:val="center"/>
            <w:hideMark/>
          </w:tcPr>
          <w:p w14:paraId="25AE8BD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106.28</w:t>
            </w:r>
          </w:p>
        </w:tc>
        <w:tc>
          <w:tcPr>
            <w:tcW w:w="143" w:type="pct"/>
            <w:noWrap/>
            <w:vAlign w:val="center"/>
            <w:hideMark/>
          </w:tcPr>
          <w:p w14:paraId="3436FE7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120.75</w:t>
            </w:r>
          </w:p>
        </w:tc>
        <w:tc>
          <w:tcPr>
            <w:tcW w:w="143" w:type="pct"/>
            <w:noWrap/>
            <w:vAlign w:val="center"/>
            <w:hideMark/>
          </w:tcPr>
          <w:p w14:paraId="3CCCC26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245.70</w:t>
            </w:r>
          </w:p>
        </w:tc>
        <w:tc>
          <w:tcPr>
            <w:tcW w:w="143" w:type="pct"/>
            <w:noWrap/>
            <w:vAlign w:val="center"/>
            <w:hideMark/>
          </w:tcPr>
          <w:p w14:paraId="164B5CA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574.35</w:t>
            </w:r>
          </w:p>
        </w:tc>
        <w:tc>
          <w:tcPr>
            <w:tcW w:w="143" w:type="pct"/>
            <w:noWrap/>
            <w:vAlign w:val="center"/>
            <w:hideMark/>
          </w:tcPr>
          <w:p w14:paraId="642DA3E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240.08</w:t>
            </w:r>
          </w:p>
        </w:tc>
        <w:tc>
          <w:tcPr>
            <w:tcW w:w="143" w:type="pct"/>
            <w:noWrap/>
            <w:vAlign w:val="center"/>
            <w:hideMark/>
          </w:tcPr>
          <w:p w14:paraId="45F64BE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356.23</w:t>
            </w:r>
          </w:p>
        </w:tc>
        <w:tc>
          <w:tcPr>
            <w:tcW w:w="143" w:type="pct"/>
            <w:noWrap/>
            <w:vAlign w:val="center"/>
            <w:hideMark/>
          </w:tcPr>
          <w:p w14:paraId="14C9EAF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215.57</w:t>
            </w:r>
          </w:p>
        </w:tc>
        <w:tc>
          <w:tcPr>
            <w:tcW w:w="143" w:type="pct"/>
            <w:noWrap/>
            <w:vAlign w:val="center"/>
            <w:hideMark/>
          </w:tcPr>
          <w:p w14:paraId="214761E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454.06</w:t>
            </w:r>
          </w:p>
        </w:tc>
        <w:tc>
          <w:tcPr>
            <w:tcW w:w="143" w:type="pct"/>
            <w:noWrap/>
            <w:vAlign w:val="center"/>
            <w:hideMark/>
          </w:tcPr>
          <w:p w14:paraId="4A842E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179.79</w:t>
            </w:r>
          </w:p>
        </w:tc>
        <w:tc>
          <w:tcPr>
            <w:tcW w:w="143" w:type="pct"/>
            <w:noWrap/>
            <w:vAlign w:val="center"/>
            <w:hideMark/>
          </w:tcPr>
          <w:p w14:paraId="4BFC35D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170.42</w:t>
            </w:r>
          </w:p>
        </w:tc>
        <w:tc>
          <w:tcPr>
            <w:tcW w:w="143" w:type="pct"/>
            <w:noWrap/>
            <w:vAlign w:val="center"/>
            <w:hideMark/>
          </w:tcPr>
          <w:p w14:paraId="25AB456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297.12</w:t>
            </w:r>
          </w:p>
        </w:tc>
        <w:tc>
          <w:tcPr>
            <w:tcW w:w="143" w:type="pct"/>
            <w:noWrap/>
            <w:vAlign w:val="center"/>
            <w:hideMark/>
          </w:tcPr>
          <w:p w14:paraId="3692BD1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176.94</w:t>
            </w:r>
          </w:p>
        </w:tc>
        <w:tc>
          <w:tcPr>
            <w:tcW w:w="143" w:type="pct"/>
            <w:noWrap/>
            <w:vAlign w:val="center"/>
            <w:hideMark/>
          </w:tcPr>
          <w:p w14:paraId="366CDD1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334.22</w:t>
            </w:r>
          </w:p>
        </w:tc>
        <w:tc>
          <w:tcPr>
            <w:tcW w:w="143" w:type="pct"/>
            <w:noWrap/>
            <w:vAlign w:val="center"/>
            <w:hideMark/>
          </w:tcPr>
          <w:p w14:paraId="0969BA7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216.38</w:t>
            </w:r>
          </w:p>
        </w:tc>
      </w:tr>
      <w:tr w:rsidR="004959A9" w:rsidRPr="002F7C87" w14:paraId="56C22600"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50163449"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z10</w:t>
            </w:r>
          </w:p>
        </w:tc>
        <w:tc>
          <w:tcPr>
            <w:tcW w:w="143" w:type="pct"/>
            <w:noWrap/>
            <w:vAlign w:val="center"/>
            <w:hideMark/>
          </w:tcPr>
          <w:p w14:paraId="7EE0B5B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213.67</w:t>
            </w:r>
          </w:p>
        </w:tc>
        <w:tc>
          <w:tcPr>
            <w:tcW w:w="143" w:type="pct"/>
            <w:noWrap/>
            <w:vAlign w:val="center"/>
            <w:hideMark/>
          </w:tcPr>
          <w:p w14:paraId="0DA7846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172.38</w:t>
            </w:r>
          </w:p>
        </w:tc>
        <w:tc>
          <w:tcPr>
            <w:tcW w:w="143" w:type="pct"/>
            <w:noWrap/>
            <w:vAlign w:val="center"/>
            <w:hideMark/>
          </w:tcPr>
          <w:p w14:paraId="6E8FE86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103.91</w:t>
            </w:r>
          </w:p>
        </w:tc>
        <w:tc>
          <w:tcPr>
            <w:tcW w:w="143" w:type="pct"/>
            <w:noWrap/>
            <w:vAlign w:val="center"/>
            <w:hideMark/>
          </w:tcPr>
          <w:p w14:paraId="21D3374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246.83</w:t>
            </w:r>
          </w:p>
        </w:tc>
        <w:tc>
          <w:tcPr>
            <w:tcW w:w="143" w:type="pct"/>
            <w:noWrap/>
            <w:vAlign w:val="center"/>
            <w:hideMark/>
          </w:tcPr>
          <w:p w14:paraId="3EFC1E1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243.68</w:t>
            </w:r>
          </w:p>
        </w:tc>
        <w:tc>
          <w:tcPr>
            <w:tcW w:w="143" w:type="pct"/>
            <w:noWrap/>
            <w:vAlign w:val="center"/>
            <w:hideMark/>
          </w:tcPr>
          <w:p w14:paraId="691C4CB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156.69</w:t>
            </w:r>
          </w:p>
        </w:tc>
        <w:tc>
          <w:tcPr>
            <w:tcW w:w="143" w:type="pct"/>
            <w:noWrap/>
            <w:vAlign w:val="center"/>
            <w:hideMark/>
          </w:tcPr>
          <w:p w14:paraId="7DB9322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187.88</w:t>
            </w:r>
          </w:p>
        </w:tc>
        <w:tc>
          <w:tcPr>
            <w:tcW w:w="143" w:type="pct"/>
            <w:noWrap/>
            <w:vAlign w:val="center"/>
            <w:hideMark/>
          </w:tcPr>
          <w:p w14:paraId="44C5B1D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162.94</w:t>
            </w:r>
          </w:p>
        </w:tc>
        <w:tc>
          <w:tcPr>
            <w:tcW w:w="143" w:type="pct"/>
            <w:noWrap/>
            <w:vAlign w:val="center"/>
            <w:hideMark/>
          </w:tcPr>
          <w:p w14:paraId="6F43B33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276.81</w:t>
            </w:r>
          </w:p>
        </w:tc>
        <w:tc>
          <w:tcPr>
            <w:tcW w:w="143" w:type="pct"/>
            <w:noWrap/>
            <w:vAlign w:val="center"/>
            <w:hideMark/>
          </w:tcPr>
          <w:p w14:paraId="133EE40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6EBDB5A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250.32</w:t>
            </w:r>
          </w:p>
        </w:tc>
        <w:tc>
          <w:tcPr>
            <w:tcW w:w="143" w:type="pct"/>
            <w:noWrap/>
            <w:vAlign w:val="center"/>
            <w:hideMark/>
          </w:tcPr>
          <w:p w14:paraId="7EEDD55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419.71</w:t>
            </w:r>
          </w:p>
        </w:tc>
        <w:tc>
          <w:tcPr>
            <w:tcW w:w="143" w:type="pct"/>
            <w:noWrap/>
            <w:vAlign w:val="center"/>
            <w:hideMark/>
          </w:tcPr>
          <w:p w14:paraId="051DCA7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275.64</w:t>
            </w:r>
          </w:p>
        </w:tc>
        <w:tc>
          <w:tcPr>
            <w:tcW w:w="143" w:type="pct"/>
            <w:noWrap/>
            <w:vAlign w:val="center"/>
            <w:hideMark/>
          </w:tcPr>
          <w:p w14:paraId="62ECED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131.95</w:t>
            </w:r>
          </w:p>
        </w:tc>
        <w:tc>
          <w:tcPr>
            <w:tcW w:w="143" w:type="pct"/>
            <w:noWrap/>
            <w:vAlign w:val="center"/>
            <w:hideMark/>
          </w:tcPr>
          <w:p w14:paraId="3667EE4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209.74</w:t>
            </w:r>
          </w:p>
        </w:tc>
        <w:tc>
          <w:tcPr>
            <w:tcW w:w="143" w:type="pct"/>
            <w:noWrap/>
            <w:vAlign w:val="center"/>
            <w:hideMark/>
          </w:tcPr>
          <w:p w14:paraId="4C2C019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82.67</w:t>
            </w:r>
          </w:p>
        </w:tc>
        <w:tc>
          <w:tcPr>
            <w:tcW w:w="143" w:type="pct"/>
            <w:noWrap/>
            <w:vAlign w:val="center"/>
            <w:hideMark/>
          </w:tcPr>
          <w:p w14:paraId="4F46C13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572.25</w:t>
            </w:r>
          </w:p>
        </w:tc>
        <w:tc>
          <w:tcPr>
            <w:tcW w:w="143" w:type="pct"/>
            <w:noWrap/>
            <w:vAlign w:val="center"/>
            <w:hideMark/>
          </w:tcPr>
          <w:p w14:paraId="6870663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309.70</w:t>
            </w:r>
          </w:p>
        </w:tc>
        <w:tc>
          <w:tcPr>
            <w:tcW w:w="143" w:type="pct"/>
            <w:noWrap/>
            <w:vAlign w:val="center"/>
            <w:hideMark/>
          </w:tcPr>
          <w:p w14:paraId="3B0E9ED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165.62</w:t>
            </w:r>
          </w:p>
        </w:tc>
        <w:tc>
          <w:tcPr>
            <w:tcW w:w="143" w:type="pct"/>
            <w:noWrap/>
            <w:vAlign w:val="center"/>
            <w:hideMark/>
          </w:tcPr>
          <w:p w14:paraId="3AF00A1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162.26</w:t>
            </w:r>
          </w:p>
        </w:tc>
        <w:tc>
          <w:tcPr>
            <w:tcW w:w="143" w:type="pct"/>
            <w:noWrap/>
            <w:vAlign w:val="center"/>
            <w:hideMark/>
          </w:tcPr>
          <w:p w14:paraId="25C04E2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222.91</w:t>
            </w:r>
          </w:p>
        </w:tc>
        <w:tc>
          <w:tcPr>
            <w:tcW w:w="143" w:type="pct"/>
            <w:noWrap/>
            <w:vAlign w:val="center"/>
            <w:hideMark/>
          </w:tcPr>
          <w:p w14:paraId="5D84002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244.29</w:t>
            </w:r>
          </w:p>
        </w:tc>
        <w:tc>
          <w:tcPr>
            <w:tcW w:w="143" w:type="pct"/>
            <w:noWrap/>
            <w:vAlign w:val="center"/>
            <w:hideMark/>
          </w:tcPr>
          <w:p w14:paraId="2C075A1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132.36</w:t>
            </w:r>
          </w:p>
        </w:tc>
        <w:tc>
          <w:tcPr>
            <w:tcW w:w="143" w:type="pct"/>
            <w:noWrap/>
            <w:vAlign w:val="center"/>
            <w:hideMark/>
          </w:tcPr>
          <w:p w14:paraId="3117465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538.82</w:t>
            </w:r>
          </w:p>
        </w:tc>
        <w:tc>
          <w:tcPr>
            <w:tcW w:w="143" w:type="pct"/>
            <w:noWrap/>
            <w:vAlign w:val="center"/>
            <w:hideMark/>
          </w:tcPr>
          <w:p w14:paraId="64F1933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236.69</w:t>
            </w:r>
          </w:p>
        </w:tc>
        <w:tc>
          <w:tcPr>
            <w:tcW w:w="143" w:type="pct"/>
            <w:noWrap/>
            <w:vAlign w:val="center"/>
            <w:hideMark/>
          </w:tcPr>
          <w:p w14:paraId="22A8FC7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322.95</w:t>
            </w:r>
          </w:p>
        </w:tc>
        <w:tc>
          <w:tcPr>
            <w:tcW w:w="143" w:type="pct"/>
            <w:noWrap/>
            <w:vAlign w:val="center"/>
            <w:hideMark/>
          </w:tcPr>
          <w:p w14:paraId="47E970F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72.03</w:t>
            </w:r>
          </w:p>
        </w:tc>
        <w:tc>
          <w:tcPr>
            <w:tcW w:w="143" w:type="pct"/>
            <w:noWrap/>
            <w:vAlign w:val="center"/>
            <w:hideMark/>
          </w:tcPr>
          <w:p w14:paraId="61A0700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330.04</w:t>
            </w:r>
          </w:p>
        </w:tc>
        <w:tc>
          <w:tcPr>
            <w:tcW w:w="143" w:type="pct"/>
            <w:noWrap/>
            <w:vAlign w:val="center"/>
            <w:hideMark/>
          </w:tcPr>
          <w:p w14:paraId="62F5A4E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179.91</w:t>
            </w:r>
          </w:p>
        </w:tc>
        <w:tc>
          <w:tcPr>
            <w:tcW w:w="143" w:type="pct"/>
            <w:noWrap/>
            <w:vAlign w:val="center"/>
            <w:hideMark/>
          </w:tcPr>
          <w:p w14:paraId="04C3801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264.27</w:t>
            </w:r>
          </w:p>
        </w:tc>
        <w:tc>
          <w:tcPr>
            <w:tcW w:w="143" w:type="pct"/>
            <w:noWrap/>
            <w:vAlign w:val="center"/>
            <w:hideMark/>
          </w:tcPr>
          <w:p w14:paraId="5B15D43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272.22</w:t>
            </w:r>
          </w:p>
        </w:tc>
        <w:tc>
          <w:tcPr>
            <w:tcW w:w="143" w:type="pct"/>
            <w:noWrap/>
            <w:vAlign w:val="center"/>
            <w:hideMark/>
          </w:tcPr>
          <w:p w14:paraId="6F7AFDF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100.04</w:t>
            </w:r>
          </w:p>
        </w:tc>
        <w:tc>
          <w:tcPr>
            <w:tcW w:w="143" w:type="pct"/>
            <w:noWrap/>
            <w:vAlign w:val="center"/>
            <w:hideMark/>
          </w:tcPr>
          <w:p w14:paraId="5C6F0C6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59.25</w:t>
            </w:r>
          </w:p>
        </w:tc>
        <w:tc>
          <w:tcPr>
            <w:tcW w:w="143" w:type="pct"/>
            <w:noWrap/>
            <w:vAlign w:val="center"/>
            <w:hideMark/>
          </w:tcPr>
          <w:p w14:paraId="2B3CCE4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184.54</w:t>
            </w:r>
          </w:p>
        </w:tc>
      </w:tr>
      <w:tr w:rsidR="004959A9" w:rsidRPr="002F7C87" w14:paraId="30362BCB"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138AE48"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z11</w:t>
            </w:r>
          </w:p>
        </w:tc>
        <w:tc>
          <w:tcPr>
            <w:tcW w:w="143" w:type="pct"/>
            <w:noWrap/>
            <w:vAlign w:val="center"/>
            <w:hideMark/>
          </w:tcPr>
          <w:p w14:paraId="2682E9A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215.89</w:t>
            </w:r>
          </w:p>
        </w:tc>
        <w:tc>
          <w:tcPr>
            <w:tcW w:w="143" w:type="pct"/>
            <w:noWrap/>
            <w:vAlign w:val="center"/>
            <w:hideMark/>
          </w:tcPr>
          <w:p w14:paraId="074AA24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243.05</w:t>
            </w:r>
          </w:p>
        </w:tc>
        <w:tc>
          <w:tcPr>
            <w:tcW w:w="143" w:type="pct"/>
            <w:noWrap/>
            <w:vAlign w:val="center"/>
            <w:hideMark/>
          </w:tcPr>
          <w:p w14:paraId="55406C3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154.01</w:t>
            </w:r>
          </w:p>
        </w:tc>
        <w:tc>
          <w:tcPr>
            <w:tcW w:w="143" w:type="pct"/>
            <w:noWrap/>
            <w:vAlign w:val="center"/>
            <w:hideMark/>
          </w:tcPr>
          <w:p w14:paraId="23852FF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487.10</w:t>
            </w:r>
          </w:p>
        </w:tc>
        <w:tc>
          <w:tcPr>
            <w:tcW w:w="143" w:type="pct"/>
            <w:noWrap/>
            <w:vAlign w:val="center"/>
            <w:hideMark/>
          </w:tcPr>
          <w:p w14:paraId="478DB50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176.47</w:t>
            </w:r>
          </w:p>
        </w:tc>
        <w:tc>
          <w:tcPr>
            <w:tcW w:w="143" w:type="pct"/>
            <w:noWrap/>
            <w:vAlign w:val="center"/>
            <w:hideMark/>
          </w:tcPr>
          <w:p w14:paraId="2265A98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99.92</w:t>
            </w:r>
          </w:p>
        </w:tc>
        <w:tc>
          <w:tcPr>
            <w:tcW w:w="143" w:type="pct"/>
            <w:noWrap/>
            <w:vAlign w:val="center"/>
            <w:hideMark/>
          </w:tcPr>
          <w:p w14:paraId="3125626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414.35</w:t>
            </w:r>
          </w:p>
        </w:tc>
        <w:tc>
          <w:tcPr>
            <w:tcW w:w="143" w:type="pct"/>
            <w:noWrap/>
            <w:vAlign w:val="center"/>
            <w:hideMark/>
          </w:tcPr>
          <w:p w14:paraId="023DED4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350.59</w:t>
            </w:r>
          </w:p>
        </w:tc>
        <w:tc>
          <w:tcPr>
            <w:tcW w:w="143" w:type="pct"/>
            <w:noWrap/>
            <w:vAlign w:val="center"/>
            <w:hideMark/>
          </w:tcPr>
          <w:p w14:paraId="1CC3A18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177.52</w:t>
            </w:r>
          </w:p>
        </w:tc>
        <w:tc>
          <w:tcPr>
            <w:tcW w:w="143" w:type="pct"/>
            <w:noWrap/>
            <w:vAlign w:val="center"/>
            <w:hideMark/>
          </w:tcPr>
          <w:p w14:paraId="18191D8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250.32</w:t>
            </w:r>
          </w:p>
        </w:tc>
        <w:tc>
          <w:tcPr>
            <w:tcW w:w="143" w:type="pct"/>
            <w:noWrap/>
            <w:vAlign w:val="center"/>
            <w:hideMark/>
          </w:tcPr>
          <w:p w14:paraId="168F82B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1A966DD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317.27</w:t>
            </w:r>
          </w:p>
        </w:tc>
        <w:tc>
          <w:tcPr>
            <w:tcW w:w="143" w:type="pct"/>
            <w:noWrap/>
            <w:vAlign w:val="center"/>
            <w:hideMark/>
          </w:tcPr>
          <w:p w14:paraId="17FF9B6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241.49</w:t>
            </w:r>
          </w:p>
        </w:tc>
        <w:tc>
          <w:tcPr>
            <w:tcW w:w="143" w:type="pct"/>
            <w:noWrap/>
            <w:vAlign w:val="center"/>
            <w:hideMark/>
          </w:tcPr>
          <w:p w14:paraId="43F9AC4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280.64</w:t>
            </w:r>
          </w:p>
        </w:tc>
        <w:tc>
          <w:tcPr>
            <w:tcW w:w="143" w:type="pct"/>
            <w:noWrap/>
            <w:vAlign w:val="center"/>
            <w:hideMark/>
          </w:tcPr>
          <w:p w14:paraId="5C526B1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321.12</w:t>
            </w:r>
          </w:p>
        </w:tc>
        <w:tc>
          <w:tcPr>
            <w:tcW w:w="143" w:type="pct"/>
            <w:noWrap/>
            <w:vAlign w:val="center"/>
            <w:hideMark/>
          </w:tcPr>
          <w:p w14:paraId="60E4438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217.29</w:t>
            </w:r>
          </w:p>
        </w:tc>
        <w:tc>
          <w:tcPr>
            <w:tcW w:w="143" w:type="pct"/>
            <w:noWrap/>
            <w:vAlign w:val="center"/>
            <w:hideMark/>
          </w:tcPr>
          <w:p w14:paraId="2FFE6B0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485.75</w:t>
            </w:r>
          </w:p>
        </w:tc>
        <w:tc>
          <w:tcPr>
            <w:tcW w:w="143" w:type="pct"/>
            <w:noWrap/>
            <w:vAlign w:val="center"/>
            <w:hideMark/>
          </w:tcPr>
          <w:p w14:paraId="4E5CCA1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305.20</w:t>
            </w:r>
          </w:p>
        </w:tc>
        <w:tc>
          <w:tcPr>
            <w:tcW w:w="143" w:type="pct"/>
            <w:noWrap/>
            <w:vAlign w:val="center"/>
            <w:hideMark/>
          </w:tcPr>
          <w:p w14:paraId="58C22A2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139.76</w:t>
            </w:r>
          </w:p>
        </w:tc>
        <w:tc>
          <w:tcPr>
            <w:tcW w:w="143" w:type="pct"/>
            <w:noWrap/>
            <w:vAlign w:val="center"/>
            <w:hideMark/>
          </w:tcPr>
          <w:p w14:paraId="2BD6EFE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156.55</w:t>
            </w:r>
          </w:p>
        </w:tc>
        <w:tc>
          <w:tcPr>
            <w:tcW w:w="143" w:type="pct"/>
            <w:noWrap/>
            <w:vAlign w:val="center"/>
            <w:hideMark/>
          </w:tcPr>
          <w:p w14:paraId="6FBF634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77.69</w:t>
            </w:r>
          </w:p>
        </w:tc>
        <w:tc>
          <w:tcPr>
            <w:tcW w:w="143" w:type="pct"/>
            <w:noWrap/>
            <w:vAlign w:val="center"/>
            <w:hideMark/>
          </w:tcPr>
          <w:p w14:paraId="1C50E1F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265.07</w:t>
            </w:r>
          </w:p>
        </w:tc>
        <w:tc>
          <w:tcPr>
            <w:tcW w:w="143" w:type="pct"/>
            <w:noWrap/>
            <w:vAlign w:val="center"/>
            <w:hideMark/>
          </w:tcPr>
          <w:p w14:paraId="65F91FF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139.49</w:t>
            </w:r>
          </w:p>
        </w:tc>
        <w:tc>
          <w:tcPr>
            <w:tcW w:w="143" w:type="pct"/>
            <w:noWrap/>
            <w:vAlign w:val="center"/>
            <w:hideMark/>
          </w:tcPr>
          <w:p w14:paraId="214CF84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398.31</w:t>
            </w:r>
          </w:p>
        </w:tc>
        <w:tc>
          <w:tcPr>
            <w:tcW w:w="143" w:type="pct"/>
            <w:noWrap/>
            <w:vAlign w:val="center"/>
            <w:hideMark/>
          </w:tcPr>
          <w:p w14:paraId="20DDFE6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69.64</w:t>
            </w:r>
          </w:p>
        </w:tc>
        <w:tc>
          <w:tcPr>
            <w:tcW w:w="143" w:type="pct"/>
            <w:noWrap/>
            <w:vAlign w:val="center"/>
            <w:hideMark/>
          </w:tcPr>
          <w:p w14:paraId="7F74C4B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179.08</w:t>
            </w:r>
          </w:p>
        </w:tc>
        <w:tc>
          <w:tcPr>
            <w:tcW w:w="143" w:type="pct"/>
            <w:noWrap/>
            <w:vAlign w:val="center"/>
            <w:hideMark/>
          </w:tcPr>
          <w:p w14:paraId="3DABE63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180.26</w:t>
            </w:r>
          </w:p>
        </w:tc>
        <w:tc>
          <w:tcPr>
            <w:tcW w:w="143" w:type="pct"/>
            <w:noWrap/>
            <w:vAlign w:val="center"/>
            <w:hideMark/>
          </w:tcPr>
          <w:p w14:paraId="06ABB34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287.86</w:t>
            </w:r>
          </w:p>
        </w:tc>
        <w:tc>
          <w:tcPr>
            <w:tcW w:w="143" w:type="pct"/>
            <w:noWrap/>
            <w:vAlign w:val="center"/>
            <w:hideMark/>
          </w:tcPr>
          <w:p w14:paraId="040AA3B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70.46</w:t>
            </w:r>
          </w:p>
        </w:tc>
        <w:tc>
          <w:tcPr>
            <w:tcW w:w="143" w:type="pct"/>
            <w:noWrap/>
            <w:vAlign w:val="center"/>
            <w:hideMark/>
          </w:tcPr>
          <w:p w14:paraId="27363D1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315.53</w:t>
            </w:r>
          </w:p>
        </w:tc>
        <w:tc>
          <w:tcPr>
            <w:tcW w:w="143" w:type="pct"/>
            <w:noWrap/>
            <w:vAlign w:val="center"/>
            <w:hideMark/>
          </w:tcPr>
          <w:p w14:paraId="66D1ED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121.94</w:t>
            </w:r>
          </w:p>
        </w:tc>
        <w:tc>
          <w:tcPr>
            <w:tcW w:w="143" w:type="pct"/>
            <w:noWrap/>
            <w:vAlign w:val="center"/>
            <w:hideMark/>
          </w:tcPr>
          <w:p w14:paraId="1E859B9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179.68</w:t>
            </w:r>
          </w:p>
        </w:tc>
        <w:tc>
          <w:tcPr>
            <w:tcW w:w="143" w:type="pct"/>
            <w:noWrap/>
            <w:vAlign w:val="center"/>
            <w:hideMark/>
          </w:tcPr>
          <w:p w14:paraId="06ADBB9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305.66</w:t>
            </w:r>
          </w:p>
        </w:tc>
        <w:tc>
          <w:tcPr>
            <w:tcW w:w="143" w:type="pct"/>
            <w:noWrap/>
            <w:vAlign w:val="center"/>
            <w:hideMark/>
          </w:tcPr>
          <w:p w14:paraId="5201F58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80.42</w:t>
            </w:r>
          </w:p>
        </w:tc>
      </w:tr>
      <w:tr w:rsidR="004959A9" w:rsidRPr="002F7C87" w14:paraId="7D04DC55"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293AD11B"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z12</w:t>
            </w:r>
          </w:p>
        </w:tc>
        <w:tc>
          <w:tcPr>
            <w:tcW w:w="143" w:type="pct"/>
            <w:noWrap/>
            <w:vAlign w:val="center"/>
            <w:hideMark/>
          </w:tcPr>
          <w:p w14:paraId="5074C1C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514.01</w:t>
            </w:r>
          </w:p>
        </w:tc>
        <w:tc>
          <w:tcPr>
            <w:tcW w:w="143" w:type="pct"/>
            <w:noWrap/>
            <w:vAlign w:val="center"/>
            <w:hideMark/>
          </w:tcPr>
          <w:p w14:paraId="2A3B391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519.39</w:t>
            </w:r>
          </w:p>
        </w:tc>
        <w:tc>
          <w:tcPr>
            <w:tcW w:w="143" w:type="pct"/>
            <w:noWrap/>
            <w:vAlign w:val="center"/>
            <w:hideMark/>
          </w:tcPr>
          <w:p w14:paraId="3D096DD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335.96</w:t>
            </w:r>
          </w:p>
        </w:tc>
        <w:tc>
          <w:tcPr>
            <w:tcW w:w="143" w:type="pct"/>
            <w:noWrap/>
            <w:vAlign w:val="center"/>
            <w:hideMark/>
          </w:tcPr>
          <w:p w14:paraId="2DC68B3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650.81</w:t>
            </w:r>
          </w:p>
        </w:tc>
        <w:tc>
          <w:tcPr>
            <w:tcW w:w="143" w:type="pct"/>
            <w:noWrap/>
            <w:vAlign w:val="center"/>
            <w:hideMark/>
          </w:tcPr>
          <w:p w14:paraId="34D7C83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180.39</w:t>
            </w:r>
          </w:p>
        </w:tc>
        <w:tc>
          <w:tcPr>
            <w:tcW w:w="143" w:type="pct"/>
            <w:noWrap/>
            <w:vAlign w:val="center"/>
            <w:hideMark/>
          </w:tcPr>
          <w:p w14:paraId="552812B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364.67</w:t>
            </w:r>
          </w:p>
        </w:tc>
        <w:tc>
          <w:tcPr>
            <w:tcW w:w="143" w:type="pct"/>
            <w:noWrap/>
            <w:vAlign w:val="center"/>
            <w:hideMark/>
          </w:tcPr>
          <w:p w14:paraId="7D6397B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605.40</w:t>
            </w:r>
          </w:p>
        </w:tc>
        <w:tc>
          <w:tcPr>
            <w:tcW w:w="143" w:type="pct"/>
            <w:noWrap/>
            <w:vAlign w:val="center"/>
            <w:hideMark/>
          </w:tcPr>
          <w:p w14:paraId="70BFB35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577.69</w:t>
            </w:r>
          </w:p>
        </w:tc>
        <w:tc>
          <w:tcPr>
            <w:tcW w:w="143" w:type="pct"/>
            <w:noWrap/>
            <w:vAlign w:val="center"/>
            <w:hideMark/>
          </w:tcPr>
          <w:p w14:paraId="054F566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494.01</w:t>
            </w:r>
          </w:p>
        </w:tc>
        <w:tc>
          <w:tcPr>
            <w:tcW w:w="143" w:type="pct"/>
            <w:noWrap/>
            <w:vAlign w:val="center"/>
            <w:hideMark/>
          </w:tcPr>
          <w:p w14:paraId="4FB1E8B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419.71</w:t>
            </w:r>
          </w:p>
        </w:tc>
        <w:tc>
          <w:tcPr>
            <w:tcW w:w="143" w:type="pct"/>
            <w:noWrap/>
            <w:vAlign w:val="center"/>
            <w:hideMark/>
          </w:tcPr>
          <w:p w14:paraId="7739524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317.27</w:t>
            </w:r>
          </w:p>
        </w:tc>
        <w:tc>
          <w:tcPr>
            <w:tcW w:w="143" w:type="pct"/>
            <w:noWrap/>
            <w:vAlign w:val="center"/>
            <w:hideMark/>
          </w:tcPr>
          <w:p w14:paraId="6D17390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2EF482E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552.60</w:t>
            </w:r>
          </w:p>
        </w:tc>
        <w:tc>
          <w:tcPr>
            <w:tcW w:w="143" w:type="pct"/>
            <w:noWrap/>
            <w:vAlign w:val="center"/>
            <w:hideMark/>
          </w:tcPr>
          <w:p w14:paraId="754F00B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524.96</w:t>
            </w:r>
          </w:p>
        </w:tc>
        <w:tc>
          <w:tcPr>
            <w:tcW w:w="143" w:type="pct"/>
            <w:noWrap/>
            <w:vAlign w:val="center"/>
            <w:hideMark/>
          </w:tcPr>
          <w:p w14:paraId="72DBE8D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590.65</w:t>
            </w:r>
          </w:p>
        </w:tc>
        <w:tc>
          <w:tcPr>
            <w:tcW w:w="143" w:type="pct"/>
            <w:noWrap/>
            <w:vAlign w:val="center"/>
            <w:hideMark/>
          </w:tcPr>
          <w:p w14:paraId="798050F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450.01</w:t>
            </w:r>
          </w:p>
        </w:tc>
        <w:tc>
          <w:tcPr>
            <w:tcW w:w="143" w:type="pct"/>
            <w:noWrap/>
            <w:vAlign w:val="center"/>
            <w:hideMark/>
          </w:tcPr>
          <w:p w14:paraId="4AAE7A2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169.14</w:t>
            </w:r>
          </w:p>
        </w:tc>
        <w:tc>
          <w:tcPr>
            <w:tcW w:w="143" w:type="pct"/>
            <w:noWrap/>
            <w:vAlign w:val="center"/>
            <w:hideMark/>
          </w:tcPr>
          <w:p w14:paraId="229212F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614.46</w:t>
            </w:r>
          </w:p>
        </w:tc>
        <w:tc>
          <w:tcPr>
            <w:tcW w:w="143" w:type="pct"/>
            <w:noWrap/>
            <w:vAlign w:val="center"/>
            <w:hideMark/>
          </w:tcPr>
          <w:p w14:paraId="58EDBEC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266.06</w:t>
            </w:r>
          </w:p>
        </w:tc>
        <w:tc>
          <w:tcPr>
            <w:tcW w:w="143" w:type="pct"/>
            <w:noWrap/>
            <w:vAlign w:val="center"/>
            <w:hideMark/>
          </w:tcPr>
          <w:p w14:paraId="33BBE11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440.27</w:t>
            </w:r>
          </w:p>
        </w:tc>
        <w:tc>
          <w:tcPr>
            <w:tcW w:w="143" w:type="pct"/>
            <w:noWrap/>
            <w:vAlign w:val="center"/>
            <w:hideMark/>
          </w:tcPr>
          <w:p w14:paraId="49B6BCD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389.26</w:t>
            </w:r>
          </w:p>
        </w:tc>
        <w:tc>
          <w:tcPr>
            <w:tcW w:w="143" w:type="pct"/>
            <w:noWrap/>
            <w:vAlign w:val="center"/>
            <w:hideMark/>
          </w:tcPr>
          <w:p w14:paraId="0277789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564.14</w:t>
            </w:r>
          </w:p>
        </w:tc>
        <w:tc>
          <w:tcPr>
            <w:tcW w:w="143" w:type="pct"/>
            <w:noWrap/>
            <w:vAlign w:val="center"/>
            <w:hideMark/>
          </w:tcPr>
          <w:p w14:paraId="3C5B308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305.34</w:t>
            </w:r>
          </w:p>
        </w:tc>
        <w:tc>
          <w:tcPr>
            <w:tcW w:w="143" w:type="pct"/>
            <w:noWrap/>
            <w:vAlign w:val="center"/>
            <w:hideMark/>
          </w:tcPr>
          <w:p w14:paraId="11623AF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126.06</w:t>
            </w:r>
          </w:p>
        </w:tc>
        <w:tc>
          <w:tcPr>
            <w:tcW w:w="143" w:type="pct"/>
            <w:noWrap/>
            <w:vAlign w:val="center"/>
            <w:hideMark/>
          </w:tcPr>
          <w:p w14:paraId="007CC08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255.16</w:t>
            </w:r>
          </w:p>
        </w:tc>
        <w:tc>
          <w:tcPr>
            <w:tcW w:w="143" w:type="pct"/>
            <w:noWrap/>
            <w:vAlign w:val="center"/>
            <w:hideMark/>
          </w:tcPr>
          <w:p w14:paraId="4CF256E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138.33</w:t>
            </w:r>
          </w:p>
        </w:tc>
        <w:tc>
          <w:tcPr>
            <w:tcW w:w="143" w:type="pct"/>
            <w:noWrap/>
            <w:vAlign w:val="center"/>
            <w:hideMark/>
          </w:tcPr>
          <w:p w14:paraId="07FDAD2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389.04</w:t>
            </w:r>
          </w:p>
        </w:tc>
        <w:tc>
          <w:tcPr>
            <w:tcW w:w="143" w:type="pct"/>
            <w:noWrap/>
            <w:vAlign w:val="center"/>
            <w:hideMark/>
          </w:tcPr>
          <w:p w14:paraId="29E9459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105.70</w:t>
            </w:r>
          </w:p>
        </w:tc>
        <w:tc>
          <w:tcPr>
            <w:tcW w:w="143" w:type="pct"/>
            <w:noWrap/>
            <w:vAlign w:val="center"/>
            <w:hideMark/>
          </w:tcPr>
          <w:p w14:paraId="751F1B6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328.37</w:t>
            </w:r>
          </w:p>
        </w:tc>
        <w:tc>
          <w:tcPr>
            <w:tcW w:w="143" w:type="pct"/>
            <w:noWrap/>
            <w:vAlign w:val="center"/>
            <w:hideMark/>
          </w:tcPr>
          <w:p w14:paraId="456A1F3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609.59</w:t>
            </w:r>
          </w:p>
        </w:tc>
        <w:tc>
          <w:tcPr>
            <w:tcW w:w="143" w:type="pct"/>
            <w:noWrap/>
            <w:vAlign w:val="center"/>
            <w:hideMark/>
          </w:tcPr>
          <w:p w14:paraId="133B9B9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197.19</w:t>
            </w:r>
          </w:p>
        </w:tc>
        <w:tc>
          <w:tcPr>
            <w:tcW w:w="143" w:type="pct"/>
            <w:noWrap/>
            <w:vAlign w:val="center"/>
            <w:hideMark/>
          </w:tcPr>
          <w:p w14:paraId="70CD45F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423.18</w:t>
            </w:r>
          </w:p>
        </w:tc>
        <w:tc>
          <w:tcPr>
            <w:tcW w:w="143" w:type="pct"/>
            <w:noWrap/>
            <w:vAlign w:val="center"/>
            <w:hideMark/>
          </w:tcPr>
          <w:p w14:paraId="0E034CC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441.50</w:t>
            </w:r>
          </w:p>
        </w:tc>
        <w:tc>
          <w:tcPr>
            <w:tcW w:w="143" w:type="pct"/>
            <w:noWrap/>
            <w:vAlign w:val="center"/>
            <w:hideMark/>
          </w:tcPr>
          <w:p w14:paraId="2FA58C5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292.83</w:t>
            </w:r>
          </w:p>
        </w:tc>
      </w:tr>
      <w:tr w:rsidR="004959A9" w:rsidRPr="002F7C87" w14:paraId="6143AD7A"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3E85B213"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z13</w:t>
            </w:r>
          </w:p>
        </w:tc>
        <w:tc>
          <w:tcPr>
            <w:tcW w:w="143" w:type="pct"/>
            <w:noWrap/>
            <w:vAlign w:val="center"/>
            <w:hideMark/>
          </w:tcPr>
          <w:p w14:paraId="2A0D4CD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61.98</w:t>
            </w:r>
          </w:p>
        </w:tc>
        <w:tc>
          <w:tcPr>
            <w:tcW w:w="143" w:type="pct"/>
            <w:noWrap/>
            <w:vAlign w:val="center"/>
            <w:hideMark/>
          </w:tcPr>
          <w:p w14:paraId="5B4A521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114.26</w:t>
            </w:r>
          </w:p>
        </w:tc>
        <w:tc>
          <w:tcPr>
            <w:tcW w:w="143" w:type="pct"/>
            <w:noWrap/>
            <w:vAlign w:val="center"/>
            <w:hideMark/>
          </w:tcPr>
          <w:p w14:paraId="4D3CF33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261.83</w:t>
            </w:r>
          </w:p>
        </w:tc>
        <w:tc>
          <w:tcPr>
            <w:tcW w:w="143" w:type="pct"/>
            <w:noWrap/>
            <w:vAlign w:val="center"/>
            <w:hideMark/>
          </w:tcPr>
          <w:p w14:paraId="364C105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407.82</w:t>
            </w:r>
          </w:p>
        </w:tc>
        <w:tc>
          <w:tcPr>
            <w:tcW w:w="143" w:type="pct"/>
            <w:noWrap/>
            <w:vAlign w:val="center"/>
            <w:hideMark/>
          </w:tcPr>
          <w:p w14:paraId="1F1B1D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387.26</w:t>
            </w:r>
          </w:p>
        </w:tc>
        <w:tc>
          <w:tcPr>
            <w:tcW w:w="143" w:type="pct"/>
            <w:noWrap/>
            <w:vAlign w:val="center"/>
            <w:hideMark/>
          </w:tcPr>
          <w:p w14:paraId="6E4AF0B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196.74</w:t>
            </w:r>
          </w:p>
        </w:tc>
        <w:tc>
          <w:tcPr>
            <w:tcW w:w="143" w:type="pct"/>
            <w:noWrap/>
            <w:vAlign w:val="center"/>
            <w:hideMark/>
          </w:tcPr>
          <w:p w14:paraId="4C02560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325.87</w:t>
            </w:r>
          </w:p>
        </w:tc>
        <w:tc>
          <w:tcPr>
            <w:tcW w:w="143" w:type="pct"/>
            <w:noWrap/>
            <w:vAlign w:val="center"/>
            <w:hideMark/>
          </w:tcPr>
          <w:p w14:paraId="10AC37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239.98</w:t>
            </w:r>
          </w:p>
        </w:tc>
        <w:tc>
          <w:tcPr>
            <w:tcW w:w="143" w:type="pct"/>
            <w:noWrap/>
            <w:vAlign w:val="center"/>
            <w:hideMark/>
          </w:tcPr>
          <w:p w14:paraId="39D4FAA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74.27</w:t>
            </w:r>
          </w:p>
        </w:tc>
        <w:tc>
          <w:tcPr>
            <w:tcW w:w="143" w:type="pct"/>
            <w:noWrap/>
            <w:vAlign w:val="center"/>
            <w:hideMark/>
          </w:tcPr>
          <w:p w14:paraId="3AA0828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275.64</w:t>
            </w:r>
          </w:p>
        </w:tc>
        <w:tc>
          <w:tcPr>
            <w:tcW w:w="143" w:type="pct"/>
            <w:noWrap/>
            <w:vAlign w:val="center"/>
            <w:hideMark/>
          </w:tcPr>
          <w:p w14:paraId="3ABD49A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241.49</w:t>
            </w:r>
          </w:p>
        </w:tc>
        <w:tc>
          <w:tcPr>
            <w:tcW w:w="143" w:type="pct"/>
            <w:noWrap/>
            <w:vAlign w:val="center"/>
            <w:hideMark/>
          </w:tcPr>
          <w:p w14:paraId="0ABFF4E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552.60</w:t>
            </w:r>
          </w:p>
        </w:tc>
        <w:tc>
          <w:tcPr>
            <w:tcW w:w="143" w:type="pct"/>
            <w:noWrap/>
            <w:vAlign w:val="center"/>
            <w:hideMark/>
          </w:tcPr>
          <w:p w14:paraId="0123C6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547DECA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182.76</w:t>
            </w:r>
          </w:p>
        </w:tc>
        <w:tc>
          <w:tcPr>
            <w:tcW w:w="143" w:type="pct"/>
            <w:noWrap/>
            <w:vAlign w:val="center"/>
            <w:hideMark/>
          </w:tcPr>
          <w:p w14:paraId="7DED6B3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154.03</w:t>
            </w:r>
          </w:p>
        </w:tc>
        <w:tc>
          <w:tcPr>
            <w:tcW w:w="143" w:type="pct"/>
            <w:noWrap/>
            <w:vAlign w:val="center"/>
            <w:hideMark/>
          </w:tcPr>
          <w:p w14:paraId="1837BF8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193.13</w:t>
            </w:r>
          </w:p>
        </w:tc>
        <w:tc>
          <w:tcPr>
            <w:tcW w:w="143" w:type="pct"/>
            <w:noWrap/>
            <w:vAlign w:val="center"/>
            <w:hideMark/>
          </w:tcPr>
          <w:p w14:paraId="2DBC6DA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721.72</w:t>
            </w:r>
          </w:p>
        </w:tc>
        <w:tc>
          <w:tcPr>
            <w:tcW w:w="143" w:type="pct"/>
            <w:noWrap/>
            <w:vAlign w:val="center"/>
            <w:hideMark/>
          </w:tcPr>
          <w:p w14:paraId="30C7429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63.97</w:t>
            </w:r>
          </w:p>
        </w:tc>
        <w:tc>
          <w:tcPr>
            <w:tcW w:w="143" w:type="pct"/>
            <w:noWrap/>
            <w:vAlign w:val="center"/>
            <w:hideMark/>
          </w:tcPr>
          <w:p w14:paraId="675240B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311.76</w:t>
            </w:r>
          </w:p>
        </w:tc>
        <w:tc>
          <w:tcPr>
            <w:tcW w:w="143" w:type="pct"/>
            <w:noWrap/>
            <w:vAlign w:val="center"/>
            <w:hideMark/>
          </w:tcPr>
          <w:p w14:paraId="5988BC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129.39</w:t>
            </w:r>
          </w:p>
        </w:tc>
        <w:tc>
          <w:tcPr>
            <w:tcW w:w="143" w:type="pct"/>
            <w:noWrap/>
            <w:vAlign w:val="center"/>
            <w:hideMark/>
          </w:tcPr>
          <w:p w14:paraId="6DA4868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164.75</w:t>
            </w:r>
          </w:p>
        </w:tc>
        <w:tc>
          <w:tcPr>
            <w:tcW w:w="143" w:type="pct"/>
            <w:noWrap/>
            <w:vAlign w:val="center"/>
            <w:hideMark/>
          </w:tcPr>
          <w:p w14:paraId="5BC9265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56.48</w:t>
            </w:r>
          </w:p>
        </w:tc>
        <w:tc>
          <w:tcPr>
            <w:tcW w:w="143" w:type="pct"/>
            <w:noWrap/>
            <w:vAlign w:val="center"/>
            <w:hideMark/>
          </w:tcPr>
          <w:p w14:paraId="4ED158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279.89</w:t>
            </w:r>
          </w:p>
        </w:tc>
        <w:tc>
          <w:tcPr>
            <w:tcW w:w="143" w:type="pct"/>
            <w:noWrap/>
            <w:vAlign w:val="center"/>
            <w:hideMark/>
          </w:tcPr>
          <w:p w14:paraId="502D147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639.74</w:t>
            </w:r>
          </w:p>
        </w:tc>
        <w:tc>
          <w:tcPr>
            <w:tcW w:w="143" w:type="pct"/>
            <w:noWrap/>
            <w:vAlign w:val="center"/>
            <w:hideMark/>
          </w:tcPr>
          <w:p w14:paraId="6C76F63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297.53</w:t>
            </w:r>
          </w:p>
        </w:tc>
        <w:tc>
          <w:tcPr>
            <w:tcW w:w="143" w:type="pct"/>
            <w:noWrap/>
            <w:vAlign w:val="center"/>
            <w:hideMark/>
          </w:tcPr>
          <w:p w14:paraId="2AD085C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416.71</w:t>
            </w:r>
          </w:p>
        </w:tc>
        <w:tc>
          <w:tcPr>
            <w:tcW w:w="143" w:type="pct"/>
            <w:noWrap/>
            <w:vAlign w:val="center"/>
            <w:hideMark/>
          </w:tcPr>
          <w:p w14:paraId="1CA90F6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228.37</w:t>
            </w:r>
          </w:p>
        </w:tc>
        <w:tc>
          <w:tcPr>
            <w:tcW w:w="143" w:type="pct"/>
            <w:noWrap/>
            <w:vAlign w:val="center"/>
            <w:hideMark/>
          </w:tcPr>
          <w:p w14:paraId="1CC1337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502.87</w:t>
            </w:r>
          </w:p>
        </w:tc>
        <w:tc>
          <w:tcPr>
            <w:tcW w:w="143" w:type="pct"/>
            <w:noWrap/>
            <w:vAlign w:val="center"/>
            <w:hideMark/>
          </w:tcPr>
          <w:p w14:paraId="3AE053E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227.23</w:t>
            </w:r>
          </w:p>
        </w:tc>
        <w:tc>
          <w:tcPr>
            <w:tcW w:w="143" w:type="pct"/>
            <w:noWrap/>
            <w:vAlign w:val="center"/>
            <w:hideMark/>
          </w:tcPr>
          <w:p w14:paraId="4AFF2EB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99.82</w:t>
            </w:r>
          </w:p>
        </w:tc>
        <w:tc>
          <w:tcPr>
            <w:tcW w:w="143" w:type="pct"/>
            <w:noWrap/>
            <w:vAlign w:val="center"/>
            <w:hideMark/>
          </w:tcPr>
          <w:p w14:paraId="3AB0EB7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355.72</w:t>
            </w:r>
          </w:p>
        </w:tc>
        <w:tc>
          <w:tcPr>
            <w:tcW w:w="143" w:type="pct"/>
            <w:noWrap/>
            <w:vAlign w:val="center"/>
            <w:hideMark/>
          </w:tcPr>
          <w:p w14:paraId="30470AA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183.25</w:t>
            </w:r>
          </w:p>
        </w:tc>
        <w:tc>
          <w:tcPr>
            <w:tcW w:w="143" w:type="pct"/>
            <w:noWrap/>
            <w:vAlign w:val="center"/>
            <w:hideMark/>
          </w:tcPr>
          <w:p w14:paraId="3070864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327.76</w:t>
            </w:r>
          </w:p>
        </w:tc>
        <w:tc>
          <w:tcPr>
            <w:tcW w:w="143" w:type="pct"/>
            <w:noWrap/>
            <w:vAlign w:val="center"/>
            <w:hideMark/>
          </w:tcPr>
          <w:p w14:paraId="67DB406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264.40</w:t>
            </w:r>
          </w:p>
        </w:tc>
      </w:tr>
      <w:tr w:rsidR="004959A9" w:rsidRPr="002F7C87" w14:paraId="174B906B"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C630246"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z14</w:t>
            </w:r>
          </w:p>
        </w:tc>
        <w:tc>
          <w:tcPr>
            <w:tcW w:w="143" w:type="pct"/>
            <w:noWrap/>
            <w:vAlign w:val="center"/>
            <w:hideMark/>
          </w:tcPr>
          <w:p w14:paraId="7D5B394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127.93</w:t>
            </w:r>
          </w:p>
        </w:tc>
        <w:tc>
          <w:tcPr>
            <w:tcW w:w="143" w:type="pct"/>
            <w:noWrap/>
            <w:vAlign w:val="center"/>
            <w:hideMark/>
          </w:tcPr>
          <w:p w14:paraId="2FB150C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69.41</w:t>
            </w:r>
          </w:p>
        </w:tc>
        <w:tc>
          <w:tcPr>
            <w:tcW w:w="143" w:type="pct"/>
            <w:noWrap/>
            <w:vAlign w:val="center"/>
            <w:hideMark/>
          </w:tcPr>
          <w:p w14:paraId="4073CE9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189.01</w:t>
            </w:r>
          </w:p>
        </w:tc>
        <w:tc>
          <w:tcPr>
            <w:tcW w:w="143" w:type="pct"/>
            <w:noWrap/>
            <w:vAlign w:val="center"/>
            <w:hideMark/>
          </w:tcPr>
          <w:p w14:paraId="35CA0FF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232.34</w:t>
            </w:r>
          </w:p>
        </w:tc>
        <w:tc>
          <w:tcPr>
            <w:tcW w:w="143" w:type="pct"/>
            <w:noWrap/>
            <w:vAlign w:val="center"/>
            <w:hideMark/>
          </w:tcPr>
          <w:p w14:paraId="23D4242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344.57</w:t>
            </w:r>
          </w:p>
        </w:tc>
        <w:tc>
          <w:tcPr>
            <w:tcW w:w="143" w:type="pct"/>
            <w:noWrap/>
            <w:vAlign w:val="center"/>
            <w:hideMark/>
          </w:tcPr>
          <w:p w14:paraId="1C7C557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184.11</w:t>
            </w:r>
          </w:p>
        </w:tc>
        <w:tc>
          <w:tcPr>
            <w:tcW w:w="143" w:type="pct"/>
            <w:noWrap/>
            <w:vAlign w:val="center"/>
            <w:hideMark/>
          </w:tcPr>
          <w:p w14:paraId="68E8B4B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150.65</w:t>
            </w:r>
          </w:p>
        </w:tc>
        <w:tc>
          <w:tcPr>
            <w:tcW w:w="143" w:type="pct"/>
            <w:noWrap/>
            <w:vAlign w:val="center"/>
            <w:hideMark/>
          </w:tcPr>
          <w:p w14:paraId="426A9B1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71.85</w:t>
            </w:r>
          </w:p>
        </w:tc>
        <w:tc>
          <w:tcPr>
            <w:tcW w:w="143" w:type="pct"/>
            <w:noWrap/>
            <w:vAlign w:val="center"/>
            <w:hideMark/>
          </w:tcPr>
          <w:p w14:paraId="0ECB9DF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216.75</w:t>
            </w:r>
          </w:p>
        </w:tc>
        <w:tc>
          <w:tcPr>
            <w:tcW w:w="143" w:type="pct"/>
            <w:noWrap/>
            <w:vAlign w:val="center"/>
            <w:hideMark/>
          </w:tcPr>
          <w:p w14:paraId="3476D3F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131.95</w:t>
            </w:r>
          </w:p>
        </w:tc>
        <w:tc>
          <w:tcPr>
            <w:tcW w:w="143" w:type="pct"/>
            <w:noWrap/>
            <w:vAlign w:val="center"/>
            <w:hideMark/>
          </w:tcPr>
          <w:p w14:paraId="4DAE3AB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280.64</w:t>
            </w:r>
          </w:p>
        </w:tc>
        <w:tc>
          <w:tcPr>
            <w:tcW w:w="143" w:type="pct"/>
            <w:noWrap/>
            <w:vAlign w:val="center"/>
            <w:hideMark/>
          </w:tcPr>
          <w:p w14:paraId="300E663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524.96</w:t>
            </w:r>
          </w:p>
        </w:tc>
        <w:tc>
          <w:tcPr>
            <w:tcW w:w="143" w:type="pct"/>
            <w:noWrap/>
            <w:vAlign w:val="center"/>
            <w:hideMark/>
          </w:tcPr>
          <w:p w14:paraId="3374955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182.76</w:t>
            </w:r>
          </w:p>
        </w:tc>
        <w:tc>
          <w:tcPr>
            <w:tcW w:w="143" w:type="pct"/>
            <w:noWrap/>
            <w:vAlign w:val="center"/>
            <w:hideMark/>
          </w:tcPr>
          <w:p w14:paraId="1A90FA8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46E7C61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77.82</w:t>
            </w:r>
          </w:p>
        </w:tc>
        <w:tc>
          <w:tcPr>
            <w:tcW w:w="143" w:type="pct"/>
            <w:noWrap/>
            <w:vAlign w:val="center"/>
            <w:hideMark/>
          </w:tcPr>
          <w:p w14:paraId="44A6366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75.03</w:t>
            </w:r>
          </w:p>
        </w:tc>
        <w:tc>
          <w:tcPr>
            <w:tcW w:w="143" w:type="pct"/>
            <w:noWrap/>
            <w:vAlign w:val="center"/>
            <w:hideMark/>
          </w:tcPr>
          <w:p w14:paraId="3782823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685.98</w:t>
            </w:r>
          </w:p>
        </w:tc>
        <w:tc>
          <w:tcPr>
            <w:tcW w:w="143" w:type="pct"/>
            <w:noWrap/>
            <w:vAlign w:val="center"/>
            <w:hideMark/>
          </w:tcPr>
          <w:p w14:paraId="24CA153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196.34</w:t>
            </w:r>
          </w:p>
        </w:tc>
        <w:tc>
          <w:tcPr>
            <w:tcW w:w="143" w:type="pct"/>
            <w:noWrap/>
            <w:vAlign w:val="center"/>
            <w:hideMark/>
          </w:tcPr>
          <w:p w14:paraId="779C3F9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258.96</w:t>
            </w:r>
          </w:p>
        </w:tc>
        <w:tc>
          <w:tcPr>
            <w:tcW w:w="143" w:type="pct"/>
            <w:noWrap/>
            <w:vAlign w:val="center"/>
            <w:hideMark/>
          </w:tcPr>
          <w:p w14:paraId="4040333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130.47</w:t>
            </w:r>
          </w:p>
        </w:tc>
        <w:tc>
          <w:tcPr>
            <w:tcW w:w="143" w:type="pct"/>
            <w:noWrap/>
            <w:vAlign w:val="center"/>
            <w:hideMark/>
          </w:tcPr>
          <w:p w14:paraId="79F970A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219.32</w:t>
            </w:r>
          </w:p>
        </w:tc>
        <w:tc>
          <w:tcPr>
            <w:tcW w:w="143" w:type="pct"/>
            <w:noWrap/>
            <w:vAlign w:val="center"/>
            <w:hideMark/>
          </w:tcPr>
          <w:p w14:paraId="7163FF9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134.98</w:t>
            </w:r>
          </w:p>
        </w:tc>
        <w:tc>
          <w:tcPr>
            <w:tcW w:w="143" w:type="pct"/>
            <w:noWrap/>
            <w:vAlign w:val="center"/>
            <w:hideMark/>
          </w:tcPr>
          <w:p w14:paraId="24527D4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219.72</w:t>
            </w:r>
          </w:p>
        </w:tc>
        <w:tc>
          <w:tcPr>
            <w:tcW w:w="143" w:type="pct"/>
            <w:noWrap/>
            <w:vAlign w:val="center"/>
            <w:hideMark/>
          </w:tcPr>
          <w:p w14:paraId="0B9C289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635.87</w:t>
            </w:r>
          </w:p>
        </w:tc>
        <w:tc>
          <w:tcPr>
            <w:tcW w:w="143" w:type="pct"/>
            <w:noWrap/>
            <w:vAlign w:val="center"/>
            <w:hideMark/>
          </w:tcPr>
          <w:p w14:paraId="00CEEE7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299.32</w:t>
            </w:r>
          </w:p>
        </w:tc>
        <w:tc>
          <w:tcPr>
            <w:tcW w:w="143" w:type="pct"/>
            <w:noWrap/>
            <w:vAlign w:val="center"/>
            <w:hideMark/>
          </w:tcPr>
          <w:p w14:paraId="1DA0415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409.01</w:t>
            </w:r>
          </w:p>
        </w:tc>
        <w:tc>
          <w:tcPr>
            <w:tcW w:w="143" w:type="pct"/>
            <w:noWrap/>
            <w:vAlign w:val="center"/>
            <w:hideMark/>
          </w:tcPr>
          <w:p w14:paraId="27F7CA8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135.97</w:t>
            </w:r>
          </w:p>
        </w:tc>
        <w:tc>
          <w:tcPr>
            <w:tcW w:w="143" w:type="pct"/>
            <w:noWrap/>
            <w:vAlign w:val="center"/>
            <w:hideMark/>
          </w:tcPr>
          <w:p w14:paraId="682252A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445.97</w:t>
            </w:r>
          </w:p>
        </w:tc>
        <w:tc>
          <w:tcPr>
            <w:tcW w:w="143" w:type="pct"/>
            <w:noWrap/>
            <w:vAlign w:val="center"/>
            <w:hideMark/>
          </w:tcPr>
          <w:p w14:paraId="07CAE26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222.33</w:t>
            </w:r>
          </w:p>
        </w:tc>
        <w:tc>
          <w:tcPr>
            <w:tcW w:w="143" w:type="pct"/>
            <w:noWrap/>
            <w:vAlign w:val="center"/>
            <w:hideMark/>
          </w:tcPr>
          <w:p w14:paraId="0D5C248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139.18</w:t>
            </w:r>
          </w:p>
        </w:tc>
        <w:tc>
          <w:tcPr>
            <w:tcW w:w="143" w:type="pct"/>
            <w:noWrap/>
            <w:vAlign w:val="center"/>
            <w:hideMark/>
          </w:tcPr>
          <w:p w14:paraId="22F2B8E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349.81</w:t>
            </w:r>
          </w:p>
        </w:tc>
        <w:tc>
          <w:tcPr>
            <w:tcW w:w="143" w:type="pct"/>
            <w:noWrap/>
            <w:vAlign w:val="center"/>
            <w:hideMark/>
          </w:tcPr>
          <w:p w14:paraId="54ABFF3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106.70</w:t>
            </w:r>
          </w:p>
        </w:tc>
        <w:tc>
          <w:tcPr>
            <w:tcW w:w="143" w:type="pct"/>
            <w:noWrap/>
            <w:vAlign w:val="center"/>
            <w:hideMark/>
          </w:tcPr>
          <w:p w14:paraId="656A822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165.43</w:t>
            </w:r>
          </w:p>
        </w:tc>
        <w:tc>
          <w:tcPr>
            <w:tcW w:w="143" w:type="pct"/>
            <w:noWrap/>
            <w:vAlign w:val="center"/>
            <w:hideMark/>
          </w:tcPr>
          <w:p w14:paraId="4210BDB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246.88</w:t>
            </w:r>
          </w:p>
        </w:tc>
      </w:tr>
      <w:tr w:rsidR="004959A9" w:rsidRPr="002F7C87" w14:paraId="34A562D5"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48F01869"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z15</w:t>
            </w:r>
          </w:p>
        </w:tc>
        <w:tc>
          <w:tcPr>
            <w:tcW w:w="143" w:type="pct"/>
            <w:noWrap/>
            <w:vAlign w:val="center"/>
            <w:hideMark/>
          </w:tcPr>
          <w:p w14:paraId="3DE54F2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121.37</w:t>
            </w:r>
          </w:p>
        </w:tc>
        <w:tc>
          <w:tcPr>
            <w:tcW w:w="143" w:type="pct"/>
            <w:noWrap/>
            <w:vAlign w:val="center"/>
            <w:hideMark/>
          </w:tcPr>
          <w:p w14:paraId="211B8C2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78.08</w:t>
            </w:r>
          </w:p>
        </w:tc>
        <w:tc>
          <w:tcPr>
            <w:tcW w:w="143" w:type="pct"/>
            <w:noWrap/>
            <w:vAlign w:val="center"/>
            <w:hideMark/>
          </w:tcPr>
          <w:p w14:paraId="38DC71F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257.22</w:t>
            </w:r>
          </w:p>
        </w:tc>
        <w:tc>
          <w:tcPr>
            <w:tcW w:w="143" w:type="pct"/>
            <w:noWrap/>
            <w:vAlign w:val="center"/>
            <w:hideMark/>
          </w:tcPr>
          <w:p w14:paraId="7C0DA4C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259.83</w:t>
            </w:r>
          </w:p>
        </w:tc>
        <w:tc>
          <w:tcPr>
            <w:tcW w:w="143" w:type="pct"/>
            <w:noWrap/>
            <w:vAlign w:val="center"/>
            <w:hideMark/>
          </w:tcPr>
          <w:p w14:paraId="3276D35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411.05</w:t>
            </w:r>
          </w:p>
        </w:tc>
        <w:tc>
          <w:tcPr>
            <w:tcW w:w="143" w:type="pct"/>
            <w:noWrap/>
            <w:vAlign w:val="center"/>
            <w:hideMark/>
          </w:tcPr>
          <w:p w14:paraId="139665E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234.17</w:t>
            </w:r>
          </w:p>
        </w:tc>
        <w:tc>
          <w:tcPr>
            <w:tcW w:w="143" w:type="pct"/>
            <w:noWrap/>
            <w:vAlign w:val="center"/>
            <w:hideMark/>
          </w:tcPr>
          <w:p w14:paraId="0BCF48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180.11</w:t>
            </w:r>
          </w:p>
        </w:tc>
        <w:tc>
          <w:tcPr>
            <w:tcW w:w="143" w:type="pct"/>
            <w:noWrap/>
            <w:vAlign w:val="center"/>
            <w:hideMark/>
          </w:tcPr>
          <w:p w14:paraId="2A118FB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96.32</w:t>
            </w:r>
          </w:p>
        </w:tc>
        <w:tc>
          <w:tcPr>
            <w:tcW w:w="143" w:type="pct"/>
            <w:noWrap/>
            <w:vAlign w:val="center"/>
            <w:hideMark/>
          </w:tcPr>
          <w:p w14:paraId="7EC41CE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211.20</w:t>
            </w:r>
          </w:p>
        </w:tc>
        <w:tc>
          <w:tcPr>
            <w:tcW w:w="143" w:type="pct"/>
            <w:noWrap/>
            <w:vAlign w:val="center"/>
            <w:hideMark/>
          </w:tcPr>
          <w:p w14:paraId="4494A7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209.74</w:t>
            </w:r>
          </w:p>
        </w:tc>
        <w:tc>
          <w:tcPr>
            <w:tcW w:w="143" w:type="pct"/>
            <w:noWrap/>
            <w:vAlign w:val="center"/>
            <w:hideMark/>
          </w:tcPr>
          <w:p w14:paraId="15F24E4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321.12</w:t>
            </w:r>
          </w:p>
        </w:tc>
        <w:tc>
          <w:tcPr>
            <w:tcW w:w="143" w:type="pct"/>
            <w:noWrap/>
            <w:vAlign w:val="center"/>
            <w:hideMark/>
          </w:tcPr>
          <w:p w14:paraId="0BB1C1E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590.65</w:t>
            </w:r>
          </w:p>
        </w:tc>
        <w:tc>
          <w:tcPr>
            <w:tcW w:w="143" w:type="pct"/>
            <w:noWrap/>
            <w:vAlign w:val="center"/>
            <w:hideMark/>
          </w:tcPr>
          <w:p w14:paraId="3D677E2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154.03</w:t>
            </w:r>
          </w:p>
        </w:tc>
        <w:tc>
          <w:tcPr>
            <w:tcW w:w="143" w:type="pct"/>
            <w:noWrap/>
            <w:vAlign w:val="center"/>
            <w:hideMark/>
          </w:tcPr>
          <w:p w14:paraId="466048F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77.82</w:t>
            </w:r>
          </w:p>
        </w:tc>
        <w:tc>
          <w:tcPr>
            <w:tcW w:w="143" w:type="pct"/>
            <w:noWrap/>
            <w:vAlign w:val="center"/>
            <w:hideMark/>
          </w:tcPr>
          <w:p w14:paraId="76DCADB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0B00E18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144.88</w:t>
            </w:r>
          </w:p>
        </w:tc>
        <w:tc>
          <w:tcPr>
            <w:tcW w:w="143" w:type="pct"/>
            <w:noWrap/>
            <w:vAlign w:val="center"/>
            <w:hideMark/>
          </w:tcPr>
          <w:p w14:paraId="3BD7E94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754.57</w:t>
            </w:r>
          </w:p>
        </w:tc>
        <w:tc>
          <w:tcPr>
            <w:tcW w:w="143" w:type="pct"/>
            <w:noWrap/>
            <w:vAlign w:val="center"/>
            <w:hideMark/>
          </w:tcPr>
          <w:p w14:paraId="651E2E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142.61</w:t>
            </w:r>
          </w:p>
        </w:tc>
        <w:tc>
          <w:tcPr>
            <w:tcW w:w="143" w:type="pct"/>
            <w:noWrap/>
            <w:vAlign w:val="center"/>
            <w:hideMark/>
          </w:tcPr>
          <w:p w14:paraId="51DF44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325.45</w:t>
            </w:r>
          </w:p>
        </w:tc>
        <w:tc>
          <w:tcPr>
            <w:tcW w:w="143" w:type="pct"/>
            <w:noWrap/>
            <w:vAlign w:val="center"/>
            <w:hideMark/>
          </w:tcPr>
          <w:p w14:paraId="7D5B6F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164.71</w:t>
            </w:r>
          </w:p>
        </w:tc>
        <w:tc>
          <w:tcPr>
            <w:tcW w:w="143" w:type="pct"/>
            <w:noWrap/>
            <w:vAlign w:val="center"/>
            <w:hideMark/>
          </w:tcPr>
          <w:p w14:paraId="37D63CD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249.53</w:t>
            </w:r>
          </w:p>
        </w:tc>
        <w:tc>
          <w:tcPr>
            <w:tcW w:w="143" w:type="pct"/>
            <w:noWrap/>
            <w:vAlign w:val="center"/>
            <w:hideMark/>
          </w:tcPr>
          <w:p w14:paraId="30E8FDB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97.62</w:t>
            </w:r>
          </w:p>
        </w:tc>
        <w:tc>
          <w:tcPr>
            <w:tcW w:w="143" w:type="pct"/>
            <w:noWrap/>
            <w:vAlign w:val="center"/>
            <w:hideMark/>
          </w:tcPr>
          <w:p w14:paraId="755A27C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286.39</w:t>
            </w:r>
          </w:p>
        </w:tc>
        <w:tc>
          <w:tcPr>
            <w:tcW w:w="143" w:type="pct"/>
            <w:noWrap/>
            <w:vAlign w:val="center"/>
            <w:hideMark/>
          </w:tcPr>
          <w:p w14:paraId="1EB3DB8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696.82</w:t>
            </w:r>
          </w:p>
        </w:tc>
        <w:tc>
          <w:tcPr>
            <w:tcW w:w="143" w:type="pct"/>
            <w:noWrap/>
            <w:vAlign w:val="center"/>
            <w:hideMark/>
          </w:tcPr>
          <w:p w14:paraId="74F977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352.67</w:t>
            </w:r>
          </w:p>
        </w:tc>
        <w:tc>
          <w:tcPr>
            <w:tcW w:w="143" w:type="pct"/>
            <w:noWrap/>
            <w:vAlign w:val="center"/>
            <w:hideMark/>
          </w:tcPr>
          <w:p w14:paraId="2165739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468.14</w:t>
            </w:r>
          </w:p>
        </w:tc>
        <w:tc>
          <w:tcPr>
            <w:tcW w:w="143" w:type="pct"/>
            <w:noWrap/>
            <w:vAlign w:val="center"/>
            <w:hideMark/>
          </w:tcPr>
          <w:p w14:paraId="4C10604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205.52</w:t>
            </w:r>
          </w:p>
        </w:tc>
        <w:tc>
          <w:tcPr>
            <w:tcW w:w="143" w:type="pct"/>
            <w:noWrap/>
            <w:vAlign w:val="center"/>
            <w:hideMark/>
          </w:tcPr>
          <w:p w14:paraId="2B49E69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516.89</w:t>
            </w:r>
          </w:p>
        </w:tc>
        <w:tc>
          <w:tcPr>
            <w:tcW w:w="143" w:type="pct"/>
            <w:noWrap/>
            <w:vAlign w:val="center"/>
            <w:hideMark/>
          </w:tcPr>
          <w:p w14:paraId="4D1F4F0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273.43</w:t>
            </w:r>
          </w:p>
        </w:tc>
        <w:tc>
          <w:tcPr>
            <w:tcW w:w="143" w:type="pct"/>
            <w:noWrap/>
            <w:vAlign w:val="center"/>
            <w:hideMark/>
          </w:tcPr>
          <w:p w14:paraId="452766C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74.79</w:t>
            </w:r>
          </w:p>
        </w:tc>
        <w:tc>
          <w:tcPr>
            <w:tcW w:w="143" w:type="pct"/>
            <w:noWrap/>
            <w:vAlign w:val="center"/>
            <w:hideMark/>
          </w:tcPr>
          <w:p w14:paraId="139FCD9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407.08</w:t>
            </w:r>
          </w:p>
        </w:tc>
        <w:tc>
          <w:tcPr>
            <w:tcW w:w="143" w:type="pct"/>
            <w:noWrap/>
            <w:vAlign w:val="center"/>
            <w:hideMark/>
          </w:tcPr>
          <w:p w14:paraId="749E209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167.50</w:t>
            </w:r>
          </w:p>
        </w:tc>
        <w:tc>
          <w:tcPr>
            <w:tcW w:w="143" w:type="pct"/>
            <w:noWrap/>
            <w:vAlign w:val="center"/>
            <w:hideMark/>
          </w:tcPr>
          <w:p w14:paraId="715651A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240.95</w:t>
            </w:r>
          </w:p>
        </w:tc>
        <w:tc>
          <w:tcPr>
            <w:tcW w:w="143" w:type="pct"/>
            <w:noWrap/>
            <w:vAlign w:val="center"/>
            <w:hideMark/>
          </w:tcPr>
          <w:p w14:paraId="178717B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303.43</w:t>
            </w:r>
          </w:p>
        </w:tc>
      </w:tr>
      <w:tr w:rsidR="004959A9" w:rsidRPr="002F7C87" w14:paraId="79EB0604"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47CD4452"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z16</w:t>
            </w:r>
          </w:p>
        </w:tc>
        <w:tc>
          <w:tcPr>
            <w:tcW w:w="143" w:type="pct"/>
            <w:noWrap/>
            <w:vAlign w:val="center"/>
            <w:hideMark/>
          </w:tcPr>
          <w:p w14:paraId="28C2C77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131.15</w:t>
            </w:r>
          </w:p>
        </w:tc>
        <w:tc>
          <w:tcPr>
            <w:tcW w:w="143" w:type="pct"/>
            <w:noWrap/>
            <w:vAlign w:val="center"/>
            <w:hideMark/>
          </w:tcPr>
          <w:p w14:paraId="536A291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92.04</w:t>
            </w:r>
          </w:p>
        </w:tc>
        <w:tc>
          <w:tcPr>
            <w:tcW w:w="143" w:type="pct"/>
            <w:noWrap/>
            <w:vAlign w:val="center"/>
            <w:hideMark/>
          </w:tcPr>
          <w:p w14:paraId="2AB75EE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114.17</w:t>
            </w:r>
          </w:p>
        </w:tc>
        <w:tc>
          <w:tcPr>
            <w:tcW w:w="143" w:type="pct"/>
            <w:noWrap/>
            <w:vAlign w:val="center"/>
            <w:hideMark/>
          </w:tcPr>
          <w:p w14:paraId="57C08DF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272.91</w:t>
            </w:r>
          </w:p>
        </w:tc>
        <w:tc>
          <w:tcPr>
            <w:tcW w:w="143" w:type="pct"/>
            <w:noWrap/>
            <w:vAlign w:val="center"/>
            <w:hideMark/>
          </w:tcPr>
          <w:p w14:paraId="1112687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269.64</w:t>
            </w:r>
          </w:p>
        </w:tc>
        <w:tc>
          <w:tcPr>
            <w:tcW w:w="143" w:type="pct"/>
            <w:noWrap/>
            <w:vAlign w:val="center"/>
            <w:hideMark/>
          </w:tcPr>
          <w:p w14:paraId="0A3D5D4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117.58</w:t>
            </w:r>
          </w:p>
        </w:tc>
        <w:tc>
          <w:tcPr>
            <w:tcW w:w="143" w:type="pct"/>
            <w:noWrap/>
            <w:vAlign w:val="center"/>
            <w:hideMark/>
          </w:tcPr>
          <w:p w14:paraId="6F2FC59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197.44</w:t>
            </w:r>
          </w:p>
        </w:tc>
        <w:tc>
          <w:tcPr>
            <w:tcW w:w="143" w:type="pct"/>
            <w:noWrap/>
            <w:vAlign w:val="center"/>
            <w:hideMark/>
          </w:tcPr>
          <w:p w14:paraId="16BCA53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136.75</w:t>
            </w:r>
          </w:p>
        </w:tc>
        <w:tc>
          <w:tcPr>
            <w:tcW w:w="143" w:type="pct"/>
            <w:noWrap/>
            <w:vAlign w:val="center"/>
            <w:hideMark/>
          </w:tcPr>
          <w:p w14:paraId="5E1B545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200.12</w:t>
            </w:r>
          </w:p>
        </w:tc>
        <w:tc>
          <w:tcPr>
            <w:tcW w:w="143" w:type="pct"/>
            <w:noWrap/>
            <w:vAlign w:val="center"/>
            <w:hideMark/>
          </w:tcPr>
          <w:p w14:paraId="597FAF9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82.67</w:t>
            </w:r>
          </w:p>
        </w:tc>
        <w:tc>
          <w:tcPr>
            <w:tcW w:w="143" w:type="pct"/>
            <w:noWrap/>
            <w:vAlign w:val="center"/>
            <w:hideMark/>
          </w:tcPr>
          <w:p w14:paraId="1280758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217.29</w:t>
            </w:r>
          </w:p>
        </w:tc>
        <w:tc>
          <w:tcPr>
            <w:tcW w:w="143" w:type="pct"/>
            <w:noWrap/>
            <w:vAlign w:val="center"/>
            <w:hideMark/>
          </w:tcPr>
          <w:p w14:paraId="652A441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450.01</w:t>
            </w:r>
          </w:p>
        </w:tc>
        <w:tc>
          <w:tcPr>
            <w:tcW w:w="143" w:type="pct"/>
            <w:noWrap/>
            <w:vAlign w:val="center"/>
            <w:hideMark/>
          </w:tcPr>
          <w:p w14:paraId="2183041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193.13</w:t>
            </w:r>
          </w:p>
        </w:tc>
        <w:tc>
          <w:tcPr>
            <w:tcW w:w="143" w:type="pct"/>
            <w:noWrap/>
            <w:vAlign w:val="center"/>
            <w:hideMark/>
          </w:tcPr>
          <w:p w14:paraId="3A40C91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75.03</w:t>
            </w:r>
          </w:p>
        </w:tc>
        <w:tc>
          <w:tcPr>
            <w:tcW w:w="143" w:type="pct"/>
            <w:noWrap/>
            <w:vAlign w:val="center"/>
            <w:hideMark/>
          </w:tcPr>
          <w:p w14:paraId="6270207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144.88</w:t>
            </w:r>
          </w:p>
        </w:tc>
        <w:tc>
          <w:tcPr>
            <w:tcW w:w="143" w:type="pct"/>
            <w:noWrap/>
            <w:vAlign w:val="center"/>
            <w:hideMark/>
          </w:tcPr>
          <w:p w14:paraId="0299972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594754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611.66</w:t>
            </w:r>
          </w:p>
        </w:tc>
        <w:tc>
          <w:tcPr>
            <w:tcW w:w="143" w:type="pct"/>
            <w:noWrap/>
            <w:vAlign w:val="center"/>
            <w:hideMark/>
          </w:tcPr>
          <w:p w14:paraId="2089726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228.02</w:t>
            </w:r>
          </w:p>
        </w:tc>
        <w:tc>
          <w:tcPr>
            <w:tcW w:w="143" w:type="pct"/>
            <w:noWrap/>
            <w:vAlign w:val="center"/>
            <w:hideMark/>
          </w:tcPr>
          <w:p w14:paraId="53F7CC2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183.97</w:t>
            </w:r>
          </w:p>
        </w:tc>
        <w:tc>
          <w:tcPr>
            <w:tcW w:w="143" w:type="pct"/>
            <w:noWrap/>
            <w:vAlign w:val="center"/>
            <w:hideMark/>
          </w:tcPr>
          <w:p w14:paraId="646037C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89.15</w:t>
            </w:r>
          </w:p>
        </w:tc>
        <w:tc>
          <w:tcPr>
            <w:tcW w:w="143" w:type="pct"/>
            <w:noWrap/>
            <w:vAlign w:val="center"/>
            <w:hideMark/>
          </w:tcPr>
          <w:p w14:paraId="5A49BDC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167.86</w:t>
            </w:r>
          </w:p>
        </w:tc>
        <w:tc>
          <w:tcPr>
            <w:tcW w:w="143" w:type="pct"/>
            <w:noWrap/>
            <w:vAlign w:val="center"/>
            <w:hideMark/>
          </w:tcPr>
          <w:p w14:paraId="5A02D40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162.66</w:t>
            </w:r>
          </w:p>
        </w:tc>
        <w:tc>
          <w:tcPr>
            <w:tcW w:w="143" w:type="pct"/>
            <w:noWrap/>
            <w:vAlign w:val="center"/>
            <w:hideMark/>
          </w:tcPr>
          <w:p w14:paraId="398E2FF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144.71</w:t>
            </w:r>
          </w:p>
        </w:tc>
        <w:tc>
          <w:tcPr>
            <w:tcW w:w="143" w:type="pct"/>
            <w:noWrap/>
            <w:vAlign w:val="center"/>
            <w:hideMark/>
          </w:tcPr>
          <w:p w14:paraId="1ED2315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560.99</w:t>
            </w:r>
          </w:p>
        </w:tc>
        <w:tc>
          <w:tcPr>
            <w:tcW w:w="143" w:type="pct"/>
            <w:noWrap/>
            <w:vAlign w:val="center"/>
            <w:hideMark/>
          </w:tcPr>
          <w:p w14:paraId="00BC2CC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227.56</w:t>
            </w:r>
          </w:p>
        </w:tc>
        <w:tc>
          <w:tcPr>
            <w:tcW w:w="143" w:type="pct"/>
            <w:noWrap/>
            <w:vAlign w:val="center"/>
            <w:hideMark/>
          </w:tcPr>
          <w:p w14:paraId="4E0DA08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334.62</w:t>
            </w:r>
          </w:p>
        </w:tc>
        <w:tc>
          <w:tcPr>
            <w:tcW w:w="143" w:type="pct"/>
            <w:noWrap/>
            <w:vAlign w:val="center"/>
            <w:hideMark/>
          </w:tcPr>
          <w:p w14:paraId="7BD478F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61.32</w:t>
            </w:r>
          </w:p>
        </w:tc>
        <w:tc>
          <w:tcPr>
            <w:tcW w:w="143" w:type="pct"/>
            <w:noWrap/>
            <w:vAlign w:val="center"/>
            <w:hideMark/>
          </w:tcPr>
          <w:p w14:paraId="213289A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372.55</w:t>
            </w:r>
          </w:p>
        </w:tc>
        <w:tc>
          <w:tcPr>
            <w:tcW w:w="143" w:type="pct"/>
            <w:noWrap/>
            <w:vAlign w:val="center"/>
            <w:hideMark/>
          </w:tcPr>
          <w:p w14:paraId="2AD8B72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153.31</w:t>
            </w:r>
          </w:p>
        </w:tc>
        <w:tc>
          <w:tcPr>
            <w:tcW w:w="143" w:type="pct"/>
            <w:noWrap/>
            <w:vAlign w:val="center"/>
            <w:hideMark/>
          </w:tcPr>
          <w:p w14:paraId="56F6E59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187.50</w:t>
            </w:r>
          </w:p>
        </w:tc>
        <w:tc>
          <w:tcPr>
            <w:tcW w:w="143" w:type="pct"/>
            <w:noWrap/>
            <w:vAlign w:val="center"/>
            <w:hideMark/>
          </w:tcPr>
          <w:p w14:paraId="58D312A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276.11</w:t>
            </w:r>
          </w:p>
        </w:tc>
        <w:tc>
          <w:tcPr>
            <w:tcW w:w="143" w:type="pct"/>
            <w:noWrap/>
            <w:vAlign w:val="center"/>
            <w:hideMark/>
          </w:tcPr>
          <w:p w14:paraId="347F2BA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37.66</w:t>
            </w:r>
          </w:p>
        </w:tc>
        <w:tc>
          <w:tcPr>
            <w:tcW w:w="143" w:type="pct"/>
            <w:noWrap/>
            <w:vAlign w:val="center"/>
            <w:hideMark/>
          </w:tcPr>
          <w:p w14:paraId="0DBA1B6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135.81</w:t>
            </w:r>
          </w:p>
        </w:tc>
        <w:tc>
          <w:tcPr>
            <w:tcW w:w="143" w:type="pct"/>
            <w:noWrap/>
            <w:vAlign w:val="center"/>
            <w:hideMark/>
          </w:tcPr>
          <w:p w14:paraId="37BA1CA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174.22</w:t>
            </w:r>
          </w:p>
        </w:tc>
      </w:tr>
      <w:tr w:rsidR="004959A9" w:rsidRPr="002F7C87" w14:paraId="241BB3EA"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4852BA3E"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z17</w:t>
            </w:r>
          </w:p>
        </w:tc>
        <w:tc>
          <w:tcPr>
            <w:tcW w:w="143" w:type="pct"/>
            <w:noWrap/>
            <w:vAlign w:val="center"/>
            <w:hideMark/>
          </w:tcPr>
          <w:p w14:paraId="28BFC0D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682.37</w:t>
            </w:r>
          </w:p>
        </w:tc>
        <w:tc>
          <w:tcPr>
            <w:tcW w:w="143" w:type="pct"/>
            <w:noWrap/>
            <w:vAlign w:val="center"/>
            <w:hideMark/>
          </w:tcPr>
          <w:p w14:paraId="5F564D5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685.33</w:t>
            </w:r>
          </w:p>
        </w:tc>
        <w:tc>
          <w:tcPr>
            <w:tcW w:w="143" w:type="pct"/>
            <w:noWrap/>
            <w:vAlign w:val="center"/>
            <w:hideMark/>
          </w:tcPr>
          <w:p w14:paraId="0CE24D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497.72</w:t>
            </w:r>
          </w:p>
        </w:tc>
        <w:tc>
          <w:tcPr>
            <w:tcW w:w="143" w:type="pct"/>
            <w:noWrap/>
            <w:vAlign w:val="center"/>
            <w:hideMark/>
          </w:tcPr>
          <w:p w14:paraId="60C74FC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788.33</w:t>
            </w:r>
          </w:p>
        </w:tc>
        <w:tc>
          <w:tcPr>
            <w:tcW w:w="143" w:type="pct"/>
            <w:noWrap/>
            <w:vAlign w:val="center"/>
            <w:hideMark/>
          </w:tcPr>
          <w:p w14:paraId="594D634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343.89</w:t>
            </w:r>
          </w:p>
        </w:tc>
        <w:tc>
          <w:tcPr>
            <w:tcW w:w="143" w:type="pct"/>
            <w:noWrap/>
            <w:vAlign w:val="center"/>
            <w:hideMark/>
          </w:tcPr>
          <w:p w14:paraId="08E6AC0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532.52</w:t>
            </w:r>
          </w:p>
        </w:tc>
        <w:tc>
          <w:tcPr>
            <w:tcW w:w="143" w:type="pct"/>
            <w:noWrap/>
            <w:vAlign w:val="center"/>
            <w:hideMark/>
          </w:tcPr>
          <w:p w14:paraId="14617CF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752.30</w:t>
            </w:r>
          </w:p>
        </w:tc>
        <w:tc>
          <w:tcPr>
            <w:tcW w:w="143" w:type="pct"/>
            <w:noWrap/>
            <w:vAlign w:val="center"/>
            <w:hideMark/>
          </w:tcPr>
          <w:p w14:paraId="7B03674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733.92</w:t>
            </w:r>
          </w:p>
        </w:tc>
        <w:tc>
          <w:tcPr>
            <w:tcW w:w="143" w:type="pct"/>
            <w:noWrap/>
            <w:vAlign w:val="center"/>
            <w:hideMark/>
          </w:tcPr>
          <w:p w14:paraId="4C9D989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662.86</w:t>
            </w:r>
          </w:p>
        </w:tc>
        <w:tc>
          <w:tcPr>
            <w:tcW w:w="143" w:type="pct"/>
            <w:noWrap/>
            <w:vAlign w:val="center"/>
            <w:hideMark/>
          </w:tcPr>
          <w:p w14:paraId="54F46AB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572.25</w:t>
            </w:r>
          </w:p>
        </w:tc>
        <w:tc>
          <w:tcPr>
            <w:tcW w:w="143" w:type="pct"/>
            <w:noWrap/>
            <w:vAlign w:val="center"/>
            <w:hideMark/>
          </w:tcPr>
          <w:p w14:paraId="3FAEEAB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485.75</w:t>
            </w:r>
          </w:p>
        </w:tc>
        <w:tc>
          <w:tcPr>
            <w:tcW w:w="143" w:type="pct"/>
            <w:noWrap/>
            <w:vAlign w:val="center"/>
            <w:hideMark/>
          </w:tcPr>
          <w:p w14:paraId="346F281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169.14</w:t>
            </w:r>
          </w:p>
        </w:tc>
        <w:tc>
          <w:tcPr>
            <w:tcW w:w="143" w:type="pct"/>
            <w:noWrap/>
            <w:vAlign w:val="center"/>
            <w:hideMark/>
          </w:tcPr>
          <w:p w14:paraId="27623B1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721.72</w:t>
            </w:r>
          </w:p>
        </w:tc>
        <w:tc>
          <w:tcPr>
            <w:tcW w:w="143" w:type="pct"/>
            <w:noWrap/>
            <w:vAlign w:val="center"/>
            <w:hideMark/>
          </w:tcPr>
          <w:p w14:paraId="7E81024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685.98</w:t>
            </w:r>
          </w:p>
        </w:tc>
        <w:tc>
          <w:tcPr>
            <w:tcW w:w="143" w:type="pct"/>
            <w:noWrap/>
            <w:vAlign w:val="center"/>
            <w:hideMark/>
          </w:tcPr>
          <w:p w14:paraId="3640FE0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754.57</w:t>
            </w:r>
          </w:p>
        </w:tc>
        <w:tc>
          <w:tcPr>
            <w:tcW w:w="143" w:type="pct"/>
            <w:noWrap/>
            <w:vAlign w:val="center"/>
            <w:hideMark/>
          </w:tcPr>
          <w:p w14:paraId="765D971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611.66</w:t>
            </w:r>
          </w:p>
        </w:tc>
        <w:tc>
          <w:tcPr>
            <w:tcW w:w="143" w:type="pct"/>
            <w:noWrap/>
            <w:vAlign w:val="center"/>
            <w:hideMark/>
          </w:tcPr>
          <w:p w14:paraId="7F7B7EE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FBFC9C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783.45</w:t>
            </w:r>
          </w:p>
        </w:tc>
        <w:tc>
          <w:tcPr>
            <w:tcW w:w="143" w:type="pct"/>
            <w:noWrap/>
            <w:vAlign w:val="center"/>
            <w:hideMark/>
          </w:tcPr>
          <w:p w14:paraId="3BAC556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429.18</w:t>
            </w:r>
          </w:p>
        </w:tc>
        <w:tc>
          <w:tcPr>
            <w:tcW w:w="143" w:type="pct"/>
            <w:noWrap/>
            <w:vAlign w:val="center"/>
            <w:hideMark/>
          </w:tcPr>
          <w:p w14:paraId="5D55D55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608.03</w:t>
            </w:r>
          </w:p>
        </w:tc>
        <w:tc>
          <w:tcPr>
            <w:tcW w:w="143" w:type="pct"/>
            <w:noWrap/>
            <w:vAlign w:val="center"/>
            <w:hideMark/>
          </w:tcPr>
          <w:p w14:paraId="40E5706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558.37</w:t>
            </w:r>
          </w:p>
        </w:tc>
        <w:tc>
          <w:tcPr>
            <w:tcW w:w="143" w:type="pct"/>
            <w:noWrap/>
            <w:vAlign w:val="center"/>
            <w:hideMark/>
          </w:tcPr>
          <w:p w14:paraId="3D15C91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732.36</w:t>
            </w:r>
          </w:p>
        </w:tc>
        <w:tc>
          <w:tcPr>
            <w:tcW w:w="143" w:type="pct"/>
            <w:noWrap/>
            <w:vAlign w:val="center"/>
            <w:hideMark/>
          </w:tcPr>
          <w:p w14:paraId="07CFDDC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468.18</w:t>
            </w:r>
          </w:p>
        </w:tc>
        <w:tc>
          <w:tcPr>
            <w:tcW w:w="143" w:type="pct"/>
            <w:noWrap/>
            <w:vAlign w:val="center"/>
            <w:hideMark/>
          </w:tcPr>
          <w:p w14:paraId="4C7D03F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134.94</w:t>
            </w:r>
          </w:p>
        </w:tc>
        <w:tc>
          <w:tcPr>
            <w:tcW w:w="143" w:type="pct"/>
            <w:noWrap/>
            <w:vAlign w:val="center"/>
            <w:hideMark/>
          </w:tcPr>
          <w:p w14:paraId="730F378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424.31</w:t>
            </w:r>
          </w:p>
        </w:tc>
        <w:tc>
          <w:tcPr>
            <w:tcW w:w="143" w:type="pct"/>
            <w:noWrap/>
            <w:vAlign w:val="center"/>
            <w:hideMark/>
          </w:tcPr>
          <w:p w14:paraId="29D1695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306.69</w:t>
            </w:r>
          </w:p>
        </w:tc>
        <w:tc>
          <w:tcPr>
            <w:tcW w:w="143" w:type="pct"/>
            <w:noWrap/>
            <w:vAlign w:val="center"/>
            <w:hideMark/>
          </w:tcPr>
          <w:p w14:paraId="61C2224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550.34</w:t>
            </w:r>
          </w:p>
        </w:tc>
        <w:tc>
          <w:tcPr>
            <w:tcW w:w="143" w:type="pct"/>
            <w:noWrap/>
            <w:vAlign w:val="center"/>
            <w:hideMark/>
          </w:tcPr>
          <w:p w14:paraId="6FA95C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242.21</w:t>
            </w:r>
          </w:p>
        </w:tc>
        <w:tc>
          <w:tcPr>
            <w:tcW w:w="143" w:type="pct"/>
            <w:noWrap/>
            <w:vAlign w:val="center"/>
            <w:hideMark/>
          </w:tcPr>
          <w:p w14:paraId="4F49A84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496.89</w:t>
            </w:r>
          </w:p>
        </w:tc>
        <w:tc>
          <w:tcPr>
            <w:tcW w:w="143" w:type="pct"/>
            <w:noWrap/>
            <w:vAlign w:val="center"/>
            <w:hideMark/>
          </w:tcPr>
          <w:p w14:paraId="57C9070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777.01</w:t>
            </w:r>
          </w:p>
        </w:tc>
        <w:tc>
          <w:tcPr>
            <w:tcW w:w="143" w:type="pct"/>
            <w:noWrap/>
            <w:vAlign w:val="center"/>
            <w:hideMark/>
          </w:tcPr>
          <w:p w14:paraId="561E841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366.30</w:t>
            </w:r>
          </w:p>
        </w:tc>
        <w:tc>
          <w:tcPr>
            <w:tcW w:w="143" w:type="pct"/>
            <w:noWrap/>
            <w:vAlign w:val="center"/>
            <w:hideMark/>
          </w:tcPr>
          <w:p w14:paraId="6BBE07D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587.29</w:t>
            </w:r>
          </w:p>
        </w:tc>
        <w:tc>
          <w:tcPr>
            <w:tcW w:w="143" w:type="pct"/>
            <w:noWrap/>
            <w:vAlign w:val="center"/>
            <w:hideMark/>
          </w:tcPr>
          <w:p w14:paraId="743FF1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584.76</w:t>
            </w:r>
          </w:p>
        </w:tc>
        <w:tc>
          <w:tcPr>
            <w:tcW w:w="143" w:type="pct"/>
            <w:noWrap/>
            <w:vAlign w:val="center"/>
            <w:hideMark/>
          </w:tcPr>
          <w:p w14:paraId="5410D08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460.89</w:t>
            </w:r>
          </w:p>
        </w:tc>
      </w:tr>
      <w:tr w:rsidR="004959A9" w:rsidRPr="002F7C87" w14:paraId="50E9D7DD"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55D1E3AF"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z18</w:t>
            </w:r>
          </w:p>
        </w:tc>
        <w:tc>
          <w:tcPr>
            <w:tcW w:w="143" w:type="pct"/>
            <w:noWrap/>
            <w:vAlign w:val="center"/>
            <w:hideMark/>
          </w:tcPr>
          <w:p w14:paraId="70189BF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106.50</w:t>
            </w:r>
          </w:p>
        </w:tc>
        <w:tc>
          <w:tcPr>
            <w:tcW w:w="143" w:type="pct"/>
            <w:noWrap/>
            <w:vAlign w:val="center"/>
            <w:hideMark/>
          </w:tcPr>
          <w:p w14:paraId="7B2377E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137.62</w:t>
            </w:r>
          </w:p>
        </w:tc>
        <w:tc>
          <w:tcPr>
            <w:tcW w:w="143" w:type="pct"/>
            <w:noWrap/>
            <w:vAlign w:val="center"/>
            <w:hideMark/>
          </w:tcPr>
          <w:p w14:paraId="1ABC468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312.82</w:t>
            </w:r>
          </w:p>
        </w:tc>
        <w:tc>
          <w:tcPr>
            <w:tcW w:w="143" w:type="pct"/>
            <w:noWrap/>
            <w:vAlign w:val="center"/>
            <w:hideMark/>
          </w:tcPr>
          <w:p w14:paraId="43EA0F3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402.19</w:t>
            </w:r>
          </w:p>
        </w:tc>
        <w:tc>
          <w:tcPr>
            <w:tcW w:w="143" w:type="pct"/>
            <w:noWrap/>
            <w:vAlign w:val="center"/>
            <w:hideMark/>
          </w:tcPr>
          <w:p w14:paraId="0555B17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446.23</w:t>
            </w:r>
          </w:p>
        </w:tc>
        <w:tc>
          <w:tcPr>
            <w:tcW w:w="143" w:type="pct"/>
            <w:noWrap/>
            <w:vAlign w:val="center"/>
            <w:hideMark/>
          </w:tcPr>
          <w:p w14:paraId="4385832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254.38</w:t>
            </w:r>
          </w:p>
        </w:tc>
        <w:tc>
          <w:tcPr>
            <w:tcW w:w="143" w:type="pct"/>
            <w:noWrap/>
            <w:vAlign w:val="center"/>
            <w:hideMark/>
          </w:tcPr>
          <w:p w14:paraId="7404A0F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322.71</w:t>
            </w:r>
          </w:p>
        </w:tc>
        <w:tc>
          <w:tcPr>
            <w:tcW w:w="143" w:type="pct"/>
            <w:noWrap/>
            <w:vAlign w:val="center"/>
            <w:hideMark/>
          </w:tcPr>
          <w:p w14:paraId="709F257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238.14</w:t>
            </w:r>
          </w:p>
        </w:tc>
        <w:tc>
          <w:tcPr>
            <w:tcW w:w="143" w:type="pct"/>
            <w:noWrap/>
            <w:vAlign w:val="center"/>
            <w:hideMark/>
          </w:tcPr>
          <w:p w14:paraId="246D90C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136.18</w:t>
            </w:r>
          </w:p>
        </w:tc>
        <w:tc>
          <w:tcPr>
            <w:tcW w:w="143" w:type="pct"/>
            <w:noWrap/>
            <w:vAlign w:val="center"/>
            <w:hideMark/>
          </w:tcPr>
          <w:p w14:paraId="1A5761C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309.70</w:t>
            </w:r>
          </w:p>
        </w:tc>
        <w:tc>
          <w:tcPr>
            <w:tcW w:w="143" w:type="pct"/>
            <w:noWrap/>
            <w:vAlign w:val="center"/>
            <w:hideMark/>
          </w:tcPr>
          <w:p w14:paraId="254F007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305.20</w:t>
            </w:r>
          </w:p>
        </w:tc>
        <w:tc>
          <w:tcPr>
            <w:tcW w:w="143" w:type="pct"/>
            <w:noWrap/>
            <w:vAlign w:val="center"/>
            <w:hideMark/>
          </w:tcPr>
          <w:p w14:paraId="62D086C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614.46</w:t>
            </w:r>
          </w:p>
        </w:tc>
        <w:tc>
          <w:tcPr>
            <w:tcW w:w="143" w:type="pct"/>
            <w:noWrap/>
            <w:vAlign w:val="center"/>
            <w:hideMark/>
          </w:tcPr>
          <w:p w14:paraId="74D0569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63.97</w:t>
            </w:r>
          </w:p>
        </w:tc>
        <w:tc>
          <w:tcPr>
            <w:tcW w:w="143" w:type="pct"/>
            <w:noWrap/>
            <w:vAlign w:val="center"/>
            <w:hideMark/>
          </w:tcPr>
          <w:p w14:paraId="7795C85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196.34</w:t>
            </w:r>
          </w:p>
        </w:tc>
        <w:tc>
          <w:tcPr>
            <w:tcW w:w="143" w:type="pct"/>
            <w:noWrap/>
            <w:vAlign w:val="center"/>
            <w:hideMark/>
          </w:tcPr>
          <w:p w14:paraId="4832F54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142.61</w:t>
            </w:r>
          </w:p>
        </w:tc>
        <w:tc>
          <w:tcPr>
            <w:tcW w:w="143" w:type="pct"/>
            <w:noWrap/>
            <w:vAlign w:val="center"/>
            <w:hideMark/>
          </w:tcPr>
          <w:p w14:paraId="65F8E95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228.02</w:t>
            </w:r>
          </w:p>
        </w:tc>
        <w:tc>
          <w:tcPr>
            <w:tcW w:w="143" w:type="pct"/>
            <w:noWrap/>
            <w:vAlign w:val="center"/>
            <w:hideMark/>
          </w:tcPr>
          <w:p w14:paraId="191C265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783.45</w:t>
            </w:r>
          </w:p>
        </w:tc>
        <w:tc>
          <w:tcPr>
            <w:tcW w:w="143" w:type="pct"/>
            <w:noWrap/>
            <w:vAlign w:val="center"/>
            <w:hideMark/>
          </w:tcPr>
          <w:p w14:paraId="67F8985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46FA658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367.94</w:t>
            </w:r>
          </w:p>
        </w:tc>
        <w:tc>
          <w:tcPr>
            <w:tcW w:w="143" w:type="pct"/>
            <w:noWrap/>
            <w:vAlign w:val="center"/>
            <w:hideMark/>
          </w:tcPr>
          <w:p w14:paraId="0F14DC6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182.11</w:t>
            </w:r>
          </w:p>
        </w:tc>
        <w:tc>
          <w:tcPr>
            <w:tcW w:w="143" w:type="pct"/>
            <w:noWrap/>
            <w:vAlign w:val="center"/>
            <w:hideMark/>
          </w:tcPr>
          <w:p w14:paraId="2E5853C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228.11</w:t>
            </w:r>
          </w:p>
        </w:tc>
        <w:tc>
          <w:tcPr>
            <w:tcW w:w="143" w:type="pct"/>
            <w:noWrap/>
            <w:vAlign w:val="center"/>
            <w:hideMark/>
          </w:tcPr>
          <w:p w14:paraId="0D91E20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65.41</w:t>
            </w:r>
          </w:p>
        </w:tc>
        <w:tc>
          <w:tcPr>
            <w:tcW w:w="143" w:type="pct"/>
            <w:noWrap/>
            <w:vAlign w:val="center"/>
            <w:hideMark/>
          </w:tcPr>
          <w:p w14:paraId="3098713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333.91</w:t>
            </w:r>
          </w:p>
        </w:tc>
        <w:tc>
          <w:tcPr>
            <w:tcW w:w="143" w:type="pct"/>
            <w:noWrap/>
            <w:vAlign w:val="center"/>
            <w:hideMark/>
          </w:tcPr>
          <w:p w14:paraId="633B586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703.31</w:t>
            </w:r>
          </w:p>
        </w:tc>
        <w:tc>
          <w:tcPr>
            <w:tcW w:w="143" w:type="pct"/>
            <w:noWrap/>
            <w:vAlign w:val="center"/>
            <w:hideMark/>
          </w:tcPr>
          <w:p w14:paraId="76BBBEC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359.77</w:t>
            </w:r>
          </w:p>
        </w:tc>
        <w:tc>
          <w:tcPr>
            <w:tcW w:w="143" w:type="pct"/>
            <w:noWrap/>
            <w:vAlign w:val="center"/>
            <w:hideMark/>
          </w:tcPr>
          <w:p w14:paraId="1B921A0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479.37</w:t>
            </w:r>
          </w:p>
        </w:tc>
        <w:tc>
          <w:tcPr>
            <w:tcW w:w="143" w:type="pct"/>
            <w:noWrap/>
            <w:vAlign w:val="center"/>
            <w:hideMark/>
          </w:tcPr>
          <w:p w14:paraId="4EFD5AA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273.28</w:t>
            </w:r>
          </w:p>
        </w:tc>
        <w:tc>
          <w:tcPr>
            <w:tcW w:w="143" w:type="pct"/>
            <w:noWrap/>
            <w:vAlign w:val="center"/>
            <w:hideMark/>
          </w:tcPr>
          <w:p w14:paraId="688AB56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561.17</w:t>
            </w:r>
          </w:p>
        </w:tc>
        <w:tc>
          <w:tcPr>
            <w:tcW w:w="143" w:type="pct"/>
            <w:noWrap/>
            <w:vAlign w:val="center"/>
            <w:hideMark/>
          </w:tcPr>
          <w:p w14:paraId="2C5DB48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287.28</w:t>
            </w:r>
          </w:p>
        </w:tc>
        <w:tc>
          <w:tcPr>
            <w:tcW w:w="143" w:type="pct"/>
            <w:noWrap/>
            <w:vAlign w:val="center"/>
            <w:hideMark/>
          </w:tcPr>
          <w:p w14:paraId="21E3EB9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69.46</w:t>
            </w:r>
          </w:p>
        </w:tc>
        <w:tc>
          <w:tcPr>
            <w:tcW w:w="143" w:type="pct"/>
            <w:noWrap/>
            <w:vAlign w:val="center"/>
            <w:hideMark/>
          </w:tcPr>
          <w:p w14:paraId="3FD221C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418.04</w:t>
            </w:r>
          </w:p>
        </w:tc>
        <w:tc>
          <w:tcPr>
            <w:tcW w:w="143" w:type="pct"/>
            <w:noWrap/>
            <w:vAlign w:val="center"/>
            <w:hideMark/>
          </w:tcPr>
          <w:p w14:paraId="7B6696E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227.20</w:t>
            </w:r>
          </w:p>
        </w:tc>
        <w:tc>
          <w:tcPr>
            <w:tcW w:w="143" w:type="pct"/>
            <w:noWrap/>
            <w:vAlign w:val="center"/>
            <w:hideMark/>
          </w:tcPr>
          <w:p w14:paraId="29B8CE7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356.04</w:t>
            </w:r>
          </w:p>
        </w:tc>
        <w:tc>
          <w:tcPr>
            <w:tcW w:w="143" w:type="pct"/>
            <w:noWrap/>
            <w:vAlign w:val="center"/>
            <w:hideMark/>
          </w:tcPr>
          <w:p w14:paraId="31D4EF3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324.11</w:t>
            </w:r>
          </w:p>
        </w:tc>
      </w:tr>
      <w:tr w:rsidR="004959A9" w:rsidRPr="002F7C87" w14:paraId="40468E72"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360B0CAE"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z19</w:t>
            </w:r>
          </w:p>
        </w:tc>
        <w:tc>
          <w:tcPr>
            <w:tcW w:w="143" w:type="pct"/>
            <w:noWrap/>
            <w:vAlign w:val="center"/>
            <w:hideMark/>
          </w:tcPr>
          <w:p w14:paraId="60F24F6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262.15</w:t>
            </w:r>
          </w:p>
        </w:tc>
        <w:tc>
          <w:tcPr>
            <w:tcW w:w="143" w:type="pct"/>
            <w:noWrap/>
            <w:vAlign w:val="center"/>
            <w:hideMark/>
          </w:tcPr>
          <w:p w14:paraId="4ADD9E6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257.05</w:t>
            </w:r>
          </w:p>
        </w:tc>
        <w:tc>
          <w:tcPr>
            <w:tcW w:w="143" w:type="pct"/>
            <w:noWrap/>
            <w:vAlign w:val="center"/>
            <w:hideMark/>
          </w:tcPr>
          <w:p w14:paraId="3312A9C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70.19</w:t>
            </w:r>
          </w:p>
        </w:tc>
        <w:tc>
          <w:tcPr>
            <w:tcW w:w="143" w:type="pct"/>
            <w:noWrap/>
            <w:vAlign w:val="center"/>
            <w:hideMark/>
          </w:tcPr>
          <w:p w14:paraId="6E0872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411.33</w:t>
            </w:r>
          </w:p>
        </w:tc>
        <w:tc>
          <w:tcPr>
            <w:tcW w:w="143" w:type="pct"/>
            <w:noWrap/>
            <w:vAlign w:val="center"/>
            <w:hideMark/>
          </w:tcPr>
          <w:p w14:paraId="550DAFA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85.77</w:t>
            </w:r>
          </w:p>
        </w:tc>
        <w:tc>
          <w:tcPr>
            <w:tcW w:w="143" w:type="pct"/>
            <w:noWrap/>
            <w:vAlign w:val="center"/>
            <w:hideMark/>
          </w:tcPr>
          <w:p w14:paraId="0919591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115.28</w:t>
            </w:r>
          </w:p>
        </w:tc>
        <w:tc>
          <w:tcPr>
            <w:tcW w:w="143" w:type="pct"/>
            <w:noWrap/>
            <w:vAlign w:val="center"/>
            <w:hideMark/>
          </w:tcPr>
          <w:p w14:paraId="2C7B87A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352.90</w:t>
            </w:r>
          </w:p>
        </w:tc>
        <w:tc>
          <w:tcPr>
            <w:tcW w:w="143" w:type="pct"/>
            <w:noWrap/>
            <w:vAlign w:val="center"/>
            <w:hideMark/>
          </w:tcPr>
          <w:p w14:paraId="1A0F98F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314.29</w:t>
            </w:r>
          </w:p>
        </w:tc>
        <w:tc>
          <w:tcPr>
            <w:tcW w:w="143" w:type="pct"/>
            <w:noWrap/>
            <w:vAlign w:val="center"/>
            <w:hideMark/>
          </w:tcPr>
          <w:p w14:paraId="636AFA6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271.41</w:t>
            </w:r>
          </w:p>
        </w:tc>
        <w:tc>
          <w:tcPr>
            <w:tcW w:w="143" w:type="pct"/>
            <w:noWrap/>
            <w:vAlign w:val="center"/>
            <w:hideMark/>
          </w:tcPr>
          <w:p w14:paraId="1A159C7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165.62</w:t>
            </w:r>
          </w:p>
        </w:tc>
        <w:tc>
          <w:tcPr>
            <w:tcW w:w="143" w:type="pct"/>
            <w:noWrap/>
            <w:vAlign w:val="center"/>
            <w:hideMark/>
          </w:tcPr>
          <w:p w14:paraId="4A1F25B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139.76</w:t>
            </w:r>
          </w:p>
        </w:tc>
        <w:tc>
          <w:tcPr>
            <w:tcW w:w="143" w:type="pct"/>
            <w:noWrap/>
            <w:vAlign w:val="center"/>
            <w:hideMark/>
          </w:tcPr>
          <w:p w14:paraId="27F5C9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266.06</w:t>
            </w:r>
          </w:p>
        </w:tc>
        <w:tc>
          <w:tcPr>
            <w:tcW w:w="143" w:type="pct"/>
            <w:noWrap/>
            <w:vAlign w:val="center"/>
            <w:hideMark/>
          </w:tcPr>
          <w:p w14:paraId="1B34717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311.76</w:t>
            </w:r>
          </w:p>
        </w:tc>
        <w:tc>
          <w:tcPr>
            <w:tcW w:w="143" w:type="pct"/>
            <w:noWrap/>
            <w:vAlign w:val="center"/>
            <w:hideMark/>
          </w:tcPr>
          <w:p w14:paraId="45F17DB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258.96</w:t>
            </w:r>
          </w:p>
        </w:tc>
        <w:tc>
          <w:tcPr>
            <w:tcW w:w="143" w:type="pct"/>
            <w:noWrap/>
            <w:vAlign w:val="center"/>
            <w:hideMark/>
          </w:tcPr>
          <w:p w14:paraId="5C713BC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325.45</w:t>
            </w:r>
          </w:p>
        </w:tc>
        <w:tc>
          <w:tcPr>
            <w:tcW w:w="143" w:type="pct"/>
            <w:noWrap/>
            <w:vAlign w:val="center"/>
            <w:hideMark/>
          </w:tcPr>
          <w:p w14:paraId="7F105BF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183.97</w:t>
            </w:r>
          </w:p>
        </w:tc>
        <w:tc>
          <w:tcPr>
            <w:tcW w:w="143" w:type="pct"/>
            <w:noWrap/>
            <w:vAlign w:val="center"/>
            <w:hideMark/>
          </w:tcPr>
          <w:p w14:paraId="31A54F4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429.18</w:t>
            </w:r>
          </w:p>
        </w:tc>
        <w:tc>
          <w:tcPr>
            <w:tcW w:w="143" w:type="pct"/>
            <w:noWrap/>
            <w:vAlign w:val="center"/>
            <w:hideMark/>
          </w:tcPr>
          <w:p w14:paraId="2DDE246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367.94</w:t>
            </w:r>
          </w:p>
        </w:tc>
        <w:tc>
          <w:tcPr>
            <w:tcW w:w="143" w:type="pct"/>
            <w:noWrap/>
            <w:vAlign w:val="center"/>
            <w:hideMark/>
          </w:tcPr>
          <w:p w14:paraId="3E26D78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7326857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186.09</w:t>
            </w:r>
          </w:p>
        </w:tc>
        <w:tc>
          <w:tcPr>
            <w:tcW w:w="143" w:type="pct"/>
            <w:noWrap/>
            <w:vAlign w:val="center"/>
            <w:hideMark/>
          </w:tcPr>
          <w:p w14:paraId="27DC28D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170.47</w:t>
            </w:r>
          </w:p>
        </w:tc>
        <w:tc>
          <w:tcPr>
            <w:tcW w:w="143" w:type="pct"/>
            <w:noWrap/>
            <w:vAlign w:val="center"/>
            <w:hideMark/>
          </w:tcPr>
          <w:p w14:paraId="441863F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310.26</w:t>
            </w:r>
          </w:p>
        </w:tc>
        <w:tc>
          <w:tcPr>
            <w:tcW w:w="143" w:type="pct"/>
            <w:noWrap/>
            <w:vAlign w:val="center"/>
            <w:hideMark/>
          </w:tcPr>
          <w:p w14:paraId="76BF4DE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39.28</w:t>
            </w:r>
          </w:p>
        </w:tc>
        <w:tc>
          <w:tcPr>
            <w:tcW w:w="143" w:type="pct"/>
            <w:noWrap/>
            <w:vAlign w:val="center"/>
            <w:hideMark/>
          </w:tcPr>
          <w:p w14:paraId="241D3F1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378.60</w:t>
            </w:r>
          </w:p>
        </w:tc>
        <w:tc>
          <w:tcPr>
            <w:tcW w:w="143" w:type="pct"/>
            <w:noWrap/>
            <w:vAlign w:val="center"/>
            <w:hideMark/>
          </w:tcPr>
          <w:p w14:paraId="110AF01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89.01</w:t>
            </w:r>
          </w:p>
        </w:tc>
        <w:tc>
          <w:tcPr>
            <w:tcW w:w="143" w:type="pct"/>
            <w:noWrap/>
            <w:vAlign w:val="center"/>
            <w:hideMark/>
          </w:tcPr>
          <w:p w14:paraId="6BA855F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157.49</w:t>
            </w:r>
          </w:p>
        </w:tc>
        <w:tc>
          <w:tcPr>
            <w:tcW w:w="143" w:type="pct"/>
            <w:noWrap/>
            <w:vAlign w:val="center"/>
            <w:hideMark/>
          </w:tcPr>
          <w:p w14:paraId="33F637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123.22</w:t>
            </w:r>
          </w:p>
        </w:tc>
        <w:tc>
          <w:tcPr>
            <w:tcW w:w="143" w:type="pct"/>
            <w:noWrap/>
            <w:vAlign w:val="center"/>
            <w:hideMark/>
          </w:tcPr>
          <w:p w14:paraId="07C3A19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194.85</w:t>
            </w:r>
          </w:p>
        </w:tc>
        <w:tc>
          <w:tcPr>
            <w:tcW w:w="143" w:type="pct"/>
            <w:noWrap/>
            <w:vAlign w:val="center"/>
            <w:hideMark/>
          </w:tcPr>
          <w:p w14:paraId="771A4C2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93.28</w:t>
            </w:r>
          </w:p>
        </w:tc>
        <w:tc>
          <w:tcPr>
            <w:tcW w:w="143" w:type="pct"/>
            <w:noWrap/>
            <w:vAlign w:val="center"/>
            <w:hideMark/>
          </w:tcPr>
          <w:p w14:paraId="46E9815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351.10</w:t>
            </w:r>
          </w:p>
        </w:tc>
        <w:tc>
          <w:tcPr>
            <w:tcW w:w="143" w:type="pct"/>
            <w:noWrap/>
            <w:vAlign w:val="center"/>
            <w:hideMark/>
          </w:tcPr>
          <w:p w14:paraId="0714A1F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108.27</w:t>
            </w:r>
          </w:p>
        </w:tc>
        <w:tc>
          <w:tcPr>
            <w:tcW w:w="143" w:type="pct"/>
            <w:noWrap/>
            <w:vAlign w:val="center"/>
            <w:hideMark/>
          </w:tcPr>
          <w:p w14:paraId="3D96E1D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158.11</w:t>
            </w:r>
          </w:p>
        </w:tc>
        <w:tc>
          <w:tcPr>
            <w:tcW w:w="143" w:type="pct"/>
            <w:noWrap/>
            <w:vAlign w:val="center"/>
            <w:hideMark/>
          </w:tcPr>
          <w:p w14:paraId="6061DB4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205.48</w:t>
            </w:r>
          </w:p>
        </w:tc>
        <w:tc>
          <w:tcPr>
            <w:tcW w:w="143" w:type="pct"/>
            <w:noWrap/>
            <w:vAlign w:val="center"/>
            <w:hideMark/>
          </w:tcPr>
          <w:p w14:paraId="2526102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61.67</w:t>
            </w:r>
          </w:p>
        </w:tc>
      </w:tr>
      <w:tr w:rsidR="004959A9" w:rsidRPr="002F7C87" w14:paraId="5A0E49D9"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6DD382EE"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z20</w:t>
            </w:r>
          </w:p>
        </w:tc>
        <w:tc>
          <w:tcPr>
            <w:tcW w:w="143" w:type="pct"/>
            <w:noWrap/>
            <w:vAlign w:val="center"/>
            <w:hideMark/>
          </w:tcPr>
          <w:p w14:paraId="6652C44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76.06</w:t>
            </w:r>
          </w:p>
        </w:tc>
        <w:tc>
          <w:tcPr>
            <w:tcW w:w="143" w:type="pct"/>
            <w:noWrap/>
            <w:vAlign w:val="center"/>
            <w:hideMark/>
          </w:tcPr>
          <w:p w14:paraId="1041576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86.72</w:t>
            </w:r>
          </w:p>
        </w:tc>
        <w:tc>
          <w:tcPr>
            <w:tcW w:w="143" w:type="pct"/>
            <w:noWrap/>
            <w:vAlign w:val="center"/>
            <w:hideMark/>
          </w:tcPr>
          <w:p w14:paraId="35C1C77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132.46</w:t>
            </w:r>
          </w:p>
        </w:tc>
        <w:tc>
          <w:tcPr>
            <w:tcW w:w="143" w:type="pct"/>
            <w:noWrap/>
            <w:vAlign w:val="center"/>
            <w:hideMark/>
          </w:tcPr>
          <w:p w14:paraId="660D953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355.85</w:t>
            </w:r>
          </w:p>
        </w:tc>
        <w:tc>
          <w:tcPr>
            <w:tcW w:w="143" w:type="pct"/>
            <w:noWrap/>
            <w:vAlign w:val="center"/>
            <w:hideMark/>
          </w:tcPr>
          <w:p w14:paraId="3222444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266.50</w:t>
            </w:r>
          </w:p>
        </w:tc>
        <w:tc>
          <w:tcPr>
            <w:tcW w:w="143" w:type="pct"/>
            <w:noWrap/>
            <w:vAlign w:val="center"/>
            <w:hideMark/>
          </w:tcPr>
          <w:p w14:paraId="67A26E2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75.60</w:t>
            </w:r>
          </w:p>
        </w:tc>
        <w:tc>
          <w:tcPr>
            <w:tcW w:w="143" w:type="pct"/>
            <w:noWrap/>
            <w:vAlign w:val="center"/>
            <w:hideMark/>
          </w:tcPr>
          <w:p w14:paraId="5D697D0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276.63</w:t>
            </w:r>
          </w:p>
        </w:tc>
        <w:tc>
          <w:tcPr>
            <w:tcW w:w="143" w:type="pct"/>
            <w:noWrap/>
            <w:vAlign w:val="center"/>
            <w:hideMark/>
          </w:tcPr>
          <w:p w14:paraId="32EE56B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202.31</w:t>
            </w:r>
          </w:p>
        </w:tc>
        <w:tc>
          <w:tcPr>
            <w:tcW w:w="143" w:type="pct"/>
            <w:noWrap/>
            <w:vAlign w:val="center"/>
            <w:hideMark/>
          </w:tcPr>
          <w:p w14:paraId="7C81E79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114.68</w:t>
            </w:r>
          </w:p>
        </w:tc>
        <w:tc>
          <w:tcPr>
            <w:tcW w:w="143" w:type="pct"/>
            <w:noWrap/>
            <w:vAlign w:val="center"/>
            <w:hideMark/>
          </w:tcPr>
          <w:p w14:paraId="1E9EC41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162.26</w:t>
            </w:r>
          </w:p>
        </w:tc>
        <w:tc>
          <w:tcPr>
            <w:tcW w:w="143" w:type="pct"/>
            <w:noWrap/>
            <w:vAlign w:val="center"/>
            <w:hideMark/>
          </w:tcPr>
          <w:p w14:paraId="4BD60C7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156.55</w:t>
            </w:r>
          </w:p>
        </w:tc>
        <w:tc>
          <w:tcPr>
            <w:tcW w:w="143" w:type="pct"/>
            <w:noWrap/>
            <w:vAlign w:val="center"/>
            <w:hideMark/>
          </w:tcPr>
          <w:p w14:paraId="6DA8DDB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440.27</w:t>
            </w:r>
          </w:p>
        </w:tc>
        <w:tc>
          <w:tcPr>
            <w:tcW w:w="143" w:type="pct"/>
            <w:noWrap/>
            <w:vAlign w:val="center"/>
            <w:hideMark/>
          </w:tcPr>
          <w:p w14:paraId="024F717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129.39</w:t>
            </w:r>
          </w:p>
        </w:tc>
        <w:tc>
          <w:tcPr>
            <w:tcW w:w="143" w:type="pct"/>
            <w:noWrap/>
            <w:vAlign w:val="center"/>
            <w:hideMark/>
          </w:tcPr>
          <w:p w14:paraId="3CC0483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130.47</w:t>
            </w:r>
          </w:p>
        </w:tc>
        <w:tc>
          <w:tcPr>
            <w:tcW w:w="143" w:type="pct"/>
            <w:noWrap/>
            <w:vAlign w:val="center"/>
            <w:hideMark/>
          </w:tcPr>
          <w:p w14:paraId="379FD82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164.71</w:t>
            </w:r>
          </w:p>
        </w:tc>
        <w:tc>
          <w:tcPr>
            <w:tcW w:w="143" w:type="pct"/>
            <w:noWrap/>
            <w:vAlign w:val="center"/>
            <w:hideMark/>
          </w:tcPr>
          <w:p w14:paraId="0A341D0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89.15</w:t>
            </w:r>
          </w:p>
        </w:tc>
        <w:tc>
          <w:tcPr>
            <w:tcW w:w="143" w:type="pct"/>
            <w:noWrap/>
            <w:vAlign w:val="center"/>
            <w:hideMark/>
          </w:tcPr>
          <w:p w14:paraId="0C4B16C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608.03</w:t>
            </w:r>
          </w:p>
        </w:tc>
        <w:tc>
          <w:tcPr>
            <w:tcW w:w="143" w:type="pct"/>
            <w:noWrap/>
            <w:vAlign w:val="center"/>
            <w:hideMark/>
          </w:tcPr>
          <w:p w14:paraId="37B5735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182.11</w:t>
            </w:r>
          </w:p>
        </w:tc>
        <w:tc>
          <w:tcPr>
            <w:tcW w:w="143" w:type="pct"/>
            <w:noWrap/>
            <w:vAlign w:val="center"/>
            <w:hideMark/>
          </w:tcPr>
          <w:p w14:paraId="47176A8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186.09</w:t>
            </w:r>
          </w:p>
        </w:tc>
        <w:tc>
          <w:tcPr>
            <w:tcW w:w="143" w:type="pct"/>
            <w:noWrap/>
            <w:vAlign w:val="center"/>
            <w:hideMark/>
          </w:tcPr>
          <w:p w14:paraId="685FDD7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40C11A0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89.09</w:t>
            </w:r>
          </w:p>
        </w:tc>
        <w:tc>
          <w:tcPr>
            <w:tcW w:w="143" w:type="pct"/>
            <w:noWrap/>
            <w:vAlign w:val="center"/>
            <w:hideMark/>
          </w:tcPr>
          <w:p w14:paraId="4B10E7B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124.84</w:t>
            </w:r>
          </w:p>
        </w:tc>
        <w:tc>
          <w:tcPr>
            <w:tcW w:w="143" w:type="pct"/>
            <w:noWrap/>
            <w:vAlign w:val="center"/>
            <w:hideMark/>
          </w:tcPr>
          <w:p w14:paraId="629661D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151.86</w:t>
            </w:r>
          </w:p>
        </w:tc>
        <w:tc>
          <w:tcPr>
            <w:tcW w:w="143" w:type="pct"/>
            <w:noWrap/>
            <w:vAlign w:val="center"/>
            <w:hideMark/>
          </w:tcPr>
          <w:p w14:paraId="3E3594A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538.93</w:t>
            </w:r>
          </w:p>
        </w:tc>
        <w:tc>
          <w:tcPr>
            <w:tcW w:w="143" w:type="pct"/>
            <w:noWrap/>
            <w:vAlign w:val="center"/>
            <w:hideMark/>
          </w:tcPr>
          <w:p w14:paraId="2894D96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191.72</w:t>
            </w:r>
          </w:p>
        </w:tc>
        <w:tc>
          <w:tcPr>
            <w:tcW w:w="143" w:type="pct"/>
            <w:noWrap/>
            <w:vAlign w:val="center"/>
            <w:hideMark/>
          </w:tcPr>
          <w:p w14:paraId="7165459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310.44</w:t>
            </w:r>
          </w:p>
        </w:tc>
        <w:tc>
          <w:tcPr>
            <w:tcW w:w="143" w:type="pct"/>
            <w:noWrap/>
            <w:vAlign w:val="center"/>
            <w:hideMark/>
          </w:tcPr>
          <w:p w14:paraId="552BB7C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102.59</w:t>
            </w:r>
          </w:p>
        </w:tc>
        <w:tc>
          <w:tcPr>
            <w:tcW w:w="143" w:type="pct"/>
            <w:noWrap/>
            <w:vAlign w:val="center"/>
            <w:hideMark/>
          </w:tcPr>
          <w:p w14:paraId="0935315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380.23</w:t>
            </w:r>
          </w:p>
        </w:tc>
        <w:tc>
          <w:tcPr>
            <w:tcW w:w="143" w:type="pct"/>
            <w:noWrap/>
            <w:vAlign w:val="center"/>
            <w:hideMark/>
          </w:tcPr>
          <w:p w14:paraId="58B3BD3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113.13</w:t>
            </w:r>
          </w:p>
        </w:tc>
        <w:tc>
          <w:tcPr>
            <w:tcW w:w="143" w:type="pct"/>
            <w:noWrap/>
            <w:vAlign w:val="center"/>
            <w:hideMark/>
          </w:tcPr>
          <w:p w14:paraId="026EA73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169.42</w:t>
            </w:r>
          </w:p>
        </w:tc>
        <w:tc>
          <w:tcPr>
            <w:tcW w:w="143" w:type="pct"/>
            <w:noWrap/>
            <w:vAlign w:val="center"/>
            <w:hideMark/>
          </w:tcPr>
          <w:p w14:paraId="6A10F63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248.49</w:t>
            </w:r>
          </w:p>
        </w:tc>
        <w:tc>
          <w:tcPr>
            <w:tcW w:w="143" w:type="pct"/>
            <w:noWrap/>
            <w:vAlign w:val="center"/>
            <w:hideMark/>
          </w:tcPr>
          <w:p w14:paraId="27C1852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62.28</w:t>
            </w:r>
          </w:p>
        </w:tc>
        <w:tc>
          <w:tcPr>
            <w:tcW w:w="143" w:type="pct"/>
            <w:noWrap/>
            <w:vAlign w:val="center"/>
            <w:hideMark/>
          </w:tcPr>
          <w:p w14:paraId="461E015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220.16</w:t>
            </w:r>
          </w:p>
        </w:tc>
        <w:tc>
          <w:tcPr>
            <w:tcW w:w="143" w:type="pct"/>
            <w:noWrap/>
            <w:vAlign w:val="center"/>
            <w:hideMark/>
          </w:tcPr>
          <w:p w14:paraId="0826F83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147.47</w:t>
            </w:r>
          </w:p>
        </w:tc>
      </w:tr>
      <w:tr w:rsidR="004959A9" w:rsidRPr="002F7C87" w14:paraId="72030B85"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133F62D"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z21</w:t>
            </w:r>
          </w:p>
        </w:tc>
        <w:tc>
          <w:tcPr>
            <w:tcW w:w="143" w:type="pct"/>
            <w:noWrap/>
            <w:vAlign w:val="center"/>
            <w:hideMark/>
          </w:tcPr>
          <w:p w14:paraId="71780F3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139.05</w:t>
            </w:r>
          </w:p>
        </w:tc>
        <w:tc>
          <w:tcPr>
            <w:tcW w:w="143" w:type="pct"/>
            <w:noWrap/>
            <w:vAlign w:val="center"/>
            <w:hideMark/>
          </w:tcPr>
          <w:p w14:paraId="25EC75F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172.02</w:t>
            </w:r>
          </w:p>
        </w:tc>
        <w:tc>
          <w:tcPr>
            <w:tcW w:w="143" w:type="pct"/>
            <w:noWrap/>
            <w:vAlign w:val="center"/>
            <w:hideMark/>
          </w:tcPr>
          <w:p w14:paraId="7B774FF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149.75</w:t>
            </w:r>
          </w:p>
        </w:tc>
        <w:tc>
          <w:tcPr>
            <w:tcW w:w="143" w:type="pct"/>
            <w:noWrap/>
            <w:vAlign w:val="center"/>
            <w:hideMark/>
          </w:tcPr>
          <w:p w14:paraId="2B44780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440.37</w:t>
            </w:r>
          </w:p>
        </w:tc>
        <w:tc>
          <w:tcPr>
            <w:tcW w:w="143" w:type="pct"/>
            <w:noWrap/>
            <w:vAlign w:val="center"/>
            <w:hideMark/>
          </w:tcPr>
          <w:p w14:paraId="7CBD533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232.37</w:t>
            </w:r>
          </w:p>
        </w:tc>
        <w:tc>
          <w:tcPr>
            <w:tcW w:w="143" w:type="pct"/>
            <w:noWrap/>
            <w:vAlign w:val="center"/>
            <w:hideMark/>
          </w:tcPr>
          <w:p w14:paraId="062E91C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70.70</w:t>
            </w:r>
          </w:p>
        </w:tc>
        <w:tc>
          <w:tcPr>
            <w:tcW w:w="143" w:type="pct"/>
            <w:noWrap/>
            <w:vAlign w:val="center"/>
            <w:hideMark/>
          </w:tcPr>
          <w:p w14:paraId="439AE0F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362.92</w:t>
            </w:r>
          </w:p>
        </w:tc>
        <w:tc>
          <w:tcPr>
            <w:tcW w:w="143" w:type="pct"/>
            <w:noWrap/>
            <w:vAlign w:val="center"/>
            <w:hideMark/>
          </w:tcPr>
          <w:p w14:paraId="27B48E7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291.05</w:t>
            </w:r>
          </w:p>
        </w:tc>
        <w:tc>
          <w:tcPr>
            <w:tcW w:w="143" w:type="pct"/>
            <w:noWrap/>
            <w:vAlign w:val="center"/>
            <w:hideMark/>
          </w:tcPr>
          <w:p w14:paraId="54CA29F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106.28</w:t>
            </w:r>
          </w:p>
        </w:tc>
        <w:tc>
          <w:tcPr>
            <w:tcW w:w="143" w:type="pct"/>
            <w:noWrap/>
            <w:vAlign w:val="center"/>
            <w:hideMark/>
          </w:tcPr>
          <w:p w14:paraId="6AB8040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222.91</w:t>
            </w:r>
          </w:p>
        </w:tc>
        <w:tc>
          <w:tcPr>
            <w:tcW w:w="143" w:type="pct"/>
            <w:noWrap/>
            <w:vAlign w:val="center"/>
            <w:hideMark/>
          </w:tcPr>
          <w:p w14:paraId="307F559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77.69</w:t>
            </w:r>
          </w:p>
        </w:tc>
        <w:tc>
          <w:tcPr>
            <w:tcW w:w="143" w:type="pct"/>
            <w:noWrap/>
            <w:vAlign w:val="center"/>
            <w:hideMark/>
          </w:tcPr>
          <w:p w14:paraId="20033B8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389.26</w:t>
            </w:r>
          </w:p>
        </w:tc>
        <w:tc>
          <w:tcPr>
            <w:tcW w:w="143" w:type="pct"/>
            <w:noWrap/>
            <w:vAlign w:val="center"/>
            <w:hideMark/>
          </w:tcPr>
          <w:p w14:paraId="371064D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164.75</w:t>
            </w:r>
          </w:p>
        </w:tc>
        <w:tc>
          <w:tcPr>
            <w:tcW w:w="143" w:type="pct"/>
            <w:noWrap/>
            <w:vAlign w:val="center"/>
            <w:hideMark/>
          </w:tcPr>
          <w:p w14:paraId="0AF8828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219.32</w:t>
            </w:r>
          </w:p>
        </w:tc>
        <w:tc>
          <w:tcPr>
            <w:tcW w:w="143" w:type="pct"/>
            <w:noWrap/>
            <w:vAlign w:val="center"/>
            <w:hideMark/>
          </w:tcPr>
          <w:p w14:paraId="7AB4AF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249.53</w:t>
            </w:r>
          </w:p>
        </w:tc>
        <w:tc>
          <w:tcPr>
            <w:tcW w:w="143" w:type="pct"/>
            <w:noWrap/>
            <w:vAlign w:val="center"/>
            <w:hideMark/>
          </w:tcPr>
          <w:p w14:paraId="00ADDFB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167.86</w:t>
            </w:r>
          </w:p>
        </w:tc>
        <w:tc>
          <w:tcPr>
            <w:tcW w:w="143" w:type="pct"/>
            <w:noWrap/>
            <w:vAlign w:val="center"/>
            <w:hideMark/>
          </w:tcPr>
          <w:p w14:paraId="296C721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558.37</w:t>
            </w:r>
          </w:p>
        </w:tc>
        <w:tc>
          <w:tcPr>
            <w:tcW w:w="143" w:type="pct"/>
            <w:noWrap/>
            <w:vAlign w:val="center"/>
            <w:hideMark/>
          </w:tcPr>
          <w:p w14:paraId="40615A1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228.11</w:t>
            </w:r>
          </w:p>
        </w:tc>
        <w:tc>
          <w:tcPr>
            <w:tcW w:w="143" w:type="pct"/>
            <w:noWrap/>
            <w:vAlign w:val="center"/>
            <w:hideMark/>
          </w:tcPr>
          <w:p w14:paraId="71CAB84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170.47</w:t>
            </w:r>
          </w:p>
        </w:tc>
        <w:tc>
          <w:tcPr>
            <w:tcW w:w="143" w:type="pct"/>
            <w:noWrap/>
            <w:vAlign w:val="center"/>
            <w:hideMark/>
          </w:tcPr>
          <w:p w14:paraId="090C64B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89.09</w:t>
            </w:r>
          </w:p>
        </w:tc>
        <w:tc>
          <w:tcPr>
            <w:tcW w:w="143" w:type="pct"/>
            <w:noWrap/>
            <w:vAlign w:val="center"/>
            <w:hideMark/>
          </w:tcPr>
          <w:p w14:paraId="3B7FBF8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2EE3871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187.67</w:t>
            </w:r>
          </w:p>
        </w:tc>
        <w:tc>
          <w:tcPr>
            <w:tcW w:w="143" w:type="pct"/>
            <w:noWrap/>
            <w:vAlign w:val="center"/>
            <w:hideMark/>
          </w:tcPr>
          <w:p w14:paraId="69C2708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151.27</w:t>
            </w:r>
          </w:p>
        </w:tc>
        <w:tc>
          <w:tcPr>
            <w:tcW w:w="143" w:type="pct"/>
            <w:noWrap/>
            <w:vAlign w:val="center"/>
            <w:hideMark/>
          </w:tcPr>
          <w:p w14:paraId="63637F1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475.21</w:t>
            </w:r>
          </w:p>
        </w:tc>
        <w:tc>
          <w:tcPr>
            <w:tcW w:w="143" w:type="pct"/>
            <w:noWrap/>
            <w:vAlign w:val="center"/>
            <w:hideMark/>
          </w:tcPr>
          <w:p w14:paraId="7B10BC2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134.38</w:t>
            </w:r>
          </w:p>
        </w:tc>
        <w:tc>
          <w:tcPr>
            <w:tcW w:w="143" w:type="pct"/>
            <w:noWrap/>
            <w:vAlign w:val="center"/>
            <w:hideMark/>
          </w:tcPr>
          <w:p w14:paraId="4C0FE41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252.39</w:t>
            </w:r>
          </w:p>
        </w:tc>
        <w:tc>
          <w:tcPr>
            <w:tcW w:w="143" w:type="pct"/>
            <w:noWrap/>
            <w:vAlign w:val="center"/>
            <w:hideMark/>
          </w:tcPr>
          <w:p w14:paraId="18AEF76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151.54</w:t>
            </w:r>
          </w:p>
        </w:tc>
        <w:tc>
          <w:tcPr>
            <w:tcW w:w="143" w:type="pct"/>
            <w:noWrap/>
            <w:vAlign w:val="center"/>
            <w:hideMark/>
          </w:tcPr>
          <w:p w14:paraId="0B557C6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348.00</w:t>
            </w:r>
          </w:p>
        </w:tc>
        <w:tc>
          <w:tcPr>
            <w:tcW w:w="143" w:type="pct"/>
            <w:noWrap/>
            <w:vAlign w:val="center"/>
            <w:hideMark/>
          </w:tcPr>
          <w:p w14:paraId="6992B41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77.19</w:t>
            </w:r>
          </w:p>
        </w:tc>
        <w:tc>
          <w:tcPr>
            <w:tcW w:w="143" w:type="pct"/>
            <w:noWrap/>
            <w:vAlign w:val="center"/>
            <w:hideMark/>
          </w:tcPr>
          <w:p w14:paraId="3C14B2E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238.50</w:t>
            </w:r>
          </w:p>
        </w:tc>
        <w:tc>
          <w:tcPr>
            <w:tcW w:w="143" w:type="pct"/>
            <w:noWrap/>
            <w:vAlign w:val="center"/>
            <w:hideMark/>
          </w:tcPr>
          <w:p w14:paraId="0120E14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192.07</w:t>
            </w:r>
          </w:p>
        </w:tc>
        <w:tc>
          <w:tcPr>
            <w:tcW w:w="143" w:type="pct"/>
            <w:noWrap/>
            <w:vAlign w:val="center"/>
            <w:hideMark/>
          </w:tcPr>
          <w:p w14:paraId="656F16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131.97</w:t>
            </w:r>
          </w:p>
        </w:tc>
        <w:tc>
          <w:tcPr>
            <w:tcW w:w="143" w:type="pct"/>
            <w:noWrap/>
            <w:vAlign w:val="center"/>
            <w:hideMark/>
          </w:tcPr>
          <w:p w14:paraId="71C288B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281.95</w:t>
            </w:r>
          </w:p>
        </w:tc>
        <w:tc>
          <w:tcPr>
            <w:tcW w:w="143" w:type="pct"/>
            <w:noWrap/>
            <w:vAlign w:val="center"/>
            <w:hideMark/>
          </w:tcPr>
          <w:p w14:paraId="4F04462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111.99</w:t>
            </w:r>
          </w:p>
        </w:tc>
      </w:tr>
      <w:tr w:rsidR="004959A9" w:rsidRPr="002F7C87" w14:paraId="74052342"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9DDDB9C"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z22</w:t>
            </w:r>
          </w:p>
        </w:tc>
        <w:tc>
          <w:tcPr>
            <w:tcW w:w="143" w:type="pct"/>
            <w:noWrap/>
            <w:vAlign w:val="center"/>
            <w:hideMark/>
          </w:tcPr>
          <w:p w14:paraId="4F3ED7E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50.32</w:t>
            </w:r>
          </w:p>
        </w:tc>
        <w:tc>
          <w:tcPr>
            <w:tcW w:w="143" w:type="pct"/>
            <w:noWrap/>
            <w:vAlign w:val="center"/>
            <w:hideMark/>
          </w:tcPr>
          <w:p w14:paraId="38ED5F8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72.47</w:t>
            </w:r>
          </w:p>
        </w:tc>
        <w:tc>
          <w:tcPr>
            <w:tcW w:w="143" w:type="pct"/>
            <w:noWrap/>
            <w:vAlign w:val="center"/>
            <w:hideMark/>
          </w:tcPr>
          <w:p w14:paraId="0575C69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251.55</w:t>
            </w:r>
          </w:p>
        </w:tc>
        <w:tc>
          <w:tcPr>
            <w:tcW w:w="143" w:type="pct"/>
            <w:noWrap/>
            <w:vAlign w:val="center"/>
            <w:hideMark/>
          </w:tcPr>
          <w:p w14:paraId="125113F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353.57</w:t>
            </w:r>
          </w:p>
        </w:tc>
        <w:tc>
          <w:tcPr>
            <w:tcW w:w="143" w:type="pct"/>
            <w:noWrap/>
            <w:vAlign w:val="center"/>
            <w:hideMark/>
          </w:tcPr>
          <w:p w14:paraId="4B785EB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391.34</w:t>
            </w:r>
          </w:p>
        </w:tc>
        <w:tc>
          <w:tcPr>
            <w:tcW w:w="143" w:type="pct"/>
            <w:noWrap/>
            <w:vAlign w:val="center"/>
            <w:hideMark/>
          </w:tcPr>
          <w:p w14:paraId="63D5BCB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199.95</w:t>
            </w:r>
          </w:p>
        </w:tc>
        <w:tc>
          <w:tcPr>
            <w:tcW w:w="143" w:type="pct"/>
            <w:noWrap/>
            <w:vAlign w:val="center"/>
            <w:hideMark/>
          </w:tcPr>
          <w:p w14:paraId="19B4869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272.05</w:t>
            </w:r>
          </w:p>
        </w:tc>
        <w:tc>
          <w:tcPr>
            <w:tcW w:w="143" w:type="pct"/>
            <w:noWrap/>
            <w:vAlign w:val="center"/>
            <w:hideMark/>
          </w:tcPr>
          <w:p w14:paraId="3D9C938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186.08</w:t>
            </w:r>
          </w:p>
        </w:tc>
        <w:tc>
          <w:tcPr>
            <w:tcW w:w="143" w:type="pct"/>
            <w:noWrap/>
            <w:vAlign w:val="center"/>
            <w:hideMark/>
          </w:tcPr>
          <w:p w14:paraId="3AD50DE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120.75</w:t>
            </w:r>
          </w:p>
        </w:tc>
        <w:tc>
          <w:tcPr>
            <w:tcW w:w="143" w:type="pct"/>
            <w:noWrap/>
            <w:vAlign w:val="center"/>
            <w:hideMark/>
          </w:tcPr>
          <w:p w14:paraId="1A83C2B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244.29</w:t>
            </w:r>
          </w:p>
        </w:tc>
        <w:tc>
          <w:tcPr>
            <w:tcW w:w="143" w:type="pct"/>
            <w:noWrap/>
            <w:vAlign w:val="center"/>
            <w:hideMark/>
          </w:tcPr>
          <w:p w14:paraId="4BD1D83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265.07</w:t>
            </w:r>
          </w:p>
        </w:tc>
        <w:tc>
          <w:tcPr>
            <w:tcW w:w="143" w:type="pct"/>
            <w:noWrap/>
            <w:vAlign w:val="center"/>
            <w:hideMark/>
          </w:tcPr>
          <w:p w14:paraId="4C60D23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564.14</w:t>
            </w:r>
          </w:p>
        </w:tc>
        <w:tc>
          <w:tcPr>
            <w:tcW w:w="143" w:type="pct"/>
            <w:noWrap/>
            <w:vAlign w:val="center"/>
            <w:hideMark/>
          </w:tcPr>
          <w:p w14:paraId="396D0A6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56.48</w:t>
            </w:r>
          </w:p>
        </w:tc>
        <w:tc>
          <w:tcPr>
            <w:tcW w:w="143" w:type="pct"/>
            <w:noWrap/>
            <w:vAlign w:val="center"/>
            <w:hideMark/>
          </w:tcPr>
          <w:p w14:paraId="2733FDE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134.98</w:t>
            </w:r>
          </w:p>
        </w:tc>
        <w:tc>
          <w:tcPr>
            <w:tcW w:w="143" w:type="pct"/>
            <w:noWrap/>
            <w:vAlign w:val="center"/>
            <w:hideMark/>
          </w:tcPr>
          <w:p w14:paraId="109FAE5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97.62</w:t>
            </w:r>
          </w:p>
        </w:tc>
        <w:tc>
          <w:tcPr>
            <w:tcW w:w="143" w:type="pct"/>
            <w:noWrap/>
            <w:vAlign w:val="center"/>
            <w:hideMark/>
          </w:tcPr>
          <w:p w14:paraId="58F0981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162.66</w:t>
            </w:r>
          </w:p>
        </w:tc>
        <w:tc>
          <w:tcPr>
            <w:tcW w:w="143" w:type="pct"/>
            <w:noWrap/>
            <w:vAlign w:val="center"/>
            <w:hideMark/>
          </w:tcPr>
          <w:p w14:paraId="2106E18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732.36</w:t>
            </w:r>
          </w:p>
        </w:tc>
        <w:tc>
          <w:tcPr>
            <w:tcW w:w="143" w:type="pct"/>
            <w:noWrap/>
            <w:vAlign w:val="center"/>
            <w:hideMark/>
          </w:tcPr>
          <w:p w14:paraId="2006BC9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65.41</w:t>
            </w:r>
          </w:p>
        </w:tc>
        <w:tc>
          <w:tcPr>
            <w:tcW w:w="143" w:type="pct"/>
            <w:noWrap/>
            <w:vAlign w:val="center"/>
            <w:hideMark/>
          </w:tcPr>
          <w:p w14:paraId="3D7E418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310.26</w:t>
            </w:r>
          </w:p>
        </w:tc>
        <w:tc>
          <w:tcPr>
            <w:tcW w:w="143" w:type="pct"/>
            <w:noWrap/>
            <w:vAlign w:val="center"/>
            <w:hideMark/>
          </w:tcPr>
          <w:p w14:paraId="2FA3B85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124.84</w:t>
            </w:r>
          </w:p>
        </w:tc>
        <w:tc>
          <w:tcPr>
            <w:tcW w:w="143" w:type="pct"/>
            <w:noWrap/>
            <w:vAlign w:val="center"/>
            <w:hideMark/>
          </w:tcPr>
          <w:p w14:paraId="36E4EB6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187.67</w:t>
            </w:r>
          </w:p>
        </w:tc>
        <w:tc>
          <w:tcPr>
            <w:tcW w:w="143" w:type="pct"/>
            <w:noWrap/>
            <w:vAlign w:val="center"/>
            <w:hideMark/>
          </w:tcPr>
          <w:p w14:paraId="0728A96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DF801C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274.58</w:t>
            </w:r>
          </w:p>
        </w:tc>
        <w:tc>
          <w:tcPr>
            <w:tcW w:w="143" w:type="pct"/>
            <w:noWrap/>
            <w:vAlign w:val="center"/>
            <w:hideMark/>
          </w:tcPr>
          <w:p w14:paraId="6E69FB7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659.15</w:t>
            </w:r>
          </w:p>
        </w:tc>
        <w:tc>
          <w:tcPr>
            <w:tcW w:w="143" w:type="pct"/>
            <w:noWrap/>
            <w:vAlign w:val="center"/>
            <w:hideMark/>
          </w:tcPr>
          <w:p w14:paraId="72E04CC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312.20</w:t>
            </w:r>
          </w:p>
        </w:tc>
        <w:tc>
          <w:tcPr>
            <w:tcW w:w="143" w:type="pct"/>
            <w:noWrap/>
            <w:vAlign w:val="center"/>
            <w:hideMark/>
          </w:tcPr>
          <w:p w14:paraId="21EE84F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432.03</w:t>
            </w:r>
          </w:p>
        </w:tc>
        <w:tc>
          <w:tcPr>
            <w:tcW w:w="143" w:type="pct"/>
            <w:noWrap/>
            <w:vAlign w:val="center"/>
            <w:hideMark/>
          </w:tcPr>
          <w:p w14:paraId="5670291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209.54</w:t>
            </w:r>
          </w:p>
        </w:tc>
        <w:tc>
          <w:tcPr>
            <w:tcW w:w="143" w:type="pct"/>
            <w:noWrap/>
            <w:vAlign w:val="center"/>
            <w:hideMark/>
          </w:tcPr>
          <w:p w14:paraId="27E508A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504.83</w:t>
            </w:r>
          </w:p>
        </w:tc>
        <w:tc>
          <w:tcPr>
            <w:tcW w:w="143" w:type="pct"/>
            <w:noWrap/>
            <w:vAlign w:val="center"/>
            <w:hideMark/>
          </w:tcPr>
          <w:p w14:paraId="188A02C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235.83</w:t>
            </w:r>
          </w:p>
        </w:tc>
        <w:tc>
          <w:tcPr>
            <w:tcW w:w="143" w:type="pct"/>
            <w:noWrap/>
            <w:vAlign w:val="center"/>
            <w:hideMark/>
          </w:tcPr>
          <w:p w14:paraId="019A504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51.77</w:t>
            </w:r>
          </w:p>
        </w:tc>
        <w:tc>
          <w:tcPr>
            <w:tcW w:w="143" w:type="pct"/>
            <w:noWrap/>
            <w:vAlign w:val="center"/>
            <w:hideMark/>
          </w:tcPr>
          <w:p w14:paraId="1806C3E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370.08</w:t>
            </w:r>
          </w:p>
        </w:tc>
        <w:tc>
          <w:tcPr>
            <w:tcW w:w="143" w:type="pct"/>
            <w:noWrap/>
            <w:vAlign w:val="center"/>
            <w:hideMark/>
          </w:tcPr>
          <w:p w14:paraId="569573E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163.56</w:t>
            </w:r>
          </w:p>
        </w:tc>
        <w:tc>
          <w:tcPr>
            <w:tcW w:w="143" w:type="pct"/>
            <w:noWrap/>
            <w:vAlign w:val="center"/>
            <w:hideMark/>
          </w:tcPr>
          <w:p w14:paraId="3E8BDF6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291.27</w:t>
            </w:r>
          </w:p>
        </w:tc>
        <w:tc>
          <w:tcPr>
            <w:tcW w:w="143" w:type="pct"/>
            <w:noWrap/>
            <w:vAlign w:val="center"/>
            <w:hideMark/>
          </w:tcPr>
          <w:p w14:paraId="17069EC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271.48</w:t>
            </w:r>
          </w:p>
        </w:tc>
      </w:tr>
      <w:tr w:rsidR="004959A9" w:rsidRPr="002F7C87" w14:paraId="0874585F"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04269051"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z23</w:t>
            </w:r>
          </w:p>
        </w:tc>
        <w:tc>
          <w:tcPr>
            <w:tcW w:w="143" w:type="pct"/>
            <w:noWrap/>
            <w:vAlign w:val="center"/>
            <w:hideMark/>
          </w:tcPr>
          <w:p w14:paraId="567B384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227.55</w:t>
            </w:r>
          </w:p>
        </w:tc>
        <w:tc>
          <w:tcPr>
            <w:tcW w:w="143" w:type="pct"/>
            <w:noWrap/>
            <w:vAlign w:val="center"/>
            <w:hideMark/>
          </w:tcPr>
          <w:p w14:paraId="502B1F9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218.99</w:t>
            </w:r>
          </w:p>
        </w:tc>
        <w:tc>
          <w:tcPr>
            <w:tcW w:w="143" w:type="pct"/>
            <w:noWrap/>
            <w:vAlign w:val="center"/>
            <w:hideMark/>
          </w:tcPr>
          <w:p w14:paraId="216799E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31.45</w:t>
            </w:r>
          </w:p>
        </w:tc>
        <w:tc>
          <w:tcPr>
            <w:tcW w:w="143" w:type="pct"/>
            <w:noWrap/>
            <w:vAlign w:val="center"/>
            <w:hideMark/>
          </w:tcPr>
          <w:p w14:paraId="1E87252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379.18</w:t>
            </w:r>
          </w:p>
        </w:tc>
        <w:tc>
          <w:tcPr>
            <w:tcW w:w="143" w:type="pct"/>
            <w:noWrap/>
            <w:vAlign w:val="center"/>
            <w:hideMark/>
          </w:tcPr>
          <w:p w14:paraId="41A92FE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125.03</w:t>
            </w:r>
          </w:p>
        </w:tc>
        <w:tc>
          <w:tcPr>
            <w:tcW w:w="143" w:type="pct"/>
            <w:noWrap/>
            <w:vAlign w:val="center"/>
            <w:hideMark/>
          </w:tcPr>
          <w:p w14:paraId="129F3F2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86.99</w:t>
            </w:r>
          </w:p>
        </w:tc>
        <w:tc>
          <w:tcPr>
            <w:tcW w:w="143" w:type="pct"/>
            <w:noWrap/>
            <w:vAlign w:val="center"/>
            <w:hideMark/>
          </w:tcPr>
          <w:p w14:paraId="0246A8A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317.65</w:t>
            </w:r>
          </w:p>
        </w:tc>
        <w:tc>
          <w:tcPr>
            <w:tcW w:w="143" w:type="pct"/>
            <w:noWrap/>
            <w:vAlign w:val="center"/>
            <w:hideMark/>
          </w:tcPr>
          <w:p w14:paraId="6BC05D8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275.91</w:t>
            </w:r>
          </w:p>
        </w:tc>
        <w:tc>
          <w:tcPr>
            <w:tcW w:w="143" w:type="pct"/>
            <w:noWrap/>
            <w:vAlign w:val="center"/>
            <w:hideMark/>
          </w:tcPr>
          <w:p w14:paraId="4DD064C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245.70</w:t>
            </w:r>
          </w:p>
        </w:tc>
        <w:tc>
          <w:tcPr>
            <w:tcW w:w="143" w:type="pct"/>
            <w:noWrap/>
            <w:vAlign w:val="center"/>
            <w:hideMark/>
          </w:tcPr>
          <w:p w14:paraId="4EB7E0C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132.36</w:t>
            </w:r>
          </w:p>
        </w:tc>
        <w:tc>
          <w:tcPr>
            <w:tcW w:w="143" w:type="pct"/>
            <w:noWrap/>
            <w:vAlign w:val="center"/>
            <w:hideMark/>
          </w:tcPr>
          <w:p w14:paraId="7F36A64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139.49</w:t>
            </w:r>
          </w:p>
        </w:tc>
        <w:tc>
          <w:tcPr>
            <w:tcW w:w="143" w:type="pct"/>
            <w:noWrap/>
            <w:vAlign w:val="center"/>
            <w:hideMark/>
          </w:tcPr>
          <w:p w14:paraId="6E96D5C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305.34</w:t>
            </w:r>
          </w:p>
        </w:tc>
        <w:tc>
          <w:tcPr>
            <w:tcW w:w="143" w:type="pct"/>
            <w:noWrap/>
            <w:vAlign w:val="center"/>
            <w:hideMark/>
          </w:tcPr>
          <w:p w14:paraId="2B940C3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279.89</w:t>
            </w:r>
          </w:p>
        </w:tc>
        <w:tc>
          <w:tcPr>
            <w:tcW w:w="143" w:type="pct"/>
            <w:noWrap/>
            <w:vAlign w:val="center"/>
            <w:hideMark/>
          </w:tcPr>
          <w:p w14:paraId="69A624A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219.72</w:t>
            </w:r>
          </w:p>
        </w:tc>
        <w:tc>
          <w:tcPr>
            <w:tcW w:w="143" w:type="pct"/>
            <w:noWrap/>
            <w:vAlign w:val="center"/>
            <w:hideMark/>
          </w:tcPr>
          <w:p w14:paraId="25D8DFC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286.39</w:t>
            </w:r>
          </w:p>
        </w:tc>
        <w:tc>
          <w:tcPr>
            <w:tcW w:w="143" w:type="pct"/>
            <w:noWrap/>
            <w:vAlign w:val="center"/>
            <w:hideMark/>
          </w:tcPr>
          <w:p w14:paraId="0C0CB4B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144.71</w:t>
            </w:r>
          </w:p>
        </w:tc>
        <w:tc>
          <w:tcPr>
            <w:tcW w:w="143" w:type="pct"/>
            <w:noWrap/>
            <w:vAlign w:val="center"/>
            <w:hideMark/>
          </w:tcPr>
          <w:p w14:paraId="5E7DED3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468.18</w:t>
            </w:r>
          </w:p>
        </w:tc>
        <w:tc>
          <w:tcPr>
            <w:tcW w:w="143" w:type="pct"/>
            <w:noWrap/>
            <w:vAlign w:val="center"/>
            <w:hideMark/>
          </w:tcPr>
          <w:p w14:paraId="2002C9F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333.91</w:t>
            </w:r>
          </w:p>
        </w:tc>
        <w:tc>
          <w:tcPr>
            <w:tcW w:w="143" w:type="pct"/>
            <w:noWrap/>
            <w:vAlign w:val="center"/>
            <w:hideMark/>
          </w:tcPr>
          <w:p w14:paraId="260B319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39.28</w:t>
            </w:r>
          </w:p>
        </w:tc>
        <w:tc>
          <w:tcPr>
            <w:tcW w:w="143" w:type="pct"/>
            <w:noWrap/>
            <w:vAlign w:val="center"/>
            <w:hideMark/>
          </w:tcPr>
          <w:p w14:paraId="167B644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151.86</w:t>
            </w:r>
          </w:p>
        </w:tc>
        <w:tc>
          <w:tcPr>
            <w:tcW w:w="143" w:type="pct"/>
            <w:noWrap/>
            <w:vAlign w:val="center"/>
            <w:hideMark/>
          </w:tcPr>
          <w:p w14:paraId="16C29E2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151.27</w:t>
            </w:r>
          </w:p>
        </w:tc>
        <w:tc>
          <w:tcPr>
            <w:tcW w:w="143" w:type="pct"/>
            <w:noWrap/>
            <w:vAlign w:val="center"/>
            <w:hideMark/>
          </w:tcPr>
          <w:p w14:paraId="433A3E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274.58</w:t>
            </w:r>
          </w:p>
        </w:tc>
        <w:tc>
          <w:tcPr>
            <w:tcW w:w="143" w:type="pct"/>
            <w:noWrap/>
            <w:vAlign w:val="center"/>
            <w:hideMark/>
          </w:tcPr>
          <w:p w14:paraId="2C77942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027CA87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417.25</w:t>
            </w:r>
          </w:p>
        </w:tc>
        <w:tc>
          <w:tcPr>
            <w:tcW w:w="143" w:type="pct"/>
            <w:noWrap/>
            <w:vAlign w:val="center"/>
            <w:hideMark/>
          </w:tcPr>
          <w:p w14:paraId="0357AB7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106.85</w:t>
            </w:r>
          </w:p>
        </w:tc>
        <w:tc>
          <w:tcPr>
            <w:tcW w:w="143" w:type="pct"/>
            <w:noWrap/>
            <w:vAlign w:val="center"/>
            <w:hideMark/>
          </w:tcPr>
          <w:p w14:paraId="5559734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193.88</w:t>
            </w:r>
          </w:p>
        </w:tc>
        <w:tc>
          <w:tcPr>
            <w:tcW w:w="143" w:type="pct"/>
            <w:noWrap/>
            <w:vAlign w:val="center"/>
            <w:hideMark/>
          </w:tcPr>
          <w:p w14:paraId="63A78DF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84.14</w:t>
            </w:r>
          </w:p>
        </w:tc>
        <w:tc>
          <w:tcPr>
            <w:tcW w:w="143" w:type="pct"/>
            <w:noWrap/>
            <w:vAlign w:val="center"/>
            <w:hideMark/>
          </w:tcPr>
          <w:p w14:paraId="2DFD6BC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232.29</w:t>
            </w:r>
          </w:p>
        </w:tc>
        <w:tc>
          <w:tcPr>
            <w:tcW w:w="143" w:type="pct"/>
            <w:noWrap/>
            <w:vAlign w:val="center"/>
            <w:hideMark/>
          </w:tcPr>
          <w:p w14:paraId="6E1DB77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77.53</w:t>
            </w:r>
          </w:p>
        </w:tc>
        <w:tc>
          <w:tcPr>
            <w:tcW w:w="143" w:type="pct"/>
            <w:noWrap/>
            <w:vAlign w:val="center"/>
            <w:hideMark/>
          </w:tcPr>
          <w:p w14:paraId="051362B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313.89</w:t>
            </w:r>
          </w:p>
        </w:tc>
        <w:tc>
          <w:tcPr>
            <w:tcW w:w="143" w:type="pct"/>
            <w:noWrap/>
            <w:vAlign w:val="center"/>
            <w:hideMark/>
          </w:tcPr>
          <w:p w14:paraId="53BDBE7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140.21</w:t>
            </w:r>
          </w:p>
        </w:tc>
        <w:tc>
          <w:tcPr>
            <w:tcW w:w="143" w:type="pct"/>
            <w:noWrap/>
            <w:vAlign w:val="center"/>
            <w:hideMark/>
          </w:tcPr>
          <w:p w14:paraId="3141EFB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119.29</w:t>
            </w:r>
          </w:p>
        </w:tc>
        <w:tc>
          <w:tcPr>
            <w:tcW w:w="143" w:type="pct"/>
            <w:noWrap/>
            <w:vAlign w:val="center"/>
            <w:hideMark/>
          </w:tcPr>
          <w:p w14:paraId="4995462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178.22</w:t>
            </w:r>
          </w:p>
        </w:tc>
        <w:tc>
          <w:tcPr>
            <w:tcW w:w="143" w:type="pct"/>
            <w:noWrap/>
            <w:vAlign w:val="center"/>
            <w:hideMark/>
          </w:tcPr>
          <w:p w14:paraId="7EB1DCE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60.50</w:t>
            </w:r>
          </w:p>
        </w:tc>
      </w:tr>
      <w:tr w:rsidR="004959A9" w:rsidRPr="002F7C87" w14:paraId="0F5EC873"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26EEEE1"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z24</w:t>
            </w:r>
          </w:p>
        </w:tc>
        <w:tc>
          <w:tcPr>
            <w:tcW w:w="143" w:type="pct"/>
            <w:noWrap/>
            <w:vAlign w:val="center"/>
            <w:hideMark/>
          </w:tcPr>
          <w:p w14:paraId="24CF1AB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608.91</w:t>
            </w:r>
          </w:p>
        </w:tc>
        <w:tc>
          <w:tcPr>
            <w:tcW w:w="143" w:type="pct"/>
            <w:noWrap/>
            <w:vAlign w:val="center"/>
            <w:hideMark/>
          </w:tcPr>
          <w:p w14:paraId="383F899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622.33</w:t>
            </w:r>
          </w:p>
        </w:tc>
        <w:tc>
          <w:tcPr>
            <w:tcW w:w="143" w:type="pct"/>
            <w:noWrap/>
            <w:vAlign w:val="center"/>
            <w:hideMark/>
          </w:tcPr>
          <w:p w14:paraId="788EFDE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448.61</w:t>
            </w:r>
          </w:p>
        </w:tc>
        <w:tc>
          <w:tcPr>
            <w:tcW w:w="143" w:type="pct"/>
            <w:noWrap/>
            <w:vAlign w:val="center"/>
            <w:hideMark/>
          </w:tcPr>
          <w:p w14:paraId="20B0B8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774.47</w:t>
            </w:r>
          </w:p>
        </w:tc>
        <w:tc>
          <w:tcPr>
            <w:tcW w:w="143" w:type="pct"/>
            <w:noWrap/>
            <w:vAlign w:val="center"/>
            <w:hideMark/>
          </w:tcPr>
          <w:p w14:paraId="36B5321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295.44</w:t>
            </w:r>
          </w:p>
        </w:tc>
        <w:tc>
          <w:tcPr>
            <w:tcW w:w="143" w:type="pct"/>
            <w:noWrap/>
            <w:vAlign w:val="center"/>
            <w:hideMark/>
          </w:tcPr>
          <w:p w14:paraId="604FDCC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464.43</w:t>
            </w:r>
          </w:p>
        </w:tc>
        <w:tc>
          <w:tcPr>
            <w:tcW w:w="143" w:type="pct"/>
            <w:noWrap/>
            <w:vAlign w:val="center"/>
            <w:hideMark/>
          </w:tcPr>
          <w:p w14:paraId="72D55CC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726.04</w:t>
            </w:r>
          </w:p>
        </w:tc>
        <w:tc>
          <w:tcPr>
            <w:tcW w:w="143" w:type="pct"/>
            <w:noWrap/>
            <w:vAlign w:val="center"/>
            <w:hideMark/>
          </w:tcPr>
          <w:p w14:paraId="7E55887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692.87</w:t>
            </w:r>
          </w:p>
        </w:tc>
        <w:tc>
          <w:tcPr>
            <w:tcW w:w="143" w:type="pct"/>
            <w:noWrap/>
            <w:vAlign w:val="center"/>
            <w:hideMark/>
          </w:tcPr>
          <w:p w14:paraId="3260805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574.35</w:t>
            </w:r>
          </w:p>
        </w:tc>
        <w:tc>
          <w:tcPr>
            <w:tcW w:w="143" w:type="pct"/>
            <w:noWrap/>
            <w:vAlign w:val="center"/>
            <w:hideMark/>
          </w:tcPr>
          <w:p w14:paraId="3B27637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538.82</w:t>
            </w:r>
          </w:p>
        </w:tc>
        <w:tc>
          <w:tcPr>
            <w:tcW w:w="143" w:type="pct"/>
            <w:noWrap/>
            <w:vAlign w:val="center"/>
            <w:hideMark/>
          </w:tcPr>
          <w:p w14:paraId="712097D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398.31</w:t>
            </w:r>
          </w:p>
        </w:tc>
        <w:tc>
          <w:tcPr>
            <w:tcW w:w="143" w:type="pct"/>
            <w:noWrap/>
            <w:vAlign w:val="center"/>
            <w:hideMark/>
          </w:tcPr>
          <w:p w14:paraId="0A6ED0E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126.06</w:t>
            </w:r>
          </w:p>
        </w:tc>
        <w:tc>
          <w:tcPr>
            <w:tcW w:w="143" w:type="pct"/>
            <w:noWrap/>
            <w:vAlign w:val="center"/>
            <w:hideMark/>
          </w:tcPr>
          <w:p w14:paraId="5850084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639.74</w:t>
            </w:r>
          </w:p>
        </w:tc>
        <w:tc>
          <w:tcPr>
            <w:tcW w:w="143" w:type="pct"/>
            <w:noWrap/>
            <w:vAlign w:val="center"/>
            <w:hideMark/>
          </w:tcPr>
          <w:p w14:paraId="1159682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635.87</w:t>
            </w:r>
          </w:p>
        </w:tc>
        <w:tc>
          <w:tcPr>
            <w:tcW w:w="143" w:type="pct"/>
            <w:noWrap/>
            <w:vAlign w:val="center"/>
            <w:hideMark/>
          </w:tcPr>
          <w:p w14:paraId="2DFD5F0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696.82</w:t>
            </w:r>
          </w:p>
        </w:tc>
        <w:tc>
          <w:tcPr>
            <w:tcW w:w="143" w:type="pct"/>
            <w:noWrap/>
            <w:vAlign w:val="center"/>
            <w:hideMark/>
          </w:tcPr>
          <w:p w14:paraId="6C339EF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560.99</w:t>
            </w:r>
          </w:p>
        </w:tc>
        <w:tc>
          <w:tcPr>
            <w:tcW w:w="143" w:type="pct"/>
            <w:noWrap/>
            <w:vAlign w:val="center"/>
            <w:hideMark/>
          </w:tcPr>
          <w:p w14:paraId="1365E9C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134.94</w:t>
            </w:r>
          </w:p>
        </w:tc>
        <w:tc>
          <w:tcPr>
            <w:tcW w:w="143" w:type="pct"/>
            <w:noWrap/>
            <w:vAlign w:val="center"/>
            <w:hideMark/>
          </w:tcPr>
          <w:p w14:paraId="47C764B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703.31</w:t>
            </w:r>
          </w:p>
        </w:tc>
        <w:tc>
          <w:tcPr>
            <w:tcW w:w="143" w:type="pct"/>
            <w:noWrap/>
            <w:vAlign w:val="center"/>
            <w:hideMark/>
          </w:tcPr>
          <w:p w14:paraId="476FBB5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378.60</w:t>
            </w:r>
          </w:p>
        </w:tc>
        <w:tc>
          <w:tcPr>
            <w:tcW w:w="143" w:type="pct"/>
            <w:noWrap/>
            <w:vAlign w:val="center"/>
            <w:hideMark/>
          </w:tcPr>
          <w:p w14:paraId="2473B46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538.93</w:t>
            </w:r>
          </w:p>
        </w:tc>
        <w:tc>
          <w:tcPr>
            <w:tcW w:w="143" w:type="pct"/>
            <w:noWrap/>
            <w:vAlign w:val="center"/>
            <w:hideMark/>
          </w:tcPr>
          <w:p w14:paraId="05DDAB0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475.21</w:t>
            </w:r>
          </w:p>
        </w:tc>
        <w:tc>
          <w:tcPr>
            <w:tcW w:w="143" w:type="pct"/>
            <w:noWrap/>
            <w:vAlign w:val="center"/>
            <w:hideMark/>
          </w:tcPr>
          <w:p w14:paraId="23F778A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659.15</w:t>
            </w:r>
          </w:p>
        </w:tc>
        <w:tc>
          <w:tcPr>
            <w:tcW w:w="143" w:type="pct"/>
            <w:noWrap/>
            <w:vAlign w:val="center"/>
            <w:hideMark/>
          </w:tcPr>
          <w:p w14:paraId="67DB4B5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417.25</w:t>
            </w:r>
          </w:p>
        </w:tc>
        <w:tc>
          <w:tcPr>
            <w:tcW w:w="143" w:type="pct"/>
            <w:noWrap/>
            <w:vAlign w:val="center"/>
            <w:hideMark/>
          </w:tcPr>
          <w:p w14:paraId="62E74CA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5E74BE5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347.41</w:t>
            </w:r>
          </w:p>
        </w:tc>
        <w:tc>
          <w:tcPr>
            <w:tcW w:w="143" w:type="pct"/>
            <w:noWrap/>
            <w:vAlign w:val="center"/>
            <w:hideMark/>
          </w:tcPr>
          <w:p w14:paraId="3FB8073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228.87</w:t>
            </w:r>
          </w:p>
        </w:tc>
        <w:tc>
          <w:tcPr>
            <w:tcW w:w="143" w:type="pct"/>
            <w:noWrap/>
            <w:vAlign w:val="center"/>
            <w:hideMark/>
          </w:tcPr>
          <w:p w14:paraId="11F9DED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501.31</w:t>
            </w:r>
          </w:p>
        </w:tc>
        <w:tc>
          <w:tcPr>
            <w:tcW w:w="143" w:type="pct"/>
            <w:noWrap/>
            <w:vAlign w:val="center"/>
            <w:hideMark/>
          </w:tcPr>
          <w:p w14:paraId="39E69C5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231.43</w:t>
            </w:r>
          </w:p>
        </w:tc>
        <w:tc>
          <w:tcPr>
            <w:tcW w:w="143" w:type="pct"/>
            <w:noWrap/>
            <w:vAlign w:val="center"/>
            <w:hideMark/>
          </w:tcPr>
          <w:p w14:paraId="5F09C02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425.88</w:t>
            </w:r>
          </w:p>
        </w:tc>
        <w:tc>
          <w:tcPr>
            <w:tcW w:w="143" w:type="pct"/>
            <w:noWrap/>
            <w:vAlign w:val="center"/>
            <w:hideMark/>
          </w:tcPr>
          <w:p w14:paraId="141E6C1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707.40</w:t>
            </w:r>
          </w:p>
        </w:tc>
        <w:tc>
          <w:tcPr>
            <w:tcW w:w="143" w:type="pct"/>
            <w:noWrap/>
            <w:vAlign w:val="center"/>
            <w:hideMark/>
          </w:tcPr>
          <w:p w14:paraId="6E2698B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290.56</w:t>
            </w:r>
          </w:p>
        </w:tc>
        <w:tc>
          <w:tcPr>
            <w:tcW w:w="143" w:type="pct"/>
            <w:noWrap/>
            <w:vAlign w:val="center"/>
            <w:hideMark/>
          </w:tcPr>
          <w:p w14:paraId="59BD417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531.00</w:t>
            </w:r>
          </w:p>
        </w:tc>
        <w:tc>
          <w:tcPr>
            <w:tcW w:w="143" w:type="pct"/>
            <w:noWrap/>
            <w:vAlign w:val="center"/>
            <w:hideMark/>
          </w:tcPr>
          <w:p w14:paraId="4C85CA8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564.47</w:t>
            </w:r>
          </w:p>
        </w:tc>
        <w:tc>
          <w:tcPr>
            <w:tcW w:w="143" w:type="pct"/>
            <w:noWrap/>
            <w:vAlign w:val="center"/>
            <w:hideMark/>
          </w:tcPr>
          <w:p w14:paraId="43B845E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393.61</w:t>
            </w:r>
          </w:p>
        </w:tc>
      </w:tr>
      <w:tr w:rsidR="004959A9" w:rsidRPr="002F7C87" w14:paraId="7259551F"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423C9E39"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z25</w:t>
            </w:r>
          </w:p>
        </w:tc>
        <w:tc>
          <w:tcPr>
            <w:tcW w:w="143" w:type="pct"/>
            <w:noWrap/>
            <w:vAlign w:val="center"/>
            <w:hideMark/>
          </w:tcPr>
          <w:p w14:paraId="2A8EBE4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261.89</w:t>
            </w:r>
          </w:p>
        </w:tc>
        <w:tc>
          <w:tcPr>
            <w:tcW w:w="143" w:type="pct"/>
            <w:noWrap/>
            <w:vAlign w:val="center"/>
            <w:hideMark/>
          </w:tcPr>
          <w:p w14:paraId="4125C3B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276.41</w:t>
            </w:r>
          </w:p>
        </w:tc>
        <w:tc>
          <w:tcPr>
            <w:tcW w:w="143" w:type="pct"/>
            <w:noWrap/>
            <w:vAlign w:val="center"/>
            <w:hideMark/>
          </w:tcPr>
          <w:p w14:paraId="60D31AB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132.80</w:t>
            </w:r>
          </w:p>
        </w:tc>
        <w:tc>
          <w:tcPr>
            <w:tcW w:w="143" w:type="pct"/>
            <w:noWrap/>
            <w:vAlign w:val="center"/>
            <w:hideMark/>
          </w:tcPr>
          <w:p w14:paraId="1DB52F1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482.63</w:t>
            </w:r>
          </w:p>
        </w:tc>
        <w:tc>
          <w:tcPr>
            <w:tcW w:w="143" w:type="pct"/>
            <w:noWrap/>
            <w:vAlign w:val="center"/>
            <w:hideMark/>
          </w:tcPr>
          <w:p w14:paraId="4ADC067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107.07</w:t>
            </w:r>
          </w:p>
        </w:tc>
        <w:tc>
          <w:tcPr>
            <w:tcW w:w="143" w:type="pct"/>
            <w:noWrap/>
            <w:vAlign w:val="center"/>
            <w:hideMark/>
          </w:tcPr>
          <w:p w14:paraId="75F16BF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118.50</w:t>
            </w:r>
          </w:p>
        </w:tc>
        <w:tc>
          <w:tcPr>
            <w:tcW w:w="143" w:type="pct"/>
            <w:noWrap/>
            <w:vAlign w:val="center"/>
            <w:hideMark/>
          </w:tcPr>
          <w:p w14:paraId="49C7769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416.69</w:t>
            </w:r>
          </w:p>
        </w:tc>
        <w:tc>
          <w:tcPr>
            <w:tcW w:w="143" w:type="pct"/>
            <w:noWrap/>
            <w:vAlign w:val="center"/>
            <w:hideMark/>
          </w:tcPr>
          <w:p w14:paraId="041D379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364.28</w:t>
            </w:r>
          </w:p>
        </w:tc>
        <w:tc>
          <w:tcPr>
            <w:tcW w:w="143" w:type="pct"/>
            <w:noWrap/>
            <w:vAlign w:val="center"/>
            <w:hideMark/>
          </w:tcPr>
          <w:p w14:paraId="6FE9EF7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240.08</w:t>
            </w:r>
          </w:p>
        </w:tc>
        <w:tc>
          <w:tcPr>
            <w:tcW w:w="143" w:type="pct"/>
            <w:noWrap/>
            <w:vAlign w:val="center"/>
            <w:hideMark/>
          </w:tcPr>
          <w:p w14:paraId="7C95C6F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236.69</w:t>
            </w:r>
          </w:p>
        </w:tc>
        <w:tc>
          <w:tcPr>
            <w:tcW w:w="143" w:type="pct"/>
            <w:noWrap/>
            <w:vAlign w:val="center"/>
            <w:hideMark/>
          </w:tcPr>
          <w:p w14:paraId="18FE8D8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69.64</w:t>
            </w:r>
          </w:p>
        </w:tc>
        <w:tc>
          <w:tcPr>
            <w:tcW w:w="143" w:type="pct"/>
            <w:noWrap/>
            <w:vAlign w:val="center"/>
            <w:hideMark/>
          </w:tcPr>
          <w:p w14:paraId="78885CD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255.16</w:t>
            </w:r>
          </w:p>
        </w:tc>
        <w:tc>
          <w:tcPr>
            <w:tcW w:w="143" w:type="pct"/>
            <w:noWrap/>
            <w:vAlign w:val="center"/>
            <w:hideMark/>
          </w:tcPr>
          <w:p w14:paraId="225F8EE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297.53</w:t>
            </w:r>
          </w:p>
        </w:tc>
        <w:tc>
          <w:tcPr>
            <w:tcW w:w="143" w:type="pct"/>
            <w:noWrap/>
            <w:vAlign w:val="center"/>
            <w:hideMark/>
          </w:tcPr>
          <w:p w14:paraId="46FA479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299.32</w:t>
            </w:r>
          </w:p>
        </w:tc>
        <w:tc>
          <w:tcPr>
            <w:tcW w:w="143" w:type="pct"/>
            <w:noWrap/>
            <w:vAlign w:val="center"/>
            <w:hideMark/>
          </w:tcPr>
          <w:p w14:paraId="0A99B95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352.67</w:t>
            </w:r>
          </w:p>
        </w:tc>
        <w:tc>
          <w:tcPr>
            <w:tcW w:w="143" w:type="pct"/>
            <w:noWrap/>
            <w:vAlign w:val="center"/>
            <w:hideMark/>
          </w:tcPr>
          <w:p w14:paraId="4666E7C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227.56</w:t>
            </w:r>
          </w:p>
        </w:tc>
        <w:tc>
          <w:tcPr>
            <w:tcW w:w="143" w:type="pct"/>
            <w:noWrap/>
            <w:vAlign w:val="center"/>
            <w:hideMark/>
          </w:tcPr>
          <w:p w14:paraId="74D6ECE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424.31</w:t>
            </w:r>
          </w:p>
        </w:tc>
        <w:tc>
          <w:tcPr>
            <w:tcW w:w="143" w:type="pct"/>
            <w:noWrap/>
            <w:vAlign w:val="center"/>
            <w:hideMark/>
          </w:tcPr>
          <w:p w14:paraId="744C10F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359.77</w:t>
            </w:r>
          </w:p>
        </w:tc>
        <w:tc>
          <w:tcPr>
            <w:tcW w:w="143" w:type="pct"/>
            <w:noWrap/>
            <w:vAlign w:val="center"/>
            <w:hideMark/>
          </w:tcPr>
          <w:p w14:paraId="2532ED7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89.01</w:t>
            </w:r>
          </w:p>
        </w:tc>
        <w:tc>
          <w:tcPr>
            <w:tcW w:w="143" w:type="pct"/>
            <w:noWrap/>
            <w:vAlign w:val="center"/>
            <w:hideMark/>
          </w:tcPr>
          <w:p w14:paraId="2DCC576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191.72</w:t>
            </w:r>
          </w:p>
        </w:tc>
        <w:tc>
          <w:tcPr>
            <w:tcW w:w="143" w:type="pct"/>
            <w:noWrap/>
            <w:vAlign w:val="center"/>
            <w:hideMark/>
          </w:tcPr>
          <w:p w14:paraId="1340EEB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134.38</w:t>
            </w:r>
          </w:p>
        </w:tc>
        <w:tc>
          <w:tcPr>
            <w:tcW w:w="143" w:type="pct"/>
            <w:noWrap/>
            <w:vAlign w:val="center"/>
            <w:hideMark/>
          </w:tcPr>
          <w:p w14:paraId="3D12D17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312.20</w:t>
            </w:r>
          </w:p>
        </w:tc>
        <w:tc>
          <w:tcPr>
            <w:tcW w:w="143" w:type="pct"/>
            <w:noWrap/>
            <w:vAlign w:val="center"/>
            <w:hideMark/>
          </w:tcPr>
          <w:p w14:paraId="15FA02F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106.85</w:t>
            </w:r>
          </w:p>
        </w:tc>
        <w:tc>
          <w:tcPr>
            <w:tcW w:w="143" w:type="pct"/>
            <w:noWrap/>
            <w:vAlign w:val="center"/>
            <w:hideMark/>
          </w:tcPr>
          <w:p w14:paraId="3351986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347.41</w:t>
            </w:r>
          </w:p>
        </w:tc>
        <w:tc>
          <w:tcPr>
            <w:tcW w:w="143" w:type="pct"/>
            <w:noWrap/>
            <w:vAlign w:val="center"/>
            <w:hideMark/>
          </w:tcPr>
          <w:p w14:paraId="5C51526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6D249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119.93</w:t>
            </w:r>
          </w:p>
        </w:tc>
        <w:tc>
          <w:tcPr>
            <w:tcW w:w="143" w:type="pct"/>
            <w:noWrap/>
            <w:vAlign w:val="center"/>
            <w:hideMark/>
          </w:tcPr>
          <w:p w14:paraId="3C62388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175.96</w:t>
            </w:r>
          </w:p>
        </w:tc>
        <w:tc>
          <w:tcPr>
            <w:tcW w:w="143" w:type="pct"/>
            <w:noWrap/>
            <w:vAlign w:val="center"/>
            <w:hideMark/>
          </w:tcPr>
          <w:p w14:paraId="1F1FB7D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218.51</w:t>
            </w:r>
          </w:p>
        </w:tc>
        <w:tc>
          <w:tcPr>
            <w:tcW w:w="143" w:type="pct"/>
            <w:noWrap/>
            <w:vAlign w:val="center"/>
            <w:hideMark/>
          </w:tcPr>
          <w:p w14:paraId="1EDB6A7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79.29</w:t>
            </w:r>
          </w:p>
        </w:tc>
        <w:tc>
          <w:tcPr>
            <w:tcW w:w="143" w:type="pct"/>
            <w:noWrap/>
            <w:vAlign w:val="center"/>
            <w:hideMark/>
          </w:tcPr>
          <w:p w14:paraId="628F86F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360.00</w:t>
            </w:r>
          </w:p>
        </w:tc>
        <w:tc>
          <w:tcPr>
            <w:tcW w:w="143" w:type="pct"/>
            <w:noWrap/>
            <w:vAlign w:val="center"/>
            <w:hideMark/>
          </w:tcPr>
          <w:p w14:paraId="373A36C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58.27</w:t>
            </w:r>
          </w:p>
        </w:tc>
        <w:tc>
          <w:tcPr>
            <w:tcW w:w="143" w:type="pct"/>
            <w:noWrap/>
            <w:vAlign w:val="center"/>
            <w:hideMark/>
          </w:tcPr>
          <w:p w14:paraId="4F546A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192.69</w:t>
            </w:r>
          </w:p>
        </w:tc>
        <w:tc>
          <w:tcPr>
            <w:tcW w:w="143" w:type="pct"/>
            <w:noWrap/>
            <w:vAlign w:val="center"/>
            <w:hideMark/>
          </w:tcPr>
          <w:p w14:paraId="747B14A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284.99</w:t>
            </w:r>
          </w:p>
        </w:tc>
        <w:tc>
          <w:tcPr>
            <w:tcW w:w="143" w:type="pct"/>
            <w:noWrap/>
            <w:vAlign w:val="center"/>
            <w:hideMark/>
          </w:tcPr>
          <w:p w14:paraId="30D4E4C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53.92</w:t>
            </w:r>
          </w:p>
        </w:tc>
      </w:tr>
      <w:tr w:rsidR="004959A9" w:rsidRPr="002F7C87" w14:paraId="348CA8A6"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68237441"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z26</w:t>
            </w:r>
          </w:p>
        </w:tc>
        <w:tc>
          <w:tcPr>
            <w:tcW w:w="143" w:type="pct"/>
            <w:noWrap/>
            <w:vAlign w:val="center"/>
            <w:hideMark/>
          </w:tcPr>
          <w:p w14:paraId="332FD45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381.71</w:t>
            </w:r>
          </w:p>
        </w:tc>
        <w:tc>
          <w:tcPr>
            <w:tcW w:w="143" w:type="pct"/>
            <w:noWrap/>
            <w:vAlign w:val="center"/>
            <w:hideMark/>
          </w:tcPr>
          <w:p w14:paraId="4CF177E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393.46</w:t>
            </w:r>
          </w:p>
        </w:tc>
        <w:tc>
          <w:tcPr>
            <w:tcW w:w="143" w:type="pct"/>
            <w:noWrap/>
            <w:vAlign w:val="center"/>
            <w:hideMark/>
          </w:tcPr>
          <w:p w14:paraId="6690B2A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225.20</w:t>
            </w:r>
          </w:p>
        </w:tc>
        <w:tc>
          <w:tcPr>
            <w:tcW w:w="143" w:type="pct"/>
            <w:noWrap/>
            <w:vAlign w:val="center"/>
            <w:hideMark/>
          </w:tcPr>
          <w:p w14:paraId="5822882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567.48</w:t>
            </w:r>
          </w:p>
        </w:tc>
        <w:tc>
          <w:tcPr>
            <w:tcW w:w="143" w:type="pct"/>
            <w:noWrap/>
            <w:vAlign w:val="center"/>
            <w:hideMark/>
          </w:tcPr>
          <w:p w14:paraId="3FCF52E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89.22</w:t>
            </w:r>
          </w:p>
        </w:tc>
        <w:tc>
          <w:tcPr>
            <w:tcW w:w="143" w:type="pct"/>
            <w:noWrap/>
            <w:vAlign w:val="center"/>
            <w:hideMark/>
          </w:tcPr>
          <w:p w14:paraId="0FAC745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235.64</w:t>
            </w:r>
          </w:p>
        </w:tc>
        <w:tc>
          <w:tcPr>
            <w:tcW w:w="143" w:type="pct"/>
            <w:noWrap/>
            <w:vAlign w:val="center"/>
            <w:hideMark/>
          </w:tcPr>
          <w:p w14:paraId="65F7C9D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510.39</w:t>
            </w:r>
          </w:p>
        </w:tc>
        <w:tc>
          <w:tcPr>
            <w:tcW w:w="143" w:type="pct"/>
            <w:noWrap/>
            <w:vAlign w:val="center"/>
            <w:hideMark/>
          </w:tcPr>
          <w:p w14:paraId="6E079C6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469.01</w:t>
            </w:r>
          </w:p>
        </w:tc>
        <w:tc>
          <w:tcPr>
            <w:tcW w:w="143" w:type="pct"/>
            <w:noWrap/>
            <w:vAlign w:val="center"/>
            <w:hideMark/>
          </w:tcPr>
          <w:p w14:paraId="35078D4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356.23</w:t>
            </w:r>
          </w:p>
        </w:tc>
        <w:tc>
          <w:tcPr>
            <w:tcW w:w="143" w:type="pct"/>
            <w:noWrap/>
            <w:vAlign w:val="center"/>
            <w:hideMark/>
          </w:tcPr>
          <w:p w14:paraId="7DC2EA3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322.95</w:t>
            </w:r>
          </w:p>
        </w:tc>
        <w:tc>
          <w:tcPr>
            <w:tcW w:w="143" w:type="pct"/>
            <w:noWrap/>
            <w:vAlign w:val="center"/>
            <w:hideMark/>
          </w:tcPr>
          <w:p w14:paraId="39A0975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179.08</w:t>
            </w:r>
          </w:p>
        </w:tc>
        <w:tc>
          <w:tcPr>
            <w:tcW w:w="143" w:type="pct"/>
            <w:noWrap/>
            <w:vAlign w:val="center"/>
            <w:hideMark/>
          </w:tcPr>
          <w:p w14:paraId="60DA267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138.33</w:t>
            </w:r>
          </w:p>
        </w:tc>
        <w:tc>
          <w:tcPr>
            <w:tcW w:w="143" w:type="pct"/>
            <w:noWrap/>
            <w:vAlign w:val="center"/>
            <w:hideMark/>
          </w:tcPr>
          <w:p w14:paraId="2C03735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416.71</w:t>
            </w:r>
          </w:p>
        </w:tc>
        <w:tc>
          <w:tcPr>
            <w:tcW w:w="143" w:type="pct"/>
            <w:noWrap/>
            <w:vAlign w:val="center"/>
            <w:hideMark/>
          </w:tcPr>
          <w:p w14:paraId="1B6D641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409.01</w:t>
            </w:r>
          </w:p>
        </w:tc>
        <w:tc>
          <w:tcPr>
            <w:tcW w:w="143" w:type="pct"/>
            <w:noWrap/>
            <w:vAlign w:val="center"/>
            <w:hideMark/>
          </w:tcPr>
          <w:p w14:paraId="4EA6A89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468.14</w:t>
            </w:r>
          </w:p>
        </w:tc>
        <w:tc>
          <w:tcPr>
            <w:tcW w:w="143" w:type="pct"/>
            <w:noWrap/>
            <w:vAlign w:val="center"/>
            <w:hideMark/>
          </w:tcPr>
          <w:p w14:paraId="6A9F877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334.62</w:t>
            </w:r>
          </w:p>
        </w:tc>
        <w:tc>
          <w:tcPr>
            <w:tcW w:w="143" w:type="pct"/>
            <w:noWrap/>
            <w:vAlign w:val="center"/>
            <w:hideMark/>
          </w:tcPr>
          <w:p w14:paraId="051BF64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306.69</w:t>
            </w:r>
          </w:p>
        </w:tc>
        <w:tc>
          <w:tcPr>
            <w:tcW w:w="143" w:type="pct"/>
            <w:noWrap/>
            <w:vAlign w:val="center"/>
            <w:hideMark/>
          </w:tcPr>
          <w:p w14:paraId="1CC4082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479.37</w:t>
            </w:r>
          </w:p>
        </w:tc>
        <w:tc>
          <w:tcPr>
            <w:tcW w:w="143" w:type="pct"/>
            <w:noWrap/>
            <w:vAlign w:val="center"/>
            <w:hideMark/>
          </w:tcPr>
          <w:p w14:paraId="27791AB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157.49</w:t>
            </w:r>
          </w:p>
        </w:tc>
        <w:tc>
          <w:tcPr>
            <w:tcW w:w="143" w:type="pct"/>
            <w:noWrap/>
            <w:vAlign w:val="center"/>
            <w:hideMark/>
          </w:tcPr>
          <w:p w14:paraId="6C024C1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310.44</w:t>
            </w:r>
          </w:p>
        </w:tc>
        <w:tc>
          <w:tcPr>
            <w:tcW w:w="143" w:type="pct"/>
            <w:noWrap/>
            <w:vAlign w:val="center"/>
            <w:hideMark/>
          </w:tcPr>
          <w:p w14:paraId="2F2F2E3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252.39</w:t>
            </w:r>
          </w:p>
        </w:tc>
        <w:tc>
          <w:tcPr>
            <w:tcW w:w="143" w:type="pct"/>
            <w:noWrap/>
            <w:vAlign w:val="center"/>
            <w:hideMark/>
          </w:tcPr>
          <w:p w14:paraId="400C854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432.03</w:t>
            </w:r>
          </w:p>
        </w:tc>
        <w:tc>
          <w:tcPr>
            <w:tcW w:w="143" w:type="pct"/>
            <w:noWrap/>
            <w:vAlign w:val="center"/>
            <w:hideMark/>
          </w:tcPr>
          <w:p w14:paraId="3B62402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193.88</w:t>
            </w:r>
          </w:p>
        </w:tc>
        <w:tc>
          <w:tcPr>
            <w:tcW w:w="143" w:type="pct"/>
            <w:noWrap/>
            <w:vAlign w:val="center"/>
            <w:hideMark/>
          </w:tcPr>
          <w:p w14:paraId="4343CA9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228.87</w:t>
            </w:r>
          </w:p>
        </w:tc>
        <w:tc>
          <w:tcPr>
            <w:tcW w:w="143" w:type="pct"/>
            <w:noWrap/>
            <w:vAlign w:val="center"/>
            <w:hideMark/>
          </w:tcPr>
          <w:p w14:paraId="1AC00C6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119.93</w:t>
            </w:r>
          </w:p>
        </w:tc>
        <w:tc>
          <w:tcPr>
            <w:tcW w:w="143" w:type="pct"/>
            <w:noWrap/>
            <w:vAlign w:val="center"/>
            <w:hideMark/>
          </w:tcPr>
          <w:p w14:paraId="54A977F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046BBAF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276.56</w:t>
            </w:r>
          </w:p>
        </w:tc>
        <w:tc>
          <w:tcPr>
            <w:tcW w:w="143" w:type="pct"/>
            <w:noWrap/>
            <w:vAlign w:val="center"/>
            <w:hideMark/>
          </w:tcPr>
          <w:p w14:paraId="33F12C3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136.27</w:t>
            </w:r>
          </w:p>
        </w:tc>
        <w:tc>
          <w:tcPr>
            <w:tcW w:w="143" w:type="pct"/>
            <w:noWrap/>
            <w:vAlign w:val="center"/>
            <w:hideMark/>
          </w:tcPr>
          <w:p w14:paraId="463B001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197.31</w:t>
            </w:r>
          </w:p>
        </w:tc>
        <w:tc>
          <w:tcPr>
            <w:tcW w:w="143" w:type="pct"/>
            <w:noWrap/>
            <w:vAlign w:val="center"/>
            <w:hideMark/>
          </w:tcPr>
          <w:p w14:paraId="607E793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479.42</w:t>
            </w:r>
          </w:p>
        </w:tc>
        <w:tc>
          <w:tcPr>
            <w:tcW w:w="143" w:type="pct"/>
            <w:noWrap/>
            <w:vAlign w:val="center"/>
            <w:hideMark/>
          </w:tcPr>
          <w:p w14:paraId="6EFC580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62.01</w:t>
            </w:r>
          </w:p>
        </w:tc>
        <w:tc>
          <w:tcPr>
            <w:tcW w:w="143" w:type="pct"/>
            <w:noWrap/>
            <w:vAlign w:val="center"/>
            <w:hideMark/>
          </w:tcPr>
          <w:p w14:paraId="61C97E0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303.17</w:t>
            </w:r>
          </w:p>
        </w:tc>
        <w:tc>
          <w:tcPr>
            <w:tcW w:w="143" w:type="pct"/>
            <w:noWrap/>
            <w:vAlign w:val="center"/>
            <w:hideMark/>
          </w:tcPr>
          <w:p w14:paraId="09F48DA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358.91</w:t>
            </w:r>
          </w:p>
        </w:tc>
        <w:tc>
          <w:tcPr>
            <w:tcW w:w="143" w:type="pct"/>
            <w:noWrap/>
            <w:vAlign w:val="center"/>
            <w:hideMark/>
          </w:tcPr>
          <w:p w14:paraId="05EB724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164.77</w:t>
            </w:r>
          </w:p>
        </w:tc>
      </w:tr>
      <w:tr w:rsidR="004959A9" w:rsidRPr="002F7C87" w14:paraId="61C2CB08"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132EB662"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z27</w:t>
            </w:r>
          </w:p>
        </w:tc>
        <w:tc>
          <w:tcPr>
            <w:tcW w:w="143" w:type="pct"/>
            <w:noWrap/>
            <w:vAlign w:val="center"/>
            <w:hideMark/>
          </w:tcPr>
          <w:p w14:paraId="02178B6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168.78</w:t>
            </w:r>
          </w:p>
        </w:tc>
        <w:tc>
          <w:tcPr>
            <w:tcW w:w="143" w:type="pct"/>
            <w:noWrap/>
            <w:vAlign w:val="center"/>
            <w:hideMark/>
          </w:tcPr>
          <w:p w14:paraId="5C4C5C1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144.91</w:t>
            </w:r>
          </w:p>
        </w:tc>
        <w:tc>
          <w:tcPr>
            <w:tcW w:w="143" w:type="pct"/>
            <w:noWrap/>
            <w:vAlign w:val="center"/>
            <w:hideMark/>
          </w:tcPr>
          <w:p w14:paraId="7875BE7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53.09</w:t>
            </w:r>
          </w:p>
        </w:tc>
        <w:tc>
          <w:tcPr>
            <w:tcW w:w="143" w:type="pct"/>
            <w:noWrap/>
            <w:vAlign w:val="center"/>
            <w:hideMark/>
          </w:tcPr>
          <w:p w14:paraId="5819B3F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308.93</w:t>
            </w:r>
          </w:p>
        </w:tc>
        <w:tc>
          <w:tcPr>
            <w:tcW w:w="143" w:type="pct"/>
            <w:noWrap/>
            <w:vAlign w:val="center"/>
            <w:hideMark/>
          </w:tcPr>
          <w:p w14:paraId="6D1A4D5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208.66</w:t>
            </w:r>
          </w:p>
        </w:tc>
        <w:tc>
          <w:tcPr>
            <w:tcW w:w="143" w:type="pct"/>
            <w:noWrap/>
            <w:vAlign w:val="center"/>
            <w:hideMark/>
          </w:tcPr>
          <w:p w14:paraId="251511E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84.70</w:t>
            </w:r>
          </w:p>
        </w:tc>
        <w:tc>
          <w:tcPr>
            <w:tcW w:w="143" w:type="pct"/>
            <w:noWrap/>
            <w:vAlign w:val="center"/>
            <w:hideMark/>
          </w:tcPr>
          <w:p w14:paraId="345D10A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240.78</w:t>
            </w:r>
          </w:p>
        </w:tc>
        <w:tc>
          <w:tcPr>
            <w:tcW w:w="143" w:type="pct"/>
            <w:noWrap/>
            <w:vAlign w:val="center"/>
            <w:hideMark/>
          </w:tcPr>
          <w:p w14:paraId="7154BDE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192.45</w:t>
            </w:r>
          </w:p>
        </w:tc>
        <w:tc>
          <w:tcPr>
            <w:tcW w:w="143" w:type="pct"/>
            <w:noWrap/>
            <w:vAlign w:val="center"/>
            <w:hideMark/>
          </w:tcPr>
          <w:p w14:paraId="5B06C5B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215.57</w:t>
            </w:r>
          </w:p>
        </w:tc>
        <w:tc>
          <w:tcPr>
            <w:tcW w:w="143" w:type="pct"/>
            <w:noWrap/>
            <w:vAlign w:val="center"/>
            <w:hideMark/>
          </w:tcPr>
          <w:p w14:paraId="2DDD277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72.03</w:t>
            </w:r>
          </w:p>
        </w:tc>
        <w:tc>
          <w:tcPr>
            <w:tcW w:w="143" w:type="pct"/>
            <w:noWrap/>
            <w:vAlign w:val="center"/>
            <w:hideMark/>
          </w:tcPr>
          <w:p w14:paraId="183F324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180.26</w:t>
            </w:r>
          </w:p>
        </w:tc>
        <w:tc>
          <w:tcPr>
            <w:tcW w:w="143" w:type="pct"/>
            <w:noWrap/>
            <w:vAlign w:val="center"/>
            <w:hideMark/>
          </w:tcPr>
          <w:p w14:paraId="4B79B7C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389.04</w:t>
            </w:r>
          </w:p>
        </w:tc>
        <w:tc>
          <w:tcPr>
            <w:tcW w:w="143" w:type="pct"/>
            <w:noWrap/>
            <w:vAlign w:val="center"/>
            <w:hideMark/>
          </w:tcPr>
          <w:p w14:paraId="178BEDD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228.37</w:t>
            </w:r>
          </w:p>
        </w:tc>
        <w:tc>
          <w:tcPr>
            <w:tcW w:w="143" w:type="pct"/>
            <w:noWrap/>
            <w:vAlign w:val="center"/>
            <w:hideMark/>
          </w:tcPr>
          <w:p w14:paraId="6E2F17F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135.97</w:t>
            </w:r>
          </w:p>
        </w:tc>
        <w:tc>
          <w:tcPr>
            <w:tcW w:w="143" w:type="pct"/>
            <w:noWrap/>
            <w:vAlign w:val="center"/>
            <w:hideMark/>
          </w:tcPr>
          <w:p w14:paraId="1FB6F23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205.52</w:t>
            </w:r>
          </w:p>
        </w:tc>
        <w:tc>
          <w:tcPr>
            <w:tcW w:w="143" w:type="pct"/>
            <w:noWrap/>
            <w:vAlign w:val="center"/>
            <w:hideMark/>
          </w:tcPr>
          <w:p w14:paraId="4876E42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61.32</w:t>
            </w:r>
          </w:p>
        </w:tc>
        <w:tc>
          <w:tcPr>
            <w:tcW w:w="143" w:type="pct"/>
            <w:noWrap/>
            <w:vAlign w:val="center"/>
            <w:hideMark/>
          </w:tcPr>
          <w:p w14:paraId="141B5A2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550.34</w:t>
            </w:r>
          </w:p>
        </w:tc>
        <w:tc>
          <w:tcPr>
            <w:tcW w:w="143" w:type="pct"/>
            <w:noWrap/>
            <w:vAlign w:val="center"/>
            <w:hideMark/>
          </w:tcPr>
          <w:p w14:paraId="785F380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273.28</w:t>
            </w:r>
          </w:p>
        </w:tc>
        <w:tc>
          <w:tcPr>
            <w:tcW w:w="143" w:type="pct"/>
            <w:noWrap/>
            <w:vAlign w:val="center"/>
            <w:hideMark/>
          </w:tcPr>
          <w:p w14:paraId="77F6446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123.22</w:t>
            </w:r>
          </w:p>
        </w:tc>
        <w:tc>
          <w:tcPr>
            <w:tcW w:w="143" w:type="pct"/>
            <w:noWrap/>
            <w:vAlign w:val="center"/>
            <w:hideMark/>
          </w:tcPr>
          <w:p w14:paraId="3DAB230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102.59</w:t>
            </w:r>
          </w:p>
        </w:tc>
        <w:tc>
          <w:tcPr>
            <w:tcW w:w="143" w:type="pct"/>
            <w:noWrap/>
            <w:vAlign w:val="center"/>
            <w:hideMark/>
          </w:tcPr>
          <w:p w14:paraId="696B5D8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151.54</w:t>
            </w:r>
          </w:p>
        </w:tc>
        <w:tc>
          <w:tcPr>
            <w:tcW w:w="143" w:type="pct"/>
            <w:noWrap/>
            <w:vAlign w:val="center"/>
            <w:hideMark/>
          </w:tcPr>
          <w:p w14:paraId="56F0787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209.54</w:t>
            </w:r>
          </w:p>
        </w:tc>
        <w:tc>
          <w:tcPr>
            <w:tcW w:w="143" w:type="pct"/>
            <w:noWrap/>
            <w:vAlign w:val="center"/>
            <w:hideMark/>
          </w:tcPr>
          <w:p w14:paraId="624A0DF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84.14</w:t>
            </w:r>
          </w:p>
        </w:tc>
        <w:tc>
          <w:tcPr>
            <w:tcW w:w="143" w:type="pct"/>
            <w:noWrap/>
            <w:vAlign w:val="center"/>
            <w:hideMark/>
          </w:tcPr>
          <w:p w14:paraId="4E06F1C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501.31</w:t>
            </w:r>
          </w:p>
        </w:tc>
        <w:tc>
          <w:tcPr>
            <w:tcW w:w="143" w:type="pct"/>
            <w:noWrap/>
            <w:vAlign w:val="center"/>
            <w:hideMark/>
          </w:tcPr>
          <w:p w14:paraId="7B75735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175.96</w:t>
            </w:r>
          </w:p>
        </w:tc>
        <w:tc>
          <w:tcPr>
            <w:tcW w:w="143" w:type="pct"/>
            <w:noWrap/>
            <w:vAlign w:val="center"/>
            <w:hideMark/>
          </w:tcPr>
          <w:p w14:paraId="63D5F47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276.56</w:t>
            </w:r>
          </w:p>
        </w:tc>
        <w:tc>
          <w:tcPr>
            <w:tcW w:w="143" w:type="pct"/>
            <w:noWrap/>
            <w:vAlign w:val="center"/>
            <w:hideMark/>
          </w:tcPr>
          <w:p w14:paraId="220F83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482F91B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311.44</w:t>
            </w:r>
          </w:p>
        </w:tc>
        <w:tc>
          <w:tcPr>
            <w:tcW w:w="143" w:type="pct"/>
            <w:noWrap/>
            <w:vAlign w:val="center"/>
            <w:hideMark/>
          </w:tcPr>
          <w:p w14:paraId="63F5771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110.51</w:t>
            </w:r>
          </w:p>
        </w:tc>
        <w:tc>
          <w:tcPr>
            <w:tcW w:w="143" w:type="pct"/>
            <w:noWrap/>
            <w:vAlign w:val="center"/>
            <w:hideMark/>
          </w:tcPr>
          <w:p w14:paraId="5AE678E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241.82</w:t>
            </w:r>
          </w:p>
        </w:tc>
        <w:tc>
          <w:tcPr>
            <w:tcW w:w="143" w:type="pct"/>
            <w:noWrap/>
            <w:vAlign w:val="center"/>
            <w:hideMark/>
          </w:tcPr>
          <w:p w14:paraId="56B8538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219.91</w:t>
            </w:r>
          </w:p>
        </w:tc>
        <w:tc>
          <w:tcPr>
            <w:tcW w:w="143" w:type="pct"/>
            <w:noWrap/>
            <w:vAlign w:val="center"/>
            <w:hideMark/>
          </w:tcPr>
          <w:p w14:paraId="78699C0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46.09</w:t>
            </w:r>
          </w:p>
        </w:tc>
        <w:tc>
          <w:tcPr>
            <w:tcW w:w="143" w:type="pct"/>
            <w:noWrap/>
            <w:vAlign w:val="center"/>
            <w:hideMark/>
          </w:tcPr>
          <w:p w14:paraId="069318D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130.58</w:t>
            </w:r>
          </w:p>
        </w:tc>
        <w:tc>
          <w:tcPr>
            <w:tcW w:w="143" w:type="pct"/>
            <w:noWrap/>
            <w:vAlign w:val="center"/>
            <w:hideMark/>
          </w:tcPr>
          <w:p w14:paraId="542D1D1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122.09</w:t>
            </w:r>
          </w:p>
        </w:tc>
      </w:tr>
      <w:tr w:rsidR="004959A9" w:rsidRPr="002F7C87" w14:paraId="77726F1C"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08F3E885"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z28</w:t>
            </w:r>
          </w:p>
        </w:tc>
        <w:tc>
          <w:tcPr>
            <w:tcW w:w="143" w:type="pct"/>
            <w:noWrap/>
            <w:vAlign w:val="center"/>
            <w:hideMark/>
          </w:tcPr>
          <w:p w14:paraId="102BFE6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456.20</w:t>
            </w:r>
          </w:p>
        </w:tc>
        <w:tc>
          <w:tcPr>
            <w:tcW w:w="143" w:type="pct"/>
            <w:noWrap/>
            <w:vAlign w:val="center"/>
            <w:hideMark/>
          </w:tcPr>
          <w:p w14:paraId="02CB5ED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451.27</w:t>
            </w:r>
          </w:p>
        </w:tc>
        <w:tc>
          <w:tcPr>
            <w:tcW w:w="143" w:type="pct"/>
            <w:noWrap/>
            <w:vAlign w:val="center"/>
            <w:hideMark/>
          </w:tcPr>
          <w:p w14:paraId="4F02BC3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259.92</w:t>
            </w:r>
          </w:p>
        </w:tc>
        <w:tc>
          <w:tcPr>
            <w:tcW w:w="143" w:type="pct"/>
            <w:noWrap/>
            <w:vAlign w:val="center"/>
            <w:hideMark/>
          </w:tcPr>
          <w:p w14:paraId="36FA8C5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551.52</w:t>
            </w:r>
          </w:p>
        </w:tc>
        <w:tc>
          <w:tcPr>
            <w:tcW w:w="143" w:type="pct"/>
            <w:noWrap/>
            <w:vAlign w:val="center"/>
            <w:hideMark/>
          </w:tcPr>
          <w:p w14:paraId="44E64BE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115.99</w:t>
            </w:r>
          </w:p>
        </w:tc>
        <w:tc>
          <w:tcPr>
            <w:tcW w:w="143" w:type="pct"/>
            <w:noWrap/>
            <w:vAlign w:val="center"/>
            <w:hideMark/>
          </w:tcPr>
          <w:p w14:paraId="51FAD18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306.81</w:t>
            </w:r>
          </w:p>
        </w:tc>
        <w:tc>
          <w:tcPr>
            <w:tcW w:w="143" w:type="pct"/>
            <w:noWrap/>
            <w:vAlign w:val="center"/>
            <w:hideMark/>
          </w:tcPr>
          <w:p w14:paraId="1E4433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511.24</w:t>
            </w:r>
          </w:p>
        </w:tc>
        <w:tc>
          <w:tcPr>
            <w:tcW w:w="143" w:type="pct"/>
            <w:noWrap/>
            <w:vAlign w:val="center"/>
            <w:hideMark/>
          </w:tcPr>
          <w:p w14:paraId="398AF02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491.91</w:t>
            </w:r>
          </w:p>
        </w:tc>
        <w:tc>
          <w:tcPr>
            <w:tcW w:w="143" w:type="pct"/>
            <w:noWrap/>
            <w:vAlign w:val="center"/>
            <w:hideMark/>
          </w:tcPr>
          <w:p w14:paraId="222C35C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454.06</w:t>
            </w:r>
          </w:p>
        </w:tc>
        <w:tc>
          <w:tcPr>
            <w:tcW w:w="143" w:type="pct"/>
            <w:noWrap/>
            <w:vAlign w:val="center"/>
            <w:hideMark/>
          </w:tcPr>
          <w:p w14:paraId="1517E7D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330.04</w:t>
            </w:r>
          </w:p>
        </w:tc>
        <w:tc>
          <w:tcPr>
            <w:tcW w:w="143" w:type="pct"/>
            <w:noWrap/>
            <w:vAlign w:val="center"/>
            <w:hideMark/>
          </w:tcPr>
          <w:p w14:paraId="5124EC3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287.86</w:t>
            </w:r>
          </w:p>
        </w:tc>
        <w:tc>
          <w:tcPr>
            <w:tcW w:w="143" w:type="pct"/>
            <w:noWrap/>
            <w:vAlign w:val="center"/>
            <w:hideMark/>
          </w:tcPr>
          <w:p w14:paraId="1086785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105.70</w:t>
            </w:r>
          </w:p>
        </w:tc>
        <w:tc>
          <w:tcPr>
            <w:tcW w:w="143" w:type="pct"/>
            <w:noWrap/>
            <w:vAlign w:val="center"/>
            <w:hideMark/>
          </w:tcPr>
          <w:p w14:paraId="11C32ED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502.87</w:t>
            </w:r>
          </w:p>
        </w:tc>
        <w:tc>
          <w:tcPr>
            <w:tcW w:w="143" w:type="pct"/>
            <w:noWrap/>
            <w:vAlign w:val="center"/>
            <w:hideMark/>
          </w:tcPr>
          <w:p w14:paraId="07E9DA4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445.97</w:t>
            </w:r>
          </w:p>
        </w:tc>
        <w:tc>
          <w:tcPr>
            <w:tcW w:w="143" w:type="pct"/>
            <w:noWrap/>
            <w:vAlign w:val="center"/>
            <w:hideMark/>
          </w:tcPr>
          <w:p w14:paraId="3166E72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516.89</w:t>
            </w:r>
          </w:p>
        </w:tc>
        <w:tc>
          <w:tcPr>
            <w:tcW w:w="143" w:type="pct"/>
            <w:noWrap/>
            <w:vAlign w:val="center"/>
            <w:hideMark/>
          </w:tcPr>
          <w:p w14:paraId="53BD859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372.55</w:t>
            </w:r>
          </w:p>
        </w:tc>
        <w:tc>
          <w:tcPr>
            <w:tcW w:w="143" w:type="pct"/>
            <w:noWrap/>
            <w:vAlign w:val="center"/>
            <w:hideMark/>
          </w:tcPr>
          <w:p w14:paraId="28BB29A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242.21</w:t>
            </w:r>
          </w:p>
        </w:tc>
        <w:tc>
          <w:tcPr>
            <w:tcW w:w="143" w:type="pct"/>
            <w:noWrap/>
            <w:vAlign w:val="center"/>
            <w:hideMark/>
          </w:tcPr>
          <w:p w14:paraId="2F39DB2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561.17</w:t>
            </w:r>
          </w:p>
        </w:tc>
        <w:tc>
          <w:tcPr>
            <w:tcW w:w="143" w:type="pct"/>
            <w:noWrap/>
            <w:vAlign w:val="center"/>
            <w:hideMark/>
          </w:tcPr>
          <w:p w14:paraId="5999988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194.85</w:t>
            </w:r>
          </w:p>
        </w:tc>
        <w:tc>
          <w:tcPr>
            <w:tcW w:w="143" w:type="pct"/>
            <w:noWrap/>
            <w:vAlign w:val="center"/>
            <w:hideMark/>
          </w:tcPr>
          <w:p w14:paraId="747D245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380.23</w:t>
            </w:r>
          </w:p>
        </w:tc>
        <w:tc>
          <w:tcPr>
            <w:tcW w:w="143" w:type="pct"/>
            <w:noWrap/>
            <w:vAlign w:val="center"/>
            <w:hideMark/>
          </w:tcPr>
          <w:p w14:paraId="7FE831B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348.00</w:t>
            </w:r>
          </w:p>
        </w:tc>
        <w:tc>
          <w:tcPr>
            <w:tcW w:w="143" w:type="pct"/>
            <w:noWrap/>
            <w:vAlign w:val="center"/>
            <w:hideMark/>
          </w:tcPr>
          <w:p w14:paraId="09C8FD8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504.83</w:t>
            </w:r>
          </w:p>
        </w:tc>
        <w:tc>
          <w:tcPr>
            <w:tcW w:w="143" w:type="pct"/>
            <w:noWrap/>
            <w:vAlign w:val="center"/>
            <w:hideMark/>
          </w:tcPr>
          <w:p w14:paraId="7EB3AE4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232.29</w:t>
            </w:r>
          </w:p>
        </w:tc>
        <w:tc>
          <w:tcPr>
            <w:tcW w:w="143" w:type="pct"/>
            <w:noWrap/>
            <w:vAlign w:val="center"/>
            <w:hideMark/>
          </w:tcPr>
          <w:p w14:paraId="4E31285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231.43</w:t>
            </w:r>
          </w:p>
        </w:tc>
        <w:tc>
          <w:tcPr>
            <w:tcW w:w="143" w:type="pct"/>
            <w:noWrap/>
            <w:vAlign w:val="center"/>
            <w:hideMark/>
          </w:tcPr>
          <w:p w14:paraId="4EE56FF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218.51</w:t>
            </w:r>
          </w:p>
        </w:tc>
        <w:tc>
          <w:tcPr>
            <w:tcW w:w="143" w:type="pct"/>
            <w:noWrap/>
            <w:vAlign w:val="center"/>
            <w:hideMark/>
          </w:tcPr>
          <w:p w14:paraId="53043E5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136.27</w:t>
            </w:r>
          </w:p>
        </w:tc>
        <w:tc>
          <w:tcPr>
            <w:tcW w:w="143" w:type="pct"/>
            <w:noWrap/>
            <w:vAlign w:val="center"/>
            <w:hideMark/>
          </w:tcPr>
          <w:p w14:paraId="64D7E4D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311.44</w:t>
            </w:r>
          </w:p>
        </w:tc>
        <w:tc>
          <w:tcPr>
            <w:tcW w:w="143" w:type="pct"/>
            <w:noWrap/>
            <w:vAlign w:val="center"/>
            <w:hideMark/>
          </w:tcPr>
          <w:p w14:paraId="497230F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CCE5EE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276.21</w:t>
            </w:r>
          </w:p>
        </w:tc>
        <w:tc>
          <w:tcPr>
            <w:tcW w:w="143" w:type="pct"/>
            <w:noWrap/>
            <w:vAlign w:val="center"/>
            <w:hideMark/>
          </w:tcPr>
          <w:p w14:paraId="541BD3E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545.90</w:t>
            </w:r>
          </w:p>
        </w:tc>
        <w:tc>
          <w:tcPr>
            <w:tcW w:w="143" w:type="pct"/>
            <w:noWrap/>
            <w:vAlign w:val="center"/>
            <w:hideMark/>
          </w:tcPr>
          <w:p w14:paraId="4A9E2FA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170.11</w:t>
            </w:r>
          </w:p>
        </w:tc>
        <w:tc>
          <w:tcPr>
            <w:tcW w:w="143" w:type="pct"/>
            <w:noWrap/>
            <w:vAlign w:val="center"/>
            <w:hideMark/>
          </w:tcPr>
          <w:p w14:paraId="3196B32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351.15</w:t>
            </w:r>
          </w:p>
        </w:tc>
        <w:tc>
          <w:tcPr>
            <w:tcW w:w="143" w:type="pct"/>
            <w:noWrap/>
            <w:vAlign w:val="center"/>
            <w:hideMark/>
          </w:tcPr>
          <w:p w14:paraId="7D6362F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344.55</w:t>
            </w:r>
          </w:p>
        </w:tc>
        <w:tc>
          <w:tcPr>
            <w:tcW w:w="143" w:type="pct"/>
            <w:noWrap/>
            <w:vAlign w:val="center"/>
            <w:hideMark/>
          </w:tcPr>
          <w:p w14:paraId="68D967D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238.96</w:t>
            </w:r>
          </w:p>
        </w:tc>
      </w:tr>
      <w:tr w:rsidR="004959A9" w:rsidRPr="002F7C87" w14:paraId="6DCFD59C"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7C1D7F9A"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z29</w:t>
            </w:r>
          </w:p>
        </w:tc>
        <w:tc>
          <w:tcPr>
            <w:tcW w:w="143" w:type="pct"/>
            <w:noWrap/>
            <w:vAlign w:val="center"/>
            <w:hideMark/>
          </w:tcPr>
          <w:p w14:paraId="12B52FA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185.64</w:t>
            </w:r>
          </w:p>
        </w:tc>
        <w:tc>
          <w:tcPr>
            <w:tcW w:w="143" w:type="pct"/>
            <w:noWrap/>
            <w:vAlign w:val="center"/>
            <w:hideMark/>
          </w:tcPr>
          <w:p w14:paraId="4BF20B7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197.14</w:t>
            </w:r>
          </w:p>
        </w:tc>
        <w:tc>
          <w:tcPr>
            <w:tcW w:w="143" w:type="pct"/>
            <w:noWrap/>
            <w:vAlign w:val="center"/>
            <w:hideMark/>
          </w:tcPr>
          <w:p w14:paraId="1FAF6A8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85.35</w:t>
            </w:r>
          </w:p>
        </w:tc>
        <w:tc>
          <w:tcPr>
            <w:tcW w:w="143" w:type="pct"/>
            <w:noWrap/>
            <w:vAlign w:val="center"/>
            <w:hideMark/>
          </w:tcPr>
          <w:p w14:paraId="279614F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418.84</w:t>
            </w:r>
          </w:p>
        </w:tc>
        <w:tc>
          <w:tcPr>
            <w:tcW w:w="143" w:type="pct"/>
            <w:noWrap/>
            <w:vAlign w:val="center"/>
            <w:hideMark/>
          </w:tcPr>
          <w:p w14:paraId="43AECE0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160.30</w:t>
            </w:r>
          </w:p>
        </w:tc>
        <w:tc>
          <w:tcPr>
            <w:tcW w:w="143" w:type="pct"/>
            <w:noWrap/>
            <w:vAlign w:val="center"/>
            <w:hideMark/>
          </w:tcPr>
          <w:p w14:paraId="24229FE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39.27</w:t>
            </w:r>
          </w:p>
        </w:tc>
        <w:tc>
          <w:tcPr>
            <w:tcW w:w="143" w:type="pct"/>
            <w:noWrap/>
            <w:vAlign w:val="center"/>
            <w:hideMark/>
          </w:tcPr>
          <w:p w14:paraId="5F5D7E6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348.10</w:t>
            </w:r>
          </w:p>
        </w:tc>
        <w:tc>
          <w:tcPr>
            <w:tcW w:w="143" w:type="pct"/>
            <w:noWrap/>
            <w:vAlign w:val="center"/>
            <w:hideMark/>
          </w:tcPr>
          <w:p w14:paraId="20C7A15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289.49</w:t>
            </w:r>
          </w:p>
        </w:tc>
        <w:tc>
          <w:tcPr>
            <w:tcW w:w="143" w:type="pct"/>
            <w:noWrap/>
            <w:vAlign w:val="center"/>
            <w:hideMark/>
          </w:tcPr>
          <w:p w14:paraId="25866C7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179.79</w:t>
            </w:r>
          </w:p>
        </w:tc>
        <w:tc>
          <w:tcPr>
            <w:tcW w:w="143" w:type="pct"/>
            <w:noWrap/>
            <w:vAlign w:val="center"/>
            <w:hideMark/>
          </w:tcPr>
          <w:p w14:paraId="30FBD87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179.91</w:t>
            </w:r>
          </w:p>
        </w:tc>
        <w:tc>
          <w:tcPr>
            <w:tcW w:w="143" w:type="pct"/>
            <w:noWrap/>
            <w:vAlign w:val="center"/>
            <w:hideMark/>
          </w:tcPr>
          <w:p w14:paraId="48AD034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70.46</w:t>
            </w:r>
          </w:p>
        </w:tc>
        <w:tc>
          <w:tcPr>
            <w:tcW w:w="143" w:type="pct"/>
            <w:noWrap/>
            <w:vAlign w:val="center"/>
            <w:hideMark/>
          </w:tcPr>
          <w:p w14:paraId="3063D32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328.37</w:t>
            </w:r>
          </w:p>
        </w:tc>
        <w:tc>
          <w:tcPr>
            <w:tcW w:w="143" w:type="pct"/>
            <w:noWrap/>
            <w:vAlign w:val="center"/>
            <w:hideMark/>
          </w:tcPr>
          <w:p w14:paraId="00A730A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227.23</w:t>
            </w:r>
          </w:p>
        </w:tc>
        <w:tc>
          <w:tcPr>
            <w:tcW w:w="143" w:type="pct"/>
            <w:noWrap/>
            <w:vAlign w:val="center"/>
            <w:hideMark/>
          </w:tcPr>
          <w:p w14:paraId="2902D2E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222.33</w:t>
            </w:r>
          </w:p>
        </w:tc>
        <w:tc>
          <w:tcPr>
            <w:tcW w:w="143" w:type="pct"/>
            <w:noWrap/>
            <w:vAlign w:val="center"/>
            <w:hideMark/>
          </w:tcPr>
          <w:p w14:paraId="6C60FBD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273.43</w:t>
            </w:r>
          </w:p>
        </w:tc>
        <w:tc>
          <w:tcPr>
            <w:tcW w:w="143" w:type="pct"/>
            <w:noWrap/>
            <w:vAlign w:val="center"/>
            <w:hideMark/>
          </w:tcPr>
          <w:p w14:paraId="5FAB823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153.31</w:t>
            </w:r>
          </w:p>
        </w:tc>
        <w:tc>
          <w:tcPr>
            <w:tcW w:w="143" w:type="pct"/>
            <w:noWrap/>
            <w:vAlign w:val="center"/>
            <w:hideMark/>
          </w:tcPr>
          <w:p w14:paraId="51AEBB3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496.89</w:t>
            </w:r>
          </w:p>
        </w:tc>
        <w:tc>
          <w:tcPr>
            <w:tcW w:w="143" w:type="pct"/>
            <w:noWrap/>
            <w:vAlign w:val="center"/>
            <w:hideMark/>
          </w:tcPr>
          <w:p w14:paraId="3750FAE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287.28</w:t>
            </w:r>
          </w:p>
        </w:tc>
        <w:tc>
          <w:tcPr>
            <w:tcW w:w="143" w:type="pct"/>
            <w:noWrap/>
            <w:vAlign w:val="center"/>
            <w:hideMark/>
          </w:tcPr>
          <w:p w14:paraId="38B66C8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93.28</w:t>
            </w:r>
          </w:p>
        </w:tc>
        <w:tc>
          <w:tcPr>
            <w:tcW w:w="143" w:type="pct"/>
            <w:noWrap/>
            <w:vAlign w:val="center"/>
            <w:hideMark/>
          </w:tcPr>
          <w:p w14:paraId="496E2D2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113.13</w:t>
            </w:r>
          </w:p>
        </w:tc>
        <w:tc>
          <w:tcPr>
            <w:tcW w:w="143" w:type="pct"/>
            <w:noWrap/>
            <w:vAlign w:val="center"/>
            <w:hideMark/>
          </w:tcPr>
          <w:p w14:paraId="22C69D7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77.19</w:t>
            </w:r>
          </w:p>
        </w:tc>
        <w:tc>
          <w:tcPr>
            <w:tcW w:w="143" w:type="pct"/>
            <w:noWrap/>
            <w:vAlign w:val="center"/>
            <w:hideMark/>
          </w:tcPr>
          <w:p w14:paraId="38939A7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235.83</w:t>
            </w:r>
          </w:p>
        </w:tc>
        <w:tc>
          <w:tcPr>
            <w:tcW w:w="143" w:type="pct"/>
            <w:noWrap/>
            <w:vAlign w:val="center"/>
            <w:hideMark/>
          </w:tcPr>
          <w:p w14:paraId="1199EF4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77.53</w:t>
            </w:r>
          </w:p>
        </w:tc>
        <w:tc>
          <w:tcPr>
            <w:tcW w:w="143" w:type="pct"/>
            <w:noWrap/>
            <w:vAlign w:val="center"/>
            <w:hideMark/>
          </w:tcPr>
          <w:p w14:paraId="597DFA3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425.88</w:t>
            </w:r>
          </w:p>
        </w:tc>
        <w:tc>
          <w:tcPr>
            <w:tcW w:w="143" w:type="pct"/>
            <w:noWrap/>
            <w:vAlign w:val="center"/>
            <w:hideMark/>
          </w:tcPr>
          <w:p w14:paraId="50F423D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79.29</w:t>
            </w:r>
          </w:p>
        </w:tc>
        <w:tc>
          <w:tcPr>
            <w:tcW w:w="143" w:type="pct"/>
            <w:noWrap/>
            <w:vAlign w:val="center"/>
            <w:hideMark/>
          </w:tcPr>
          <w:p w14:paraId="411084A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197.31</w:t>
            </w:r>
          </w:p>
        </w:tc>
        <w:tc>
          <w:tcPr>
            <w:tcW w:w="143" w:type="pct"/>
            <w:noWrap/>
            <w:vAlign w:val="center"/>
            <w:hideMark/>
          </w:tcPr>
          <w:p w14:paraId="31BD59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110.51</w:t>
            </w:r>
          </w:p>
        </w:tc>
        <w:tc>
          <w:tcPr>
            <w:tcW w:w="143" w:type="pct"/>
            <w:noWrap/>
            <w:vAlign w:val="center"/>
            <w:hideMark/>
          </w:tcPr>
          <w:p w14:paraId="482424F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276.21</w:t>
            </w:r>
          </w:p>
        </w:tc>
        <w:tc>
          <w:tcPr>
            <w:tcW w:w="143" w:type="pct"/>
            <w:noWrap/>
            <w:vAlign w:val="center"/>
            <w:hideMark/>
          </w:tcPr>
          <w:p w14:paraId="2DAC044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B2C259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282.29</w:t>
            </w:r>
          </w:p>
        </w:tc>
        <w:tc>
          <w:tcPr>
            <w:tcW w:w="143" w:type="pct"/>
            <w:noWrap/>
            <w:vAlign w:val="center"/>
            <w:hideMark/>
          </w:tcPr>
          <w:p w14:paraId="27AB65A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135.37</w:t>
            </w:r>
          </w:p>
        </w:tc>
        <w:tc>
          <w:tcPr>
            <w:tcW w:w="143" w:type="pct"/>
            <w:noWrap/>
            <w:vAlign w:val="center"/>
            <w:hideMark/>
          </w:tcPr>
          <w:p w14:paraId="75688AC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116.70</w:t>
            </w:r>
          </w:p>
        </w:tc>
        <w:tc>
          <w:tcPr>
            <w:tcW w:w="143" w:type="pct"/>
            <w:noWrap/>
            <w:vAlign w:val="center"/>
            <w:hideMark/>
          </w:tcPr>
          <w:p w14:paraId="46A16BA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235.30</w:t>
            </w:r>
          </w:p>
        </w:tc>
        <w:tc>
          <w:tcPr>
            <w:tcW w:w="143" w:type="pct"/>
            <w:noWrap/>
            <w:vAlign w:val="center"/>
            <w:hideMark/>
          </w:tcPr>
          <w:p w14:paraId="39AAF04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37.26</w:t>
            </w:r>
          </w:p>
        </w:tc>
      </w:tr>
      <w:tr w:rsidR="004959A9" w:rsidRPr="002F7C87" w14:paraId="004E718D"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5942C65E"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z30</w:t>
            </w:r>
          </w:p>
        </w:tc>
        <w:tc>
          <w:tcPr>
            <w:tcW w:w="143" w:type="pct"/>
            <w:noWrap/>
            <w:vAlign w:val="center"/>
            <w:hideMark/>
          </w:tcPr>
          <w:p w14:paraId="71C0F85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99.64</w:t>
            </w:r>
          </w:p>
        </w:tc>
        <w:tc>
          <w:tcPr>
            <w:tcW w:w="143" w:type="pct"/>
            <w:noWrap/>
            <w:vAlign w:val="center"/>
            <w:hideMark/>
          </w:tcPr>
          <w:p w14:paraId="1304D71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96.92</w:t>
            </w:r>
          </w:p>
        </w:tc>
        <w:tc>
          <w:tcPr>
            <w:tcW w:w="143" w:type="pct"/>
            <w:noWrap/>
            <w:vAlign w:val="center"/>
            <w:hideMark/>
          </w:tcPr>
          <w:p w14:paraId="3BBB3B2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288.38</w:t>
            </w:r>
          </w:p>
        </w:tc>
        <w:tc>
          <w:tcPr>
            <w:tcW w:w="143" w:type="pct"/>
            <w:noWrap/>
            <w:vAlign w:val="center"/>
            <w:hideMark/>
          </w:tcPr>
          <w:p w14:paraId="18DA40A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333.23</w:t>
            </w:r>
          </w:p>
        </w:tc>
        <w:tc>
          <w:tcPr>
            <w:tcW w:w="143" w:type="pct"/>
            <w:noWrap/>
            <w:vAlign w:val="center"/>
            <w:hideMark/>
          </w:tcPr>
          <w:p w14:paraId="07EF4AE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434.21</w:t>
            </w:r>
          </w:p>
        </w:tc>
        <w:tc>
          <w:tcPr>
            <w:tcW w:w="143" w:type="pct"/>
            <w:noWrap/>
            <w:vAlign w:val="center"/>
            <w:hideMark/>
          </w:tcPr>
          <w:p w14:paraId="0219E3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244.98</w:t>
            </w:r>
          </w:p>
        </w:tc>
        <w:tc>
          <w:tcPr>
            <w:tcW w:w="143" w:type="pct"/>
            <w:noWrap/>
            <w:vAlign w:val="center"/>
            <w:hideMark/>
          </w:tcPr>
          <w:p w14:paraId="36412B0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254.49</w:t>
            </w:r>
          </w:p>
        </w:tc>
        <w:tc>
          <w:tcPr>
            <w:tcW w:w="143" w:type="pct"/>
            <w:noWrap/>
            <w:vAlign w:val="center"/>
            <w:hideMark/>
          </w:tcPr>
          <w:p w14:paraId="7D1DC0E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171.11</w:t>
            </w:r>
          </w:p>
        </w:tc>
        <w:tc>
          <w:tcPr>
            <w:tcW w:w="143" w:type="pct"/>
            <w:noWrap/>
            <w:vAlign w:val="center"/>
            <w:hideMark/>
          </w:tcPr>
          <w:p w14:paraId="797E68A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170.42</w:t>
            </w:r>
          </w:p>
        </w:tc>
        <w:tc>
          <w:tcPr>
            <w:tcW w:w="143" w:type="pct"/>
            <w:noWrap/>
            <w:vAlign w:val="center"/>
            <w:hideMark/>
          </w:tcPr>
          <w:p w14:paraId="0182EA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264.27</w:t>
            </w:r>
          </w:p>
        </w:tc>
        <w:tc>
          <w:tcPr>
            <w:tcW w:w="143" w:type="pct"/>
            <w:noWrap/>
            <w:vAlign w:val="center"/>
            <w:hideMark/>
          </w:tcPr>
          <w:p w14:paraId="1672A8E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315.53</w:t>
            </w:r>
          </w:p>
        </w:tc>
        <w:tc>
          <w:tcPr>
            <w:tcW w:w="143" w:type="pct"/>
            <w:noWrap/>
            <w:vAlign w:val="center"/>
            <w:hideMark/>
          </w:tcPr>
          <w:p w14:paraId="47C556A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609.59</w:t>
            </w:r>
          </w:p>
        </w:tc>
        <w:tc>
          <w:tcPr>
            <w:tcW w:w="143" w:type="pct"/>
            <w:noWrap/>
            <w:vAlign w:val="center"/>
            <w:hideMark/>
          </w:tcPr>
          <w:p w14:paraId="789AB36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99.82</w:t>
            </w:r>
          </w:p>
        </w:tc>
        <w:tc>
          <w:tcPr>
            <w:tcW w:w="143" w:type="pct"/>
            <w:noWrap/>
            <w:vAlign w:val="center"/>
            <w:hideMark/>
          </w:tcPr>
          <w:p w14:paraId="61E241E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139.18</w:t>
            </w:r>
          </w:p>
        </w:tc>
        <w:tc>
          <w:tcPr>
            <w:tcW w:w="143" w:type="pct"/>
            <w:noWrap/>
            <w:vAlign w:val="center"/>
            <w:hideMark/>
          </w:tcPr>
          <w:p w14:paraId="4007049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74.79</w:t>
            </w:r>
          </w:p>
        </w:tc>
        <w:tc>
          <w:tcPr>
            <w:tcW w:w="143" w:type="pct"/>
            <w:noWrap/>
            <w:vAlign w:val="center"/>
            <w:hideMark/>
          </w:tcPr>
          <w:p w14:paraId="6847441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187.50</w:t>
            </w:r>
          </w:p>
        </w:tc>
        <w:tc>
          <w:tcPr>
            <w:tcW w:w="143" w:type="pct"/>
            <w:noWrap/>
            <w:vAlign w:val="center"/>
            <w:hideMark/>
          </w:tcPr>
          <w:p w14:paraId="110BBAD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777.01</w:t>
            </w:r>
          </w:p>
        </w:tc>
        <w:tc>
          <w:tcPr>
            <w:tcW w:w="143" w:type="pct"/>
            <w:noWrap/>
            <w:vAlign w:val="center"/>
            <w:hideMark/>
          </w:tcPr>
          <w:p w14:paraId="0A0A879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69.46</w:t>
            </w:r>
          </w:p>
        </w:tc>
        <w:tc>
          <w:tcPr>
            <w:tcW w:w="143" w:type="pct"/>
            <w:noWrap/>
            <w:vAlign w:val="center"/>
            <w:hideMark/>
          </w:tcPr>
          <w:p w14:paraId="5100976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351.10</w:t>
            </w:r>
          </w:p>
        </w:tc>
        <w:tc>
          <w:tcPr>
            <w:tcW w:w="143" w:type="pct"/>
            <w:noWrap/>
            <w:vAlign w:val="center"/>
            <w:hideMark/>
          </w:tcPr>
          <w:p w14:paraId="1EBC30D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169.42</w:t>
            </w:r>
          </w:p>
        </w:tc>
        <w:tc>
          <w:tcPr>
            <w:tcW w:w="143" w:type="pct"/>
            <w:noWrap/>
            <w:vAlign w:val="center"/>
            <w:hideMark/>
          </w:tcPr>
          <w:p w14:paraId="34A98DD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238.50</w:t>
            </w:r>
          </w:p>
        </w:tc>
        <w:tc>
          <w:tcPr>
            <w:tcW w:w="143" w:type="pct"/>
            <w:noWrap/>
            <w:vAlign w:val="center"/>
            <w:hideMark/>
          </w:tcPr>
          <w:p w14:paraId="67B2D7E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51.77</w:t>
            </w:r>
          </w:p>
        </w:tc>
        <w:tc>
          <w:tcPr>
            <w:tcW w:w="143" w:type="pct"/>
            <w:noWrap/>
            <w:vAlign w:val="center"/>
            <w:hideMark/>
          </w:tcPr>
          <w:p w14:paraId="53129E1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313.89</w:t>
            </w:r>
          </w:p>
        </w:tc>
        <w:tc>
          <w:tcPr>
            <w:tcW w:w="143" w:type="pct"/>
            <w:noWrap/>
            <w:vAlign w:val="center"/>
            <w:hideMark/>
          </w:tcPr>
          <w:p w14:paraId="0C4820B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707.40</w:t>
            </w:r>
          </w:p>
        </w:tc>
        <w:tc>
          <w:tcPr>
            <w:tcW w:w="143" w:type="pct"/>
            <w:noWrap/>
            <w:vAlign w:val="center"/>
            <w:hideMark/>
          </w:tcPr>
          <w:p w14:paraId="461BDB1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360.00</w:t>
            </w:r>
          </w:p>
        </w:tc>
        <w:tc>
          <w:tcPr>
            <w:tcW w:w="143" w:type="pct"/>
            <w:noWrap/>
            <w:vAlign w:val="center"/>
            <w:hideMark/>
          </w:tcPr>
          <w:p w14:paraId="35B07CD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479.42</w:t>
            </w:r>
          </w:p>
        </w:tc>
        <w:tc>
          <w:tcPr>
            <w:tcW w:w="143" w:type="pct"/>
            <w:noWrap/>
            <w:vAlign w:val="center"/>
            <w:hideMark/>
          </w:tcPr>
          <w:p w14:paraId="4EB2E1A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241.82</w:t>
            </w:r>
          </w:p>
        </w:tc>
        <w:tc>
          <w:tcPr>
            <w:tcW w:w="143" w:type="pct"/>
            <w:noWrap/>
            <w:vAlign w:val="center"/>
            <w:hideMark/>
          </w:tcPr>
          <w:p w14:paraId="3F87CCC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545.90</w:t>
            </w:r>
          </w:p>
        </w:tc>
        <w:tc>
          <w:tcPr>
            <w:tcW w:w="143" w:type="pct"/>
            <w:noWrap/>
            <w:vAlign w:val="center"/>
            <w:hideMark/>
          </w:tcPr>
          <w:p w14:paraId="57C8244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282.29</w:t>
            </w:r>
          </w:p>
        </w:tc>
        <w:tc>
          <w:tcPr>
            <w:tcW w:w="143" w:type="pct"/>
            <w:noWrap/>
            <w:vAlign w:val="center"/>
            <w:hideMark/>
          </w:tcPr>
          <w:p w14:paraId="342532F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12208F1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417.41</w:t>
            </w:r>
          </w:p>
        </w:tc>
        <w:tc>
          <w:tcPr>
            <w:tcW w:w="143" w:type="pct"/>
            <w:noWrap/>
            <w:vAlign w:val="center"/>
            <w:hideMark/>
          </w:tcPr>
          <w:p w14:paraId="061E0DA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197.35</w:t>
            </w:r>
          </w:p>
        </w:tc>
        <w:tc>
          <w:tcPr>
            <w:tcW w:w="143" w:type="pct"/>
            <w:noWrap/>
            <w:vAlign w:val="center"/>
            <w:hideMark/>
          </w:tcPr>
          <w:p w14:paraId="49FF285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304.07</w:t>
            </w:r>
          </w:p>
        </w:tc>
        <w:tc>
          <w:tcPr>
            <w:tcW w:w="143" w:type="pct"/>
            <w:noWrap/>
            <w:vAlign w:val="center"/>
            <w:hideMark/>
          </w:tcPr>
          <w:p w14:paraId="5CBAAB6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316.86</w:t>
            </w:r>
          </w:p>
        </w:tc>
      </w:tr>
      <w:tr w:rsidR="004959A9" w:rsidRPr="002F7C87" w14:paraId="40661E00"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5C66ED9C"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z31</w:t>
            </w:r>
          </w:p>
        </w:tc>
        <w:tc>
          <w:tcPr>
            <w:tcW w:w="143" w:type="pct"/>
            <w:noWrap/>
            <w:vAlign w:val="center"/>
            <w:hideMark/>
          </w:tcPr>
          <w:p w14:paraId="73B66D2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319.76</w:t>
            </w:r>
          </w:p>
        </w:tc>
        <w:tc>
          <w:tcPr>
            <w:tcW w:w="143" w:type="pct"/>
            <w:noWrap/>
            <w:vAlign w:val="center"/>
            <w:hideMark/>
          </w:tcPr>
          <w:p w14:paraId="3885BC6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331.90</w:t>
            </w:r>
          </w:p>
        </w:tc>
        <w:tc>
          <w:tcPr>
            <w:tcW w:w="143" w:type="pct"/>
            <w:noWrap/>
            <w:vAlign w:val="center"/>
            <w:hideMark/>
          </w:tcPr>
          <w:p w14:paraId="7D9A338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170.61</w:t>
            </w:r>
          </w:p>
        </w:tc>
        <w:tc>
          <w:tcPr>
            <w:tcW w:w="143" w:type="pct"/>
            <w:noWrap/>
            <w:vAlign w:val="center"/>
            <w:hideMark/>
          </w:tcPr>
          <w:p w14:paraId="1FB6C58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518.81</w:t>
            </w:r>
          </w:p>
        </w:tc>
        <w:tc>
          <w:tcPr>
            <w:tcW w:w="143" w:type="pct"/>
            <w:noWrap/>
            <w:vAlign w:val="center"/>
            <w:hideMark/>
          </w:tcPr>
          <w:p w14:paraId="41C410E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74.13</w:t>
            </w:r>
          </w:p>
        </w:tc>
        <w:tc>
          <w:tcPr>
            <w:tcW w:w="143" w:type="pct"/>
            <w:noWrap/>
            <w:vAlign w:val="center"/>
            <w:hideMark/>
          </w:tcPr>
          <w:p w14:paraId="19CA21E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173.89</w:t>
            </w:r>
          </w:p>
        </w:tc>
        <w:tc>
          <w:tcPr>
            <w:tcW w:w="143" w:type="pct"/>
            <w:noWrap/>
            <w:vAlign w:val="center"/>
            <w:hideMark/>
          </w:tcPr>
          <w:p w14:paraId="7A8256A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457.74</w:t>
            </w:r>
          </w:p>
        </w:tc>
        <w:tc>
          <w:tcPr>
            <w:tcW w:w="143" w:type="pct"/>
            <w:noWrap/>
            <w:vAlign w:val="center"/>
            <w:hideMark/>
          </w:tcPr>
          <w:p w14:paraId="754435E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411.79</w:t>
            </w:r>
          </w:p>
        </w:tc>
        <w:tc>
          <w:tcPr>
            <w:tcW w:w="143" w:type="pct"/>
            <w:noWrap/>
            <w:vAlign w:val="center"/>
            <w:hideMark/>
          </w:tcPr>
          <w:p w14:paraId="54D530A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297.12</w:t>
            </w:r>
          </w:p>
        </w:tc>
        <w:tc>
          <w:tcPr>
            <w:tcW w:w="143" w:type="pct"/>
            <w:noWrap/>
            <w:vAlign w:val="center"/>
            <w:hideMark/>
          </w:tcPr>
          <w:p w14:paraId="11B7ED4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272.22</w:t>
            </w:r>
          </w:p>
        </w:tc>
        <w:tc>
          <w:tcPr>
            <w:tcW w:w="143" w:type="pct"/>
            <w:noWrap/>
            <w:vAlign w:val="center"/>
            <w:hideMark/>
          </w:tcPr>
          <w:p w14:paraId="5817882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121.94</w:t>
            </w:r>
          </w:p>
        </w:tc>
        <w:tc>
          <w:tcPr>
            <w:tcW w:w="143" w:type="pct"/>
            <w:noWrap/>
            <w:vAlign w:val="center"/>
            <w:hideMark/>
          </w:tcPr>
          <w:p w14:paraId="19CE15B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197.19</w:t>
            </w:r>
          </w:p>
        </w:tc>
        <w:tc>
          <w:tcPr>
            <w:tcW w:w="143" w:type="pct"/>
            <w:noWrap/>
            <w:vAlign w:val="center"/>
            <w:hideMark/>
          </w:tcPr>
          <w:p w14:paraId="122391A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355.72</w:t>
            </w:r>
          </w:p>
        </w:tc>
        <w:tc>
          <w:tcPr>
            <w:tcW w:w="143" w:type="pct"/>
            <w:noWrap/>
            <w:vAlign w:val="center"/>
            <w:hideMark/>
          </w:tcPr>
          <w:p w14:paraId="79987A4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349.81</w:t>
            </w:r>
          </w:p>
        </w:tc>
        <w:tc>
          <w:tcPr>
            <w:tcW w:w="143" w:type="pct"/>
            <w:noWrap/>
            <w:vAlign w:val="center"/>
            <w:hideMark/>
          </w:tcPr>
          <w:p w14:paraId="6997ED3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407.08</w:t>
            </w:r>
          </w:p>
        </w:tc>
        <w:tc>
          <w:tcPr>
            <w:tcW w:w="143" w:type="pct"/>
            <w:noWrap/>
            <w:vAlign w:val="center"/>
            <w:hideMark/>
          </w:tcPr>
          <w:p w14:paraId="0474B89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276.11</w:t>
            </w:r>
          </w:p>
        </w:tc>
        <w:tc>
          <w:tcPr>
            <w:tcW w:w="143" w:type="pct"/>
            <w:noWrap/>
            <w:vAlign w:val="center"/>
            <w:hideMark/>
          </w:tcPr>
          <w:p w14:paraId="0CDA4FA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366.30</w:t>
            </w:r>
          </w:p>
        </w:tc>
        <w:tc>
          <w:tcPr>
            <w:tcW w:w="143" w:type="pct"/>
            <w:noWrap/>
            <w:vAlign w:val="center"/>
            <w:hideMark/>
          </w:tcPr>
          <w:p w14:paraId="2E2D6DA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418.04</w:t>
            </w:r>
          </w:p>
        </w:tc>
        <w:tc>
          <w:tcPr>
            <w:tcW w:w="143" w:type="pct"/>
            <w:noWrap/>
            <w:vAlign w:val="center"/>
            <w:hideMark/>
          </w:tcPr>
          <w:p w14:paraId="1FD3EF1E"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108.27</w:t>
            </w:r>
          </w:p>
        </w:tc>
        <w:tc>
          <w:tcPr>
            <w:tcW w:w="143" w:type="pct"/>
            <w:noWrap/>
            <w:vAlign w:val="center"/>
            <w:hideMark/>
          </w:tcPr>
          <w:p w14:paraId="208910C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248.49</w:t>
            </w:r>
          </w:p>
        </w:tc>
        <w:tc>
          <w:tcPr>
            <w:tcW w:w="143" w:type="pct"/>
            <w:noWrap/>
            <w:vAlign w:val="center"/>
            <w:hideMark/>
          </w:tcPr>
          <w:p w14:paraId="4554F1E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192.07</w:t>
            </w:r>
          </w:p>
        </w:tc>
        <w:tc>
          <w:tcPr>
            <w:tcW w:w="143" w:type="pct"/>
            <w:noWrap/>
            <w:vAlign w:val="center"/>
            <w:hideMark/>
          </w:tcPr>
          <w:p w14:paraId="66D084A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370.08</w:t>
            </w:r>
          </w:p>
        </w:tc>
        <w:tc>
          <w:tcPr>
            <w:tcW w:w="143" w:type="pct"/>
            <w:noWrap/>
            <w:vAlign w:val="center"/>
            <w:hideMark/>
          </w:tcPr>
          <w:p w14:paraId="687CF54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140.21</w:t>
            </w:r>
          </w:p>
        </w:tc>
        <w:tc>
          <w:tcPr>
            <w:tcW w:w="143" w:type="pct"/>
            <w:noWrap/>
            <w:vAlign w:val="center"/>
            <w:hideMark/>
          </w:tcPr>
          <w:p w14:paraId="1CDB322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290.56</w:t>
            </w:r>
          </w:p>
        </w:tc>
        <w:tc>
          <w:tcPr>
            <w:tcW w:w="143" w:type="pct"/>
            <w:noWrap/>
            <w:vAlign w:val="center"/>
            <w:hideMark/>
          </w:tcPr>
          <w:p w14:paraId="202028A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58.27</w:t>
            </w:r>
          </w:p>
        </w:tc>
        <w:tc>
          <w:tcPr>
            <w:tcW w:w="143" w:type="pct"/>
            <w:noWrap/>
            <w:vAlign w:val="center"/>
            <w:hideMark/>
          </w:tcPr>
          <w:p w14:paraId="0CC4A61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62.01</w:t>
            </w:r>
          </w:p>
        </w:tc>
        <w:tc>
          <w:tcPr>
            <w:tcW w:w="143" w:type="pct"/>
            <w:noWrap/>
            <w:vAlign w:val="center"/>
            <w:hideMark/>
          </w:tcPr>
          <w:p w14:paraId="6F24EA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219.91</w:t>
            </w:r>
          </w:p>
        </w:tc>
        <w:tc>
          <w:tcPr>
            <w:tcW w:w="143" w:type="pct"/>
            <w:noWrap/>
            <w:vAlign w:val="center"/>
            <w:hideMark/>
          </w:tcPr>
          <w:p w14:paraId="7648971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170.11</w:t>
            </w:r>
          </w:p>
        </w:tc>
        <w:tc>
          <w:tcPr>
            <w:tcW w:w="143" w:type="pct"/>
            <w:noWrap/>
            <w:vAlign w:val="center"/>
            <w:hideMark/>
          </w:tcPr>
          <w:p w14:paraId="59D85CE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135.37</w:t>
            </w:r>
          </w:p>
        </w:tc>
        <w:tc>
          <w:tcPr>
            <w:tcW w:w="143" w:type="pct"/>
            <w:noWrap/>
            <w:vAlign w:val="center"/>
            <w:hideMark/>
          </w:tcPr>
          <w:p w14:paraId="5C70581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417.41</w:t>
            </w:r>
          </w:p>
        </w:tc>
        <w:tc>
          <w:tcPr>
            <w:tcW w:w="143" w:type="pct"/>
            <w:noWrap/>
            <w:vAlign w:val="center"/>
            <w:hideMark/>
          </w:tcPr>
          <w:p w14:paraId="5CF04C3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09A8960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243.39</w:t>
            </w:r>
          </w:p>
        </w:tc>
        <w:tc>
          <w:tcPr>
            <w:tcW w:w="143" w:type="pct"/>
            <w:noWrap/>
            <w:vAlign w:val="center"/>
            <w:hideMark/>
          </w:tcPr>
          <w:p w14:paraId="238F446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313.75</w:t>
            </w:r>
          </w:p>
        </w:tc>
        <w:tc>
          <w:tcPr>
            <w:tcW w:w="143" w:type="pct"/>
            <w:noWrap/>
            <w:vAlign w:val="center"/>
            <w:hideMark/>
          </w:tcPr>
          <w:p w14:paraId="4A41264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103.73</w:t>
            </w:r>
          </w:p>
        </w:tc>
      </w:tr>
      <w:tr w:rsidR="004959A9" w:rsidRPr="002F7C87" w14:paraId="3B5F4667"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2899C649"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z32</w:t>
            </w:r>
          </w:p>
        </w:tc>
        <w:tc>
          <w:tcPr>
            <w:tcW w:w="143" w:type="pct"/>
            <w:noWrap/>
            <w:vAlign w:val="center"/>
            <w:hideMark/>
          </w:tcPr>
          <w:p w14:paraId="2E58A1A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122.99</w:t>
            </w:r>
          </w:p>
        </w:tc>
        <w:tc>
          <w:tcPr>
            <w:tcW w:w="143" w:type="pct"/>
            <w:noWrap/>
            <w:vAlign w:val="center"/>
            <w:hideMark/>
          </w:tcPr>
          <w:p w14:paraId="193E7A4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100.87</w:t>
            </w:r>
          </w:p>
        </w:tc>
        <w:tc>
          <w:tcPr>
            <w:tcW w:w="143" w:type="pct"/>
            <w:noWrap/>
            <w:vAlign w:val="center"/>
            <w:hideMark/>
          </w:tcPr>
          <w:p w14:paraId="0CE5E43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91.55</w:t>
            </w:r>
          </w:p>
        </w:tc>
        <w:tc>
          <w:tcPr>
            <w:tcW w:w="143" w:type="pct"/>
            <w:noWrap/>
            <w:vAlign w:val="center"/>
            <w:hideMark/>
          </w:tcPr>
          <w:p w14:paraId="6A71C7F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310.02</w:t>
            </w:r>
          </w:p>
        </w:tc>
        <w:tc>
          <w:tcPr>
            <w:tcW w:w="143" w:type="pct"/>
            <w:noWrap/>
            <w:vAlign w:val="center"/>
            <w:hideMark/>
          </w:tcPr>
          <w:p w14:paraId="2A10ED0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243.58</w:t>
            </w:r>
          </w:p>
        </w:tc>
        <w:tc>
          <w:tcPr>
            <w:tcW w:w="143" w:type="pct"/>
            <w:noWrap/>
            <w:vAlign w:val="center"/>
            <w:hideMark/>
          </w:tcPr>
          <w:p w14:paraId="6661018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80.12</w:t>
            </w:r>
          </w:p>
        </w:tc>
        <w:tc>
          <w:tcPr>
            <w:tcW w:w="143" w:type="pct"/>
            <w:noWrap/>
            <w:vAlign w:val="center"/>
            <w:hideMark/>
          </w:tcPr>
          <w:p w14:paraId="32845A6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235.07</w:t>
            </w:r>
          </w:p>
        </w:tc>
        <w:tc>
          <w:tcPr>
            <w:tcW w:w="143" w:type="pct"/>
            <w:noWrap/>
            <w:vAlign w:val="center"/>
            <w:hideMark/>
          </w:tcPr>
          <w:p w14:paraId="1A8E054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172.80</w:t>
            </w:r>
          </w:p>
        </w:tc>
        <w:tc>
          <w:tcPr>
            <w:tcW w:w="143" w:type="pct"/>
            <w:noWrap/>
            <w:vAlign w:val="center"/>
            <w:hideMark/>
          </w:tcPr>
          <w:p w14:paraId="556C598A"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176.94</w:t>
            </w:r>
          </w:p>
        </w:tc>
        <w:tc>
          <w:tcPr>
            <w:tcW w:w="143" w:type="pct"/>
            <w:noWrap/>
            <w:vAlign w:val="center"/>
            <w:hideMark/>
          </w:tcPr>
          <w:p w14:paraId="38B3F58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100.04</w:t>
            </w:r>
          </w:p>
        </w:tc>
        <w:tc>
          <w:tcPr>
            <w:tcW w:w="143" w:type="pct"/>
            <w:noWrap/>
            <w:vAlign w:val="center"/>
            <w:hideMark/>
          </w:tcPr>
          <w:p w14:paraId="6ADFE3B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179.68</w:t>
            </w:r>
          </w:p>
        </w:tc>
        <w:tc>
          <w:tcPr>
            <w:tcW w:w="143" w:type="pct"/>
            <w:noWrap/>
            <w:vAlign w:val="center"/>
            <w:hideMark/>
          </w:tcPr>
          <w:p w14:paraId="2A2F8D8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423.18</w:t>
            </w:r>
          </w:p>
        </w:tc>
        <w:tc>
          <w:tcPr>
            <w:tcW w:w="143" w:type="pct"/>
            <w:noWrap/>
            <w:vAlign w:val="center"/>
            <w:hideMark/>
          </w:tcPr>
          <w:p w14:paraId="7D54D70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183.25</w:t>
            </w:r>
          </w:p>
        </w:tc>
        <w:tc>
          <w:tcPr>
            <w:tcW w:w="143" w:type="pct"/>
            <w:noWrap/>
            <w:vAlign w:val="center"/>
            <w:hideMark/>
          </w:tcPr>
          <w:p w14:paraId="3ACAB5E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106.70</w:t>
            </w:r>
          </w:p>
        </w:tc>
        <w:tc>
          <w:tcPr>
            <w:tcW w:w="143" w:type="pct"/>
            <w:noWrap/>
            <w:vAlign w:val="center"/>
            <w:hideMark/>
          </w:tcPr>
          <w:p w14:paraId="0DB086B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167.50</w:t>
            </w:r>
          </w:p>
        </w:tc>
        <w:tc>
          <w:tcPr>
            <w:tcW w:w="143" w:type="pct"/>
            <w:noWrap/>
            <w:vAlign w:val="center"/>
            <w:hideMark/>
          </w:tcPr>
          <w:p w14:paraId="482D6F6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37.66</w:t>
            </w:r>
          </w:p>
        </w:tc>
        <w:tc>
          <w:tcPr>
            <w:tcW w:w="143" w:type="pct"/>
            <w:noWrap/>
            <w:vAlign w:val="center"/>
            <w:hideMark/>
          </w:tcPr>
          <w:p w14:paraId="12188AF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587.29</w:t>
            </w:r>
          </w:p>
        </w:tc>
        <w:tc>
          <w:tcPr>
            <w:tcW w:w="143" w:type="pct"/>
            <w:noWrap/>
            <w:vAlign w:val="center"/>
            <w:hideMark/>
          </w:tcPr>
          <w:p w14:paraId="5298859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227.20</w:t>
            </w:r>
          </w:p>
        </w:tc>
        <w:tc>
          <w:tcPr>
            <w:tcW w:w="143" w:type="pct"/>
            <w:noWrap/>
            <w:vAlign w:val="center"/>
            <w:hideMark/>
          </w:tcPr>
          <w:p w14:paraId="404ACE5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158.11</w:t>
            </w:r>
          </w:p>
        </w:tc>
        <w:tc>
          <w:tcPr>
            <w:tcW w:w="143" w:type="pct"/>
            <w:noWrap/>
            <w:vAlign w:val="center"/>
            <w:hideMark/>
          </w:tcPr>
          <w:p w14:paraId="10DAFEE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62.28</w:t>
            </w:r>
          </w:p>
        </w:tc>
        <w:tc>
          <w:tcPr>
            <w:tcW w:w="143" w:type="pct"/>
            <w:noWrap/>
            <w:vAlign w:val="center"/>
            <w:hideMark/>
          </w:tcPr>
          <w:p w14:paraId="3C71C43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131.97</w:t>
            </w:r>
          </w:p>
        </w:tc>
        <w:tc>
          <w:tcPr>
            <w:tcW w:w="143" w:type="pct"/>
            <w:noWrap/>
            <w:vAlign w:val="center"/>
            <w:hideMark/>
          </w:tcPr>
          <w:p w14:paraId="7380C20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163.56</w:t>
            </w:r>
          </w:p>
        </w:tc>
        <w:tc>
          <w:tcPr>
            <w:tcW w:w="143" w:type="pct"/>
            <w:noWrap/>
            <w:vAlign w:val="center"/>
            <w:hideMark/>
          </w:tcPr>
          <w:p w14:paraId="2DA056C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119.29</w:t>
            </w:r>
          </w:p>
        </w:tc>
        <w:tc>
          <w:tcPr>
            <w:tcW w:w="143" w:type="pct"/>
            <w:noWrap/>
            <w:vAlign w:val="center"/>
            <w:hideMark/>
          </w:tcPr>
          <w:p w14:paraId="7B2E71E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531.00</w:t>
            </w:r>
          </w:p>
        </w:tc>
        <w:tc>
          <w:tcPr>
            <w:tcW w:w="143" w:type="pct"/>
            <w:noWrap/>
            <w:vAlign w:val="center"/>
            <w:hideMark/>
          </w:tcPr>
          <w:p w14:paraId="3FD481A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192.69</w:t>
            </w:r>
          </w:p>
        </w:tc>
        <w:tc>
          <w:tcPr>
            <w:tcW w:w="143" w:type="pct"/>
            <w:noWrap/>
            <w:vAlign w:val="center"/>
            <w:hideMark/>
          </w:tcPr>
          <w:p w14:paraId="567FFD99"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303.17</w:t>
            </w:r>
          </w:p>
        </w:tc>
        <w:tc>
          <w:tcPr>
            <w:tcW w:w="143" w:type="pct"/>
            <w:noWrap/>
            <w:vAlign w:val="center"/>
            <w:hideMark/>
          </w:tcPr>
          <w:p w14:paraId="0730CD6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46.09</w:t>
            </w:r>
          </w:p>
        </w:tc>
        <w:tc>
          <w:tcPr>
            <w:tcW w:w="143" w:type="pct"/>
            <w:noWrap/>
            <w:vAlign w:val="center"/>
            <w:hideMark/>
          </w:tcPr>
          <w:p w14:paraId="76455ED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351.15</w:t>
            </w:r>
          </w:p>
        </w:tc>
        <w:tc>
          <w:tcPr>
            <w:tcW w:w="143" w:type="pct"/>
            <w:noWrap/>
            <w:vAlign w:val="center"/>
            <w:hideMark/>
          </w:tcPr>
          <w:p w14:paraId="5E54E15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116.70</w:t>
            </w:r>
          </w:p>
        </w:tc>
        <w:tc>
          <w:tcPr>
            <w:tcW w:w="143" w:type="pct"/>
            <w:noWrap/>
            <w:vAlign w:val="center"/>
            <w:hideMark/>
          </w:tcPr>
          <w:p w14:paraId="79564C2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197.35</w:t>
            </w:r>
          </w:p>
        </w:tc>
        <w:tc>
          <w:tcPr>
            <w:tcW w:w="143" w:type="pct"/>
            <w:noWrap/>
            <w:vAlign w:val="center"/>
            <w:hideMark/>
          </w:tcPr>
          <w:p w14:paraId="7EB55EA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243.39</w:t>
            </w:r>
          </w:p>
        </w:tc>
        <w:tc>
          <w:tcPr>
            <w:tcW w:w="143" w:type="pct"/>
            <w:noWrap/>
            <w:vAlign w:val="center"/>
            <w:hideMark/>
          </w:tcPr>
          <w:p w14:paraId="0EFDBDE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76C3E6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158.32</w:t>
            </w:r>
          </w:p>
        </w:tc>
        <w:tc>
          <w:tcPr>
            <w:tcW w:w="143" w:type="pct"/>
            <w:noWrap/>
            <w:vAlign w:val="center"/>
            <w:hideMark/>
          </w:tcPr>
          <w:p w14:paraId="4EA2172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140.20</w:t>
            </w:r>
          </w:p>
        </w:tc>
      </w:tr>
      <w:tr w:rsidR="004959A9" w:rsidRPr="002F7C87" w14:paraId="0F06CC91" w14:textId="77777777" w:rsidTr="00495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511CB456"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z33</w:t>
            </w:r>
          </w:p>
        </w:tc>
        <w:tc>
          <w:tcPr>
            <w:tcW w:w="143" w:type="pct"/>
            <w:noWrap/>
            <w:vAlign w:val="center"/>
            <w:hideMark/>
          </w:tcPr>
          <w:p w14:paraId="553F15B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265.97</w:t>
            </w:r>
          </w:p>
        </w:tc>
        <w:tc>
          <w:tcPr>
            <w:tcW w:w="143" w:type="pct"/>
            <w:noWrap/>
            <w:vAlign w:val="center"/>
            <w:hideMark/>
          </w:tcPr>
          <w:p w14:paraId="703007F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218.85</w:t>
            </w:r>
          </w:p>
        </w:tc>
        <w:tc>
          <w:tcPr>
            <w:tcW w:w="143" w:type="pct"/>
            <w:noWrap/>
            <w:vAlign w:val="center"/>
            <w:hideMark/>
          </w:tcPr>
          <w:p w14:paraId="7DAE27F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153.96</w:t>
            </w:r>
          </w:p>
        </w:tc>
        <w:tc>
          <w:tcPr>
            <w:tcW w:w="143" w:type="pct"/>
            <w:noWrap/>
            <w:vAlign w:val="center"/>
            <w:hideMark/>
          </w:tcPr>
          <w:p w14:paraId="1D40AA4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210.30</w:t>
            </w:r>
          </w:p>
        </w:tc>
        <w:tc>
          <w:tcPr>
            <w:tcW w:w="143" w:type="pct"/>
            <w:noWrap/>
            <w:vAlign w:val="center"/>
            <w:hideMark/>
          </w:tcPr>
          <w:p w14:paraId="54D0C3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273.98</w:t>
            </w:r>
          </w:p>
        </w:tc>
        <w:tc>
          <w:tcPr>
            <w:tcW w:w="143" w:type="pct"/>
            <w:noWrap/>
            <w:vAlign w:val="center"/>
            <w:hideMark/>
          </w:tcPr>
          <w:p w14:paraId="67F0916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214.82</w:t>
            </w:r>
          </w:p>
        </w:tc>
        <w:tc>
          <w:tcPr>
            <w:tcW w:w="143" w:type="pct"/>
            <w:noWrap/>
            <w:vAlign w:val="center"/>
            <w:hideMark/>
          </w:tcPr>
          <w:p w14:paraId="1307F5E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167.98</w:t>
            </w:r>
          </w:p>
        </w:tc>
        <w:tc>
          <w:tcPr>
            <w:tcW w:w="143" w:type="pct"/>
            <w:noWrap/>
            <w:vAlign w:val="center"/>
            <w:hideMark/>
          </w:tcPr>
          <w:p w14:paraId="3371DA64"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172.21</w:t>
            </w:r>
          </w:p>
        </w:tc>
        <w:tc>
          <w:tcPr>
            <w:tcW w:w="143" w:type="pct"/>
            <w:noWrap/>
            <w:vAlign w:val="center"/>
            <w:hideMark/>
          </w:tcPr>
          <w:p w14:paraId="31D3F3A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334.22</w:t>
            </w:r>
          </w:p>
        </w:tc>
        <w:tc>
          <w:tcPr>
            <w:tcW w:w="143" w:type="pct"/>
            <w:noWrap/>
            <w:vAlign w:val="center"/>
            <w:hideMark/>
          </w:tcPr>
          <w:p w14:paraId="2B368EB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59.25</w:t>
            </w:r>
          </w:p>
        </w:tc>
        <w:tc>
          <w:tcPr>
            <w:tcW w:w="143" w:type="pct"/>
            <w:noWrap/>
            <w:vAlign w:val="center"/>
            <w:hideMark/>
          </w:tcPr>
          <w:p w14:paraId="670E5F9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305.66</w:t>
            </w:r>
          </w:p>
        </w:tc>
        <w:tc>
          <w:tcPr>
            <w:tcW w:w="143" w:type="pct"/>
            <w:noWrap/>
            <w:vAlign w:val="center"/>
            <w:hideMark/>
          </w:tcPr>
          <w:p w14:paraId="2D7624E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441.50</w:t>
            </w:r>
          </w:p>
        </w:tc>
        <w:tc>
          <w:tcPr>
            <w:tcW w:w="143" w:type="pct"/>
            <w:noWrap/>
            <w:vAlign w:val="center"/>
            <w:hideMark/>
          </w:tcPr>
          <w:p w14:paraId="2871C3B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327.76</w:t>
            </w:r>
          </w:p>
        </w:tc>
        <w:tc>
          <w:tcPr>
            <w:tcW w:w="143" w:type="pct"/>
            <w:noWrap/>
            <w:vAlign w:val="center"/>
            <w:hideMark/>
          </w:tcPr>
          <w:p w14:paraId="2F6D7C7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165.43</w:t>
            </w:r>
          </w:p>
        </w:tc>
        <w:tc>
          <w:tcPr>
            <w:tcW w:w="143" w:type="pct"/>
            <w:noWrap/>
            <w:vAlign w:val="center"/>
            <w:hideMark/>
          </w:tcPr>
          <w:p w14:paraId="164C1A20"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240.95</w:t>
            </w:r>
          </w:p>
        </w:tc>
        <w:tc>
          <w:tcPr>
            <w:tcW w:w="143" w:type="pct"/>
            <w:noWrap/>
            <w:vAlign w:val="center"/>
            <w:hideMark/>
          </w:tcPr>
          <w:p w14:paraId="00930902"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135.81</w:t>
            </w:r>
          </w:p>
        </w:tc>
        <w:tc>
          <w:tcPr>
            <w:tcW w:w="143" w:type="pct"/>
            <w:noWrap/>
            <w:vAlign w:val="center"/>
            <w:hideMark/>
          </w:tcPr>
          <w:p w14:paraId="23CD3AD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584.76</w:t>
            </w:r>
          </w:p>
        </w:tc>
        <w:tc>
          <w:tcPr>
            <w:tcW w:w="143" w:type="pct"/>
            <w:noWrap/>
            <w:vAlign w:val="center"/>
            <w:hideMark/>
          </w:tcPr>
          <w:p w14:paraId="1357FF6A"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356.04</w:t>
            </w:r>
          </w:p>
        </w:tc>
        <w:tc>
          <w:tcPr>
            <w:tcW w:w="143" w:type="pct"/>
            <w:noWrap/>
            <w:vAlign w:val="center"/>
            <w:hideMark/>
          </w:tcPr>
          <w:p w14:paraId="31EE3D4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205.48</w:t>
            </w:r>
          </w:p>
        </w:tc>
        <w:tc>
          <w:tcPr>
            <w:tcW w:w="143" w:type="pct"/>
            <w:noWrap/>
            <w:vAlign w:val="center"/>
            <w:hideMark/>
          </w:tcPr>
          <w:p w14:paraId="1BB235C9"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220.16</w:t>
            </w:r>
          </w:p>
        </w:tc>
        <w:tc>
          <w:tcPr>
            <w:tcW w:w="143" w:type="pct"/>
            <w:noWrap/>
            <w:vAlign w:val="center"/>
            <w:hideMark/>
          </w:tcPr>
          <w:p w14:paraId="1EC61F7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281.95</w:t>
            </w:r>
          </w:p>
        </w:tc>
        <w:tc>
          <w:tcPr>
            <w:tcW w:w="143" w:type="pct"/>
            <w:noWrap/>
            <w:vAlign w:val="center"/>
            <w:hideMark/>
          </w:tcPr>
          <w:p w14:paraId="31B13C2F"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291.27</w:t>
            </w:r>
          </w:p>
        </w:tc>
        <w:tc>
          <w:tcPr>
            <w:tcW w:w="143" w:type="pct"/>
            <w:noWrap/>
            <w:vAlign w:val="center"/>
            <w:hideMark/>
          </w:tcPr>
          <w:p w14:paraId="775E982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178.22</w:t>
            </w:r>
          </w:p>
        </w:tc>
        <w:tc>
          <w:tcPr>
            <w:tcW w:w="143" w:type="pct"/>
            <w:noWrap/>
            <w:vAlign w:val="center"/>
            <w:hideMark/>
          </w:tcPr>
          <w:p w14:paraId="02FFCD6D"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564.47</w:t>
            </w:r>
          </w:p>
        </w:tc>
        <w:tc>
          <w:tcPr>
            <w:tcW w:w="143" w:type="pct"/>
            <w:noWrap/>
            <w:vAlign w:val="center"/>
            <w:hideMark/>
          </w:tcPr>
          <w:p w14:paraId="2A7881C6"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284.99</w:t>
            </w:r>
          </w:p>
        </w:tc>
        <w:tc>
          <w:tcPr>
            <w:tcW w:w="143" w:type="pct"/>
            <w:noWrap/>
            <w:vAlign w:val="center"/>
            <w:hideMark/>
          </w:tcPr>
          <w:p w14:paraId="6C17651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358.91</w:t>
            </w:r>
          </w:p>
        </w:tc>
        <w:tc>
          <w:tcPr>
            <w:tcW w:w="143" w:type="pct"/>
            <w:noWrap/>
            <w:vAlign w:val="center"/>
            <w:hideMark/>
          </w:tcPr>
          <w:p w14:paraId="588E243B"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130.58</w:t>
            </w:r>
          </w:p>
        </w:tc>
        <w:tc>
          <w:tcPr>
            <w:tcW w:w="143" w:type="pct"/>
            <w:noWrap/>
            <w:vAlign w:val="center"/>
            <w:hideMark/>
          </w:tcPr>
          <w:p w14:paraId="6010D575"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344.55</w:t>
            </w:r>
          </w:p>
        </w:tc>
        <w:tc>
          <w:tcPr>
            <w:tcW w:w="143" w:type="pct"/>
            <w:noWrap/>
            <w:vAlign w:val="center"/>
            <w:hideMark/>
          </w:tcPr>
          <w:p w14:paraId="00D9C42C"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235.30</w:t>
            </w:r>
          </w:p>
        </w:tc>
        <w:tc>
          <w:tcPr>
            <w:tcW w:w="143" w:type="pct"/>
            <w:noWrap/>
            <w:vAlign w:val="center"/>
            <w:hideMark/>
          </w:tcPr>
          <w:p w14:paraId="3D477738"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304.07</w:t>
            </w:r>
          </w:p>
        </w:tc>
        <w:tc>
          <w:tcPr>
            <w:tcW w:w="143" w:type="pct"/>
            <w:noWrap/>
            <w:vAlign w:val="center"/>
            <w:hideMark/>
          </w:tcPr>
          <w:p w14:paraId="79B571C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313.75</w:t>
            </w:r>
          </w:p>
        </w:tc>
        <w:tc>
          <w:tcPr>
            <w:tcW w:w="143" w:type="pct"/>
            <w:noWrap/>
            <w:vAlign w:val="center"/>
            <w:hideMark/>
          </w:tcPr>
          <w:p w14:paraId="40DA4A03"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158.32</w:t>
            </w:r>
          </w:p>
        </w:tc>
        <w:tc>
          <w:tcPr>
            <w:tcW w:w="143" w:type="pct"/>
            <w:noWrap/>
            <w:vAlign w:val="center"/>
            <w:hideMark/>
          </w:tcPr>
          <w:p w14:paraId="11563ED1"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p>
        </w:tc>
        <w:tc>
          <w:tcPr>
            <w:tcW w:w="143" w:type="pct"/>
            <w:noWrap/>
            <w:vAlign w:val="center"/>
            <w:hideMark/>
          </w:tcPr>
          <w:p w14:paraId="34B496B7" w14:textId="77777777" w:rsidR="004959A9" w:rsidRPr="002F7C87" w:rsidRDefault="004959A9"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235.27</w:t>
            </w:r>
          </w:p>
        </w:tc>
      </w:tr>
      <w:tr w:rsidR="004959A9" w:rsidRPr="002F7C87" w14:paraId="55654DB8" w14:textId="77777777" w:rsidTr="004959A9">
        <w:trPr>
          <w:trHeight w:val="332"/>
        </w:trPr>
        <w:tc>
          <w:tcPr>
            <w:cnfStyle w:val="001000000000" w:firstRow="0" w:lastRow="0" w:firstColumn="1" w:lastColumn="0" w:oddVBand="0" w:evenVBand="0" w:oddHBand="0" w:evenHBand="0" w:firstRowFirstColumn="0" w:firstRowLastColumn="0" w:lastRowFirstColumn="0" w:lastRowLastColumn="0"/>
            <w:tcW w:w="134" w:type="pct"/>
            <w:noWrap/>
            <w:vAlign w:val="center"/>
            <w:hideMark/>
          </w:tcPr>
          <w:p w14:paraId="12E2813D" w14:textId="77777777" w:rsidR="004959A9" w:rsidRPr="002F7C87" w:rsidRDefault="004959A9" w:rsidP="00262AFD">
            <w:pPr>
              <w:spacing w:before="0" w:after="0"/>
              <w:jc w:val="center"/>
              <w:rPr>
                <w:rFonts w:eastAsia="Times New Roman" w:cs="Arial"/>
                <w:color w:val="000000"/>
                <w:sz w:val="15"/>
                <w:szCs w:val="15"/>
                <w:lang w:eastAsia="en-GB"/>
              </w:rPr>
            </w:pPr>
            <w:r w:rsidRPr="002F7C87">
              <w:rPr>
                <w:rFonts w:eastAsia="Times New Roman" w:cs="Arial"/>
                <w:color w:val="000000"/>
                <w:sz w:val="15"/>
                <w:szCs w:val="15"/>
                <w:lang w:eastAsia="en-GB"/>
              </w:rPr>
              <w:t>z34</w:t>
            </w:r>
          </w:p>
        </w:tc>
        <w:tc>
          <w:tcPr>
            <w:tcW w:w="143" w:type="pct"/>
            <w:noWrap/>
            <w:vAlign w:val="center"/>
            <w:hideMark/>
          </w:tcPr>
          <w:p w14:paraId="1684BB3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221.51</w:t>
            </w:r>
          </w:p>
        </w:tc>
        <w:tc>
          <w:tcPr>
            <w:tcW w:w="143" w:type="pct"/>
            <w:noWrap/>
            <w:vAlign w:val="center"/>
            <w:hideMark/>
          </w:tcPr>
          <w:p w14:paraId="7D0F978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228.81</w:t>
            </w:r>
          </w:p>
        </w:tc>
        <w:tc>
          <w:tcPr>
            <w:tcW w:w="143" w:type="pct"/>
            <w:noWrap/>
            <w:vAlign w:val="center"/>
            <w:hideMark/>
          </w:tcPr>
          <w:p w14:paraId="5A341E3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81.42</w:t>
            </w:r>
          </w:p>
        </w:tc>
        <w:tc>
          <w:tcPr>
            <w:tcW w:w="143" w:type="pct"/>
            <w:noWrap/>
            <w:vAlign w:val="center"/>
            <w:hideMark/>
          </w:tcPr>
          <w:p w14:paraId="1C78ACB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429.53</w:t>
            </w:r>
          </w:p>
        </w:tc>
        <w:tc>
          <w:tcPr>
            <w:tcW w:w="143" w:type="pct"/>
            <w:noWrap/>
            <w:vAlign w:val="center"/>
            <w:hideMark/>
          </w:tcPr>
          <w:p w14:paraId="5C86451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123.04</w:t>
            </w:r>
          </w:p>
        </w:tc>
        <w:tc>
          <w:tcPr>
            <w:tcW w:w="143" w:type="pct"/>
            <w:noWrap/>
            <w:vAlign w:val="center"/>
            <w:hideMark/>
          </w:tcPr>
          <w:p w14:paraId="26164D9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71.88</w:t>
            </w:r>
          </w:p>
        </w:tc>
        <w:tc>
          <w:tcPr>
            <w:tcW w:w="143" w:type="pct"/>
            <w:noWrap/>
            <w:vAlign w:val="center"/>
            <w:hideMark/>
          </w:tcPr>
          <w:p w14:paraId="40AA79F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362.86</w:t>
            </w:r>
          </w:p>
        </w:tc>
        <w:tc>
          <w:tcPr>
            <w:tcW w:w="143" w:type="pct"/>
            <w:noWrap/>
            <w:vAlign w:val="center"/>
            <w:hideMark/>
          </w:tcPr>
          <w:p w14:paraId="6715946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310.81</w:t>
            </w:r>
          </w:p>
        </w:tc>
        <w:tc>
          <w:tcPr>
            <w:tcW w:w="143" w:type="pct"/>
            <w:noWrap/>
            <w:vAlign w:val="center"/>
            <w:hideMark/>
          </w:tcPr>
          <w:p w14:paraId="41EA280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216.38</w:t>
            </w:r>
          </w:p>
        </w:tc>
        <w:tc>
          <w:tcPr>
            <w:tcW w:w="143" w:type="pct"/>
            <w:noWrap/>
            <w:vAlign w:val="center"/>
            <w:hideMark/>
          </w:tcPr>
          <w:p w14:paraId="4F0F5A41"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184.54</w:t>
            </w:r>
          </w:p>
        </w:tc>
        <w:tc>
          <w:tcPr>
            <w:tcW w:w="143" w:type="pct"/>
            <w:noWrap/>
            <w:vAlign w:val="center"/>
            <w:hideMark/>
          </w:tcPr>
          <w:p w14:paraId="1B066028"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80.42</w:t>
            </w:r>
          </w:p>
        </w:tc>
        <w:tc>
          <w:tcPr>
            <w:tcW w:w="143" w:type="pct"/>
            <w:noWrap/>
            <w:vAlign w:val="center"/>
            <w:hideMark/>
          </w:tcPr>
          <w:p w14:paraId="5EA3B1A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292.83</w:t>
            </w:r>
          </w:p>
        </w:tc>
        <w:tc>
          <w:tcPr>
            <w:tcW w:w="143" w:type="pct"/>
            <w:noWrap/>
            <w:vAlign w:val="center"/>
            <w:hideMark/>
          </w:tcPr>
          <w:p w14:paraId="48E231D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264.40</w:t>
            </w:r>
          </w:p>
        </w:tc>
        <w:tc>
          <w:tcPr>
            <w:tcW w:w="143" w:type="pct"/>
            <w:noWrap/>
            <w:vAlign w:val="center"/>
            <w:hideMark/>
          </w:tcPr>
          <w:p w14:paraId="289E384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246.88</w:t>
            </w:r>
          </w:p>
        </w:tc>
        <w:tc>
          <w:tcPr>
            <w:tcW w:w="143" w:type="pct"/>
            <w:noWrap/>
            <w:vAlign w:val="center"/>
            <w:hideMark/>
          </w:tcPr>
          <w:p w14:paraId="58E2DB3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303.43</w:t>
            </w:r>
          </w:p>
        </w:tc>
        <w:tc>
          <w:tcPr>
            <w:tcW w:w="143" w:type="pct"/>
            <w:noWrap/>
            <w:vAlign w:val="center"/>
            <w:hideMark/>
          </w:tcPr>
          <w:p w14:paraId="1200560D"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174.22</w:t>
            </w:r>
          </w:p>
        </w:tc>
        <w:tc>
          <w:tcPr>
            <w:tcW w:w="143" w:type="pct"/>
            <w:noWrap/>
            <w:vAlign w:val="center"/>
            <w:hideMark/>
          </w:tcPr>
          <w:p w14:paraId="31F1E36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460.89</w:t>
            </w:r>
          </w:p>
        </w:tc>
        <w:tc>
          <w:tcPr>
            <w:tcW w:w="143" w:type="pct"/>
            <w:noWrap/>
            <w:vAlign w:val="center"/>
            <w:hideMark/>
          </w:tcPr>
          <w:p w14:paraId="27ACABA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324.11</w:t>
            </w:r>
          </w:p>
        </w:tc>
        <w:tc>
          <w:tcPr>
            <w:tcW w:w="143" w:type="pct"/>
            <w:noWrap/>
            <w:vAlign w:val="center"/>
            <w:hideMark/>
          </w:tcPr>
          <w:p w14:paraId="2640D31F"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61.67</w:t>
            </w:r>
          </w:p>
        </w:tc>
        <w:tc>
          <w:tcPr>
            <w:tcW w:w="143" w:type="pct"/>
            <w:noWrap/>
            <w:vAlign w:val="center"/>
            <w:hideMark/>
          </w:tcPr>
          <w:p w14:paraId="1FF0165E"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147.47</w:t>
            </w:r>
          </w:p>
        </w:tc>
        <w:tc>
          <w:tcPr>
            <w:tcW w:w="143" w:type="pct"/>
            <w:noWrap/>
            <w:vAlign w:val="center"/>
            <w:hideMark/>
          </w:tcPr>
          <w:p w14:paraId="5896E04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111.99</w:t>
            </w:r>
          </w:p>
        </w:tc>
        <w:tc>
          <w:tcPr>
            <w:tcW w:w="143" w:type="pct"/>
            <w:noWrap/>
            <w:vAlign w:val="center"/>
            <w:hideMark/>
          </w:tcPr>
          <w:p w14:paraId="2F26CC4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271.48</w:t>
            </w:r>
          </w:p>
        </w:tc>
        <w:tc>
          <w:tcPr>
            <w:tcW w:w="143" w:type="pct"/>
            <w:noWrap/>
            <w:vAlign w:val="center"/>
            <w:hideMark/>
          </w:tcPr>
          <w:p w14:paraId="7E767F86"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60.50</w:t>
            </w:r>
          </w:p>
        </w:tc>
        <w:tc>
          <w:tcPr>
            <w:tcW w:w="143" w:type="pct"/>
            <w:noWrap/>
            <w:vAlign w:val="center"/>
            <w:hideMark/>
          </w:tcPr>
          <w:p w14:paraId="23073470"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393.61</w:t>
            </w:r>
          </w:p>
        </w:tc>
        <w:tc>
          <w:tcPr>
            <w:tcW w:w="143" w:type="pct"/>
            <w:noWrap/>
            <w:vAlign w:val="center"/>
            <w:hideMark/>
          </w:tcPr>
          <w:p w14:paraId="667370CC"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53.92</w:t>
            </w:r>
          </w:p>
        </w:tc>
        <w:tc>
          <w:tcPr>
            <w:tcW w:w="143" w:type="pct"/>
            <w:noWrap/>
            <w:vAlign w:val="center"/>
            <w:hideMark/>
          </w:tcPr>
          <w:p w14:paraId="75BB2037"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164.77</w:t>
            </w:r>
          </w:p>
        </w:tc>
        <w:tc>
          <w:tcPr>
            <w:tcW w:w="143" w:type="pct"/>
            <w:noWrap/>
            <w:vAlign w:val="center"/>
            <w:hideMark/>
          </w:tcPr>
          <w:p w14:paraId="26CFE39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122.09</w:t>
            </w:r>
          </w:p>
        </w:tc>
        <w:tc>
          <w:tcPr>
            <w:tcW w:w="143" w:type="pct"/>
            <w:noWrap/>
            <w:vAlign w:val="center"/>
            <w:hideMark/>
          </w:tcPr>
          <w:p w14:paraId="105A7983"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238.96</w:t>
            </w:r>
          </w:p>
        </w:tc>
        <w:tc>
          <w:tcPr>
            <w:tcW w:w="143" w:type="pct"/>
            <w:noWrap/>
            <w:vAlign w:val="center"/>
            <w:hideMark/>
          </w:tcPr>
          <w:p w14:paraId="79F45AC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37.26</w:t>
            </w:r>
          </w:p>
        </w:tc>
        <w:tc>
          <w:tcPr>
            <w:tcW w:w="143" w:type="pct"/>
            <w:noWrap/>
            <w:vAlign w:val="center"/>
            <w:hideMark/>
          </w:tcPr>
          <w:p w14:paraId="2E4B430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316.86</w:t>
            </w:r>
          </w:p>
        </w:tc>
        <w:tc>
          <w:tcPr>
            <w:tcW w:w="143" w:type="pct"/>
            <w:noWrap/>
            <w:vAlign w:val="center"/>
            <w:hideMark/>
          </w:tcPr>
          <w:p w14:paraId="18567EEB"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103.73</w:t>
            </w:r>
          </w:p>
        </w:tc>
        <w:tc>
          <w:tcPr>
            <w:tcW w:w="143" w:type="pct"/>
            <w:noWrap/>
            <w:vAlign w:val="center"/>
            <w:hideMark/>
          </w:tcPr>
          <w:p w14:paraId="494FB305"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140.20</w:t>
            </w:r>
          </w:p>
        </w:tc>
        <w:tc>
          <w:tcPr>
            <w:tcW w:w="143" w:type="pct"/>
            <w:noWrap/>
            <w:vAlign w:val="center"/>
            <w:hideMark/>
          </w:tcPr>
          <w:p w14:paraId="1193A2C2"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r w:rsidRPr="002F7C87">
              <w:rPr>
                <w:rFonts w:eastAsia="Times New Roman" w:cs="Arial"/>
                <w:color w:val="000000"/>
                <w:sz w:val="15"/>
                <w:szCs w:val="15"/>
                <w:lang w:eastAsia="en-GB"/>
              </w:rPr>
              <w:t>235.27</w:t>
            </w:r>
          </w:p>
        </w:tc>
        <w:tc>
          <w:tcPr>
            <w:tcW w:w="143" w:type="pct"/>
            <w:noWrap/>
            <w:vAlign w:val="center"/>
            <w:hideMark/>
          </w:tcPr>
          <w:p w14:paraId="67D79B14" w14:textId="77777777" w:rsidR="004959A9" w:rsidRPr="002F7C87" w:rsidRDefault="004959A9" w:rsidP="00262AF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5"/>
                <w:szCs w:val="15"/>
                <w:lang w:eastAsia="en-GB"/>
              </w:rPr>
            </w:pPr>
          </w:p>
        </w:tc>
      </w:tr>
    </w:tbl>
    <w:p w14:paraId="2A63648F" w14:textId="77777777" w:rsidR="004959A9" w:rsidRDefault="004959A9" w:rsidP="004959A9">
      <w:pPr>
        <w:sectPr w:rsidR="004959A9" w:rsidSect="004959A9">
          <w:pgSz w:w="23811" w:h="16838" w:orient="landscape" w:code="8"/>
          <w:pgMar w:top="720" w:right="720" w:bottom="720" w:left="720" w:header="708" w:footer="708" w:gutter="0"/>
          <w:cols w:space="708"/>
          <w:docGrid w:linePitch="360"/>
        </w:sectPr>
      </w:pPr>
      <w:r>
        <w:t xml:space="preserve"> </w:t>
      </w:r>
    </w:p>
    <w:p w14:paraId="42159E30" w14:textId="359168E2" w:rsidR="004959A9" w:rsidRDefault="004959A9" w:rsidP="004959A9">
      <w:pPr>
        <w:pStyle w:val="Heading8"/>
      </w:pPr>
      <w:bookmarkStart w:id="259" w:name="_Toc50359466"/>
      <w:bookmarkStart w:id="260" w:name="_Ref54860842"/>
      <w:r>
        <w:lastRenderedPageBreak/>
        <w:t xml:space="preserve">Distances </w:t>
      </w:r>
      <w:r w:rsidR="00433C36">
        <w:t>w</w:t>
      </w:r>
      <w:r>
        <w:t>ithin Zones</w:t>
      </w:r>
      <w:bookmarkEnd w:id="259"/>
      <w:bookmarkEnd w:id="260"/>
    </w:p>
    <w:p w14:paraId="526261EA" w14:textId="423A1663" w:rsidR="004959A9" w:rsidRDefault="004959A9" w:rsidP="004959A9">
      <w:pPr>
        <w:pStyle w:val="Caption"/>
        <w:keepNext/>
      </w:pPr>
      <w:bookmarkStart w:id="261" w:name="_Ref49431974"/>
      <w:bookmarkStart w:id="262" w:name="_Toc50359164"/>
      <w:bookmarkStart w:id="263" w:name="_Ref54860152"/>
      <w:r>
        <w:t xml:space="preserve">Table </w:t>
      </w:r>
      <w:fldSimple w:instr=" SEQ Table \* ARABIC ">
        <w:r w:rsidR="009D026A">
          <w:rPr>
            <w:noProof/>
          </w:rPr>
          <w:t>15</w:t>
        </w:r>
      </w:fldSimple>
      <w:bookmarkEnd w:id="261"/>
      <w:r w:rsidR="00E41B8C">
        <w:t xml:space="preserve">: </w:t>
      </w:r>
      <w:r>
        <w:t>Assumed distances within each zone for each time-period [km].</w:t>
      </w:r>
      <w:bookmarkEnd w:id="262"/>
      <w:bookmarkEnd w:id="263"/>
    </w:p>
    <w:tbl>
      <w:tblPr>
        <w:tblStyle w:val="PlainTable21"/>
        <w:tblW w:w="7229" w:type="dxa"/>
        <w:jc w:val="center"/>
        <w:tblLook w:val="04A0" w:firstRow="1" w:lastRow="0" w:firstColumn="1" w:lastColumn="0" w:noHBand="0" w:noVBand="1"/>
      </w:tblPr>
      <w:tblGrid>
        <w:gridCol w:w="682"/>
        <w:gridCol w:w="841"/>
        <w:gridCol w:w="951"/>
        <w:gridCol w:w="951"/>
        <w:gridCol w:w="951"/>
        <w:gridCol w:w="951"/>
        <w:gridCol w:w="951"/>
        <w:gridCol w:w="951"/>
      </w:tblGrid>
      <w:tr w:rsidR="004959A9" w:rsidRPr="008418B2" w14:paraId="6801B06B" w14:textId="77777777" w:rsidTr="00E41B8C">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533CFB" w14:textId="77777777" w:rsidR="004959A9" w:rsidRPr="008418B2" w:rsidRDefault="004959A9" w:rsidP="00DA7EE9">
            <w:pPr>
              <w:spacing w:before="0" w:after="0"/>
              <w:jc w:val="center"/>
              <w:rPr>
                <w:rFonts w:ascii="Times New Roman" w:hAnsi="Times New Roman"/>
                <w:sz w:val="20"/>
                <w:szCs w:val="20"/>
              </w:rPr>
            </w:pPr>
          </w:p>
        </w:tc>
        <w:tc>
          <w:tcPr>
            <w:tcW w:w="0" w:type="auto"/>
            <w:gridSpan w:val="7"/>
            <w:noWrap/>
            <w:hideMark/>
          </w:tcPr>
          <w:p w14:paraId="4B571D09" w14:textId="77777777" w:rsidR="004959A9" w:rsidRPr="008418B2" w:rsidRDefault="004959A9" w:rsidP="00DA7EE9">
            <w:pPr>
              <w:spacing w:before="0" w:after="0"/>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Year</w:t>
            </w:r>
          </w:p>
        </w:tc>
      </w:tr>
      <w:tr w:rsidR="004959A9" w:rsidRPr="008418B2" w14:paraId="0AEB3430"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D9E405"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Zone</w:t>
            </w:r>
          </w:p>
        </w:tc>
        <w:tc>
          <w:tcPr>
            <w:tcW w:w="0" w:type="auto"/>
            <w:noWrap/>
            <w:hideMark/>
          </w:tcPr>
          <w:p w14:paraId="790D63E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2020</w:t>
            </w:r>
          </w:p>
        </w:tc>
        <w:tc>
          <w:tcPr>
            <w:tcW w:w="0" w:type="auto"/>
            <w:noWrap/>
            <w:hideMark/>
          </w:tcPr>
          <w:p w14:paraId="11BEE88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2025</w:t>
            </w:r>
          </w:p>
        </w:tc>
        <w:tc>
          <w:tcPr>
            <w:tcW w:w="0" w:type="auto"/>
            <w:noWrap/>
            <w:hideMark/>
          </w:tcPr>
          <w:p w14:paraId="63EAE7FE"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2030</w:t>
            </w:r>
          </w:p>
        </w:tc>
        <w:tc>
          <w:tcPr>
            <w:tcW w:w="0" w:type="auto"/>
            <w:noWrap/>
            <w:hideMark/>
          </w:tcPr>
          <w:p w14:paraId="45D2E58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2035</w:t>
            </w:r>
          </w:p>
        </w:tc>
        <w:tc>
          <w:tcPr>
            <w:tcW w:w="0" w:type="auto"/>
            <w:noWrap/>
            <w:hideMark/>
          </w:tcPr>
          <w:p w14:paraId="46BC0EE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2040</w:t>
            </w:r>
          </w:p>
        </w:tc>
        <w:tc>
          <w:tcPr>
            <w:tcW w:w="0" w:type="auto"/>
            <w:noWrap/>
            <w:hideMark/>
          </w:tcPr>
          <w:p w14:paraId="3793DFB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2045</w:t>
            </w:r>
          </w:p>
        </w:tc>
        <w:tc>
          <w:tcPr>
            <w:tcW w:w="0" w:type="auto"/>
            <w:noWrap/>
            <w:hideMark/>
          </w:tcPr>
          <w:p w14:paraId="3EF9A99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b/>
                <w:bCs/>
                <w:i/>
                <w:iCs/>
                <w:color w:val="000000"/>
                <w:sz w:val="20"/>
                <w:szCs w:val="20"/>
              </w:rPr>
            </w:pPr>
            <w:r w:rsidRPr="008418B2">
              <w:rPr>
                <w:rFonts w:cs="Arial"/>
                <w:b/>
                <w:bCs/>
                <w:i/>
                <w:iCs/>
                <w:color w:val="000000"/>
                <w:sz w:val="20"/>
                <w:szCs w:val="20"/>
              </w:rPr>
              <w:t>2050</w:t>
            </w:r>
          </w:p>
        </w:tc>
      </w:tr>
      <w:tr w:rsidR="004959A9" w:rsidRPr="008418B2" w14:paraId="73F5D23E"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DC95C" w14:textId="77777777" w:rsidR="004959A9" w:rsidRPr="008418B2" w:rsidRDefault="004959A9" w:rsidP="00DA7EE9">
            <w:pPr>
              <w:spacing w:before="0" w:after="0"/>
              <w:jc w:val="center"/>
              <w:rPr>
                <w:rFonts w:cs="Arial"/>
                <w:b w:val="0"/>
                <w:bCs w:val="0"/>
                <w:color w:val="000000"/>
                <w:sz w:val="20"/>
                <w:szCs w:val="20"/>
              </w:rPr>
            </w:pPr>
            <w:r w:rsidRPr="008418B2">
              <w:rPr>
                <w:rFonts w:cs="Arial"/>
                <w:color w:val="000000"/>
                <w:sz w:val="20"/>
                <w:szCs w:val="20"/>
              </w:rPr>
              <w:t>1</w:t>
            </w:r>
          </w:p>
        </w:tc>
        <w:tc>
          <w:tcPr>
            <w:tcW w:w="0" w:type="auto"/>
            <w:noWrap/>
            <w:hideMark/>
          </w:tcPr>
          <w:p w14:paraId="6962C9E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159.23</w:t>
            </w:r>
          </w:p>
        </w:tc>
        <w:tc>
          <w:tcPr>
            <w:tcW w:w="0" w:type="auto"/>
            <w:noWrap/>
            <w:hideMark/>
          </w:tcPr>
          <w:p w14:paraId="0DE889F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318.46</w:t>
            </w:r>
          </w:p>
        </w:tc>
        <w:tc>
          <w:tcPr>
            <w:tcW w:w="0" w:type="auto"/>
            <w:noWrap/>
            <w:hideMark/>
          </w:tcPr>
          <w:p w14:paraId="2D00D96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477.69</w:t>
            </w:r>
          </w:p>
        </w:tc>
        <w:tc>
          <w:tcPr>
            <w:tcW w:w="0" w:type="auto"/>
            <w:noWrap/>
            <w:hideMark/>
          </w:tcPr>
          <w:p w14:paraId="14A087F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636.92</w:t>
            </w:r>
          </w:p>
        </w:tc>
        <w:tc>
          <w:tcPr>
            <w:tcW w:w="0" w:type="auto"/>
            <w:noWrap/>
            <w:hideMark/>
          </w:tcPr>
          <w:p w14:paraId="6D8C5F1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796.16</w:t>
            </w:r>
          </w:p>
        </w:tc>
        <w:tc>
          <w:tcPr>
            <w:tcW w:w="0" w:type="auto"/>
            <w:noWrap/>
            <w:hideMark/>
          </w:tcPr>
          <w:p w14:paraId="3D28480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955.39</w:t>
            </w:r>
          </w:p>
        </w:tc>
        <w:tc>
          <w:tcPr>
            <w:tcW w:w="0" w:type="auto"/>
            <w:noWrap/>
            <w:hideMark/>
          </w:tcPr>
          <w:p w14:paraId="4D5FEC3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1114.62</w:t>
            </w:r>
          </w:p>
        </w:tc>
      </w:tr>
      <w:tr w:rsidR="004959A9" w:rsidRPr="008418B2" w14:paraId="56795927"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8F93AD"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w:t>
            </w:r>
          </w:p>
        </w:tc>
        <w:tc>
          <w:tcPr>
            <w:tcW w:w="0" w:type="auto"/>
            <w:noWrap/>
            <w:hideMark/>
          </w:tcPr>
          <w:p w14:paraId="7721372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386.53</w:t>
            </w:r>
          </w:p>
        </w:tc>
        <w:tc>
          <w:tcPr>
            <w:tcW w:w="0" w:type="auto"/>
            <w:noWrap/>
            <w:hideMark/>
          </w:tcPr>
          <w:p w14:paraId="504CBA5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773.05</w:t>
            </w:r>
          </w:p>
        </w:tc>
        <w:tc>
          <w:tcPr>
            <w:tcW w:w="0" w:type="auto"/>
            <w:noWrap/>
            <w:hideMark/>
          </w:tcPr>
          <w:p w14:paraId="2A947A4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1159.58</w:t>
            </w:r>
          </w:p>
        </w:tc>
        <w:tc>
          <w:tcPr>
            <w:tcW w:w="0" w:type="auto"/>
            <w:noWrap/>
            <w:hideMark/>
          </w:tcPr>
          <w:p w14:paraId="1D241997"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1546.10</w:t>
            </w:r>
          </w:p>
        </w:tc>
        <w:tc>
          <w:tcPr>
            <w:tcW w:w="0" w:type="auto"/>
            <w:noWrap/>
            <w:hideMark/>
          </w:tcPr>
          <w:p w14:paraId="0CF66BE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1932.63</w:t>
            </w:r>
          </w:p>
        </w:tc>
        <w:tc>
          <w:tcPr>
            <w:tcW w:w="0" w:type="auto"/>
            <w:noWrap/>
            <w:hideMark/>
          </w:tcPr>
          <w:p w14:paraId="64956F27"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2319.15</w:t>
            </w:r>
          </w:p>
        </w:tc>
        <w:tc>
          <w:tcPr>
            <w:tcW w:w="0" w:type="auto"/>
            <w:noWrap/>
            <w:hideMark/>
          </w:tcPr>
          <w:p w14:paraId="53D611E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2705.68</w:t>
            </w:r>
          </w:p>
        </w:tc>
      </w:tr>
      <w:tr w:rsidR="004959A9" w:rsidRPr="008418B2" w14:paraId="311DBA74"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85E1AA4"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3</w:t>
            </w:r>
          </w:p>
        </w:tc>
        <w:tc>
          <w:tcPr>
            <w:tcW w:w="0" w:type="auto"/>
            <w:noWrap/>
            <w:hideMark/>
          </w:tcPr>
          <w:p w14:paraId="1D30C78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152.29</w:t>
            </w:r>
          </w:p>
        </w:tc>
        <w:tc>
          <w:tcPr>
            <w:tcW w:w="0" w:type="auto"/>
            <w:noWrap/>
            <w:hideMark/>
          </w:tcPr>
          <w:p w14:paraId="7362E6CC"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304.58</w:t>
            </w:r>
          </w:p>
        </w:tc>
        <w:tc>
          <w:tcPr>
            <w:tcW w:w="0" w:type="auto"/>
            <w:noWrap/>
            <w:hideMark/>
          </w:tcPr>
          <w:p w14:paraId="343D03C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456.87</w:t>
            </w:r>
          </w:p>
        </w:tc>
        <w:tc>
          <w:tcPr>
            <w:tcW w:w="0" w:type="auto"/>
            <w:noWrap/>
            <w:hideMark/>
          </w:tcPr>
          <w:p w14:paraId="23C64029"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609.16</w:t>
            </w:r>
          </w:p>
        </w:tc>
        <w:tc>
          <w:tcPr>
            <w:tcW w:w="0" w:type="auto"/>
            <w:noWrap/>
            <w:hideMark/>
          </w:tcPr>
          <w:p w14:paraId="0798231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761.45</w:t>
            </w:r>
          </w:p>
        </w:tc>
        <w:tc>
          <w:tcPr>
            <w:tcW w:w="0" w:type="auto"/>
            <w:noWrap/>
            <w:hideMark/>
          </w:tcPr>
          <w:p w14:paraId="7286D3B0"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913.74</w:t>
            </w:r>
          </w:p>
        </w:tc>
        <w:tc>
          <w:tcPr>
            <w:tcW w:w="0" w:type="auto"/>
            <w:noWrap/>
            <w:hideMark/>
          </w:tcPr>
          <w:p w14:paraId="3973F8D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1066.04</w:t>
            </w:r>
          </w:p>
        </w:tc>
      </w:tr>
      <w:tr w:rsidR="004959A9" w:rsidRPr="008418B2" w14:paraId="4A11FC6E"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C86BB05"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4</w:t>
            </w:r>
          </w:p>
        </w:tc>
        <w:tc>
          <w:tcPr>
            <w:tcW w:w="0" w:type="auto"/>
            <w:noWrap/>
            <w:hideMark/>
          </w:tcPr>
          <w:p w14:paraId="37C1A89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118.28</w:t>
            </w:r>
          </w:p>
        </w:tc>
        <w:tc>
          <w:tcPr>
            <w:tcW w:w="0" w:type="auto"/>
            <w:noWrap/>
            <w:hideMark/>
          </w:tcPr>
          <w:p w14:paraId="1B6CEF9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236.56</w:t>
            </w:r>
          </w:p>
        </w:tc>
        <w:tc>
          <w:tcPr>
            <w:tcW w:w="0" w:type="auto"/>
            <w:noWrap/>
            <w:hideMark/>
          </w:tcPr>
          <w:p w14:paraId="3D31163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354.84</w:t>
            </w:r>
          </w:p>
        </w:tc>
        <w:tc>
          <w:tcPr>
            <w:tcW w:w="0" w:type="auto"/>
            <w:noWrap/>
            <w:hideMark/>
          </w:tcPr>
          <w:p w14:paraId="1F2D9D4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473.13</w:t>
            </w:r>
          </w:p>
        </w:tc>
        <w:tc>
          <w:tcPr>
            <w:tcW w:w="0" w:type="auto"/>
            <w:noWrap/>
            <w:hideMark/>
          </w:tcPr>
          <w:p w14:paraId="33F6DB0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591.41</w:t>
            </w:r>
          </w:p>
        </w:tc>
        <w:tc>
          <w:tcPr>
            <w:tcW w:w="0" w:type="auto"/>
            <w:noWrap/>
            <w:hideMark/>
          </w:tcPr>
          <w:p w14:paraId="203E2EA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709.69</w:t>
            </w:r>
          </w:p>
        </w:tc>
        <w:tc>
          <w:tcPr>
            <w:tcW w:w="0" w:type="auto"/>
            <w:noWrap/>
            <w:hideMark/>
          </w:tcPr>
          <w:p w14:paraId="0C91A27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827.97</w:t>
            </w:r>
          </w:p>
        </w:tc>
      </w:tr>
      <w:tr w:rsidR="004959A9" w:rsidRPr="008418B2" w14:paraId="2341BA1F"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F0DDBF5"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5</w:t>
            </w:r>
          </w:p>
        </w:tc>
        <w:tc>
          <w:tcPr>
            <w:tcW w:w="0" w:type="auto"/>
            <w:noWrap/>
            <w:hideMark/>
          </w:tcPr>
          <w:p w14:paraId="41BC113B"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158.30</w:t>
            </w:r>
          </w:p>
        </w:tc>
        <w:tc>
          <w:tcPr>
            <w:tcW w:w="0" w:type="auto"/>
            <w:noWrap/>
            <w:hideMark/>
          </w:tcPr>
          <w:p w14:paraId="66EDEC5B"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316.60</w:t>
            </w:r>
          </w:p>
        </w:tc>
        <w:tc>
          <w:tcPr>
            <w:tcW w:w="0" w:type="auto"/>
            <w:noWrap/>
            <w:hideMark/>
          </w:tcPr>
          <w:p w14:paraId="50915CC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474.90</w:t>
            </w:r>
          </w:p>
        </w:tc>
        <w:tc>
          <w:tcPr>
            <w:tcW w:w="0" w:type="auto"/>
            <w:noWrap/>
            <w:hideMark/>
          </w:tcPr>
          <w:p w14:paraId="73A1834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633.20</w:t>
            </w:r>
          </w:p>
        </w:tc>
        <w:tc>
          <w:tcPr>
            <w:tcW w:w="0" w:type="auto"/>
            <w:noWrap/>
            <w:hideMark/>
          </w:tcPr>
          <w:p w14:paraId="1636291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791.50</w:t>
            </w:r>
          </w:p>
        </w:tc>
        <w:tc>
          <w:tcPr>
            <w:tcW w:w="0" w:type="auto"/>
            <w:noWrap/>
            <w:hideMark/>
          </w:tcPr>
          <w:p w14:paraId="36D31938"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949.80</w:t>
            </w:r>
          </w:p>
        </w:tc>
        <w:tc>
          <w:tcPr>
            <w:tcW w:w="0" w:type="auto"/>
            <w:noWrap/>
            <w:hideMark/>
          </w:tcPr>
          <w:p w14:paraId="5B7B4638"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1108.10</w:t>
            </w:r>
          </w:p>
        </w:tc>
      </w:tr>
      <w:tr w:rsidR="004959A9" w:rsidRPr="008418B2" w14:paraId="64452655"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B8E00B1"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6</w:t>
            </w:r>
          </w:p>
        </w:tc>
        <w:tc>
          <w:tcPr>
            <w:tcW w:w="0" w:type="auto"/>
            <w:noWrap/>
            <w:hideMark/>
          </w:tcPr>
          <w:p w14:paraId="01BD607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263.83</w:t>
            </w:r>
          </w:p>
        </w:tc>
        <w:tc>
          <w:tcPr>
            <w:tcW w:w="0" w:type="auto"/>
            <w:noWrap/>
            <w:hideMark/>
          </w:tcPr>
          <w:p w14:paraId="5929963B"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527.66</w:t>
            </w:r>
          </w:p>
        </w:tc>
        <w:tc>
          <w:tcPr>
            <w:tcW w:w="0" w:type="auto"/>
            <w:noWrap/>
            <w:hideMark/>
          </w:tcPr>
          <w:p w14:paraId="2B7544B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791.49</w:t>
            </w:r>
          </w:p>
        </w:tc>
        <w:tc>
          <w:tcPr>
            <w:tcW w:w="0" w:type="auto"/>
            <w:noWrap/>
            <w:hideMark/>
          </w:tcPr>
          <w:p w14:paraId="4CD9941E"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1055.32</w:t>
            </w:r>
          </w:p>
        </w:tc>
        <w:tc>
          <w:tcPr>
            <w:tcW w:w="0" w:type="auto"/>
            <w:noWrap/>
            <w:hideMark/>
          </w:tcPr>
          <w:p w14:paraId="52141DD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1319.15</w:t>
            </w:r>
          </w:p>
        </w:tc>
        <w:tc>
          <w:tcPr>
            <w:tcW w:w="0" w:type="auto"/>
            <w:noWrap/>
            <w:hideMark/>
          </w:tcPr>
          <w:p w14:paraId="68CA6E6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1582.98</w:t>
            </w:r>
          </w:p>
        </w:tc>
        <w:tc>
          <w:tcPr>
            <w:tcW w:w="0" w:type="auto"/>
            <w:noWrap/>
            <w:hideMark/>
          </w:tcPr>
          <w:p w14:paraId="38F9DAA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1846.81</w:t>
            </w:r>
          </w:p>
        </w:tc>
      </w:tr>
      <w:tr w:rsidR="004959A9" w:rsidRPr="008418B2" w14:paraId="5C22F3A8"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DC6E88"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7</w:t>
            </w:r>
          </w:p>
        </w:tc>
        <w:tc>
          <w:tcPr>
            <w:tcW w:w="0" w:type="auto"/>
            <w:noWrap/>
            <w:hideMark/>
          </w:tcPr>
          <w:p w14:paraId="6289479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209.69</w:t>
            </w:r>
          </w:p>
        </w:tc>
        <w:tc>
          <w:tcPr>
            <w:tcW w:w="0" w:type="auto"/>
            <w:noWrap/>
            <w:hideMark/>
          </w:tcPr>
          <w:p w14:paraId="478BA90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419.37</w:t>
            </w:r>
          </w:p>
        </w:tc>
        <w:tc>
          <w:tcPr>
            <w:tcW w:w="0" w:type="auto"/>
            <w:noWrap/>
            <w:hideMark/>
          </w:tcPr>
          <w:p w14:paraId="53DFFDC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629.06</w:t>
            </w:r>
          </w:p>
        </w:tc>
        <w:tc>
          <w:tcPr>
            <w:tcW w:w="0" w:type="auto"/>
            <w:noWrap/>
            <w:hideMark/>
          </w:tcPr>
          <w:p w14:paraId="5316C64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838.74</w:t>
            </w:r>
          </w:p>
        </w:tc>
        <w:tc>
          <w:tcPr>
            <w:tcW w:w="0" w:type="auto"/>
            <w:noWrap/>
            <w:hideMark/>
          </w:tcPr>
          <w:p w14:paraId="2BC09018"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1048.43</w:t>
            </w:r>
          </w:p>
        </w:tc>
        <w:tc>
          <w:tcPr>
            <w:tcW w:w="0" w:type="auto"/>
            <w:noWrap/>
            <w:hideMark/>
          </w:tcPr>
          <w:p w14:paraId="1564B27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1258.11</w:t>
            </w:r>
          </w:p>
        </w:tc>
        <w:tc>
          <w:tcPr>
            <w:tcW w:w="0" w:type="auto"/>
            <w:noWrap/>
            <w:hideMark/>
          </w:tcPr>
          <w:p w14:paraId="531EB56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1467.80</w:t>
            </w:r>
          </w:p>
        </w:tc>
      </w:tr>
      <w:tr w:rsidR="004959A9" w:rsidRPr="008418B2" w14:paraId="08AB93F6"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3EA64CC"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8</w:t>
            </w:r>
          </w:p>
        </w:tc>
        <w:tc>
          <w:tcPr>
            <w:tcW w:w="0" w:type="auto"/>
            <w:noWrap/>
            <w:hideMark/>
          </w:tcPr>
          <w:p w14:paraId="1229CE1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238.77</w:t>
            </w:r>
          </w:p>
        </w:tc>
        <w:tc>
          <w:tcPr>
            <w:tcW w:w="0" w:type="auto"/>
            <w:noWrap/>
            <w:hideMark/>
          </w:tcPr>
          <w:p w14:paraId="68D4E68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477.53</w:t>
            </w:r>
          </w:p>
        </w:tc>
        <w:tc>
          <w:tcPr>
            <w:tcW w:w="0" w:type="auto"/>
            <w:noWrap/>
            <w:hideMark/>
          </w:tcPr>
          <w:p w14:paraId="4A9BD70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716.30</w:t>
            </w:r>
          </w:p>
        </w:tc>
        <w:tc>
          <w:tcPr>
            <w:tcW w:w="0" w:type="auto"/>
            <w:noWrap/>
            <w:hideMark/>
          </w:tcPr>
          <w:p w14:paraId="579409AB"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955.07</w:t>
            </w:r>
          </w:p>
        </w:tc>
        <w:tc>
          <w:tcPr>
            <w:tcW w:w="0" w:type="auto"/>
            <w:noWrap/>
            <w:hideMark/>
          </w:tcPr>
          <w:p w14:paraId="6543C9D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1193.84</w:t>
            </w:r>
          </w:p>
        </w:tc>
        <w:tc>
          <w:tcPr>
            <w:tcW w:w="0" w:type="auto"/>
            <w:noWrap/>
            <w:hideMark/>
          </w:tcPr>
          <w:p w14:paraId="74A2824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1432.60</w:t>
            </w:r>
          </w:p>
        </w:tc>
        <w:tc>
          <w:tcPr>
            <w:tcW w:w="0" w:type="auto"/>
            <w:noWrap/>
            <w:hideMark/>
          </w:tcPr>
          <w:p w14:paraId="196D142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1671.37</w:t>
            </w:r>
          </w:p>
        </w:tc>
      </w:tr>
      <w:tr w:rsidR="004959A9" w:rsidRPr="008418B2" w14:paraId="75985A40"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57EBC8"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9</w:t>
            </w:r>
          </w:p>
        </w:tc>
        <w:tc>
          <w:tcPr>
            <w:tcW w:w="0" w:type="auto"/>
            <w:noWrap/>
            <w:hideMark/>
          </w:tcPr>
          <w:p w14:paraId="7CFD1FF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425.40</w:t>
            </w:r>
          </w:p>
        </w:tc>
        <w:tc>
          <w:tcPr>
            <w:tcW w:w="0" w:type="auto"/>
            <w:noWrap/>
            <w:hideMark/>
          </w:tcPr>
          <w:p w14:paraId="15C0051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850.81</w:t>
            </w:r>
          </w:p>
        </w:tc>
        <w:tc>
          <w:tcPr>
            <w:tcW w:w="0" w:type="auto"/>
            <w:noWrap/>
            <w:hideMark/>
          </w:tcPr>
          <w:p w14:paraId="028F622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1276.21</w:t>
            </w:r>
          </w:p>
        </w:tc>
        <w:tc>
          <w:tcPr>
            <w:tcW w:w="0" w:type="auto"/>
            <w:noWrap/>
            <w:hideMark/>
          </w:tcPr>
          <w:p w14:paraId="51B61BA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1701.62</w:t>
            </w:r>
          </w:p>
        </w:tc>
        <w:tc>
          <w:tcPr>
            <w:tcW w:w="0" w:type="auto"/>
            <w:noWrap/>
            <w:hideMark/>
          </w:tcPr>
          <w:p w14:paraId="524EF40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2127.02</w:t>
            </w:r>
          </w:p>
        </w:tc>
        <w:tc>
          <w:tcPr>
            <w:tcW w:w="0" w:type="auto"/>
            <w:noWrap/>
            <w:hideMark/>
          </w:tcPr>
          <w:p w14:paraId="39F4FA7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2552.42</w:t>
            </w:r>
          </w:p>
        </w:tc>
        <w:tc>
          <w:tcPr>
            <w:tcW w:w="0" w:type="auto"/>
            <w:noWrap/>
            <w:hideMark/>
          </w:tcPr>
          <w:p w14:paraId="0639E1CE"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2977.83</w:t>
            </w:r>
          </w:p>
        </w:tc>
      </w:tr>
      <w:tr w:rsidR="004959A9" w:rsidRPr="008418B2" w14:paraId="2B73EC4E"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CB2EDA"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10</w:t>
            </w:r>
          </w:p>
        </w:tc>
        <w:tc>
          <w:tcPr>
            <w:tcW w:w="0" w:type="auto"/>
            <w:noWrap/>
            <w:hideMark/>
          </w:tcPr>
          <w:p w14:paraId="3DD146B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339.41</w:t>
            </w:r>
          </w:p>
        </w:tc>
        <w:tc>
          <w:tcPr>
            <w:tcW w:w="0" w:type="auto"/>
            <w:noWrap/>
            <w:hideMark/>
          </w:tcPr>
          <w:p w14:paraId="209305D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678.81</w:t>
            </w:r>
          </w:p>
        </w:tc>
        <w:tc>
          <w:tcPr>
            <w:tcW w:w="0" w:type="auto"/>
            <w:noWrap/>
            <w:hideMark/>
          </w:tcPr>
          <w:p w14:paraId="4353F2C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1018.22</w:t>
            </w:r>
          </w:p>
        </w:tc>
        <w:tc>
          <w:tcPr>
            <w:tcW w:w="0" w:type="auto"/>
            <w:noWrap/>
            <w:hideMark/>
          </w:tcPr>
          <w:p w14:paraId="0694B44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1357.62</w:t>
            </w:r>
          </w:p>
        </w:tc>
        <w:tc>
          <w:tcPr>
            <w:tcW w:w="0" w:type="auto"/>
            <w:noWrap/>
            <w:hideMark/>
          </w:tcPr>
          <w:p w14:paraId="11D5ADD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1697.03</w:t>
            </w:r>
          </w:p>
        </w:tc>
        <w:tc>
          <w:tcPr>
            <w:tcW w:w="0" w:type="auto"/>
            <w:noWrap/>
            <w:hideMark/>
          </w:tcPr>
          <w:p w14:paraId="4D79D51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2036.43</w:t>
            </w:r>
          </w:p>
        </w:tc>
        <w:tc>
          <w:tcPr>
            <w:tcW w:w="0" w:type="auto"/>
            <w:noWrap/>
            <w:hideMark/>
          </w:tcPr>
          <w:p w14:paraId="55F1772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2375.84</w:t>
            </w:r>
          </w:p>
        </w:tc>
      </w:tr>
      <w:tr w:rsidR="004959A9" w:rsidRPr="008418B2" w14:paraId="520489A3"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93D3279"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11</w:t>
            </w:r>
          </w:p>
        </w:tc>
        <w:tc>
          <w:tcPr>
            <w:tcW w:w="0" w:type="auto"/>
            <w:noWrap/>
            <w:hideMark/>
          </w:tcPr>
          <w:p w14:paraId="5BC60008"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70.77</w:t>
            </w:r>
          </w:p>
        </w:tc>
        <w:tc>
          <w:tcPr>
            <w:tcW w:w="0" w:type="auto"/>
            <w:noWrap/>
            <w:hideMark/>
          </w:tcPr>
          <w:p w14:paraId="55FC15F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141.54</w:t>
            </w:r>
          </w:p>
        </w:tc>
        <w:tc>
          <w:tcPr>
            <w:tcW w:w="0" w:type="auto"/>
            <w:noWrap/>
            <w:hideMark/>
          </w:tcPr>
          <w:p w14:paraId="42E35D2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212.31</w:t>
            </w:r>
          </w:p>
        </w:tc>
        <w:tc>
          <w:tcPr>
            <w:tcW w:w="0" w:type="auto"/>
            <w:noWrap/>
            <w:hideMark/>
          </w:tcPr>
          <w:p w14:paraId="2779726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283.08</w:t>
            </w:r>
          </w:p>
        </w:tc>
        <w:tc>
          <w:tcPr>
            <w:tcW w:w="0" w:type="auto"/>
            <w:noWrap/>
            <w:hideMark/>
          </w:tcPr>
          <w:p w14:paraId="79263C4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353.86</w:t>
            </w:r>
          </w:p>
        </w:tc>
        <w:tc>
          <w:tcPr>
            <w:tcW w:w="0" w:type="auto"/>
            <w:noWrap/>
            <w:hideMark/>
          </w:tcPr>
          <w:p w14:paraId="4AE30A0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424.63</w:t>
            </w:r>
          </w:p>
        </w:tc>
        <w:tc>
          <w:tcPr>
            <w:tcW w:w="0" w:type="auto"/>
            <w:noWrap/>
            <w:hideMark/>
          </w:tcPr>
          <w:p w14:paraId="03042B7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495.40</w:t>
            </w:r>
          </w:p>
        </w:tc>
      </w:tr>
      <w:tr w:rsidR="004959A9" w:rsidRPr="008418B2" w14:paraId="230606A0"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211367"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12</w:t>
            </w:r>
          </w:p>
        </w:tc>
        <w:tc>
          <w:tcPr>
            <w:tcW w:w="0" w:type="auto"/>
            <w:noWrap/>
            <w:hideMark/>
          </w:tcPr>
          <w:p w14:paraId="76F2111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480.56</w:t>
            </w:r>
          </w:p>
        </w:tc>
        <w:tc>
          <w:tcPr>
            <w:tcW w:w="0" w:type="auto"/>
            <w:noWrap/>
            <w:hideMark/>
          </w:tcPr>
          <w:p w14:paraId="3F865B7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961.12</w:t>
            </w:r>
          </w:p>
        </w:tc>
        <w:tc>
          <w:tcPr>
            <w:tcW w:w="0" w:type="auto"/>
            <w:noWrap/>
            <w:hideMark/>
          </w:tcPr>
          <w:p w14:paraId="206F185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1441.69</w:t>
            </w:r>
          </w:p>
        </w:tc>
        <w:tc>
          <w:tcPr>
            <w:tcW w:w="0" w:type="auto"/>
            <w:noWrap/>
            <w:hideMark/>
          </w:tcPr>
          <w:p w14:paraId="61052847"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1922.25</w:t>
            </w:r>
          </w:p>
        </w:tc>
        <w:tc>
          <w:tcPr>
            <w:tcW w:w="0" w:type="auto"/>
            <w:noWrap/>
            <w:hideMark/>
          </w:tcPr>
          <w:p w14:paraId="1DE71CD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2402.81</w:t>
            </w:r>
          </w:p>
        </w:tc>
        <w:tc>
          <w:tcPr>
            <w:tcW w:w="0" w:type="auto"/>
            <w:noWrap/>
            <w:hideMark/>
          </w:tcPr>
          <w:p w14:paraId="464B016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2883.37</w:t>
            </w:r>
          </w:p>
        </w:tc>
        <w:tc>
          <w:tcPr>
            <w:tcW w:w="0" w:type="auto"/>
            <w:noWrap/>
            <w:hideMark/>
          </w:tcPr>
          <w:p w14:paraId="4682CD2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3363.94</w:t>
            </w:r>
          </w:p>
        </w:tc>
      </w:tr>
      <w:tr w:rsidR="004959A9" w:rsidRPr="008418B2" w14:paraId="73499A14"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38E258"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13</w:t>
            </w:r>
          </w:p>
        </w:tc>
        <w:tc>
          <w:tcPr>
            <w:tcW w:w="0" w:type="auto"/>
            <w:noWrap/>
            <w:hideMark/>
          </w:tcPr>
          <w:p w14:paraId="565028F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151.27</w:t>
            </w:r>
          </w:p>
        </w:tc>
        <w:tc>
          <w:tcPr>
            <w:tcW w:w="0" w:type="auto"/>
            <w:noWrap/>
            <w:hideMark/>
          </w:tcPr>
          <w:p w14:paraId="5C40E4F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302.53</w:t>
            </w:r>
          </w:p>
        </w:tc>
        <w:tc>
          <w:tcPr>
            <w:tcW w:w="0" w:type="auto"/>
            <w:noWrap/>
            <w:hideMark/>
          </w:tcPr>
          <w:p w14:paraId="409C07DB"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453.80</w:t>
            </w:r>
          </w:p>
        </w:tc>
        <w:tc>
          <w:tcPr>
            <w:tcW w:w="0" w:type="auto"/>
            <w:noWrap/>
            <w:hideMark/>
          </w:tcPr>
          <w:p w14:paraId="3CE644A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605.06</w:t>
            </w:r>
          </w:p>
        </w:tc>
        <w:tc>
          <w:tcPr>
            <w:tcW w:w="0" w:type="auto"/>
            <w:noWrap/>
            <w:hideMark/>
          </w:tcPr>
          <w:p w14:paraId="68E3E02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756.33</w:t>
            </w:r>
          </w:p>
        </w:tc>
        <w:tc>
          <w:tcPr>
            <w:tcW w:w="0" w:type="auto"/>
            <w:noWrap/>
            <w:hideMark/>
          </w:tcPr>
          <w:p w14:paraId="091B2830"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907.60</w:t>
            </w:r>
          </w:p>
        </w:tc>
        <w:tc>
          <w:tcPr>
            <w:tcW w:w="0" w:type="auto"/>
            <w:noWrap/>
            <w:hideMark/>
          </w:tcPr>
          <w:p w14:paraId="71E1821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1058.86</w:t>
            </w:r>
          </w:p>
        </w:tc>
      </w:tr>
      <w:tr w:rsidR="004959A9" w:rsidRPr="008418B2" w14:paraId="369B0C46"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9A8E1BB"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14</w:t>
            </w:r>
          </w:p>
        </w:tc>
        <w:tc>
          <w:tcPr>
            <w:tcW w:w="0" w:type="auto"/>
            <w:noWrap/>
            <w:hideMark/>
          </w:tcPr>
          <w:p w14:paraId="0EE8B58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259.69</w:t>
            </w:r>
          </w:p>
        </w:tc>
        <w:tc>
          <w:tcPr>
            <w:tcW w:w="0" w:type="auto"/>
            <w:noWrap/>
            <w:hideMark/>
          </w:tcPr>
          <w:p w14:paraId="1087BEE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519.37</w:t>
            </w:r>
          </w:p>
        </w:tc>
        <w:tc>
          <w:tcPr>
            <w:tcW w:w="0" w:type="auto"/>
            <w:noWrap/>
            <w:hideMark/>
          </w:tcPr>
          <w:p w14:paraId="42B4524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779.06</w:t>
            </w:r>
          </w:p>
        </w:tc>
        <w:tc>
          <w:tcPr>
            <w:tcW w:w="0" w:type="auto"/>
            <w:noWrap/>
            <w:hideMark/>
          </w:tcPr>
          <w:p w14:paraId="1AC45E6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1038.75</w:t>
            </w:r>
          </w:p>
        </w:tc>
        <w:tc>
          <w:tcPr>
            <w:tcW w:w="0" w:type="auto"/>
            <w:noWrap/>
            <w:hideMark/>
          </w:tcPr>
          <w:p w14:paraId="7A65961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1298.44</w:t>
            </w:r>
          </w:p>
        </w:tc>
        <w:tc>
          <w:tcPr>
            <w:tcW w:w="0" w:type="auto"/>
            <w:noWrap/>
            <w:hideMark/>
          </w:tcPr>
          <w:p w14:paraId="263CBF7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1558.12</w:t>
            </w:r>
          </w:p>
        </w:tc>
        <w:tc>
          <w:tcPr>
            <w:tcW w:w="0" w:type="auto"/>
            <w:noWrap/>
            <w:hideMark/>
          </w:tcPr>
          <w:p w14:paraId="0388EA8E"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1817.81</w:t>
            </w:r>
          </w:p>
        </w:tc>
      </w:tr>
      <w:tr w:rsidR="004959A9" w:rsidRPr="008418B2" w14:paraId="199688F1"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32A63A"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15</w:t>
            </w:r>
          </w:p>
        </w:tc>
        <w:tc>
          <w:tcPr>
            <w:tcW w:w="0" w:type="auto"/>
            <w:noWrap/>
            <w:hideMark/>
          </w:tcPr>
          <w:p w14:paraId="3320063E"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197.35</w:t>
            </w:r>
          </w:p>
        </w:tc>
        <w:tc>
          <w:tcPr>
            <w:tcW w:w="0" w:type="auto"/>
            <w:noWrap/>
            <w:hideMark/>
          </w:tcPr>
          <w:p w14:paraId="6E9C461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394.70</w:t>
            </w:r>
          </w:p>
        </w:tc>
        <w:tc>
          <w:tcPr>
            <w:tcW w:w="0" w:type="auto"/>
            <w:noWrap/>
            <w:hideMark/>
          </w:tcPr>
          <w:p w14:paraId="7C3920A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592.05</w:t>
            </w:r>
          </w:p>
        </w:tc>
        <w:tc>
          <w:tcPr>
            <w:tcW w:w="0" w:type="auto"/>
            <w:noWrap/>
            <w:hideMark/>
          </w:tcPr>
          <w:p w14:paraId="36A70AF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789.40</w:t>
            </w:r>
          </w:p>
        </w:tc>
        <w:tc>
          <w:tcPr>
            <w:tcW w:w="0" w:type="auto"/>
            <w:noWrap/>
            <w:hideMark/>
          </w:tcPr>
          <w:p w14:paraId="415CDDFB"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986.74</w:t>
            </w:r>
          </w:p>
        </w:tc>
        <w:tc>
          <w:tcPr>
            <w:tcW w:w="0" w:type="auto"/>
            <w:noWrap/>
            <w:hideMark/>
          </w:tcPr>
          <w:p w14:paraId="22BCB2C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1184.09</w:t>
            </w:r>
          </w:p>
        </w:tc>
        <w:tc>
          <w:tcPr>
            <w:tcW w:w="0" w:type="auto"/>
            <w:noWrap/>
            <w:hideMark/>
          </w:tcPr>
          <w:p w14:paraId="3C22AEBE"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1381.44</w:t>
            </w:r>
          </w:p>
        </w:tc>
      </w:tr>
      <w:tr w:rsidR="004959A9" w:rsidRPr="008418B2" w14:paraId="36636FF8"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1037D4"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16</w:t>
            </w:r>
          </w:p>
        </w:tc>
        <w:tc>
          <w:tcPr>
            <w:tcW w:w="0" w:type="auto"/>
            <w:noWrap/>
            <w:hideMark/>
          </w:tcPr>
          <w:p w14:paraId="6C3A954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251.69</w:t>
            </w:r>
          </w:p>
        </w:tc>
        <w:tc>
          <w:tcPr>
            <w:tcW w:w="0" w:type="auto"/>
            <w:noWrap/>
            <w:hideMark/>
          </w:tcPr>
          <w:p w14:paraId="1E7DE01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503.37</w:t>
            </w:r>
          </w:p>
        </w:tc>
        <w:tc>
          <w:tcPr>
            <w:tcW w:w="0" w:type="auto"/>
            <w:noWrap/>
            <w:hideMark/>
          </w:tcPr>
          <w:p w14:paraId="5E0BCD9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755.06</w:t>
            </w:r>
          </w:p>
        </w:tc>
        <w:tc>
          <w:tcPr>
            <w:tcW w:w="0" w:type="auto"/>
            <w:noWrap/>
            <w:hideMark/>
          </w:tcPr>
          <w:p w14:paraId="05DA186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1006.74</w:t>
            </w:r>
          </w:p>
        </w:tc>
        <w:tc>
          <w:tcPr>
            <w:tcW w:w="0" w:type="auto"/>
            <w:noWrap/>
            <w:hideMark/>
          </w:tcPr>
          <w:p w14:paraId="1AE61FE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1258.43</w:t>
            </w:r>
          </w:p>
        </w:tc>
        <w:tc>
          <w:tcPr>
            <w:tcW w:w="0" w:type="auto"/>
            <w:noWrap/>
            <w:hideMark/>
          </w:tcPr>
          <w:p w14:paraId="096197AA"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1510.12</w:t>
            </w:r>
          </w:p>
        </w:tc>
        <w:tc>
          <w:tcPr>
            <w:tcW w:w="0" w:type="auto"/>
            <w:noWrap/>
            <w:hideMark/>
          </w:tcPr>
          <w:p w14:paraId="00040C9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1761.80</w:t>
            </w:r>
          </w:p>
        </w:tc>
      </w:tr>
      <w:tr w:rsidR="004959A9" w:rsidRPr="008418B2" w14:paraId="19B1C094"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CB4DA5"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17</w:t>
            </w:r>
          </w:p>
        </w:tc>
        <w:tc>
          <w:tcPr>
            <w:tcW w:w="0" w:type="auto"/>
            <w:noWrap/>
            <w:hideMark/>
          </w:tcPr>
          <w:p w14:paraId="556E7E6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594.47</w:t>
            </w:r>
          </w:p>
        </w:tc>
        <w:tc>
          <w:tcPr>
            <w:tcW w:w="0" w:type="auto"/>
            <w:noWrap/>
            <w:hideMark/>
          </w:tcPr>
          <w:p w14:paraId="0AF3BF2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1188.95</w:t>
            </w:r>
          </w:p>
        </w:tc>
        <w:tc>
          <w:tcPr>
            <w:tcW w:w="0" w:type="auto"/>
            <w:noWrap/>
            <w:hideMark/>
          </w:tcPr>
          <w:p w14:paraId="43F952E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1783.42</w:t>
            </w:r>
          </w:p>
        </w:tc>
        <w:tc>
          <w:tcPr>
            <w:tcW w:w="0" w:type="auto"/>
            <w:noWrap/>
            <w:hideMark/>
          </w:tcPr>
          <w:p w14:paraId="4EEE149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2377.89</w:t>
            </w:r>
          </w:p>
        </w:tc>
        <w:tc>
          <w:tcPr>
            <w:tcW w:w="0" w:type="auto"/>
            <w:noWrap/>
            <w:hideMark/>
          </w:tcPr>
          <w:p w14:paraId="1E982F2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2972.37</w:t>
            </w:r>
          </w:p>
        </w:tc>
        <w:tc>
          <w:tcPr>
            <w:tcW w:w="0" w:type="auto"/>
            <w:noWrap/>
            <w:hideMark/>
          </w:tcPr>
          <w:p w14:paraId="4F54FC20"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3566.84</w:t>
            </w:r>
          </w:p>
        </w:tc>
        <w:tc>
          <w:tcPr>
            <w:tcW w:w="0" w:type="auto"/>
            <w:noWrap/>
            <w:hideMark/>
          </w:tcPr>
          <w:p w14:paraId="0A592A20"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4161.31</w:t>
            </w:r>
          </w:p>
        </w:tc>
      </w:tr>
      <w:tr w:rsidR="004959A9" w:rsidRPr="008418B2" w14:paraId="332C770B"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35B506"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18</w:t>
            </w:r>
          </w:p>
        </w:tc>
        <w:tc>
          <w:tcPr>
            <w:tcW w:w="0" w:type="auto"/>
            <w:noWrap/>
            <w:hideMark/>
          </w:tcPr>
          <w:p w14:paraId="4E6E770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179.28</w:t>
            </w:r>
          </w:p>
        </w:tc>
        <w:tc>
          <w:tcPr>
            <w:tcW w:w="0" w:type="auto"/>
            <w:noWrap/>
            <w:hideMark/>
          </w:tcPr>
          <w:p w14:paraId="7EDA1FA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358.56</w:t>
            </w:r>
          </w:p>
        </w:tc>
        <w:tc>
          <w:tcPr>
            <w:tcW w:w="0" w:type="auto"/>
            <w:noWrap/>
            <w:hideMark/>
          </w:tcPr>
          <w:p w14:paraId="10FE875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537.84</w:t>
            </w:r>
          </w:p>
        </w:tc>
        <w:tc>
          <w:tcPr>
            <w:tcW w:w="0" w:type="auto"/>
            <w:noWrap/>
            <w:hideMark/>
          </w:tcPr>
          <w:p w14:paraId="0F9AFDB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717.12</w:t>
            </w:r>
          </w:p>
        </w:tc>
        <w:tc>
          <w:tcPr>
            <w:tcW w:w="0" w:type="auto"/>
            <w:noWrap/>
            <w:hideMark/>
          </w:tcPr>
          <w:p w14:paraId="4804C2B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896.40</w:t>
            </w:r>
          </w:p>
        </w:tc>
        <w:tc>
          <w:tcPr>
            <w:tcW w:w="0" w:type="auto"/>
            <w:noWrap/>
            <w:hideMark/>
          </w:tcPr>
          <w:p w14:paraId="79AE501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1075.68</w:t>
            </w:r>
          </w:p>
        </w:tc>
        <w:tc>
          <w:tcPr>
            <w:tcW w:w="0" w:type="auto"/>
            <w:noWrap/>
            <w:hideMark/>
          </w:tcPr>
          <w:p w14:paraId="2F42DD31"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1254.96</w:t>
            </w:r>
          </w:p>
        </w:tc>
      </w:tr>
      <w:tr w:rsidR="004959A9" w:rsidRPr="008418B2" w14:paraId="1E7D3FF0"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DFBD75"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19</w:t>
            </w:r>
          </w:p>
        </w:tc>
        <w:tc>
          <w:tcPr>
            <w:tcW w:w="0" w:type="auto"/>
            <w:noWrap/>
            <w:hideMark/>
          </w:tcPr>
          <w:p w14:paraId="617410E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136.27</w:t>
            </w:r>
          </w:p>
        </w:tc>
        <w:tc>
          <w:tcPr>
            <w:tcW w:w="0" w:type="auto"/>
            <w:noWrap/>
            <w:hideMark/>
          </w:tcPr>
          <w:p w14:paraId="3CB8B71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272.53</w:t>
            </w:r>
          </w:p>
        </w:tc>
        <w:tc>
          <w:tcPr>
            <w:tcW w:w="0" w:type="auto"/>
            <w:noWrap/>
            <w:hideMark/>
          </w:tcPr>
          <w:p w14:paraId="155408E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408.80</w:t>
            </w:r>
          </w:p>
        </w:tc>
        <w:tc>
          <w:tcPr>
            <w:tcW w:w="0" w:type="auto"/>
            <w:noWrap/>
            <w:hideMark/>
          </w:tcPr>
          <w:p w14:paraId="53E5635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545.07</w:t>
            </w:r>
          </w:p>
        </w:tc>
        <w:tc>
          <w:tcPr>
            <w:tcW w:w="0" w:type="auto"/>
            <w:noWrap/>
            <w:hideMark/>
          </w:tcPr>
          <w:p w14:paraId="22203AD9"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681.34</w:t>
            </w:r>
          </w:p>
        </w:tc>
        <w:tc>
          <w:tcPr>
            <w:tcW w:w="0" w:type="auto"/>
            <w:noWrap/>
            <w:hideMark/>
          </w:tcPr>
          <w:p w14:paraId="497E6C8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817.60</w:t>
            </w:r>
          </w:p>
        </w:tc>
        <w:tc>
          <w:tcPr>
            <w:tcW w:w="0" w:type="auto"/>
            <w:noWrap/>
            <w:hideMark/>
          </w:tcPr>
          <w:p w14:paraId="12172F4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953.87</w:t>
            </w:r>
          </w:p>
        </w:tc>
      </w:tr>
      <w:tr w:rsidR="004959A9" w:rsidRPr="008418B2" w14:paraId="13529680"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60A93CF"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20</w:t>
            </w:r>
          </w:p>
        </w:tc>
        <w:tc>
          <w:tcPr>
            <w:tcW w:w="0" w:type="auto"/>
            <w:noWrap/>
            <w:hideMark/>
          </w:tcPr>
          <w:p w14:paraId="1ED539D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236.70</w:t>
            </w:r>
          </w:p>
        </w:tc>
        <w:tc>
          <w:tcPr>
            <w:tcW w:w="0" w:type="auto"/>
            <w:noWrap/>
            <w:hideMark/>
          </w:tcPr>
          <w:p w14:paraId="7518346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473.41</w:t>
            </w:r>
          </w:p>
        </w:tc>
        <w:tc>
          <w:tcPr>
            <w:tcW w:w="0" w:type="auto"/>
            <w:noWrap/>
            <w:hideMark/>
          </w:tcPr>
          <w:p w14:paraId="3C9E808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710.11</w:t>
            </w:r>
          </w:p>
        </w:tc>
        <w:tc>
          <w:tcPr>
            <w:tcW w:w="0" w:type="auto"/>
            <w:noWrap/>
            <w:hideMark/>
          </w:tcPr>
          <w:p w14:paraId="27B658E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946.82</w:t>
            </w:r>
          </w:p>
        </w:tc>
        <w:tc>
          <w:tcPr>
            <w:tcW w:w="0" w:type="auto"/>
            <w:noWrap/>
            <w:hideMark/>
          </w:tcPr>
          <w:p w14:paraId="197D217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1183.52</w:t>
            </w:r>
          </w:p>
        </w:tc>
        <w:tc>
          <w:tcPr>
            <w:tcW w:w="0" w:type="auto"/>
            <w:noWrap/>
            <w:hideMark/>
          </w:tcPr>
          <w:p w14:paraId="70795E4B"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1420.22</w:t>
            </w:r>
          </w:p>
        </w:tc>
        <w:tc>
          <w:tcPr>
            <w:tcW w:w="0" w:type="auto"/>
            <w:noWrap/>
            <w:hideMark/>
          </w:tcPr>
          <w:p w14:paraId="7B23467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1656.93</w:t>
            </w:r>
          </w:p>
        </w:tc>
      </w:tr>
      <w:tr w:rsidR="004959A9" w:rsidRPr="008418B2" w14:paraId="0C92966E"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264758E"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21</w:t>
            </w:r>
          </w:p>
        </w:tc>
        <w:tc>
          <w:tcPr>
            <w:tcW w:w="0" w:type="auto"/>
            <w:noWrap/>
            <w:hideMark/>
          </w:tcPr>
          <w:p w14:paraId="42FEA63F"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178.07</w:t>
            </w:r>
          </w:p>
        </w:tc>
        <w:tc>
          <w:tcPr>
            <w:tcW w:w="0" w:type="auto"/>
            <w:noWrap/>
            <w:hideMark/>
          </w:tcPr>
          <w:p w14:paraId="3E3C9AA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356.15</w:t>
            </w:r>
          </w:p>
        </w:tc>
        <w:tc>
          <w:tcPr>
            <w:tcW w:w="0" w:type="auto"/>
            <w:noWrap/>
            <w:hideMark/>
          </w:tcPr>
          <w:p w14:paraId="3606A5E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534.22</w:t>
            </w:r>
          </w:p>
        </w:tc>
        <w:tc>
          <w:tcPr>
            <w:tcW w:w="0" w:type="auto"/>
            <w:noWrap/>
            <w:hideMark/>
          </w:tcPr>
          <w:p w14:paraId="38168A1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712.30</w:t>
            </w:r>
          </w:p>
        </w:tc>
        <w:tc>
          <w:tcPr>
            <w:tcW w:w="0" w:type="auto"/>
            <w:noWrap/>
            <w:hideMark/>
          </w:tcPr>
          <w:p w14:paraId="53BBAC8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890.37</w:t>
            </w:r>
          </w:p>
        </w:tc>
        <w:tc>
          <w:tcPr>
            <w:tcW w:w="0" w:type="auto"/>
            <w:noWrap/>
            <w:hideMark/>
          </w:tcPr>
          <w:p w14:paraId="61D5B42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1068.44</w:t>
            </w:r>
          </w:p>
        </w:tc>
        <w:tc>
          <w:tcPr>
            <w:tcW w:w="0" w:type="auto"/>
            <w:noWrap/>
            <w:hideMark/>
          </w:tcPr>
          <w:p w14:paraId="5E6CBCC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1246.52</w:t>
            </w:r>
          </w:p>
        </w:tc>
      </w:tr>
      <w:tr w:rsidR="004959A9" w:rsidRPr="008418B2" w14:paraId="3DA6E17F"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EA1AAA9"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22</w:t>
            </w:r>
          </w:p>
        </w:tc>
        <w:tc>
          <w:tcPr>
            <w:tcW w:w="0" w:type="auto"/>
            <w:noWrap/>
            <w:hideMark/>
          </w:tcPr>
          <w:p w14:paraId="4B1D182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312.40</w:t>
            </w:r>
          </w:p>
        </w:tc>
        <w:tc>
          <w:tcPr>
            <w:tcW w:w="0" w:type="auto"/>
            <w:noWrap/>
            <w:hideMark/>
          </w:tcPr>
          <w:p w14:paraId="36341BE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624.80</w:t>
            </w:r>
          </w:p>
        </w:tc>
        <w:tc>
          <w:tcPr>
            <w:tcW w:w="0" w:type="auto"/>
            <w:noWrap/>
            <w:hideMark/>
          </w:tcPr>
          <w:p w14:paraId="0820672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937.20</w:t>
            </w:r>
          </w:p>
        </w:tc>
        <w:tc>
          <w:tcPr>
            <w:tcW w:w="0" w:type="auto"/>
            <w:noWrap/>
            <w:hideMark/>
          </w:tcPr>
          <w:p w14:paraId="5E22405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1249.60</w:t>
            </w:r>
          </w:p>
        </w:tc>
        <w:tc>
          <w:tcPr>
            <w:tcW w:w="0" w:type="auto"/>
            <w:noWrap/>
            <w:hideMark/>
          </w:tcPr>
          <w:p w14:paraId="630C6A5B"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1562.00</w:t>
            </w:r>
          </w:p>
        </w:tc>
        <w:tc>
          <w:tcPr>
            <w:tcW w:w="0" w:type="auto"/>
            <w:noWrap/>
            <w:hideMark/>
          </w:tcPr>
          <w:p w14:paraId="6E5909D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1874.40</w:t>
            </w:r>
          </w:p>
        </w:tc>
        <w:tc>
          <w:tcPr>
            <w:tcW w:w="0" w:type="auto"/>
            <w:noWrap/>
            <w:hideMark/>
          </w:tcPr>
          <w:p w14:paraId="68DB3C5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2186.80</w:t>
            </w:r>
          </w:p>
        </w:tc>
      </w:tr>
      <w:tr w:rsidR="004959A9" w:rsidRPr="008418B2" w14:paraId="41E3A6CE"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625A3B2"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23</w:t>
            </w:r>
          </w:p>
        </w:tc>
        <w:tc>
          <w:tcPr>
            <w:tcW w:w="0" w:type="auto"/>
            <w:noWrap/>
            <w:hideMark/>
          </w:tcPr>
          <w:p w14:paraId="2D05C659"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247.05</w:t>
            </w:r>
          </w:p>
        </w:tc>
        <w:tc>
          <w:tcPr>
            <w:tcW w:w="0" w:type="auto"/>
            <w:noWrap/>
            <w:hideMark/>
          </w:tcPr>
          <w:p w14:paraId="5197004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494.11</w:t>
            </w:r>
          </w:p>
        </w:tc>
        <w:tc>
          <w:tcPr>
            <w:tcW w:w="0" w:type="auto"/>
            <w:noWrap/>
            <w:hideMark/>
          </w:tcPr>
          <w:p w14:paraId="28F2634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741.16</w:t>
            </w:r>
          </w:p>
        </w:tc>
        <w:tc>
          <w:tcPr>
            <w:tcW w:w="0" w:type="auto"/>
            <w:noWrap/>
            <w:hideMark/>
          </w:tcPr>
          <w:p w14:paraId="75D6AF0B"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988.21</w:t>
            </w:r>
          </w:p>
        </w:tc>
        <w:tc>
          <w:tcPr>
            <w:tcW w:w="0" w:type="auto"/>
            <w:noWrap/>
            <w:hideMark/>
          </w:tcPr>
          <w:p w14:paraId="4806318E"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1235.27</w:t>
            </w:r>
          </w:p>
        </w:tc>
        <w:tc>
          <w:tcPr>
            <w:tcW w:w="0" w:type="auto"/>
            <w:noWrap/>
            <w:hideMark/>
          </w:tcPr>
          <w:p w14:paraId="30A7F87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1482.32</w:t>
            </w:r>
          </w:p>
        </w:tc>
        <w:tc>
          <w:tcPr>
            <w:tcW w:w="0" w:type="auto"/>
            <w:noWrap/>
            <w:hideMark/>
          </w:tcPr>
          <w:p w14:paraId="36F3CBF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1729.37</w:t>
            </w:r>
          </w:p>
        </w:tc>
      </w:tr>
      <w:tr w:rsidR="004959A9" w:rsidRPr="008418B2" w14:paraId="514FA09E"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8306E6"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24</w:t>
            </w:r>
          </w:p>
        </w:tc>
        <w:tc>
          <w:tcPr>
            <w:tcW w:w="0" w:type="auto"/>
            <w:noWrap/>
            <w:hideMark/>
          </w:tcPr>
          <w:p w14:paraId="1EAC8C2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167.76</w:t>
            </w:r>
          </w:p>
        </w:tc>
        <w:tc>
          <w:tcPr>
            <w:tcW w:w="0" w:type="auto"/>
            <w:noWrap/>
            <w:hideMark/>
          </w:tcPr>
          <w:p w14:paraId="5C88C16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335.53</w:t>
            </w:r>
          </w:p>
        </w:tc>
        <w:tc>
          <w:tcPr>
            <w:tcW w:w="0" w:type="auto"/>
            <w:noWrap/>
            <w:hideMark/>
          </w:tcPr>
          <w:p w14:paraId="056F7597"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503.29</w:t>
            </w:r>
          </w:p>
        </w:tc>
        <w:tc>
          <w:tcPr>
            <w:tcW w:w="0" w:type="auto"/>
            <w:noWrap/>
            <w:hideMark/>
          </w:tcPr>
          <w:p w14:paraId="1FFEE30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671.06</w:t>
            </w:r>
          </w:p>
        </w:tc>
        <w:tc>
          <w:tcPr>
            <w:tcW w:w="0" w:type="auto"/>
            <w:noWrap/>
            <w:hideMark/>
          </w:tcPr>
          <w:p w14:paraId="1058F7E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838.82</w:t>
            </w:r>
          </w:p>
        </w:tc>
        <w:tc>
          <w:tcPr>
            <w:tcW w:w="0" w:type="auto"/>
            <w:noWrap/>
            <w:hideMark/>
          </w:tcPr>
          <w:p w14:paraId="402A7F9B"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1006.59</w:t>
            </w:r>
          </w:p>
        </w:tc>
        <w:tc>
          <w:tcPr>
            <w:tcW w:w="0" w:type="auto"/>
            <w:noWrap/>
            <w:hideMark/>
          </w:tcPr>
          <w:p w14:paraId="396E235E"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1174.35</w:t>
            </w:r>
          </w:p>
        </w:tc>
      </w:tr>
      <w:tr w:rsidR="004959A9" w:rsidRPr="008418B2" w14:paraId="08198202"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D1B492"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25</w:t>
            </w:r>
          </w:p>
        </w:tc>
        <w:tc>
          <w:tcPr>
            <w:tcW w:w="0" w:type="auto"/>
            <w:noWrap/>
            <w:hideMark/>
          </w:tcPr>
          <w:p w14:paraId="660949CF"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180.39</w:t>
            </w:r>
          </w:p>
        </w:tc>
        <w:tc>
          <w:tcPr>
            <w:tcW w:w="0" w:type="auto"/>
            <w:noWrap/>
            <w:hideMark/>
          </w:tcPr>
          <w:p w14:paraId="0D61854F"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360.78</w:t>
            </w:r>
          </w:p>
        </w:tc>
        <w:tc>
          <w:tcPr>
            <w:tcW w:w="0" w:type="auto"/>
            <w:noWrap/>
            <w:hideMark/>
          </w:tcPr>
          <w:p w14:paraId="7143EBE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541.17</w:t>
            </w:r>
          </w:p>
        </w:tc>
        <w:tc>
          <w:tcPr>
            <w:tcW w:w="0" w:type="auto"/>
            <w:noWrap/>
            <w:hideMark/>
          </w:tcPr>
          <w:p w14:paraId="55BD222E"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721.57</w:t>
            </w:r>
          </w:p>
        </w:tc>
        <w:tc>
          <w:tcPr>
            <w:tcW w:w="0" w:type="auto"/>
            <w:noWrap/>
            <w:hideMark/>
          </w:tcPr>
          <w:p w14:paraId="53D519E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901.96</w:t>
            </w:r>
          </w:p>
        </w:tc>
        <w:tc>
          <w:tcPr>
            <w:tcW w:w="0" w:type="auto"/>
            <w:noWrap/>
            <w:hideMark/>
          </w:tcPr>
          <w:p w14:paraId="314F689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1082.35</w:t>
            </w:r>
          </w:p>
        </w:tc>
        <w:tc>
          <w:tcPr>
            <w:tcW w:w="0" w:type="auto"/>
            <w:noWrap/>
            <w:hideMark/>
          </w:tcPr>
          <w:p w14:paraId="4E6B5E9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1262.74</w:t>
            </w:r>
          </w:p>
        </w:tc>
      </w:tr>
      <w:tr w:rsidR="004959A9" w:rsidRPr="008418B2" w14:paraId="037B4527"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9D3974"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26</w:t>
            </w:r>
          </w:p>
        </w:tc>
        <w:tc>
          <w:tcPr>
            <w:tcW w:w="0" w:type="auto"/>
            <w:noWrap/>
            <w:hideMark/>
          </w:tcPr>
          <w:p w14:paraId="0BB1EFD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186.12</w:t>
            </w:r>
          </w:p>
        </w:tc>
        <w:tc>
          <w:tcPr>
            <w:tcW w:w="0" w:type="auto"/>
            <w:noWrap/>
            <w:hideMark/>
          </w:tcPr>
          <w:p w14:paraId="444B80CC"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372.24</w:t>
            </w:r>
          </w:p>
        </w:tc>
        <w:tc>
          <w:tcPr>
            <w:tcW w:w="0" w:type="auto"/>
            <w:noWrap/>
            <w:hideMark/>
          </w:tcPr>
          <w:p w14:paraId="1F98DC97"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558.36</w:t>
            </w:r>
          </w:p>
        </w:tc>
        <w:tc>
          <w:tcPr>
            <w:tcW w:w="0" w:type="auto"/>
            <w:noWrap/>
            <w:hideMark/>
          </w:tcPr>
          <w:p w14:paraId="4653557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744.49</w:t>
            </w:r>
          </w:p>
        </w:tc>
        <w:tc>
          <w:tcPr>
            <w:tcW w:w="0" w:type="auto"/>
            <w:noWrap/>
            <w:hideMark/>
          </w:tcPr>
          <w:p w14:paraId="06026A1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930.61</w:t>
            </w:r>
          </w:p>
        </w:tc>
        <w:tc>
          <w:tcPr>
            <w:tcW w:w="0" w:type="auto"/>
            <w:noWrap/>
            <w:hideMark/>
          </w:tcPr>
          <w:p w14:paraId="25AC75C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1116.73</w:t>
            </w:r>
          </w:p>
        </w:tc>
        <w:tc>
          <w:tcPr>
            <w:tcW w:w="0" w:type="auto"/>
            <w:noWrap/>
            <w:hideMark/>
          </w:tcPr>
          <w:p w14:paraId="642F3E70"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1302.85</w:t>
            </w:r>
          </w:p>
        </w:tc>
      </w:tr>
      <w:tr w:rsidR="004959A9" w:rsidRPr="008418B2" w14:paraId="4625EA03"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B18A350"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27</w:t>
            </w:r>
          </w:p>
        </w:tc>
        <w:tc>
          <w:tcPr>
            <w:tcW w:w="0" w:type="auto"/>
            <w:noWrap/>
            <w:hideMark/>
          </w:tcPr>
          <w:p w14:paraId="6B3E0C1A"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247.94</w:t>
            </w:r>
          </w:p>
        </w:tc>
        <w:tc>
          <w:tcPr>
            <w:tcW w:w="0" w:type="auto"/>
            <w:noWrap/>
            <w:hideMark/>
          </w:tcPr>
          <w:p w14:paraId="46632BB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495.88</w:t>
            </w:r>
          </w:p>
        </w:tc>
        <w:tc>
          <w:tcPr>
            <w:tcW w:w="0" w:type="auto"/>
            <w:noWrap/>
            <w:hideMark/>
          </w:tcPr>
          <w:p w14:paraId="6590150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743.83</w:t>
            </w:r>
          </w:p>
        </w:tc>
        <w:tc>
          <w:tcPr>
            <w:tcW w:w="0" w:type="auto"/>
            <w:noWrap/>
            <w:hideMark/>
          </w:tcPr>
          <w:p w14:paraId="638333FC"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991.77</w:t>
            </w:r>
          </w:p>
        </w:tc>
        <w:tc>
          <w:tcPr>
            <w:tcW w:w="0" w:type="auto"/>
            <w:noWrap/>
            <w:hideMark/>
          </w:tcPr>
          <w:p w14:paraId="3B6E3C37"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1239.71</w:t>
            </w:r>
          </w:p>
        </w:tc>
        <w:tc>
          <w:tcPr>
            <w:tcW w:w="0" w:type="auto"/>
            <w:noWrap/>
            <w:hideMark/>
          </w:tcPr>
          <w:p w14:paraId="0F08D28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1487.65</w:t>
            </w:r>
          </w:p>
        </w:tc>
        <w:tc>
          <w:tcPr>
            <w:tcW w:w="0" w:type="auto"/>
            <w:noWrap/>
            <w:hideMark/>
          </w:tcPr>
          <w:p w14:paraId="6080BED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1735.59</w:t>
            </w:r>
          </w:p>
        </w:tc>
      </w:tr>
      <w:tr w:rsidR="004959A9" w:rsidRPr="008418B2" w14:paraId="2DBD9498"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78F5FDD"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28</w:t>
            </w:r>
          </w:p>
        </w:tc>
        <w:tc>
          <w:tcPr>
            <w:tcW w:w="0" w:type="auto"/>
            <w:noWrap/>
            <w:hideMark/>
          </w:tcPr>
          <w:p w14:paraId="125D74E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361.81</w:t>
            </w:r>
          </w:p>
        </w:tc>
        <w:tc>
          <w:tcPr>
            <w:tcW w:w="0" w:type="auto"/>
            <w:noWrap/>
            <w:hideMark/>
          </w:tcPr>
          <w:p w14:paraId="265AB70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723.61</w:t>
            </w:r>
          </w:p>
        </w:tc>
        <w:tc>
          <w:tcPr>
            <w:tcW w:w="0" w:type="auto"/>
            <w:noWrap/>
            <w:hideMark/>
          </w:tcPr>
          <w:p w14:paraId="012C841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1085.42</w:t>
            </w:r>
          </w:p>
        </w:tc>
        <w:tc>
          <w:tcPr>
            <w:tcW w:w="0" w:type="auto"/>
            <w:noWrap/>
            <w:hideMark/>
          </w:tcPr>
          <w:p w14:paraId="23D3A26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1447.23</w:t>
            </w:r>
          </w:p>
        </w:tc>
        <w:tc>
          <w:tcPr>
            <w:tcW w:w="0" w:type="auto"/>
            <w:noWrap/>
            <w:hideMark/>
          </w:tcPr>
          <w:p w14:paraId="0909E03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1809.03</w:t>
            </w:r>
          </w:p>
        </w:tc>
        <w:tc>
          <w:tcPr>
            <w:tcW w:w="0" w:type="auto"/>
            <w:noWrap/>
            <w:hideMark/>
          </w:tcPr>
          <w:p w14:paraId="5AEACBE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2170.84</w:t>
            </w:r>
          </w:p>
        </w:tc>
        <w:tc>
          <w:tcPr>
            <w:tcW w:w="0" w:type="auto"/>
            <w:noWrap/>
            <w:hideMark/>
          </w:tcPr>
          <w:p w14:paraId="7C9CFDB2"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2532.65</w:t>
            </w:r>
          </w:p>
        </w:tc>
      </w:tr>
      <w:tr w:rsidR="004959A9" w:rsidRPr="008418B2" w14:paraId="28D78997"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CFA59AB"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29</w:t>
            </w:r>
          </w:p>
        </w:tc>
        <w:tc>
          <w:tcPr>
            <w:tcW w:w="0" w:type="auto"/>
            <w:noWrap/>
            <w:hideMark/>
          </w:tcPr>
          <w:p w14:paraId="0B4ED5C8"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102.01</w:t>
            </w:r>
          </w:p>
        </w:tc>
        <w:tc>
          <w:tcPr>
            <w:tcW w:w="0" w:type="auto"/>
            <w:noWrap/>
            <w:hideMark/>
          </w:tcPr>
          <w:p w14:paraId="6A6C194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204.01</w:t>
            </w:r>
          </w:p>
        </w:tc>
        <w:tc>
          <w:tcPr>
            <w:tcW w:w="0" w:type="auto"/>
            <w:noWrap/>
            <w:hideMark/>
          </w:tcPr>
          <w:p w14:paraId="50124E12"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306.02</w:t>
            </w:r>
          </w:p>
        </w:tc>
        <w:tc>
          <w:tcPr>
            <w:tcW w:w="0" w:type="auto"/>
            <w:noWrap/>
            <w:hideMark/>
          </w:tcPr>
          <w:p w14:paraId="6949F8DB"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408.02</w:t>
            </w:r>
          </w:p>
        </w:tc>
        <w:tc>
          <w:tcPr>
            <w:tcW w:w="0" w:type="auto"/>
            <w:noWrap/>
            <w:hideMark/>
          </w:tcPr>
          <w:p w14:paraId="55DCCE1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510.03</w:t>
            </w:r>
          </w:p>
        </w:tc>
        <w:tc>
          <w:tcPr>
            <w:tcW w:w="0" w:type="auto"/>
            <w:noWrap/>
            <w:hideMark/>
          </w:tcPr>
          <w:p w14:paraId="12DBFF3C"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612.03</w:t>
            </w:r>
          </w:p>
        </w:tc>
        <w:tc>
          <w:tcPr>
            <w:tcW w:w="0" w:type="auto"/>
            <w:noWrap/>
            <w:hideMark/>
          </w:tcPr>
          <w:p w14:paraId="1CDB6C5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714.04</w:t>
            </w:r>
          </w:p>
        </w:tc>
      </w:tr>
      <w:tr w:rsidR="004959A9" w:rsidRPr="008418B2" w14:paraId="1CEAF8F4"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FC62CBC"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30</w:t>
            </w:r>
          </w:p>
        </w:tc>
        <w:tc>
          <w:tcPr>
            <w:tcW w:w="0" w:type="auto"/>
            <w:noWrap/>
            <w:hideMark/>
          </w:tcPr>
          <w:p w14:paraId="20AF220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307.87</w:t>
            </w:r>
          </w:p>
        </w:tc>
        <w:tc>
          <w:tcPr>
            <w:tcW w:w="0" w:type="auto"/>
            <w:noWrap/>
            <w:hideMark/>
          </w:tcPr>
          <w:p w14:paraId="79BA535E"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615.74</w:t>
            </w:r>
          </w:p>
        </w:tc>
        <w:tc>
          <w:tcPr>
            <w:tcW w:w="0" w:type="auto"/>
            <w:noWrap/>
            <w:hideMark/>
          </w:tcPr>
          <w:p w14:paraId="7C1D26A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923.62</w:t>
            </w:r>
          </w:p>
        </w:tc>
        <w:tc>
          <w:tcPr>
            <w:tcW w:w="0" w:type="auto"/>
            <w:noWrap/>
            <w:hideMark/>
          </w:tcPr>
          <w:p w14:paraId="05607E8F"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1231.49</w:t>
            </w:r>
          </w:p>
        </w:tc>
        <w:tc>
          <w:tcPr>
            <w:tcW w:w="0" w:type="auto"/>
            <w:noWrap/>
            <w:hideMark/>
          </w:tcPr>
          <w:p w14:paraId="61E3D5B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1539.36</w:t>
            </w:r>
          </w:p>
        </w:tc>
        <w:tc>
          <w:tcPr>
            <w:tcW w:w="0" w:type="auto"/>
            <w:noWrap/>
            <w:hideMark/>
          </w:tcPr>
          <w:p w14:paraId="7C8BB0C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1847.23</w:t>
            </w:r>
          </w:p>
        </w:tc>
        <w:tc>
          <w:tcPr>
            <w:tcW w:w="0" w:type="auto"/>
            <w:noWrap/>
            <w:hideMark/>
          </w:tcPr>
          <w:p w14:paraId="160A1C4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2155.11</w:t>
            </w:r>
          </w:p>
        </w:tc>
      </w:tr>
      <w:tr w:rsidR="004959A9" w:rsidRPr="008418B2" w14:paraId="7FE5AFE9"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5D6E78"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31</w:t>
            </w:r>
          </w:p>
        </w:tc>
        <w:tc>
          <w:tcPr>
            <w:tcW w:w="0" w:type="auto"/>
            <w:noWrap/>
            <w:hideMark/>
          </w:tcPr>
          <w:p w14:paraId="0463FCE4"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113.39</w:t>
            </w:r>
          </w:p>
        </w:tc>
        <w:tc>
          <w:tcPr>
            <w:tcW w:w="0" w:type="auto"/>
            <w:noWrap/>
            <w:hideMark/>
          </w:tcPr>
          <w:p w14:paraId="0AE95DB8"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226.78</w:t>
            </w:r>
          </w:p>
        </w:tc>
        <w:tc>
          <w:tcPr>
            <w:tcW w:w="0" w:type="auto"/>
            <w:noWrap/>
            <w:hideMark/>
          </w:tcPr>
          <w:p w14:paraId="35BD19BC"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340.17</w:t>
            </w:r>
          </w:p>
        </w:tc>
        <w:tc>
          <w:tcPr>
            <w:tcW w:w="0" w:type="auto"/>
            <w:noWrap/>
            <w:hideMark/>
          </w:tcPr>
          <w:p w14:paraId="32911C7C"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453.57</w:t>
            </w:r>
          </w:p>
        </w:tc>
        <w:tc>
          <w:tcPr>
            <w:tcW w:w="0" w:type="auto"/>
            <w:noWrap/>
            <w:hideMark/>
          </w:tcPr>
          <w:p w14:paraId="03FE9D10"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566.96</w:t>
            </w:r>
          </w:p>
        </w:tc>
        <w:tc>
          <w:tcPr>
            <w:tcW w:w="0" w:type="auto"/>
            <w:noWrap/>
            <w:hideMark/>
          </w:tcPr>
          <w:p w14:paraId="59DC2463"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680.35</w:t>
            </w:r>
          </w:p>
        </w:tc>
        <w:tc>
          <w:tcPr>
            <w:tcW w:w="0" w:type="auto"/>
            <w:noWrap/>
            <w:hideMark/>
          </w:tcPr>
          <w:p w14:paraId="6D6CBEEE"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793.74</w:t>
            </w:r>
          </w:p>
        </w:tc>
      </w:tr>
      <w:tr w:rsidR="004959A9" w:rsidRPr="008418B2" w14:paraId="7667BE0E"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9A7CCD"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32</w:t>
            </w:r>
          </w:p>
        </w:tc>
        <w:tc>
          <w:tcPr>
            <w:tcW w:w="0" w:type="auto"/>
            <w:noWrap/>
            <w:hideMark/>
          </w:tcPr>
          <w:p w14:paraId="26B2816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135.04</w:t>
            </w:r>
          </w:p>
        </w:tc>
        <w:tc>
          <w:tcPr>
            <w:tcW w:w="0" w:type="auto"/>
            <w:noWrap/>
            <w:hideMark/>
          </w:tcPr>
          <w:p w14:paraId="291AA6A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270.09</w:t>
            </w:r>
          </w:p>
        </w:tc>
        <w:tc>
          <w:tcPr>
            <w:tcW w:w="0" w:type="auto"/>
            <w:noWrap/>
            <w:hideMark/>
          </w:tcPr>
          <w:p w14:paraId="7E783FE3"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405.13</w:t>
            </w:r>
          </w:p>
        </w:tc>
        <w:tc>
          <w:tcPr>
            <w:tcW w:w="0" w:type="auto"/>
            <w:noWrap/>
            <w:hideMark/>
          </w:tcPr>
          <w:p w14:paraId="6637E4E5"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540.17</w:t>
            </w:r>
          </w:p>
        </w:tc>
        <w:tc>
          <w:tcPr>
            <w:tcW w:w="0" w:type="auto"/>
            <w:noWrap/>
            <w:hideMark/>
          </w:tcPr>
          <w:p w14:paraId="095501BB"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675.22</w:t>
            </w:r>
          </w:p>
        </w:tc>
        <w:tc>
          <w:tcPr>
            <w:tcW w:w="0" w:type="auto"/>
            <w:noWrap/>
            <w:hideMark/>
          </w:tcPr>
          <w:p w14:paraId="1D3022E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810.26</w:t>
            </w:r>
          </w:p>
        </w:tc>
        <w:tc>
          <w:tcPr>
            <w:tcW w:w="0" w:type="auto"/>
            <w:noWrap/>
            <w:hideMark/>
          </w:tcPr>
          <w:p w14:paraId="5AB8963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945.30</w:t>
            </w:r>
          </w:p>
        </w:tc>
      </w:tr>
      <w:tr w:rsidR="004959A9" w:rsidRPr="008418B2" w14:paraId="23194A40"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4F30584"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33</w:t>
            </w:r>
          </w:p>
        </w:tc>
        <w:tc>
          <w:tcPr>
            <w:tcW w:w="0" w:type="auto"/>
            <w:noWrap/>
            <w:hideMark/>
          </w:tcPr>
          <w:p w14:paraId="7A27581D"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353.84</w:t>
            </w:r>
          </w:p>
        </w:tc>
        <w:tc>
          <w:tcPr>
            <w:tcW w:w="0" w:type="auto"/>
            <w:noWrap/>
            <w:hideMark/>
          </w:tcPr>
          <w:p w14:paraId="526C5575"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707.68</w:t>
            </w:r>
          </w:p>
        </w:tc>
        <w:tc>
          <w:tcPr>
            <w:tcW w:w="0" w:type="auto"/>
            <w:noWrap/>
            <w:hideMark/>
          </w:tcPr>
          <w:p w14:paraId="21174C5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1061.52</w:t>
            </w:r>
          </w:p>
        </w:tc>
        <w:tc>
          <w:tcPr>
            <w:tcW w:w="0" w:type="auto"/>
            <w:noWrap/>
            <w:hideMark/>
          </w:tcPr>
          <w:p w14:paraId="15D84920"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1415.35</w:t>
            </w:r>
          </w:p>
        </w:tc>
        <w:tc>
          <w:tcPr>
            <w:tcW w:w="0" w:type="auto"/>
            <w:noWrap/>
            <w:hideMark/>
          </w:tcPr>
          <w:p w14:paraId="257A07D9"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1769.19</w:t>
            </w:r>
          </w:p>
        </w:tc>
        <w:tc>
          <w:tcPr>
            <w:tcW w:w="0" w:type="auto"/>
            <w:noWrap/>
            <w:hideMark/>
          </w:tcPr>
          <w:p w14:paraId="558BE4A6"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2123.03</w:t>
            </w:r>
          </w:p>
        </w:tc>
        <w:tc>
          <w:tcPr>
            <w:tcW w:w="0" w:type="auto"/>
            <w:noWrap/>
            <w:hideMark/>
          </w:tcPr>
          <w:p w14:paraId="72CFA5D1" w14:textId="77777777" w:rsidR="004959A9" w:rsidRPr="008418B2" w:rsidRDefault="004959A9" w:rsidP="00DA7EE9">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8418B2">
              <w:rPr>
                <w:rFonts w:cs="Arial"/>
                <w:color w:val="000000"/>
                <w:sz w:val="20"/>
                <w:szCs w:val="20"/>
              </w:rPr>
              <w:t>2476.87</w:t>
            </w:r>
          </w:p>
        </w:tc>
      </w:tr>
      <w:tr w:rsidR="004959A9" w:rsidRPr="008418B2" w14:paraId="6811B0C0"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422E87" w14:textId="77777777" w:rsidR="004959A9" w:rsidRPr="008418B2" w:rsidRDefault="004959A9" w:rsidP="00DA7EE9">
            <w:pPr>
              <w:spacing w:before="0" w:after="0"/>
              <w:jc w:val="center"/>
              <w:rPr>
                <w:rFonts w:cs="Arial"/>
                <w:color w:val="000000"/>
                <w:sz w:val="20"/>
                <w:szCs w:val="20"/>
              </w:rPr>
            </w:pPr>
            <w:r w:rsidRPr="008418B2">
              <w:rPr>
                <w:rFonts w:cs="Arial"/>
                <w:color w:val="000000"/>
                <w:sz w:val="20"/>
                <w:szCs w:val="20"/>
              </w:rPr>
              <w:t>34</w:t>
            </w:r>
          </w:p>
        </w:tc>
        <w:tc>
          <w:tcPr>
            <w:tcW w:w="0" w:type="auto"/>
            <w:noWrap/>
            <w:hideMark/>
          </w:tcPr>
          <w:p w14:paraId="31FFAA24"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167.71</w:t>
            </w:r>
          </w:p>
        </w:tc>
        <w:tc>
          <w:tcPr>
            <w:tcW w:w="0" w:type="auto"/>
            <w:noWrap/>
            <w:hideMark/>
          </w:tcPr>
          <w:p w14:paraId="382EEA4A"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335.42</w:t>
            </w:r>
          </w:p>
        </w:tc>
        <w:tc>
          <w:tcPr>
            <w:tcW w:w="0" w:type="auto"/>
            <w:noWrap/>
            <w:hideMark/>
          </w:tcPr>
          <w:p w14:paraId="7ADEF019"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503.13</w:t>
            </w:r>
          </w:p>
        </w:tc>
        <w:tc>
          <w:tcPr>
            <w:tcW w:w="0" w:type="auto"/>
            <w:noWrap/>
            <w:hideMark/>
          </w:tcPr>
          <w:p w14:paraId="55ADD967"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670.84</w:t>
            </w:r>
          </w:p>
        </w:tc>
        <w:tc>
          <w:tcPr>
            <w:tcW w:w="0" w:type="auto"/>
            <w:noWrap/>
            <w:hideMark/>
          </w:tcPr>
          <w:p w14:paraId="097A3B08"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838.55</w:t>
            </w:r>
          </w:p>
        </w:tc>
        <w:tc>
          <w:tcPr>
            <w:tcW w:w="0" w:type="auto"/>
            <w:noWrap/>
            <w:hideMark/>
          </w:tcPr>
          <w:p w14:paraId="313769FD"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1006.26</w:t>
            </w:r>
          </w:p>
        </w:tc>
        <w:tc>
          <w:tcPr>
            <w:tcW w:w="0" w:type="auto"/>
            <w:noWrap/>
            <w:hideMark/>
          </w:tcPr>
          <w:p w14:paraId="35E9DEB6" w14:textId="77777777" w:rsidR="004959A9" w:rsidRPr="008418B2" w:rsidRDefault="004959A9" w:rsidP="00DA7EE9">
            <w:pPr>
              <w:spacing w:before="0"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8418B2">
              <w:rPr>
                <w:rFonts w:cs="Arial"/>
                <w:color w:val="000000"/>
                <w:sz w:val="20"/>
                <w:szCs w:val="20"/>
              </w:rPr>
              <w:t>1173.97</w:t>
            </w:r>
          </w:p>
        </w:tc>
      </w:tr>
    </w:tbl>
    <w:p w14:paraId="58F9259F" w14:textId="481942B4" w:rsidR="00F07001" w:rsidRDefault="00F07001" w:rsidP="00F07001">
      <w:pPr>
        <w:pStyle w:val="Heading8"/>
      </w:pPr>
      <w:bookmarkStart w:id="264" w:name="_Ref54874158"/>
      <w:bookmarkStart w:id="265" w:name="_Ref54869625"/>
      <w:r>
        <w:t>Share of population in each zone</w:t>
      </w:r>
      <w:bookmarkEnd w:id="264"/>
    </w:p>
    <w:p w14:paraId="5C5B6DB3" w14:textId="4A3EAD34" w:rsidR="00F07001" w:rsidRPr="00F80F3B" w:rsidRDefault="00F07001" w:rsidP="00F07001">
      <w:r w:rsidRPr="00F80F3B">
        <w:t>The population size for each zone is estimated using the Office for National Statics population estimate by regions of the England, Scotland and Wales for 2018</w:t>
      </w:r>
      <w:r w:rsidR="0045013B">
        <w:t xml:space="preserve"> </w:t>
      </w:r>
      <w:r w:rsidR="0045013B">
        <w:fldChar w:fldCharType="begin"/>
      </w:r>
      <w:r w:rsidR="006210AE">
        <w:instrText xml:space="preserve"> ADDIN EN.CITE &lt;EndNote&gt;&lt;Cite&gt;&lt;Author&gt;Office for National Statistics&lt;/Author&gt;&lt;Year&gt;2019&lt;/Year&gt;&lt;RecNum&gt;956&lt;/RecNum&gt;&lt;DisplayText&gt;[75-77]&lt;/DisplayText&gt;&lt;record&gt;&lt;rec-number&gt;956&lt;/rec-number&gt;&lt;foreign-keys&gt;&lt;key app="EN" db-id="w500zpaaheraz8epaw1p29dtf2ff9zrswv50" timestamp="1607697901"&gt;956&lt;/key&gt;&lt;/foreign-keys&gt;&lt;ref-type name="Web Page"&gt;12&lt;/ref-type&gt;&lt;contributors&gt;&lt;authors&gt;&lt;author&gt;Office for National Statistics,&lt;/author&gt;&lt;/authors&gt;&lt;/contributors&gt;&lt;titles&gt;&lt;title&gt;UK: county population 2018 | Statista&lt;/title&gt;&lt;/titles&gt;&lt;dates&gt;&lt;year&gt;2019&lt;/year&gt;&lt;/dates&gt;&lt;urls&gt;&lt;related-urls&gt;&lt;url&gt;https://www.statista.com/statistics/971694/county-population-england/&lt;/url&gt;&lt;/related-urls&gt;&lt;/urls&gt;&lt;/record&gt;&lt;/Cite&gt;&lt;Cite&gt;&lt;Author&gt;Office for National Statistics&lt;/Author&gt;&lt;Year&gt;2019&lt;/Year&gt;&lt;RecNum&gt;955&lt;/RecNum&gt;&lt;record&gt;&lt;rec-number&gt;955&lt;/rec-number&gt;&lt;foreign-keys&gt;&lt;key app="EN" db-id="w500zpaaheraz8epaw1p29dtf2ff9zrswv50" timestamp="1607697901"&gt;955&lt;/key&gt;&lt;/foreign-keys&gt;&lt;ref-type name="Web Page"&gt;12&lt;/ref-type&gt;&lt;contributors&gt;&lt;authors&gt;&lt;author&gt;Office for National Statistics,&lt;/author&gt;&lt;/authors&gt;&lt;/contributors&gt;&lt;titles&gt;&lt;title&gt;Regional population of Scotland 2018 Statistic | Statista&lt;/title&gt;&lt;/titles&gt;&lt;dates&gt;&lt;year&gt;2019&lt;/year&gt;&lt;/dates&gt;&lt;urls&gt;&lt;related-urls&gt;&lt;url&gt;https://www.statista.com/statistics/865968/scottish-regional-population-estimates/&lt;/url&gt;&lt;/related-urls&gt;&lt;/urls&gt;&lt;/record&gt;&lt;/Cite&gt;&lt;Cite&gt;&lt;Author&gt;Office for National Statistics&lt;/Author&gt;&lt;Year&gt;2019&lt;/Year&gt;&lt;RecNum&gt;954&lt;/RecNum&gt;&lt;record&gt;&lt;rec-number&gt;954&lt;/rec-number&gt;&lt;foreign-keys&gt;&lt;key app="EN" db-id="w500zpaaheraz8epaw1p29dtf2ff9zrswv50" timestamp="1607697901"&gt;954&lt;/key&gt;&lt;/foreign-keys&gt;&lt;ref-type name="Web Page"&gt;12&lt;/ref-type&gt;&lt;contributors&gt;&lt;authors&gt;&lt;author&gt;Office for National Statistics,&lt;/author&gt;&lt;/authors&gt;&lt;/contributors&gt;&lt;titles&gt;&lt;title&gt;Regional population of Wales 2018 | Statista&lt;/title&gt;&lt;/titles&gt;&lt;dates&gt;&lt;year&gt;2019&lt;/year&gt;&lt;/dates&gt;&lt;urls&gt;&lt;related-urls&gt;&lt;url&gt;https://www.statista.com/statistics/971295/regional-population-wales/&lt;/url&gt;&lt;/related-urls&gt;&lt;/urls&gt;&lt;/record&gt;&lt;/Cite&gt;&lt;/EndNote&gt;</w:instrText>
      </w:r>
      <w:r w:rsidR="0045013B">
        <w:fldChar w:fldCharType="separate"/>
      </w:r>
      <w:r w:rsidR="006210AE">
        <w:rPr>
          <w:noProof/>
        </w:rPr>
        <w:t>[</w:t>
      </w:r>
      <w:hyperlink w:anchor="_ENREF_75" w:tooltip="Office for National Statistics, 2019 #956" w:history="1">
        <w:r w:rsidR="006210AE">
          <w:rPr>
            <w:noProof/>
          </w:rPr>
          <w:t>75-77</w:t>
        </w:r>
      </w:hyperlink>
      <w:r w:rsidR="006210AE">
        <w:rPr>
          <w:noProof/>
        </w:rPr>
        <w:t>]</w:t>
      </w:r>
      <w:r w:rsidR="0045013B">
        <w:fldChar w:fldCharType="end"/>
      </w:r>
      <w:r w:rsidRPr="00F80F3B">
        <w:t>.</w:t>
      </w:r>
    </w:p>
    <w:p w14:paraId="3A8C60D7" w14:textId="789B60C0" w:rsidR="00F07001" w:rsidRDefault="00F07001" w:rsidP="00F07001">
      <w:pPr>
        <w:pStyle w:val="Caption"/>
        <w:keepNext/>
      </w:pPr>
      <w:bookmarkStart w:id="266" w:name="_Ref49865734"/>
      <w:bookmarkStart w:id="267" w:name="_Toc50359162"/>
      <w:r>
        <w:t xml:space="preserve">Table </w:t>
      </w:r>
      <w:fldSimple w:instr=" SEQ Table \* ARABIC ">
        <w:r w:rsidR="009D026A">
          <w:rPr>
            <w:noProof/>
          </w:rPr>
          <w:t>16</w:t>
        </w:r>
      </w:fldSimple>
      <w:bookmarkEnd w:id="266"/>
      <w:r w:rsidR="00E41B8C">
        <w:t>:</w:t>
      </w:r>
      <w:r>
        <w:t xml:space="preserve"> Estimated population size in each zone of GB considered in this work. Data from Office for National </w:t>
      </w:r>
      <w:r w:rsidRPr="00FE1723">
        <w:t>Statics</w:t>
      </w:r>
      <w:r w:rsidR="0045013B">
        <w:t xml:space="preserve"> </w:t>
      </w:r>
      <w:r w:rsidR="0045013B">
        <w:fldChar w:fldCharType="begin"/>
      </w:r>
      <w:r w:rsidR="006210AE">
        <w:instrText xml:space="preserve"> ADDIN EN.CITE &lt;EndNote&gt;&lt;Cite&gt;&lt;Author&gt;Office for National Statistics&lt;/Author&gt;&lt;Year&gt;2019&lt;/Year&gt;&lt;RecNum&gt;956&lt;/RecNum&gt;&lt;DisplayText&gt;[75-77]&lt;/DisplayText&gt;&lt;record&gt;&lt;rec-number&gt;956&lt;/rec-number&gt;&lt;foreign-keys&gt;&lt;key app="EN" db-id="w500zpaaheraz8epaw1p29dtf2ff9zrswv50" timestamp="1607697901"&gt;956&lt;/key&gt;&lt;/foreign-keys&gt;&lt;ref-type name="Web Page"&gt;12&lt;/ref-type&gt;&lt;contributors&gt;&lt;authors&gt;&lt;author&gt;Office for National Statistics,&lt;/author&gt;&lt;/authors&gt;&lt;/contributors&gt;&lt;titles&gt;&lt;title&gt;UK: county population 2018 | Statista&lt;/title&gt;&lt;/titles&gt;&lt;dates&gt;&lt;year&gt;2019&lt;/year&gt;&lt;/dates&gt;&lt;urls&gt;&lt;related-urls&gt;&lt;url&gt;https://www.statista.com/statistics/971694/county-population-england/&lt;/url&gt;&lt;/related-urls&gt;&lt;/urls&gt;&lt;/record&gt;&lt;/Cite&gt;&lt;Cite&gt;&lt;Author&gt;Office for National Statistics&lt;/Author&gt;&lt;Year&gt;2019&lt;/Year&gt;&lt;RecNum&gt;955&lt;/RecNum&gt;&lt;record&gt;&lt;rec-number&gt;955&lt;/rec-number&gt;&lt;foreign-keys&gt;&lt;key app="EN" db-id="w500zpaaheraz8epaw1p29dtf2ff9zrswv50" timestamp="1607697901"&gt;955&lt;/key&gt;&lt;/foreign-keys&gt;&lt;ref-type name="Web Page"&gt;12&lt;/ref-type&gt;&lt;contributors&gt;&lt;authors&gt;&lt;author&gt;Office for National Statistics,&lt;/author&gt;&lt;/authors&gt;&lt;/contributors&gt;&lt;titles&gt;&lt;title&gt;Regional population of Scotland 2018 Statistic | Statista&lt;/title&gt;&lt;/titles&gt;&lt;dates&gt;&lt;year&gt;2019&lt;/year&gt;&lt;/dates&gt;&lt;urls&gt;&lt;related-urls&gt;&lt;url&gt;https://www.statista.com/statistics/865968/scottish-regional-population-estimates/&lt;/url&gt;&lt;/related-urls&gt;&lt;/urls&gt;&lt;/record&gt;&lt;/Cite&gt;&lt;Cite&gt;&lt;Author&gt;Office for National Statistics&lt;/Author&gt;&lt;Year&gt;2019&lt;/Year&gt;&lt;RecNum&gt;954&lt;/RecNum&gt;&lt;record&gt;&lt;rec-number&gt;954&lt;/rec-number&gt;&lt;foreign-keys&gt;&lt;key app="EN" db-id="w500zpaaheraz8epaw1p29dtf2ff9zrswv50" timestamp="1607697901"&gt;954&lt;/key&gt;&lt;/foreign-keys&gt;&lt;ref-type name="Web Page"&gt;12&lt;/ref-type&gt;&lt;contributors&gt;&lt;authors&gt;&lt;author&gt;Office for National Statistics,&lt;/author&gt;&lt;/authors&gt;&lt;/contributors&gt;&lt;titles&gt;&lt;title&gt;Regional population of Wales 2018 | Statista&lt;/title&gt;&lt;/titles&gt;&lt;dates&gt;&lt;year&gt;2019&lt;/year&gt;&lt;/dates&gt;&lt;urls&gt;&lt;related-urls&gt;&lt;url&gt;https://www.statista.com/statistics/971295/regional-population-wales/&lt;/url&gt;&lt;/related-urls&gt;&lt;/urls&gt;&lt;/record&gt;&lt;/Cite&gt;&lt;/EndNote&gt;</w:instrText>
      </w:r>
      <w:r w:rsidR="0045013B">
        <w:fldChar w:fldCharType="separate"/>
      </w:r>
      <w:r w:rsidR="006210AE">
        <w:rPr>
          <w:noProof/>
        </w:rPr>
        <w:t>[</w:t>
      </w:r>
      <w:hyperlink w:anchor="_ENREF_75" w:tooltip="Office for National Statistics, 2019 #956" w:history="1">
        <w:r w:rsidR="006210AE">
          <w:rPr>
            <w:noProof/>
          </w:rPr>
          <w:t>75-77</w:t>
        </w:r>
      </w:hyperlink>
      <w:r w:rsidR="006210AE">
        <w:rPr>
          <w:noProof/>
        </w:rPr>
        <w:t>]</w:t>
      </w:r>
      <w:r w:rsidR="0045013B">
        <w:fldChar w:fldCharType="end"/>
      </w:r>
      <w:r>
        <w:t>.</w:t>
      </w:r>
      <w:bookmarkEnd w:id="267"/>
    </w:p>
    <w:tbl>
      <w:tblPr>
        <w:tblStyle w:val="PlainTable2"/>
        <w:tblW w:w="7796" w:type="dxa"/>
        <w:jc w:val="center"/>
        <w:tblLook w:val="04A0" w:firstRow="1" w:lastRow="0" w:firstColumn="1" w:lastColumn="0" w:noHBand="0" w:noVBand="1"/>
      </w:tblPr>
      <w:tblGrid>
        <w:gridCol w:w="634"/>
        <w:gridCol w:w="4661"/>
        <w:gridCol w:w="1256"/>
        <w:gridCol w:w="1245"/>
      </w:tblGrid>
      <w:tr w:rsidR="00F07001" w:rsidRPr="008418B2" w14:paraId="3F39C1D9" w14:textId="77777777" w:rsidTr="00E41B8C">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6BF8C4" w14:textId="77777777" w:rsidR="00F07001" w:rsidRPr="008418B2" w:rsidRDefault="00F07001" w:rsidP="00F07001">
            <w:pPr>
              <w:pStyle w:val="NoSpacing"/>
              <w:rPr>
                <w:szCs w:val="20"/>
                <w:lang w:eastAsia="en-GB"/>
              </w:rPr>
            </w:pPr>
            <w:r w:rsidRPr="008418B2">
              <w:rPr>
                <w:szCs w:val="20"/>
                <w:lang w:eastAsia="en-GB"/>
              </w:rPr>
              <w:t>Grid</w:t>
            </w:r>
          </w:p>
        </w:tc>
        <w:tc>
          <w:tcPr>
            <w:tcW w:w="0" w:type="auto"/>
            <w:noWrap/>
            <w:vAlign w:val="center"/>
            <w:hideMark/>
          </w:tcPr>
          <w:p w14:paraId="673336D1" w14:textId="77777777" w:rsidR="00F07001" w:rsidRPr="008418B2" w:rsidRDefault="00F07001" w:rsidP="00F07001">
            <w:pPr>
              <w:pStyle w:val="NoSpacing"/>
              <w:cnfStyle w:val="100000000000" w:firstRow="1"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Name</w:t>
            </w:r>
          </w:p>
        </w:tc>
        <w:tc>
          <w:tcPr>
            <w:tcW w:w="0" w:type="auto"/>
            <w:noWrap/>
            <w:vAlign w:val="center"/>
            <w:hideMark/>
          </w:tcPr>
          <w:p w14:paraId="32CAD1EF" w14:textId="77777777" w:rsidR="00F07001" w:rsidRPr="008418B2" w:rsidRDefault="00F07001" w:rsidP="00F07001">
            <w:pPr>
              <w:pStyle w:val="NoSpacing"/>
              <w:jc w:val="center"/>
              <w:cnfStyle w:val="100000000000" w:firstRow="1"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Population</w:t>
            </w:r>
          </w:p>
        </w:tc>
        <w:tc>
          <w:tcPr>
            <w:tcW w:w="0" w:type="auto"/>
            <w:vAlign w:val="center"/>
          </w:tcPr>
          <w:p w14:paraId="29E487C8" w14:textId="77777777" w:rsidR="00F07001" w:rsidRPr="008418B2" w:rsidRDefault="00F07001" w:rsidP="00F07001">
            <w:pPr>
              <w:pStyle w:val="NoSpacing"/>
              <w:jc w:val="center"/>
              <w:cnfStyle w:val="100000000000" w:firstRow="1"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Proportion</w:t>
            </w:r>
          </w:p>
        </w:tc>
      </w:tr>
      <w:tr w:rsidR="00F07001" w:rsidRPr="008418B2" w14:paraId="5485B6F9"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CE7288" w14:textId="77777777" w:rsidR="00F07001" w:rsidRPr="008418B2" w:rsidRDefault="00F07001" w:rsidP="00F07001">
            <w:pPr>
              <w:pStyle w:val="NoSpacing"/>
              <w:jc w:val="center"/>
              <w:rPr>
                <w:szCs w:val="20"/>
                <w:lang w:eastAsia="en-GB"/>
              </w:rPr>
            </w:pPr>
            <w:r w:rsidRPr="008418B2">
              <w:rPr>
                <w:szCs w:val="20"/>
                <w:lang w:eastAsia="en-GB"/>
              </w:rPr>
              <w:t>1</w:t>
            </w:r>
          </w:p>
        </w:tc>
        <w:tc>
          <w:tcPr>
            <w:tcW w:w="0" w:type="auto"/>
            <w:vAlign w:val="center"/>
            <w:hideMark/>
          </w:tcPr>
          <w:p w14:paraId="7C0C96EE"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Bedfordshire and Hertfordshire</w:t>
            </w:r>
          </w:p>
        </w:tc>
        <w:tc>
          <w:tcPr>
            <w:tcW w:w="0" w:type="auto"/>
            <w:noWrap/>
            <w:vAlign w:val="center"/>
            <w:hideMark/>
          </w:tcPr>
          <w:p w14:paraId="0A072C43"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1,853,710</w:t>
            </w:r>
          </w:p>
        </w:tc>
        <w:tc>
          <w:tcPr>
            <w:tcW w:w="0" w:type="auto"/>
            <w:vAlign w:val="center"/>
          </w:tcPr>
          <w:p w14:paraId="5039CD4C"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0.0287</w:t>
            </w:r>
          </w:p>
        </w:tc>
      </w:tr>
      <w:tr w:rsidR="00F07001" w:rsidRPr="008418B2" w14:paraId="7F1825D0"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C94A8C" w14:textId="77777777" w:rsidR="00F07001" w:rsidRPr="008418B2" w:rsidRDefault="00F07001" w:rsidP="00F07001">
            <w:pPr>
              <w:pStyle w:val="NoSpacing"/>
              <w:jc w:val="center"/>
              <w:rPr>
                <w:szCs w:val="20"/>
                <w:lang w:eastAsia="en-GB"/>
              </w:rPr>
            </w:pPr>
            <w:r w:rsidRPr="008418B2">
              <w:rPr>
                <w:szCs w:val="20"/>
                <w:lang w:eastAsia="en-GB"/>
              </w:rPr>
              <w:t>2</w:t>
            </w:r>
          </w:p>
        </w:tc>
        <w:tc>
          <w:tcPr>
            <w:tcW w:w="0" w:type="auto"/>
            <w:vAlign w:val="center"/>
            <w:hideMark/>
          </w:tcPr>
          <w:p w14:paraId="4D3D9967"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Berkshire, Buckinghamshire and Oxfordshire</w:t>
            </w:r>
          </w:p>
        </w:tc>
        <w:tc>
          <w:tcPr>
            <w:tcW w:w="0" w:type="auto"/>
            <w:noWrap/>
            <w:vAlign w:val="center"/>
            <w:hideMark/>
          </w:tcPr>
          <w:p w14:paraId="4F32D544"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2,407,590</w:t>
            </w:r>
          </w:p>
        </w:tc>
        <w:tc>
          <w:tcPr>
            <w:tcW w:w="0" w:type="auto"/>
            <w:vAlign w:val="center"/>
          </w:tcPr>
          <w:p w14:paraId="6C2C6B2A"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0.0373</w:t>
            </w:r>
          </w:p>
        </w:tc>
      </w:tr>
      <w:tr w:rsidR="00F07001" w:rsidRPr="008418B2" w14:paraId="1946DF9F"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6F8AA1" w14:textId="77777777" w:rsidR="00F07001" w:rsidRPr="008418B2" w:rsidRDefault="00F07001" w:rsidP="00F07001">
            <w:pPr>
              <w:pStyle w:val="NoSpacing"/>
              <w:jc w:val="center"/>
              <w:rPr>
                <w:szCs w:val="20"/>
                <w:lang w:eastAsia="en-GB"/>
              </w:rPr>
            </w:pPr>
            <w:r w:rsidRPr="008418B2">
              <w:rPr>
                <w:szCs w:val="20"/>
                <w:lang w:eastAsia="en-GB"/>
              </w:rPr>
              <w:t>3</w:t>
            </w:r>
          </w:p>
        </w:tc>
        <w:tc>
          <w:tcPr>
            <w:tcW w:w="0" w:type="auto"/>
            <w:vAlign w:val="center"/>
            <w:hideMark/>
          </w:tcPr>
          <w:p w14:paraId="3E263C3F"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Cheshire</w:t>
            </w:r>
          </w:p>
        </w:tc>
        <w:tc>
          <w:tcPr>
            <w:tcW w:w="0" w:type="auto"/>
            <w:noWrap/>
            <w:vAlign w:val="center"/>
            <w:hideMark/>
          </w:tcPr>
          <w:p w14:paraId="5BE21D18"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1,059,270</w:t>
            </w:r>
          </w:p>
        </w:tc>
        <w:tc>
          <w:tcPr>
            <w:tcW w:w="0" w:type="auto"/>
            <w:vAlign w:val="center"/>
          </w:tcPr>
          <w:p w14:paraId="0C830441"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0.0164</w:t>
            </w:r>
          </w:p>
        </w:tc>
      </w:tr>
      <w:tr w:rsidR="00F07001" w:rsidRPr="008418B2" w14:paraId="3BB6BB00"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FD9E78" w14:textId="77777777" w:rsidR="00F07001" w:rsidRPr="008418B2" w:rsidRDefault="00F07001" w:rsidP="00F07001">
            <w:pPr>
              <w:pStyle w:val="NoSpacing"/>
              <w:jc w:val="center"/>
              <w:rPr>
                <w:szCs w:val="20"/>
                <w:lang w:eastAsia="en-GB"/>
              </w:rPr>
            </w:pPr>
            <w:r w:rsidRPr="008418B2">
              <w:rPr>
                <w:szCs w:val="20"/>
                <w:lang w:eastAsia="en-GB"/>
              </w:rPr>
              <w:t>4</w:t>
            </w:r>
          </w:p>
        </w:tc>
        <w:tc>
          <w:tcPr>
            <w:tcW w:w="0" w:type="auto"/>
            <w:vAlign w:val="center"/>
            <w:hideMark/>
          </w:tcPr>
          <w:p w14:paraId="72B534E9"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Cornwall and Isles of Scilly</w:t>
            </w:r>
          </w:p>
        </w:tc>
        <w:tc>
          <w:tcPr>
            <w:tcW w:w="0" w:type="auto"/>
            <w:noWrap/>
            <w:vAlign w:val="center"/>
            <w:hideMark/>
          </w:tcPr>
          <w:p w14:paraId="2CBBCE40"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568,210</w:t>
            </w:r>
          </w:p>
        </w:tc>
        <w:tc>
          <w:tcPr>
            <w:tcW w:w="0" w:type="auto"/>
            <w:vAlign w:val="center"/>
          </w:tcPr>
          <w:p w14:paraId="3BE42D9D"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0.0088</w:t>
            </w:r>
          </w:p>
        </w:tc>
      </w:tr>
      <w:tr w:rsidR="00F07001" w:rsidRPr="008418B2" w14:paraId="4A4474FA"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30B61B" w14:textId="77777777" w:rsidR="00F07001" w:rsidRPr="008418B2" w:rsidRDefault="00F07001" w:rsidP="00F07001">
            <w:pPr>
              <w:pStyle w:val="NoSpacing"/>
              <w:jc w:val="center"/>
              <w:rPr>
                <w:szCs w:val="20"/>
                <w:lang w:eastAsia="en-GB"/>
              </w:rPr>
            </w:pPr>
            <w:r w:rsidRPr="008418B2">
              <w:rPr>
                <w:szCs w:val="20"/>
                <w:lang w:eastAsia="en-GB"/>
              </w:rPr>
              <w:t>5</w:t>
            </w:r>
          </w:p>
        </w:tc>
        <w:tc>
          <w:tcPr>
            <w:tcW w:w="0" w:type="auto"/>
            <w:vAlign w:val="center"/>
            <w:hideMark/>
          </w:tcPr>
          <w:p w14:paraId="23C7121C"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Cumbria</w:t>
            </w:r>
          </w:p>
        </w:tc>
        <w:tc>
          <w:tcPr>
            <w:tcW w:w="0" w:type="auto"/>
            <w:noWrap/>
            <w:vAlign w:val="center"/>
            <w:hideMark/>
          </w:tcPr>
          <w:p w14:paraId="270E9005"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498,890</w:t>
            </w:r>
          </w:p>
        </w:tc>
        <w:tc>
          <w:tcPr>
            <w:tcW w:w="0" w:type="auto"/>
            <w:vAlign w:val="center"/>
          </w:tcPr>
          <w:p w14:paraId="74B7CD1B"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0.0077</w:t>
            </w:r>
          </w:p>
        </w:tc>
      </w:tr>
      <w:tr w:rsidR="00F07001" w:rsidRPr="008418B2" w14:paraId="1CA8362D"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487183" w14:textId="77777777" w:rsidR="00F07001" w:rsidRPr="008418B2" w:rsidRDefault="00F07001" w:rsidP="00F07001">
            <w:pPr>
              <w:pStyle w:val="NoSpacing"/>
              <w:jc w:val="center"/>
              <w:rPr>
                <w:szCs w:val="20"/>
                <w:lang w:eastAsia="en-GB"/>
              </w:rPr>
            </w:pPr>
            <w:r w:rsidRPr="008418B2">
              <w:rPr>
                <w:szCs w:val="20"/>
                <w:lang w:eastAsia="en-GB"/>
              </w:rPr>
              <w:lastRenderedPageBreak/>
              <w:t>6</w:t>
            </w:r>
          </w:p>
        </w:tc>
        <w:tc>
          <w:tcPr>
            <w:tcW w:w="0" w:type="auto"/>
            <w:vAlign w:val="center"/>
            <w:hideMark/>
          </w:tcPr>
          <w:p w14:paraId="59378E7F"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Derbyshire and Nottinghamshire</w:t>
            </w:r>
          </w:p>
        </w:tc>
        <w:tc>
          <w:tcPr>
            <w:tcW w:w="0" w:type="auto"/>
            <w:noWrap/>
            <w:vAlign w:val="center"/>
            <w:hideMark/>
          </w:tcPr>
          <w:p w14:paraId="43628B28"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2,207,520</w:t>
            </w:r>
          </w:p>
        </w:tc>
        <w:tc>
          <w:tcPr>
            <w:tcW w:w="0" w:type="auto"/>
            <w:vAlign w:val="center"/>
          </w:tcPr>
          <w:p w14:paraId="36816263"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0.0342</w:t>
            </w:r>
          </w:p>
        </w:tc>
      </w:tr>
      <w:tr w:rsidR="00F07001" w:rsidRPr="008418B2" w14:paraId="48FD8145"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331763" w14:textId="77777777" w:rsidR="00F07001" w:rsidRPr="008418B2" w:rsidRDefault="00F07001" w:rsidP="00F07001">
            <w:pPr>
              <w:pStyle w:val="NoSpacing"/>
              <w:jc w:val="center"/>
              <w:rPr>
                <w:szCs w:val="20"/>
                <w:lang w:eastAsia="en-GB"/>
              </w:rPr>
            </w:pPr>
            <w:r w:rsidRPr="008418B2">
              <w:rPr>
                <w:szCs w:val="20"/>
                <w:lang w:eastAsia="en-GB"/>
              </w:rPr>
              <w:t>7</w:t>
            </w:r>
          </w:p>
        </w:tc>
        <w:tc>
          <w:tcPr>
            <w:tcW w:w="0" w:type="auto"/>
            <w:vAlign w:val="center"/>
            <w:hideMark/>
          </w:tcPr>
          <w:p w14:paraId="4F153643"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Devon</w:t>
            </w:r>
          </w:p>
        </w:tc>
        <w:tc>
          <w:tcPr>
            <w:tcW w:w="0" w:type="auto"/>
            <w:noWrap/>
            <w:vAlign w:val="center"/>
            <w:hideMark/>
          </w:tcPr>
          <w:p w14:paraId="7BCF8792"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1,194,170</w:t>
            </w:r>
          </w:p>
        </w:tc>
        <w:tc>
          <w:tcPr>
            <w:tcW w:w="0" w:type="auto"/>
            <w:vAlign w:val="center"/>
          </w:tcPr>
          <w:p w14:paraId="6390E712"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0.0185</w:t>
            </w:r>
          </w:p>
        </w:tc>
      </w:tr>
      <w:tr w:rsidR="00F07001" w:rsidRPr="008418B2" w14:paraId="2D573588"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5504D7" w14:textId="77777777" w:rsidR="00F07001" w:rsidRPr="008418B2" w:rsidRDefault="00F07001" w:rsidP="00F07001">
            <w:pPr>
              <w:pStyle w:val="NoSpacing"/>
              <w:jc w:val="center"/>
              <w:rPr>
                <w:szCs w:val="20"/>
                <w:lang w:eastAsia="en-GB"/>
              </w:rPr>
            </w:pPr>
            <w:r w:rsidRPr="008418B2">
              <w:rPr>
                <w:szCs w:val="20"/>
                <w:lang w:eastAsia="en-GB"/>
              </w:rPr>
              <w:t>8</w:t>
            </w:r>
          </w:p>
        </w:tc>
        <w:tc>
          <w:tcPr>
            <w:tcW w:w="0" w:type="auto"/>
            <w:vAlign w:val="center"/>
            <w:hideMark/>
          </w:tcPr>
          <w:p w14:paraId="18A77E9B"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Dorset and Somerset</w:t>
            </w:r>
          </w:p>
        </w:tc>
        <w:tc>
          <w:tcPr>
            <w:tcW w:w="0" w:type="auto"/>
            <w:noWrap/>
            <w:vAlign w:val="center"/>
            <w:hideMark/>
          </w:tcPr>
          <w:p w14:paraId="6CB0B342"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1,737,690</w:t>
            </w:r>
          </w:p>
        </w:tc>
        <w:tc>
          <w:tcPr>
            <w:tcW w:w="0" w:type="auto"/>
            <w:vAlign w:val="center"/>
          </w:tcPr>
          <w:p w14:paraId="51D9D899"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0.0269</w:t>
            </w:r>
          </w:p>
        </w:tc>
      </w:tr>
      <w:tr w:rsidR="00F07001" w:rsidRPr="008418B2" w14:paraId="1C627C57"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AD74FB" w14:textId="77777777" w:rsidR="00F07001" w:rsidRPr="008418B2" w:rsidRDefault="00F07001" w:rsidP="00F07001">
            <w:pPr>
              <w:pStyle w:val="NoSpacing"/>
              <w:jc w:val="center"/>
              <w:rPr>
                <w:szCs w:val="20"/>
                <w:lang w:eastAsia="en-GB"/>
              </w:rPr>
            </w:pPr>
            <w:r w:rsidRPr="008418B2">
              <w:rPr>
                <w:szCs w:val="20"/>
                <w:lang w:eastAsia="en-GB"/>
              </w:rPr>
              <w:t>9</w:t>
            </w:r>
          </w:p>
        </w:tc>
        <w:tc>
          <w:tcPr>
            <w:tcW w:w="0" w:type="auto"/>
            <w:vAlign w:val="center"/>
            <w:hideMark/>
          </w:tcPr>
          <w:p w14:paraId="6A6D7B1A"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East Anglia</w:t>
            </w:r>
          </w:p>
        </w:tc>
        <w:tc>
          <w:tcPr>
            <w:tcW w:w="0" w:type="auto"/>
            <w:noWrap/>
            <w:vAlign w:val="center"/>
            <w:hideMark/>
          </w:tcPr>
          <w:p w14:paraId="05187DF3"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2,514,760</w:t>
            </w:r>
          </w:p>
        </w:tc>
        <w:tc>
          <w:tcPr>
            <w:tcW w:w="0" w:type="auto"/>
            <w:vAlign w:val="center"/>
          </w:tcPr>
          <w:p w14:paraId="17A47D2A"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0.0390</w:t>
            </w:r>
          </w:p>
        </w:tc>
      </w:tr>
      <w:tr w:rsidR="00F07001" w:rsidRPr="008418B2" w14:paraId="6C45ED52"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48E568" w14:textId="77777777" w:rsidR="00F07001" w:rsidRPr="008418B2" w:rsidRDefault="00F07001" w:rsidP="00F07001">
            <w:pPr>
              <w:pStyle w:val="NoSpacing"/>
              <w:jc w:val="center"/>
              <w:rPr>
                <w:szCs w:val="20"/>
                <w:lang w:eastAsia="en-GB"/>
              </w:rPr>
            </w:pPr>
            <w:r w:rsidRPr="008418B2">
              <w:rPr>
                <w:szCs w:val="20"/>
                <w:lang w:eastAsia="en-GB"/>
              </w:rPr>
              <w:t>10</w:t>
            </w:r>
          </w:p>
        </w:tc>
        <w:tc>
          <w:tcPr>
            <w:tcW w:w="0" w:type="auto"/>
            <w:vAlign w:val="center"/>
            <w:hideMark/>
          </w:tcPr>
          <w:p w14:paraId="4C958B6A"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East Wales</w:t>
            </w:r>
          </w:p>
        </w:tc>
        <w:tc>
          <w:tcPr>
            <w:tcW w:w="0" w:type="auto"/>
            <w:noWrap/>
            <w:vAlign w:val="center"/>
            <w:hideMark/>
          </w:tcPr>
          <w:p w14:paraId="20124A09"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1,168,030</w:t>
            </w:r>
          </w:p>
        </w:tc>
        <w:tc>
          <w:tcPr>
            <w:tcW w:w="0" w:type="auto"/>
            <w:vAlign w:val="center"/>
          </w:tcPr>
          <w:p w14:paraId="78AEFDA7"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0.0181</w:t>
            </w:r>
          </w:p>
        </w:tc>
      </w:tr>
      <w:tr w:rsidR="00F07001" w:rsidRPr="008418B2" w14:paraId="0B2D0F36"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AE5428" w14:textId="77777777" w:rsidR="00F07001" w:rsidRPr="008418B2" w:rsidRDefault="00F07001" w:rsidP="00F07001">
            <w:pPr>
              <w:pStyle w:val="NoSpacing"/>
              <w:jc w:val="center"/>
              <w:rPr>
                <w:szCs w:val="20"/>
                <w:lang w:eastAsia="en-GB"/>
              </w:rPr>
            </w:pPr>
            <w:r w:rsidRPr="008418B2">
              <w:rPr>
                <w:szCs w:val="20"/>
                <w:lang w:eastAsia="en-GB"/>
              </w:rPr>
              <w:t>11</w:t>
            </w:r>
          </w:p>
        </w:tc>
        <w:tc>
          <w:tcPr>
            <w:tcW w:w="0" w:type="auto"/>
            <w:vAlign w:val="center"/>
            <w:hideMark/>
          </w:tcPr>
          <w:p w14:paraId="27DF55A1"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East Yorkshire</w:t>
            </w:r>
          </w:p>
        </w:tc>
        <w:tc>
          <w:tcPr>
            <w:tcW w:w="0" w:type="auto"/>
            <w:noWrap/>
            <w:vAlign w:val="center"/>
            <w:hideMark/>
          </w:tcPr>
          <w:p w14:paraId="3DE4C5D3"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600,260</w:t>
            </w:r>
          </w:p>
        </w:tc>
        <w:tc>
          <w:tcPr>
            <w:tcW w:w="0" w:type="auto"/>
            <w:vAlign w:val="center"/>
          </w:tcPr>
          <w:p w14:paraId="0C85FC4F"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0.0093</w:t>
            </w:r>
          </w:p>
        </w:tc>
      </w:tr>
      <w:tr w:rsidR="00F07001" w:rsidRPr="008418B2" w14:paraId="04D23A85"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AD3A0C" w14:textId="77777777" w:rsidR="00F07001" w:rsidRPr="008418B2" w:rsidRDefault="00F07001" w:rsidP="00F07001">
            <w:pPr>
              <w:pStyle w:val="NoSpacing"/>
              <w:jc w:val="center"/>
              <w:rPr>
                <w:szCs w:val="20"/>
                <w:lang w:eastAsia="en-GB"/>
              </w:rPr>
            </w:pPr>
            <w:r w:rsidRPr="008418B2">
              <w:rPr>
                <w:szCs w:val="20"/>
                <w:lang w:eastAsia="en-GB"/>
              </w:rPr>
              <w:t>12</w:t>
            </w:r>
          </w:p>
        </w:tc>
        <w:tc>
          <w:tcPr>
            <w:tcW w:w="0" w:type="auto"/>
            <w:vAlign w:val="center"/>
            <w:hideMark/>
          </w:tcPr>
          <w:p w14:paraId="4298B760"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Eastern Scotland</w:t>
            </w:r>
          </w:p>
        </w:tc>
        <w:tc>
          <w:tcPr>
            <w:tcW w:w="0" w:type="auto"/>
            <w:noWrap/>
            <w:vAlign w:val="center"/>
            <w:hideMark/>
          </w:tcPr>
          <w:p w14:paraId="77BFAF9E"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2,158,500</w:t>
            </w:r>
          </w:p>
        </w:tc>
        <w:tc>
          <w:tcPr>
            <w:tcW w:w="0" w:type="auto"/>
            <w:vAlign w:val="center"/>
          </w:tcPr>
          <w:p w14:paraId="0FC1471F"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0.0335</w:t>
            </w:r>
          </w:p>
        </w:tc>
      </w:tr>
      <w:tr w:rsidR="00F07001" w:rsidRPr="008418B2" w14:paraId="670B4A89"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1BB405" w14:textId="77777777" w:rsidR="00F07001" w:rsidRPr="008418B2" w:rsidRDefault="00F07001" w:rsidP="00F07001">
            <w:pPr>
              <w:pStyle w:val="NoSpacing"/>
              <w:jc w:val="center"/>
              <w:rPr>
                <w:szCs w:val="20"/>
                <w:lang w:eastAsia="en-GB"/>
              </w:rPr>
            </w:pPr>
            <w:r w:rsidRPr="008418B2">
              <w:rPr>
                <w:szCs w:val="20"/>
                <w:lang w:eastAsia="en-GB"/>
              </w:rPr>
              <w:t>13</w:t>
            </w:r>
          </w:p>
        </w:tc>
        <w:tc>
          <w:tcPr>
            <w:tcW w:w="0" w:type="auto"/>
            <w:vAlign w:val="center"/>
            <w:hideMark/>
          </w:tcPr>
          <w:p w14:paraId="11D5E408"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Essex</w:t>
            </w:r>
          </w:p>
        </w:tc>
        <w:tc>
          <w:tcPr>
            <w:tcW w:w="0" w:type="auto"/>
            <w:noWrap/>
            <w:vAlign w:val="center"/>
            <w:hideMark/>
          </w:tcPr>
          <w:p w14:paraId="5599D3EE"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1,832,750</w:t>
            </w:r>
          </w:p>
        </w:tc>
        <w:tc>
          <w:tcPr>
            <w:tcW w:w="0" w:type="auto"/>
            <w:vAlign w:val="center"/>
          </w:tcPr>
          <w:p w14:paraId="0964472D"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0.0284</w:t>
            </w:r>
          </w:p>
        </w:tc>
      </w:tr>
      <w:tr w:rsidR="00F07001" w:rsidRPr="008418B2" w14:paraId="2EF20C3A"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3744A9" w14:textId="77777777" w:rsidR="00F07001" w:rsidRPr="008418B2" w:rsidRDefault="00F07001" w:rsidP="00F07001">
            <w:pPr>
              <w:pStyle w:val="NoSpacing"/>
              <w:jc w:val="center"/>
              <w:rPr>
                <w:szCs w:val="20"/>
                <w:lang w:eastAsia="en-GB"/>
              </w:rPr>
            </w:pPr>
            <w:r w:rsidRPr="008418B2">
              <w:rPr>
                <w:szCs w:val="20"/>
                <w:lang w:eastAsia="en-GB"/>
              </w:rPr>
              <w:t>14</w:t>
            </w:r>
          </w:p>
        </w:tc>
        <w:tc>
          <w:tcPr>
            <w:tcW w:w="0" w:type="auto"/>
            <w:vAlign w:val="center"/>
            <w:hideMark/>
          </w:tcPr>
          <w:p w14:paraId="5E51C788"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Gloucestershire, Wiltshire and Bristol/Bath Area</w:t>
            </w:r>
          </w:p>
        </w:tc>
        <w:tc>
          <w:tcPr>
            <w:tcW w:w="0" w:type="auto"/>
            <w:noWrap/>
            <w:vAlign w:val="center"/>
            <w:hideMark/>
          </w:tcPr>
          <w:p w14:paraId="026098D5"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2,099,670</w:t>
            </w:r>
          </w:p>
        </w:tc>
        <w:tc>
          <w:tcPr>
            <w:tcW w:w="0" w:type="auto"/>
            <w:vAlign w:val="center"/>
          </w:tcPr>
          <w:p w14:paraId="4ED3D07C"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0.0326</w:t>
            </w:r>
          </w:p>
        </w:tc>
      </w:tr>
      <w:tr w:rsidR="00F07001" w:rsidRPr="008418B2" w14:paraId="35DA6CC9"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CBDC1F" w14:textId="77777777" w:rsidR="00F07001" w:rsidRPr="008418B2" w:rsidRDefault="00F07001" w:rsidP="00F07001">
            <w:pPr>
              <w:pStyle w:val="NoSpacing"/>
              <w:jc w:val="center"/>
              <w:rPr>
                <w:szCs w:val="20"/>
                <w:lang w:eastAsia="en-GB"/>
              </w:rPr>
            </w:pPr>
            <w:r w:rsidRPr="008418B2">
              <w:rPr>
                <w:szCs w:val="20"/>
                <w:lang w:eastAsia="en-GB"/>
              </w:rPr>
              <w:t>15</w:t>
            </w:r>
          </w:p>
        </w:tc>
        <w:tc>
          <w:tcPr>
            <w:tcW w:w="0" w:type="auto"/>
            <w:vAlign w:val="center"/>
            <w:hideMark/>
          </w:tcPr>
          <w:p w14:paraId="25C85CF1"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Hampshire and Isle of Wight</w:t>
            </w:r>
          </w:p>
        </w:tc>
        <w:tc>
          <w:tcPr>
            <w:tcW w:w="0" w:type="auto"/>
            <w:noWrap/>
            <w:vAlign w:val="center"/>
            <w:hideMark/>
          </w:tcPr>
          <w:p w14:paraId="12A24E90"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1,985,790</w:t>
            </w:r>
          </w:p>
        </w:tc>
        <w:tc>
          <w:tcPr>
            <w:tcW w:w="0" w:type="auto"/>
            <w:vAlign w:val="center"/>
          </w:tcPr>
          <w:p w14:paraId="77ACA8F3"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0.0308</w:t>
            </w:r>
          </w:p>
        </w:tc>
      </w:tr>
      <w:tr w:rsidR="00F07001" w:rsidRPr="008418B2" w14:paraId="378C1F3A"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8C3443" w14:textId="77777777" w:rsidR="00F07001" w:rsidRPr="008418B2" w:rsidRDefault="00F07001" w:rsidP="00F07001">
            <w:pPr>
              <w:pStyle w:val="NoSpacing"/>
              <w:jc w:val="center"/>
              <w:rPr>
                <w:szCs w:val="20"/>
                <w:lang w:eastAsia="en-GB"/>
              </w:rPr>
            </w:pPr>
            <w:r w:rsidRPr="008418B2">
              <w:rPr>
                <w:szCs w:val="20"/>
                <w:lang w:eastAsia="en-GB"/>
              </w:rPr>
              <w:t>16</w:t>
            </w:r>
          </w:p>
        </w:tc>
        <w:tc>
          <w:tcPr>
            <w:tcW w:w="0" w:type="auto"/>
            <w:vAlign w:val="center"/>
            <w:hideMark/>
          </w:tcPr>
          <w:p w14:paraId="78BDAEA0"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Herefordshire, Worcestershire and Warwickshire</w:t>
            </w:r>
          </w:p>
        </w:tc>
        <w:tc>
          <w:tcPr>
            <w:tcW w:w="0" w:type="auto"/>
            <w:noWrap/>
            <w:vAlign w:val="center"/>
            <w:hideMark/>
          </w:tcPr>
          <w:p w14:paraId="1FE12A7C"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1,355,180</w:t>
            </w:r>
          </w:p>
        </w:tc>
        <w:tc>
          <w:tcPr>
            <w:tcW w:w="0" w:type="auto"/>
            <w:vAlign w:val="center"/>
          </w:tcPr>
          <w:p w14:paraId="1C27A25A"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0.0210</w:t>
            </w:r>
          </w:p>
        </w:tc>
      </w:tr>
      <w:tr w:rsidR="00F07001" w:rsidRPr="008418B2" w14:paraId="2FA12073"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96C752" w14:textId="77777777" w:rsidR="00F07001" w:rsidRPr="008418B2" w:rsidRDefault="00F07001" w:rsidP="00F07001">
            <w:pPr>
              <w:pStyle w:val="NoSpacing"/>
              <w:jc w:val="center"/>
              <w:rPr>
                <w:szCs w:val="20"/>
                <w:lang w:eastAsia="en-GB"/>
              </w:rPr>
            </w:pPr>
            <w:r w:rsidRPr="008418B2">
              <w:rPr>
                <w:szCs w:val="20"/>
                <w:lang w:eastAsia="en-GB"/>
              </w:rPr>
              <w:t>17</w:t>
            </w:r>
          </w:p>
        </w:tc>
        <w:tc>
          <w:tcPr>
            <w:tcW w:w="0" w:type="auto"/>
            <w:vAlign w:val="center"/>
            <w:hideMark/>
          </w:tcPr>
          <w:p w14:paraId="546940B2"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Highlands and Islands</w:t>
            </w:r>
          </w:p>
        </w:tc>
        <w:tc>
          <w:tcPr>
            <w:tcW w:w="0" w:type="auto"/>
            <w:noWrap/>
            <w:vAlign w:val="center"/>
            <w:hideMark/>
          </w:tcPr>
          <w:p w14:paraId="64E3D76F"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370,820</w:t>
            </w:r>
          </w:p>
        </w:tc>
        <w:tc>
          <w:tcPr>
            <w:tcW w:w="0" w:type="auto"/>
            <w:vAlign w:val="center"/>
          </w:tcPr>
          <w:p w14:paraId="13CCB74F"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0.0058</w:t>
            </w:r>
          </w:p>
        </w:tc>
      </w:tr>
      <w:tr w:rsidR="00F07001" w:rsidRPr="008418B2" w14:paraId="1837ED9D"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66B1F2" w14:textId="77777777" w:rsidR="00F07001" w:rsidRPr="008418B2" w:rsidRDefault="00F07001" w:rsidP="00F07001">
            <w:pPr>
              <w:pStyle w:val="NoSpacing"/>
              <w:jc w:val="center"/>
              <w:rPr>
                <w:szCs w:val="20"/>
                <w:lang w:eastAsia="en-GB"/>
              </w:rPr>
            </w:pPr>
            <w:r w:rsidRPr="008418B2">
              <w:rPr>
                <w:szCs w:val="20"/>
                <w:lang w:eastAsia="en-GB"/>
              </w:rPr>
              <w:t>18</w:t>
            </w:r>
          </w:p>
        </w:tc>
        <w:tc>
          <w:tcPr>
            <w:tcW w:w="0" w:type="auto"/>
            <w:vAlign w:val="center"/>
            <w:hideMark/>
          </w:tcPr>
          <w:p w14:paraId="25C56669"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Kent</w:t>
            </w:r>
          </w:p>
        </w:tc>
        <w:tc>
          <w:tcPr>
            <w:tcW w:w="0" w:type="auto"/>
            <w:noWrap/>
            <w:vAlign w:val="center"/>
            <w:hideMark/>
          </w:tcPr>
          <w:p w14:paraId="20F6874A"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1,846,480</w:t>
            </w:r>
          </w:p>
        </w:tc>
        <w:tc>
          <w:tcPr>
            <w:tcW w:w="0" w:type="auto"/>
            <w:vAlign w:val="center"/>
          </w:tcPr>
          <w:p w14:paraId="2CB0DDC1"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0.0286</w:t>
            </w:r>
          </w:p>
        </w:tc>
      </w:tr>
      <w:tr w:rsidR="00F07001" w:rsidRPr="008418B2" w14:paraId="38558F67"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A351DD" w14:textId="77777777" w:rsidR="00F07001" w:rsidRPr="008418B2" w:rsidRDefault="00F07001" w:rsidP="00F07001">
            <w:pPr>
              <w:pStyle w:val="NoSpacing"/>
              <w:jc w:val="center"/>
              <w:rPr>
                <w:szCs w:val="20"/>
                <w:lang w:eastAsia="en-GB"/>
              </w:rPr>
            </w:pPr>
            <w:r w:rsidRPr="008418B2">
              <w:rPr>
                <w:szCs w:val="20"/>
                <w:lang w:eastAsia="en-GB"/>
              </w:rPr>
              <w:t>19</w:t>
            </w:r>
          </w:p>
        </w:tc>
        <w:tc>
          <w:tcPr>
            <w:tcW w:w="0" w:type="auto"/>
            <w:vAlign w:val="center"/>
            <w:hideMark/>
          </w:tcPr>
          <w:p w14:paraId="78885D1B"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Lancashire</w:t>
            </w:r>
          </w:p>
        </w:tc>
        <w:tc>
          <w:tcPr>
            <w:tcW w:w="0" w:type="auto"/>
            <w:noWrap/>
            <w:vAlign w:val="center"/>
            <w:hideMark/>
          </w:tcPr>
          <w:p w14:paraId="2268BC23"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1,498,300</w:t>
            </w:r>
          </w:p>
        </w:tc>
        <w:tc>
          <w:tcPr>
            <w:tcW w:w="0" w:type="auto"/>
            <w:vAlign w:val="center"/>
          </w:tcPr>
          <w:p w14:paraId="270650C6"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0.0232</w:t>
            </w:r>
          </w:p>
        </w:tc>
      </w:tr>
      <w:tr w:rsidR="00F07001" w:rsidRPr="008418B2" w14:paraId="25861157"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6B233B" w14:textId="77777777" w:rsidR="00F07001" w:rsidRPr="008418B2" w:rsidRDefault="00F07001" w:rsidP="00F07001">
            <w:pPr>
              <w:pStyle w:val="NoSpacing"/>
              <w:jc w:val="center"/>
              <w:rPr>
                <w:szCs w:val="20"/>
                <w:lang w:eastAsia="en-GB"/>
              </w:rPr>
            </w:pPr>
            <w:r w:rsidRPr="008418B2">
              <w:rPr>
                <w:szCs w:val="20"/>
                <w:lang w:eastAsia="en-GB"/>
              </w:rPr>
              <w:t>20</w:t>
            </w:r>
          </w:p>
        </w:tc>
        <w:tc>
          <w:tcPr>
            <w:tcW w:w="0" w:type="auto"/>
            <w:vAlign w:val="center"/>
            <w:hideMark/>
          </w:tcPr>
          <w:p w14:paraId="3A336CD8"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Leicestershire, Rutland and Northamptonshire</w:t>
            </w:r>
          </w:p>
        </w:tc>
        <w:tc>
          <w:tcPr>
            <w:tcW w:w="0" w:type="auto"/>
            <w:noWrap/>
            <w:vAlign w:val="center"/>
            <w:hideMark/>
          </w:tcPr>
          <w:p w14:paraId="61E36F36"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1,841,080</w:t>
            </w:r>
          </w:p>
        </w:tc>
        <w:tc>
          <w:tcPr>
            <w:tcW w:w="0" w:type="auto"/>
            <w:vAlign w:val="center"/>
          </w:tcPr>
          <w:p w14:paraId="6D2E552A"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0.0285</w:t>
            </w:r>
          </w:p>
        </w:tc>
      </w:tr>
      <w:tr w:rsidR="00F07001" w:rsidRPr="008418B2" w14:paraId="7774017B"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53EB6F" w14:textId="77777777" w:rsidR="00F07001" w:rsidRPr="008418B2" w:rsidRDefault="00F07001" w:rsidP="00F07001">
            <w:pPr>
              <w:pStyle w:val="NoSpacing"/>
              <w:jc w:val="center"/>
              <w:rPr>
                <w:szCs w:val="20"/>
                <w:lang w:eastAsia="en-GB"/>
              </w:rPr>
            </w:pPr>
            <w:r w:rsidRPr="008418B2">
              <w:rPr>
                <w:szCs w:val="20"/>
                <w:lang w:eastAsia="en-GB"/>
              </w:rPr>
              <w:t>21</w:t>
            </w:r>
          </w:p>
        </w:tc>
        <w:tc>
          <w:tcPr>
            <w:tcW w:w="0" w:type="auto"/>
            <w:vAlign w:val="center"/>
            <w:hideMark/>
          </w:tcPr>
          <w:p w14:paraId="657BB6F9"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Lincolnshire</w:t>
            </w:r>
          </w:p>
        </w:tc>
        <w:tc>
          <w:tcPr>
            <w:tcW w:w="0" w:type="auto"/>
            <w:noWrap/>
            <w:vAlign w:val="center"/>
            <w:hideMark/>
          </w:tcPr>
          <w:p w14:paraId="56274A65"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1,087,660</w:t>
            </w:r>
          </w:p>
        </w:tc>
        <w:tc>
          <w:tcPr>
            <w:tcW w:w="0" w:type="auto"/>
            <w:vAlign w:val="center"/>
          </w:tcPr>
          <w:p w14:paraId="3C5DD9A9"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0.0169</w:t>
            </w:r>
          </w:p>
        </w:tc>
      </w:tr>
      <w:tr w:rsidR="00F07001" w:rsidRPr="008418B2" w14:paraId="122F797D"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69CAC3" w14:textId="77777777" w:rsidR="00F07001" w:rsidRPr="008418B2" w:rsidRDefault="00F07001" w:rsidP="00F07001">
            <w:pPr>
              <w:pStyle w:val="NoSpacing"/>
              <w:jc w:val="center"/>
              <w:rPr>
                <w:szCs w:val="20"/>
                <w:lang w:eastAsia="en-GB"/>
              </w:rPr>
            </w:pPr>
            <w:r w:rsidRPr="008418B2">
              <w:rPr>
                <w:szCs w:val="20"/>
                <w:lang w:eastAsia="en-GB"/>
              </w:rPr>
              <w:t>22</w:t>
            </w:r>
          </w:p>
        </w:tc>
        <w:tc>
          <w:tcPr>
            <w:tcW w:w="0" w:type="auto"/>
            <w:vAlign w:val="center"/>
            <w:hideMark/>
          </w:tcPr>
          <w:p w14:paraId="4D947713"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London</w:t>
            </w:r>
          </w:p>
        </w:tc>
        <w:tc>
          <w:tcPr>
            <w:tcW w:w="0" w:type="auto"/>
            <w:noWrap/>
            <w:vAlign w:val="center"/>
            <w:hideMark/>
          </w:tcPr>
          <w:p w14:paraId="53A904BE"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8,908,080</w:t>
            </w:r>
          </w:p>
        </w:tc>
        <w:tc>
          <w:tcPr>
            <w:tcW w:w="0" w:type="auto"/>
            <w:vAlign w:val="center"/>
          </w:tcPr>
          <w:p w14:paraId="1627DBFF"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0.1381</w:t>
            </w:r>
          </w:p>
        </w:tc>
      </w:tr>
      <w:tr w:rsidR="00F07001" w:rsidRPr="008418B2" w14:paraId="28F5AF63"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547E90" w14:textId="77777777" w:rsidR="00F07001" w:rsidRPr="008418B2" w:rsidRDefault="00F07001" w:rsidP="00F07001">
            <w:pPr>
              <w:pStyle w:val="NoSpacing"/>
              <w:jc w:val="center"/>
              <w:rPr>
                <w:szCs w:val="20"/>
                <w:lang w:eastAsia="en-GB"/>
              </w:rPr>
            </w:pPr>
            <w:r w:rsidRPr="008418B2">
              <w:rPr>
                <w:szCs w:val="20"/>
                <w:lang w:eastAsia="en-GB"/>
              </w:rPr>
              <w:t>23</w:t>
            </w:r>
          </w:p>
        </w:tc>
        <w:tc>
          <w:tcPr>
            <w:tcW w:w="0" w:type="auto"/>
            <w:vAlign w:val="center"/>
            <w:hideMark/>
          </w:tcPr>
          <w:p w14:paraId="3E881F19"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Manchester and Merseyside</w:t>
            </w:r>
          </w:p>
        </w:tc>
        <w:tc>
          <w:tcPr>
            <w:tcW w:w="0" w:type="auto"/>
            <w:noWrap/>
            <w:vAlign w:val="center"/>
            <w:hideMark/>
          </w:tcPr>
          <w:p w14:paraId="071DD22F"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4,235,640</w:t>
            </w:r>
          </w:p>
        </w:tc>
        <w:tc>
          <w:tcPr>
            <w:tcW w:w="0" w:type="auto"/>
            <w:vAlign w:val="center"/>
          </w:tcPr>
          <w:p w14:paraId="1E150F39"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0.0657</w:t>
            </w:r>
          </w:p>
        </w:tc>
      </w:tr>
      <w:tr w:rsidR="00F07001" w:rsidRPr="008418B2" w14:paraId="3891A5A7"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562CD9" w14:textId="77777777" w:rsidR="00F07001" w:rsidRPr="008418B2" w:rsidRDefault="00F07001" w:rsidP="00F07001">
            <w:pPr>
              <w:pStyle w:val="NoSpacing"/>
              <w:jc w:val="center"/>
              <w:rPr>
                <w:szCs w:val="20"/>
                <w:lang w:eastAsia="en-GB"/>
              </w:rPr>
            </w:pPr>
            <w:r w:rsidRPr="008418B2">
              <w:rPr>
                <w:szCs w:val="20"/>
                <w:lang w:eastAsia="en-GB"/>
              </w:rPr>
              <w:t>24</w:t>
            </w:r>
          </w:p>
        </w:tc>
        <w:tc>
          <w:tcPr>
            <w:tcW w:w="0" w:type="auto"/>
            <w:vAlign w:val="center"/>
            <w:hideMark/>
          </w:tcPr>
          <w:p w14:paraId="29037067"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North Eastern Scotland</w:t>
            </w:r>
          </w:p>
        </w:tc>
        <w:tc>
          <w:tcPr>
            <w:tcW w:w="0" w:type="auto"/>
            <w:noWrap/>
            <w:vAlign w:val="center"/>
            <w:hideMark/>
          </w:tcPr>
          <w:p w14:paraId="03FBE4BB"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489,030</w:t>
            </w:r>
          </w:p>
        </w:tc>
        <w:tc>
          <w:tcPr>
            <w:tcW w:w="0" w:type="auto"/>
            <w:vAlign w:val="center"/>
          </w:tcPr>
          <w:p w14:paraId="71828E15"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0.0076</w:t>
            </w:r>
          </w:p>
        </w:tc>
      </w:tr>
      <w:tr w:rsidR="00F07001" w:rsidRPr="008418B2" w14:paraId="5260C042"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8CD268" w14:textId="77777777" w:rsidR="00F07001" w:rsidRPr="008418B2" w:rsidRDefault="00F07001" w:rsidP="00F07001">
            <w:pPr>
              <w:pStyle w:val="NoSpacing"/>
              <w:jc w:val="center"/>
              <w:rPr>
                <w:szCs w:val="20"/>
                <w:lang w:eastAsia="en-GB"/>
              </w:rPr>
            </w:pPr>
            <w:r w:rsidRPr="008418B2">
              <w:rPr>
                <w:szCs w:val="20"/>
                <w:lang w:eastAsia="en-GB"/>
              </w:rPr>
              <w:t>25</w:t>
            </w:r>
          </w:p>
        </w:tc>
        <w:tc>
          <w:tcPr>
            <w:tcW w:w="0" w:type="auto"/>
            <w:vAlign w:val="center"/>
            <w:hideMark/>
          </w:tcPr>
          <w:p w14:paraId="2370B859"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North Yorkshire</w:t>
            </w:r>
          </w:p>
        </w:tc>
        <w:tc>
          <w:tcPr>
            <w:tcW w:w="0" w:type="auto"/>
            <w:noWrap/>
            <w:vAlign w:val="center"/>
            <w:hideMark/>
          </w:tcPr>
          <w:p w14:paraId="365CFCA2"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1,101,660</w:t>
            </w:r>
          </w:p>
        </w:tc>
        <w:tc>
          <w:tcPr>
            <w:tcW w:w="0" w:type="auto"/>
            <w:vAlign w:val="center"/>
          </w:tcPr>
          <w:p w14:paraId="2854A593"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0.0171</w:t>
            </w:r>
          </w:p>
        </w:tc>
      </w:tr>
      <w:tr w:rsidR="00F07001" w:rsidRPr="008418B2" w14:paraId="7FA966DB"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BC853B" w14:textId="77777777" w:rsidR="00F07001" w:rsidRPr="008418B2" w:rsidRDefault="00F07001" w:rsidP="00F07001">
            <w:pPr>
              <w:pStyle w:val="NoSpacing"/>
              <w:jc w:val="center"/>
              <w:rPr>
                <w:szCs w:val="20"/>
                <w:lang w:eastAsia="en-GB"/>
              </w:rPr>
            </w:pPr>
            <w:r w:rsidRPr="008418B2">
              <w:rPr>
                <w:szCs w:val="20"/>
                <w:lang w:eastAsia="en-GB"/>
              </w:rPr>
              <w:t>26</w:t>
            </w:r>
          </w:p>
        </w:tc>
        <w:tc>
          <w:tcPr>
            <w:tcW w:w="0" w:type="auto"/>
            <w:vAlign w:val="center"/>
            <w:hideMark/>
          </w:tcPr>
          <w:p w14:paraId="2F501FCC"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Northumberland and Tyne and Wear</w:t>
            </w:r>
          </w:p>
        </w:tc>
        <w:tc>
          <w:tcPr>
            <w:tcW w:w="0" w:type="auto"/>
            <w:noWrap/>
            <w:vAlign w:val="center"/>
            <w:hideMark/>
          </w:tcPr>
          <w:p w14:paraId="2FE09626"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1,456,640</w:t>
            </w:r>
          </w:p>
        </w:tc>
        <w:tc>
          <w:tcPr>
            <w:tcW w:w="0" w:type="auto"/>
            <w:vAlign w:val="center"/>
          </w:tcPr>
          <w:p w14:paraId="55ECFCC1"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0.0226</w:t>
            </w:r>
          </w:p>
        </w:tc>
      </w:tr>
      <w:tr w:rsidR="00F07001" w:rsidRPr="008418B2" w14:paraId="77E33EFE"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DBCB3C" w14:textId="77777777" w:rsidR="00F07001" w:rsidRPr="008418B2" w:rsidRDefault="00F07001" w:rsidP="00F07001">
            <w:pPr>
              <w:pStyle w:val="NoSpacing"/>
              <w:jc w:val="center"/>
              <w:rPr>
                <w:szCs w:val="20"/>
                <w:lang w:eastAsia="en-GB"/>
              </w:rPr>
            </w:pPr>
            <w:r w:rsidRPr="008418B2">
              <w:rPr>
                <w:szCs w:val="20"/>
                <w:lang w:eastAsia="en-GB"/>
              </w:rPr>
              <w:t>27</w:t>
            </w:r>
          </w:p>
        </w:tc>
        <w:tc>
          <w:tcPr>
            <w:tcW w:w="0" w:type="auto"/>
            <w:vAlign w:val="center"/>
            <w:hideMark/>
          </w:tcPr>
          <w:p w14:paraId="2B107106"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Shropshire and Staffordshire</w:t>
            </w:r>
          </w:p>
        </w:tc>
        <w:tc>
          <w:tcPr>
            <w:tcW w:w="0" w:type="auto"/>
            <w:noWrap/>
            <w:vAlign w:val="center"/>
            <w:hideMark/>
          </w:tcPr>
          <w:p w14:paraId="30CCBDCF"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1,629,120</w:t>
            </w:r>
          </w:p>
        </w:tc>
        <w:tc>
          <w:tcPr>
            <w:tcW w:w="0" w:type="auto"/>
            <w:vAlign w:val="center"/>
          </w:tcPr>
          <w:p w14:paraId="399A84BE"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0.0253</w:t>
            </w:r>
          </w:p>
        </w:tc>
      </w:tr>
      <w:tr w:rsidR="00F07001" w:rsidRPr="008418B2" w14:paraId="5B5FBAA1"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F48B89" w14:textId="77777777" w:rsidR="00F07001" w:rsidRPr="008418B2" w:rsidRDefault="00F07001" w:rsidP="00F07001">
            <w:pPr>
              <w:pStyle w:val="NoSpacing"/>
              <w:jc w:val="center"/>
              <w:rPr>
                <w:szCs w:val="20"/>
                <w:lang w:eastAsia="en-GB"/>
              </w:rPr>
            </w:pPr>
            <w:r w:rsidRPr="008418B2">
              <w:rPr>
                <w:szCs w:val="20"/>
                <w:lang w:eastAsia="en-GB"/>
              </w:rPr>
              <w:t>28</w:t>
            </w:r>
          </w:p>
        </w:tc>
        <w:tc>
          <w:tcPr>
            <w:tcW w:w="0" w:type="auto"/>
            <w:vAlign w:val="center"/>
            <w:hideMark/>
          </w:tcPr>
          <w:p w14:paraId="3799EAF3"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South Western Scotland</w:t>
            </w:r>
          </w:p>
        </w:tc>
        <w:tc>
          <w:tcPr>
            <w:tcW w:w="0" w:type="auto"/>
            <w:noWrap/>
            <w:vAlign w:val="center"/>
            <w:hideMark/>
          </w:tcPr>
          <w:p w14:paraId="26D74080"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2,352,640</w:t>
            </w:r>
          </w:p>
        </w:tc>
        <w:tc>
          <w:tcPr>
            <w:tcW w:w="0" w:type="auto"/>
            <w:vAlign w:val="center"/>
          </w:tcPr>
          <w:p w14:paraId="2AD22845"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0.0365</w:t>
            </w:r>
          </w:p>
        </w:tc>
      </w:tr>
      <w:tr w:rsidR="00F07001" w:rsidRPr="008418B2" w14:paraId="5B16FF01"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878AFC" w14:textId="77777777" w:rsidR="00F07001" w:rsidRPr="008418B2" w:rsidRDefault="00F07001" w:rsidP="00F07001">
            <w:pPr>
              <w:pStyle w:val="NoSpacing"/>
              <w:jc w:val="center"/>
              <w:rPr>
                <w:szCs w:val="20"/>
                <w:lang w:eastAsia="en-GB"/>
              </w:rPr>
            </w:pPr>
            <w:r w:rsidRPr="008418B2">
              <w:rPr>
                <w:szCs w:val="20"/>
                <w:lang w:eastAsia="en-GB"/>
              </w:rPr>
              <w:t>29</w:t>
            </w:r>
          </w:p>
        </w:tc>
        <w:tc>
          <w:tcPr>
            <w:tcW w:w="0" w:type="auto"/>
            <w:vAlign w:val="center"/>
            <w:hideMark/>
          </w:tcPr>
          <w:p w14:paraId="24EB8684"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South Yorkshire</w:t>
            </w:r>
          </w:p>
        </w:tc>
        <w:tc>
          <w:tcPr>
            <w:tcW w:w="0" w:type="auto"/>
            <w:noWrap/>
            <w:vAlign w:val="center"/>
            <w:hideMark/>
          </w:tcPr>
          <w:p w14:paraId="7A944CCB"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1,402,920</w:t>
            </w:r>
          </w:p>
        </w:tc>
        <w:tc>
          <w:tcPr>
            <w:tcW w:w="0" w:type="auto"/>
            <w:vAlign w:val="center"/>
          </w:tcPr>
          <w:p w14:paraId="26530C99"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0.0218</w:t>
            </w:r>
          </w:p>
        </w:tc>
      </w:tr>
      <w:tr w:rsidR="00F07001" w:rsidRPr="008418B2" w14:paraId="3D100B76"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41B6C3" w14:textId="77777777" w:rsidR="00F07001" w:rsidRPr="008418B2" w:rsidRDefault="00F07001" w:rsidP="00F07001">
            <w:pPr>
              <w:pStyle w:val="NoSpacing"/>
              <w:jc w:val="center"/>
              <w:rPr>
                <w:szCs w:val="20"/>
                <w:lang w:eastAsia="en-GB"/>
              </w:rPr>
            </w:pPr>
            <w:r w:rsidRPr="008418B2">
              <w:rPr>
                <w:szCs w:val="20"/>
                <w:lang w:eastAsia="en-GB"/>
              </w:rPr>
              <w:t>30</w:t>
            </w:r>
          </w:p>
        </w:tc>
        <w:tc>
          <w:tcPr>
            <w:tcW w:w="0" w:type="auto"/>
            <w:vAlign w:val="center"/>
            <w:hideMark/>
          </w:tcPr>
          <w:p w14:paraId="200D11D0"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Surrey, East and West Sussex</w:t>
            </w:r>
          </w:p>
        </w:tc>
        <w:tc>
          <w:tcPr>
            <w:tcW w:w="0" w:type="auto"/>
            <w:noWrap/>
            <w:vAlign w:val="center"/>
            <w:hideMark/>
          </w:tcPr>
          <w:p w14:paraId="30710A2B"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2,893,770</w:t>
            </w:r>
          </w:p>
        </w:tc>
        <w:tc>
          <w:tcPr>
            <w:tcW w:w="0" w:type="auto"/>
            <w:vAlign w:val="center"/>
          </w:tcPr>
          <w:p w14:paraId="7B9FD089"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0.0449</w:t>
            </w:r>
          </w:p>
        </w:tc>
      </w:tr>
      <w:tr w:rsidR="00F07001" w:rsidRPr="008418B2" w14:paraId="00683D06"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9472BA" w14:textId="77777777" w:rsidR="00F07001" w:rsidRPr="008418B2" w:rsidRDefault="00F07001" w:rsidP="00F07001">
            <w:pPr>
              <w:pStyle w:val="NoSpacing"/>
              <w:jc w:val="center"/>
              <w:rPr>
                <w:szCs w:val="20"/>
                <w:lang w:eastAsia="en-GB"/>
              </w:rPr>
            </w:pPr>
            <w:r w:rsidRPr="008418B2">
              <w:rPr>
                <w:szCs w:val="20"/>
                <w:lang w:eastAsia="en-GB"/>
              </w:rPr>
              <w:t>31</w:t>
            </w:r>
          </w:p>
        </w:tc>
        <w:tc>
          <w:tcPr>
            <w:tcW w:w="0" w:type="auto"/>
            <w:vAlign w:val="center"/>
            <w:hideMark/>
          </w:tcPr>
          <w:p w14:paraId="790220A2"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Tees Valley and Durham</w:t>
            </w:r>
          </w:p>
        </w:tc>
        <w:tc>
          <w:tcPr>
            <w:tcW w:w="0" w:type="auto"/>
            <w:noWrap/>
            <w:vAlign w:val="center"/>
            <w:hideMark/>
          </w:tcPr>
          <w:p w14:paraId="61AAE99A"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924,000</w:t>
            </w:r>
          </w:p>
        </w:tc>
        <w:tc>
          <w:tcPr>
            <w:tcW w:w="0" w:type="auto"/>
            <w:vAlign w:val="center"/>
          </w:tcPr>
          <w:p w14:paraId="74D0916F"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0.0143</w:t>
            </w:r>
          </w:p>
        </w:tc>
      </w:tr>
      <w:tr w:rsidR="00F07001" w:rsidRPr="008418B2" w14:paraId="073B961B"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F9BFA9" w14:textId="77777777" w:rsidR="00F07001" w:rsidRPr="008418B2" w:rsidRDefault="00F07001" w:rsidP="00F07001">
            <w:pPr>
              <w:pStyle w:val="NoSpacing"/>
              <w:jc w:val="center"/>
              <w:rPr>
                <w:szCs w:val="20"/>
                <w:lang w:eastAsia="en-GB"/>
              </w:rPr>
            </w:pPr>
            <w:r w:rsidRPr="008418B2">
              <w:rPr>
                <w:szCs w:val="20"/>
                <w:lang w:eastAsia="en-GB"/>
              </w:rPr>
              <w:t>32</w:t>
            </w:r>
          </w:p>
        </w:tc>
        <w:tc>
          <w:tcPr>
            <w:tcW w:w="0" w:type="auto"/>
            <w:vAlign w:val="center"/>
            <w:hideMark/>
          </w:tcPr>
          <w:p w14:paraId="3D3A7DE1"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West Midlands</w:t>
            </w:r>
          </w:p>
        </w:tc>
        <w:tc>
          <w:tcPr>
            <w:tcW w:w="0" w:type="auto"/>
            <w:noWrap/>
            <w:vAlign w:val="center"/>
            <w:hideMark/>
          </w:tcPr>
          <w:p w14:paraId="07FBED8B"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2,916,460</w:t>
            </w:r>
          </w:p>
        </w:tc>
        <w:tc>
          <w:tcPr>
            <w:tcW w:w="0" w:type="auto"/>
            <w:vAlign w:val="center"/>
          </w:tcPr>
          <w:p w14:paraId="66D4A7F0"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0.0452</w:t>
            </w:r>
          </w:p>
        </w:tc>
      </w:tr>
      <w:tr w:rsidR="00F07001" w:rsidRPr="008418B2" w14:paraId="3D47F5EE"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FA3D36" w14:textId="77777777" w:rsidR="00F07001" w:rsidRPr="008418B2" w:rsidRDefault="00F07001" w:rsidP="00F07001">
            <w:pPr>
              <w:pStyle w:val="NoSpacing"/>
              <w:jc w:val="center"/>
              <w:rPr>
                <w:szCs w:val="20"/>
                <w:lang w:eastAsia="en-GB"/>
              </w:rPr>
            </w:pPr>
            <w:r w:rsidRPr="008418B2">
              <w:rPr>
                <w:szCs w:val="20"/>
                <w:lang w:eastAsia="en-GB"/>
              </w:rPr>
              <w:t>33</w:t>
            </w:r>
          </w:p>
        </w:tc>
        <w:tc>
          <w:tcPr>
            <w:tcW w:w="0" w:type="auto"/>
            <w:vAlign w:val="center"/>
            <w:hideMark/>
          </w:tcPr>
          <w:p w14:paraId="020B0B53" w14:textId="77777777" w:rsidR="00F07001" w:rsidRPr="008418B2" w:rsidRDefault="00F07001" w:rsidP="00F07001">
            <w:pPr>
              <w:pStyle w:val="NoSpacing"/>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szCs w:val="20"/>
                <w:lang w:eastAsia="en-GB"/>
              </w:rPr>
              <w:t>West Wales and The Valleys</w:t>
            </w:r>
          </w:p>
        </w:tc>
        <w:tc>
          <w:tcPr>
            <w:tcW w:w="0" w:type="auto"/>
            <w:noWrap/>
            <w:vAlign w:val="center"/>
            <w:hideMark/>
          </w:tcPr>
          <w:p w14:paraId="7CBE264C"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1,970,620</w:t>
            </w:r>
          </w:p>
        </w:tc>
        <w:tc>
          <w:tcPr>
            <w:tcW w:w="0" w:type="auto"/>
            <w:vAlign w:val="center"/>
          </w:tcPr>
          <w:p w14:paraId="25D025D4"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szCs w:val="20"/>
                <w:lang w:eastAsia="en-GB"/>
              </w:rPr>
            </w:pPr>
            <w:r w:rsidRPr="008418B2">
              <w:rPr>
                <w:color w:val="000000"/>
                <w:szCs w:val="20"/>
              </w:rPr>
              <w:t>0.0306</w:t>
            </w:r>
          </w:p>
        </w:tc>
      </w:tr>
      <w:tr w:rsidR="00F07001" w:rsidRPr="008418B2" w14:paraId="0C5B0920" w14:textId="77777777" w:rsidTr="00E41B8C">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tcBorders>
            <w:vAlign w:val="center"/>
            <w:hideMark/>
          </w:tcPr>
          <w:p w14:paraId="0CB282FB" w14:textId="77777777" w:rsidR="00F07001" w:rsidRPr="008418B2" w:rsidRDefault="00F07001" w:rsidP="00F07001">
            <w:pPr>
              <w:pStyle w:val="NoSpacing"/>
              <w:jc w:val="center"/>
              <w:rPr>
                <w:szCs w:val="20"/>
                <w:lang w:eastAsia="en-GB"/>
              </w:rPr>
            </w:pPr>
            <w:r w:rsidRPr="008418B2">
              <w:rPr>
                <w:szCs w:val="20"/>
                <w:lang w:eastAsia="en-GB"/>
              </w:rPr>
              <w:t>34</w:t>
            </w:r>
          </w:p>
        </w:tc>
        <w:tc>
          <w:tcPr>
            <w:tcW w:w="0" w:type="auto"/>
            <w:tcBorders>
              <w:bottom w:val="single" w:sz="4" w:space="0" w:color="7F7F7F" w:themeColor="text1" w:themeTint="80"/>
            </w:tcBorders>
            <w:vAlign w:val="center"/>
            <w:hideMark/>
          </w:tcPr>
          <w:p w14:paraId="375790A8" w14:textId="77777777" w:rsidR="00F07001" w:rsidRPr="008418B2" w:rsidRDefault="00F07001" w:rsidP="00F07001">
            <w:pPr>
              <w:pStyle w:val="NoSpacing"/>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szCs w:val="20"/>
                <w:lang w:eastAsia="en-GB"/>
              </w:rPr>
              <w:t>West Yorkshire</w:t>
            </w:r>
          </w:p>
        </w:tc>
        <w:tc>
          <w:tcPr>
            <w:tcW w:w="0" w:type="auto"/>
            <w:noWrap/>
            <w:vAlign w:val="center"/>
            <w:hideMark/>
          </w:tcPr>
          <w:p w14:paraId="35553CB9"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2,320,210</w:t>
            </w:r>
          </w:p>
        </w:tc>
        <w:tc>
          <w:tcPr>
            <w:tcW w:w="0" w:type="auto"/>
            <w:vAlign w:val="center"/>
          </w:tcPr>
          <w:p w14:paraId="220747D2" w14:textId="77777777" w:rsidR="00F07001" w:rsidRPr="008418B2" w:rsidRDefault="00F07001" w:rsidP="00F07001">
            <w:pPr>
              <w:pStyle w:val="NoSpacing"/>
              <w:jc w:val="center"/>
              <w:cnfStyle w:val="000000000000" w:firstRow="0" w:lastRow="0" w:firstColumn="0" w:lastColumn="0" w:oddVBand="0" w:evenVBand="0" w:oddHBand="0" w:evenHBand="0" w:firstRowFirstColumn="0" w:firstRowLastColumn="0" w:lastRowFirstColumn="0" w:lastRowLastColumn="0"/>
              <w:rPr>
                <w:szCs w:val="20"/>
                <w:lang w:eastAsia="en-GB"/>
              </w:rPr>
            </w:pPr>
            <w:r w:rsidRPr="008418B2">
              <w:rPr>
                <w:color w:val="000000"/>
                <w:szCs w:val="20"/>
              </w:rPr>
              <w:t>0.0360</w:t>
            </w:r>
          </w:p>
        </w:tc>
      </w:tr>
      <w:tr w:rsidR="00F07001" w:rsidRPr="008418B2" w14:paraId="61E06089" w14:textId="77777777" w:rsidTr="00E41B8C">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1B79CF31" w14:textId="77777777" w:rsidR="00F07001" w:rsidRPr="008418B2" w:rsidRDefault="00F07001" w:rsidP="00F07001">
            <w:pPr>
              <w:pStyle w:val="NoSpacing"/>
              <w:rPr>
                <w:szCs w:val="20"/>
                <w:lang w:eastAsia="en-GB"/>
              </w:rPr>
            </w:pPr>
          </w:p>
        </w:tc>
        <w:tc>
          <w:tcPr>
            <w:tcW w:w="0" w:type="auto"/>
            <w:vAlign w:val="center"/>
          </w:tcPr>
          <w:p w14:paraId="2B0E57FB" w14:textId="77777777" w:rsidR="00F07001" w:rsidRPr="008418B2" w:rsidRDefault="00F07001" w:rsidP="00F07001">
            <w:pPr>
              <w:pStyle w:val="NoSpacing"/>
              <w:jc w:val="right"/>
              <w:cnfStyle w:val="000000100000" w:firstRow="0" w:lastRow="0" w:firstColumn="0" w:lastColumn="0" w:oddVBand="0" w:evenVBand="0" w:oddHBand="1" w:evenHBand="0" w:firstRowFirstColumn="0" w:firstRowLastColumn="0" w:lastRowFirstColumn="0" w:lastRowLastColumn="0"/>
              <w:rPr>
                <w:b/>
                <w:bCs/>
                <w:i/>
                <w:iCs/>
                <w:szCs w:val="20"/>
                <w:lang w:eastAsia="en-GB"/>
              </w:rPr>
            </w:pPr>
            <w:r w:rsidRPr="008418B2">
              <w:rPr>
                <w:b/>
                <w:bCs/>
                <w:i/>
                <w:iCs/>
                <w:szCs w:val="20"/>
                <w:lang w:eastAsia="en-GB"/>
              </w:rPr>
              <w:t>Total</w:t>
            </w:r>
          </w:p>
        </w:tc>
        <w:tc>
          <w:tcPr>
            <w:tcW w:w="0" w:type="auto"/>
            <w:noWrap/>
            <w:vAlign w:val="center"/>
          </w:tcPr>
          <w:p w14:paraId="6051EF1B"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b/>
                <w:bCs/>
                <w:i/>
                <w:iCs/>
                <w:szCs w:val="20"/>
                <w:lang w:eastAsia="en-GB"/>
              </w:rPr>
            </w:pPr>
            <w:r w:rsidRPr="008418B2">
              <w:rPr>
                <w:b/>
                <w:bCs/>
                <w:i/>
                <w:iCs/>
                <w:szCs w:val="20"/>
                <w:lang w:eastAsia="en-GB"/>
              </w:rPr>
              <w:t>64,487,120</w:t>
            </w:r>
          </w:p>
        </w:tc>
        <w:tc>
          <w:tcPr>
            <w:tcW w:w="0" w:type="auto"/>
            <w:vAlign w:val="center"/>
          </w:tcPr>
          <w:p w14:paraId="424EBE1E" w14:textId="77777777" w:rsidR="00F07001" w:rsidRPr="008418B2" w:rsidRDefault="00F07001" w:rsidP="00F07001">
            <w:pPr>
              <w:pStyle w:val="NoSpacing"/>
              <w:jc w:val="center"/>
              <w:cnfStyle w:val="000000100000" w:firstRow="0" w:lastRow="0" w:firstColumn="0" w:lastColumn="0" w:oddVBand="0" w:evenVBand="0" w:oddHBand="1" w:evenHBand="0" w:firstRowFirstColumn="0" w:firstRowLastColumn="0" w:lastRowFirstColumn="0" w:lastRowLastColumn="0"/>
              <w:rPr>
                <w:b/>
                <w:bCs/>
                <w:i/>
                <w:iCs/>
                <w:color w:val="000000"/>
                <w:szCs w:val="20"/>
              </w:rPr>
            </w:pPr>
            <w:r w:rsidRPr="008418B2">
              <w:rPr>
                <w:b/>
                <w:bCs/>
                <w:i/>
                <w:iCs/>
                <w:color w:val="000000"/>
                <w:szCs w:val="20"/>
              </w:rPr>
              <w:t>1</w:t>
            </w:r>
          </w:p>
        </w:tc>
      </w:tr>
    </w:tbl>
    <w:p w14:paraId="7B04479F" w14:textId="4F2055E3" w:rsidR="004959A9" w:rsidRDefault="00EB53C4" w:rsidP="00EB53C4">
      <w:pPr>
        <w:pStyle w:val="Heading8"/>
      </w:pPr>
      <w:bookmarkStart w:id="268" w:name="_Ref54874170"/>
      <w:r>
        <w:t>Hydrogen demand estimation</w:t>
      </w:r>
      <w:bookmarkEnd w:id="265"/>
      <w:r w:rsidR="00DE24CB">
        <w:t xml:space="preserve"> data</w:t>
      </w:r>
      <w:bookmarkEnd w:id="268"/>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8033"/>
        <w:gridCol w:w="634"/>
      </w:tblGrid>
      <w:tr w:rsidR="00EB53C4" w14:paraId="5CBB9235" w14:textId="77777777" w:rsidTr="00EB53C4">
        <w:tc>
          <w:tcPr>
            <w:tcW w:w="216" w:type="pct"/>
            <w:shd w:val="clear" w:color="auto" w:fill="auto"/>
          </w:tcPr>
          <w:p w14:paraId="79E3065D" w14:textId="77777777" w:rsidR="00EB53C4" w:rsidRDefault="00EB53C4" w:rsidP="00F07001"/>
        </w:tc>
        <w:tc>
          <w:tcPr>
            <w:tcW w:w="4467" w:type="pct"/>
            <w:shd w:val="clear" w:color="auto" w:fill="auto"/>
            <w:vAlign w:val="center"/>
          </w:tcPr>
          <w:p w14:paraId="157825B5" w14:textId="77777777" w:rsidR="00EB53C4" w:rsidRPr="00597FC0" w:rsidRDefault="00EB53C4" w:rsidP="00F07001">
            <w:pPr>
              <w:jc w:val="center"/>
              <w:rPr>
                <w:rFonts w:eastAsiaTheme="minorEastAsia"/>
              </w:rPr>
            </w:pPr>
            <m:oMathPara>
              <m:oMath>
                <m:r>
                  <w:rPr>
                    <w:rFonts w:ascii="Cambria Math" w:hAnsi="Cambria Math"/>
                  </w:rPr>
                  <m:t>Fuel Energy</m:t>
                </m:r>
                <m:d>
                  <m:dPr>
                    <m:ctrlPr>
                      <w:rPr>
                        <w:rFonts w:ascii="Cambria Math" w:hAnsi="Cambria Math"/>
                        <w:i/>
                      </w:rPr>
                    </m:ctrlPr>
                  </m:dPr>
                  <m:e>
                    <m:r>
                      <w:rPr>
                        <w:rFonts w:ascii="Cambria Math" w:hAnsi="Cambria Math"/>
                      </w:rPr>
                      <m:t>kWh</m:t>
                    </m:r>
                  </m:e>
                </m:d>
                <m:r>
                  <w:rPr>
                    <w:rFonts w:ascii="Cambria Math" w:hAnsi="Cambria Math"/>
                  </w:rPr>
                  <m:t xml:space="preserve">=Fuel Energy </m:t>
                </m:r>
                <m:d>
                  <m:dPr>
                    <m:ctrlPr>
                      <w:rPr>
                        <w:rFonts w:ascii="Cambria Math" w:hAnsi="Cambria Math"/>
                        <w:i/>
                      </w:rPr>
                    </m:ctrlPr>
                  </m:dPr>
                  <m:e>
                    <m:r>
                      <w:rPr>
                        <w:rFonts w:ascii="Cambria Math" w:hAnsi="Cambria Math"/>
                      </w:rPr>
                      <m:t>tonne of oil equiv per year</m:t>
                    </m:r>
                  </m:e>
                </m:d>
                <m:r>
                  <w:rPr>
                    <w:rFonts w:ascii="Cambria Math" w:hAnsi="Cambria Math"/>
                  </w:rPr>
                  <m:t>⋅11630</m:t>
                </m:r>
                <m:d>
                  <m:dPr>
                    <m:ctrlPr>
                      <w:rPr>
                        <w:rFonts w:ascii="Cambria Math" w:hAnsi="Cambria Math"/>
                        <w:i/>
                      </w:rPr>
                    </m:ctrlPr>
                  </m:dPr>
                  <m:e>
                    <m:f>
                      <m:fPr>
                        <m:ctrlPr>
                          <w:rPr>
                            <w:rFonts w:ascii="Cambria Math" w:hAnsi="Cambria Math"/>
                            <w:i/>
                          </w:rPr>
                        </m:ctrlPr>
                      </m:fPr>
                      <m:num>
                        <m:r>
                          <w:rPr>
                            <w:rFonts w:ascii="Cambria Math" w:hAnsi="Cambria Math"/>
                          </w:rPr>
                          <m:t>kWh</m:t>
                        </m:r>
                      </m:num>
                      <m:den>
                        <m:r>
                          <w:rPr>
                            <w:rFonts w:ascii="Cambria Math" w:hAnsi="Cambria Math"/>
                          </w:rPr>
                          <m:t>tonne of oil equiv</m:t>
                        </m:r>
                      </m:den>
                    </m:f>
                  </m:e>
                </m:d>
              </m:oMath>
            </m:oMathPara>
          </w:p>
          <w:p w14:paraId="3D4B5769" w14:textId="77777777" w:rsidR="00EB53C4" w:rsidRPr="00347E98" w:rsidRDefault="00EB53C4" w:rsidP="00F07001">
            <w:pPr>
              <w:jc w:val="center"/>
              <w:rPr>
                <w:rFonts w:eastAsiaTheme="minorEastAsia"/>
              </w:rPr>
            </w:pPr>
            <m:oMathPara>
              <m:oMath>
                <m:r>
                  <w:rPr>
                    <w:rFonts w:ascii="Cambria Math" w:hAnsi="Cambria Math"/>
                  </w:rPr>
                  <m:t xml:space="preserve">10 </m:t>
                </m:r>
                <m:d>
                  <m:dPr>
                    <m:ctrlPr>
                      <w:rPr>
                        <w:rFonts w:ascii="Cambria Math" w:hAnsi="Cambria Math"/>
                        <w:i/>
                      </w:rPr>
                    </m:ctrlPr>
                  </m:dPr>
                  <m:e>
                    <m:r>
                      <w:rPr>
                        <w:rFonts w:ascii="Cambria Math" w:hAnsi="Cambria Math"/>
                      </w:rPr>
                      <m:t>kWh</m:t>
                    </m:r>
                  </m:e>
                </m:d>
                <m:r>
                  <w:rPr>
                    <w:rFonts w:ascii="Cambria Math" w:hAnsi="Cambria Math"/>
                  </w:rPr>
                  <m:t xml:space="preserve">=7.5 </m:t>
                </m:r>
                <m:d>
                  <m:dPr>
                    <m:ctrlPr>
                      <w:rPr>
                        <w:rFonts w:ascii="Cambria Math" w:hAnsi="Cambria Math"/>
                        <w:i/>
                      </w:rPr>
                    </m:ctrlPr>
                  </m:dPr>
                  <m:e>
                    <m:r>
                      <w:rPr>
                        <w:rFonts w:ascii="Cambria Math" w:hAnsi="Cambria Math"/>
                      </w:rPr>
                      <m:t>tonne of oil equiv per year</m:t>
                    </m:r>
                  </m:e>
                </m:d>
                <m:r>
                  <w:rPr>
                    <w:rFonts w:ascii="Cambria Math" w:hAnsi="Cambria Math"/>
                  </w:rPr>
                  <m:t>⋅11630</m:t>
                </m:r>
                <m:d>
                  <m:dPr>
                    <m:ctrlPr>
                      <w:rPr>
                        <w:rFonts w:ascii="Cambria Math" w:hAnsi="Cambria Math"/>
                        <w:i/>
                      </w:rPr>
                    </m:ctrlPr>
                  </m:dPr>
                  <m:e>
                    <m:f>
                      <m:fPr>
                        <m:ctrlPr>
                          <w:rPr>
                            <w:rFonts w:ascii="Cambria Math" w:hAnsi="Cambria Math"/>
                            <w:i/>
                          </w:rPr>
                        </m:ctrlPr>
                      </m:fPr>
                      <m:num>
                        <m:r>
                          <w:rPr>
                            <w:rFonts w:ascii="Cambria Math" w:hAnsi="Cambria Math"/>
                          </w:rPr>
                          <m:t>kWh</m:t>
                        </m:r>
                      </m:num>
                      <m:den>
                        <m:r>
                          <w:rPr>
                            <w:rFonts w:ascii="Cambria Math" w:hAnsi="Cambria Math"/>
                          </w:rPr>
                          <m:t>tonne of oil equiv</m:t>
                        </m:r>
                      </m:den>
                    </m:f>
                  </m:e>
                </m:d>
              </m:oMath>
            </m:oMathPara>
          </w:p>
        </w:tc>
        <w:tc>
          <w:tcPr>
            <w:tcW w:w="317" w:type="pct"/>
            <w:shd w:val="clear" w:color="auto" w:fill="auto"/>
            <w:vAlign w:val="center"/>
          </w:tcPr>
          <w:p w14:paraId="0E653C00" w14:textId="0AAD5464" w:rsidR="00EB53C4" w:rsidRPr="00BF2BA0" w:rsidRDefault="00EB53C4" w:rsidP="00F07001">
            <w:pPr>
              <w:jc w:val="center"/>
            </w:pPr>
            <w:bookmarkStart w:id="269" w:name="_Ref54869638"/>
            <w:r w:rsidRPr="00BF2BA0">
              <w:t>(</w:t>
            </w:r>
            <w:r w:rsidR="001C1DD0">
              <w:t>C.1</w:t>
            </w:r>
            <w:r w:rsidRPr="00BF2BA0">
              <w:t>)</w:t>
            </w:r>
            <w:bookmarkEnd w:id="269"/>
          </w:p>
        </w:tc>
      </w:tr>
    </w:tbl>
    <w:p w14:paraId="50BAEFFA" w14:textId="77777777" w:rsidR="00F07001" w:rsidRDefault="00F07001" w:rsidP="00F07001">
      <w:pPr>
        <w:pStyle w:val="Heading2"/>
        <w:numPr>
          <w:ilvl w:val="0"/>
          <w:numId w:val="0"/>
        </w:numPr>
        <w:sectPr w:rsidR="00F07001" w:rsidSect="00F07001">
          <w:pgSz w:w="11906" w:h="16838"/>
          <w:pgMar w:top="1440" w:right="1440" w:bottom="1440" w:left="1440" w:header="708" w:footer="708" w:gutter="0"/>
          <w:cols w:space="708"/>
          <w:docGrid w:linePitch="360"/>
        </w:sectPr>
      </w:pPr>
    </w:p>
    <w:p w14:paraId="29D683F5" w14:textId="722FCA0C" w:rsidR="00F07001" w:rsidRDefault="00F07001" w:rsidP="00F07001">
      <w:pPr>
        <w:pStyle w:val="Caption"/>
      </w:pPr>
      <w:bookmarkStart w:id="270" w:name="_Ref47017916"/>
      <w:bookmarkStart w:id="271" w:name="_Ref47017844"/>
      <w:bookmarkStart w:id="272" w:name="_Toc50359165"/>
      <w:r>
        <w:lastRenderedPageBreak/>
        <w:t xml:space="preserve">Table </w:t>
      </w:r>
      <w:fldSimple w:instr=" SEQ Table \* ARABIC ">
        <w:r w:rsidR="009D026A">
          <w:rPr>
            <w:noProof/>
          </w:rPr>
          <w:t>17</w:t>
        </w:r>
      </w:fldSimple>
      <w:bookmarkEnd w:id="270"/>
      <w:r w:rsidR="00E41B8C">
        <w:t xml:space="preserve">: </w:t>
      </w:r>
      <w:r>
        <w:t>Assumed hydrogen demand within each zone and time period considered in the model.</w:t>
      </w:r>
      <w:bookmarkEnd w:id="271"/>
      <w:bookmarkEnd w:id="272"/>
    </w:p>
    <w:tbl>
      <w:tblPr>
        <w:tblStyle w:val="PlainTable21"/>
        <w:tblW w:w="15593" w:type="dxa"/>
        <w:tblLayout w:type="fixed"/>
        <w:tblLook w:val="04A0" w:firstRow="1" w:lastRow="0" w:firstColumn="1" w:lastColumn="0" w:noHBand="0" w:noVBand="1"/>
      </w:tblPr>
      <w:tblGrid>
        <w:gridCol w:w="706"/>
        <w:gridCol w:w="4256"/>
        <w:gridCol w:w="1559"/>
        <w:gridCol w:w="1134"/>
        <w:gridCol w:w="1134"/>
        <w:gridCol w:w="992"/>
        <w:gridCol w:w="1134"/>
        <w:gridCol w:w="1134"/>
        <w:gridCol w:w="1044"/>
        <w:gridCol w:w="1244"/>
        <w:gridCol w:w="1246"/>
        <w:gridCol w:w="10"/>
      </w:tblGrid>
      <w:tr w:rsidR="00CF4D20" w:rsidRPr="003140D8" w14:paraId="34F10CF6" w14:textId="77777777" w:rsidTr="00CF4D20">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706" w:type="dxa"/>
            <w:vMerge w:val="restart"/>
            <w:noWrap/>
            <w:vAlign w:val="center"/>
            <w:hideMark/>
          </w:tcPr>
          <w:p w14:paraId="2591163D" w14:textId="09052D72" w:rsidR="00CF4D20" w:rsidRPr="00CF4D20" w:rsidRDefault="00CF4D20" w:rsidP="00CF4D20">
            <w:pPr>
              <w:spacing w:before="0" w:after="0"/>
              <w:jc w:val="center"/>
              <w:rPr>
                <w:rFonts w:ascii="Times New Roman" w:eastAsia="Times New Roman" w:hAnsi="Times New Roman" w:cs="Times New Roman"/>
                <w:sz w:val="20"/>
                <w:szCs w:val="20"/>
                <w:lang w:eastAsia="en-GB"/>
              </w:rPr>
            </w:pPr>
            <w:r w:rsidRPr="00CF4D20">
              <w:rPr>
                <w:rFonts w:eastAsia="Times New Roman" w:cs="Arial"/>
                <w:color w:val="000000"/>
                <w:sz w:val="20"/>
                <w:szCs w:val="20"/>
                <w:lang w:eastAsia="en-GB"/>
              </w:rPr>
              <w:t>Zone</w:t>
            </w:r>
          </w:p>
        </w:tc>
        <w:tc>
          <w:tcPr>
            <w:tcW w:w="4256" w:type="dxa"/>
            <w:vMerge w:val="restart"/>
            <w:noWrap/>
            <w:vAlign w:val="center"/>
            <w:hideMark/>
          </w:tcPr>
          <w:p w14:paraId="4A0ED988" w14:textId="7CC0F5FF" w:rsidR="00CF4D20" w:rsidRPr="00CF4D20" w:rsidRDefault="00CF4D20" w:rsidP="00CF4D2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CF4D20">
              <w:rPr>
                <w:rFonts w:eastAsia="Times New Roman" w:cs="Arial"/>
                <w:color w:val="000000"/>
                <w:sz w:val="20"/>
                <w:szCs w:val="20"/>
                <w:lang w:eastAsia="en-GB"/>
              </w:rPr>
              <w:t>Name</w:t>
            </w:r>
          </w:p>
        </w:tc>
        <w:tc>
          <w:tcPr>
            <w:tcW w:w="1559" w:type="dxa"/>
            <w:vMerge w:val="restart"/>
            <w:noWrap/>
            <w:vAlign w:val="center"/>
            <w:hideMark/>
          </w:tcPr>
          <w:p w14:paraId="36BC192A" w14:textId="7DB6F65B" w:rsidR="00CF4D20" w:rsidRPr="00CF4D20" w:rsidRDefault="00CF4D20" w:rsidP="00CF4D2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CF4D20">
              <w:rPr>
                <w:rFonts w:eastAsia="Times New Roman" w:cs="Arial"/>
                <w:color w:val="000000"/>
                <w:sz w:val="20"/>
                <w:szCs w:val="20"/>
                <w:lang w:eastAsia="en-GB"/>
              </w:rPr>
              <w:t>Population</w:t>
            </w:r>
          </w:p>
        </w:tc>
        <w:tc>
          <w:tcPr>
            <w:tcW w:w="1134" w:type="dxa"/>
            <w:vMerge w:val="restart"/>
            <w:noWrap/>
            <w:vAlign w:val="center"/>
            <w:hideMark/>
          </w:tcPr>
          <w:p w14:paraId="691E232B" w14:textId="652B3CA9" w:rsidR="00CF4D20" w:rsidRPr="00CF4D20" w:rsidRDefault="00CF4D20" w:rsidP="00CF4D2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CF4D20">
              <w:rPr>
                <w:rFonts w:eastAsia="Times New Roman" w:cs="Arial"/>
                <w:color w:val="000000"/>
                <w:sz w:val="20"/>
                <w:szCs w:val="20"/>
                <w:lang w:eastAsia="en-GB"/>
              </w:rPr>
              <w:t>Proportion</w:t>
            </w:r>
          </w:p>
        </w:tc>
        <w:tc>
          <w:tcPr>
            <w:tcW w:w="7938" w:type="dxa"/>
            <w:gridSpan w:val="8"/>
            <w:noWrap/>
            <w:hideMark/>
          </w:tcPr>
          <w:p w14:paraId="44380A54" w14:textId="77777777" w:rsidR="00CF4D20" w:rsidRPr="003140D8" w:rsidRDefault="00CF4D20" w:rsidP="0030755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20"/>
                <w:szCs w:val="20"/>
                <w:lang w:eastAsia="en-GB"/>
              </w:rPr>
            </w:pPr>
            <w:r w:rsidRPr="003140D8">
              <w:rPr>
                <w:rFonts w:eastAsia="Times New Roman" w:cs="Arial"/>
                <w:i/>
                <w:iCs/>
                <w:color w:val="000000"/>
                <w:sz w:val="20"/>
                <w:szCs w:val="20"/>
                <w:lang w:eastAsia="en-GB"/>
              </w:rPr>
              <w:t>Demand (GWh/Year)</w:t>
            </w:r>
          </w:p>
        </w:tc>
      </w:tr>
      <w:tr w:rsidR="00CF4D20" w:rsidRPr="003140D8" w14:paraId="6CDF04EA"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70"/>
        </w:trPr>
        <w:tc>
          <w:tcPr>
            <w:cnfStyle w:val="001000000000" w:firstRow="0" w:lastRow="0" w:firstColumn="1" w:lastColumn="0" w:oddVBand="0" w:evenVBand="0" w:oddHBand="0" w:evenHBand="0" w:firstRowFirstColumn="0" w:firstRowLastColumn="0" w:lastRowFirstColumn="0" w:lastRowLastColumn="0"/>
            <w:tcW w:w="706" w:type="dxa"/>
            <w:vMerge/>
            <w:noWrap/>
            <w:hideMark/>
          </w:tcPr>
          <w:p w14:paraId="1E8B080B" w14:textId="47E721B6" w:rsidR="00CF4D20" w:rsidRPr="003140D8" w:rsidRDefault="00CF4D20" w:rsidP="0030755E">
            <w:pPr>
              <w:spacing w:before="0" w:after="0"/>
              <w:jc w:val="center"/>
              <w:rPr>
                <w:rFonts w:eastAsia="Times New Roman" w:cs="Arial"/>
                <w:b w:val="0"/>
                <w:bCs w:val="0"/>
                <w:color w:val="000000"/>
                <w:sz w:val="20"/>
                <w:szCs w:val="20"/>
                <w:lang w:eastAsia="en-GB"/>
              </w:rPr>
            </w:pPr>
          </w:p>
        </w:tc>
        <w:tc>
          <w:tcPr>
            <w:tcW w:w="4256" w:type="dxa"/>
            <w:vMerge/>
            <w:noWrap/>
            <w:hideMark/>
          </w:tcPr>
          <w:p w14:paraId="56C05D32" w14:textId="4AE2E03A"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GB"/>
              </w:rPr>
            </w:pPr>
          </w:p>
        </w:tc>
        <w:tc>
          <w:tcPr>
            <w:tcW w:w="1559" w:type="dxa"/>
            <w:vMerge/>
            <w:noWrap/>
            <w:hideMark/>
          </w:tcPr>
          <w:p w14:paraId="2CC420C8" w14:textId="5188872F"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GB"/>
              </w:rPr>
            </w:pPr>
          </w:p>
        </w:tc>
        <w:tc>
          <w:tcPr>
            <w:tcW w:w="1134" w:type="dxa"/>
            <w:vMerge/>
            <w:noWrap/>
            <w:hideMark/>
          </w:tcPr>
          <w:p w14:paraId="7B2A556B" w14:textId="27403483"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GB"/>
              </w:rPr>
            </w:pPr>
          </w:p>
        </w:tc>
        <w:tc>
          <w:tcPr>
            <w:tcW w:w="1134" w:type="dxa"/>
            <w:noWrap/>
            <w:hideMark/>
          </w:tcPr>
          <w:p w14:paraId="221BF5FD"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2020</w:t>
            </w:r>
          </w:p>
        </w:tc>
        <w:tc>
          <w:tcPr>
            <w:tcW w:w="992" w:type="dxa"/>
            <w:noWrap/>
            <w:hideMark/>
          </w:tcPr>
          <w:p w14:paraId="25B8B82A"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2025</w:t>
            </w:r>
          </w:p>
        </w:tc>
        <w:tc>
          <w:tcPr>
            <w:tcW w:w="1134" w:type="dxa"/>
            <w:noWrap/>
            <w:hideMark/>
          </w:tcPr>
          <w:p w14:paraId="3A7DE126"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2030</w:t>
            </w:r>
          </w:p>
        </w:tc>
        <w:tc>
          <w:tcPr>
            <w:tcW w:w="1134" w:type="dxa"/>
            <w:noWrap/>
            <w:hideMark/>
          </w:tcPr>
          <w:p w14:paraId="0A3349FF"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2035</w:t>
            </w:r>
          </w:p>
        </w:tc>
        <w:tc>
          <w:tcPr>
            <w:tcW w:w="1044" w:type="dxa"/>
            <w:noWrap/>
            <w:hideMark/>
          </w:tcPr>
          <w:p w14:paraId="6CAA7148"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2040</w:t>
            </w:r>
          </w:p>
        </w:tc>
        <w:tc>
          <w:tcPr>
            <w:tcW w:w="1244" w:type="dxa"/>
            <w:noWrap/>
            <w:hideMark/>
          </w:tcPr>
          <w:p w14:paraId="61C8D974"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2045</w:t>
            </w:r>
          </w:p>
        </w:tc>
        <w:tc>
          <w:tcPr>
            <w:tcW w:w="1246" w:type="dxa"/>
            <w:noWrap/>
            <w:hideMark/>
          </w:tcPr>
          <w:p w14:paraId="714B328B" w14:textId="77777777" w:rsidR="00CF4D20" w:rsidRPr="003140D8" w:rsidRDefault="00CF4D20"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2050</w:t>
            </w:r>
          </w:p>
        </w:tc>
      </w:tr>
      <w:tr w:rsidR="00F07001" w:rsidRPr="003140D8" w14:paraId="7E2EF9E0" w14:textId="77777777" w:rsidTr="00CF4D20">
        <w:trPr>
          <w:gridAfter w:val="1"/>
          <w:wAfter w:w="10" w:type="dxa"/>
          <w:trHeight w:val="70"/>
        </w:trPr>
        <w:tc>
          <w:tcPr>
            <w:cnfStyle w:val="001000000000" w:firstRow="0" w:lastRow="0" w:firstColumn="1" w:lastColumn="0" w:oddVBand="0" w:evenVBand="0" w:oddHBand="0" w:evenHBand="0" w:firstRowFirstColumn="0" w:firstRowLastColumn="0" w:lastRowFirstColumn="0" w:lastRowLastColumn="0"/>
            <w:tcW w:w="706" w:type="dxa"/>
            <w:hideMark/>
          </w:tcPr>
          <w:p w14:paraId="42CC801D"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w:t>
            </w:r>
          </w:p>
        </w:tc>
        <w:tc>
          <w:tcPr>
            <w:tcW w:w="4256" w:type="dxa"/>
            <w:hideMark/>
          </w:tcPr>
          <w:p w14:paraId="3A5BC329"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Bedfordshire and Hertfordshire</w:t>
            </w:r>
          </w:p>
        </w:tc>
        <w:tc>
          <w:tcPr>
            <w:tcW w:w="1559" w:type="dxa"/>
            <w:noWrap/>
            <w:hideMark/>
          </w:tcPr>
          <w:p w14:paraId="6D5AC19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1,853,710.00</w:t>
            </w:r>
          </w:p>
        </w:tc>
        <w:tc>
          <w:tcPr>
            <w:tcW w:w="1134" w:type="dxa"/>
            <w:noWrap/>
            <w:hideMark/>
          </w:tcPr>
          <w:p w14:paraId="4DC121C2"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0.0287</w:t>
            </w:r>
          </w:p>
        </w:tc>
        <w:tc>
          <w:tcPr>
            <w:tcW w:w="1134" w:type="dxa"/>
            <w:noWrap/>
            <w:hideMark/>
          </w:tcPr>
          <w:p w14:paraId="0538E4F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113.85</w:t>
            </w:r>
          </w:p>
        </w:tc>
        <w:tc>
          <w:tcPr>
            <w:tcW w:w="992" w:type="dxa"/>
            <w:noWrap/>
            <w:hideMark/>
          </w:tcPr>
          <w:p w14:paraId="72B4E19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398.49</w:t>
            </w:r>
          </w:p>
        </w:tc>
        <w:tc>
          <w:tcPr>
            <w:tcW w:w="1134" w:type="dxa"/>
            <w:noWrap/>
            <w:hideMark/>
          </w:tcPr>
          <w:p w14:paraId="203F8CD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853.91</w:t>
            </w:r>
          </w:p>
        </w:tc>
        <w:tc>
          <w:tcPr>
            <w:tcW w:w="1134" w:type="dxa"/>
            <w:noWrap/>
            <w:hideMark/>
          </w:tcPr>
          <w:p w14:paraId="4109E67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1,423.18</w:t>
            </w:r>
          </w:p>
        </w:tc>
        <w:tc>
          <w:tcPr>
            <w:tcW w:w="1044" w:type="dxa"/>
            <w:noWrap/>
            <w:hideMark/>
          </w:tcPr>
          <w:p w14:paraId="33DC754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1,992.45</w:t>
            </w:r>
          </w:p>
        </w:tc>
        <w:tc>
          <w:tcPr>
            <w:tcW w:w="1244" w:type="dxa"/>
            <w:noWrap/>
            <w:hideMark/>
          </w:tcPr>
          <w:p w14:paraId="2B8CB25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2,504.79</w:t>
            </w:r>
          </w:p>
        </w:tc>
        <w:tc>
          <w:tcPr>
            <w:tcW w:w="1246" w:type="dxa"/>
            <w:noWrap/>
            <w:hideMark/>
          </w:tcPr>
          <w:p w14:paraId="4FA1686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2,846.35</w:t>
            </w:r>
          </w:p>
        </w:tc>
      </w:tr>
      <w:tr w:rsidR="00F07001" w:rsidRPr="003140D8" w14:paraId="6236A7BA"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243"/>
        </w:trPr>
        <w:tc>
          <w:tcPr>
            <w:cnfStyle w:val="001000000000" w:firstRow="0" w:lastRow="0" w:firstColumn="1" w:lastColumn="0" w:oddVBand="0" w:evenVBand="0" w:oddHBand="0" w:evenHBand="0" w:firstRowFirstColumn="0" w:firstRowLastColumn="0" w:lastRowFirstColumn="0" w:lastRowLastColumn="0"/>
            <w:tcW w:w="706" w:type="dxa"/>
            <w:hideMark/>
          </w:tcPr>
          <w:p w14:paraId="6B350AFF"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w:t>
            </w:r>
          </w:p>
        </w:tc>
        <w:tc>
          <w:tcPr>
            <w:tcW w:w="4256" w:type="dxa"/>
            <w:hideMark/>
          </w:tcPr>
          <w:p w14:paraId="6CF3C5F4"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Berkshire, Buckinghamshire, and Oxfordshire</w:t>
            </w:r>
          </w:p>
        </w:tc>
        <w:tc>
          <w:tcPr>
            <w:tcW w:w="1559" w:type="dxa"/>
            <w:noWrap/>
            <w:hideMark/>
          </w:tcPr>
          <w:p w14:paraId="5EFE227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2,407,590.00</w:t>
            </w:r>
          </w:p>
        </w:tc>
        <w:tc>
          <w:tcPr>
            <w:tcW w:w="1134" w:type="dxa"/>
            <w:noWrap/>
            <w:hideMark/>
          </w:tcPr>
          <w:p w14:paraId="567C2C2E"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0.0373</w:t>
            </w:r>
          </w:p>
        </w:tc>
        <w:tc>
          <w:tcPr>
            <w:tcW w:w="1134" w:type="dxa"/>
            <w:noWrap/>
            <w:hideMark/>
          </w:tcPr>
          <w:p w14:paraId="74B7C67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147.87</w:t>
            </w:r>
          </w:p>
        </w:tc>
        <w:tc>
          <w:tcPr>
            <w:tcW w:w="992" w:type="dxa"/>
            <w:noWrap/>
            <w:hideMark/>
          </w:tcPr>
          <w:p w14:paraId="4945905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517.56</w:t>
            </w:r>
          </w:p>
        </w:tc>
        <w:tc>
          <w:tcPr>
            <w:tcW w:w="1134" w:type="dxa"/>
            <w:noWrap/>
            <w:hideMark/>
          </w:tcPr>
          <w:p w14:paraId="0CBEE34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1,109.05</w:t>
            </w:r>
          </w:p>
        </w:tc>
        <w:tc>
          <w:tcPr>
            <w:tcW w:w="1134" w:type="dxa"/>
            <w:noWrap/>
            <w:hideMark/>
          </w:tcPr>
          <w:p w14:paraId="1221B87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1,848.41</w:t>
            </w:r>
          </w:p>
        </w:tc>
        <w:tc>
          <w:tcPr>
            <w:tcW w:w="1044" w:type="dxa"/>
            <w:noWrap/>
            <w:hideMark/>
          </w:tcPr>
          <w:p w14:paraId="32AE8460"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2,587.78</w:t>
            </w:r>
          </w:p>
        </w:tc>
        <w:tc>
          <w:tcPr>
            <w:tcW w:w="1244" w:type="dxa"/>
            <w:noWrap/>
            <w:hideMark/>
          </w:tcPr>
          <w:p w14:paraId="6C1913D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3,253.21</w:t>
            </w:r>
          </w:p>
        </w:tc>
        <w:tc>
          <w:tcPr>
            <w:tcW w:w="1246" w:type="dxa"/>
            <w:noWrap/>
            <w:hideMark/>
          </w:tcPr>
          <w:p w14:paraId="191BFFF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3,696.83</w:t>
            </w:r>
          </w:p>
        </w:tc>
      </w:tr>
      <w:tr w:rsidR="00F07001" w:rsidRPr="003140D8" w14:paraId="662531E1" w14:textId="77777777" w:rsidTr="00CF4D20">
        <w:trPr>
          <w:gridAfter w:val="1"/>
          <w:wAfter w:w="10" w:type="dxa"/>
          <w:trHeight w:val="70"/>
        </w:trPr>
        <w:tc>
          <w:tcPr>
            <w:cnfStyle w:val="001000000000" w:firstRow="0" w:lastRow="0" w:firstColumn="1" w:lastColumn="0" w:oddVBand="0" w:evenVBand="0" w:oddHBand="0" w:evenHBand="0" w:firstRowFirstColumn="0" w:firstRowLastColumn="0" w:lastRowFirstColumn="0" w:lastRowLastColumn="0"/>
            <w:tcW w:w="706" w:type="dxa"/>
            <w:hideMark/>
          </w:tcPr>
          <w:p w14:paraId="65CD68FA"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3</w:t>
            </w:r>
          </w:p>
        </w:tc>
        <w:tc>
          <w:tcPr>
            <w:tcW w:w="4256" w:type="dxa"/>
            <w:hideMark/>
          </w:tcPr>
          <w:p w14:paraId="144139EE"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Cheshire</w:t>
            </w:r>
          </w:p>
        </w:tc>
        <w:tc>
          <w:tcPr>
            <w:tcW w:w="1559" w:type="dxa"/>
            <w:noWrap/>
            <w:hideMark/>
          </w:tcPr>
          <w:p w14:paraId="255823A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1,059,270.00</w:t>
            </w:r>
          </w:p>
        </w:tc>
        <w:tc>
          <w:tcPr>
            <w:tcW w:w="1134" w:type="dxa"/>
            <w:noWrap/>
            <w:hideMark/>
          </w:tcPr>
          <w:p w14:paraId="415C5605"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0.0164</w:t>
            </w:r>
          </w:p>
        </w:tc>
        <w:tc>
          <w:tcPr>
            <w:tcW w:w="1134" w:type="dxa"/>
            <w:noWrap/>
            <w:hideMark/>
          </w:tcPr>
          <w:p w14:paraId="0E5CD8E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65.06</w:t>
            </w:r>
          </w:p>
        </w:tc>
        <w:tc>
          <w:tcPr>
            <w:tcW w:w="992" w:type="dxa"/>
            <w:noWrap/>
            <w:hideMark/>
          </w:tcPr>
          <w:p w14:paraId="1AFAF78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227.71</w:t>
            </w:r>
          </w:p>
        </w:tc>
        <w:tc>
          <w:tcPr>
            <w:tcW w:w="1134" w:type="dxa"/>
            <w:noWrap/>
            <w:hideMark/>
          </w:tcPr>
          <w:p w14:paraId="28F5EFE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487.95</w:t>
            </w:r>
          </w:p>
        </w:tc>
        <w:tc>
          <w:tcPr>
            <w:tcW w:w="1134" w:type="dxa"/>
            <w:noWrap/>
            <w:hideMark/>
          </w:tcPr>
          <w:p w14:paraId="7E02055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813.25</w:t>
            </w:r>
          </w:p>
        </w:tc>
        <w:tc>
          <w:tcPr>
            <w:tcW w:w="1044" w:type="dxa"/>
            <w:noWrap/>
            <w:hideMark/>
          </w:tcPr>
          <w:p w14:paraId="2E93442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1,138.55</w:t>
            </w:r>
          </w:p>
        </w:tc>
        <w:tc>
          <w:tcPr>
            <w:tcW w:w="1244" w:type="dxa"/>
            <w:noWrap/>
            <w:hideMark/>
          </w:tcPr>
          <w:p w14:paraId="62A96CF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1,431.32</w:t>
            </w:r>
          </w:p>
        </w:tc>
        <w:tc>
          <w:tcPr>
            <w:tcW w:w="1246" w:type="dxa"/>
            <w:noWrap/>
            <w:hideMark/>
          </w:tcPr>
          <w:p w14:paraId="18C55A4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1,626.50</w:t>
            </w:r>
          </w:p>
        </w:tc>
      </w:tr>
      <w:tr w:rsidR="00F07001" w:rsidRPr="003140D8" w14:paraId="2FF8EA22"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70"/>
        </w:trPr>
        <w:tc>
          <w:tcPr>
            <w:cnfStyle w:val="001000000000" w:firstRow="0" w:lastRow="0" w:firstColumn="1" w:lastColumn="0" w:oddVBand="0" w:evenVBand="0" w:oddHBand="0" w:evenHBand="0" w:firstRowFirstColumn="0" w:firstRowLastColumn="0" w:lastRowFirstColumn="0" w:lastRowLastColumn="0"/>
            <w:tcW w:w="706" w:type="dxa"/>
            <w:hideMark/>
          </w:tcPr>
          <w:p w14:paraId="3BF767A5"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4</w:t>
            </w:r>
          </w:p>
        </w:tc>
        <w:tc>
          <w:tcPr>
            <w:tcW w:w="4256" w:type="dxa"/>
            <w:hideMark/>
          </w:tcPr>
          <w:p w14:paraId="1D4FF5CB"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Cornwall and Isles of Scilly</w:t>
            </w:r>
          </w:p>
        </w:tc>
        <w:tc>
          <w:tcPr>
            <w:tcW w:w="1559" w:type="dxa"/>
            <w:noWrap/>
            <w:hideMark/>
          </w:tcPr>
          <w:p w14:paraId="1F951FD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568,210.00</w:t>
            </w:r>
          </w:p>
        </w:tc>
        <w:tc>
          <w:tcPr>
            <w:tcW w:w="1134" w:type="dxa"/>
            <w:noWrap/>
            <w:hideMark/>
          </w:tcPr>
          <w:p w14:paraId="36F39D07"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0.0088</w:t>
            </w:r>
          </w:p>
        </w:tc>
        <w:tc>
          <w:tcPr>
            <w:tcW w:w="1134" w:type="dxa"/>
            <w:noWrap/>
            <w:hideMark/>
          </w:tcPr>
          <w:p w14:paraId="3ADBDD2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34.90</w:t>
            </w:r>
          </w:p>
        </w:tc>
        <w:tc>
          <w:tcPr>
            <w:tcW w:w="992" w:type="dxa"/>
            <w:noWrap/>
            <w:hideMark/>
          </w:tcPr>
          <w:p w14:paraId="1FC0D3B4"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122.15</w:t>
            </w:r>
          </w:p>
        </w:tc>
        <w:tc>
          <w:tcPr>
            <w:tcW w:w="1134" w:type="dxa"/>
            <w:noWrap/>
            <w:hideMark/>
          </w:tcPr>
          <w:p w14:paraId="4386576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261.74</w:t>
            </w:r>
          </w:p>
        </w:tc>
        <w:tc>
          <w:tcPr>
            <w:tcW w:w="1134" w:type="dxa"/>
            <w:noWrap/>
            <w:hideMark/>
          </w:tcPr>
          <w:p w14:paraId="13D3573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436.24</w:t>
            </w:r>
          </w:p>
        </w:tc>
        <w:tc>
          <w:tcPr>
            <w:tcW w:w="1044" w:type="dxa"/>
            <w:noWrap/>
            <w:hideMark/>
          </w:tcPr>
          <w:p w14:paraId="2DC6BD0B"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610.74</w:t>
            </w:r>
          </w:p>
        </w:tc>
        <w:tc>
          <w:tcPr>
            <w:tcW w:w="1244" w:type="dxa"/>
            <w:noWrap/>
            <w:hideMark/>
          </w:tcPr>
          <w:p w14:paraId="3C4F087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767.78</w:t>
            </w:r>
          </w:p>
        </w:tc>
        <w:tc>
          <w:tcPr>
            <w:tcW w:w="1246" w:type="dxa"/>
            <w:noWrap/>
            <w:hideMark/>
          </w:tcPr>
          <w:p w14:paraId="3F04A34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872.48</w:t>
            </w:r>
          </w:p>
        </w:tc>
      </w:tr>
      <w:tr w:rsidR="00F07001" w:rsidRPr="003140D8" w14:paraId="13C8AE5B" w14:textId="77777777" w:rsidTr="00CF4D20">
        <w:trPr>
          <w:gridAfter w:val="1"/>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7B3AE02E"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5</w:t>
            </w:r>
          </w:p>
        </w:tc>
        <w:tc>
          <w:tcPr>
            <w:tcW w:w="4256" w:type="dxa"/>
            <w:hideMark/>
          </w:tcPr>
          <w:p w14:paraId="1CB75001"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Cumbria</w:t>
            </w:r>
          </w:p>
        </w:tc>
        <w:tc>
          <w:tcPr>
            <w:tcW w:w="1559" w:type="dxa"/>
            <w:noWrap/>
            <w:hideMark/>
          </w:tcPr>
          <w:p w14:paraId="3F85039D"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498,890.00</w:t>
            </w:r>
          </w:p>
        </w:tc>
        <w:tc>
          <w:tcPr>
            <w:tcW w:w="1134" w:type="dxa"/>
            <w:noWrap/>
            <w:hideMark/>
          </w:tcPr>
          <w:p w14:paraId="6CE8824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0.0077</w:t>
            </w:r>
          </w:p>
        </w:tc>
        <w:tc>
          <w:tcPr>
            <w:tcW w:w="1134" w:type="dxa"/>
            <w:noWrap/>
            <w:hideMark/>
          </w:tcPr>
          <w:p w14:paraId="2EDB2C1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30.64</w:t>
            </w:r>
          </w:p>
        </w:tc>
        <w:tc>
          <w:tcPr>
            <w:tcW w:w="992" w:type="dxa"/>
            <w:noWrap/>
            <w:hideMark/>
          </w:tcPr>
          <w:p w14:paraId="29368AA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107.25</w:t>
            </w:r>
          </w:p>
        </w:tc>
        <w:tc>
          <w:tcPr>
            <w:tcW w:w="1134" w:type="dxa"/>
            <w:noWrap/>
            <w:hideMark/>
          </w:tcPr>
          <w:p w14:paraId="2C70FF0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229.81</w:t>
            </w:r>
          </w:p>
        </w:tc>
        <w:tc>
          <w:tcPr>
            <w:tcW w:w="1134" w:type="dxa"/>
            <w:noWrap/>
            <w:hideMark/>
          </w:tcPr>
          <w:p w14:paraId="05F4A6C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383.02</w:t>
            </w:r>
          </w:p>
        </w:tc>
        <w:tc>
          <w:tcPr>
            <w:tcW w:w="1044" w:type="dxa"/>
            <w:noWrap/>
            <w:hideMark/>
          </w:tcPr>
          <w:p w14:paraId="15AE139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536.23</w:t>
            </w:r>
          </w:p>
        </w:tc>
        <w:tc>
          <w:tcPr>
            <w:tcW w:w="1244" w:type="dxa"/>
            <w:noWrap/>
            <w:hideMark/>
          </w:tcPr>
          <w:p w14:paraId="5231E9F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674.12</w:t>
            </w:r>
          </w:p>
        </w:tc>
        <w:tc>
          <w:tcPr>
            <w:tcW w:w="1246" w:type="dxa"/>
            <w:noWrap/>
            <w:hideMark/>
          </w:tcPr>
          <w:p w14:paraId="5FE949F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766.04</w:t>
            </w:r>
          </w:p>
        </w:tc>
      </w:tr>
      <w:tr w:rsidR="00F07001" w:rsidRPr="003140D8" w14:paraId="2215CFB0"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4D5900F"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6</w:t>
            </w:r>
          </w:p>
        </w:tc>
        <w:tc>
          <w:tcPr>
            <w:tcW w:w="4256" w:type="dxa"/>
            <w:hideMark/>
          </w:tcPr>
          <w:p w14:paraId="60044F5D"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Derbyshire and Nottinghamshire</w:t>
            </w:r>
          </w:p>
        </w:tc>
        <w:tc>
          <w:tcPr>
            <w:tcW w:w="1559" w:type="dxa"/>
            <w:noWrap/>
            <w:hideMark/>
          </w:tcPr>
          <w:p w14:paraId="20657A4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2,207,520.00</w:t>
            </w:r>
          </w:p>
        </w:tc>
        <w:tc>
          <w:tcPr>
            <w:tcW w:w="1134" w:type="dxa"/>
            <w:noWrap/>
            <w:hideMark/>
          </w:tcPr>
          <w:p w14:paraId="7011BBCE"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0.0342</w:t>
            </w:r>
          </w:p>
        </w:tc>
        <w:tc>
          <w:tcPr>
            <w:tcW w:w="1134" w:type="dxa"/>
            <w:noWrap/>
            <w:hideMark/>
          </w:tcPr>
          <w:p w14:paraId="735EB3E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135.58</w:t>
            </w:r>
          </w:p>
        </w:tc>
        <w:tc>
          <w:tcPr>
            <w:tcW w:w="992" w:type="dxa"/>
            <w:noWrap/>
            <w:hideMark/>
          </w:tcPr>
          <w:p w14:paraId="1327F49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474.55</w:t>
            </w:r>
          </w:p>
        </w:tc>
        <w:tc>
          <w:tcPr>
            <w:tcW w:w="1134" w:type="dxa"/>
            <w:noWrap/>
            <w:hideMark/>
          </w:tcPr>
          <w:p w14:paraId="7EDF18B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1,016.89</w:t>
            </w:r>
          </w:p>
        </w:tc>
        <w:tc>
          <w:tcPr>
            <w:tcW w:w="1134" w:type="dxa"/>
            <w:noWrap/>
            <w:hideMark/>
          </w:tcPr>
          <w:p w14:paraId="4FC36EA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1,694.81</w:t>
            </w:r>
          </w:p>
        </w:tc>
        <w:tc>
          <w:tcPr>
            <w:tcW w:w="1044" w:type="dxa"/>
            <w:noWrap/>
            <w:hideMark/>
          </w:tcPr>
          <w:p w14:paraId="1779F98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2,372.74</w:t>
            </w:r>
          </w:p>
        </w:tc>
        <w:tc>
          <w:tcPr>
            <w:tcW w:w="1244" w:type="dxa"/>
            <w:noWrap/>
            <w:hideMark/>
          </w:tcPr>
          <w:p w14:paraId="3D66949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2,982.87</w:t>
            </w:r>
          </w:p>
        </w:tc>
        <w:tc>
          <w:tcPr>
            <w:tcW w:w="1246" w:type="dxa"/>
            <w:noWrap/>
            <w:hideMark/>
          </w:tcPr>
          <w:p w14:paraId="235F824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3,389.62</w:t>
            </w:r>
          </w:p>
        </w:tc>
      </w:tr>
      <w:tr w:rsidR="00F07001" w:rsidRPr="003140D8" w14:paraId="658EECCA" w14:textId="77777777" w:rsidTr="00CF4D20">
        <w:trPr>
          <w:gridAfter w:val="1"/>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39CD4A03"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7</w:t>
            </w:r>
          </w:p>
        </w:tc>
        <w:tc>
          <w:tcPr>
            <w:tcW w:w="4256" w:type="dxa"/>
            <w:hideMark/>
          </w:tcPr>
          <w:p w14:paraId="139D1BFA"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Devon</w:t>
            </w:r>
          </w:p>
        </w:tc>
        <w:tc>
          <w:tcPr>
            <w:tcW w:w="1559" w:type="dxa"/>
            <w:noWrap/>
            <w:hideMark/>
          </w:tcPr>
          <w:p w14:paraId="0D46F2DB"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1,194,170.00</w:t>
            </w:r>
          </w:p>
        </w:tc>
        <w:tc>
          <w:tcPr>
            <w:tcW w:w="1134" w:type="dxa"/>
            <w:noWrap/>
            <w:hideMark/>
          </w:tcPr>
          <w:p w14:paraId="75DF7566"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0.0185</w:t>
            </w:r>
          </w:p>
        </w:tc>
        <w:tc>
          <w:tcPr>
            <w:tcW w:w="1134" w:type="dxa"/>
            <w:noWrap/>
            <w:hideMark/>
          </w:tcPr>
          <w:p w14:paraId="18A7D2F4"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73.35</w:t>
            </w:r>
          </w:p>
        </w:tc>
        <w:tc>
          <w:tcPr>
            <w:tcW w:w="992" w:type="dxa"/>
            <w:noWrap/>
            <w:hideMark/>
          </w:tcPr>
          <w:p w14:paraId="795488B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256.71</w:t>
            </w:r>
          </w:p>
        </w:tc>
        <w:tc>
          <w:tcPr>
            <w:tcW w:w="1134" w:type="dxa"/>
            <w:noWrap/>
            <w:hideMark/>
          </w:tcPr>
          <w:p w14:paraId="3B0DEFE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550.09</w:t>
            </w:r>
          </w:p>
        </w:tc>
        <w:tc>
          <w:tcPr>
            <w:tcW w:w="1134" w:type="dxa"/>
            <w:noWrap/>
            <w:hideMark/>
          </w:tcPr>
          <w:p w14:paraId="20B88074"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916.82</w:t>
            </w:r>
          </w:p>
        </w:tc>
        <w:tc>
          <w:tcPr>
            <w:tcW w:w="1044" w:type="dxa"/>
            <w:noWrap/>
            <w:hideMark/>
          </w:tcPr>
          <w:p w14:paraId="6124A354"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1,283.54</w:t>
            </w:r>
          </w:p>
        </w:tc>
        <w:tc>
          <w:tcPr>
            <w:tcW w:w="1244" w:type="dxa"/>
            <w:noWrap/>
            <w:hideMark/>
          </w:tcPr>
          <w:p w14:paraId="559AA867"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1,613.60</w:t>
            </w:r>
          </w:p>
        </w:tc>
        <w:tc>
          <w:tcPr>
            <w:tcW w:w="1246" w:type="dxa"/>
            <w:noWrap/>
            <w:hideMark/>
          </w:tcPr>
          <w:p w14:paraId="293B5DE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1,833.64</w:t>
            </w:r>
          </w:p>
        </w:tc>
      </w:tr>
      <w:tr w:rsidR="00F07001" w:rsidRPr="003140D8" w14:paraId="7CE8ED81"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371EFB38"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8</w:t>
            </w:r>
          </w:p>
        </w:tc>
        <w:tc>
          <w:tcPr>
            <w:tcW w:w="4256" w:type="dxa"/>
            <w:hideMark/>
          </w:tcPr>
          <w:p w14:paraId="3A985428"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Dorset and Somerset</w:t>
            </w:r>
          </w:p>
        </w:tc>
        <w:tc>
          <w:tcPr>
            <w:tcW w:w="1559" w:type="dxa"/>
            <w:noWrap/>
            <w:hideMark/>
          </w:tcPr>
          <w:p w14:paraId="00E160F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1,737,690.00</w:t>
            </w:r>
          </w:p>
        </w:tc>
        <w:tc>
          <w:tcPr>
            <w:tcW w:w="1134" w:type="dxa"/>
            <w:noWrap/>
            <w:hideMark/>
          </w:tcPr>
          <w:p w14:paraId="6150D24B"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0.0269</w:t>
            </w:r>
          </w:p>
        </w:tc>
        <w:tc>
          <w:tcPr>
            <w:tcW w:w="1134" w:type="dxa"/>
            <w:noWrap/>
            <w:hideMark/>
          </w:tcPr>
          <w:p w14:paraId="74A071CB"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106.73</w:t>
            </w:r>
          </w:p>
        </w:tc>
        <w:tc>
          <w:tcPr>
            <w:tcW w:w="992" w:type="dxa"/>
            <w:noWrap/>
            <w:hideMark/>
          </w:tcPr>
          <w:p w14:paraId="4A3A694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373.55</w:t>
            </w:r>
          </w:p>
        </w:tc>
        <w:tc>
          <w:tcPr>
            <w:tcW w:w="1134" w:type="dxa"/>
            <w:noWrap/>
            <w:hideMark/>
          </w:tcPr>
          <w:p w14:paraId="3DE60F2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800.46</w:t>
            </w:r>
          </w:p>
        </w:tc>
        <w:tc>
          <w:tcPr>
            <w:tcW w:w="1134" w:type="dxa"/>
            <w:noWrap/>
            <w:hideMark/>
          </w:tcPr>
          <w:p w14:paraId="3DDF374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1,334.10</w:t>
            </w:r>
          </w:p>
        </w:tc>
        <w:tc>
          <w:tcPr>
            <w:tcW w:w="1044" w:type="dxa"/>
            <w:noWrap/>
            <w:hideMark/>
          </w:tcPr>
          <w:p w14:paraId="3757C9C0"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1,867.74</w:t>
            </w:r>
          </w:p>
        </w:tc>
        <w:tc>
          <w:tcPr>
            <w:tcW w:w="1244" w:type="dxa"/>
            <w:noWrap/>
            <w:hideMark/>
          </w:tcPr>
          <w:p w14:paraId="3DE39E5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2,348.02</w:t>
            </w:r>
          </w:p>
        </w:tc>
        <w:tc>
          <w:tcPr>
            <w:tcW w:w="1246" w:type="dxa"/>
            <w:noWrap/>
            <w:hideMark/>
          </w:tcPr>
          <w:p w14:paraId="603F714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2,668.20</w:t>
            </w:r>
          </w:p>
        </w:tc>
      </w:tr>
      <w:tr w:rsidR="00F07001" w:rsidRPr="003140D8" w14:paraId="57C35B69" w14:textId="77777777" w:rsidTr="00CF4D20">
        <w:trPr>
          <w:gridAfter w:val="1"/>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0EEC69B9"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9</w:t>
            </w:r>
          </w:p>
        </w:tc>
        <w:tc>
          <w:tcPr>
            <w:tcW w:w="4256" w:type="dxa"/>
            <w:hideMark/>
          </w:tcPr>
          <w:p w14:paraId="1EA09B6D"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East Anglia</w:t>
            </w:r>
          </w:p>
        </w:tc>
        <w:tc>
          <w:tcPr>
            <w:tcW w:w="1559" w:type="dxa"/>
            <w:noWrap/>
            <w:hideMark/>
          </w:tcPr>
          <w:p w14:paraId="1277677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2,514,760.00</w:t>
            </w:r>
          </w:p>
        </w:tc>
        <w:tc>
          <w:tcPr>
            <w:tcW w:w="1134" w:type="dxa"/>
            <w:noWrap/>
            <w:hideMark/>
          </w:tcPr>
          <w:p w14:paraId="09C7E811"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0.0390</w:t>
            </w:r>
          </w:p>
        </w:tc>
        <w:tc>
          <w:tcPr>
            <w:tcW w:w="1134" w:type="dxa"/>
            <w:noWrap/>
            <w:hideMark/>
          </w:tcPr>
          <w:p w14:paraId="551E866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154.46</w:t>
            </w:r>
          </w:p>
        </w:tc>
        <w:tc>
          <w:tcPr>
            <w:tcW w:w="992" w:type="dxa"/>
            <w:noWrap/>
            <w:hideMark/>
          </w:tcPr>
          <w:p w14:paraId="0F16058B"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540.59</w:t>
            </w:r>
          </w:p>
        </w:tc>
        <w:tc>
          <w:tcPr>
            <w:tcW w:w="1134" w:type="dxa"/>
            <w:noWrap/>
            <w:hideMark/>
          </w:tcPr>
          <w:p w14:paraId="5ADF51D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1,158.42</w:t>
            </w:r>
          </w:p>
        </w:tc>
        <w:tc>
          <w:tcPr>
            <w:tcW w:w="1134" w:type="dxa"/>
            <w:noWrap/>
            <w:hideMark/>
          </w:tcPr>
          <w:p w14:paraId="4454066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1,930.69</w:t>
            </w:r>
          </w:p>
        </w:tc>
        <w:tc>
          <w:tcPr>
            <w:tcW w:w="1044" w:type="dxa"/>
            <w:noWrap/>
            <w:hideMark/>
          </w:tcPr>
          <w:p w14:paraId="6686F1C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2,702.97</w:t>
            </w:r>
          </w:p>
        </w:tc>
        <w:tc>
          <w:tcPr>
            <w:tcW w:w="1244" w:type="dxa"/>
            <w:noWrap/>
            <w:hideMark/>
          </w:tcPr>
          <w:p w14:paraId="61F5BD3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3,398.02</w:t>
            </w:r>
          </w:p>
        </w:tc>
        <w:tc>
          <w:tcPr>
            <w:tcW w:w="1246" w:type="dxa"/>
            <w:noWrap/>
            <w:hideMark/>
          </w:tcPr>
          <w:p w14:paraId="2B6834E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3,861.39</w:t>
            </w:r>
          </w:p>
        </w:tc>
      </w:tr>
      <w:tr w:rsidR="00F07001" w:rsidRPr="003140D8" w14:paraId="2C0335A8"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7C96B9E3"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10</w:t>
            </w:r>
          </w:p>
        </w:tc>
        <w:tc>
          <w:tcPr>
            <w:tcW w:w="4256" w:type="dxa"/>
            <w:hideMark/>
          </w:tcPr>
          <w:p w14:paraId="3D662523"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East Wales</w:t>
            </w:r>
          </w:p>
        </w:tc>
        <w:tc>
          <w:tcPr>
            <w:tcW w:w="1559" w:type="dxa"/>
            <w:noWrap/>
            <w:hideMark/>
          </w:tcPr>
          <w:p w14:paraId="12AB8A4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1,168,030.00</w:t>
            </w:r>
          </w:p>
        </w:tc>
        <w:tc>
          <w:tcPr>
            <w:tcW w:w="1134" w:type="dxa"/>
            <w:noWrap/>
            <w:hideMark/>
          </w:tcPr>
          <w:p w14:paraId="59E59CF7"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0.0181</w:t>
            </w:r>
          </w:p>
        </w:tc>
        <w:tc>
          <w:tcPr>
            <w:tcW w:w="1134" w:type="dxa"/>
            <w:noWrap/>
            <w:hideMark/>
          </w:tcPr>
          <w:p w14:paraId="58C3864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71.74</w:t>
            </w:r>
          </w:p>
        </w:tc>
        <w:tc>
          <w:tcPr>
            <w:tcW w:w="992" w:type="dxa"/>
            <w:noWrap/>
            <w:hideMark/>
          </w:tcPr>
          <w:p w14:paraId="6002FD6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251.09</w:t>
            </w:r>
          </w:p>
        </w:tc>
        <w:tc>
          <w:tcPr>
            <w:tcW w:w="1134" w:type="dxa"/>
            <w:noWrap/>
            <w:hideMark/>
          </w:tcPr>
          <w:p w14:paraId="6DC0275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538.05</w:t>
            </w:r>
          </w:p>
        </w:tc>
        <w:tc>
          <w:tcPr>
            <w:tcW w:w="1134" w:type="dxa"/>
            <w:noWrap/>
            <w:hideMark/>
          </w:tcPr>
          <w:p w14:paraId="7FB1328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896.75</w:t>
            </w:r>
          </w:p>
        </w:tc>
        <w:tc>
          <w:tcPr>
            <w:tcW w:w="1044" w:type="dxa"/>
            <w:noWrap/>
            <w:hideMark/>
          </w:tcPr>
          <w:p w14:paraId="4BEC58A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1,255.45</w:t>
            </w:r>
          </w:p>
        </w:tc>
        <w:tc>
          <w:tcPr>
            <w:tcW w:w="1244" w:type="dxa"/>
            <w:noWrap/>
            <w:hideMark/>
          </w:tcPr>
          <w:p w14:paraId="4512095C"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1,578.28</w:t>
            </w:r>
          </w:p>
        </w:tc>
        <w:tc>
          <w:tcPr>
            <w:tcW w:w="1246" w:type="dxa"/>
            <w:noWrap/>
            <w:hideMark/>
          </w:tcPr>
          <w:p w14:paraId="5FFDF094"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1,793.50</w:t>
            </w:r>
          </w:p>
        </w:tc>
      </w:tr>
      <w:tr w:rsidR="00F07001" w:rsidRPr="003140D8" w14:paraId="3CC4FC21" w14:textId="77777777" w:rsidTr="00CF4D20">
        <w:trPr>
          <w:gridAfter w:val="1"/>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22E4A59"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11</w:t>
            </w:r>
          </w:p>
        </w:tc>
        <w:tc>
          <w:tcPr>
            <w:tcW w:w="4256" w:type="dxa"/>
            <w:hideMark/>
          </w:tcPr>
          <w:p w14:paraId="14E6E36B"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East Yorkshire</w:t>
            </w:r>
          </w:p>
        </w:tc>
        <w:tc>
          <w:tcPr>
            <w:tcW w:w="1559" w:type="dxa"/>
            <w:noWrap/>
            <w:hideMark/>
          </w:tcPr>
          <w:p w14:paraId="78AF445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600,260.00</w:t>
            </w:r>
          </w:p>
        </w:tc>
        <w:tc>
          <w:tcPr>
            <w:tcW w:w="1134" w:type="dxa"/>
            <w:noWrap/>
            <w:hideMark/>
          </w:tcPr>
          <w:p w14:paraId="76DE31A5"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0.0093</w:t>
            </w:r>
          </w:p>
        </w:tc>
        <w:tc>
          <w:tcPr>
            <w:tcW w:w="1134" w:type="dxa"/>
            <w:noWrap/>
            <w:hideMark/>
          </w:tcPr>
          <w:p w14:paraId="4523780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36.87</w:t>
            </w:r>
          </w:p>
        </w:tc>
        <w:tc>
          <w:tcPr>
            <w:tcW w:w="992" w:type="dxa"/>
            <w:noWrap/>
            <w:hideMark/>
          </w:tcPr>
          <w:p w14:paraId="7CBFC24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129.04</w:t>
            </w:r>
          </w:p>
        </w:tc>
        <w:tc>
          <w:tcPr>
            <w:tcW w:w="1134" w:type="dxa"/>
            <w:noWrap/>
            <w:hideMark/>
          </w:tcPr>
          <w:p w14:paraId="638E4BE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276.51</w:t>
            </w:r>
          </w:p>
        </w:tc>
        <w:tc>
          <w:tcPr>
            <w:tcW w:w="1134" w:type="dxa"/>
            <w:noWrap/>
            <w:hideMark/>
          </w:tcPr>
          <w:p w14:paraId="6501E84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460.85</w:t>
            </w:r>
          </w:p>
        </w:tc>
        <w:tc>
          <w:tcPr>
            <w:tcW w:w="1044" w:type="dxa"/>
            <w:noWrap/>
            <w:hideMark/>
          </w:tcPr>
          <w:p w14:paraId="1537E69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645.18</w:t>
            </w:r>
          </w:p>
        </w:tc>
        <w:tc>
          <w:tcPr>
            <w:tcW w:w="1244" w:type="dxa"/>
            <w:noWrap/>
            <w:hideMark/>
          </w:tcPr>
          <w:p w14:paraId="1C954A87"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811.09</w:t>
            </w:r>
          </w:p>
        </w:tc>
        <w:tc>
          <w:tcPr>
            <w:tcW w:w="1246" w:type="dxa"/>
            <w:noWrap/>
            <w:hideMark/>
          </w:tcPr>
          <w:p w14:paraId="2658EE9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921.69</w:t>
            </w:r>
          </w:p>
        </w:tc>
      </w:tr>
      <w:tr w:rsidR="00F07001" w:rsidRPr="003140D8" w14:paraId="0E420259"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6C095474"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12</w:t>
            </w:r>
          </w:p>
        </w:tc>
        <w:tc>
          <w:tcPr>
            <w:tcW w:w="4256" w:type="dxa"/>
            <w:hideMark/>
          </w:tcPr>
          <w:p w14:paraId="3CF9D782"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Eastern Scotland</w:t>
            </w:r>
          </w:p>
        </w:tc>
        <w:tc>
          <w:tcPr>
            <w:tcW w:w="1559" w:type="dxa"/>
            <w:noWrap/>
            <w:hideMark/>
          </w:tcPr>
          <w:p w14:paraId="57CD695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2,158,500.00</w:t>
            </w:r>
          </w:p>
        </w:tc>
        <w:tc>
          <w:tcPr>
            <w:tcW w:w="1134" w:type="dxa"/>
            <w:noWrap/>
            <w:hideMark/>
          </w:tcPr>
          <w:p w14:paraId="7E4E597C"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0.0335</w:t>
            </w:r>
          </w:p>
        </w:tc>
        <w:tc>
          <w:tcPr>
            <w:tcW w:w="1134" w:type="dxa"/>
            <w:noWrap/>
            <w:hideMark/>
          </w:tcPr>
          <w:p w14:paraId="1ECBDD10"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132.57</w:t>
            </w:r>
          </w:p>
        </w:tc>
        <w:tc>
          <w:tcPr>
            <w:tcW w:w="992" w:type="dxa"/>
            <w:noWrap/>
            <w:hideMark/>
          </w:tcPr>
          <w:p w14:paraId="0DEC81C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464.01</w:t>
            </w:r>
          </w:p>
        </w:tc>
        <w:tc>
          <w:tcPr>
            <w:tcW w:w="1134" w:type="dxa"/>
            <w:noWrap/>
            <w:hideMark/>
          </w:tcPr>
          <w:p w14:paraId="453ACC3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994.31</w:t>
            </w:r>
          </w:p>
        </w:tc>
        <w:tc>
          <w:tcPr>
            <w:tcW w:w="1134" w:type="dxa"/>
            <w:noWrap/>
            <w:hideMark/>
          </w:tcPr>
          <w:p w14:paraId="7BBA150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1,657.18</w:t>
            </w:r>
          </w:p>
        </w:tc>
        <w:tc>
          <w:tcPr>
            <w:tcW w:w="1044" w:type="dxa"/>
            <w:noWrap/>
            <w:hideMark/>
          </w:tcPr>
          <w:p w14:paraId="2CC68C3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2,320.05</w:t>
            </w:r>
          </w:p>
        </w:tc>
        <w:tc>
          <w:tcPr>
            <w:tcW w:w="1244" w:type="dxa"/>
            <w:noWrap/>
            <w:hideMark/>
          </w:tcPr>
          <w:p w14:paraId="57FDAA1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2,916.63</w:t>
            </w:r>
          </w:p>
        </w:tc>
        <w:tc>
          <w:tcPr>
            <w:tcW w:w="1246" w:type="dxa"/>
            <w:noWrap/>
            <w:hideMark/>
          </w:tcPr>
          <w:p w14:paraId="3973103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3,314.35</w:t>
            </w:r>
          </w:p>
        </w:tc>
      </w:tr>
      <w:tr w:rsidR="00F07001" w:rsidRPr="003140D8" w14:paraId="74095B73" w14:textId="77777777" w:rsidTr="00CF4D20">
        <w:trPr>
          <w:gridAfter w:val="1"/>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560C72F"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13</w:t>
            </w:r>
          </w:p>
        </w:tc>
        <w:tc>
          <w:tcPr>
            <w:tcW w:w="4256" w:type="dxa"/>
            <w:hideMark/>
          </w:tcPr>
          <w:p w14:paraId="3CC6080D"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Essex</w:t>
            </w:r>
          </w:p>
        </w:tc>
        <w:tc>
          <w:tcPr>
            <w:tcW w:w="1559" w:type="dxa"/>
            <w:noWrap/>
            <w:hideMark/>
          </w:tcPr>
          <w:p w14:paraId="142FBA7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1,832,750.00</w:t>
            </w:r>
          </w:p>
        </w:tc>
        <w:tc>
          <w:tcPr>
            <w:tcW w:w="1134" w:type="dxa"/>
            <w:noWrap/>
            <w:hideMark/>
          </w:tcPr>
          <w:p w14:paraId="0611DFC5"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0.0284</w:t>
            </w:r>
          </w:p>
        </w:tc>
        <w:tc>
          <w:tcPr>
            <w:tcW w:w="1134" w:type="dxa"/>
            <w:noWrap/>
            <w:hideMark/>
          </w:tcPr>
          <w:p w14:paraId="76C24F4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112.57</w:t>
            </w:r>
          </w:p>
        </w:tc>
        <w:tc>
          <w:tcPr>
            <w:tcW w:w="992" w:type="dxa"/>
            <w:noWrap/>
            <w:hideMark/>
          </w:tcPr>
          <w:p w14:paraId="1769026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393.98</w:t>
            </w:r>
          </w:p>
        </w:tc>
        <w:tc>
          <w:tcPr>
            <w:tcW w:w="1134" w:type="dxa"/>
            <w:noWrap/>
            <w:hideMark/>
          </w:tcPr>
          <w:p w14:paraId="328F1E7D"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844.25</w:t>
            </w:r>
          </w:p>
        </w:tc>
        <w:tc>
          <w:tcPr>
            <w:tcW w:w="1134" w:type="dxa"/>
            <w:noWrap/>
            <w:hideMark/>
          </w:tcPr>
          <w:p w14:paraId="379163C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1,407.08</w:t>
            </w:r>
          </w:p>
        </w:tc>
        <w:tc>
          <w:tcPr>
            <w:tcW w:w="1044" w:type="dxa"/>
            <w:noWrap/>
            <w:hideMark/>
          </w:tcPr>
          <w:p w14:paraId="5FAE606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1,969.92</w:t>
            </w:r>
          </w:p>
        </w:tc>
        <w:tc>
          <w:tcPr>
            <w:tcW w:w="1244" w:type="dxa"/>
            <w:noWrap/>
            <w:hideMark/>
          </w:tcPr>
          <w:p w14:paraId="3FB51A5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2,476.47</w:t>
            </w:r>
          </w:p>
        </w:tc>
        <w:tc>
          <w:tcPr>
            <w:tcW w:w="1246" w:type="dxa"/>
            <w:noWrap/>
            <w:hideMark/>
          </w:tcPr>
          <w:p w14:paraId="21C0946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2,814.17</w:t>
            </w:r>
          </w:p>
        </w:tc>
      </w:tr>
      <w:tr w:rsidR="00F07001" w:rsidRPr="003140D8" w14:paraId="27F34D88"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218"/>
        </w:trPr>
        <w:tc>
          <w:tcPr>
            <w:cnfStyle w:val="001000000000" w:firstRow="0" w:lastRow="0" w:firstColumn="1" w:lastColumn="0" w:oddVBand="0" w:evenVBand="0" w:oddHBand="0" w:evenHBand="0" w:firstRowFirstColumn="0" w:firstRowLastColumn="0" w:lastRowFirstColumn="0" w:lastRowLastColumn="0"/>
            <w:tcW w:w="706" w:type="dxa"/>
            <w:hideMark/>
          </w:tcPr>
          <w:p w14:paraId="2606418A"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14</w:t>
            </w:r>
          </w:p>
        </w:tc>
        <w:tc>
          <w:tcPr>
            <w:tcW w:w="4256" w:type="dxa"/>
            <w:hideMark/>
          </w:tcPr>
          <w:p w14:paraId="590D2139"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Gloucestershire, Wiltshire and Bristol/Bath Area</w:t>
            </w:r>
          </w:p>
        </w:tc>
        <w:tc>
          <w:tcPr>
            <w:tcW w:w="1559" w:type="dxa"/>
            <w:noWrap/>
            <w:hideMark/>
          </w:tcPr>
          <w:p w14:paraId="67C07C9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2,099,670.00</w:t>
            </w:r>
          </w:p>
        </w:tc>
        <w:tc>
          <w:tcPr>
            <w:tcW w:w="1134" w:type="dxa"/>
            <w:noWrap/>
            <w:hideMark/>
          </w:tcPr>
          <w:p w14:paraId="5E78BAD8"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0.0326</w:t>
            </w:r>
          </w:p>
        </w:tc>
        <w:tc>
          <w:tcPr>
            <w:tcW w:w="1134" w:type="dxa"/>
            <w:noWrap/>
            <w:hideMark/>
          </w:tcPr>
          <w:p w14:paraId="58A4D25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128.96</w:t>
            </w:r>
          </w:p>
        </w:tc>
        <w:tc>
          <w:tcPr>
            <w:tcW w:w="992" w:type="dxa"/>
            <w:noWrap/>
            <w:hideMark/>
          </w:tcPr>
          <w:p w14:paraId="46259C8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451.36</w:t>
            </w:r>
          </w:p>
        </w:tc>
        <w:tc>
          <w:tcPr>
            <w:tcW w:w="1134" w:type="dxa"/>
            <w:noWrap/>
            <w:hideMark/>
          </w:tcPr>
          <w:p w14:paraId="2BF2FA34"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967.21</w:t>
            </w:r>
          </w:p>
        </w:tc>
        <w:tc>
          <w:tcPr>
            <w:tcW w:w="1134" w:type="dxa"/>
            <w:noWrap/>
            <w:hideMark/>
          </w:tcPr>
          <w:p w14:paraId="23756CD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1,612.01</w:t>
            </w:r>
          </w:p>
        </w:tc>
        <w:tc>
          <w:tcPr>
            <w:tcW w:w="1044" w:type="dxa"/>
            <w:noWrap/>
            <w:hideMark/>
          </w:tcPr>
          <w:p w14:paraId="6ADD46A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2,256.81</w:t>
            </w:r>
          </w:p>
        </w:tc>
        <w:tc>
          <w:tcPr>
            <w:tcW w:w="1244" w:type="dxa"/>
            <w:noWrap/>
            <w:hideMark/>
          </w:tcPr>
          <w:p w14:paraId="45ED3B2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2,837.14</w:t>
            </w:r>
          </w:p>
        </w:tc>
        <w:tc>
          <w:tcPr>
            <w:tcW w:w="1246" w:type="dxa"/>
            <w:noWrap/>
            <w:hideMark/>
          </w:tcPr>
          <w:p w14:paraId="39024A90"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3,224.02</w:t>
            </w:r>
          </w:p>
        </w:tc>
      </w:tr>
      <w:tr w:rsidR="00F07001" w:rsidRPr="003140D8" w14:paraId="7C4233F8" w14:textId="77777777" w:rsidTr="00CF4D20">
        <w:trPr>
          <w:gridAfter w:val="1"/>
          <w:wAfter w:w="10" w:type="dxa"/>
          <w:trHeight w:val="70"/>
        </w:trPr>
        <w:tc>
          <w:tcPr>
            <w:cnfStyle w:val="001000000000" w:firstRow="0" w:lastRow="0" w:firstColumn="1" w:lastColumn="0" w:oddVBand="0" w:evenVBand="0" w:oddHBand="0" w:evenHBand="0" w:firstRowFirstColumn="0" w:firstRowLastColumn="0" w:lastRowFirstColumn="0" w:lastRowLastColumn="0"/>
            <w:tcW w:w="706" w:type="dxa"/>
            <w:hideMark/>
          </w:tcPr>
          <w:p w14:paraId="3BF21E5E"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15</w:t>
            </w:r>
          </w:p>
        </w:tc>
        <w:tc>
          <w:tcPr>
            <w:tcW w:w="4256" w:type="dxa"/>
            <w:hideMark/>
          </w:tcPr>
          <w:p w14:paraId="5283CC52"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Hampshire and Isle of Wight</w:t>
            </w:r>
          </w:p>
        </w:tc>
        <w:tc>
          <w:tcPr>
            <w:tcW w:w="1559" w:type="dxa"/>
            <w:noWrap/>
            <w:hideMark/>
          </w:tcPr>
          <w:p w14:paraId="25424D44"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1,985,790.00</w:t>
            </w:r>
          </w:p>
        </w:tc>
        <w:tc>
          <w:tcPr>
            <w:tcW w:w="1134" w:type="dxa"/>
            <w:noWrap/>
            <w:hideMark/>
          </w:tcPr>
          <w:p w14:paraId="7B9AFD9F"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0.0308</w:t>
            </w:r>
          </w:p>
        </w:tc>
        <w:tc>
          <w:tcPr>
            <w:tcW w:w="1134" w:type="dxa"/>
            <w:noWrap/>
            <w:hideMark/>
          </w:tcPr>
          <w:p w14:paraId="0400A76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121.97</w:t>
            </w:r>
          </w:p>
        </w:tc>
        <w:tc>
          <w:tcPr>
            <w:tcW w:w="992" w:type="dxa"/>
            <w:noWrap/>
            <w:hideMark/>
          </w:tcPr>
          <w:p w14:paraId="282246B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426.88</w:t>
            </w:r>
          </w:p>
        </w:tc>
        <w:tc>
          <w:tcPr>
            <w:tcW w:w="1134" w:type="dxa"/>
            <w:noWrap/>
            <w:hideMark/>
          </w:tcPr>
          <w:p w14:paraId="4600052B"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914.75</w:t>
            </w:r>
          </w:p>
        </w:tc>
        <w:tc>
          <w:tcPr>
            <w:tcW w:w="1134" w:type="dxa"/>
            <w:noWrap/>
            <w:hideMark/>
          </w:tcPr>
          <w:p w14:paraId="09D313E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1,524.58</w:t>
            </w:r>
          </w:p>
        </w:tc>
        <w:tc>
          <w:tcPr>
            <w:tcW w:w="1044" w:type="dxa"/>
            <w:noWrap/>
            <w:hideMark/>
          </w:tcPr>
          <w:p w14:paraId="01AFFB4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2,134.41</w:t>
            </w:r>
          </w:p>
        </w:tc>
        <w:tc>
          <w:tcPr>
            <w:tcW w:w="1244" w:type="dxa"/>
            <w:noWrap/>
            <w:hideMark/>
          </w:tcPr>
          <w:p w14:paraId="5747DBF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2,683.26</w:t>
            </w:r>
          </w:p>
        </w:tc>
        <w:tc>
          <w:tcPr>
            <w:tcW w:w="1246" w:type="dxa"/>
            <w:noWrap/>
            <w:hideMark/>
          </w:tcPr>
          <w:p w14:paraId="7ACF42C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3,049.16</w:t>
            </w:r>
          </w:p>
        </w:tc>
      </w:tr>
      <w:tr w:rsidR="00F07001" w:rsidRPr="003140D8" w14:paraId="4FBE398E" w14:textId="77777777" w:rsidTr="00CF4D20">
        <w:trPr>
          <w:gridAfter w:val="1"/>
          <w:cnfStyle w:val="000000100000" w:firstRow="0" w:lastRow="0" w:firstColumn="0" w:lastColumn="0" w:oddVBand="0" w:evenVBand="0" w:oddHBand="1" w:evenHBand="0" w:firstRowFirstColumn="0" w:firstRowLastColumn="0" w:lastRowFirstColumn="0" w:lastRowLastColumn="0"/>
          <w:wAfter w:w="10" w:type="dxa"/>
          <w:trHeight w:val="118"/>
        </w:trPr>
        <w:tc>
          <w:tcPr>
            <w:cnfStyle w:val="001000000000" w:firstRow="0" w:lastRow="0" w:firstColumn="1" w:lastColumn="0" w:oddVBand="0" w:evenVBand="0" w:oddHBand="0" w:evenHBand="0" w:firstRowFirstColumn="0" w:firstRowLastColumn="0" w:lastRowFirstColumn="0" w:lastRowLastColumn="0"/>
            <w:tcW w:w="706" w:type="dxa"/>
            <w:hideMark/>
          </w:tcPr>
          <w:p w14:paraId="12D0A336"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16</w:t>
            </w:r>
          </w:p>
        </w:tc>
        <w:tc>
          <w:tcPr>
            <w:tcW w:w="4256" w:type="dxa"/>
            <w:hideMark/>
          </w:tcPr>
          <w:p w14:paraId="69121AAB"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Herefordshire, Worcestershire and Warwickshire</w:t>
            </w:r>
          </w:p>
        </w:tc>
        <w:tc>
          <w:tcPr>
            <w:tcW w:w="1559" w:type="dxa"/>
            <w:noWrap/>
            <w:hideMark/>
          </w:tcPr>
          <w:p w14:paraId="7695F9F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1,355,180.00</w:t>
            </w:r>
          </w:p>
        </w:tc>
        <w:tc>
          <w:tcPr>
            <w:tcW w:w="1134" w:type="dxa"/>
            <w:noWrap/>
            <w:hideMark/>
          </w:tcPr>
          <w:p w14:paraId="72A395DA"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0.0210</w:t>
            </w:r>
          </w:p>
        </w:tc>
        <w:tc>
          <w:tcPr>
            <w:tcW w:w="1134" w:type="dxa"/>
            <w:noWrap/>
            <w:hideMark/>
          </w:tcPr>
          <w:p w14:paraId="08B8C8A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83.23</w:t>
            </w:r>
          </w:p>
        </w:tc>
        <w:tc>
          <w:tcPr>
            <w:tcW w:w="992" w:type="dxa"/>
            <w:noWrap/>
            <w:hideMark/>
          </w:tcPr>
          <w:p w14:paraId="33F67D4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291.32</w:t>
            </w:r>
          </w:p>
        </w:tc>
        <w:tc>
          <w:tcPr>
            <w:tcW w:w="1134" w:type="dxa"/>
            <w:noWrap/>
            <w:hideMark/>
          </w:tcPr>
          <w:p w14:paraId="1230884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624.26</w:t>
            </w:r>
          </w:p>
        </w:tc>
        <w:tc>
          <w:tcPr>
            <w:tcW w:w="1134" w:type="dxa"/>
            <w:noWrap/>
            <w:hideMark/>
          </w:tcPr>
          <w:p w14:paraId="6AE9A95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1,040.43</w:t>
            </w:r>
          </w:p>
        </w:tc>
        <w:tc>
          <w:tcPr>
            <w:tcW w:w="1044" w:type="dxa"/>
            <w:noWrap/>
            <w:hideMark/>
          </w:tcPr>
          <w:p w14:paraId="211277B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1,456.60</w:t>
            </w:r>
          </w:p>
        </w:tc>
        <w:tc>
          <w:tcPr>
            <w:tcW w:w="1244" w:type="dxa"/>
            <w:noWrap/>
            <w:hideMark/>
          </w:tcPr>
          <w:p w14:paraId="5C87DDA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1,831.16</w:t>
            </w:r>
          </w:p>
        </w:tc>
        <w:tc>
          <w:tcPr>
            <w:tcW w:w="1246" w:type="dxa"/>
            <w:noWrap/>
            <w:hideMark/>
          </w:tcPr>
          <w:p w14:paraId="634E592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2,080.86</w:t>
            </w:r>
          </w:p>
        </w:tc>
      </w:tr>
      <w:tr w:rsidR="00F07001" w:rsidRPr="003140D8" w14:paraId="365610E0" w14:textId="77777777" w:rsidTr="00CF4D20">
        <w:trPr>
          <w:gridAfter w:val="1"/>
          <w:wAfter w:w="10" w:type="dxa"/>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4FB2CC02"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17</w:t>
            </w:r>
          </w:p>
        </w:tc>
        <w:tc>
          <w:tcPr>
            <w:tcW w:w="4256" w:type="dxa"/>
            <w:hideMark/>
          </w:tcPr>
          <w:p w14:paraId="19495740"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Highlands and Islands</w:t>
            </w:r>
          </w:p>
        </w:tc>
        <w:tc>
          <w:tcPr>
            <w:tcW w:w="1559" w:type="dxa"/>
            <w:noWrap/>
            <w:hideMark/>
          </w:tcPr>
          <w:p w14:paraId="2DA4E2A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370,820.00</w:t>
            </w:r>
          </w:p>
        </w:tc>
        <w:tc>
          <w:tcPr>
            <w:tcW w:w="1134" w:type="dxa"/>
            <w:noWrap/>
            <w:hideMark/>
          </w:tcPr>
          <w:p w14:paraId="2998078C"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0.0058</w:t>
            </w:r>
          </w:p>
        </w:tc>
        <w:tc>
          <w:tcPr>
            <w:tcW w:w="1134" w:type="dxa"/>
            <w:noWrap/>
            <w:hideMark/>
          </w:tcPr>
          <w:p w14:paraId="4866486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22.78</w:t>
            </w:r>
          </w:p>
        </w:tc>
        <w:tc>
          <w:tcPr>
            <w:tcW w:w="992" w:type="dxa"/>
            <w:noWrap/>
            <w:hideMark/>
          </w:tcPr>
          <w:p w14:paraId="16F42FE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79.71</w:t>
            </w:r>
          </w:p>
        </w:tc>
        <w:tc>
          <w:tcPr>
            <w:tcW w:w="1134" w:type="dxa"/>
            <w:noWrap/>
            <w:hideMark/>
          </w:tcPr>
          <w:p w14:paraId="30DF336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170.82</w:t>
            </w:r>
          </w:p>
        </w:tc>
        <w:tc>
          <w:tcPr>
            <w:tcW w:w="1134" w:type="dxa"/>
            <w:noWrap/>
            <w:hideMark/>
          </w:tcPr>
          <w:p w14:paraId="7DC4830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284.70</w:t>
            </w:r>
          </w:p>
        </w:tc>
        <w:tc>
          <w:tcPr>
            <w:tcW w:w="1044" w:type="dxa"/>
            <w:noWrap/>
            <w:hideMark/>
          </w:tcPr>
          <w:p w14:paraId="76E3D11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398.57</w:t>
            </w:r>
          </w:p>
        </w:tc>
        <w:tc>
          <w:tcPr>
            <w:tcW w:w="1244" w:type="dxa"/>
            <w:noWrap/>
            <w:hideMark/>
          </w:tcPr>
          <w:p w14:paraId="1CD8B9D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501.06</w:t>
            </w:r>
          </w:p>
        </w:tc>
        <w:tc>
          <w:tcPr>
            <w:tcW w:w="1246" w:type="dxa"/>
            <w:noWrap/>
            <w:hideMark/>
          </w:tcPr>
          <w:p w14:paraId="415D60C4"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569.39</w:t>
            </w:r>
          </w:p>
        </w:tc>
      </w:tr>
      <w:tr w:rsidR="00F07001" w:rsidRPr="003140D8" w14:paraId="33765FFD"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tcPr>
          <w:p w14:paraId="078B7EE9"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18</w:t>
            </w:r>
          </w:p>
        </w:tc>
        <w:tc>
          <w:tcPr>
            <w:tcW w:w="4256" w:type="dxa"/>
          </w:tcPr>
          <w:p w14:paraId="0D9052BE"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Kent</w:t>
            </w:r>
          </w:p>
        </w:tc>
        <w:tc>
          <w:tcPr>
            <w:tcW w:w="1559" w:type="dxa"/>
            <w:noWrap/>
          </w:tcPr>
          <w:p w14:paraId="74C2E8E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1,846,480.00</w:t>
            </w:r>
          </w:p>
        </w:tc>
        <w:tc>
          <w:tcPr>
            <w:tcW w:w="1134" w:type="dxa"/>
            <w:noWrap/>
          </w:tcPr>
          <w:p w14:paraId="746F1594"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0.0286</w:t>
            </w:r>
          </w:p>
        </w:tc>
        <w:tc>
          <w:tcPr>
            <w:tcW w:w="1134" w:type="dxa"/>
            <w:noWrap/>
          </w:tcPr>
          <w:p w14:paraId="649BB93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113.41</w:t>
            </w:r>
          </w:p>
        </w:tc>
        <w:tc>
          <w:tcPr>
            <w:tcW w:w="992" w:type="dxa"/>
            <w:noWrap/>
          </w:tcPr>
          <w:p w14:paraId="451E375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396.94</w:t>
            </w:r>
          </w:p>
        </w:tc>
        <w:tc>
          <w:tcPr>
            <w:tcW w:w="1134" w:type="dxa"/>
            <w:noWrap/>
          </w:tcPr>
          <w:p w14:paraId="333E112C"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850.58</w:t>
            </w:r>
          </w:p>
        </w:tc>
        <w:tc>
          <w:tcPr>
            <w:tcW w:w="1134" w:type="dxa"/>
            <w:noWrap/>
          </w:tcPr>
          <w:p w14:paraId="6F25958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1,417.63</w:t>
            </w:r>
          </w:p>
        </w:tc>
        <w:tc>
          <w:tcPr>
            <w:tcW w:w="1044" w:type="dxa"/>
            <w:noWrap/>
          </w:tcPr>
          <w:p w14:paraId="0FE6665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1,984.68</w:t>
            </w:r>
          </w:p>
        </w:tc>
        <w:tc>
          <w:tcPr>
            <w:tcW w:w="1244" w:type="dxa"/>
            <w:noWrap/>
          </w:tcPr>
          <w:p w14:paraId="14F1BD4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2,495.02</w:t>
            </w:r>
          </w:p>
        </w:tc>
        <w:tc>
          <w:tcPr>
            <w:tcW w:w="1256" w:type="dxa"/>
            <w:gridSpan w:val="2"/>
            <w:noWrap/>
          </w:tcPr>
          <w:p w14:paraId="18F6145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2,835.25</w:t>
            </w:r>
          </w:p>
        </w:tc>
      </w:tr>
      <w:tr w:rsidR="00F07001" w:rsidRPr="003140D8" w14:paraId="0156DC30"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5F4D2A5A"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19</w:t>
            </w:r>
          </w:p>
        </w:tc>
        <w:tc>
          <w:tcPr>
            <w:tcW w:w="4256" w:type="dxa"/>
            <w:hideMark/>
          </w:tcPr>
          <w:p w14:paraId="2E5E9670"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Lancashire</w:t>
            </w:r>
          </w:p>
        </w:tc>
        <w:tc>
          <w:tcPr>
            <w:tcW w:w="1559" w:type="dxa"/>
            <w:noWrap/>
            <w:hideMark/>
          </w:tcPr>
          <w:p w14:paraId="7DBE150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1,498,300.00</w:t>
            </w:r>
          </w:p>
        </w:tc>
        <w:tc>
          <w:tcPr>
            <w:tcW w:w="1134" w:type="dxa"/>
            <w:noWrap/>
            <w:hideMark/>
          </w:tcPr>
          <w:p w14:paraId="003AE082"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0.0232</w:t>
            </w:r>
          </w:p>
        </w:tc>
        <w:tc>
          <w:tcPr>
            <w:tcW w:w="1134" w:type="dxa"/>
            <w:noWrap/>
            <w:hideMark/>
          </w:tcPr>
          <w:p w14:paraId="6DC378A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92.02</w:t>
            </w:r>
          </w:p>
        </w:tc>
        <w:tc>
          <w:tcPr>
            <w:tcW w:w="992" w:type="dxa"/>
            <w:noWrap/>
            <w:hideMark/>
          </w:tcPr>
          <w:p w14:paraId="7EF9471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322.09</w:t>
            </w:r>
          </w:p>
        </w:tc>
        <w:tc>
          <w:tcPr>
            <w:tcW w:w="1134" w:type="dxa"/>
            <w:noWrap/>
            <w:hideMark/>
          </w:tcPr>
          <w:p w14:paraId="3C28EEB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690.19</w:t>
            </w:r>
          </w:p>
        </w:tc>
        <w:tc>
          <w:tcPr>
            <w:tcW w:w="1134" w:type="dxa"/>
            <w:noWrap/>
            <w:hideMark/>
          </w:tcPr>
          <w:p w14:paraId="095B70C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1,150.31</w:t>
            </w:r>
          </w:p>
        </w:tc>
        <w:tc>
          <w:tcPr>
            <w:tcW w:w="1044" w:type="dxa"/>
            <w:noWrap/>
            <w:hideMark/>
          </w:tcPr>
          <w:p w14:paraId="1401300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1,610.44</w:t>
            </w:r>
          </w:p>
        </w:tc>
        <w:tc>
          <w:tcPr>
            <w:tcW w:w="1244" w:type="dxa"/>
            <w:noWrap/>
            <w:hideMark/>
          </w:tcPr>
          <w:p w14:paraId="0C9CFBF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2,024.55</w:t>
            </w:r>
          </w:p>
        </w:tc>
        <w:tc>
          <w:tcPr>
            <w:tcW w:w="1256" w:type="dxa"/>
            <w:gridSpan w:val="2"/>
            <w:noWrap/>
            <w:hideMark/>
          </w:tcPr>
          <w:p w14:paraId="7D7B617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2,300.62</w:t>
            </w:r>
          </w:p>
        </w:tc>
      </w:tr>
      <w:tr w:rsidR="00F07001" w:rsidRPr="003140D8" w14:paraId="48F3A88D" w14:textId="77777777" w:rsidTr="00CF4D20">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706" w:type="dxa"/>
            <w:hideMark/>
          </w:tcPr>
          <w:p w14:paraId="7C49DBB3"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20</w:t>
            </w:r>
          </w:p>
        </w:tc>
        <w:tc>
          <w:tcPr>
            <w:tcW w:w="4256" w:type="dxa"/>
            <w:hideMark/>
          </w:tcPr>
          <w:p w14:paraId="387E600F"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Leicestershire, Rutland and Northamptonshire</w:t>
            </w:r>
          </w:p>
        </w:tc>
        <w:tc>
          <w:tcPr>
            <w:tcW w:w="1559" w:type="dxa"/>
            <w:noWrap/>
            <w:hideMark/>
          </w:tcPr>
          <w:p w14:paraId="6337F26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1,841,080.00</w:t>
            </w:r>
          </w:p>
        </w:tc>
        <w:tc>
          <w:tcPr>
            <w:tcW w:w="1134" w:type="dxa"/>
            <w:noWrap/>
            <w:hideMark/>
          </w:tcPr>
          <w:p w14:paraId="745AE973"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0.0285</w:t>
            </w:r>
          </w:p>
        </w:tc>
        <w:tc>
          <w:tcPr>
            <w:tcW w:w="1134" w:type="dxa"/>
            <w:noWrap/>
            <w:hideMark/>
          </w:tcPr>
          <w:p w14:paraId="5EBADC0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113.08</w:t>
            </w:r>
          </w:p>
        </w:tc>
        <w:tc>
          <w:tcPr>
            <w:tcW w:w="992" w:type="dxa"/>
            <w:noWrap/>
            <w:hideMark/>
          </w:tcPr>
          <w:p w14:paraId="4198177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395.77</w:t>
            </w:r>
          </w:p>
        </w:tc>
        <w:tc>
          <w:tcPr>
            <w:tcW w:w="1134" w:type="dxa"/>
            <w:noWrap/>
            <w:hideMark/>
          </w:tcPr>
          <w:p w14:paraId="02C9140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848.09</w:t>
            </w:r>
          </w:p>
        </w:tc>
        <w:tc>
          <w:tcPr>
            <w:tcW w:w="1134" w:type="dxa"/>
            <w:noWrap/>
            <w:hideMark/>
          </w:tcPr>
          <w:p w14:paraId="7712750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1,413.48</w:t>
            </w:r>
          </w:p>
        </w:tc>
        <w:tc>
          <w:tcPr>
            <w:tcW w:w="1044" w:type="dxa"/>
            <w:noWrap/>
            <w:hideMark/>
          </w:tcPr>
          <w:p w14:paraId="1A1FC27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1,978.87</w:t>
            </w:r>
          </w:p>
        </w:tc>
        <w:tc>
          <w:tcPr>
            <w:tcW w:w="1244" w:type="dxa"/>
            <w:noWrap/>
            <w:hideMark/>
          </w:tcPr>
          <w:p w14:paraId="4F743FF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2,487.72</w:t>
            </w:r>
          </w:p>
        </w:tc>
        <w:tc>
          <w:tcPr>
            <w:tcW w:w="1256" w:type="dxa"/>
            <w:gridSpan w:val="2"/>
            <w:noWrap/>
            <w:hideMark/>
          </w:tcPr>
          <w:p w14:paraId="39C801A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2,826.96</w:t>
            </w:r>
          </w:p>
        </w:tc>
      </w:tr>
      <w:tr w:rsidR="00F07001" w:rsidRPr="003140D8" w14:paraId="042BBC20"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4695F700"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21</w:t>
            </w:r>
          </w:p>
        </w:tc>
        <w:tc>
          <w:tcPr>
            <w:tcW w:w="4256" w:type="dxa"/>
            <w:hideMark/>
          </w:tcPr>
          <w:p w14:paraId="0231834F"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Lincolnshire</w:t>
            </w:r>
          </w:p>
        </w:tc>
        <w:tc>
          <w:tcPr>
            <w:tcW w:w="1559" w:type="dxa"/>
            <w:noWrap/>
            <w:hideMark/>
          </w:tcPr>
          <w:p w14:paraId="40872C0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1,087,660.00</w:t>
            </w:r>
          </w:p>
        </w:tc>
        <w:tc>
          <w:tcPr>
            <w:tcW w:w="1134" w:type="dxa"/>
            <w:noWrap/>
            <w:hideMark/>
          </w:tcPr>
          <w:p w14:paraId="1CB15A46"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0.0169</w:t>
            </w:r>
          </w:p>
        </w:tc>
        <w:tc>
          <w:tcPr>
            <w:tcW w:w="1134" w:type="dxa"/>
            <w:noWrap/>
            <w:hideMark/>
          </w:tcPr>
          <w:p w14:paraId="5AE0E35B"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66.80</w:t>
            </w:r>
          </w:p>
        </w:tc>
        <w:tc>
          <w:tcPr>
            <w:tcW w:w="992" w:type="dxa"/>
            <w:noWrap/>
            <w:hideMark/>
          </w:tcPr>
          <w:p w14:paraId="007EEF2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233.81</w:t>
            </w:r>
          </w:p>
        </w:tc>
        <w:tc>
          <w:tcPr>
            <w:tcW w:w="1134" w:type="dxa"/>
            <w:noWrap/>
            <w:hideMark/>
          </w:tcPr>
          <w:p w14:paraId="20AA786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501.03</w:t>
            </w:r>
          </w:p>
        </w:tc>
        <w:tc>
          <w:tcPr>
            <w:tcW w:w="1134" w:type="dxa"/>
            <w:noWrap/>
            <w:hideMark/>
          </w:tcPr>
          <w:p w14:paraId="46D8CB5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835.05</w:t>
            </w:r>
          </w:p>
        </w:tc>
        <w:tc>
          <w:tcPr>
            <w:tcW w:w="1044" w:type="dxa"/>
            <w:noWrap/>
            <w:hideMark/>
          </w:tcPr>
          <w:p w14:paraId="05FDFDD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1,169.06</w:t>
            </w:r>
          </w:p>
        </w:tc>
        <w:tc>
          <w:tcPr>
            <w:tcW w:w="1244" w:type="dxa"/>
            <w:noWrap/>
            <w:hideMark/>
          </w:tcPr>
          <w:p w14:paraId="7BFF336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1,469.68</w:t>
            </w:r>
          </w:p>
        </w:tc>
        <w:tc>
          <w:tcPr>
            <w:tcW w:w="1256" w:type="dxa"/>
            <w:gridSpan w:val="2"/>
            <w:noWrap/>
            <w:hideMark/>
          </w:tcPr>
          <w:p w14:paraId="08641FF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1,670.09</w:t>
            </w:r>
          </w:p>
        </w:tc>
      </w:tr>
      <w:tr w:rsidR="00F07001" w:rsidRPr="003140D8" w14:paraId="450A0EC8"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CDCC63C"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22</w:t>
            </w:r>
          </w:p>
        </w:tc>
        <w:tc>
          <w:tcPr>
            <w:tcW w:w="4256" w:type="dxa"/>
            <w:hideMark/>
          </w:tcPr>
          <w:p w14:paraId="5CAD9E86"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London</w:t>
            </w:r>
          </w:p>
        </w:tc>
        <w:tc>
          <w:tcPr>
            <w:tcW w:w="1559" w:type="dxa"/>
            <w:noWrap/>
            <w:hideMark/>
          </w:tcPr>
          <w:p w14:paraId="0BA7536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8,908,080.00</w:t>
            </w:r>
          </w:p>
        </w:tc>
        <w:tc>
          <w:tcPr>
            <w:tcW w:w="1134" w:type="dxa"/>
            <w:noWrap/>
            <w:hideMark/>
          </w:tcPr>
          <w:p w14:paraId="2D3725EE"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0.1381</w:t>
            </w:r>
          </w:p>
        </w:tc>
        <w:tc>
          <w:tcPr>
            <w:tcW w:w="1134" w:type="dxa"/>
            <w:noWrap/>
            <w:hideMark/>
          </w:tcPr>
          <w:p w14:paraId="37B6E5F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547.13</w:t>
            </w:r>
          </w:p>
        </w:tc>
        <w:tc>
          <w:tcPr>
            <w:tcW w:w="992" w:type="dxa"/>
            <w:noWrap/>
            <w:hideMark/>
          </w:tcPr>
          <w:p w14:paraId="7EA0172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1,914.96</w:t>
            </w:r>
          </w:p>
        </w:tc>
        <w:tc>
          <w:tcPr>
            <w:tcW w:w="1134" w:type="dxa"/>
            <w:noWrap/>
            <w:hideMark/>
          </w:tcPr>
          <w:p w14:paraId="5EA533B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4,103.48</w:t>
            </w:r>
          </w:p>
        </w:tc>
        <w:tc>
          <w:tcPr>
            <w:tcW w:w="1134" w:type="dxa"/>
            <w:noWrap/>
            <w:hideMark/>
          </w:tcPr>
          <w:p w14:paraId="02BEF48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6,839.13</w:t>
            </w:r>
          </w:p>
        </w:tc>
        <w:tc>
          <w:tcPr>
            <w:tcW w:w="1044" w:type="dxa"/>
            <w:noWrap/>
            <w:hideMark/>
          </w:tcPr>
          <w:p w14:paraId="72B816E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9,574.78</w:t>
            </w:r>
          </w:p>
        </w:tc>
        <w:tc>
          <w:tcPr>
            <w:tcW w:w="1244" w:type="dxa"/>
            <w:noWrap/>
            <w:hideMark/>
          </w:tcPr>
          <w:p w14:paraId="1B54057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12,036.87</w:t>
            </w:r>
          </w:p>
        </w:tc>
        <w:tc>
          <w:tcPr>
            <w:tcW w:w="1256" w:type="dxa"/>
            <w:gridSpan w:val="2"/>
            <w:noWrap/>
            <w:hideMark/>
          </w:tcPr>
          <w:p w14:paraId="0162C41C"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13,678.26</w:t>
            </w:r>
          </w:p>
        </w:tc>
      </w:tr>
      <w:tr w:rsidR="00F07001" w:rsidRPr="003140D8" w14:paraId="727DAB9D"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2DE5F9BB"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23</w:t>
            </w:r>
          </w:p>
        </w:tc>
        <w:tc>
          <w:tcPr>
            <w:tcW w:w="4256" w:type="dxa"/>
            <w:hideMark/>
          </w:tcPr>
          <w:p w14:paraId="6AAA4F86"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Manchester and Merseyside</w:t>
            </w:r>
          </w:p>
        </w:tc>
        <w:tc>
          <w:tcPr>
            <w:tcW w:w="1559" w:type="dxa"/>
            <w:noWrap/>
            <w:hideMark/>
          </w:tcPr>
          <w:p w14:paraId="22B9CAA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4,235,640.00</w:t>
            </w:r>
          </w:p>
        </w:tc>
        <w:tc>
          <w:tcPr>
            <w:tcW w:w="1134" w:type="dxa"/>
            <w:noWrap/>
            <w:hideMark/>
          </w:tcPr>
          <w:p w14:paraId="4CA055FD"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0.0657</w:t>
            </w:r>
          </w:p>
        </w:tc>
        <w:tc>
          <w:tcPr>
            <w:tcW w:w="1134" w:type="dxa"/>
            <w:noWrap/>
            <w:hideMark/>
          </w:tcPr>
          <w:p w14:paraId="3E0FA54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260.15</w:t>
            </w:r>
          </w:p>
        </w:tc>
        <w:tc>
          <w:tcPr>
            <w:tcW w:w="992" w:type="dxa"/>
            <w:noWrap/>
            <w:hideMark/>
          </w:tcPr>
          <w:p w14:paraId="79444A8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910.53</w:t>
            </w:r>
          </w:p>
        </w:tc>
        <w:tc>
          <w:tcPr>
            <w:tcW w:w="1134" w:type="dxa"/>
            <w:noWrap/>
            <w:hideMark/>
          </w:tcPr>
          <w:p w14:paraId="4BEB8CD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1,951.13</w:t>
            </w:r>
          </w:p>
        </w:tc>
        <w:tc>
          <w:tcPr>
            <w:tcW w:w="1134" w:type="dxa"/>
            <w:noWrap/>
            <w:hideMark/>
          </w:tcPr>
          <w:p w14:paraId="2687A4C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3,251.89</w:t>
            </w:r>
          </w:p>
        </w:tc>
        <w:tc>
          <w:tcPr>
            <w:tcW w:w="1044" w:type="dxa"/>
            <w:noWrap/>
            <w:hideMark/>
          </w:tcPr>
          <w:p w14:paraId="3CC8F30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4,552.65</w:t>
            </w:r>
          </w:p>
        </w:tc>
        <w:tc>
          <w:tcPr>
            <w:tcW w:w="1244" w:type="dxa"/>
            <w:noWrap/>
            <w:hideMark/>
          </w:tcPr>
          <w:p w14:paraId="04204F1B"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5,723.33</w:t>
            </w:r>
          </w:p>
        </w:tc>
        <w:tc>
          <w:tcPr>
            <w:tcW w:w="1256" w:type="dxa"/>
            <w:gridSpan w:val="2"/>
            <w:noWrap/>
            <w:hideMark/>
          </w:tcPr>
          <w:p w14:paraId="6687601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6,503.78</w:t>
            </w:r>
          </w:p>
        </w:tc>
      </w:tr>
      <w:tr w:rsidR="00F07001" w:rsidRPr="003140D8" w14:paraId="07319DE5"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5A2DA9C2"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24</w:t>
            </w:r>
          </w:p>
        </w:tc>
        <w:tc>
          <w:tcPr>
            <w:tcW w:w="4256" w:type="dxa"/>
            <w:hideMark/>
          </w:tcPr>
          <w:p w14:paraId="24D65DE8"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North Eastern Scotland</w:t>
            </w:r>
          </w:p>
        </w:tc>
        <w:tc>
          <w:tcPr>
            <w:tcW w:w="1559" w:type="dxa"/>
            <w:noWrap/>
            <w:hideMark/>
          </w:tcPr>
          <w:p w14:paraId="4EDD4C5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489,030.00</w:t>
            </w:r>
          </w:p>
        </w:tc>
        <w:tc>
          <w:tcPr>
            <w:tcW w:w="1134" w:type="dxa"/>
            <w:noWrap/>
            <w:hideMark/>
          </w:tcPr>
          <w:p w14:paraId="1AC7B01B"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0.0076</w:t>
            </w:r>
          </w:p>
        </w:tc>
        <w:tc>
          <w:tcPr>
            <w:tcW w:w="1134" w:type="dxa"/>
            <w:noWrap/>
            <w:hideMark/>
          </w:tcPr>
          <w:p w14:paraId="79BBBC3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30.04</w:t>
            </w:r>
          </w:p>
        </w:tc>
        <w:tc>
          <w:tcPr>
            <w:tcW w:w="992" w:type="dxa"/>
            <w:noWrap/>
            <w:hideMark/>
          </w:tcPr>
          <w:p w14:paraId="32319ED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105.13</w:t>
            </w:r>
          </w:p>
        </w:tc>
        <w:tc>
          <w:tcPr>
            <w:tcW w:w="1134" w:type="dxa"/>
            <w:noWrap/>
            <w:hideMark/>
          </w:tcPr>
          <w:p w14:paraId="34A6A15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225.27</w:t>
            </w:r>
          </w:p>
        </w:tc>
        <w:tc>
          <w:tcPr>
            <w:tcW w:w="1134" w:type="dxa"/>
            <w:noWrap/>
            <w:hideMark/>
          </w:tcPr>
          <w:p w14:paraId="7788C2F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375.45</w:t>
            </w:r>
          </w:p>
        </w:tc>
        <w:tc>
          <w:tcPr>
            <w:tcW w:w="1044" w:type="dxa"/>
            <w:noWrap/>
            <w:hideMark/>
          </w:tcPr>
          <w:p w14:paraId="54ACBD0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525.63</w:t>
            </w:r>
          </w:p>
        </w:tc>
        <w:tc>
          <w:tcPr>
            <w:tcW w:w="1244" w:type="dxa"/>
            <w:noWrap/>
            <w:hideMark/>
          </w:tcPr>
          <w:p w14:paraId="01DC5EA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660.79</w:t>
            </w:r>
          </w:p>
        </w:tc>
        <w:tc>
          <w:tcPr>
            <w:tcW w:w="1256" w:type="dxa"/>
            <w:gridSpan w:val="2"/>
            <w:noWrap/>
            <w:hideMark/>
          </w:tcPr>
          <w:p w14:paraId="7E29085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750.90</w:t>
            </w:r>
          </w:p>
        </w:tc>
      </w:tr>
      <w:tr w:rsidR="00F07001" w:rsidRPr="003140D8" w14:paraId="58FA0BD1"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5830BB9"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25</w:t>
            </w:r>
          </w:p>
        </w:tc>
        <w:tc>
          <w:tcPr>
            <w:tcW w:w="4256" w:type="dxa"/>
            <w:hideMark/>
          </w:tcPr>
          <w:p w14:paraId="5F656E27"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North Yorkshire</w:t>
            </w:r>
          </w:p>
        </w:tc>
        <w:tc>
          <w:tcPr>
            <w:tcW w:w="1559" w:type="dxa"/>
            <w:noWrap/>
            <w:hideMark/>
          </w:tcPr>
          <w:p w14:paraId="513FC5F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1,101,660.00</w:t>
            </w:r>
          </w:p>
        </w:tc>
        <w:tc>
          <w:tcPr>
            <w:tcW w:w="1134" w:type="dxa"/>
            <w:noWrap/>
            <w:hideMark/>
          </w:tcPr>
          <w:p w14:paraId="169AF2AC"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0.0171</w:t>
            </w:r>
          </w:p>
        </w:tc>
        <w:tc>
          <w:tcPr>
            <w:tcW w:w="1134" w:type="dxa"/>
            <w:noWrap/>
            <w:hideMark/>
          </w:tcPr>
          <w:p w14:paraId="515C64B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67.66</w:t>
            </w:r>
          </w:p>
        </w:tc>
        <w:tc>
          <w:tcPr>
            <w:tcW w:w="992" w:type="dxa"/>
            <w:noWrap/>
            <w:hideMark/>
          </w:tcPr>
          <w:p w14:paraId="609064B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236.82</w:t>
            </w:r>
          </w:p>
        </w:tc>
        <w:tc>
          <w:tcPr>
            <w:tcW w:w="1134" w:type="dxa"/>
            <w:noWrap/>
            <w:hideMark/>
          </w:tcPr>
          <w:p w14:paraId="1E75C9E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507.48</w:t>
            </w:r>
          </w:p>
        </w:tc>
        <w:tc>
          <w:tcPr>
            <w:tcW w:w="1134" w:type="dxa"/>
            <w:noWrap/>
            <w:hideMark/>
          </w:tcPr>
          <w:p w14:paraId="27D0816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845.79</w:t>
            </w:r>
          </w:p>
        </w:tc>
        <w:tc>
          <w:tcPr>
            <w:tcW w:w="1044" w:type="dxa"/>
            <w:noWrap/>
            <w:hideMark/>
          </w:tcPr>
          <w:p w14:paraId="05024E3A"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1,184.11</w:t>
            </w:r>
          </w:p>
        </w:tc>
        <w:tc>
          <w:tcPr>
            <w:tcW w:w="1244" w:type="dxa"/>
            <w:noWrap/>
            <w:hideMark/>
          </w:tcPr>
          <w:p w14:paraId="447FC4D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1,488.60</w:t>
            </w:r>
          </w:p>
        </w:tc>
        <w:tc>
          <w:tcPr>
            <w:tcW w:w="1256" w:type="dxa"/>
            <w:gridSpan w:val="2"/>
            <w:noWrap/>
            <w:hideMark/>
          </w:tcPr>
          <w:p w14:paraId="74AE2CD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1,691.59</w:t>
            </w:r>
          </w:p>
        </w:tc>
      </w:tr>
      <w:tr w:rsidR="00F07001" w:rsidRPr="003140D8" w14:paraId="02EEE44E" w14:textId="77777777" w:rsidTr="00CF4D2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06" w:type="dxa"/>
            <w:hideMark/>
          </w:tcPr>
          <w:p w14:paraId="0BA42C44"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26</w:t>
            </w:r>
          </w:p>
        </w:tc>
        <w:tc>
          <w:tcPr>
            <w:tcW w:w="4256" w:type="dxa"/>
            <w:hideMark/>
          </w:tcPr>
          <w:p w14:paraId="3442F04A"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Northumberland and Tyne and Wear</w:t>
            </w:r>
          </w:p>
        </w:tc>
        <w:tc>
          <w:tcPr>
            <w:tcW w:w="1559" w:type="dxa"/>
            <w:noWrap/>
            <w:hideMark/>
          </w:tcPr>
          <w:p w14:paraId="07091A9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1,456,640.00</w:t>
            </w:r>
          </w:p>
        </w:tc>
        <w:tc>
          <w:tcPr>
            <w:tcW w:w="1134" w:type="dxa"/>
            <w:noWrap/>
            <w:hideMark/>
          </w:tcPr>
          <w:p w14:paraId="034D757D"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0.0226</w:t>
            </w:r>
          </w:p>
        </w:tc>
        <w:tc>
          <w:tcPr>
            <w:tcW w:w="1134" w:type="dxa"/>
            <w:noWrap/>
            <w:hideMark/>
          </w:tcPr>
          <w:p w14:paraId="4DA0E81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89.47</w:t>
            </w:r>
          </w:p>
        </w:tc>
        <w:tc>
          <w:tcPr>
            <w:tcW w:w="992" w:type="dxa"/>
            <w:noWrap/>
            <w:hideMark/>
          </w:tcPr>
          <w:p w14:paraId="30F4B69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313.13</w:t>
            </w:r>
          </w:p>
        </w:tc>
        <w:tc>
          <w:tcPr>
            <w:tcW w:w="1134" w:type="dxa"/>
            <w:noWrap/>
            <w:hideMark/>
          </w:tcPr>
          <w:p w14:paraId="370D8F7B"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671.00</w:t>
            </w:r>
          </w:p>
        </w:tc>
        <w:tc>
          <w:tcPr>
            <w:tcW w:w="1134" w:type="dxa"/>
            <w:noWrap/>
            <w:hideMark/>
          </w:tcPr>
          <w:p w14:paraId="1E46263F"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1,118.33</w:t>
            </w:r>
          </w:p>
        </w:tc>
        <w:tc>
          <w:tcPr>
            <w:tcW w:w="1044" w:type="dxa"/>
            <w:noWrap/>
            <w:hideMark/>
          </w:tcPr>
          <w:p w14:paraId="0435FA1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1,565.66</w:t>
            </w:r>
          </w:p>
        </w:tc>
        <w:tc>
          <w:tcPr>
            <w:tcW w:w="1244" w:type="dxa"/>
            <w:noWrap/>
            <w:hideMark/>
          </w:tcPr>
          <w:p w14:paraId="25C7BE2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1,968.26</w:t>
            </w:r>
          </w:p>
        </w:tc>
        <w:tc>
          <w:tcPr>
            <w:tcW w:w="1256" w:type="dxa"/>
            <w:gridSpan w:val="2"/>
            <w:noWrap/>
            <w:hideMark/>
          </w:tcPr>
          <w:p w14:paraId="7AD61BA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2,236.65</w:t>
            </w:r>
          </w:p>
        </w:tc>
      </w:tr>
      <w:tr w:rsidR="00F07001" w:rsidRPr="003140D8" w14:paraId="19BDC38E"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21B93EB5"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27</w:t>
            </w:r>
          </w:p>
        </w:tc>
        <w:tc>
          <w:tcPr>
            <w:tcW w:w="4256" w:type="dxa"/>
            <w:hideMark/>
          </w:tcPr>
          <w:p w14:paraId="5AA76C56"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Shropshire and Staffordshire</w:t>
            </w:r>
          </w:p>
        </w:tc>
        <w:tc>
          <w:tcPr>
            <w:tcW w:w="1559" w:type="dxa"/>
            <w:noWrap/>
            <w:hideMark/>
          </w:tcPr>
          <w:p w14:paraId="63F4142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1,629,120.00</w:t>
            </w:r>
          </w:p>
        </w:tc>
        <w:tc>
          <w:tcPr>
            <w:tcW w:w="1134" w:type="dxa"/>
            <w:noWrap/>
            <w:hideMark/>
          </w:tcPr>
          <w:p w14:paraId="25B51D9E"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0.0253</w:t>
            </w:r>
          </w:p>
        </w:tc>
        <w:tc>
          <w:tcPr>
            <w:tcW w:w="1134" w:type="dxa"/>
            <w:noWrap/>
            <w:hideMark/>
          </w:tcPr>
          <w:p w14:paraId="303DF1E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100.06</w:t>
            </w:r>
          </w:p>
        </w:tc>
        <w:tc>
          <w:tcPr>
            <w:tcW w:w="992" w:type="dxa"/>
            <w:noWrap/>
            <w:hideMark/>
          </w:tcPr>
          <w:p w14:paraId="53759A3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350.21</w:t>
            </w:r>
          </w:p>
        </w:tc>
        <w:tc>
          <w:tcPr>
            <w:tcW w:w="1134" w:type="dxa"/>
            <w:noWrap/>
            <w:hideMark/>
          </w:tcPr>
          <w:p w14:paraId="61A9D00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750.45</w:t>
            </w:r>
          </w:p>
        </w:tc>
        <w:tc>
          <w:tcPr>
            <w:tcW w:w="1134" w:type="dxa"/>
            <w:noWrap/>
            <w:hideMark/>
          </w:tcPr>
          <w:p w14:paraId="4A9F52A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1,250.75</w:t>
            </w:r>
          </w:p>
        </w:tc>
        <w:tc>
          <w:tcPr>
            <w:tcW w:w="1044" w:type="dxa"/>
            <w:noWrap/>
            <w:hideMark/>
          </w:tcPr>
          <w:p w14:paraId="5D33630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1,751.05</w:t>
            </w:r>
          </w:p>
        </w:tc>
        <w:tc>
          <w:tcPr>
            <w:tcW w:w="1244" w:type="dxa"/>
            <w:noWrap/>
            <w:hideMark/>
          </w:tcPr>
          <w:p w14:paraId="176BF05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2,201.32</w:t>
            </w:r>
          </w:p>
        </w:tc>
        <w:tc>
          <w:tcPr>
            <w:tcW w:w="1256" w:type="dxa"/>
            <w:gridSpan w:val="2"/>
            <w:noWrap/>
            <w:hideMark/>
          </w:tcPr>
          <w:p w14:paraId="22F12FA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2,501.50</w:t>
            </w:r>
          </w:p>
        </w:tc>
      </w:tr>
      <w:tr w:rsidR="00F07001" w:rsidRPr="003140D8" w14:paraId="44BC82ED"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2003E6AB"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28</w:t>
            </w:r>
          </w:p>
        </w:tc>
        <w:tc>
          <w:tcPr>
            <w:tcW w:w="4256" w:type="dxa"/>
            <w:hideMark/>
          </w:tcPr>
          <w:p w14:paraId="50B4FDEB"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South Western Scotland</w:t>
            </w:r>
          </w:p>
        </w:tc>
        <w:tc>
          <w:tcPr>
            <w:tcW w:w="1559" w:type="dxa"/>
            <w:noWrap/>
            <w:hideMark/>
          </w:tcPr>
          <w:p w14:paraId="4A7E0B5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2,352,640.00</w:t>
            </w:r>
          </w:p>
        </w:tc>
        <w:tc>
          <w:tcPr>
            <w:tcW w:w="1134" w:type="dxa"/>
            <w:noWrap/>
            <w:hideMark/>
          </w:tcPr>
          <w:p w14:paraId="6086FDAC"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0.0365</w:t>
            </w:r>
          </w:p>
        </w:tc>
        <w:tc>
          <w:tcPr>
            <w:tcW w:w="1134" w:type="dxa"/>
            <w:noWrap/>
            <w:hideMark/>
          </w:tcPr>
          <w:p w14:paraId="35BE983C"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144.50</w:t>
            </w:r>
          </w:p>
        </w:tc>
        <w:tc>
          <w:tcPr>
            <w:tcW w:w="992" w:type="dxa"/>
            <w:noWrap/>
            <w:hideMark/>
          </w:tcPr>
          <w:p w14:paraId="6BE30D1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505.74</w:t>
            </w:r>
          </w:p>
        </w:tc>
        <w:tc>
          <w:tcPr>
            <w:tcW w:w="1134" w:type="dxa"/>
            <w:noWrap/>
            <w:hideMark/>
          </w:tcPr>
          <w:p w14:paraId="0079F64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1,083.74</w:t>
            </w:r>
          </w:p>
        </w:tc>
        <w:tc>
          <w:tcPr>
            <w:tcW w:w="1134" w:type="dxa"/>
            <w:noWrap/>
            <w:hideMark/>
          </w:tcPr>
          <w:p w14:paraId="61EA1A92"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1,806.23</w:t>
            </w:r>
          </w:p>
        </w:tc>
        <w:tc>
          <w:tcPr>
            <w:tcW w:w="1044" w:type="dxa"/>
            <w:noWrap/>
            <w:hideMark/>
          </w:tcPr>
          <w:p w14:paraId="6D0A3AE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2,528.72</w:t>
            </w:r>
          </w:p>
        </w:tc>
        <w:tc>
          <w:tcPr>
            <w:tcW w:w="1244" w:type="dxa"/>
            <w:noWrap/>
            <w:hideMark/>
          </w:tcPr>
          <w:p w14:paraId="3C8218B1"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3,178.96</w:t>
            </w:r>
          </w:p>
        </w:tc>
        <w:tc>
          <w:tcPr>
            <w:tcW w:w="1256" w:type="dxa"/>
            <w:gridSpan w:val="2"/>
            <w:noWrap/>
            <w:hideMark/>
          </w:tcPr>
          <w:p w14:paraId="65FA0C73"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3,612.45</w:t>
            </w:r>
          </w:p>
        </w:tc>
      </w:tr>
      <w:tr w:rsidR="00F07001" w:rsidRPr="003140D8" w14:paraId="4927FF02"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0EF78E33"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29</w:t>
            </w:r>
          </w:p>
        </w:tc>
        <w:tc>
          <w:tcPr>
            <w:tcW w:w="4256" w:type="dxa"/>
            <w:hideMark/>
          </w:tcPr>
          <w:p w14:paraId="4A16F4AC"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South Yorkshire</w:t>
            </w:r>
          </w:p>
        </w:tc>
        <w:tc>
          <w:tcPr>
            <w:tcW w:w="1559" w:type="dxa"/>
            <w:noWrap/>
            <w:hideMark/>
          </w:tcPr>
          <w:p w14:paraId="6DB5428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1,402,920.00</w:t>
            </w:r>
          </w:p>
        </w:tc>
        <w:tc>
          <w:tcPr>
            <w:tcW w:w="1134" w:type="dxa"/>
            <w:noWrap/>
            <w:hideMark/>
          </w:tcPr>
          <w:p w14:paraId="5DC5F8ED"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0.0218</w:t>
            </w:r>
          </w:p>
        </w:tc>
        <w:tc>
          <w:tcPr>
            <w:tcW w:w="1134" w:type="dxa"/>
            <w:noWrap/>
            <w:hideMark/>
          </w:tcPr>
          <w:p w14:paraId="0EEB8BD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86.17</w:t>
            </w:r>
          </w:p>
        </w:tc>
        <w:tc>
          <w:tcPr>
            <w:tcW w:w="992" w:type="dxa"/>
            <w:noWrap/>
            <w:hideMark/>
          </w:tcPr>
          <w:p w14:paraId="7D5FA41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301.58</w:t>
            </w:r>
          </w:p>
        </w:tc>
        <w:tc>
          <w:tcPr>
            <w:tcW w:w="1134" w:type="dxa"/>
            <w:noWrap/>
            <w:hideMark/>
          </w:tcPr>
          <w:p w14:paraId="59271E6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646.25</w:t>
            </w:r>
          </w:p>
        </w:tc>
        <w:tc>
          <w:tcPr>
            <w:tcW w:w="1134" w:type="dxa"/>
            <w:noWrap/>
            <w:hideMark/>
          </w:tcPr>
          <w:p w14:paraId="4CC58492"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1,077.08</w:t>
            </w:r>
          </w:p>
        </w:tc>
        <w:tc>
          <w:tcPr>
            <w:tcW w:w="1044" w:type="dxa"/>
            <w:noWrap/>
            <w:hideMark/>
          </w:tcPr>
          <w:p w14:paraId="507BAF4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1,507.92</w:t>
            </w:r>
          </w:p>
        </w:tc>
        <w:tc>
          <w:tcPr>
            <w:tcW w:w="1244" w:type="dxa"/>
            <w:noWrap/>
            <w:hideMark/>
          </w:tcPr>
          <w:p w14:paraId="33FF1EC4"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1,895.67</w:t>
            </w:r>
          </w:p>
        </w:tc>
        <w:tc>
          <w:tcPr>
            <w:tcW w:w="1256" w:type="dxa"/>
            <w:gridSpan w:val="2"/>
            <w:noWrap/>
            <w:hideMark/>
          </w:tcPr>
          <w:p w14:paraId="5D4C09F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2,154.17</w:t>
            </w:r>
          </w:p>
        </w:tc>
      </w:tr>
      <w:tr w:rsidR="00F07001" w:rsidRPr="003140D8" w14:paraId="301A7087"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E6ED03D"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30</w:t>
            </w:r>
          </w:p>
        </w:tc>
        <w:tc>
          <w:tcPr>
            <w:tcW w:w="4256" w:type="dxa"/>
            <w:hideMark/>
          </w:tcPr>
          <w:p w14:paraId="1C3765D7"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Surrey, East and West Sussex</w:t>
            </w:r>
          </w:p>
        </w:tc>
        <w:tc>
          <w:tcPr>
            <w:tcW w:w="1559" w:type="dxa"/>
            <w:noWrap/>
            <w:hideMark/>
          </w:tcPr>
          <w:p w14:paraId="144AACFE"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2,893,770.00</w:t>
            </w:r>
          </w:p>
        </w:tc>
        <w:tc>
          <w:tcPr>
            <w:tcW w:w="1134" w:type="dxa"/>
            <w:noWrap/>
            <w:hideMark/>
          </w:tcPr>
          <w:p w14:paraId="0FDB557B"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0.0449</w:t>
            </w:r>
          </w:p>
        </w:tc>
        <w:tc>
          <w:tcPr>
            <w:tcW w:w="1134" w:type="dxa"/>
            <w:noWrap/>
            <w:hideMark/>
          </w:tcPr>
          <w:p w14:paraId="6C6B14E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177.73</w:t>
            </w:r>
          </w:p>
        </w:tc>
        <w:tc>
          <w:tcPr>
            <w:tcW w:w="992" w:type="dxa"/>
            <w:noWrap/>
            <w:hideMark/>
          </w:tcPr>
          <w:p w14:paraId="630E4EE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622.07</w:t>
            </w:r>
          </w:p>
        </w:tc>
        <w:tc>
          <w:tcPr>
            <w:tcW w:w="1134" w:type="dxa"/>
            <w:noWrap/>
            <w:hideMark/>
          </w:tcPr>
          <w:p w14:paraId="36F6553A"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1,333.01</w:t>
            </w:r>
          </w:p>
        </w:tc>
        <w:tc>
          <w:tcPr>
            <w:tcW w:w="1134" w:type="dxa"/>
            <w:noWrap/>
            <w:hideMark/>
          </w:tcPr>
          <w:p w14:paraId="23307354"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2,221.68</w:t>
            </w:r>
          </w:p>
        </w:tc>
        <w:tc>
          <w:tcPr>
            <w:tcW w:w="1044" w:type="dxa"/>
            <w:noWrap/>
            <w:hideMark/>
          </w:tcPr>
          <w:p w14:paraId="14C52E84"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3,110.35</w:t>
            </w:r>
          </w:p>
        </w:tc>
        <w:tc>
          <w:tcPr>
            <w:tcW w:w="1244" w:type="dxa"/>
            <w:noWrap/>
            <w:hideMark/>
          </w:tcPr>
          <w:p w14:paraId="6B963EF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3,910.15</w:t>
            </w:r>
          </w:p>
        </w:tc>
        <w:tc>
          <w:tcPr>
            <w:tcW w:w="1256" w:type="dxa"/>
            <w:gridSpan w:val="2"/>
            <w:noWrap/>
            <w:hideMark/>
          </w:tcPr>
          <w:p w14:paraId="7DFB633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4,443.35</w:t>
            </w:r>
          </w:p>
        </w:tc>
      </w:tr>
      <w:tr w:rsidR="00F07001" w:rsidRPr="003140D8" w14:paraId="44FBC4E6"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015BB766"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31</w:t>
            </w:r>
          </w:p>
        </w:tc>
        <w:tc>
          <w:tcPr>
            <w:tcW w:w="4256" w:type="dxa"/>
            <w:hideMark/>
          </w:tcPr>
          <w:p w14:paraId="36977B0E"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Tees Valley and Durham</w:t>
            </w:r>
          </w:p>
        </w:tc>
        <w:tc>
          <w:tcPr>
            <w:tcW w:w="1559" w:type="dxa"/>
            <w:noWrap/>
            <w:hideMark/>
          </w:tcPr>
          <w:p w14:paraId="6C58880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924,000.00</w:t>
            </w:r>
          </w:p>
        </w:tc>
        <w:tc>
          <w:tcPr>
            <w:tcW w:w="1134" w:type="dxa"/>
            <w:noWrap/>
            <w:hideMark/>
          </w:tcPr>
          <w:p w14:paraId="1B664AFC"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0.0143</w:t>
            </w:r>
          </w:p>
        </w:tc>
        <w:tc>
          <w:tcPr>
            <w:tcW w:w="1134" w:type="dxa"/>
            <w:noWrap/>
            <w:hideMark/>
          </w:tcPr>
          <w:p w14:paraId="3E57571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56.75</w:t>
            </w:r>
          </w:p>
        </w:tc>
        <w:tc>
          <w:tcPr>
            <w:tcW w:w="992" w:type="dxa"/>
            <w:noWrap/>
            <w:hideMark/>
          </w:tcPr>
          <w:p w14:paraId="37B45037"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198.63</w:t>
            </w:r>
          </w:p>
        </w:tc>
        <w:tc>
          <w:tcPr>
            <w:tcW w:w="1134" w:type="dxa"/>
            <w:noWrap/>
            <w:hideMark/>
          </w:tcPr>
          <w:p w14:paraId="1B761F6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425.64</w:t>
            </w:r>
          </w:p>
        </w:tc>
        <w:tc>
          <w:tcPr>
            <w:tcW w:w="1134" w:type="dxa"/>
            <w:noWrap/>
            <w:hideMark/>
          </w:tcPr>
          <w:p w14:paraId="1DA0837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709.40</w:t>
            </w:r>
          </w:p>
        </w:tc>
        <w:tc>
          <w:tcPr>
            <w:tcW w:w="1044" w:type="dxa"/>
            <w:noWrap/>
            <w:hideMark/>
          </w:tcPr>
          <w:p w14:paraId="31DF870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993.15</w:t>
            </w:r>
          </w:p>
        </w:tc>
        <w:tc>
          <w:tcPr>
            <w:tcW w:w="1244" w:type="dxa"/>
            <w:noWrap/>
            <w:hideMark/>
          </w:tcPr>
          <w:p w14:paraId="674AFBFD"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1,248.54</w:t>
            </w:r>
          </w:p>
        </w:tc>
        <w:tc>
          <w:tcPr>
            <w:tcW w:w="1256" w:type="dxa"/>
            <w:gridSpan w:val="2"/>
            <w:noWrap/>
            <w:hideMark/>
          </w:tcPr>
          <w:p w14:paraId="42B215D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1,418.79</w:t>
            </w:r>
          </w:p>
        </w:tc>
      </w:tr>
      <w:tr w:rsidR="00F07001" w:rsidRPr="003140D8" w14:paraId="422ED90C"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09BD7A75"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32</w:t>
            </w:r>
          </w:p>
        </w:tc>
        <w:tc>
          <w:tcPr>
            <w:tcW w:w="4256" w:type="dxa"/>
            <w:hideMark/>
          </w:tcPr>
          <w:p w14:paraId="450F983F"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West Midlands</w:t>
            </w:r>
          </w:p>
        </w:tc>
        <w:tc>
          <w:tcPr>
            <w:tcW w:w="1559" w:type="dxa"/>
            <w:noWrap/>
            <w:hideMark/>
          </w:tcPr>
          <w:p w14:paraId="02507624"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2,916,460.00</w:t>
            </w:r>
          </w:p>
        </w:tc>
        <w:tc>
          <w:tcPr>
            <w:tcW w:w="1134" w:type="dxa"/>
            <w:noWrap/>
            <w:hideMark/>
          </w:tcPr>
          <w:p w14:paraId="63D100F8"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0.0452</w:t>
            </w:r>
          </w:p>
        </w:tc>
        <w:tc>
          <w:tcPr>
            <w:tcW w:w="1134" w:type="dxa"/>
            <w:noWrap/>
            <w:hideMark/>
          </w:tcPr>
          <w:p w14:paraId="641F054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179.13</w:t>
            </w:r>
          </w:p>
        </w:tc>
        <w:tc>
          <w:tcPr>
            <w:tcW w:w="992" w:type="dxa"/>
            <w:noWrap/>
            <w:hideMark/>
          </w:tcPr>
          <w:p w14:paraId="151A8E2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626.95</w:t>
            </w:r>
          </w:p>
        </w:tc>
        <w:tc>
          <w:tcPr>
            <w:tcW w:w="1134" w:type="dxa"/>
            <w:noWrap/>
            <w:hideMark/>
          </w:tcPr>
          <w:p w14:paraId="36CD00DB"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1,343.46</w:t>
            </w:r>
          </w:p>
        </w:tc>
        <w:tc>
          <w:tcPr>
            <w:tcW w:w="1134" w:type="dxa"/>
            <w:noWrap/>
            <w:hideMark/>
          </w:tcPr>
          <w:p w14:paraId="71A6A75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2,239.10</w:t>
            </w:r>
          </w:p>
        </w:tc>
        <w:tc>
          <w:tcPr>
            <w:tcW w:w="1044" w:type="dxa"/>
            <w:noWrap/>
            <w:hideMark/>
          </w:tcPr>
          <w:p w14:paraId="216F00B6"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3,134.73</w:t>
            </w:r>
          </w:p>
        </w:tc>
        <w:tc>
          <w:tcPr>
            <w:tcW w:w="1244" w:type="dxa"/>
            <w:noWrap/>
            <w:hideMark/>
          </w:tcPr>
          <w:p w14:paraId="3A7B17D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3,940.81</w:t>
            </w:r>
          </w:p>
        </w:tc>
        <w:tc>
          <w:tcPr>
            <w:tcW w:w="1256" w:type="dxa"/>
            <w:gridSpan w:val="2"/>
            <w:noWrap/>
            <w:hideMark/>
          </w:tcPr>
          <w:p w14:paraId="1F4F59A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4,478.19</w:t>
            </w:r>
          </w:p>
        </w:tc>
      </w:tr>
      <w:tr w:rsidR="00F07001" w:rsidRPr="003140D8" w14:paraId="419E59A9"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1A496D7D"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33</w:t>
            </w:r>
          </w:p>
        </w:tc>
        <w:tc>
          <w:tcPr>
            <w:tcW w:w="4256" w:type="dxa"/>
            <w:hideMark/>
          </w:tcPr>
          <w:p w14:paraId="0DFA1CDF" w14:textId="77777777" w:rsidR="00F07001" w:rsidRPr="003140D8" w:rsidRDefault="00F07001" w:rsidP="0030755E">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West Wales and The Valleys</w:t>
            </w:r>
          </w:p>
        </w:tc>
        <w:tc>
          <w:tcPr>
            <w:tcW w:w="1559" w:type="dxa"/>
            <w:noWrap/>
            <w:hideMark/>
          </w:tcPr>
          <w:p w14:paraId="4F323CED"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1,970,620.00</w:t>
            </w:r>
          </w:p>
        </w:tc>
        <w:tc>
          <w:tcPr>
            <w:tcW w:w="1134" w:type="dxa"/>
            <w:noWrap/>
            <w:hideMark/>
          </w:tcPr>
          <w:p w14:paraId="5558267D" w14:textId="77777777" w:rsidR="00F07001" w:rsidRPr="003140D8" w:rsidRDefault="00F07001" w:rsidP="0030755E">
            <w:pPr>
              <w:spacing w:before="0" w:after="0"/>
              <w:ind w:firstLineChars="100" w:firstLine="20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0.0306</w:t>
            </w:r>
          </w:p>
        </w:tc>
        <w:tc>
          <w:tcPr>
            <w:tcW w:w="1134" w:type="dxa"/>
            <w:noWrap/>
            <w:hideMark/>
          </w:tcPr>
          <w:p w14:paraId="31C973CF"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121.03</w:t>
            </w:r>
          </w:p>
        </w:tc>
        <w:tc>
          <w:tcPr>
            <w:tcW w:w="992" w:type="dxa"/>
            <w:noWrap/>
            <w:hideMark/>
          </w:tcPr>
          <w:p w14:paraId="186CA358"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423.62</w:t>
            </w:r>
          </w:p>
        </w:tc>
        <w:tc>
          <w:tcPr>
            <w:tcW w:w="1134" w:type="dxa"/>
            <w:noWrap/>
            <w:hideMark/>
          </w:tcPr>
          <w:p w14:paraId="1AC323F7"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907.76</w:t>
            </w:r>
          </w:p>
        </w:tc>
        <w:tc>
          <w:tcPr>
            <w:tcW w:w="1134" w:type="dxa"/>
            <w:noWrap/>
            <w:hideMark/>
          </w:tcPr>
          <w:p w14:paraId="4B4768A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1,512.93</w:t>
            </w:r>
          </w:p>
        </w:tc>
        <w:tc>
          <w:tcPr>
            <w:tcW w:w="1044" w:type="dxa"/>
            <w:noWrap/>
            <w:hideMark/>
          </w:tcPr>
          <w:p w14:paraId="0D870280"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2,118.11</w:t>
            </w:r>
          </w:p>
        </w:tc>
        <w:tc>
          <w:tcPr>
            <w:tcW w:w="1244" w:type="dxa"/>
            <w:noWrap/>
            <w:hideMark/>
          </w:tcPr>
          <w:p w14:paraId="0F77999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2,662.76</w:t>
            </w:r>
          </w:p>
        </w:tc>
        <w:tc>
          <w:tcPr>
            <w:tcW w:w="1256" w:type="dxa"/>
            <w:gridSpan w:val="2"/>
            <w:noWrap/>
            <w:hideMark/>
          </w:tcPr>
          <w:p w14:paraId="7A4B9BA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3,025.87</w:t>
            </w:r>
          </w:p>
        </w:tc>
      </w:tr>
      <w:tr w:rsidR="00F07001" w:rsidRPr="003140D8" w14:paraId="7FC1584A" w14:textId="77777777" w:rsidTr="00CF4D20">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706" w:type="dxa"/>
            <w:hideMark/>
          </w:tcPr>
          <w:p w14:paraId="72E29111" w14:textId="77777777" w:rsidR="00F07001" w:rsidRPr="003140D8" w:rsidRDefault="00F07001" w:rsidP="0030755E">
            <w:pPr>
              <w:spacing w:before="0" w:after="0"/>
              <w:jc w:val="center"/>
              <w:rPr>
                <w:rFonts w:eastAsia="Times New Roman" w:cs="Arial"/>
                <w:color w:val="000000"/>
                <w:sz w:val="20"/>
                <w:szCs w:val="20"/>
                <w:lang w:eastAsia="en-GB"/>
              </w:rPr>
            </w:pPr>
            <w:r w:rsidRPr="003140D8">
              <w:rPr>
                <w:rFonts w:eastAsia="Times New Roman" w:cs="Arial"/>
                <w:color w:val="000000"/>
                <w:sz w:val="20"/>
                <w:szCs w:val="20"/>
                <w:lang w:eastAsia="en-GB"/>
              </w:rPr>
              <w:t>34</w:t>
            </w:r>
          </w:p>
        </w:tc>
        <w:tc>
          <w:tcPr>
            <w:tcW w:w="4256" w:type="dxa"/>
            <w:hideMark/>
          </w:tcPr>
          <w:p w14:paraId="78E42FDC" w14:textId="77777777" w:rsidR="00F07001" w:rsidRPr="003140D8" w:rsidRDefault="00F07001" w:rsidP="0030755E">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West Yorkshire</w:t>
            </w:r>
          </w:p>
        </w:tc>
        <w:tc>
          <w:tcPr>
            <w:tcW w:w="1559" w:type="dxa"/>
            <w:noWrap/>
            <w:hideMark/>
          </w:tcPr>
          <w:p w14:paraId="650D005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2,320,210.00</w:t>
            </w:r>
          </w:p>
        </w:tc>
        <w:tc>
          <w:tcPr>
            <w:tcW w:w="1134" w:type="dxa"/>
            <w:noWrap/>
            <w:hideMark/>
          </w:tcPr>
          <w:p w14:paraId="3ED2AEFF" w14:textId="77777777" w:rsidR="00F07001" w:rsidRPr="003140D8" w:rsidRDefault="00F07001" w:rsidP="0030755E">
            <w:pPr>
              <w:spacing w:before="0" w:after="0"/>
              <w:ind w:firstLineChars="100" w:firstLine="20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40D8">
              <w:rPr>
                <w:rFonts w:eastAsia="Times New Roman" w:cs="Arial"/>
                <w:color w:val="000000"/>
                <w:sz w:val="20"/>
                <w:szCs w:val="20"/>
                <w:lang w:eastAsia="en-GB"/>
              </w:rPr>
              <w:t>0.0360</w:t>
            </w:r>
          </w:p>
        </w:tc>
        <w:tc>
          <w:tcPr>
            <w:tcW w:w="1134" w:type="dxa"/>
            <w:noWrap/>
            <w:hideMark/>
          </w:tcPr>
          <w:p w14:paraId="3390389D"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142.51</w:t>
            </w:r>
          </w:p>
        </w:tc>
        <w:tc>
          <w:tcPr>
            <w:tcW w:w="992" w:type="dxa"/>
            <w:noWrap/>
            <w:hideMark/>
          </w:tcPr>
          <w:p w14:paraId="3ED8BFEB"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498.77</w:t>
            </w:r>
          </w:p>
        </w:tc>
        <w:tc>
          <w:tcPr>
            <w:tcW w:w="1134" w:type="dxa"/>
            <w:noWrap/>
            <w:hideMark/>
          </w:tcPr>
          <w:p w14:paraId="1C476EE5"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1,068.80</w:t>
            </w:r>
          </w:p>
        </w:tc>
        <w:tc>
          <w:tcPr>
            <w:tcW w:w="1134" w:type="dxa"/>
            <w:noWrap/>
            <w:hideMark/>
          </w:tcPr>
          <w:p w14:paraId="7B75F67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1,781.33</w:t>
            </w:r>
          </w:p>
        </w:tc>
        <w:tc>
          <w:tcPr>
            <w:tcW w:w="1044" w:type="dxa"/>
            <w:noWrap/>
            <w:hideMark/>
          </w:tcPr>
          <w:p w14:paraId="777D4B08"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2,493.86</w:t>
            </w:r>
          </w:p>
        </w:tc>
        <w:tc>
          <w:tcPr>
            <w:tcW w:w="1244" w:type="dxa"/>
            <w:noWrap/>
            <w:hideMark/>
          </w:tcPr>
          <w:p w14:paraId="1CB47269"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3,135.14</w:t>
            </w:r>
          </w:p>
        </w:tc>
        <w:tc>
          <w:tcPr>
            <w:tcW w:w="1256" w:type="dxa"/>
            <w:gridSpan w:val="2"/>
            <w:noWrap/>
            <w:hideMark/>
          </w:tcPr>
          <w:p w14:paraId="5195ED67" w14:textId="77777777" w:rsidR="00F07001" w:rsidRPr="003140D8" w:rsidRDefault="00F07001"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GB"/>
              </w:rPr>
            </w:pPr>
            <w:r w:rsidRPr="003140D8">
              <w:rPr>
                <w:rFonts w:cs="Arial"/>
                <w:i/>
                <w:iCs/>
                <w:color w:val="000000"/>
                <w:sz w:val="20"/>
                <w:szCs w:val="20"/>
              </w:rPr>
              <w:t>3,562.66</w:t>
            </w:r>
          </w:p>
        </w:tc>
      </w:tr>
      <w:tr w:rsidR="00F07001" w:rsidRPr="003140D8" w14:paraId="1DE37C5A" w14:textId="77777777" w:rsidTr="00CF4D20">
        <w:trPr>
          <w:trHeight w:val="6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76500D9" w14:textId="77777777" w:rsidR="00F07001" w:rsidRPr="003140D8" w:rsidRDefault="00F07001" w:rsidP="0030755E">
            <w:pPr>
              <w:spacing w:before="0" w:after="0"/>
              <w:jc w:val="center"/>
              <w:rPr>
                <w:rFonts w:eastAsia="Times New Roman" w:cs="Arial"/>
                <w:i/>
                <w:iCs/>
                <w:color w:val="000000"/>
                <w:sz w:val="20"/>
                <w:szCs w:val="20"/>
                <w:lang w:eastAsia="en-GB"/>
              </w:rPr>
            </w:pPr>
          </w:p>
        </w:tc>
        <w:tc>
          <w:tcPr>
            <w:tcW w:w="4256" w:type="dxa"/>
            <w:hideMark/>
          </w:tcPr>
          <w:p w14:paraId="38DE6950" w14:textId="77777777" w:rsidR="00F07001" w:rsidRPr="003140D8" w:rsidRDefault="00F07001" w:rsidP="0030755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Total</w:t>
            </w:r>
          </w:p>
        </w:tc>
        <w:tc>
          <w:tcPr>
            <w:tcW w:w="1559" w:type="dxa"/>
            <w:noWrap/>
            <w:hideMark/>
          </w:tcPr>
          <w:p w14:paraId="477AEBCB"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64,487,120.00</w:t>
            </w:r>
          </w:p>
        </w:tc>
        <w:tc>
          <w:tcPr>
            <w:tcW w:w="1134" w:type="dxa"/>
            <w:noWrap/>
            <w:hideMark/>
          </w:tcPr>
          <w:p w14:paraId="51B49A65"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eastAsia="Times New Roman" w:cs="Arial"/>
                <w:b/>
                <w:bCs/>
                <w:i/>
                <w:iCs/>
                <w:color w:val="000000"/>
                <w:sz w:val="20"/>
                <w:szCs w:val="20"/>
                <w:lang w:eastAsia="en-GB"/>
              </w:rPr>
              <w:t>1.00</w:t>
            </w:r>
          </w:p>
        </w:tc>
        <w:tc>
          <w:tcPr>
            <w:tcW w:w="1134" w:type="dxa"/>
            <w:noWrap/>
            <w:hideMark/>
          </w:tcPr>
          <w:p w14:paraId="1893F1C1"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3,960.77</w:t>
            </w:r>
          </w:p>
        </w:tc>
        <w:tc>
          <w:tcPr>
            <w:tcW w:w="992" w:type="dxa"/>
            <w:noWrap/>
            <w:hideMark/>
          </w:tcPr>
          <w:p w14:paraId="7EAE4383" w14:textId="07769469"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13,862.7</w:t>
            </w:r>
          </w:p>
        </w:tc>
        <w:tc>
          <w:tcPr>
            <w:tcW w:w="1134" w:type="dxa"/>
            <w:noWrap/>
            <w:hideMark/>
          </w:tcPr>
          <w:p w14:paraId="7E6106F3"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29,705.78</w:t>
            </w:r>
          </w:p>
        </w:tc>
        <w:tc>
          <w:tcPr>
            <w:tcW w:w="1134" w:type="dxa"/>
            <w:noWrap/>
            <w:hideMark/>
          </w:tcPr>
          <w:p w14:paraId="6B549CF9"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49,509.64</w:t>
            </w:r>
          </w:p>
        </w:tc>
        <w:tc>
          <w:tcPr>
            <w:tcW w:w="1044" w:type="dxa"/>
            <w:noWrap/>
            <w:hideMark/>
          </w:tcPr>
          <w:p w14:paraId="2816F0AC"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69,313.49</w:t>
            </w:r>
          </w:p>
        </w:tc>
        <w:tc>
          <w:tcPr>
            <w:tcW w:w="1244" w:type="dxa"/>
            <w:noWrap/>
            <w:hideMark/>
          </w:tcPr>
          <w:p w14:paraId="131BC5D6"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87,136.96</w:t>
            </w:r>
          </w:p>
        </w:tc>
        <w:tc>
          <w:tcPr>
            <w:tcW w:w="1256" w:type="dxa"/>
            <w:gridSpan w:val="2"/>
            <w:noWrap/>
            <w:hideMark/>
          </w:tcPr>
          <w:p w14:paraId="2B8163EE" w14:textId="77777777" w:rsidR="00F07001" w:rsidRPr="003140D8" w:rsidRDefault="00F07001"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20"/>
                <w:szCs w:val="20"/>
                <w:lang w:eastAsia="en-GB"/>
              </w:rPr>
            </w:pPr>
            <w:r w:rsidRPr="003140D8">
              <w:rPr>
                <w:rFonts w:cs="Arial"/>
                <w:b/>
                <w:bCs/>
                <w:i/>
                <w:iCs/>
                <w:color w:val="000000"/>
                <w:sz w:val="20"/>
                <w:szCs w:val="20"/>
              </w:rPr>
              <w:t>99,019.28</w:t>
            </w:r>
          </w:p>
        </w:tc>
      </w:tr>
    </w:tbl>
    <w:p w14:paraId="3B2648D6" w14:textId="77777777" w:rsidR="00F07001" w:rsidRDefault="00F07001" w:rsidP="00F07001">
      <w:pPr>
        <w:pStyle w:val="Style1"/>
        <w:sectPr w:rsidR="00F07001" w:rsidSect="00F07001">
          <w:pgSz w:w="16838" w:h="11906" w:orient="landscape"/>
          <w:pgMar w:top="720" w:right="720" w:bottom="720" w:left="720" w:header="708" w:footer="708" w:gutter="0"/>
          <w:cols w:space="708"/>
          <w:docGrid w:linePitch="360"/>
        </w:sectPr>
      </w:pPr>
    </w:p>
    <w:p w14:paraId="1C0C3BA3" w14:textId="560815C6" w:rsidR="008B216C" w:rsidRDefault="008B216C" w:rsidP="008B216C">
      <w:pPr>
        <w:pStyle w:val="Heading8"/>
      </w:pPr>
      <w:bookmarkStart w:id="273" w:name="_Toc50359468"/>
      <w:bookmarkStart w:id="274" w:name="_Ref54879356"/>
      <w:r>
        <w:lastRenderedPageBreak/>
        <w:t>Gas</w:t>
      </w:r>
      <w:r w:rsidR="00926679">
        <w:t>, coal, and electricity p</w:t>
      </w:r>
      <w:r>
        <w:t xml:space="preserve">rice </w:t>
      </w:r>
      <w:r w:rsidR="00926679">
        <w:t>f</w:t>
      </w:r>
      <w:r>
        <w:t>orecasting</w:t>
      </w:r>
      <w:bookmarkEnd w:id="273"/>
      <w:bookmarkEnd w:id="274"/>
      <w:r>
        <w:t xml:space="preserve"> </w:t>
      </w:r>
    </w:p>
    <w:p w14:paraId="1C5892FD" w14:textId="3651F0A1" w:rsidR="008B216C" w:rsidRDefault="008B216C" w:rsidP="008B216C">
      <w:r>
        <w:t xml:space="preserve">Data for the cost of wholesale </w:t>
      </w:r>
      <w:r w:rsidR="00926679">
        <w:t xml:space="preserve">gas, coal, and </w:t>
      </w:r>
      <w:r>
        <w:t>electricity prices has been estimated by BEIS</w:t>
      </w:r>
      <w:r w:rsidR="0045013B">
        <w:t xml:space="preserve"> </w:t>
      </w:r>
      <w:r w:rsidR="0045013B">
        <w:fldChar w:fldCharType="begin"/>
      </w:r>
      <w:r w:rsidR="003C7F9A">
        <w:instrText xml:space="preserve"> ADDIN EN.CITE &lt;EndNote&gt;&lt;Cite&gt;&lt;Author&gt;BEIS&lt;/Author&gt;&lt;Year&gt;2020&lt;/Year&gt;&lt;RecNum&gt;1035&lt;/RecNum&gt;&lt;DisplayText&gt;[46, 47]&lt;/DisplayText&gt;&lt;record&gt;&lt;rec-number&gt;1035&lt;/rec-number&gt;&lt;foreign-keys&gt;&lt;key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Cite&gt;&lt;Author&gt;BEIS&lt;/Author&gt;&lt;Year&gt;2019&lt;/Year&gt;&lt;RecNum&gt;1032&lt;/RecNum&gt;&lt;record&gt;&lt;rec-number&gt;1032&lt;/rec-number&gt;&lt;foreign-keys&gt;&lt;key app="EN" db-id="w500zpaaheraz8epaw1p29dtf2ff9zrswv50" timestamp="1607697901"&gt;1032&lt;/key&gt;&lt;/foreign-keys&gt;&lt;ref-type name="Web Page"&gt;12&lt;/ref-type&gt;&lt;contributors&gt;&lt;authors&gt;&lt;author&gt;BEIS&lt;/author&gt;&lt;/authors&gt;&lt;/contributors&gt;&lt;titles&gt;&lt;title&gt;Updated energy and emissions projections 2018&lt;/title&gt;&lt;secondary-title&gt;The Energy White Paper&lt;/secondary-title&gt;&lt;/titles&gt;&lt;periodical&gt;&lt;full-title&gt;The Energy White Paper&lt;/full-title&gt;&lt;/periodical&gt;&lt;pages&gt;35-35&lt;/pages&gt;&lt;number&gt;April&lt;/number&gt;&lt;dates&gt;&lt;year&gt;2019&lt;/year&gt;&lt;/dates&gt;&lt;publisher&gt;Department for Business, Energy, and Industrial Strategy,&lt;/publisher&gt;&lt;isbn&gt;4473467467345&lt;/isbn&gt;&lt;urls&gt;&lt;related-urls&gt;&lt;url&gt;https://assets.publishing.service.gov.uk/government/uploads/system/uploads/attachment_data/file/794590/updated-energy-and-emissions-projections-2018.pdf%0Ahttps://www.gov.uk/government/uploads/system/uploads/attachment_data/file/239937/uep_2013.pdf&lt;/url&gt;&lt;/related-urls&gt;&lt;/urls&gt;&lt;/record&gt;&lt;/Cite&gt;&lt;/EndNote&gt;</w:instrText>
      </w:r>
      <w:r w:rsidR="0045013B">
        <w:fldChar w:fldCharType="separate"/>
      </w:r>
      <w:r w:rsidR="003C7F9A">
        <w:rPr>
          <w:noProof/>
        </w:rPr>
        <w:t>[</w:t>
      </w:r>
      <w:hyperlink w:anchor="_ENREF_46" w:tooltip="BEIS, 2020 #1035" w:history="1">
        <w:r w:rsidR="006210AE">
          <w:rPr>
            <w:noProof/>
          </w:rPr>
          <w:t>46</w:t>
        </w:r>
      </w:hyperlink>
      <w:r w:rsidR="003C7F9A">
        <w:rPr>
          <w:noProof/>
        </w:rPr>
        <w:t xml:space="preserve">, </w:t>
      </w:r>
      <w:hyperlink w:anchor="_ENREF_47" w:tooltip="BEIS, 2019 #1032" w:history="1">
        <w:r w:rsidR="006210AE">
          <w:rPr>
            <w:noProof/>
          </w:rPr>
          <w:t>47</w:t>
        </w:r>
      </w:hyperlink>
      <w:r w:rsidR="003C7F9A">
        <w:rPr>
          <w:noProof/>
        </w:rPr>
        <w:t>]</w:t>
      </w:r>
      <w:r w:rsidR="0045013B">
        <w:fldChar w:fldCharType="end"/>
      </w:r>
      <w:r>
        <w:t xml:space="preserve"> up until 2035</w:t>
      </w:r>
      <w:r w:rsidR="00926679">
        <w:t xml:space="preserve">. This </w:t>
      </w:r>
      <w:r>
        <w:t>information was extended up to 2050 using Excel</w:t>
      </w:r>
      <w:r w:rsidR="00552907">
        <w:t>’</w:t>
      </w:r>
      <w:r>
        <w:t>s inbuilt forecasting tool</w:t>
      </w:r>
      <w:r w:rsidR="00926679">
        <w:t>. Forecasted prices, lower, and upper bounds are</w:t>
      </w:r>
      <w:r w:rsidR="00552907">
        <w:t xml:space="preserve"> shown in </w:t>
      </w:r>
      <w:r>
        <w:fldChar w:fldCharType="begin"/>
      </w:r>
      <w:r>
        <w:instrText xml:space="preserve"> REF _Ref47020001 \h </w:instrText>
      </w:r>
      <w:r>
        <w:fldChar w:fldCharType="separate"/>
      </w:r>
      <w:r w:rsidR="00403A31">
        <w:t xml:space="preserve">Table </w:t>
      </w:r>
      <w:r w:rsidR="00403A31">
        <w:rPr>
          <w:noProof/>
        </w:rPr>
        <w:t>18</w:t>
      </w:r>
      <w:r>
        <w:fldChar w:fldCharType="end"/>
      </w:r>
      <w:r w:rsidR="00552907">
        <w:t>.</w:t>
      </w:r>
    </w:p>
    <w:p w14:paraId="0D0BC549" w14:textId="1B517CC6" w:rsidR="008B216C" w:rsidRDefault="008B216C" w:rsidP="008B216C">
      <w:pPr>
        <w:pStyle w:val="Caption"/>
      </w:pPr>
      <w:bookmarkStart w:id="275" w:name="_Ref47020001"/>
      <w:bookmarkStart w:id="276" w:name="_Toc50359167"/>
      <w:r>
        <w:t xml:space="preserve">Table </w:t>
      </w:r>
      <w:fldSimple w:instr=" SEQ Table \* ARABIC ">
        <w:r w:rsidR="009D026A">
          <w:rPr>
            <w:noProof/>
          </w:rPr>
          <w:t>18</w:t>
        </w:r>
      </w:fldSimple>
      <w:bookmarkEnd w:id="275"/>
      <w:r w:rsidR="00CF4D20">
        <w:t xml:space="preserve">: </w:t>
      </w:r>
      <w:r>
        <w:t xml:space="preserve"> Forecas</w:t>
      </w:r>
      <w:r w:rsidR="00926679">
        <w:t>ted prices</w:t>
      </w:r>
      <w:r>
        <w:t xml:space="preserve"> for wholesale electricity</w:t>
      </w:r>
      <w:r w:rsidR="00926679">
        <w:t>, gas, and coal</w:t>
      </w:r>
      <w:r>
        <w:t>; data up to 2035 from B</w:t>
      </w:r>
      <w:r w:rsidRPr="00926679">
        <w:rPr>
          <w:i w:val="0"/>
          <w:iCs w:val="0"/>
        </w:rPr>
        <w:t>EIS</w:t>
      </w:r>
      <w:r w:rsidR="0045013B">
        <w:rPr>
          <w:i w:val="0"/>
          <w:iCs w:val="0"/>
        </w:rPr>
        <w:t xml:space="preserve"> </w:t>
      </w:r>
      <w:r w:rsidR="0045013B">
        <w:fldChar w:fldCharType="begin"/>
      </w:r>
      <w:r w:rsidR="003C7F9A">
        <w:instrText xml:space="preserve"> ADDIN EN.CITE &lt;EndNote&gt;&lt;Cite&gt;&lt;Author&gt;BEIS&lt;/Author&gt;&lt;Year&gt;2020&lt;/Year&gt;&lt;RecNum&gt;1035&lt;/RecNum&gt;&lt;DisplayText&gt;[46, 47]&lt;/DisplayText&gt;&lt;record&gt;&lt;rec-number&gt;1035&lt;/rec-number&gt;&lt;foreign-keys&gt;&lt;key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Cite&gt;&lt;Author&gt;BEIS&lt;/Author&gt;&lt;Year&gt;2019&lt;/Year&gt;&lt;RecNum&gt;1032&lt;/RecNum&gt;&lt;record&gt;&lt;rec-number&gt;1032&lt;/rec-number&gt;&lt;foreign-keys&gt;&lt;key app="EN" db-id="w500zpaaheraz8epaw1p29dtf2ff9zrswv50" timestamp="1607697901"&gt;1032&lt;/key&gt;&lt;/foreign-keys&gt;&lt;ref-type name="Web Page"&gt;12&lt;/ref-type&gt;&lt;contributors&gt;&lt;authors&gt;&lt;author&gt;BEIS&lt;/author&gt;&lt;/authors&gt;&lt;/contributors&gt;&lt;titles&gt;&lt;title&gt;Updated energy and emissions projections 2018&lt;/title&gt;&lt;secondary-title&gt;The Energy White Paper&lt;/secondary-title&gt;&lt;/titles&gt;&lt;periodical&gt;&lt;full-title&gt;The Energy White Paper&lt;/full-title&gt;&lt;/periodical&gt;&lt;pages&gt;35-35&lt;/pages&gt;&lt;number&gt;April&lt;/number&gt;&lt;dates&gt;&lt;year&gt;2019&lt;/year&gt;&lt;/dates&gt;&lt;publisher&gt;Department for Business, Energy, and Industrial Strategy,&lt;/publisher&gt;&lt;isbn&gt;4473467467345&lt;/isbn&gt;&lt;urls&gt;&lt;related-urls&gt;&lt;url&gt;https://assets.publishing.service.gov.uk/government/uploads/system/uploads/attachment_data/file/794590/updated-energy-and-emissions-projections-2018.pdf%0Ahttps://www.gov.uk/government/uploads/system/uploads/attachment_data/file/239937/uep_2013.pdf&lt;/url&gt;&lt;/related-urls&gt;&lt;/urls&gt;&lt;/record&gt;&lt;/Cite&gt;&lt;/EndNote&gt;</w:instrText>
      </w:r>
      <w:r w:rsidR="0045013B">
        <w:fldChar w:fldCharType="separate"/>
      </w:r>
      <w:r w:rsidR="003C7F9A">
        <w:rPr>
          <w:noProof/>
        </w:rPr>
        <w:t>[</w:t>
      </w:r>
      <w:hyperlink w:anchor="_ENREF_46" w:tooltip="BEIS, 2020 #1035" w:history="1">
        <w:r w:rsidR="006210AE">
          <w:rPr>
            <w:noProof/>
          </w:rPr>
          <w:t>46</w:t>
        </w:r>
      </w:hyperlink>
      <w:r w:rsidR="003C7F9A">
        <w:rPr>
          <w:noProof/>
        </w:rPr>
        <w:t xml:space="preserve">, </w:t>
      </w:r>
      <w:hyperlink w:anchor="_ENREF_47" w:tooltip="BEIS, 2019 #1032" w:history="1">
        <w:r w:rsidR="006210AE">
          <w:rPr>
            <w:noProof/>
          </w:rPr>
          <w:t>47</w:t>
        </w:r>
      </w:hyperlink>
      <w:r w:rsidR="003C7F9A">
        <w:rPr>
          <w:noProof/>
        </w:rPr>
        <w:t>]</w:t>
      </w:r>
      <w:r w:rsidR="0045013B">
        <w:fldChar w:fldCharType="end"/>
      </w:r>
      <w:r w:rsidRPr="00926679">
        <w:t>.</w:t>
      </w:r>
      <w:bookmarkEnd w:id="276"/>
      <w:r w:rsidR="00E354D0">
        <w:t xml:space="preserve"> FP: Forecasted price. LCBP: Lower confidence bound price. UCBP: Upper confidence bound price.</w:t>
      </w:r>
    </w:p>
    <w:tbl>
      <w:tblPr>
        <w:tblStyle w:val="PlainTable21"/>
        <w:tblW w:w="9912" w:type="dxa"/>
        <w:tblLayout w:type="fixed"/>
        <w:tblLook w:val="04A0" w:firstRow="1" w:lastRow="0" w:firstColumn="1" w:lastColumn="0" w:noHBand="0" w:noVBand="1"/>
      </w:tblPr>
      <w:tblGrid>
        <w:gridCol w:w="721"/>
        <w:gridCol w:w="702"/>
        <w:gridCol w:w="568"/>
        <w:gridCol w:w="767"/>
        <w:gridCol w:w="728"/>
        <w:gridCol w:w="11"/>
        <w:gridCol w:w="862"/>
        <w:gridCol w:w="881"/>
        <w:gridCol w:w="805"/>
        <w:gridCol w:w="846"/>
        <w:gridCol w:w="8"/>
        <w:gridCol w:w="711"/>
        <w:gridCol w:w="749"/>
        <w:gridCol w:w="767"/>
        <w:gridCol w:w="766"/>
        <w:gridCol w:w="20"/>
      </w:tblGrid>
      <w:tr w:rsidR="008447DA" w:rsidRPr="00913E70" w14:paraId="0958975D" w14:textId="62181A84" w:rsidTr="00CF4D2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1" w:type="dxa"/>
            <w:noWrap/>
          </w:tcPr>
          <w:p w14:paraId="527CD17D" w14:textId="77777777" w:rsidR="008447DA" w:rsidRPr="00913E70" w:rsidRDefault="008447DA" w:rsidP="00262AFD">
            <w:pPr>
              <w:spacing w:before="0" w:after="0"/>
              <w:jc w:val="center"/>
              <w:rPr>
                <w:rFonts w:eastAsia="Times New Roman" w:cs="Arial"/>
                <w:sz w:val="20"/>
                <w:szCs w:val="20"/>
                <w:lang w:eastAsia="en-GB"/>
              </w:rPr>
            </w:pPr>
          </w:p>
        </w:tc>
        <w:tc>
          <w:tcPr>
            <w:tcW w:w="2776" w:type="dxa"/>
            <w:gridSpan w:val="5"/>
            <w:noWrap/>
          </w:tcPr>
          <w:p w14:paraId="73880200" w14:textId="56344F9D" w:rsidR="008447DA" w:rsidRDefault="008447DA"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 xml:space="preserve">Gas </w:t>
            </w:r>
            <w:r w:rsidR="00926679">
              <w:rPr>
                <w:rFonts w:eastAsia="Times New Roman" w:cs="Arial"/>
                <w:sz w:val="20"/>
                <w:szCs w:val="20"/>
                <w:lang w:eastAsia="en-GB"/>
              </w:rPr>
              <w:t xml:space="preserve">Price </w:t>
            </w:r>
            <w:r w:rsidRPr="00913E70">
              <w:rPr>
                <w:rFonts w:eastAsia="Times New Roman" w:cs="Arial"/>
                <w:sz w:val="20"/>
                <w:szCs w:val="20"/>
                <w:lang w:eastAsia="en-GB"/>
              </w:rPr>
              <w:t>(p/kWh)</w:t>
            </w:r>
          </w:p>
        </w:tc>
        <w:tc>
          <w:tcPr>
            <w:tcW w:w="3402" w:type="dxa"/>
            <w:gridSpan w:val="5"/>
          </w:tcPr>
          <w:p w14:paraId="407F2973" w14:textId="6F0014CC" w:rsidR="008447DA" w:rsidRPr="008447DA" w:rsidRDefault="008447DA" w:rsidP="00262AFD">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8447DA">
              <w:rPr>
                <w:sz w:val="20"/>
                <w:szCs w:val="20"/>
              </w:rPr>
              <w:t>Coal Price</w:t>
            </w:r>
            <w:r>
              <w:rPr>
                <w:sz w:val="20"/>
                <w:szCs w:val="20"/>
              </w:rPr>
              <w:t xml:space="preserve"> </w:t>
            </w:r>
            <w:r w:rsidRPr="00913E70">
              <w:rPr>
                <w:rFonts w:eastAsia="Times New Roman" w:cs="Arial"/>
                <w:sz w:val="20"/>
                <w:szCs w:val="20"/>
                <w:lang w:eastAsia="en-GB"/>
              </w:rPr>
              <w:t>(p/kWh)</w:t>
            </w:r>
          </w:p>
        </w:tc>
        <w:tc>
          <w:tcPr>
            <w:tcW w:w="3013" w:type="dxa"/>
            <w:gridSpan w:val="5"/>
          </w:tcPr>
          <w:p w14:paraId="4B187F8C" w14:textId="3C29F903" w:rsidR="008447DA" w:rsidRPr="008447DA" w:rsidRDefault="00926679" w:rsidP="00262AF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Electricity</w:t>
            </w:r>
            <w:r w:rsidRPr="008447DA">
              <w:rPr>
                <w:sz w:val="20"/>
                <w:szCs w:val="20"/>
              </w:rPr>
              <w:t xml:space="preserve"> Price</w:t>
            </w:r>
            <w:r>
              <w:rPr>
                <w:sz w:val="20"/>
                <w:szCs w:val="20"/>
              </w:rPr>
              <w:t xml:space="preserve"> </w:t>
            </w:r>
            <w:r w:rsidRPr="00913E70">
              <w:rPr>
                <w:rFonts w:eastAsia="Times New Roman" w:cs="Arial"/>
                <w:sz w:val="20"/>
                <w:szCs w:val="20"/>
                <w:lang w:eastAsia="en-GB"/>
              </w:rPr>
              <w:t>(p/kWh)</w:t>
            </w:r>
          </w:p>
        </w:tc>
      </w:tr>
      <w:tr w:rsidR="008447DA" w:rsidRPr="00913E70" w14:paraId="19C30E49" w14:textId="05E1EA71"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79C3F0A" w14:textId="77777777" w:rsidR="008447DA" w:rsidRPr="00913E70" w:rsidRDefault="008447DA"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Year</w:t>
            </w:r>
          </w:p>
        </w:tc>
        <w:tc>
          <w:tcPr>
            <w:tcW w:w="702" w:type="dxa"/>
            <w:noWrap/>
            <w:hideMark/>
          </w:tcPr>
          <w:p w14:paraId="602B1AFA" w14:textId="27462BE2" w:rsidR="008447DA" w:rsidRPr="00926679" w:rsidRDefault="00E354D0"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Price</w:t>
            </w:r>
            <w:r w:rsidR="008447DA" w:rsidRPr="00926679">
              <w:rPr>
                <w:rFonts w:eastAsia="Times New Roman" w:cs="Arial"/>
                <w:sz w:val="20"/>
                <w:szCs w:val="20"/>
                <w:lang w:eastAsia="en-GB"/>
              </w:rPr>
              <w:t xml:space="preserve"> </w:t>
            </w:r>
            <w:r w:rsidR="00926679" w:rsidRPr="00926679">
              <w:rPr>
                <w:sz w:val="20"/>
                <w:szCs w:val="20"/>
              </w:rPr>
              <w:fldChar w:fldCharType="begin" w:fldLock="1"/>
            </w:r>
            <w:r w:rsidR="00507427">
              <w:rPr>
                <w:sz w:val="20"/>
                <w:szCs w:val="20"/>
              </w:rPr>
              <w:instrText>ADDIN CSL_CITATION {"citationItems":[{"id":"ITEM-1","itemData":{"author":[{"dropping-particle":"","family":"Department for Business Energy &amp; Industrial Strategy","given":"","non-dropping-particle":"","parse-names":false,"suffix":""}],"id":"ITEM-1","issued":{"date-parts":[["2020"]]},"title":"Fossil fuel price assumptions","type":"report"},"uris":["http://www.mendeley.com/documents/?uuid=cfa6fe2b-56c3-47fd-9bf8-7250c75deb8d"]}],"mendeley":{"formattedCitation":"[50]","plainTextFormattedCitation":"[50]","previouslyFormattedCitation":"[49]"},"properties":{"noteIndex":0},"schema":"https://github.com/citation-style-language/schema/raw/master/csl-citation.json"}</w:instrText>
            </w:r>
            <w:r w:rsidR="00926679" w:rsidRPr="00926679">
              <w:rPr>
                <w:sz w:val="20"/>
                <w:szCs w:val="20"/>
              </w:rPr>
              <w:fldChar w:fldCharType="separate"/>
            </w:r>
            <w:r w:rsidR="00507427" w:rsidRPr="00507427">
              <w:rPr>
                <w:noProof/>
                <w:sz w:val="20"/>
                <w:szCs w:val="20"/>
              </w:rPr>
              <w:t>[50]</w:t>
            </w:r>
            <w:r w:rsidR="00926679" w:rsidRPr="00926679">
              <w:rPr>
                <w:sz w:val="20"/>
                <w:szCs w:val="20"/>
              </w:rPr>
              <w:fldChar w:fldCharType="end"/>
            </w:r>
          </w:p>
        </w:tc>
        <w:tc>
          <w:tcPr>
            <w:tcW w:w="568" w:type="dxa"/>
            <w:noWrap/>
            <w:hideMark/>
          </w:tcPr>
          <w:p w14:paraId="70B6D96F" w14:textId="2A95EA1E" w:rsidR="008447DA" w:rsidRPr="00913E70"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F</w:t>
            </w:r>
            <w:r w:rsidR="00E354D0">
              <w:rPr>
                <w:rFonts w:eastAsia="Times New Roman" w:cs="Arial"/>
                <w:sz w:val="20"/>
                <w:szCs w:val="20"/>
                <w:lang w:eastAsia="en-GB"/>
              </w:rPr>
              <w:t>P</w:t>
            </w:r>
            <w:r w:rsidRPr="00913E70">
              <w:rPr>
                <w:rFonts w:eastAsia="Times New Roman" w:cs="Arial"/>
                <w:sz w:val="20"/>
                <w:szCs w:val="20"/>
                <w:lang w:eastAsia="en-GB"/>
              </w:rPr>
              <w:t xml:space="preserve"> </w:t>
            </w:r>
          </w:p>
        </w:tc>
        <w:tc>
          <w:tcPr>
            <w:tcW w:w="767" w:type="dxa"/>
            <w:noWrap/>
            <w:hideMark/>
          </w:tcPr>
          <w:p w14:paraId="31C077C1" w14:textId="3FA4FFFD" w:rsidR="008447DA" w:rsidRPr="00913E70"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LCB</w:t>
            </w:r>
            <w:r w:rsidR="00E354D0">
              <w:rPr>
                <w:rFonts w:eastAsia="Times New Roman" w:cs="Arial"/>
                <w:sz w:val="20"/>
                <w:szCs w:val="20"/>
                <w:lang w:eastAsia="en-GB"/>
              </w:rPr>
              <w:t>P</w:t>
            </w:r>
            <w:r w:rsidRPr="00913E70">
              <w:rPr>
                <w:rFonts w:eastAsia="Times New Roman" w:cs="Arial"/>
                <w:sz w:val="20"/>
                <w:szCs w:val="20"/>
                <w:lang w:eastAsia="en-GB"/>
              </w:rPr>
              <w:t xml:space="preserve"> </w:t>
            </w:r>
          </w:p>
        </w:tc>
        <w:tc>
          <w:tcPr>
            <w:tcW w:w="728" w:type="dxa"/>
            <w:noWrap/>
            <w:hideMark/>
          </w:tcPr>
          <w:p w14:paraId="3FBEE77A" w14:textId="67D96274" w:rsidR="008447DA" w:rsidRPr="00913E70"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UCB</w:t>
            </w:r>
            <w:r w:rsidR="00E354D0">
              <w:rPr>
                <w:rFonts w:eastAsia="Times New Roman" w:cs="Arial"/>
                <w:sz w:val="20"/>
                <w:szCs w:val="20"/>
                <w:lang w:eastAsia="en-GB"/>
              </w:rPr>
              <w:t>P</w:t>
            </w:r>
          </w:p>
        </w:tc>
        <w:tc>
          <w:tcPr>
            <w:tcW w:w="873" w:type="dxa"/>
            <w:gridSpan w:val="2"/>
          </w:tcPr>
          <w:p w14:paraId="2A5AC9D4" w14:textId="6E9EB7B1" w:rsidR="008447DA" w:rsidRPr="00913E70" w:rsidRDefault="00E354D0"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 xml:space="preserve">Price </w:t>
            </w:r>
            <w:r w:rsidR="00926679" w:rsidRPr="00926679">
              <w:rPr>
                <w:sz w:val="20"/>
                <w:szCs w:val="20"/>
              </w:rPr>
              <w:fldChar w:fldCharType="begin" w:fldLock="1"/>
            </w:r>
            <w:r w:rsidR="00507427">
              <w:rPr>
                <w:sz w:val="20"/>
                <w:szCs w:val="20"/>
              </w:rPr>
              <w:instrText>ADDIN CSL_CITATION {"citationItems":[{"id":"ITEM-1","itemData":{"ISBN":"4473467467345","abstract":"The Department of Energy and Climate Change (DECC) regularly updates projections of energy demand, supply and greenhouse gas (GHG) emissions. The last full set of projections was published in October 20121. This report updates those projections. The projections take account of policies that affect energy use and GHG emissions where funding has been agreed and decisions on policy design are sufficiently advanced to allow robust estimates of policy impacts to be made. The government has in place a clearly defined suite of policies to reduce emissions to meet the first three carbon budgets. Therefore, the projections for 2012 to 2022 indicate how we expect to perform against the first three carbon budgets based on a set of analytical assumptions (table 1 and figure 1). The projections for the period 2023 onwards represent our expectations in the absence of any additional policy effort, i.e. no new policies or extensions to existing policies. They show that our suite of existing policies will continue to reduce emissions over the fourth carbon budget period, but not by enough to meet the fourth carbon budget level. The difference between the projections for 2023 - 2027 and the fourth carbon budget level therefore indicates the amount of additional policy effort that would be required to meet the budget. The","author":[{"dropping-particle":"","family":"Department for Business","given":"Energy &amp; Industrial Strategy","non-dropping-particle":"","parse-names":false,"suffix":""}],"container-title":"The Energy White Paper","id":"ITEM-1","issue":"April","issued":{"date-parts":[["2019"]]},"page":"35","title":"Updated energy and emissions projections 2018","type":"article-journal"},"uris":["http://www.mendeley.com/documents/?uuid=29c4242b-0000-449b-a611-313bba94a895"]}],"mendeley":{"formattedCitation":"[51]","plainTextFormattedCitation":"[51]","previouslyFormattedCitation":"[50]"},"properties":{"noteIndex":0},"schema":"https://github.com/citation-style-language/schema/raw/master/csl-citation.json"}</w:instrText>
            </w:r>
            <w:r w:rsidR="00926679" w:rsidRPr="00926679">
              <w:rPr>
                <w:sz w:val="20"/>
                <w:szCs w:val="20"/>
              </w:rPr>
              <w:fldChar w:fldCharType="separate"/>
            </w:r>
            <w:r w:rsidR="00507427" w:rsidRPr="00507427">
              <w:rPr>
                <w:noProof/>
                <w:sz w:val="20"/>
                <w:szCs w:val="20"/>
              </w:rPr>
              <w:t>[51]</w:t>
            </w:r>
            <w:r w:rsidR="00926679" w:rsidRPr="00926679">
              <w:rPr>
                <w:sz w:val="20"/>
                <w:szCs w:val="20"/>
              </w:rPr>
              <w:fldChar w:fldCharType="end"/>
            </w:r>
            <w:r w:rsidR="008447DA" w:rsidRPr="00913E70">
              <w:rPr>
                <w:rFonts w:eastAsia="Times New Roman" w:cs="Arial"/>
                <w:sz w:val="20"/>
                <w:szCs w:val="20"/>
                <w:lang w:eastAsia="en-GB"/>
              </w:rPr>
              <w:t xml:space="preserve"> </w:t>
            </w:r>
          </w:p>
        </w:tc>
        <w:tc>
          <w:tcPr>
            <w:tcW w:w="881" w:type="dxa"/>
          </w:tcPr>
          <w:p w14:paraId="77FD9E3B" w14:textId="19987199" w:rsidR="008447DA" w:rsidRPr="00913E70"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F</w:t>
            </w:r>
            <w:r w:rsidR="00E354D0">
              <w:rPr>
                <w:rFonts w:eastAsia="Times New Roman" w:cs="Arial"/>
                <w:sz w:val="20"/>
                <w:szCs w:val="20"/>
                <w:lang w:eastAsia="en-GB"/>
              </w:rPr>
              <w:t>P</w:t>
            </w:r>
            <w:r w:rsidRPr="00913E70">
              <w:rPr>
                <w:rFonts w:eastAsia="Times New Roman" w:cs="Arial"/>
                <w:sz w:val="20"/>
                <w:szCs w:val="20"/>
                <w:lang w:eastAsia="en-GB"/>
              </w:rPr>
              <w:t xml:space="preserve"> </w:t>
            </w:r>
          </w:p>
        </w:tc>
        <w:tc>
          <w:tcPr>
            <w:tcW w:w="805" w:type="dxa"/>
          </w:tcPr>
          <w:p w14:paraId="57AC43EE" w14:textId="3E7857FF" w:rsidR="008447DA" w:rsidRPr="00913E70"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LCB</w:t>
            </w:r>
            <w:r w:rsidR="00E354D0">
              <w:rPr>
                <w:rFonts w:eastAsia="Times New Roman" w:cs="Arial"/>
                <w:sz w:val="20"/>
                <w:szCs w:val="20"/>
                <w:lang w:eastAsia="en-GB"/>
              </w:rPr>
              <w:t>P</w:t>
            </w:r>
            <w:r w:rsidRPr="00913E70">
              <w:rPr>
                <w:rFonts w:eastAsia="Times New Roman" w:cs="Arial"/>
                <w:sz w:val="20"/>
                <w:szCs w:val="20"/>
                <w:lang w:eastAsia="en-GB"/>
              </w:rPr>
              <w:t xml:space="preserve"> </w:t>
            </w:r>
          </w:p>
        </w:tc>
        <w:tc>
          <w:tcPr>
            <w:tcW w:w="846" w:type="dxa"/>
          </w:tcPr>
          <w:p w14:paraId="056F690E" w14:textId="78508201" w:rsidR="008447DA" w:rsidRPr="00913E70"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UCB</w:t>
            </w:r>
            <w:r w:rsidR="00E354D0">
              <w:rPr>
                <w:rFonts w:eastAsia="Times New Roman" w:cs="Arial"/>
                <w:sz w:val="20"/>
                <w:szCs w:val="20"/>
                <w:lang w:eastAsia="en-GB"/>
              </w:rPr>
              <w:t>P</w:t>
            </w:r>
          </w:p>
        </w:tc>
        <w:tc>
          <w:tcPr>
            <w:tcW w:w="719" w:type="dxa"/>
            <w:gridSpan w:val="2"/>
          </w:tcPr>
          <w:p w14:paraId="5C68318D" w14:textId="5515ABE1" w:rsidR="008447DA" w:rsidRDefault="00E354D0"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 xml:space="preserve">Price </w:t>
            </w:r>
            <w:r w:rsidR="00926679" w:rsidRPr="00926679">
              <w:rPr>
                <w:sz w:val="20"/>
                <w:szCs w:val="20"/>
              </w:rPr>
              <w:fldChar w:fldCharType="begin" w:fldLock="1"/>
            </w:r>
            <w:r w:rsidR="00507427">
              <w:rPr>
                <w:sz w:val="20"/>
                <w:szCs w:val="20"/>
              </w:rPr>
              <w:instrText>ADDIN CSL_CITATION {"citationItems":[{"id":"ITEM-1","itemData":{"ISBN":"4473467467345","abstract":"The Department of Energy and Climate Change (DECC) regularly updates projections of energy demand, supply and greenhouse gas (GHG) emissions. The last full set of projections was published in October 20121. This report updates those projections. The projections take account of policies that affect energy use and GHG emissions where funding has been agreed and decisions on policy design are sufficiently advanced to allow robust estimates of policy impacts to be made. The government has in place a clearly defined suite of policies to reduce emissions to meet the first three carbon budgets. Therefore, the projections for 2012 to 2022 indicate how we expect to perform against the first three carbon budgets based on a set of analytical assumptions (table 1 and figure 1). The projections for the period 2023 onwards represent our expectations in the absence of any additional policy effort, i.e. no new policies or extensions to existing policies. They show that our suite of existing policies will continue to reduce emissions over the fourth carbon budget period, but not by enough to meet the fourth carbon budget level. The difference between the projections for 2023 - 2027 and the fourth carbon budget level therefore indicates the amount of additional policy effort that would be required to meet the budget. The","author":[{"dropping-particle":"","family":"Department for Business","given":"Energy &amp; Industrial Strategy","non-dropping-particle":"","parse-names":false,"suffix":""}],"container-title":"The Energy White Paper","id":"ITEM-1","issue":"April","issued":{"date-parts":[["2019"]]},"page":"35","title":"Updated energy and emissions projections 2018","type":"article-journal"},"uris":["http://www.mendeley.com/documents/?uuid=29c4242b-0000-449b-a611-313bba94a895"]}],"mendeley":{"formattedCitation":"[51]","plainTextFormattedCitation":"[51]","previouslyFormattedCitation":"[50]"},"properties":{"noteIndex":0},"schema":"https://github.com/citation-style-language/schema/raw/master/csl-citation.json"}</w:instrText>
            </w:r>
            <w:r w:rsidR="00926679" w:rsidRPr="00926679">
              <w:rPr>
                <w:sz w:val="20"/>
                <w:szCs w:val="20"/>
              </w:rPr>
              <w:fldChar w:fldCharType="separate"/>
            </w:r>
            <w:r w:rsidR="00507427" w:rsidRPr="00507427">
              <w:rPr>
                <w:noProof/>
                <w:sz w:val="20"/>
                <w:szCs w:val="20"/>
              </w:rPr>
              <w:t>[51]</w:t>
            </w:r>
            <w:r w:rsidR="00926679" w:rsidRPr="00926679">
              <w:rPr>
                <w:sz w:val="20"/>
                <w:szCs w:val="20"/>
              </w:rPr>
              <w:fldChar w:fldCharType="end"/>
            </w:r>
            <w:r w:rsidR="008447DA" w:rsidRPr="00913E70">
              <w:rPr>
                <w:rFonts w:eastAsia="Times New Roman" w:cs="Arial"/>
                <w:sz w:val="20"/>
                <w:szCs w:val="20"/>
                <w:lang w:eastAsia="en-GB"/>
              </w:rPr>
              <w:t xml:space="preserve"> </w:t>
            </w:r>
          </w:p>
        </w:tc>
        <w:tc>
          <w:tcPr>
            <w:tcW w:w="749" w:type="dxa"/>
          </w:tcPr>
          <w:p w14:paraId="46EB9697" w14:textId="448A315B" w:rsidR="008447DA"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F</w:t>
            </w:r>
            <w:r w:rsidR="00E354D0">
              <w:rPr>
                <w:rFonts w:eastAsia="Times New Roman" w:cs="Arial"/>
                <w:sz w:val="20"/>
                <w:szCs w:val="20"/>
                <w:lang w:eastAsia="en-GB"/>
              </w:rPr>
              <w:t>P</w:t>
            </w:r>
            <w:r w:rsidRPr="00913E70">
              <w:rPr>
                <w:rFonts w:eastAsia="Times New Roman" w:cs="Arial"/>
                <w:sz w:val="20"/>
                <w:szCs w:val="20"/>
                <w:lang w:eastAsia="en-GB"/>
              </w:rPr>
              <w:t xml:space="preserve"> </w:t>
            </w:r>
          </w:p>
        </w:tc>
        <w:tc>
          <w:tcPr>
            <w:tcW w:w="767" w:type="dxa"/>
          </w:tcPr>
          <w:p w14:paraId="56FCF8C5" w14:textId="29C40166" w:rsidR="008447DA"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LCB</w:t>
            </w:r>
            <w:r w:rsidR="00E354D0">
              <w:rPr>
                <w:rFonts w:eastAsia="Times New Roman" w:cs="Arial"/>
                <w:sz w:val="20"/>
                <w:szCs w:val="20"/>
                <w:lang w:eastAsia="en-GB"/>
              </w:rPr>
              <w:t>P</w:t>
            </w:r>
            <w:r w:rsidRPr="00913E70">
              <w:rPr>
                <w:rFonts w:eastAsia="Times New Roman" w:cs="Arial"/>
                <w:sz w:val="20"/>
                <w:szCs w:val="20"/>
                <w:lang w:eastAsia="en-GB"/>
              </w:rPr>
              <w:t xml:space="preserve"> </w:t>
            </w:r>
          </w:p>
        </w:tc>
        <w:tc>
          <w:tcPr>
            <w:tcW w:w="766" w:type="dxa"/>
          </w:tcPr>
          <w:p w14:paraId="41E07635" w14:textId="5EF8B2AA" w:rsidR="008447DA" w:rsidRDefault="008447DA" w:rsidP="00262AF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UCB</w:t>
            </w:r>
            <w:r w:rsidR="00E354D0">
              <w:rPr>
                <w:rFonts w:eastAsia="Times New Roman" w:cs="Arial"/>
                <w:sz w:val="20"/>
                <w:szCs w:val="20"/>
                <w:lang w:eastAsia="en-GB"/>
              </w:rPr>
              <w:t>P</w:t>
            </w:r>
          </w:p>
        </w:tc>
      </w:tr>
      <w:tr w:rsidR="00926679" w:rsidRPr="00913E70" w14:paraId="6314E391" w14:textId="5B23A485"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B07CDA0"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2001</w:t>
            </w:r>
          </w:p>
        </w:tc>
        <w:tc>
          <w:tcPr>
            <w:tcW w:w="702" w:type="dxa"/>
            <w:noWrap/>
            <w:hideMark/>
          </w:tcPr>
          <w:p w14:paraId="25685B6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1.0</w:t>
            </w:r>
          </w:p>
        </w:tc>
        <w:tc>
          <w:tcPr>
            <w:tcW w:w="568" w:type="dxa"/>
            <w:noWrap/>
            <w:hideMark/>
          </w:tcPr>
          <w:p w14:paraId="2F88387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17EA2AB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0D752B9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304CE78B" w14:textId="4BFC3BED"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0.5094</w:t>
            </w:r>
          </w:p>
        </w:tc>
        <w:tc>
          <w:tcPr>
            <w:tcW w:w="881" w:type="dxa"/>
          </w:tcPr>
          <w:p w14:paraId="115B82B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7EB230F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7E9DA96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0E39D63C" w14:textId="290A5E20"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2.5</w:t>
            </w:r>
          </w:p>
        </w:tc>
        <w:tc>
          <w:tcPr>
            <w:tcW w:w="749" w:type="dxa"/>
          </w:tcPr>
          <w:p w14:paraId="016B774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12CBCD6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2F932CB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06D76B69" w14:textId="3C26BD49"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336B0A9E"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2002</w:t>
            </w:r>
          </w:p>
        </w:tc>
        <w:tc>
          <w:tcPr>
            <w:tcW w:w="702" w:type="dxa"/>
            <w:noWrap/>
            <w:hideMark/>
          </w:tcPr>
          <w:p w14:paraId="2C831A2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0.7</w:t>
            </w:r>
          </w:p>
        </w:tc>
        <w:tc>
          <w:tcPr>
            <w:tcW w:w="568" w:type="dxa"/>
            <w:noWrap/>
            <w:hideMark/>
          </w:tcPr>
          <w:p w14:paraId="3C9014D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7E7BD2B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6F50B90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429DCD1F" w14:textId="2693C90B"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0.4068</w:t>
            </w:r>
          </w:p>
        </w:tc>
        <w:tc>
          <w:tcPr>
            <w:tcW w:w="881" w:type="dxa"/>
          </w:tcPr>
          <w:p w14:paraId="3AD2E65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47DB8DC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1F3AA27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310A9499" w14:textId="0DC9CD31"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2.1</w:t>
            </w:r>
          </w:p>
        </w:tc>
        <w:tc>
          <w:tcPr>
            <w:tcW w:w="749" w:type="dxa"/>
          </w:tcPr>
          <w:p w14:paraId="35386B1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5070C06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1092C72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31F63CAF" w14:textId="69EDF2EF"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140463B"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2003</w:t>
            </w:r>
          </w:p>
        </w:tc>
        <w:tc>
          <w:tcPr>
            <w:tcW w:w="702" w:type="dxa"/>
            <w:noWrap/>
            <w:hideMark/>
          </w:tcPr>
          <w:p w14:paraId="69D309E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0.9</w:t>
            </w:r>
          </w:p>
        </w:tc>
        <w:tc>
          <w:tcPr>
            <w:tcW w:w="568" w:type="dxa"/>
            <w:noWrap/>
            <w:hideMark/>
          </w:tcPr>
          <w:p w14:paraId="603056F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3984E5FF"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3A783E2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75E8240D" w14:textId="0E946B96"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0.5494</w:t>
            </w:r>
          </w:p>
        </w:tc>
        <w:tc>
          <w:tcPr>
            <w:tcW w:w="881" w:type="dxa"/>
          </w:tcPr>
          <w:p w14:paraId="65BBEF7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75DECC6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583023C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7F7B4AF8" w14:textId="11D182EE"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2.5</w:t>
            </w:r>
          </w:p>
        </w:tc>
        <w:tc>
          <w:tcPr>
            <w:tcW w:w="749" w:type="dxa"/>
          </w:tcPr>
          <w:p w14:paraId="688DB2A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1F0ADBB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E9B3C9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2256398A" w14:textId="24714407"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E82D479"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2004</w:t>
            </w:r>
          </w:p>
        </w:tc>
        <w:tc>
          <w:tcPr>
            <w:tcW w:w="702" w:type="dxa"/>
            <w:noWrap/>
            <w:hideMark/>
          </w:tcPr>
          <w:p w14:paraId="0C1E0A1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1.4</w:t>
            </w:r>
          </w:p>
        </w:tc>
        <w:tc>
          <w:tcPr>
            <w:tcW w:w="568" w:type="dxa"/>
            <w:noWrap/>
            <w:hideMark/>
          </w:tcPr>
          <w:p w14:paraId="7774D50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581EAB1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2B95868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5DD84AB1" w14:textId="6EF022FF"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0.8839</w:t>
            </w:r>
          </w:p>
        </w:tc>
        <w:tc>
          <w:tcPr>
            <w:tcW w:w="881" w:type="dxa"/>
          </w:tcPr>
          <w:p w14:paraId="4DB65EE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6863FF1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051C01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409DE122" w14:textId="2D98ABCB"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2.8</w:t>
            </w:r>
          </w:p>
        </w:tc>
        <w:tc>
          <w:tcPr>
            <w:tcW w:w="749" w:type="dxa"/>
          </w:tcPr>
          <w:p w14:paraId="284B971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76EFF8F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6F2EEAA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1479D533" w14:textId="75EC06AA"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0EA36D3"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2005</w:t>
            </w:r>
          </w:p>
        </w:tc>
        <w:tc>
          <w:tcPr>
            <w:tcW w:w="702" w:type="dxa"/>
            <w:noWrap/>
            <w:hideMark/>
          </w:tcPr>
          <w:p w14:paraId="144638B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2.0</w:t>
            </w:r>
          </w:p>
        </w:tc>
        <w:tc>
          <w:tcPr>
            <w:tcW w:w="568" w:type="dxa"/>
            <w:noWrap/>
            <w:hideMark/>
          </w:tcPr>
          <w:p w14:paraId="64FB565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192C43D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523348B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648CF42A" w14:textId="0D7B71B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0.7193</w:t>
            </w:r>
          </w:p>
        </w:tc>
        <w:tc>
          <w:tcPr>
            <w:tcW w:w="881" w:type="dxa"/>
          </w:tcPr>
          <w:p w14:paraId="0E7FD7C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5985FC6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6246918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462D0A3D" w14:textId="55036196"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4.6</w:t>
            </w:r>
          </w:p>
        </w:tc>
        <w:tc>
          <w:tcPr>
            <w:tcW w:w="749" w:type="dxa"/>
          </w:tcPr>
          <w:p w14:paraId="7AC8A26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7E0BA3A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1F934F1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1C360253" w14:textId="714CCE3C"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20F4BFE6"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2006</w:t>
            </w:r>
          </w:p>
        </w:tc>
        <w:tc>
          <w:tcPr>
            <w:tcW w:w="702" w:type="dxa"/>
            <w:noWrap/>
            <w:hideMark/>
          </w:tcPr>
          <w:p w14:paraId="6872A12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2.5</w:t>
            </w:r>
          </w:p>
        </w:tc>
        <w:tc>
          <w:tcPr>
            <w:tcW w:w="568" w:type="dxa"/>
            <w:noWrap/>
            <w:hideMark/>
          </w:tcPr>
          <w:p w14:paraId="109C999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2BD734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18FC257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65D018D4" w14:textId="53C76F72"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0.7390</w:t>
            </w:r>
          </w:p>
        </w:tc>
        <w:tc>
          <w:tcPr>
            <w:tcW w:w="881" w:type="dxa"/>
          </w:tcPr>
          <w:p w14:paraId="7B556F6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17A0B6D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3CD207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04941C27" w14:textId="7DC3A555"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4.8</w:t>
            </w:r>
          </w:p>
        </w:tc>
        <w:tc>
          <w:tcPr>
            <w:tcW w:w="749" w:type="dxa"/>
          </w:tcPr>
          <w:p w14:paraId="2A90C13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0E50562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3B052E5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0956CCB0" w14:textId="50CEBCB4"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5F03F78D"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2007</w:t>
            </w:r>
          </w:p>
        </w:tc>
        <w:tc>
          <w:tcPr>
            <w:tcW w:w="702" w:type="dxa"/>
            <w:noWrap/>
            <w:hideMark/>
          </w:tcPr>
          <w:p w14:paraId="363CCE6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2.0</w:t>
            </w:r>
          </w:p>
        </w:tc>
        <w:tc>
          <w:tcPr>
            <w:tcW w:w="568" w:type="dxa"/>
            <w:noWrap/>
            <w:hideMark/>
          </w:tcPr>
          <w:p w14:paraId="55C78B7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633DBDE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52AB1BD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7F00881F" w14:textId="250B580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0.9969</w:t>
            </w:r>
          </w:p>
        </w:tc>
        <w:tc>
          <w:tcPr>
            <w:tcW w:w="881" w:type="dxa"/>
          </w:tcPr>
          <w:p w14:paraId="5273194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249E8B8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0DEECD7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04B0FB2E" w14:textId="55AAB905"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3.4</w:t>
            </w:r>
          </w:p>
        </w:tc>
        <w:tc>
          <w:tcPr>
            <w:tcW w:w="749" w:type="dxa"/>
          </w:tcPr>
          <w:p w14:paraId="262A391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3CDC9F7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6DF557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0A0B2679" w14:textId="70DF05B4"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1F73269"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2008</w:t>
            </w:r>
          </w:p>
        </w:tc>
        <w:tc>
          <w:tcPr>
            <w:tcW w:w="702" w:type="dxa"/>
            <w:noWrap/>
            <w:hideMark/>
          </w:tcPr>
          <w:p w14:paraId="6355C20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2.6</w:t>
            </w:r>
          </w:p>
        </w:tc>
        <w:tc>
          <w:tcPr>
            <w:tcW w:w="568" w:type="dxa"/>
            <w:noWrap/>
            <w:hideMark/>
          </w:tcPr>
          <w:p w14:paraId="6C0094B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D5680C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2A97510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796660D9" w14:textId="3F3E03A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1.6262</w:t>
            </w:r>
          </w:p>
        </w:tc>
        <w:tc>
          <w:tcPr>
            <w:tcW w:w="881" w:type="dxa"/>
          </w:tcPr>
          <w:p w14:paraId="679E6A6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4365D2B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2573F41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776AE994" w14:textId="1188DA7F"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8.1</w:t>
            </w:r>
          </w:p>
        </w:tc>
        <w:tc>
          <w:tcPr>
            <w:tcW w:w="749" w:type="dxa"/>
          </w:tcPr>
          <w:p w14:paraId="36EAC93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68373D4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2A37440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429CD8D0" w14:textId="253AB6D0"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8CFAFA5"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2009</w:t>
            </w:r>
          </w:p>
        </w:tc>
        <w:tc>
          <w:tcPr>
            <w:tcW w:w="702" w:type="dxa"/>
            <w:noWrap/>
            <w:hideMark/>
          </w:tcPr>
          <w:p w14:paraId="029235E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2.4</w:t>
            </w:r>
          </w:p>
        </w:tc>
        <w:tc>
          <w:tcPr>
            <w:tcW w:w="568" w:type="dxa"/>
            <w:noWrap/>
            <w:hideMark/>
          </w:tcPr>
          <w:p w14:paraId="3E2B3E3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1BFE35D3"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02639D7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295C3544" w14:textId="491EED1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0.7723</w:t>
            </w:r>
          </w:p>
        </w:tc>
        <w:tc>
          <w:tcPr>
            <w:tcW w:w="881" w:type="dxa"/>
          </w:tcPr>
          <w:p w14:paraId="51744CD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75B3C2F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55E46CC3"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38ED96A3" w14:textId="4A330045"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4.3</w:t>
            </w:r>
          </w:p>
        </w:tc>
        <w:tc>
          <w:tcPr>
            <w:tcW w:w="749" w:type="dxa"/>
          </w:tcPr>
          <w:p w14:paraId="5884085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5C4146C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4F45113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0957EBC9" w14:textId="27B24B6A"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63683B3"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2010</w:t>
            </w:r>
          </w:p>
        </w:tc>
        <w:tc>
          <w:tcPr>
            <w:tcW w:w="702" w:type="dxa"/>
            <w:noWrap/>
            <w:hideMark/>
          </w:tcPr>
          <w:p w14:paraId="4467363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2.1</w:t>
            </w:r>
          </w:p>
        </w:tc>
        <w:tc>
          <w:tcPr>
            <w:tcW w:w="568" w:type="dxa"/>
            <w:noWrap/>
            <w:hideMark/>
          </w:tcPr>
          <w:p w14:paraId="469844D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5A96741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58EFFA0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4819A0E9" w14:textId="427A79E0"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0.9934</w:t>
            </w:r>
          </w:p>
        </w:tc>
        <w:tc>
          <w:tcPr>
            <w:tcW w:w="881" w:type="dxa"/>
          </w:tcPr>
          <w:p w14:paraId="1A3EF53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7C513DE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5EF9C8D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0116C22C" w14:textId="219E3182"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4.8</w:t>
            </w:r>
          </w:p>
        </w:tc>
        <w:tc>
          <w:tcPr>
            <w:tcW w:w="749" w:type="dxa"/>
          </w:tcPr>
          <w:p w14:paraId="7E03F29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787E062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15BE359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0FBB73A6" w14:textId="3D1BE490"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0CFD408F"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2011</w:t>
            </w:r>
          </w:p>
        </w:tc>
        <w:tc>
          <w:tcPr>
            <w:tcW w:w="702" w:type="dxa"/>
            <w:noWrap/>
            <w:hideMark/>
          </w:tcPr>
          <w:p w14:paraId="6AA26CD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2.4</w:t>
            </w:r>
          </w:p>
        </w:tc>
        <w:tc>
          <w:tcPr>
            <w:tcW w:w="568" w:type="dxa"/>
            <w:noWrap/>
            <w:hideMark/>
          </w:tcPr>
          <w:p w14:paraId="7435509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3C6263D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259CE9A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7D966F3C" w14:textId="6FA25D24"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1.2906</w:t>
            </w:r>
          </w:p>
        </w:tc>
        <w:tc>
          <w:tcPr>
            <w:tcW w:w="881" w:type="dxa"/>
          </w:tcPr>
          <w:p w14:paraId="0F36573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32BCD41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6CBFDF1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33BCF8A7" w14:textId="4CDE04EB"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5.3</w:t>
            </w:r>
          </w:p>
        </w:tc>
        <w:tc>
          <w:tcPr>
            <w:tcW w:w="749" w:type="dxa"/>
          </w:tcPr>
          <w:p w14:paraId="721C2CF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3DF5287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011D398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10FC3D67" w14:textId="593434D9"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25505696"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2012</w:t>
            </w:r>
          </w:p>
        </w:tc>
        <w:tc>
          <w:tcPr>
            <w:tcW w:w="702" w:type="dxa"/>
            <w:noWrap/>
            <w:hideMark/>
          </w:tcPr>
          <w:p w14:paraId="1616839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2.7</w:t>
            </w:r>
          </w:p>
        </w:tc>
        <w:tc>
          <w:tcPr>
            <w:tcW w:w="568" w:type="dxa"/>
            <w:noWrap/>
            <w:hideMark/>
          </w:tcPr>
          <w:p w14:paraId="78C2520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51D1B62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7545C75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42CFA536" w14:textId="42DC14F4"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0.9557</w:t>
            </w:r>
          </w:p>
        </w:tc>
        <w:tc>
          <w:tcPr>
            <w:tcW w:w="881" w:type="dxa"/>
          </w:tcPr>
          <w:p w14:paraId="3301E3B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6A8A51F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55355A4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42B8D7F7" w14:textId="7C6F8A2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5.0</w:t>
            </w:r>
          </w:p>
        </w:tc>
        <w:tc>
          <w:tcPr>
            <w:tcW w:w="749" w:type="dxa"/>
          </w:tcPr>
          <w:p w14:paraId="42DC560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19DC3C4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310065E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648D1D4E" w14:textId="7753068B"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37CC5D47"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2013</w:t>
            </w:r>
          </w:p>
        </w:tc>
        <w:tc>
          <w:tcPr>
            <w:tcW w:w="702" w:type="dxa"/>
            <w:noWrap/>
            <w:hideMark/>
          </w:tcPr>
          <w:p w14:paraId="362343D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2.9</w:t>
            </w:r>
          </w:p>
        </w:tc>
        <w:tc>
          <w:tcPr>
            <w:tcW w:w="568" w:type="dxa"/>
            <w:noWrap/>
            <w:hideMark/>
          </w:tcPr>
          <w:p w14:paraId="01EF2B5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4F5D4E1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498A954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28A26356" w14:textId="101CBD9E"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0.8383</w:t>
            </w:r>
          </w:p>
        </w:tc>
        <w:tc>
          <w:tcPr>
            <w:tcW w:w="881" w:type="dxa"/>
          </w:tcPr>
          <w:p w14:paraId="78C9907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67B8F8B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5498C9E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2759BA29" w14:textId="5E13F1C1"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5.5</w:t>
            </w:r>
          </w:p>
        </w:tc>
        <w:tc>
          <w:tcPr>
            <w:tcW w:w="749" w:type="dxa"/>
          </w:tcPr>
          <w:p w14:paraId="472EED5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6E5423B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2CEAAF5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3ACD9B79" w14:textId="4254AB3D"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4AA1DBE"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2014</w:t>
            </w:r>
          </w:p>
        </w:tc>
        <w:tc>
          <w:tcPr>
            <w:tcW w:w="702" w:type="dxa"/>
            <w:noWrap/>
            <w:hideMark/>
          </w:tcPr>
          <w:p w14:paraId="5D43C4C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2.6</w:t>
            </w:r>
          </w:p>
        </w:tc>
        <w:tc>
          <w:tcPr>
            <w:tcW w:w="568" w:type="dxa"/>
            <w:noWrap/>
            <w:hideMark/>
          </w:tcPr>
          <w:p w14:paraId="0BE126C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5799F01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479BB07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11873792" w14:textId="39A31C3B"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0.7532</w:t>
            </w:r>
          </w:p>
        </w:tc>
        <w:tc>
          <w:tcPr>
            <w:tcW w:w="881" w:type="dxa"/>
          </w:tcPr>
          <w:p w14:paraId="0B6B947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392B441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0DD8838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28274068" w14:textId="3E2E4F0E"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4.5</w:t>
            </w:r>
          </w:p>
        </w:tc>
        <w:tc>
          <w:tcPr>
            <w:tcW w:w="749" w:type="dxa"/>
          </w:tcPr>
          <w:p w14:paraId="453A23D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627CEEE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6DE5F5E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66E879CA" w14:textId="2A184F0E"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7CD24D6A"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2015</w:t>
            </w:r>
          </w:p>
        </w:tc>
        <w:tc>
          <w:tcPr>
            <w:tcW w:w="702" w:type="dxa"/>
            <w:noWrap/>
            <w:hideMark/>
          </w:tcPr>
          <w:p w14:paraId="2AF0E14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2.2</w:t>
            </w:r>
          </w:p>
        </w:tc>
        <w:tc>
          <w:tcPr>
            <w:tcW w:w="568" w:type="dxa"/>
            <w:noWrap/>
            <w:hideMark/>
          </w:tcPr>
          <w:p w14:paraId="75FE5D4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3A4DE88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59DF4F0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6ADED68F" w14:textId="417EE85D"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0.5563</w:t>
            </w:r>
          </w:p>
        </w:tc>
        <w:tc>
          <w:tcPr>
            <w:tcW w:w="881" w:type="dxa"/>
          </w:tcPr>
          <w:p w14:paraId="01DA1BD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276A021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5AD6FE9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6D57C031" w14:textId="119BB30A"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4.2</w:t>
            </w:r>
          </w:p>
        </w:tc>
        <w:tc>
          <w:tcPr>
            <w:tcW w:w="749" w:type="dxa"/>
          </w:tcPr>
          <w:p w14:paraId="019D8A5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13D1765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65B6953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20BEB17E" w14:textId="2886621D"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7F9532F0"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2016</w:t>
            </w:r>
          </w:p>
        </w:tc>
        <w:tc>
          <w:tcPr>
            <w:tcW w:w="702" w:type="dxa"/>
            <w:noWrap/>
            <w:hideMark/>
          </w:tcPr>
          <w:p w14:paraId="19D02B5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1.8</w:t>
            </w:r>
          </w:p>
        </w:tc>
        <w:tc>
          <w:tcPr>
            <w:tcW w:w="568" w:type="dxa"/>
            <w:noWrap/>
            <w:hideMark/>
          </w:tcPr>
          <w:p w14:paraId="621C19C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B169BD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5D65AD8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295DC50E" w14:textId="3CA504F6"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0.5886</w:t>
            </w:r>
          </w:p>
        </w:tc>
        <w:tc>
          <w:tcPr>
            <w:tcW w:w="881" w:type="dxa"/>
          </w:tcPr>
          <w:p w14:paraId="0D5D6D9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5442534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BB364B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55E5159D" w14:textId="1D305024"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4.0</w:t>
            </w:r>
          </w:p>
        </w:tc>
        <w:tc>
          <w:tcPr>
            <w:tcW w:w="749" w:type="dxa"/>
          </w:tcPr>
          <w:p w14:paraId="466EC48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22757E2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107475B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2AD4E6D3" w14:textId="5ED5542F"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EABF102"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2017</w:t>
            </w:r>
          </w:p>
        </w:tc>
        <w:tc>
          <w:tcPr>
            <w:tcW w:w="702" w:type="dxa"/>
            <w:noWrap/>
            <w:hideMark/>
          </w:tcPr>
          <w:p w14:paraId="3549C97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1.7</w:t>
            </w:r>
          </w:p>
        </w:tc>
        <w:tc>
          <w:tcPr>
            <w:tcW w:w="568" w:type="dxa"/>
            <w:noWrap/>
            <w:hideMark/>
          </w:tcPr>
          <w:p w14:paraId="6AC1ED9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2CC45EC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047580A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29939ACE" w14:textId="21BC2EA8"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0.8094</w:t>
            </w:r>
          </w:p>
        </w:tc>
        <w:tc>
          <w:tcPr>
            <w:tcW w:w="881" w:type="dxa"/>
          </w:tcPr>
          <w:p w14:paraId="1EA6AA3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7ADD414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052D173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1BDE0AB6" w14:textId="617F2FD2"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5.1</w:t>
            </w:r>
          </w:p>
        </w:tc>
        <w:tc>
          <w:tcPr>
            <w:tcW w:w="749" w:type="dxa"/>
          </w:tcPr>
          <w:p w14:paraId="390B735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075438B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45102D6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28FA1A1B" w14:textId="18AAA45C"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4A7FEEC"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2018</w:t>
            </w:r>
          </w:p>
        </w:tc>
        <w:tc>
          <w:tcPr>
            <w:tcW w:w="702" w:type="dxa"/>
            <w:noWrap/>
            <w:hideMark/>
          </w:tcPr>
          <w:p w14:paraId="7BEB8E8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2.6</w:t>
            </w:r>
          </w:p>
        </w:tc>
        <w:tc>
          <w:tcPr>
            <w:tcW w:w="568" w:type="dxa"/>
            <w:noWrap/>
            <w:hideMark/>
          </w:tcPr>
          <w:p w14:paraId="16C6E4D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746279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0969554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5992D7D6" w14:textId="4B569BFA"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0.8480</w:t>
            </w:r>
          </w:p>
        </w:tc>
        <w:tc>
          <w:tcPr>
            <w:tcW w:w="881" w:type="dxa"/>
          </w:tcPr>
          <w:p w14:paraId="716F149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4D75DB9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24C1D14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2DDAF66F" w14:textId="675A74B6"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5.8</w:t>
            </w:r>
          </w:p>
        </w:tc>
        <w:tc>
          <w:tcPr>
            <w:tcW w:w="749" w:type="dxa"/>
          </w:tcPr>
          <w:p w14:paraId="65700C0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168A41A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5104BC9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7808E884" w14:textId="3DC2E2EA"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DC83AF4"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2019</w:t>
            </w:r>
          </w:p>
        </w:tc>
        <w:tc>
          <w:tcPr>
            <w:tcW w:w="702" w:type="dxa"/>
            <w:noWrap/>
            <w:hideMark/>
          </w:tcPr>
          <w:p w14:paraId="258A5E83"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2.5</w:t>
            </w:r>
          </w:p>
        </w:tc>
        <w:tc>
          <w:tcPr>
            <w:tcW w:w="568" w:type="dxa"/>
            <w:noWrap/>
            <w:hideMark/>
          </w:tcPr>
          <w:p w14:paraId="4858801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0636A43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794570E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1C0D3A4D" w14:textId="54AAA175"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42825D3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1E3FA8A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455BA8C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04C650F2" w14:textId="143C59C3"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5.5</w:t>
            </w:r>
          </w:p>
        </w:tc>
        <w:tc>
          <w:tcPr>
            <w:tcW w:w="749" w:type="dxa"/>
          </w:tcPr>
          <w:p w14:paraId="7887F57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12E1850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0B8C4B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1B6D221B" w14:textId="7B608224"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08CCFC61"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2020</w:t>
            </w:r>
          </w:p>
        </w:tc>
        <w:tc>
          <w:tcPr>
            <w:tcW w:w="702" w:type="dxa"/>
            <w:noWrap/>
            <w:hideMark/>
          </w:tcPr>
          <w:p w14:paraId="3AFAC26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2.4</w:t>
            </w:r>
          </w:p>
        </w:tc>
        <w:tc>
          <w:tcPr>
            <w:tcW w:w="568" w:type="dxa"/>
            <w:noWrap/>
            <w:hideMark/>
          </w:tcPr>
          <w:p w14:paraId="4101710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F5980B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57ACCE2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2F6D4628" w14:textId="3100E4F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0E293C7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5F020D4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DB941B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1AB5E918" w14:textId="6A4C5A0A"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5.2</w:t>
            </w:r>
          </w:p>
        </w:tc>
        <w:tc>
          <w:tcPr>
            <w:tcW w:w="749" w:type="dxa"/>
          </w:tcPr>
          <w:p w14:paraId="406D861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44BE8A5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5CCEA90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3AD41E61" w14:textId="7F36BDC4"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4C23648"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2021</w:t>
            </w:r>
          </w:p>
        </w:tc>
        <w:tc>
          <w:tcPr>
            <w:tcW w:w="702" w:type="dxa"/>
            <w:noWrap/>
            <w:hideMark/>
          </w:tcPr>
          <w:p w14:paraId="69A9452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2.4</w:t>
            </w:r>
          </w:p>
        </w:tc>
        <w:tc>
          <w:tcPr>
            <w:tcW w:w="568" w:type="dxa"/>
            <w:noWrap/>
            <w:hideMark/>
          </w:tcPr>
          <w:p w14:paraId="1DCE5FE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1141008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05BCE61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1CE978B1" w14:textId="0A5C9AF2"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43C7EE8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68175F4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46D027E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7C96097D" w14:textId="0E27276C"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5.1</w:t>
            </w:r>
          </w:p>
        </w:tc>
        <w:tc>
          <w:tcPr>
            <w:tcW w:w="749" w:type="dxa"/>
          </w:tcPr>
          <w:p w14:paraId="721AF4B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0F2A517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6584255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46D553E4" w14:textId="199A202D"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769E4C25"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2022</w:t>
            </w:r>
          </w:p>
        </w:tc>
        <w:tc>
          <w:tcPr>
            <w:tcW w:w="702" w:type="dxa"/>
            <w:noWrap/>
            <w:hideMark/>
          </w:tcPr>
          <w:p w14:paraId="31DC30A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2.6</w:t>
            </w:r>
          </w:p>
        </w:tc>
        <w:tc>
          <w:tcPr>
            <w:tcW w:w="568" w:type="dxa"/>
            <w:noWrap/>
            <w:hideMark/>
          </w:tcPr>
          <w:p w14:paraId="6742A72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0314012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317DEC0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72751A59" w14:textId="1DB0E6C5"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1180B0D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110DAA6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5D83E34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7AD66239" w14:textId="0F202265"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5.3</w:t>
            </w:r>
          </w:p>
        </w:tc>
        <w:tc>
          <w:tcPr>
            <w:tcW w:w="749" w:type="dxa"/>
          </w:tcPr>
          <w:p w14:paraId="48D12B7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1B7CB11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19A2C92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7374A129" w14:textId="150B9212"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01001FE8"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2023</w:t>
            </w:r>
          </w:p>
        </w:tc>
        <w:tc>
          <w:tcPr>
            <w:tcW w:w="702" w:type="dxa"/>
            <w:noWrap/>
            <w:hideMark/>
          </w:tcPr>
          <w:p w14:paraId="7CD4C51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2.6</w:t>
            </w:r>
          </w:p>
        </w:tc>
        <w:tc>
          <w:tcPr>
            <w:tcW w:w="568" w:type="dxa"/>
            <w:noWrap/>
            <w:hideMark/>
          </w:tcPr>
          <w:p w14:paraId="099A244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796F89A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4700597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5B5A9817" w14:textId="2691D78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3D899D2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635E78C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1D13FAD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78998E14" w14:textId="5ED42D18"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5.3</w:t>
            </w:r>
          </w:p>
        </w:tc>
        <w:tc>
          <w:tcPr>
            <w:tcW w:w="749" w:type="dxa"/>
          </w:tcPr>
          <w:p w14:paraId="77EF792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3907CB5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B10EAA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652BF0DB" w14:textId="5307C46A"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5C57A2EB"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2024</w:t>
            </w:r>
          </w:p>
        </w:tc>
        <w:tc>
          <w:tcPr>
            <w:tcW w:w="702" w:type="dxa"/>
            <w:noWrap/>
            <w:hideMark/>
          </w:tcPr>
          <w:p w14:paraId="2912097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2.8</w:t>
            </w:r>
          </w:p>
        </w:tc>
        <w:tc>
          <w:tcPr>
            <w:tcW w:w="568" w:type="dxa"/>
            <w:noWrap/>
            <w:hideMark/>
          </w:tcPr>
          <w:p w14:paraId="3402940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1F6341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3D39959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109E341A" w14:textId="4406263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20417F6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0BC1172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30BFB9C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4FE711A6" w14:textId="0CD2D899"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5.6</w:t>
            </w:r>
          </w:p>
        </w:tc>
        <w:tc>
          <w:tcPr>
            <w:tcW w:w="749" w:type="dxa"/>
          </w:tcPr>
          <w:p w14:paraId="6C07012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63C33B0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53BC9F6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565C5C56" w14:textId="063C6281"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1C3F432"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2025</w:t>
            </w:r>
          </w:p>
        </w:tc>
        <w:tc>
          <w:tcPr>
            <w:tcW w:w="702" w:type="dxa"/>
            <w:noWrap/>
            <w:hideMark/>
          </w:tcPr>
          <w:p w14:paraId="357C1EE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2.9</w:t>
            </w:r>
          </w:p>
        </w:tc>
        <w:tc>
          <w:tcPr>
            <w:tcW w:w="568" w:type="dxa"/>
            <w:noWrap/>
            <w:hideMark/>
          </w:tcPr>
          <w:p w14:paraId="75BB07C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2325E7B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0036EE3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146762E7" w14:textId="3AF4F375"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0.8103</w:t>
            </w:r>
          </w:p>
        </w:tc>
        <w:tc>
          <w:tcPr>
            <w:tcW w:w="881" w:type="dxa"/>
          </w:tcPr>
          <w:p w14:paraId="5D4A028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7B508B6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1CB82B7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1492E5A9" w14:textId="0FCC281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5.7</w:t>
            </w:r>
          </w:p>
        </w:tc>
        <w:tc>
          <w:tcPr>
            <w:tcW w:w="749" w:type="dxa"/>
          </w:tcPr>
          <w:p w14:paraId="559B9CC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4DDAFED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656FA24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7373D2E0" w14:textId="06B1304C"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304F323A"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2026</w:t>
            </w:r>
          </w:p>
        </w:tc>
        <w:tc>
          <w:tcPr>
            <w:tcW w:w="702" w:type="dxa"/>
            <w:noWrap/>
            <w:hideMark/>
          </w:tcPr>
          <w:p w14:paraId="69469AE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2.9</w:t>
            </w:r>
          </w:p>
        </w:tc>
        <w:tc>
          <w:tcPr>
            <w:tcW w:w="568" w:type="dxa"/>
            <w:noWrap/>
            <w:hideMark/>
          </w:tcPr>
          <w:p w14:paraId="54B1AD3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3F4E14C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317F15C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23E18B61" w14:textId="622CA36C"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1EACD3E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674AA36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0B3761A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11FE7B0D" w14:textId="262BEC21"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5.7</w:t>
            </w:r>
          </w:p>
        </w:tc>
        <w:tc>
          <w:tcPr>
            <w:tcW w:w="749" w:type="dxa"/>
          </w:tcPr>
          <w:p w14:paraId="5696976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6A3BCC7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1320075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05BBDBA5" w14:textId="4EC55B3B"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3D6DDC2D"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2027</w:t>
            </w:r>
          </w:p>
        </w:tc>
        <w:tc>
          <w:tcPr>
            <w:tcW w:w="702" w:type="dxa"/>
            <w:noWrap/>
            <w:hideMark/>
          </w:tcPr>
          <w:p w14:paraId="3AA48D7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3.0</w:t>
            </w:r>
          </w:p>
        </w:tc>
        <w:tc>
          <w:tcPr>
            <w:tcW w:w="568" w:type="dxa"/>
            <w:noWrap/>
            <w:hideMark/>
          </w:tcPr>
          <w:p w14:paraId="55D4671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5083110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4F3029A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57520FAB" w14:textId="658650DB"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022FEC4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03888C3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085FB94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616665AF" w14:textId="7E0E70AC"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5.9</w:t>
            </w:r>
          </w:p>
        </w:tc>
        <w:tc>
          <w:tcPr>
            <w:tcW w:w="749" w:type="dxa"/>
          </w:tcPr>
          <w:p w14:paraId="0449D81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1FF425F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461BB1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5CF62F49" w14:textId="64524D72"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2E5FDD8"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2028</w:t>
            </w:r>
          </w:p>
        </w:tc>
        <w:tc>
          <w:tcPr>
            <w:tcW w:w="702" w:type="dxa"/>
            <w:noWrap/>
            <w:hideMark/>
          </w:tcPr>
          <w:p w14:paraId="1C48041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3.0</w:t>
            </w:r>
          </w:p>
        </w:tc>
        <w:tc>
          <w:tcPr>
            <w:tcW w:w="568" w:type="dxa"/>
            <w:noWrap/>
            <w:hideMark/>
          </w:tcPr>
          <w:p w14:paraId="11D197D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30B9B58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5F766B1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0B505194" w14:textId="6CD8CD9A"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2356478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40032DC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18671F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3233A6E3" w14:textId="0B0569A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5.7</w:t>
            </w:r>
          </w:p>
        </w:tc>
        <w:tc>
          <w:tcPr>
            <w:tcW w:w="749" w:type="dxa"/>
          </w:tcPr>
          <w:p w14:paraId="4471F95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637739C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6FF133F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78D1A90B" w14:textId="1363FB1A"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B80E1A1"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2029</w:t>
            </w:r>
          </w:p>
        </w:tc>
        <w:tc>
          <w:tcPr>
            <w:tcW w:w="702" w:type="dxa"/>
            <w:noWrap/>
            <w:hideMark/>
          </w:tcPr>
          <w:p w14:paraId="4A5CBCB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3.1</w:t>
            </w:r>
          </w:p>
        </w:tc>
        <w:tc>
          <w:tcPr>
            <w:tcW w:w="568" w:type="dxa"/>
            <w:noWrap/>
            <w:hideMark/>
          </w:tcPr>
          <w:p w14:paraId="62C0D9F3"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1B7629D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1F2F68B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71E928A0" w14:textId="54548A4D"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18C865D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5AF8536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3D2A8B7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55B003B2" w14:textId="69B2E62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5.7</w:t>
            </w:r>
          </w:p>
        </w:tc>
        <w:tc>
          <w:tcPr>
            <w:tcW w:w="749" w:type="dxa"/>
          </w:tcPr>
          <w:p w14:paraId="7DA4E2E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39A14BD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BE7A9F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757CE493" w14:textId="01700BF3"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E4F0668"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2030</w:t>
            </w:r>
          </w:p>
        </w:tc>
        <w:tc>
          <w:tcPr>
            <w:tcW w:w="702" w:type="dxa"/>
            <w:noWrap/>
            <w:hideMark/>
          </w:tcPr>
          <w:p w14:paraId="58B57D8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568" w:type="dxa"/>
            <w:noWrap/>
            <w:hideMark/>
          </w:tcPr>
          <w:p w14:paraId="459E65C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68B3A88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4F5470E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5C24C414" w14:textId="4A4A81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0983214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069FD3B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1BBB7E6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50E55734" w14:textId="0F3593F6"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5.8</w:t>
            </w:r>
          </w:p>
        </w:tc>
        <w:tc>
          <w:tcPr>
            <w:tcW w:w="749" w:type="dxa"/>
          </w:tcPr>
          <w:p w14:paraId="42872B2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568ED0F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3FF313E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66929E08" w14:textId="6B4E8683"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5359C93F"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2031</w:t>
            </w:r>
          </w:p>
        </w:tc>
        <w:tc>
          <w:tcPr>
            <w:tcW w:w="702" w:type="dxa"/>
            <w:noWrap/>
            <w:hideMark/>
          </w:tcPr>
          <w:p w14:paraId="368A5AD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568" w:type="dxa"/>
            <w:noWrap/>
            <w:hideMark/>
          </w:tcPr>
          <w:p w14:paraId="74CAD11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23C4AFB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4B96785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706ADBAB" w14:textId="275595BD"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4E7A2D0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401D38D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3D6302B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42CDBDC4" w14:textId="1579F3A6"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5.9</w:t>
            </w:r>
          </w:p>
        </w:tc>
        <w:tc>
          <w:tcPr>
            <w:tcW w:w="749" w:type="dxa"/>
          </w:tcPr>
          <w:p w14:paraId="3E8B3F6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7F0B6CB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74577C3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463AADF5" w14:textId="5B44C64F"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21C5743F"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2032</w:t>
            </w:r>
          </w:p>
        </w:tc>
        <w:tc>
          <w:tcPr>
            <w:tcW w:w="702" w:type="dxa"/>
            <w:noWrap/>
            <w:hideMark/>
          </w:tcPr>
          <w:p w14:paraId="2F09587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568" w:type="dxa"/>
            <w:noWrap/>
            <w:hideMark/>
          </w:tcPr>
          <w:p w14:paraId="1493EDA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0A10F56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47A2A90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52B449EF" w14:textId="195E2F88"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6985420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38429EB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A69D04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191E6F79" w14:textId="0284F263"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5.9</w:t>
            </w:r>
          </w:p>
        </w:tc>
        <w:tc>
          <w:tcPr>
            <w:tcW w:w="749" w:type="dxa"/>
          </w:tcPr>
          <w:p w14:paraId="7878A26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46FC5F1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5AD86BB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557A004D" w14:textId="3BA82E95" w:rsidTr="00CF4D20">
        <w:trPr>
          <w:gridAfter w:val="1"/>
          <w:wAfter w:w="20" w:type="dxa"/>
          <w:trHeight w:val="107"/>
        </w:trPr>
        <w:tc>
          <w:tcPr>
            <w:cnfStyle w:val="001000000000" w:firstRow="0" w:lastRow="0" w:firstColumn="1" w:lastColumn="0" w:oddVBand="0" w:evenVBand="0" w:oddHBand="0" w:evenHBand="0" w:firstRowFirstColumn="0" w:firstRowLastColumn="0" w:lastRowFirstColumn="0" w:lastRowLastColumn="0"/>
            <w:tcW w:w="721" w:type="dxa"/>
            <w:noWrap/>
            <w:hideMark/>
          </w:tcPr>
          <w:p w14:paraId="54306FFC"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2033</w:t>
            </w:r>
          </w:p>
        </w:tc>
        <w:tc>
          <w:tcPr>
            <w:tcW w:w="702" w:type="dxa"/>
            <w:noWrap/>
            <w:hideMark/>
          </w:tcPr>
          <w:p w14:paraId="61450A8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568" w:type="dxa"/>
            <w:noWrap/>
            <w:hideMark/>
          </w:tcPr>
          <w:p w14:paraId="30B20A8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noWrap/>
            <w:hideMark/>
          </w:tcPr>
          <w:p w14:paraId="3949BD7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28" w:type="dxa"/>
            <w:noWrap/>
            <w:hideMark/>
          </w:tcPr>
          <w:p w14:paraId="5CF59C4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73" w:type="dxa"/>
            <w:gridSpan w:val="2"/>
          </w:tcPr>
          <w:p w14:paraId="5C2ABB99" w14:textId="4D522CE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6E6BBBF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05" w:type="dxa"/>
          </w:tcPr>
          <w:p w14:paraId="3616D55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46" w:type="dxa"/>
          </w:tcPr>
          <w:p w14:paraId="3C6127E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19" w:type="dxa"/>
            <w:gridSpan w:val="2"/>
          </w:tcPr>
          <w:p w14:paraId="0BB59144" w14:textId="4153739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6.1</w:t>
            </w:r>
          </w:p>
        </w:tc>
        <w:tc>
          <w:tcPr>
            <w:tcW w:w="749" w:type="dxa"/>
          </w:tcPr>
          <w:p w14:paraId="3E0FD655"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7" w:type="dxa"/>
          </w:tcPr>
          <w:p w14:paraId="009E4A4F"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66" w:type="dxa"/>
          </w:tcPr>
          <w:p w14:paraId="53955A7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r>
      <w:tr w:rsidR="00926679" w:rsidRPr="00913E70" w14:paraId="22E03396" w14:textId="23BD6A8B"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46A6B01"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2034</w:t>
            </w:r>
          </w:p>
        </w:tc>
        <w:tc>
          <w:tcPr>
            <w:tcW w:w="702" w:type="dxa"/>
            <w:noWrap/>
            <w:hideMark/>
          </w:tcPr>
          <w:p w14:paraId="4197E7D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568" w:type="dxa"/>
            <w:noWrap/>
            <w:hideMark/>
          </w:tcPr>
          <w:p w14:paraId="7BA530B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noWrap/>
            <w:hideMark/>
          </w:tcPr>
          <w:p w14:paraId="0B49C22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28" w:type="dxa"/>
            <w:noWrap/>
            <w:hideMark/>
          </w:tcPr>
          <w:p w14:paraId="27A93EF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73" w:type="dxa"/>
            <w:gridSpan w:val="2"/>
          </w:tcPr>
          <w:p w14:paraId="03DF5AB8" w14:textId="6491721B"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2AA7F22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05" w:type="dxa"/>
          </w:tcPr>
          <w:p w14:paraId="08027E1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46" w:type="dxa"/>
          </w:tcPr>
          <w:p w14:paraId="451E7BE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19" w:type="dxa"/>
            <w:gridSpan w:val="2"/>
          </w:tcPr>
          <w:p w14:paraId="4542BE99" w14:textId="39864778"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5.8</w:t>
            </w:r>
          </w:p>
        </w:tc>
        <w:tc>
          <w:tcPr>
            <w:tcW w:w="749" w:type="dxa"/>
          </w:tcPr>
          <w:p w14:paraId="34AD227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7" w:type="dxa"/>
          </w:tcPr>
          <w:p w14:paraId="71105CD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66" w:type="dxa"/>
          </w:tcPr>
          <w:p w14:paraId="1BC678A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r>
      <w:tr w:rsidR="00926679" w:rsidRPr="00913E70" w14:paraId="3BBD2EDF" w14:textId="280E67C5"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0E27D664"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2035</w:t>
            </w:r>
          </w:p>
        </w:tc>
        <w:tc>
          <w:tcPr>
            <w:tcW w:w="702" w:type="dxa"/>
            <w:noWrap/>
            <w:hideMark/>
          </w:tcPr>
          <w:p w14:paraId="2958661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568" w:type="dxa"/>
            <w:noWrap/>
            <w:hideMark/>
          </w:tcPr>
          <w:p w14:paraId="3F5136D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767" w:type="dxa"/>
            <w:noWrap/>
            <w:hideMark/>
          </w:tcPr>
          <w:p w14:paraId="29B13EE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728" w:type="dxa"/>
            <w:noWrap/>
            <w:hideMark/>
          </w:tcPr>
          <w:p w14:paraId="0FC60BB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873" w:type="dxa"/>
            <w:gridSpan w:val="2"/>
          </w:tcPr>
          <w:p w14:paraId="5A997493" w14:textId="3AD36DF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81" w:type="dxa"/>
          </w:tcPr>
          <w:p w14:paraId="4C1A0B63" w14:textId="5C2F9099"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05" w:type="dxa"/>
          </w:tcPr>
          <w:p w14:paraId="1E33A298" w14:textId="27CB29EE"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846" w:type="dxa"/>
          </w:tcPr>
          <w:p w14:paraId="6C93DEFE" w14:textId="38145BF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0.8197</w:t>
            </w:r>
          </w:p>
        </w:tc>
        <w:tc>
          <w:tcPr>
            <w:tcW w:w="719" w:type="dxa"/>
            <w:gridSpan w:val="2"/>
          </w:tcPr>
          <w:p w14:paraId="30679901" w14:textId="6F708861"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5.6</w:t>
            </w:r>
          </w:p>
        </w:tc>
        <w:tc>
          <w:tcPr>
            <w:tcW w:w="749" w:type="dxa"/>
          </w:tcPr>
          <w:p w14:paraId="4BAFBBA5" w14:textId="4B2CDD82"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5.6</w:t>
            </w:r>
          </w:p>
        </w:tc>
        <w:tc>
          <w:tcPr>
            <w:tcW w:w="767" w:type="dxa"/>
          </w:tcPr>
          <w:p w14:paraId="2FBE82EE" w14:textId="133AB034"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5.6</w:t>
            </w:r>
          </w:p>
        </w:tc>
        <w:tc>
          <w:tcPr>
            <w:tcW w:w="766" w:type="dxa"/>
          </w:tcPr>
          <w:p w14:paraId="3AB1C412" w14:textId="4D86648D"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5.6</w:t>
            </w:r>
          </w:p>
        </w:tc>
      </w:tr>
      <w:tr w:rsidR="00926679" w:rsidRPr="00913E70" w14:paraId="70CA0EB2" w14:textId="50BBB7B0"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3BBF95A"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2036</w:t>
            </w:r>
          </w:p>
        </w:tc>
        <w:tc>
          <w:tcPr>
            <w:tcW w:w="702" w:type="dxa"/>
            <w:noWrap/>
            <w:hideMark/>
          </w:tcPr>
          <w:p w14:paraId="3D59D174"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39C52E3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3.2</w:t>
            </w:r>
          </w:p>
        </w:tc>
        <w:tc>
          <w:tcPr>
            <w:tcW w:w="767" w:type="dxa"/>
            <w:noWrap/>
            <w:hideMark/>
          </w:tcPr>
          <w:p w14:paraId="5C8B2DC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2.6</w:t>
            </w:r>
          </w:p>
        </w:tc>
        <w:tc>
          <w:tcPr>
            <w:tcW w:w="728" w:type="dxa"/>
            <w:noWrap/>
            <w:hideMark/>
          </w:tcPr>
          <w:p w14:paraId="6268FD4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3.8</w:t>
            </w:r>
          </w:p>
        </w:tc>
        <w:tc>
          <w:tcPr>
            <w:tcW w:w="873" w:type="dxa"/>
            <w:gridSpan w:val="2"/>
          </w:tcPr>
          <w:p w14:paraId="6F53766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6FF38492" w14:textId="0018D7AB"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0.8227</w:t>
            </w:r>
          </w:p>
        </w:tc>
        <w:tc>
          <w:tcPr>
            <w:tcW w:w="805" w:type="dxa"/>
          </w:tcPr>
          <w:p w14:paraId="6C31C5CE" w14:textId="541672CB"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0.4318</w:t>
            </w:r>
          </w:p>
        </w:tc>
        <w:tc>
          <w:tcPr>
            <w:tcW w:w="846" w:type="dxa"/>
          </w:tcPr>
          <w:p w14:paraId="1970AD18" w14:textId="7C3EAE02"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1.2135</w:t>
            </w:r>
          </w:p>
        </w:tc>
        <w:tc>
          <w:tcPr>
            <w:tcW w:w="719" w:type="dxa"/>
            <w:gridSpan w:val="2"/>
          </w:tcPr>
          <w:p w14:paraId="7CB5D020"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4C82A9E9" w14:textId="37CC4EC3"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6.1</w:t>
            </w:r>
          </w:p>
        </w:tc>
        <w:tc>
          <w:tcPr>
            <w:tcW w:w="767" w:type="dxa"/>
          </w:tcPr>
          <w:p w14:paraId="4BBD3AB7" w14:textId="33F66B01"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4.3</w:t>
            </w:r>
          </w:p>
        </w:tc>
        <w:tc>
          <w:tcPr>
            <w:tcW w:w="766" w:type="dxa"/>
          </w:tcPr>
          <w:p w14:paraId="35826DFA" w14:textId="0F73C8E1"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7.9</w:t>
            </w:r>
          </w:p>
        </w:tc>
      </w:tr>
      <w:tr w:rsidR="00926679" w:rsidRPr="00913E70" w14:paraId="2A7EFFC1" w14:textId="67C1CE15"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2A2A473"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2037</w:t>
            </w:r>
          </w:p>
        </w:tc>
        <w:tc>
          <w:tcPr>
            <w:tcW w:w="702" w:type="dxa"/>
            <w:noWrap/>
            <w:hideMark/>
          </w:tcPr>
          <w:p w14:paraId="048B84E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7776637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3.3</w:t>
            </w:r>
          </w:p>
        </w:tc>
        <w:tc>
          <w:tcPr>
            <w:tcW w:w="767" w:type="dxa"/>
            <w:noWrap/>
            <w:hideMark/>
          </w:tcPr>
          <w:p w14:paraId="13D1B182"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2.5</w:t>
            </w:r>
          </w:p>
        </w:tc>
        <w:tc>
          <w:tcPr>
            <w:tcW w:w="728" w:type="dxa"/>
            <w:noWrap/>
            <w:hideMark/>
          </w:tcPr>
          <w:p w14:paraId="6E93786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4.1</w:t>
            </w:r>
          </w:p>
        </w:tc>
        <w:tc>
          <w:tcPr>
            <w:tcW w:w="873" w:type="dxa"/>
            <w:gridSpan w:val="2"/>
          </w:tcPr>
          <w:p w14:paraId="25FF6B0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52B995CD" w14:textId="0BA68F85"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0.8241</w:t>
            </w:r>
          </w:p>
        </w:tc>
        <w:tc>
          <w:tcPr>
            <w:tcW w:w="805" w:type="dxa"/>
          </w:tcPr>
          <w:p w14:paraId="34B4C465" w14:textId="0FDCA07C"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0.3869</w:t>
            </w:r>
          </w:p>
        </w:tc>
        <w:tc>
          <w:tcPr>
            <w:tcW w:w="846" w:type="dxa"/>
          </w:tcPr>
          <w:p w14:paraId="18B4F29D" w14:textId="1E056D3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1.2613</w:t>
            </w:r>
          </w:p>
        </w:tc>
        <w:tc>
          <w:tcPr>
            <w:tcW w:w="719" w:type="dxa"/>
            <w:gridSpan w:val="2"/>
          </w:tcPr>
          <w:p w14:paraId="6A07467B" w14:textId="7777777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49" w:type="dxa"/>
          </w:tcPr>
          <w:p w14:paraId="110BF9A9" w14:textId="67EE0619"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6.2</w:t>
            </w:r>
          </w:p>
        </w:tc>
        <w:tc>
          <w:tcPr>
            <w:tcW w:w="767" w:type="dxa"/>
          </w:tcPr>
          <w:p w14:paraId="13758FCE" w14:textId="316CED49"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4.3</w:t>
            </w:r>
          </w:p>
        </w:tc>
        <w:tc>
          <w:tcPr>
            <w:tcW w:w="766" w:type="dxa"/>
          </w:tcPr>
          <w:p w14:paraId="201A8949" w14:textId="3AD7DB31"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8.1</w:t>
            </w:r>
          </w:p>
        </w:tc>
      </w:tr>
      <w:tr w:rsidR="00926679" w:rsidRPr="00913E70" w14:paraId="4750AC5E" w14:textId="351178E2"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5265E29"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2038</w:t>
            </w:r>
          </w:p>
        </w:tc>
        <w:tc>
          <w:tcPr>
            <w:tcW w:w="702" w:type="dxa"/>
            <w:noWrap/>
            <w:hideMark/>
          </w:tcPr>
          <w:p w14:paraId="0BF73CF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26E9883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3.3</w:t>
            </w:r>
          </w:p>
        </w:tc>
        <w:tc>
          <w:tcPr>
            <w:tcW w:w="767" w:type="dxa"/>
            <w:noWrap/>
            <w:hideMark/>
          </w:tcPr>
          <w:p w14:paraId="681ACB2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2.4</w:t>
            </w:r>
          </w:p>
        </w:tc>
        <w:tc>
          <w:tcPr>
            <w:tcW w:w="728" w:type="dxa"/>
            <w:noWrap/>
            <w:hideMark/>
          </w:tcPr>
          <w:p w14:paraId="66F104C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4.3</w:t>
            </w:r>
          </w:p>
        </w:tc>
        <w:tc>
          <w:tcPr>
            <w:tcW w:w="873" w:type="dxa"/>
            <w:gridSpan w:val="2"/>
          </w:tcPr>
          <w:p w14:paraId="2F7DB5C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04B2AA66" w14:textId="513CC634"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0.8256</w:t>
            </w:r>
          </w:p>
        </w:tc>
        <w:tc>
          <w:tcPr>
            <w:tcW w:w="805" w:type="dxa"/>
          </w:tcPr>
          <w:p w14:paraId="553FB324" w14:textId="238C9B33"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0.3464</w:t>
            </w:r>
          </w:p>
        </w:tc>
        <w:tc>
          <w:tcPr>
            <w:tcW w:w="846" w:type="dxa"/>
          </w:tcPr>
          <w:p w14:paraId="639E7BE1" w14:textId="642AB2FD"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1.3048</w:t>
            </w:r>
          </w:p>
        </w:tc>
        <w:tc>
          <w:tcPr>
            <w:tcW w:w="719" w:type="dxa"/>
            <w:gridSpan w:val="2"/>
          </w:tcPr>
          <w:p w14:paraId="77ADE981"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7A5734E3" w14:textId="0600C032"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6.3</w:t>
            </w:r>
          </w:p>
        </w:tc>
        <w:tc>
          <w:tcPr>
            <w:tcW w:w="767" w:type="dxa"/>
          </w:tcPr>
          <w:p w14:paraId="7E94F0E8" w14:textId="65D9E606"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4.3</w:t>
            </w:r>
          </w:p>
        </w:tc>
        <w:tc>
          <w:tcPr>
            <w:tcW w:w="766" w:type="dxa"/>
          </w:tcPr>
          <w:p w14:paraId="32EAEBA5" w14:textId="735A664B"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8.2</w:t>
            </w:r>
          </w:p>
        </w:tc>
      </w:tr>
      <w:tr w:rsidR="00926679" w:rsidRPr="00913E70" w14:paraId="06491CEF" w14:textId="795EDA0D"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7CF171D4"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2039</w:t>
            </w:r>
          </w:p>
        </w:tc>
        <w:tc>
          <w:tcPr>
            <w:tcW w:w="702" w:type="dxa"/>
            <w:noWrap/>
            <w:hideMark/>
          </w:tcPr>
          <w:p w14:paraId="55A8D07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485362FD"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3.4</w:t>
            </w:r>
          </w:p>
        </w:tc>
        <w:tc>
          <w:tcPr>
            <w:tcW w:w="767" w:type="dxa"/>
            <w:noWrap/>
            <w:hideMark/>
          </w:tcPr>
          <w:p w14:paraId="42096F5C"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2.3</w:t>
            </w:r>
          </w:p>
        </w:tc>
        <w:tc>
          <w:tcPr>
            <w:tcW w:w="728" w:type="dxa"/>
            <w:noWrap/>
            <w:hideMark/>
          </w:tcPr>
          <w:p w14:paraId="7F01E20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4.5</w:t>
            </w:r>
          </w:p>
        </w:tc>
        <w:tc>
          <w:tcPr>
            <w:tcW w:w="873" w:type="dxa"/>
            <w:gridSpan w:val="2"/>
          </w:tcPr>
          <w:p w14:paraId="2A34AE4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420E9570" w14:textId="55218E58"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0.8271</w:t>
            </w:r>
          </w:p>
        </w:tc>
        <w:tc>
          <w:tcPr>
            <w:tcW w:w="805" w:type="dxa"/>
          </w:tcPr>
          <w:p w14:paraId="4487B3A4" w14:textId="035E982B"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0.3091</w:t>
            </w:r>
          </w:p>
        </w:tc>
        <w:tc>
          <w:tcPr>
            <w:tcW w:w="846" w:type="dxa"/>
          </w:tcPr>
          <w:p w14:paraId="64EA9BBE" w14:textId="5F006710"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1.3451</w:t>
            </w:r>
          </w:p>
        </w:tc>
        <w:tc>
          <w:tcPr>
            <w:tcW w:w="719" w:type="dxa"/>
            <w:gridSpan w:val="2"/>
          </w:tcPr>
          <w:p w14:paraId="76A10879" w14:textId="7777777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49" w:type="dxa"/>
          </w:tcPr>
          <w:p w14:paraId="46E01F01" w14:textId="6E133D96"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6.3</w:t>
            </w:r>
          </w:p>
        </w:tc>
        <w:tc>
          <w:tcPr>
            <w:tcW w:w="767" w:type="dxa"/>
          </w:tcPr>
          <w:p w14:paraId="1F1253FD" w14:textId="732E8486"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4.3</w:t>
            </w:r>
          </w:p>
        </w:tc>
        <w:tc>
          <w:tcPr>
            <w:tcW w:w="766" w:type="dxa"/>
          </w:tcPr>
          <w:p w14:paraId="1D2CD699" w14:textId="5A9EEB36"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8.3</w:t>
            </w:r>
          </w:p>
        </w:tc>
      </w:tr>
      <w:tr w:rsidR="00926679" w:rsidRPr="00913E70" w14:paraId="0056168F" w14:textId="5C315C36"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3DE7B000"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2040</w:t>
            </w:r>
          </w:p>
        </w:tc>
        <w:tc>
          <w:tcPr>
            <w:tcW w:w="702" w:type="dxa"/>
            <w:noWrap/>
            <w:hideMark/>
          </w:tcPr>
          <w:p w14:paraId="7C57CC2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4F402AC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3.4</w:t>
            </w:r>
          </w:p>
        </w:tc>
        <w:tc>
          <w:tcPr>
            <w:tcW w:w="767" w:type="dxa"/>
            <w:noWrap/>
            <w:hideMark/>
          </w:tcPr>
          <w:p w14:paraId="6BB5945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2.2</w:t>
            </w:r>
          </w:p>
        </w:tc>
        <w:tc>
          <w:tcPr>
            <w:tcW w:w="728" w:type="dxa"/>
            <w:noWrap/>
            <w:hideMark/>
          </w:tcPr>
          <w:p w14:paraId="3009BAF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4.7</w:t>
            </w:r>
          </w:p>
        </w:tc>
        <w:tc>
          <w:tcPr>
            <w:tcW w:w="873" w:type="dxa"/>
            <w:gridSpan w:val="2"/>
          </w:tcPr>
          <w:p w14:paraId="12310C0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7EA81A3F" w14:textId="2D7EA88E"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0.8285</w:t>
            </w:r>
          </w:p>
        </w:tc>
        <w:tc>
          <w:tcPr>
            <w:tcW w:w="805" w:type="dxa"/>
          </w:tcPr>
          <w:p w14:paraId="1203E6B0" w14:textId="6F151DF5"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0.2744</w:t>
            </w:r>
          </w:p>
        </w:tc>
        <w:tc>
          <w:tcPr>
            <w:tcW w:w="846" w:type="dxa"/>
          </w:tcPr>
          <w:p w14:paraId="32F39675" w14:textId="182B400F"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1.3827</w:t>
            </w:r>
          </w:p>
        </w:tc>
        <w:tc>
          <w:tcPr>
            <w:tcW w:w="719" w:type="dxa"/>
            <w:gridSpan w:val="2"/>
          </w:tcPr>
          <w:p w14:paraId="12FF41A5"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6CAB5908" w14:textId="1DB24B10"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6.4</w:t>
            </w:r>
          </w:p>
        </w:tc>
        <w:tc>
          <w:tcPr>
            <w:tcW w:w="767" w:type="dxa"/>
          </w:tcPr>
          <w:p w14:paraId="04838ACF" w14:textId="5BF6737C"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4.4</w:t>
            </w:r>
          </w:p>
        </w:tc>
        <w:tc>
          <w:tcPr>
            <w:tcW w:w="766" w:type="dxa"/>
          </w:tcPr>
          <w:p w14:paraId="4570E743" w14:textId="18B9519D"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8.5</w:t>
            </w:r>
          </w:p>
        </w:tc>
      </w:tr>
      <w:tr w:rsidR="00926679" w:rsidRPr="00913E70" w14:paraId="52800EC5" w14:textId="1764DACC"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01AC1F5B"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2041</w:t>
            </w:r>
          </w:p>
        </w:tc>
        <w:tc>
          <w:tcPr>
            <w:tcW w:w="702" w:type="dxa"/>
            <w:noWrap/>
            <w:hideMark/>
          </w:tcPr>
          <w:p w14:paraId="433B8A6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5E3956F0"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3.5</w:t>
            </w:r>
          </w:p>
        </w:tc>
        <w:tc>
          <w:tcPr>
            <w:tcW w:w="767" w:type="dxa"/>
            <w:noWrap/>
            <w:hideMark/>
          </w:tcPr>
          <w:p w14:paraId="58C924A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2.1</w:t>
            </w:r>
          </w:p>
        </w:tc>
        <w:tc>
          <w:tcPr>
            <w:tcW w:w="728" w:type="dxa"/>
            <w:noWrap/>
            <w:hideMark/>
          </w:tcPr>
          <w:p w14:paraId="37910BD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4.8</w:t>
            </w:r>
          </w:p>
        </w:tc>
        <w:tc>
          <w:tcPr>
            <w:tcW w:w="873" w:type="dxa"/>
            <w:gridSpan w:val="2"/>
          </w:tcPr>
          <w:p w14:paraId="67E98F8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063516AD" w14:textId="4E454342"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0.8300</w:t>
            </w:r>
          </w:p>
        </w:tc>
        <w:tc>
          <w:tcPr>
            <w:tcW w:w="805" w:type="dxa"/>
          </w:tcPr>
          <w:p w14:paraId="3DB3A764" w14:textId="52322393"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0.2417</w:t>
            </w:r>
          </w:p>
        </w:tc>
        <w:tc>
          <w:tcPr>
            <w:tcW w:w="846" w:type="dxa"/>
          </w:tcPr>
          <w:p w14:paraId="34A39033" w14:textId="688BAE1E"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1.4183</w:t>
            </w:r>
          </w:p>
        </w:tc>
        <w:tc>
          <w:tcPr>
            <w:tcW w:w="719" w:type="dxa"/>
            <w:gridSpan w:val="2"/>
          </w:tcPr>
          <w:p w14:paraId="60EEAC31" w14:textId="7777777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49" w:type="dxa"/>
          </w:tcPr>
          <w:p w14:paraId="132A7557" w14:textId="187CA74A"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6.5</w:t>
            </w:r>
          </w:p>
        </w:tc>
        <w:tc>
          <w:tcPr>
            <w:tcW w:w="767" w:type="dxa"/>
          </w:tcPr>
          <w:p w14:paraId="5EE44B0B" w14:textId="012A7EA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4.4</w:t>
            </w:r>
          </w:p>
        </w:tc>
        <w:tc>
          <w:tcPr>
            <w:tcW w:w="766" w:type="dxa"/>
          </w:tcPr>
          <w:p w14:paraId="771FC6ED" w14:textId="56498C0E"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8.6</w:t>
            </w:r>
          </w:p>
        </w:tc>
      </w:tr>
      <w:tr w:rsidR="00926679" w:rsidRPr="00913E70" w14:paraId="7C7F4B23" w14:textId="191F5B73"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15C38957"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2042</w:t>
            </w:r>
          </w:p>
        </w:tc>
        <w:tc>
          <w:tcPr>
            <w:tcW w:w="702" w:type="dxa"/>
            <w:noWrap/>
            <w:hideMark/>
          </w:tcPr>
          <w:p w14:paraId="0978860E"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6FBB8A7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3.5</w:t>
            </w:r>
          </w:p>
        </w:tc>
        <w:tc>
          <w:tcPr>
            <w:tcW w:w="767" w:type="dxa"/>
            <w:noWrap/>
            <w:hideMark/>
          </w:tcPr>
          <w:p w14:paraId="08BB1C9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2.1</w:t>
            </w:r>
          </w:p>
        </w:tc>
        <w:tc>
          <w:tcPr>
            <w:tcW w:w="728" w:type="dxa"/>
            <w:noWrap/>
            <w:hideMark/>
          </w:tcPr>
          <w:p w14:paraId="0D43C8E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5.0</w:t>
            </w:r>
          </w:p>
        </w:tc>
        <w:tc>
          <w:tcPr>
            <w:tcW w:w="873" w:type="dxa"/>
            <w:gridSpan w:val="2"/>
          </w:tcPr>
          <w:p w14:paraId="41F42FD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4FDB13C1" w14:textId="51A3AE6E"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0.8315</w:t>
            </w:r>
          </w:p>
        </w:tc>
        <w:tc>
          <w:tcPr>
            <w:tcW w:w="805" w:type="dxa"/>
          </w:tcPr>
          <w:p w14:paraId="2291C11C" w14:textId="0F67A3A1"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0.2108</w:t>
            </w:r>
          </w:p>
        </w:tc>
        <w:tc>
          <w:tcPr>
            <w:tcW w:w="846" w:type="dxa"/>
          </w:tcPr>
          <w:p w14:paraId="00089454" w14:textId="15FD2006"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1.4521</w:t>
            </w:r>
          </w:p>
        </w:tc>
        <w:tc>
          <w:tcPr>
            <w:tcW w:w="719" w:type="dxa"/>
            <w:gridSpan w:val="2"/>
          </w:tcPr>
          <w:p w14:paraId="150E1F28"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63040D3D" w14:textId="5E8EE88D"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6.6</w:t>
            </w:r>
          </w:p>
        </w:tc>
        <w:tc>
          <w:tcPr>
            <w:tcW w:w="767" w:type="dxa"/>
          </w:tcPr>
          <w:p w14:paraId="2D7CBB6C" w14:textId="2B7C4B01"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4.4</w:t>
            </w:r>
          </w:p>
        </w:tc>
        <w:tc>
          <w:tcPr>
            <w:tcW w:w="766" w:type="dxa"/>
          </w:tcPr>
          <w:p w14:paraId="252EE50B" w14:textId="5A5640C6"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8.7</w:t>
            </w:r>
          </w:p>
        </w:tc>
      </w:tr>
      <w:tr w:rsidR="00926679" w:rsidRPr="00913E70" w14:paraId="1C6432FE" w14:textId="1315A36D"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3A727C45"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lastRenderedPageBreak/>
              <w:t>2043</w:t>
            </w:r>
          </w:p>
        </w:tc>
        <w:tc>
          <w:tcPr>
            <w:tcW w:w="702" w:type="dxa"/>
            <w:noWrap/>
            <w:hideMark/>
          </w:tcPr>
          <w:p w14:paraId="551634F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4FFAAFA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3.6</w:t>
            </w:r>
          </w:p>
        </w:tc>
        <w:tc>
          <w:tcPr>
            <w:tcW w:w="767" w:type="dxa"/>
            <w:noWrap/>
            <w:hideMark/>
          </w:tcPr>
          <w:p w14:paraId="5F31CE9E"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2.1</w:t>
            </w:r>
          </w:p>
        </w:tc>
        <w:tc>
          <w:tcPr>
            <w:tcW w:w="728" w:type="dxa"/>
            <w:noWrap/>
            <w:hideMark/>
          </w:tcPr>
          <w:p w14:paraId="14D076A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5.1</w:t>
            </w:r>
          </w:p>
        </w:tc>
        <w:tc>
          <w:tcPr>
            <w:tcW w:w="873" w:type="dxa"/>
            <w:gridSpan w:val="2"/>
          </w:tcPr>
          <w:p w14:paraId="34EEC10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467082E9" w14:textId="2AC23310"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0.8330</w:t>
            </w:r>
          </w:p>
        </w:tc>
        <w:tc>
          <w:tcPr>
            <w:tcW w:w="805" w:type="dxa"/>
          </w:tcPr>
          <w:p w14:paraId="655AFC29" w14:textId="772DBF15"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0.1814</w:t>
            </w:r>
          </w:p>
        </w:tc>
        <w:tc>
          <w:tcPr>
            <w:tcW w:w="846" w:type="dxa"/>
          </w:tcPr>
          <w:p w14:paraId="7A614726" w14:textId="3108736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1.4845</w:t>
            </w:r>
          </w:p>
        </w:tc>
        <w:tc>
          <w:tcPr>
            <w:tcW w:w="719" w:type="dxa"/>
            <w:gridSpan w:val="2"/>
          </w:tcPr>
          <w:p w14:paraId="517E8E62" w14:textId="7777777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49" w:type="dxa"/>
          </w:tcPr>
          <w:p w14:paraId="402B4A90" w14:textId="39FFDCD9"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6.7</w:t>
            </w:r>
          </w:p>
        </w:tc>
        <w:tc>
          <w:tcPr>
            <w:tcW w:w="767" w:type="dxa"/>
          </w:tcPr>
          <w:p w14:paraId="57D85878" w14:textId="27C84068"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4.5</w:t>
            </w:r>
          </w:p>
        </w:tc>
        <w:tc>
          <w:tcPr>
            <w:tcW w:w="766" w:type="dxa"/>
          </w:tcPr>
          <w:p w14:paraId="21C6CB7D" w14:textId="485BABE0"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8.8</w:t>
            </w:r>
          </w:p>
        </w:tc>
      </w:tr>
      <w:tr w:rsidR="00926679" w:rsidRPr="00913E70" w14:paraId="250FA358" w14:textId="6279305B"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B0503B4"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2044</w:t>
            </w:r>
          </w:p>
        </w:tc>
        <w:tc>
          <w:tcPr>
            <w:tcW w:w="702" w:type="dxa"/>
            <w:noWrap/>
            <w:hideMark/>
          </w:tcPr>
          <w:p w14:paraId="1A6BEA88"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39112A97"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3.7</w:t>
            </w:r>
          </w:p>
        </w:tc>
        <w:tc>
          <w:tcPr>
            <w:tcW w:w="767" w:type="dxa"/>
            <w:noWrap/>
            <w:hideMark/>
          </w:tcPr>
          <w:p w14:paraId="629BABC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2.0</w:t>
            </w:r>
          </w:p>
        </w:tc>
        <w:tc>
          <w:tcPr>
            <w:tcW w:w="728" w:type="dxa"/>
            <w:noWrap/>
            <w:hideMark/>
          </w:tcPr>
          <w:p w14:paraId="09192791"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5.3</w:t>
            </w:r>
          </w:p>
        </w:tc>
        <w:tc>
          <w:tcPr>
            <w:tcW w:w="873" w:type="dxa"/>
            <w:gridSpan w:val="2"/>
          </w:tcPr>
          <w:p w14:paraId="082515A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11BB5DE4" w14:textId="2C400A1D"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0.8344</w:t>
            </w:r>
          </w:p>
        </w:tc>
        <w:tc>
          <w:tcPr>
            <w:tcW w:w="805" w:type="dxa"/>
          </w:tcPr>
          <w:p w14:paraId="5C0DA13C" w14:textId="2FD0D041"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0.1533</w:t>
            </w:r>
          </w:p>
        </w:tc>
        <w:tc>
          <w:tcPr>
            <w:tcW w:w="846" w:type="dxa"/>
          </w:tcPr>
          <w:p w14:paraId="17A52C56" w14:textId="78D21FA8"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1.5155</w:t>
            </w:r>
          </w:p>
        </w:tc>
        <w:tc>
          <w:tcPr>
            <w:tcW w:w="719" w:type="dxa"/>
            <w:gridSpan w:val="2"/>
          </w:tcPr>
          <w:p w14:paraId="693D517C"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5E410ADE" w14:textId="7FDD7EE5"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6.7</w:t>
            </w:r>
          </w:p>
        </w:tc>
        <w:tc>
          <w:tcPr>
            <w:tcW w:w="767" w:type="dxa"/>
          </w:tcPr>
          <w:p w14:paraId="004AD180" w14:textId="6F5A252E"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4.5</w:t>
            </w:r>
          </w:p>
        </w:tc>
        <w:tc>
          <w:tcPr>
            <w:tcW w:w="766" w:type="dxa"/>
          </w:tcPr>
          <w:p w14:paraId="5153CFB9" w14:textId="705137A4"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9.0</w:t>
            </w:r>
          </w:p>
        </w:tc>
      </w:tr>
      <w:tr w:rsidR="00926679" w:rsidRPr="00913E70" w14:paraId="7F11C20F" w14:textId="1754DD34"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3FA2D40"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2045</w:t>
            </w:r>
          </w:p>
        </w:tc>
        <w:tc>
          <w:tcPr>
            <w:tcW w:w="702" w:type="dxa"/>
            <w:noWrap/>
            <w:hideMark/>
          </w:tcPr>
          <w:p w14:paraId="0FA6D8A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0ED14CF1"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3.7</w:t>
            </w:r>
          </w:p>
        </w:tc>
        <w:tc>
          <w:tcPr>
            <w:tcW w:w="767" w:type="dxa"/>
            <w:noWrap/>
            <w:hideMark/>
          </w:tcPr>
          <w:p w14:paraId="0E8172B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2.0</w:t>
            </w:r>
          </w:p>
        </w:tc>
        <w:tc>
          <w:tcPr>
            <w:tcW w:w="728" w:type="dxa"/>
            <w:noWrap/>
            <w:hideMark/>
          </w:tcPr>
          <w:p w14:paraId="171AED64"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5.4</w:t>
            </w:r>
          </w:p>
        </w:tc>
        <w:tc>
          <w:tcPr>
            <w:tcW w:w="873" w:type="dxa"/>
            <w:gridSpan w:val="2"/>
          </w:tcPr>
          <w:p w14:paraId="25FBFDF9"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4F4B0FB3" w14:textId="30156C43"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0.8359</w:t>
            </w:r>
          </w:p>
        </w:tc>
        <w:tc>
          <w:tcPr>
            <w:tcW w:w="805" w:type="dxa"/>
          </w:tcPr>
          <w:p w14:paraId="0DA6227E" w14:textId="40E72679"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0.1263</w:t>
            </w:r>
          </w:p>
        </w:tc>
        <w:tc>
          <w:tcPr>
            <w:tcW w:w="846" w:type="dxa"/>
          </w:tcPr>
          <w:p w14:paraId="17C3846C" w14:textId="7EBBCB84"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1.5455</w:t>
            </w:r>
          </w:p>
        </w:tc>
        <w:tc>
          <w:tcPr>
            <w:tcW w:w="719" w:type="dxa"/>
            <w:gridSpan w:val="2"/>
          </w:tcPr>
          <w:p w14:paraId="79B92D44" w14:textId="7777777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49" w:type="dxa"/>
          </w:tcPr>
          <w:p w14:paraId="2DB6D275" w14:textId="76D07800"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6.8</w:t>
            </w:r>
          </w:p>
        </w:tc>
        <w:tc>
          <w:tcPr>
            <w:tcW w:w="767" w:type="dxa"/>
          </w:tcPr>
          <w:p w14:paraId="59B49FAE" w14:textId="369887B8"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4.5</w:t>
            </w:r>
          </w:p>
        </w:tc>
        <w:tc>
          <w:tcPr>
            <w:tcW w:w="766" w:type="dxa"/>
          </w:tcPr>
          <w:p w14:paraId="015EB380" w14:textId="149B7118"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9.1</w:t>
            </w:r>
          </w:p>
        </w:tc>
      </w:tr>
      <w:tr w:rsidR="00926679" w:rsidRPr="00913E70" w14:paraId="3D717677" w14:textId="2918EE72"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674EA425"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2046</w:t>
            </w:r>
          </w:p>
        </w:tc>
        <w:tc>
          <w:tcPr>
            <w:tcW w:w="702" w:type="dxa"/>
            <w:noWrap/>
            <w:hideMark/>
          </w:tcPr>
          <w:p w14:paraId="4EFC127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375CE560"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3.8</w:t>
            </w:r>
          </w:p>
        </w:tc>
        <w:tc>
          <w:tcPr>
            <w:tcW w:w="767" w:type="dxa"/>
            <w:noWrap/>
            <w:hideMark/>
          </w:tcPr>
          <w:p w14:paraId="01D869AC"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2.0</w:t>
            </w:r>
          </w:p>
        </w:tc>
        <w:tc>
          <w:tcPr>
            <w:tcW w:w="728" w:type="dxa"/>
            <w:noWrap/>
            <w:hideMark/>
          </w:tcPr>
          <w:p w14:paraId="665A9E22"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5.6</w:t>
            </w:r>
          </w:p>
        </w:tc>
        <w:tc>
          <w:tcPr>
            <w:tcW w:w="873" w:type="dxa"/>
            <w:gridSpan w:val="2"/>
          </w:tcPr>
          <w:p w14:paraId="630CF25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02BA4209" w14:textId="057B85D0"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0.8374</w:t>
            </w:r>
          </w:p>
        </w:tc>
        <w:tc>
          <w:tcPr>
            <w:tcW w:w="805" w:type="dxa"/>
          </w:tcPr>
          <w:p w14:paraId="3E8416DB" w14:textId="6EC91D9A"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0.1003</w:t>
            </w:r>
          </w:p>
        </w:tc>
        <w:tc>
          <w:tcPr>
            <w:tcW w:w="846" w:type="dxa"/>
          </w:tcPr>
          <w:p w14:paraId="3DA41935" w14:textId="3481A11F"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1.5744</w:t>
            </w:r>
          </w:p>
        </w:tc>
        <w:tc>
          <w:tcPr>
            <w:tcW w:w="719" w:type="dxa"/>
            <w:gridSpan w:val="2"/>
          </w:tcPr>
          <w:p w14:paraId="3CF7F672"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3C80670E" w14:textId="2A4E51A1"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6.9</w:t>
            </w:r>
          </w:p>
        </w:tc>
        <w:tc>
          <w:tcPr>
            <w:tcW w:w="767" w:type="dxa"/>
          </w:tcPr>
          <w:p w14:paraId="24FE48AF" w14:textId="199E51E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4.6</w:t>
            </w:r>
          </w:p>
        </w:tc>
        <w:tc>
          <w:tcPr>
            <w:tcW w:w="766" w:type="dxa"/>
          </w:tcPr>
          <w:p w14:paraId="4A373365" w14:textId="69B8B82C"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9.2</w:t>
            </w:r>
          </w:p>
        </w:tc>
      </w:tr>
      <w:tr w:rsidR="00926679" w:rsidRPr="00913E70" w14:paraId="3062EFB6" w14:textId="42BB9105"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44DA843A"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2047</w:t>
            </w:r>
          </w:p>
        </w:tc>
        <w:tc>
          <w:tcPr>
            <w:tcW w:w="702" w:type="dxa"/>
            <w:noWrap/>
            <w:hideMark/>
          </w:tcPr>
          <w:p w14:paraId="0E0F8C7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058CCAE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3.8</w:t>
            </w:r>
          </w:p>
        </w:tc>
        <w:tc>
          <w:tcPr>
            <w:tcW w:w="767" w:type="dxa"/>
            <w:noWrap/>
            <w:hideMark/>
          </w:tcPr>
          <w:p w14:paraId="0551150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1.9</w:t>
            </w:r>
          </w:p>
        </w:tc>
        <w:tc>
          <w:tcPr>
            <w:tcW w:w="728" w:type="dxa"/>
            <w:noWrap/>
            <w:hideMark/>
          </w:tcPr>
          <w:p w14:paraId="12A072D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5.7</w:t>
            </w:r>
          </w:p>
        </w:tc>
        <w:tc>
          <w:tcPr>
            <w:tcW w:w="873" w:type="dxa"/>
            <w:gridSpan w:val="2"/>
          </w:tcPr>
          <w:p w14:paraId="451CE156"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7FFD694B" w14:textId="6C0EE59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0.8389</w:t>
            </w:r>
          </w:p>
        </w:tc>
        <w:tc>
          <w:tcPr>
            <w:tcW w:w="805" w:type="dxa"/>
          </w:tcPr>
          <w:p w14:paraId="37BD6645" w14:textId="128BE9EB"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0.0752</w:t>
            </w:r>
          </w:p>
        </w:tc>
        <w:tc>
          <w:tcPr>
            <w:tcW w:w="846" w:type="dxa"/>
          </w:tcPr>
          <w:p w14:paraId="3C79D9F7" w14:textId="1C99983E"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1.6025</w:t>
            </w:r>
          </w:p>
        </w:tc>
        <w:tc>
          <w:tcPr>
            <w:tcW w:w="719" w:type="dxa"/>
            <w:gridSpan w:val="2"/>
          </w:tcPr>
          <w:p w14:paraId="5F6B2C09" w14:textId="77777777"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49" w:type="dxa"/>
          </w:tcPr>
          <w:p w14:paraId="30B732CD" w14:textId="6E7E6518"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7.0</w:t>
            </w:r>
          </w:p>
        </w:tc>
        <w:tc>
          <w:tcPr>
            <w:tcW w:w="767" w:type="dxa"/>
          </w:tcPr>
          <w:p w14:paraId="7F24AEF9" w14:textId="01F94641"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4.6</w:t>
            </w:r>
          </w:p>
        </w:tc>
        <w:tc>
          <w:tcPr>
            <w:tcW w:w="766" w:type="dxa"/>
          </w:tcPr>
          <w:p w14:paraId="3D5971C1" w14:textId="5308DAE4"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9.4</w:t>
            </w:r>
          </w:p>
        </w:tc>
      </w:tr>
      <w:tr w:rsidR="00926679" w:rsidRPr="00913E70" w14:paraId="771B7183" w14:textId="2B6DD726"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5E92DCC7"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2048</w:t>
            </w:r>
          </w:p>
        </w:tc>
        <w:tc>
          <w:tcPr>
            <w:tcW w:w="702" w:type="dxa"/>
            <w:noWrap/>
            <w:hideMark/>
          </w:tcPr>
          <w:p w14:paraId="432C98F5"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20F4C09A"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3.9</w:t>
            </w:r>
          </w:p>
        </w:tc>
        <w:tc>
          <w:tcPr>
            <w:tcW w:w="767" w:type="dxa"/>
            <w:noWrap/>
            <w:hideMark/>
          </w:tcPr>
          <w:p w14:paraId="688DA65D"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1.9</w:t>
            </w:r>
          </w:p>
        </w:tc>
        <w:tc>
          <w:tcPr>
            <w:tcW w:w="728" w:type="dxa"/>
            <w:noWrap/>
            <w:hideMark/>
          </w:tcPr>
          <w:p w14:paraId="1D34367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5.8</w:t>
            </w:r>
          </w:p>
        </w:tc>
        <w:tc>
          <w:tcPr>
            <w:tcW w:w="873" w:type="dxa"/>
            <w:gridSpan w:val="2"/>
          </w:tcPr>
          <w:p w14:paraId="160F985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6F53CE1E" w14:textId="4B723B05"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0.8403</w:t>
            </w:r>
          </w:p>
        </w:tc>
        <w:tc>
          <w:tcPr>
            <w:tcW w:w="805" w:type="dxa"/>
          </w:tcPr>
          <w:p w14:paraId="7D173B8C" w14:textId="784F0701"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0.0509</w:t>
            </w:r>
          </w:p>
        </w:tc>
        <w:tc>
          <w:tcPr>
            <w:tcW w:w="846" w:type="dxa"/>
          </w:tcPr>
          <w:p w14:paraId="3CEB25D2" w14:textId="0ACCA98D"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1.6297</w:t>
            </w:r>
          </w:p>
        </w:tc>
        <w:tc>
          <w:tcPr>
            <w:tcW w:w="719" w:type="dxa"/>
            <w:gridSpan w:val="2"/>
          </w:tcPr>
          <w:p w14:paraId="6A056FFD"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2FE3A512" w14:textId="15C24E46"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7.1</w:t>
            </w:r>
          </w:p>
        </w:tc>
        <w:tc>
          <w:tcPr>
            <w:tcW w:w="767" w:type="dxa"/>
          </w:tcPr>
          <w:p w14:paraId="4B407C54" w14:textId="5A419E0F"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4.6</w:t>
            </w:r>
          </w:p>
        </w:tc>
        <w:tc>
          <w:tcPr>
            <w:tcW w:w="766" w:type="dxa"/>
          </w:tcPr>
          <w:p w14:paraId="03EE85BA" w14:textId="22597BFE"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9.5</w:t>
            </w:r>
          </w:p>
        </w:tc>
      </w:tr>
      <w:tr w:rsidR="00926679" w:rsidRPr="00913E70" w14:paraId="19A7F16D" w14:textId="708CD090" w:rsidTr="00CF4D20">
        <w:trPr>
          <w:gridAfter w:val="1"/>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72DEA473"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2049</w:t>
            </w:r>
          </w:p>
        </w:tc>
        <w:tc>
          <w:tcPr>
            <w:tcW w:w="702" w:type="dxa"/>
            <w:noWrap/>
            <w:hideMark/>
          </w:tcPr>
          <w:p w14:paraId="6257C557"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568" w:type="dxa"/>
            <w:noWrap/>
            <w:hideMark/>
          </w:tcPr>
          <w:p w14:paraId="5C3A744B"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3.9</w:t>
            </w:r>
          </w:p>
        </w:tc>
        <w:tc>
          <w:tcPr>
            <w:tcW w:w="767" w:type="dxa"/>
            <w:noWrap/>
            <w:hideMark/>
          </w:tcPr>
          <w:p w14:paraId="498C4B58"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1.9</w:t>
            </w:r>
          </w:p>
        </w:tc>
        <w:tc>
          <w:tcPr>
            <w:tcW w:w="728" w:type="dxa"/>
            <w:noWrap/>
            <w:hideMark/>
          </w:tcPr>
          <w:p w14:paraId="2633509A"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6.0</w:t>
            </w:r>
          </w:p>
        </w:tc>
        <w:tc>
          <w:tcPr>
            <w:tcW w:w="873" w:type="dxa"/>
            <w:gridSpan w:val="2"/>
          </w:tcPr>
          <w:p w14:paraId="639B4363" w14:textId="77777777"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81" w:type="dxa"/>
          </w:tcPr>
          <w:p w14:paraId="567513B1" w14:textId="6891472F"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0.8418</w:t>
            </w:r>
          </w:p>
        </w:tc>
        <w:tc>
          <w:tcPr>
            <w:tcW w:w="805" w:type="dxa"/>
          </w:tcPr>
          <w:p w14:paraId="64814843" w14:textId="2864C26C"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0.0273</w:t>
            </w:r>
          </w:p>
        </w:tc>
        <w:tc>
          <w:tcPr>
            <w:tcW w:w="846" w:type="dxa"/>
          </w:tcPr>
          <w:p w14:paraId="18233C58" w14:textId="3C8375BD" w:rsidR="00926679" w:rsidRPr="00913E70"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1.6563</w:t>
            </w:r>
          </w:p>
        </w:tc>
        <w:tc>
          <w:tcPr>
            <w:tcW w:w="719" w:type="dxa"/>
            <w:gridSpan w:val="2"/>
          </w:tcPr>
          <w:p w14:paraId="1975A1E5" w14:textId="5DF6913E"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color w:val="000000"/>
                <w:sz w:val="20"/>
                <w:szCs w:val="20"/>
                <w:lang w:eastAsia="en-GB"/>
              </w:rPr>
              <w:t xml:space="preserve"> </w:t>
            </w:r>
          </w:p>
        </w:tc>
        <w:tc>
          <w:tcPr>
            <w:tcW w:w="749" w:type="dxa"/>
          </w:tcPr>
          <w:p w14:paraId="652A13A7" w14:textId="572EECC9"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7.1</w:t>
            </w:r>
          </w:p>
        </w:tc>
        <w:tc>
          <w:tcPr>
            <w:tcW w:w="767" w:type="dxa"/>
          </w:tcPr>
          <w:p w14:paraId="1A40EAE0" w14:textId="3E3EBF20"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4.7</w:t>
            </w:r>
          </w:p>
        </w:tc>
        <w:tc>
          <w:tcPr>
            <w:tcW w:w="766" w:type="dxa"/>
          </w:tcPr>
          <w:p w14:paraId="477F5ADB" w14:textId="0836FBE1" w:rsidR="00926679" w:rsidRPr="00583479" w:rsidRDefault="00926679" w:rsidP="00262AFD">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9.6</w:t>
            </w:r>
          </w:p>
        </w:tc>
      </w:tr>
      <w:tr w:rsidR="00926679" w:rsidRPr="00913E70" w14:paraId="5C7B4763" w14:textId="7BCD6855" w:rsidTr="00CF4D20">
        <w:trPr>
          <w:gridAfter w:val="1"/>
          <w:cnfStyle w:val="000000100000" w:firstRow="0" w:lastRow="0" w:firstColumn="0" w:lastColumn="0" w:oddVBand="0" w:evenVBand="0" w:oddHBand="1" w:evenHBand="0" w:firstRowFirstColumn="0" w:firstRowLastColumn="0" w:lastRowFirstColumn="0" w:lastRowLastColumn="0"/>
          <w:wAfter w:w="20" w:type="dxa"/>
          <w:trHeight w:val="20"/>
        </w:trPr>
        <w:tc>
          <w:tcPr>
            <w:cnfStyle w:val="001000000000" w:firstRow="0" w:lastRow="0" w:firstColumn="1" w:lastColumn="0" w:oddVBand="0" w:evenVBand="0" w:oddHBand="0" w:evenHBand="0" w:firstRowFirstColumn="0" w:firstRowLastColumn="0" w:lastRowFirstColumn="0" w:lastRowLastColumn="0"/>
            <w:tcW w:w="721" w:type="dxa"/>
            <w:noWrap/>
            <w:hideMark/>
          </w:tcPr>
          <w:p w14:paraId="5AE58F07" w14:textId="77777777" w:rsidR="00926679" w:rsidRPr="00913E70" w:rsidRDefault="00926679" w:rsidP="00262AFD">
            <w:pPr>
              <w:spacing w:before="0" w:after="0"/>
              <w:jc w:val="center"/>
              <w:rPr>
                <w:rFonts w:eastAsia="Times New Roman" w:cs="Arial"/>
                <w:sz w:val="20"/>
                <w:szCs w:val="20"/>
                <w:lang w:eastAsia="en-GB"/>
              </w:rPr>
            </w:pPr>
            <w:r w:rsidRPr="00913E70">
              <w:rPr>
                <w:rFonts w:eastAsia="Times New Roman" w:cs="Arial"/>
                <w:sz w:val="20"/>
                <w:szCs w:val="20"/>
                <w:lang w:eastAsia="en-GB"/>
              </w:rPr>
              <w:t>2050</w:t>
            </w:r>
          </w:p>
        </w:tc>
        <w:tc>
          <w:tcPr>
            <w:tcW w:w="702" w:type="dxa"/>
            <w:noWrap/>
            <w:hideMark/>
          </w:tcPr>
          <w:p w14:paraId="33ACF4BB"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568" w:type="dxa"/>
            <w:noWrap/>
            <w:hideMark/>
          </w:tcPr>
          <w:p w14:paraId="0D358713"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4.0</w:t>
            </w:r>
          </w:p>
        </w:tc>
        <w:tc>
          <w:tcPr>
            <w:tcW w:w="767" w:type="dxa"/>
            <w:noWrap/>
            <w:hideMark/>
          </w:tcPr>
          <w:p w14:paraId="598B8EE9"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1.9</w:t>
            </w:r>
          </w:p>
        </w:tc>
        <w:tc>
          <w:tcPr>
            <w:tcW w:w="728" w:type="dxa"/>
            <w:noWrap/>
            <w:hideMark/>
          </w:tcPr>
          <w:p w14:paraId="59F66486"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913E70">
              <w:rPr>
                <w:rFonts w:eastAsia="Times New Roman" w:cs="Arial"/>
                <w:sz w:val="20"/>
                <w:szCs w:val="20"/>
                <w:lang w:eastAsia="en-GB"/>
              </w:rPr>
              <w:t>6.1</w:t>
            </w:r>
          </w:p>
        </w:tc>
        <w:tc>
          <w:tcPr>
            <w:tcW w:w="873" w:type="dxa"/>
            <w:gridSpan w:val="2"/>
          </w:tcPr>
          <w:p w14:paraId="6ED7307F" w14:textId="77777777"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881" w:type="dxa"/>
          </w:tcPr>
          <w:p w14:paraId="506C7258" w14:textId="1A489899"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0.8433</w:t>
            </w:r>
          </w:p>
        </w:tc>
        <w:tc>
          <w:tcPr>
            <w:tcW w:w="805" w:type="dxa"/>
          </w:tcPr>
          <w:p w14:paraId="6B6B7DB2" w14:textId="6E12DD40"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0.0044</w:t>
            </w:r>
          </w:p>
        </w:tc>
        <w:tc>
          <w:tcPr>
            <w:tcW w:w="846" w:type="dxa"/>
          </w:tcPr>
          <w:p w14:paraId="0863C09D" w14:textId="64BEDEE0" w:rsidR="00926679" w:rsidRPr="00913E70"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583479">
              <w:rPr>
                <w:rFonts w:eastAsia="Times New Roman" w:cs="Arial"/>
                <w:sz w:val="20"/>
                <w:szCs w:val="20"/>
                <w:lang w:eastAsia="en-GB"/>
              </w:rPr>
              <w:t>1.6822</w:t>
            </w:r>
          </w:p>
        </w:tc>
        <w:tc>
          <w:tcPr>
            <w:tcW w:w="719" w:type="dxa"/>
            <w:gridSpan w:val="2"/>
          </w:tcPr>
          <w:p w14:paraId="6E77DBD6" w14:textId="77777777"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p>
        </w:tc>
        <w:tc>
          <w:tcPr>
            <w:tcW w:w="749" w:type="dxa"/>
          </w:tcPr>
          <w:p w14:paraId="122890D9" w14:textId="4069A4A1"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7.2</w:t>
            </w:r>
          </w:p>
        </w:tc>
        <w:tc>
          <w:tcPr>
            <w:tcW w:w="767" w:type="dxa"/>
          </w:tcPr>
          <w:p w14:paraId="394993FF" w14:textId="2FDD8FAD"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4.7</w:t>
            </w:r>
          </w:p>
        </w:tc>
        <w:tc>
          <w:tcPr>
            <w:tcW w:w="766" w:type="dxa"/>
          </w:tcPr>
          <w:p w14:paraId="56BF7C32" w14:textId="61DDBBDC" w:rsidR="00926679" w:rsidRPr="00583479" w:rsidRDefault="00926679" w:rsidP="00262AFD">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GB"/>
              </w:rPr>
            </w:pPr>
            <w:r w:rsidRPr="00BF45DF">
              <w:rPr>
                <w:rFonts w:eastAsia="Times New Roman" w:cs="Arial"/>
                <w:color w:val="000000"/>
                <w:sz w:val="20"/>
                <w:szCs w:val="20"/>
                <w:lang w:eastAsia="en-GB"/>
              </w:rPr>
              <w:t>9.7</w:t>
            </w:r>
          </w:p>
        </w:tc>
      </w:tr>
    </w:tbl>
    <w:bookmarkStart w:id="277" w:name="_Toc50359471"/>
    <w:bookmarkStart w:id="278" w:name="_Ref54882232"/>
    <w:p w14:paraId="6EFBF9B8" w14:textId="7B496DDD" w:rsidR="00DF4A25" w:rsidRDefault="00485073" w:rsidP="00DF4A25">
      <w:r>
        <w:fldChar w:fldCharType="begin"/>
      </w:r>
      <w:r>
        <w:instrText xml:space="preserve"> REF _Ref77882100 \h </w:instrText>
      </w:r>
      <w:r>
        <w:fldChar w:fldCharType="separate"/>
      </w:r>
      <w:r w:rsidR="00403A31">
        <w:t xml:space="preserve">Table </w:t>
      </w:r>
      <w:r w:rsidR="00403A31">
        <w:rPr>
          <w:noProof/>
        </w:rPr>
        <w:t>19</w:t>
      </w:r>
      <w:r>
        <w:fldChar w:fldCharType="end"/>
      </w:r>
      <w:r>
        <w:t xml:space="preserve"> shows low and high gas price projections used for the sensitivity analysis.</w:t>
      </w:r>
    </w:p>
    <w:p w14:paraId="0DEEBA84" w14:textId="65011063" w:rsidR="00DF4A25" w:rsidRDefault="00DF4A25" w:rsidP="00DF4A25">
      <w:pPr>
        <w:pStyle w:val="Caption"/>
        <w:keepNext/>
      </w:pPr>
      <w:bookmarkStart w:id="279" w:name="_Ref77882100"/>
      <w:r>
        <w:t xml:space="preserve">Table </w:t>
      </w:r>
      <w:fldSimple w:instr=" SEQ Table \* ARABIC ">
        <w:r w:rsidR="00403A31">
          <w:rPr>
            <w:noProof/>
          </w:rPr>
          <w:t>19</w:t>
        </w:r>
      </w:fldSimple>
      <w:bookmarkEnd w:id="279"/>
      <w:r w:rsidR="00485073">
        <w:t>:</w:t>
      </w:r>
      <w:r>
        <w:t xml:space="preserve"> Low and </w:t>
      </w:r>
      <w:r w:rsidR="00485073">
        <w:t>h</w:t>
      </w:r>
      <w:r>
        <w:t xml:space="preserve">igh gas price estimates </w:t>
      </w:r>
      <w:r>
        <w:fldChar w:fldCharType="begin"/>
      </w:r>
      <w:r>
        <w:instrText xml:space="preserve"> ADDIN EN.CITE &lt;EndNote&gt;&lt;Cite&gt;&lt;Author&gt;BEIS&lt;/Author&gt;&lt;Year&gt;2020&lt;/Year&gt;&lt;RecNum&gt;1035&lt;/RecNum&gt;&lt;DisplayText&gt;[46, 47]&lt;/DisplayText&gt;&lt;record&gt;&lt;rec-number&gt;1035&lt;/rec-number&gt;&lt;foreign-keys&gt;&lt;key app="EN" db-id="w500zpaaheraz8epaw1p29dtf2ff9zrswv50" timestamp="1607697901"&gt;1035&lt;/key&gt;&lt;/foreign-keys&gt;&lt;ref-type name="Web Page"&gt;12&lt;/ref-type&gt;&lt;contributors&gt;&lt;authors&gt;&lt;author&gt;BEIS&lt;/author&gt;&lt;/authors&gt;&lt;/contributors&gt;&lt;titles&gt;&lt;title&gt;Fossil fuel price assumptions&lt;/title&gt;&lt;/titles&gt;&lt;dates&gt;&lt;year&gt;2020&lt;/year&gt;&lt;/dates&gt;&lt;publisher&gt;Department for Business, Energy, and Industrial Strategy,&lt;/publisher&gt;&lt;urls&gt;&lt;related-urls&gt;&lt;url&gt;https://www.gov.uk/government/collections/fossil-fuel-price-assumptions&lt;/url&gt;&lt;/related-urls&gt;&lt;/urls&gt;&lt;/record&gt;&lt;/Cite&gt;&lt;Cite&gt;&lt;Author&gt;BEIS&lt;/Author&gt;&lt;Year&gt;2019&lt;/Year&gt;&lt;RecNum&gt;1032&lt;/RecNum&gt;&lt;record&gt;&lt;rec-number&gt;1032&lt;/rec-number&gt;&lt;foreign-keys&gt;&lt;key app="EN" db-id="w500zpaaheraz8epaw1p29dtf2ff9zrswv50" timestamp="1607697901"&gt;1032&lt;/key&gt;&lt;/foreign-keys&gt;&lt;ref-type name="Web Page"&gt;12&lt;/ref-type&gt;&lt;contributors&gt;&lt;authors&gt;&lt;author&gt;BEIS&lt;/author&gt;&lt;/authors&gt;&lt;/contributors&gt;&lt;titles&gt;&lt;title&gt;Updated energy and emissions projections 2018&lt;/title&gt;&lt;secondary-title&gt;The Energy White Paper&lt;/secondary-title&gt;&lt;/titles&gt;&lt;periodical&gt;&lt;full-title&gt;The Energy White Paper&lt;/full-title&gt;&lt;/periodical&gt;&lt;pages&gt;35-35&lt;/pages&gt;&lt;number&gt;April&lt;/number&gt;&lt;dates&gt;&lt;year&gt;2019&lt;/year&gt;&lt;/dates&gt;&lt;publisher&gt;Department for Business, Energy, and Industrial Strategy,&lt;/publisher&gt;&lt;isbn&gt;4473467467345&lt;/isbn&gt;&lt;urls&gt;&lt;related-urls&gt;&lt;url&gt;https://assets.publishing.service.gov.uk/government/uploads/system/uploads/attachment_data/file/794590/updated-energy-and-emissions-projections-2018.pdf%0Ahttps://www.gov.uk/government/uploads/system/uploads/attachment_data/file/239937/uep_2013.pdf&lt;/url&gt;&lt;/related-urls&gt;&lt;/urls&gt;&lt;/record&gt;&lt;/Cite&gt;&lt;/EndNote&gt;</w:instrText>
      </w:r>
      <w:r>
        <w:fldChar w:fldCharType="separate"/>
      </w:r>
      <w:r>
        <w:rPr>
          <w:noProof/>
        </w:rPr>
        <w:t>[</w:t>
      </w:r>
      <w:hyperlink w:anchor="_ENREF_46" w:tooltip="BEIS, 2020 #1035" w:history="1">
        <w:r w:rsidR="006210AE">
          <w:rPr>
            <w:noProof/>
          </w:rPr>
          <w:t>46</w:t>
        </w:r>
      </w:hyperlink>
      <w:r>
        <w:rPr>
          <w:noProof/>
        </w:rPr>
        <w:t xml:space="preserve">, </w:t>
      </w:r>
      <w:hyperlink w:anchor="_ENREF_47" w:tooltip="BEIS, 2019 #1032" w:history="1">
        <w:r w:rsidR="006210AE">
          <w:rPr>
            <w:noProof/>
          </w:rPr>
          <w:t>47</w:t>
        </w:r>
      </w:hyperlink>
      <w:r>
        <w:rPr>
          <w:noProof/>
        </w:rPr>
        <w:t>]</w:t>
      </w:r>
      <w:r>
        <w:fldChar w:fldCharType="end"/>
      </w:r>
      <w:r>
        <w:t>.</w:t>
      </w:r>
    </w:p>
    <w:tbl>
      <w:tblPr>
        <w:tblW w:w="3900" w:type="dxa"/>
        <w:jc w:val="center"/>
        <w:tblLook w:val="04A0" w:firstRow="1" w:lastRow="0" w:firstColumn="1" w:lastColumn="0" w:noHBand="0" w:noVBand="1"/>
      </w:tblPr>
      <w:tblGrid>
        <w:gridCol w:w="1300"/>
        <w:gridCol w:w="1300"/>
        <w:gridCol w:w="1300"/>
      </w:tblGrid>
      <w:tr w:rsidR="00DF4A25" w14:paraId="036871FF" w14:textId="77777777" w:rsidTr="00485073">
        <w:trPr>
          <w:trHeight w:val="320"/>
          <w:jc w:val="center"/>
        </w:trPr>
        <w:tc>
          <w:tcPr>
            <w:tcW w:w="1300" w:type="dxa"/>
            <w:tcBorders>
              <w:top w:val="single" w:sz="4" w:space="0" w:color="7F7F7F" w:themeColor="text1" w:themeTint="80"/>
              <w:bottom w:val="single" w:sz="4" w:space="0" w:color="7F7F7F" w:themeColor="text1" w:themeTint="80"/>
            </w:tcBorders>
            <w:shd w:val="clear" w:color="auto" w:fill="auto"/>
            <w:noWrap/>
            <w:vAlign w:val="bottom"/>
            <w:hideMark/>
          </w:tcPr>
          <w:p w14:paraId="1A760EA1" w14:textId="77777777" w:rsidR="00DF4A25" w:rsidRPr="00485073" w:rsidRDefault="00DF4A25" w:rsidP="00485073">
            <w:pPr>
              <w:spacing w:before="0" w:after="0" w:line="240" w:lineRule="auto"/>
              <w:jc w:val="right"/>
              <w:rPr>
                <w:rFonts w:eastAsia="Times New Roman" w:cs="Arial"/>
                <w:sz w:val="20"/>
                <w:szCs w:val="20"/>
                <w:lang w:eastAsia="en-GB"/>
              </w:rPr>
            </w:pPr>
          </w:p>
        </w:tc>
        <w:tc>
          <w:tcPr>
            <w:tcW w:w="1300" w:type="dxa"/>
            <w:tcBorders>
              <w:top w:val="single" w:sz="4" w:space="0" w:color="7F7F7F" w:themeColor="text1" w:themeTint="80"/>
              <w:bottom w:val="single" w:sz="4" w:space="0" w:color="7F7F7F" w:themeColor="text1" w:themeTint="80"/>
            </w:tcBorders>
            <w:shd w:val="clear" w:color="auto" w:fill="auto"/>
            <w:noWrap/>
            <w:vAlign w:val="bottom"/>
            <w:hideMark/>
          </w:tcPr>
          <w:p w14:paraId="3E1C0490" w14:textId="5DD1CA2C" w:rsidR="00DF4A25" w:rsidRPr="00485073" w:rsidRDefault="00DF4A25" w:rsidP="00485073">
            <w:pPr>
              <w:spacing w:before="0" w:after="0" w:line="240" w:lineRule="auto"/>
              <w:rPr>
                <w:rFonts w:eastAsia="Times New Roman" w:cs="Arial"/>
                <w:sz w:val="20"/>
                <w:szCs w:val="20"/>
                <w:lang w:eastAsia="en-GB"/>
              </w:rPr>
            </w:pPr>
            <w:r w:rsidRPr="00485073">
              <w:rPr>
                <w:rFonts w:eastAsia="Times New Roman" w:cs="Arial"/>
                <w:sz w:val="20"/>
                <w:szCs w:val="20"/>
                <w:lang w:eastAsia="en-GB"/>
              </w:rPr>
              <w:t>High</w:t>
            </w:r>
            <w:r w:rsidR="00485073">
              <w:rPr>
                <w:rFonts w:eastAsia="Times New Roman" w:cs="Arial"/>
                <w:sz w:val="20"/>
                <w:szCs w:val="20"/>
                <w:lang w:eastAsia="en-GB"/>
              </w:rPr>
              <w:t xml:space="preserve"> gas p</w:t>
            </w:r>
            <w:r w:rsidRPr="00485073">
              <w:rPr>
                <w:rFonts w:eastAsia="Times New Roman" w:cs="Arial"/>
                <w:sz w:val="20"/>
                <w:szCs w:val="20"/>
                <w:lang w:eastAsia="en-GB"/>
              </w:rPr>
              <w:t>rice (p/kWh)</w:t>
            </w:r>
          </w:p>
        </w:tc>
        <w:tc>
          <w:tcPr>
            <w:tcW w:w="1300" w:type="dxa"/>
            <w:tcBorders>
              <w:top w:val="single" w:sz="4" w:space="0" w:color="7F7F7F" w:themeColor="text1" w:themeTint="80"/>
              <w:bottom w:val="single" w:sz="4" w:space="0" w:color="7F7F7F" w:themeColor="text1" w:themeTint="80"/>
            </w:tcBorders>
            <w:shd w:val="clear" w:color="auto" w:fill="auto"/>
            <w:noWrap/>
            <w:vAlign w:val="bottom"/>
            <w:hideMark/>
          </w:tcPr>
          <w:p w14:paraId="53E7EC7E" w14:textId="663802EE" w:rsidR="00DF4A25" w:rsidRPr="00485073" w:rsidRDefault="00DF4A25" w:rsidP="00485073">
            <w:pPr>
              <w:spacing w:before="0" w:after="0" w:line="240" w:lineRule="auto"/>
              <w:rPr>
                <w:rFonts w:eastAsia="Times New Roman" w:cs="Arial"/>
                <w:sz w:val="20"/>
                <w:szCs w:val="20"/>
                <w:lang w:eastAsia="en-GB"/>
              </w:rPr>
            </w:pPr>
            <w:r w:rsidRPr="00485073">
              <w:rPr>
                <w:rFonts w:eastAsia="Times New Roman" w:cs="Arial"/>
                <w:sz w:val="20"/>
                <w:szCs w:val="20"/>
                <w:lang w:eastAsia="en-GB"/>
              </w:rPr>
              <w:t xml:space="preserve">Low </w:t>
            </w:r>
            <w:r w:rsidR="00485073">
              <w:rPr>
                <w:rFonts w:eastAsia="Times New Roman" w:cs="Arial"/>
                <w:sz w:val="20"/>
                <w:szCs w:val="20"/>
                <w:lang w:eastAsia="en-GB"/>
              </w:rPr>
              <w:t>gas p</w:t>
            </w:r>
            <w:r w:rsidRPr="00485073">
              <w:rPr>
                <w:rFonts w:eastAsia="Times New Roman" w:cs="Arial"/>
                <w:sz w:val="20"/>
                <w:szCs w:val="20"/>
                <w:lang w:eastAsia="en-GB"/>
              </w:rPr>
              <w:t>rice (p/kWh)</w:t>
            </w:r>
          </w:p>
        </w:tc>
      </w:tr>
      <w:tr w:rsidR="00DF4A25" w14:paraId="79BF0832" w14:textId="77777777" w:rsidTr="00485073">
        <w:trPr>
          <w:trHeight w:val="320"/>
          <w:jc w:val="center"/>
        </w:trPr>
        <w:tc>
          <w:tcPr>
            <w:tcW w:w="1300" w:type="dxa"/>
            <w:tcBorders>
              <w:top w:val="single" w:sz="4" w:space="0" w:color="7F7F7F" w:themeColor="text1" w:themeTint="80"/>
            </w:tcBorders>
            <w:shd w:val="clear" w:color="auto" w:fill="auto"/>
            <w:noWrap/>
            <w:vAlign w:val="bottom"/>
            <w:hideMark/>
          </w:tcPr>
          <w:p w14:paraId="58E9FD68"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2020</w:t>
            </w:r>
          </w:p>
        </w:tc>
        <w:tc>
          <w:tcPr>
            <w:tcW w:w="1300" w:type="dxa"/>
            <w:tcBorders>
              <w:top w:val="single" w:sz="4" w:space="0" w:color="7F7F7F" w:themeColor="text1" w:themeTint="80"/>
            </w:tcBorders>
            <w:shd w:val="clear" w:color="auto" w:fill="auto"/>
            <w:noWrap/>
            <w:vAlign w:val="bottom"/>
            <w:hideMark/>
          </w:tcPr>
          <w:p w14:paraId="23AB5A58"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3.3</w:t>
            </w:r>
          </w:p>
        </w:tc>
        <w:tc>
          <w:tcPr>
            <w:tcW w:w="1300" w:type="dxa"/>
            <w:tcBorders>
              <w:top w:val="single" w:sz="4" w:space="0" w:color="7F7F7F" w:themeColor="text1" w:themeTint="80"/>
            </w:tcBorders>
            <w:shd w:val="clear" w:color="auto" w:fill="auto"/>
            <w:noWrap/>
            <w:vAlign w:val="bottom"/>
            <w:hideMark/>
          </w:tcPr>
          <w:p w14:paraId="7FB5BA75"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1.9</w:t>
            </w:r>
          </w:p>
        </w:tc>
      </w:tr>
      <w:tr w:rsidR="00DF4A25" w14:paraId="1B4E8D38" w14:textId="77777777" w:rsidTr="00485073">
        <w:trPr>
          <w:trHeight w:val="320"/>
          <w:jc w:val="center"/>
        </w:trPr>
        <w:tc>
          <w:tcPr>
            <w:tcW w:w="1300" w:type="dxa"/>
            <w:shd w:val="clear" w:color="auto" w:fill="auto"/>
            <w:noWrap/>
            <w:vAlign w:val="bottom"/>
            <w:hideMark/>
          </w:tcPr>
          <w:p w14:paraId="30AA635F"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2025</w:t>
            </w:r>
          </w:p>
        </w:tc>
        <w:tc>
          <w:tcPr>
            <w:tcW w:w="1300" w:type="dxa"/>
            <w:shd w:val="clear" w:color="auto" w:fill="auto"/>
            <w:noWrap/>
            <w:vAlign w:val="bottom"/>
            <w:hideMark/>
          </w:tcPr>
          <w:p w14:paraId="13B2FB12"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3.6</w:t>
            </w:r>
          </w:p>
        </w:tc>
        <w:tc>
          <w:tcPr>
            <w:tcW w:w="1300" w:type="dxa"/>
            <w:shd w:val="clear" w:color="auto" w:fill="auto"/>
            <w:noWrap/>
            <w:vAlign w:val="bottom"/>
            <w:hideMark/>
          </w:tcPr>
          <w:p w14:paraId="5456A6EC"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2.1</w:t>
            </w:r>
          </w:p>
        </w:tc>
      </w:tr>
      <w:tr w:rsidR="00DF4A25" w14:paraId="6B235058" w14:textId="77777777" w:rsidTr="00485073">
        <w:trPr>
          <w:trHeight w:val="320"/>
          <w:jc w:val="center"/>
        </w:trPr>
        <w:tc>
          <w:tcPr>
            <w:tcW w:w="1300" w:type="dxa"/>
            <w:shd w:val="clear" w:color="auto" w:fill="auto"/>
            <w:noWrap/>
            <w:vAlign w:val="bottom"/>
            <w:hideMark/>
          </w:tcPr>
          <w:p w14:paraId="2F8C5CE2"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2030</w:t>
            </w:r>
          </w:p>
        </w:tc>
        <w:tc>
          <w:tcPr>
            <w:tcW w:w="1300" w:type="dxa"/>
            <w:shd w:val="clear" w:color="auto" w:fill="auto"/>
            <w:noWrap/>
            <w:vAlign w:val="bottom"/>
            <w:hideMark/>
          </w:tcPr>
          <w:p w14:paraId="36D42524"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3.7</w:t>
            </w:r>
          </w:p>
        </w:tc>
        <w:tc>
          <w:tcPr>
            <w:tcW w:w="1300" w:type="dxa"/>
            <w:shd w:val="clear" w:color="auto" w:fill="auto"/>
            <w:noWrap/>
            <w:vAlign w:val="bottom"/>
            <w:hideMark/>
          </w:tcPr>
          <w:p w14:paraId="03A1A428"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2.1</w:t>
            </w:r>
          </w:p>
        </w:tc>
      </w:tr>
      <w:tr w:rsidR="00DF4A25" w14:paraId="4D3F5D40" w14:textId="77777777" w:rsidTr="00485073">
        <w:trPr>
          <w:trHeight w:val="320"/>
          <w:jc w:val="center"/>
        </w:trPr>
        <w:tc>
          <w:tcPr>
            <w:tcW w:w="1300" w:type="dxa"/>
            <w:shd w:val="clear" w:color="auto" w:fill="auto"/>
            <w:noWrap/>
            <w:vAlign w:val="bottom"/>
            <w:hideMark/>
          </w:tcPr>
          <w:p w14:paraId="44CE3A8D"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2035</w:t>
            </w:r>
          </w:p>
        </w:tc>
        <w:tc>
          <w:tcPr>
            <w:tcW w:w="1300" w:type="dxa"/>
            <w:shd w:val="clear" w:color="auto" w:fill="auto"/>
            <w:noWrap/>
            <w:vAlign w:val="bottom"/>
            <w:hideMark/>
          </w:tcPr>
          <w:p w14:paraId="36A9135B"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3.7</w:t>
            </w:r>
          </w:p>
        </w:tc>
        <w:tc>
          <w:tcPr>
            <w:tcW w:w="1300" w:type="dxa"/>
            <w:shd w:val="clear" w:color="auto" w:fill="auto"/>
            <w:noWrap/>
            <w:vAlign w:val="bottom"/>
            <w:hideMark/>
          </w:tcPr>
          <w:p w14:paraId="0F5865A0"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2.1</w:t>
            </w:r>
          </w:p>
        </w:tc>
      </w:tr>
      <w:tr w:rsidR="00DF4A25" w14:paraId="49115BC8" w14:textId="77777777" w:rsidTr="00485073">
        <w:trPr>
          <w:trHeight w:val="320"/>
          <w:jc w:val="center"/>
        </w:trPr>
        <w:tc>
          <w:tcPr>
            <w:tcW w:w="1300" w:type="dxa"/>
            <w:shd w:val="clear" w:color="auto" w:fill="auto"/>
            <w:noWrap/>
            <w:vAlign w:val="bottom"/>
            <w:hideMark/>
          </w:tcPr>
          <w:p w14:paraId="12E94DF3"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2040</w:t>
            </w:r>
          </w:p>
        </w:tc>
        <w:tc>
          <w:tcPr>
            <w:tcW w:w="1300" w:type="dxa"/>
            <w:shd w:val="clear" w:color="auto" w:fill="auto"/>
            <w:noWrap/>
            <w:vAlign w:val="bottom"/>
            <w:hideMark/>
          </w:tcPr>
          <w:p w14:paraId="1B6013C2"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4.7</w:t>
            </w:r>
          </w:p>
        </w:tc>
        <w:tc>
          <w:tcPr>
            <w:tcW w:w="1300" w:type="dxa"/>
            <w:shd w:val="clear" w:color="auto" w:fill="auto"/>
            <w:noWrap/>
            <w:vAlign w:val="bottom"/>
            <w:hideMark/>
          </w:tcPr>
          <w:p w14:paraId="4FE2C0F5"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2.2</w:t>
            </w:r>
          </w:p>
        </w:tc>
      </w:tr>
      <w:tr w:rsidR="00DF4A25" w14:paraId="4DB90AEA" w14:textId="77777777" w:rsidTr="00485073">
        <w:trPr>
          <w:trHeight w:val="320"/>
          <w:jc w:val="center"/>
        </w:trPr>
        <w:tc>
          <w:tcPr>
            <w:tcW w:w="1300" w:type="dxa"/>
            <w:shd w:val="clear" w:color="auto" w:fill="auto"/>
            <w:noWrap/>
            <w:vAlign w:val="bottom"/>
            <w:hideMark/>
          </w:tcPr>
          <w:p w14:paraId="39FAED42"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2045</w:t>
            </w:r>
          </w:p>
        </w:tc>
        <w:tc>
          <w:tcPr>
            <w:tcW w:w="1300" w:type="dxa"/>
            <w:shd w:val="clear" w:color="auto" w:fill="auto"/>
            <w:noWrap/>
            <w:vAlign w:val="bottom"/>
            <w:hideMark/>
          </w:tcPr>
          <w:p w14:paraId="6A6CE281"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4.1</w:t>
            </w:r>
          </w:p>
        </w:tc>
        <w:tc>
          <w:tcPr>
            <w:tcW w:w="1300" w:type="dxa"/>
            <w:shd w:val="clear" w:color="auto" w:fill="auto"/>
            <w:noWrap/>
            <w:vAlign w:val="bottom"/>
            <w:hideMark/>
          </w:tcPr>
          <w:p w14:paraId="6E3A4D6C"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2.2</w:t>
            </w:r>
          </w:p>
        </w:tc>
      </w:tr>
      <w:tr w:rsidR="00DF4A25" w14:paraId="29843AF5" w14:textId="77777777" w:rsidTr="00485073">
        <w:trPr>
          <w:trHeight w:val="320"/>
          <w:jc w:val="center"/>
        </w:trPr>
        <w:tc>
          <w:tcPr>
            <w:tcW w:w="1300" w:type="dxa"/>
            <w:tcBorders>
              <w:bottom w:val="single" w:sz="4" w:space="0" w:color="7F7F7F" w:themeColor="text1" w:themeTint="80"/>
            </w:tcBorders>
            <w:shd w:val="clear" w:color="auto" w:fill="auto"/>
            <w:noWrap/>
            <w:vAlign w:val="bottom"/>
            <w:hideMark/>
          </w:tcPr>
          <w:p w14:paraId="4EE49563"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2050</w:t>
            </w:r>
          </w:p>
        </w:tc>
        <w:tc>
          <w:tcPr>
            <w:tcW w:w="1300" w:type="dxa"/>
            <w:tcBorders>
              <w:bottom w:val="single" w:sz="4" w:space="0" w:color="7F7F7F" w:themeColor="text1" w:themeTint="80"/>
            </w:tcBorders>
            <w:shd w:val="clear" w:color="auto" w:fill="auto"/>
            <w:noWrap/>
            <w:vAlign w:val="bottom"/>
            <w:hideMark/>
          </w:tcPr>
          <w:p w14:paraId="3243E3C3"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5.7</w:t>
            </w:r>
          </w:p>
        </w:tc>
        <w:tc>
          <w:tcPr>
            <w:tcW w:w="1300" w:type="dxa"/>
            <w:tcBorders>
              <w:bottom w:val="single" w:sz="4" w:space="0" w:color="7F7F7F" w:themeColor="text1" w:themeTint="80"/>
            </w:tcBorders>
            <w:shd w:val="clear" w:color="auto" w:fill="auto"/>
            <w:noWrap/>
            <w:vAlign w:val="bottom"/>
            <w:hideMark/>
          </w:tcPr>
          <w:p w14:paraId="71857FC9" w14:textId="77777777" w:rsidR="00DF4A25" w:rsidRPr="00485073" w:rsidRDefault="00DF4A25" w:rsidP="00485073">
            <w:pPr>
              <w:spacing w:before="0" w:after="0" w:line="240" w:lineRule="auto"/>
              <w:jc w:val="right"/>
              <w:rPr>
                <w:rFonts w:eastAsia="Times New Roman" w:cs="Arial"/>
                <w:sz w:val="20"/>
                <w:szCs w:val="20"/>
                <w:lang w:eastAsia="en-GB"/>
              </w:rPr>
            </w:pPr>
            <w:r w:rsidRPr="00485073">
              <w:rPr>
                <w:rFonts w:eastAsia="Times New Roman" w:cs="Arial"/>
                <w:sz w:val="20"/>
                <w:szCs w:val="20"/>
                <w:lang w:eastAsia="en-GB"/>
              </w:rPr>
              <w:t>2.3</w:t>
            </w:r>
          </w:p>
        </w:tc>
      </w:tr>
    </w:tbl>
    <w:p w14:paraId="73540E30" w14:textId="77777777" w:rsidR="00DF4A25" w:rsidRDefault="00DF4A25" w:rsidP="00DF4A25"/>
    <w:p w14:paraId="163F2904" w14:textId="6C2EF3B5" w:rsidR="008B216C" w:rsidRDefault="008B216C" w:rsidP="004C672D">
      <w:pPr>
        <w:pStyle w:val="Heading8"/>
      </w:pPr>
      <w:bookmarkStart w:id="280" w:name="_Ref78018523"/>
      <w:r>
        <w:lastRenderedPageBreak/>
        <w:t xml:space="preserve">Wind </w:t>
      </w:r>
      <w:r w:rsidR="004C672D">
        <w:t>c</w:t>
      </w:r>
      <w:r>
        <w:t xml:space="preserve">apacity </w:t>
      </w:r>
      <w:r w:rsidR="004C672D">
        <w:t>f</w:t>
      </w:r>
      <w:r>
        <w:t>actors</w:t>
      </w:r>
      <w:bookmarkEnd w:id="277"/>
      <w:r w:rsidR="004C672D">
        <w:t xml:space="preserve"> and land availability for wind turbines</w:t>
      </w:r>
      <w:bookmarkEnd w:id="278"/>
      <w:bookmarkEnd w:id="280"/>
    </w:p>
    <w:p w14:paraId="10153621" w14:textId="7109B03B" w:rsidR="008B216C" w:rsidRDefault="008B216C" w:rsidP="00836AC8">
      <w:pPr>
        <w:pStyle w:val="Caption"/>
        <w:keepNext/>
        <w:keepLines/>
        <w:widowControl w:val="0"/>
      </w:pPr>
      <w:bookmarkStart w:id="281" w:name="_Ref48760926"/>
      <w:bookmarkStart w:id="282" w:name="_Toc50359170"/>
      <w:r>
        <w:t xml:space="preserve">Table </w:t>
      </w:r>
      <w:fldSimple w:instr=" SEQ Table \* ARABIC ">
        <w:r w:rsidR="009D026A">
          <w:rPr>
            <w:noProof/>
          </w:rPr>
          <w:t>20</w:t>
        </w:r>
      </w:fldSimple>
      <w:bookmarkEnd w:id="281"/>
      <w:r w:rsidR="00CF4D20">
        <w:t>:</w:t>
      </w:r>
      <w:r>
        <w:t xml:space="preserve"> Wind capacity factors used in the model </w:t>
      </w:r>
      <w:r w:rsidR="00707911">
        <w:t>(</w:t>
      </w:r>
      <w:r w:rsidR="0045013B">
        <w:fldChar w:fldCharType="begin"/>
      </w:r>
      <w:r w:rsidR="003C7F9A">
        <w:instrText xml:space="preserve"> ADDIN EN.CITE &lt;EndNote&gt;&lt;Cite&gt;&lt;RecNum&gt;1075&lt;/RecNum&gt;&lt;DisplayText&gt;[48]&lt;/DisplayText&gt;&lt;record&gt;&lt;rec-number&gt;1075&lt;/rec-number&gt;&lt;foreign-keys&gt;&lt;key app="EN" db-id="w500zpaaheraz8epaw1p29dtf2ff9zrswv50" timestamp="1607697901"&gt;1075&lt;/key&gt;&lt;/foreign-keys&gt;&lt;ref-type name="Web Page"&gt;12&lt;/ref-type&gt;&lt;contributors&gt;&lt;/contributors&gt;&lt;titles&gt;&lt;title&gt;Renewables.ninja&lt;/title&gt;&lt;/titles&gt;&lt;dates&gt;&lt;/dates&gt;&lt;urls&gt;&lt;related-urls&gt;&lt;url&gt;https://www.renewables.ninja/&lt;/url&gt;&lt;/related-urls&gt;&lt;/urls&gt;&lt;/record&gt;&lt;/Cite&gt;&lt;/EndNote&gt;</w:instrText>
      </w:r>
      <w:r w:rsidR="0045013B">
        <w:fldChar w:fldCharType="separate"/>
      </w:r>
      <w:r w:rsidR="003C7F9A">
        <w:rPr>
          <w:noProof/>
        </w:rPr>
        <w:t>[</w:t>
      </w:r>
      <w:hyperlink w:anchor="_ENREF_48" w:tooltip=",  #1075" w:history="1">
        <w:r w:rsidR="006210AE">
          <w:rPr>
            <w:noProof/>
          </w:rPr>
          <w:t>48</w:t>
        </w:r>
      </w:hyperlink>
      <w:r w:rsidR="003C7F9A">
        <w:rPr>
          <w:noProof/>
        </w:rPr>
        <w:t>]</w:t>
      </w:r>
      <w:r w:rsidR="0045013B">
        <w:fldChar w:fldCharType="end"/>
      </w:r>
      <w:r>
        <w:t>; assuming a hub height of 80m, using a Vestas V90 2000 turbine model, with the MERRA-2 (global) 2019 dataset</w:t>
      </w:r>
      <w:r w:rsidR="00707911">
        <w:t>) and available land for onshore wind turbines within each zone</w:t>
      </w:r>
      <w:r>
        <w:t>.</w:t>
      </w:r>
      <w:bookmarkEnd w:id="282"/>
    </w:p>
    <w:tbl>
      <w:tblPr>
        <w:tblStyle w:val="PlainTable2"/>
        <w:tblW w:w="9164" w:type="dxa"/>
        <w:jc w:val="center"/>
        <w:tblLook w:val="04A0" w:firstRow="1" w:lastRow="0" w:firstColumn="1" w:lastColumn="0" w:noHBand="0" w:noVBand="1"/>
      </w:tblPr>
      <w:tblGrid>
        <w:gridCol w:w="3419"/>
        <w:gridCol w:w="897"/>
        <w:gridCol w:w="1496"/>
        <w:gridCol w:w="1843"/>
        <w:gridCol w:w="1273"/>
        <w:gridCol w:w="236"/>
      </w:tblGrid>
      <w:tr w:rsidR="009D026A" w:rsidRPr="00200928" w14:paraId="40A7F0AB" w14:textId="4867A09D" w:rsidTr="009D026A">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CA41E5" w14:textId="77777777" w:rsidR="009D026A" w:rsidRPr="00200928" w:rsidRDefault="009D026A" w:rsidP="009D026A">
            <w:pPr>
              <w:keepNext/>
              <w:keepLines/>
              <w:widowControl w:val="0"/>
              <w:spacing w:before="0" w:after="0"/>
              <w:jc w:val="center"/>
              <w:rPr>
                <w:rFonts w:eastAsia="Times New Roman" w:cs="Arial"/>
                <w:color w:val="000000"/>
                <w:sz w:val="20"/>
                <w:szCs w:val="20"/>
                <w:lang w:eastAsia="en-GB"/>
              </w:rPr>
            </w:pPr>
            <w:r w:rsidRPr="00200928">
              <w:rPr>
                <w:rFonts w:eastAsia="Times New Roman" w:cs="Arial"/>
                <w:color w:val="000000"/>
                <w:sz w:val="20"/>
                <w:szCs w:val="20"/>
                <w:lang w:eastAsia="en-GB"/>
              </w:rPr>
              <w:t>Name</w:t>
            </w:r>
          </w:p>
        </w:tc>
        <w:tc>
          <w:tcPr>
            <w:tcW w:w="897" w:type="dxa"/>
            <w:noWrap/>
            <w:vAlign w:val="center"/>
            <w:hideMark/>
          </w:tcPr>
          <w:p w14:paraId="224EA09F" w14:textId="77777777" w:rsidR="009D026A" w:rsidRPr="00200928" w:rsidRDefault="009D026A" w:rsidP="009D026A">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Zone Number</w:t>
            </w:r>
          </w:p>
        </w:tc>
        <w:tc>
          <w:tcPr>
            <w:tcW w:w="1496" w:type="dxa"/>
            <w:noWrap/>
            <w:vAlign w:val="center"/>
            <w:hideMark/>
          </w:tcPr>
          <w:p w14:paraId="3D74B09B" w14:textId="67AA604C" w:rsidR="009D026A" w:rsidRPr="00200928" w:rsidRDefault="009D026A" w:rsidP="009D026A">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 xml:space="preserve">Wind </w:t>
            </w:r>
            <w:r w:rsidRPr="00200928">
              <w:rPr>
                <w:rFonts w:eastAsia="Times New Roman" w:cs="Arial"/>
                <w:color w:val="000000"/>
                <w:sz w:val="20"/>
                <w:szCs w:val="20"/>
                <w:lang w:eastAsia="en-GB"/>
              </w:rPr>
              <w:t>Capacity Factor (%)</w:t>
            </w:r>
          </w:p>
        </w:tc>
        <w:tc>
          <w:tcPr>
            <w:tcW w:w="1843" w:type="dxa"/>
          </w:tcPr>
          <w:p w14:paraId="137AE3E1" w14:textId="0A14FF03" w:rsidR="009D026A" w:rsidRPr="009D026A" w:rsidRDefault="009D026A" w:rsidP="009D026A">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Solar PV Capacity Factor (%)</w:t>
            </w:r>
          </w:p>
        </w:tc>
        <w:tc>
          <w:tcPr>
            <w:tcW w:w="1273" w:type="dxa"/>
            <w:vAlign w:val="center"/>
          </w:tcPr>
          <w:p w14:paraId="299B270B" w14:textId="0075BC3D" w:rsidR="009D026A" w:rsidRPr="00200928" w:rsidRDefault="009D026A" w:rsidP="009D026A">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Area (km</w:t>
            </w:r>
            <w:r w:rsidRPr="00311658">
              <w:rPr>
                <w:rFonts w:eastAsia="Times New Roman" w:cstheme="minorHAnsi"/>
                <w:color w:val="000000"/>
                <w:sz w:val="20"/>
                <w:szCs w:val="20"/>
                <w:vertAlign w:val="superscript"/>
                <w:lang w:eastAsia="en-GB"/>
              </w:rPr>
              <w:t>2</w:t>
            </w:r>
            <w:r w:rsidRPr="00311658">
              <w:rPr>
                <w:rFonts w:eastAsia="Times New Roman" w:cstheme="minorHAnsi"/>
                <w:color w:val="000000"/>
                <w:sz w:val="20"/>
                <w:szCs w:val="20"/>
                <w:lang w:eastAsia="en-GB"/>
              </w:rPr>
              <w:t>)</w:t>
            </w:r>
          </w:p>
        </w:tc>
        <w:tc>
          <w:tcPr>
            <w:tcW w:w="236" w:type="dxa"/>
          </w:tcPr>
          <w:p w14:paraId="4A897FD3" w14:textId="4F5922DC" w:rsidR="009D026A" w:rsidRPr="00200928" w:rsidRDefault="009D026A" w:rsidP="009D026A">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6F903FC8" w14:textId="17F9A4DC" w:rsidTr="009D026A">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C8991B"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Bedfordshire and Hertfordshire</w:t>
            </w:r>
          </w:p>
        </w:tc>
        <w:tc>
          <w:tcPr>
            <w:tcW w:w="897" w:type="dxa"/>
            <w:noWrap/>
            <w:vAlign w:val="center"/>
            <w:hideMark/>
          </w:tcPr>
          <w:p w14:paraId="7BA65122"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w:t>
            </w:r>
          </w:p>
        </w:tc>
        <w:tc>
          <w:tcPr>
            <w:tcW w:w="1496" w:type="dxa"/>
            <w:noWrap/>
            <w:vAlign w:val="center"/>
            <w:hideMark/>
          </w:tcPr>
          <w:p w14:paraId="36838BA0"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34.4</w:t>
            </w:r>
          </w:p>
        </w:tc>
        <w:tc>
          <w:tcPr>
            <w:tcW w:w="1843" w:type="dxa"/>
            <w:vAlign w:val="bottom"/>
          </w:tcPr>
          <w:p w14:paraId="3FF5B484" w14:textId="6287C4D8"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w:t>
            </w:r>
          </w:p>
        </w:tc>
        <w:tc>
          <w:tcPr>
            <w:tcW w:w="1273" w:type="dxa"/>
            <w:vAlign w:val="center"/>
          </w:tcPr>
          <w:p w14:paraId="6221D0DE" w14:textId="3D7167E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74.49</w:t>
            </w:r>
          </w:p>
        </w:tc>
        <w:tc>
          <w:tcPr>
            <w:tcW w:w="236" w:type="dxa"/>
          </w:tcPr>
          <w:p w14:paraId="5F365247" w14:textId="403591A9"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049EE0D3" w14:textId="41FF5D23"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EBC083"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Berkshire, Buckinghamshire and Oxfordshire</w:t>
            </w:r>
          </w:p>
        </w:tc>
        <w:tc>
          <w:tcPr>
            <w:tcW w:w="897" w:type="dxa"/>
            <w:noWrap/>
            <w:vAlign w:val="center"/>
            <w:hideMark/>
          </w:tcPr>
          <w:p w14:paraId="6E4527F2"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w:t>
            </w:r>
          </w:p>
        </w:tc>
        <w:tc>
          <w:tcPr>
            <w:tcW w:w="1496" w:type="dxa"/>
            <w:noWrap/>
            <w:vAlign w:val="center"/>
            <w:hideMark/>
          </w:tcPr>
          <w:p w14:paraId="6E1A5E41"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34.6</w:t>
            </w:r>
          </w:p>
        </w:tc>
        <w:tc>
          <w:tcPr>
            <w:tcW w:w="1843" w:type="dxa"/>
            <w:vAlign w:val="bottom"/>
          </w:tcPr>
          <w:p w14:paraId="37D10D62" w14:textId="0D977980"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12.9</w:t>
            </w:r>
          </w:p>
        </w:tc>
        <w:tc>
          <w:tcPr>
            <w:tcW w:w="1273" w:type="dxa"/>
            <w:vAlign w:val="center"/>
          </w:tcPr>
          <w:p w14:paraId="06E97DA7" w14:textId="7216E7E5"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126.01</w:t>
            </w:r>
          </w:p>
        </w:tc>
        <w:tc>
          <w:tcPr>
            <w:tcW w:w="236" w:type="dxa"/>
          </w:tcPr>
          <w:p w14:paraId="7CA4DE67" w14:textId="4656B1A2"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48800CC5" w14:textId="5BF51BB0"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239FD8"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Cheshire</w:t>
            </w:r>
          </w:p>
        </w:tc>
        <w:tc>
          <w:tcPr>
            <w:tcW w:w="897" w:type="dxa"/>
            <w:noWrap/>
            <w:vAlign w:val="center"/>
            <w:hideMark/>
          </w:tcPr>
          <w:p w14:paraId="17B80D38"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w:t>
            </w:r>
          </w:p>
        </w:tc>
        <w:tc>
          <w:tcPr>
            <w:tcW w:w="1496" w:type="dxa"/>
            <w:noWrap/>
            <w:vAlign w:val="center"/>
            <w:hideMark/>
          </w:tcPr>
          <w:p w14:paraId="0ADFD877"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34.3</w:t>
            </w:r>
          </w:p>
        </w:tc>
        <w:tc>
          <w:tcPr>
            <w:tcW w:w="1843" w:type="dxa"/>
            <w:vAlign w:val="bottom"/>
          </w:tcPr>
          <w:p w14:paraId="67EE722F" w14:textId="071CCD9D"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12.1</w:t>
            </w:r>
          </w:p>
        </w:tc>
        <w:tc>
          <w:tcPr>
            <w:tcW w:w="1273" w:type="dxa"/>
            <w:vAlign w:val="center"/>
          </w:tcPr>
          <w:p w14:paraId="25BC748F" w14:textId="52B9CFD3"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120.29</w:t>
            </w:r>
          </w:p>
        </w:tc>
        <w:tc>
          <w:tcPr>
            <w:tcW w:w="236" w:type="dxa"/>
          </w:tcPr>
          <w:p w14:paraId="65341BF5" w14:textId="4686356D"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656AE79D" w14:textId="1B216ADC"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76BC9A"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Cornwall and Isles of Scilly</w:t>
            </w:r>
          </w:p>
        </w:tc>
        <w:tc>
          <w:tcPr>
            <w:tcW w:w="897" w:type="dxa"/>
            <w:noWrap/>
            <w:vAlign w:val="center"/>
            <w:hideMark/>
          </w:tcPr>
          <w:p w14:paraId="2D2E5463"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w:t>
            </w:r>
          </w:p>
        </w:tc>
        <w:tc>
          <w:tcPr>
            <w:tcW w:w="1496" w:type="dxa"/>
            <w:noWrap/>
            <w:vAlign w:val="center"/>
            <w:hideMark/>
          </w:tcPr>
          <w:p w14:paraId="656817EE"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50.8</w:t>
            </w:r>
          </w:p>
        </w:tc>
        <w:tc>
          <w:tcPr>
            <w:tcW w:w="1843" w:type="dxa"/>
            <w:vAlign w:val="bottom"/>
          </w:tcPr>
          <w:p w14:paraId="1CCD7D31" w14:textId="7708B6A8"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13.6</w:t>
            </w:r>
          </w:p>
        </w:tc>
        <w:tc>
          <w:tcPr>
            <w:tcW w:w="1273" w:type="dxa"/>
            <w:vAlign w:val="center"/>
          </w:tcPr>
          <w:p w14:paraId="5A7C44CC" w14:textId="292F3708"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111.05</w:t>
            </w:r>
          </w:p>
        </w:tc>
        <w:tc>
          <w:tcPr>
            <w:tcW w:w="236" w:type="dxa"/>
          </w:tcPr>
          <w:p w14:paraId="6C0D4021" w14:textId="49D0633F"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1449F986" w14:textId="53621365"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44704A"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Cumbria</w:t>
            </w:r>
          </w:p>
        </w:tc>
        <w:tc>
          <w:tcPr>
            <w:tcW w:w="897" w:type="dxa"/>
            <w:noWrap/>
            <w:vAlign w:val="center"/>
            <w:hideMark/>
          </w:tcPr>
          <w:p w14:paraId="4994A332"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5</w:t>
            </w:r>
          </w:p>
        </w:tc>
        <w:tc>
          <w:tcPr>
            <w:tcW w:w="1496" w:type="dxa"/>
            <w:noWrap/>
            <w:vAlign w:val="center"/>
            <w:hideMark/>
          </w:tcPr>
          <w:p w14:paraId="6645869C"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38.5</w:t>
            </w:r>
          </w:p>
        </w:tc>
        <w:tc>
          <w:tcPr>
            <w:tcW w:w="1843" w:type="dxa"/>
            <w:vAlign w:val="bottom"/>
          </w:tcPr>
          <w:p w14:paraId="03EEB372" w14:textId="245434D5"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11.6</w:t>
            </w:r>
          </w:p>
        </w:tc>
        <w:tc>
          <w:tcPr>
            <w:tcW w:w="1273" w:type="dxa"/>
            <w:vAlign w:val="center"/>
          </w:tcPr>
          <w:p w14:paraId="72F76F6D" w14:textId="3B35700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125.08</w:t>
            </w:r>
          </w:p>
        </w:tc>
        <w:tc>
          <w:tcPr>
            <w:tcW w:w="236" w:type="dxa"/>
          </w:tcPr>
          <w:p w14:paraId="748EE89F" w14:textId="6C6828F0"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67B6CF68" w14:textId="297F2149"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F63DE7"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Derbyshire and Nottinghamshire</w:t>
            </w:r>
          </w:p>
        </w:tc>
        <w:tc>
          <w:tcPr>
            <w:tcW w:w="897" w:type="dxa"/>
            <w:noWrap/>
            <w:vAlign w:val="center"/>
            <w:hideMark/>
          </w:tcPr>
          <w:p w14:paraId="25B1B7E9"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6</w:t>
            </w:r>
          </w:p>
        </w:tc>
        <w:tc>
          <w:tcPr>
            <w:tcW w:w="1496" w:type="dxa"/>
            <w:noWrap/>
            <w:vAlign w:val="center"/>
            <w:hideMark/>
          </w:tcPr>
          <w:p w14:paraId="2DE93C30"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34.5</w:t>
            </w:r>
          </w:p>
        </w:tc>
        <w:tc>
          <w:tcPr>
            <w:tcW w:w="1843" w:type="dxa"/>
            <w:vAlign w:val="bottom"/>
          </w:tcPr>
          <w:p w14:paraId="4098149A" w14:textId="4D7B9523"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12.3</w:t>
            </w:r>
          </w:p>
        </w:tc>
        <w:tc>
          <w:tcPr>
            <w:tcW w:w="1273" w:type="dxa"/>
            <w:vAlign w:val="center"/>
          </w:tcPr>
          <w:p w14:paraId="12400B7F" w14:textId="1DACA8D2"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159.12</w:t>
            </w:r>
          </w:p>
        </w:tc>
        <w:tc>
          <w:tcPr>
            <w:tcW w:w="236" w:type="dxa"/>
          </w:tcPr>
          <w:p w14:paraId="0D2CBB60" w14:textId="197AACB3"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599F4AEB" w14:textId="081CFACA"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3FBE0B"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Devon</w:t>
            </w:r>
          </w:p>
        </w:tc>
        <w:tc>
          <w:tcPr>
            <w:tcW w:w="897" w:type="dxa"/>
            <w:noWrap/>
            <w:vAlign w:val="center"/>
            <w:hideMark/>
          </w:tcPr>
          <w:p w14:paraId="076A901B"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7</w:t>
            </w:r>
          </w:p>
        </w:tc>
        <w:tc>
          <w:tcPr>
            <w:tcW w:w="1496" w:type="dxa"/>
            <w:noWrap/>
            <w:vAlign w:val="center"/>
            <w:hideMark/>
          </w:tcPr>
          <w:p w14:paraId="1E2702B3"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42.7</w:t>
            </w:r>
          </w:p>
        </w:tc>
        <w:tc>
          <w:tcPr>
            <w:tcW w:w="1843" w:type="dxa"/>
            <w:vAlign w:val="bottom"/>
          </w:tcPr>
          <w:p w14:paraId="348C54F9" w14:textId="19153DAD"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13.2</w:t>
            </w:r>
          </w:p>
        </w:tc>
        <w:tc>
          <w:tcPr>
            <w:tcW w:w="1273" w:type="dxa"/>
            <w:vAlign w:val="center"/>
          </w:tcPr>
          <w:p w14:paraId="0030640B" w14:textId="28435471"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133.26</w:t>
            </w:r>
          </w:p>
        </w:tc>
        <w:tc>
          <w:tcPr>
            <w:tcW w:w="236" w:type="dxa"/>
          </w:tcPr>
          <w:p w14:paraId="5ACDD19A" w14:textId="3E05D104"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6040CF4E" w14:textId="24EEDFF5"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09F48F"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Dorset and Somerset</w:t>
            </w:r>
          </w:p>
        </w:tc>
        <w:tc>
          <w:tcPr>
            <w:tcW w:w="897" w:type="dxa"/>
            <w:noWrap/>
            <w:vAlign w:val="center"/>
            <w:hideMark/>
          </w:tcPr>
          <w:p w14:paraId="4BF7EDF6"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8</w:t>
            </w:r>
          </w:p>
        </w:tc>
        <w:tc>
          <w:tcPr>
            <w:tcW w:w="1496" w:type="dxa"/>
            <w:noWrap/>
            <w:vAlign w:val="center"/>
            <w:hideMark/>
          </w:tcPr>
          <w:p w14:paraId="0170D24F"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38.1</w:t>
            </w:r>
          </w:p>
        </w:tc>
        <w:tc>
          <w:tcPr>
            <w:tcW w:w="1843" w:type="dxa"/>
            <w:vAlign w:val="bottom"/>
          </w:tcPr>
          <w:p w14:paraId="72DCD806" w14:textId="5EEBE725"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13.2</w:t>
            </w:r>
          </w:p>
        </w:tc>
        <w:tc>
          <w:tcPr>
            <w:tcW w:w="1273" w:type="dxa"/>
            <w:vAlign w:val="center"/>
          </w:tcPr>
          <w:p w14:paraId="0B9D354C" w14:textId="5C0235FC"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194.95</w:t>
            </w:r>
          </w:p>
        </w:tc>
        <w:tc>
          <w:tcPr>
            <w:tcW w:w="236" w:type="dxa"/>
          </w:tcPr>
          <w:p w14:paraId="7B1279C4" w14:textId="5B7AA873"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57FE3CB9" w14:textId="0ED64426"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5DBC6E"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East Anglia</w:t>
            </w:r>
          </w:p>
        </w:tc>
        <w:tc>
          <w:tcPr>
            <w:tcW w:w="897" w:type="dxa"/>
            <w:noWrap/>
            <w:vAlign w:val="center"/>
            <w:hideMark/>
          </w:tcPr>
          <w:p w14:paraId="741285C6"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9</w:t>
            </w:r>
          </w:p>
        </w:tc>
        <w:tc>
          <w:tcPr>
            <w:tcW w:w="1496" w:type="dxa"/>
            <w:noWrap/>
            <w:vAlign w:val="center"/>
            <w:hideMark/>
          </w:tcPr>
          <w:p w14:paraId="05A2F784"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38.4</w:t>
            </w:r>
          </w:p>
        </w:tc>
        <w:tc>
          <w:tcPr>
            <w:tcW w:w="1843" w:type="dxa"/>
            <w:vAlign w:val="bottom"/>
          </w:tcPr>
          <w:p w14:paraId="630F9D00" w14:textId="1B0F535B"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w:t>
            </w:r>
          </w:p>
        </w:tc>
        <w:tc>
          <w:tcPr>
            <w:tcW w:w="1273" w:type="dxa"/>
            <w:vAlign w:val="center"/>
          </w:tcPr>
          <w:p w14:paraId="4303108C" w14:textId="6C6C6DD2"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250.64</w:t>
            </w:r>
          </w:p>
        </w:tc>
        <w:tc>
          <w:tcPr>
            <w:tcW w:w="236" w:type="dxa"/>
          </w:tcPr>
          <w:p w14:paraId="4D0127AB" w14:textId="29126D9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404BAB80" w14:textId="405B97FF"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6C60C5"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East Wales</w:t>
            </w:r>
          </w:p>
        </w:tc>
        <w:tc>
          <w:tcPr>
            <w:tcW w:w="897" w:type="dxa"/>
            <w:noWrap/>
            <w:vAlign w:val="center"/>
            <w:hideMark/>
          </w:tcPr>
          <w:p w14:paraId="0BC93E0F"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10</w:t>
            </w:r>
          </w:p>
        </w:tc>
        <w:tc>
          <w:tcPr>
            <w:tcW w:w="1496" w:type="dxa"/>
            <w:noWrap/>
            <w:vAlign w:val="center"/>
            <w:hideMark/>
          </w:tcPr>
          <w:p w14:paraId="425E8CC8"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35</w:t>
            </w:r>
            <w:r>
              <w:rPr>
                <w:rFonts w:eastAsia="Times New Roman" w:cs="Arial"/>
                <w:color w:val="000000"/>
                <w:sz w:val="20"/>
                <w:szCs w:val="20"/>
                <w:lang w:eastAsia="en-GB"/>
              </w:rPr>
              <w:t>.0</w:t>
            </w:r>
          </w:p>
        </w:tc>
        <w:tc>
          <w:tcPr>
            <w:tcW w:w="1843" w:type="dxa"/>
            <w:vAlign w:val="bottom"/>
          </w:tcPr>
          <w:p w14:paraId="4B891DA0" w14:textId="35FD8687"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12.2</w:t>
            </w:r>
          </w:p>
        </w:tc>
        <w:tc>
          <w:tcPr>
            <w:tcW w:w="1273" w:type="dxa"/>
            <w:vAlign w:val="center"/>
          </w:tcPr>
          <w:p w14:paraId="4D0A0E39" w14:textId="122DFD7E"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242.90</w:t>
            </w:r>
          </w:p>
        </w:tc>
        <w:tc>
          <w:tcPr>
            <w:tcW w:w="236" w:type="dxa"/>
          </w:tcPr>
          <w:p w14:paraId="14E2F96A" w14:textId="679EAAC4"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7F91369E" w14:textId="628720F0"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FF14FC"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East Yorkshire</w:t>
            </w:r>
          </w:p>
        </w:tc>
        <w:tc>
          <w:tcPr>
            <w:tcW w:w="897" w:type="dxa"/>
            <w:noWrap/>
            <w:vAlign w:val="center"/>
            <w:hideMark/>
          </w:tcPr>
          <w:p w14:paraId="21D4C5F7"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11</w:t>
            </w:r>
          </w:p>
        </w:tc>
        <w:tc>
          <w:tcPr>
            <w:tcW w:w="1496" w:type="dxa"/>
            <w:noWrap/>
            <w:vAlign w:val="center"/>
            <w:hideMark/>
          </w:tcPr>
          <w:p w14:paraId="7ABB53F7"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39.2</w:t>
            </w:r>
          </w:p>
        </w:tc>
        <w:tc>
          <w:tcPr>
            <w:tcW w:w="1843" w:type="dxa"/>
            <w:vAlign w:val="bottom"/>
          </w:tcPr>
          <w:p w14:paraId="1CAD0D9E" w14:textId="5A1EB2EC"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12.3</w:t>
            </w:r>
          </w:p>
        </w:tc>
        <w:tc>
          <w:tcPr>
            <w:tcW w:w="1273" w:type="dxa"/>
            <w:vAlign w:val="center"/>
          </w:tcPr>
          <w:p w14:paraId="7BA0AB84" w14:textId="23E83F89"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35.57</w:t>
            </w:r>
          </w:p>
        </w:tc>
        <w:tc>
          <w:tcPr>
            <w:tcW w:w="236" w:type="dxa"/>
          </w:tcPr>
          <w:p w14:paraId="75077153" w14:textId="15D08590"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671487FA" w14:textId="39936AB3"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E95066"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Eastern Scotland</w:t>
            </w:r>
          </w:p>
        </w:tc>
        <w:tc>
          <w:tcPr>
            <w:tcW w:w="897" w:type="dxa"/>
            <w:noWrap/>
            <w:vAlign w:val="center"/>
            <w:hideMark/>
          </w:tcPr>
          <w:p w14:paraId="11BE1C6B"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12</w:t>
            </w:r>
          </w:p>
        </w:tc>
        <w:tc>
          <w:tcPr>
            <w:tcW w:w="1496" w:type="dxa"/>
            <w:noWrap/>
            <w:vAlign w:val="center"/>
            <w:hideMark/>
          </w:tcPr>
          <w:p w14:paraId="4554F3AA"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46.2</w:t>
            </w:r>
          </w:p>
        </w:tc>
        <w:tc>
          <w:tcPr>
            <w:tcW w:w="1843" w:type="dxa"/>
            <w:vAlign w:val="bottom"/>
          </w:tcPr>
          <w:p w14:paraId="5A4AF372" w14:textId="66C2E551"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11.4</w:t>
            </w:r>
          </w:p>
        </w:tc>
        <w:tc>
          <w:tcPr>
            <w:tcW w:w="1273" w:type="dxa"/>
            <w:vAlign w:val="center"/>
          </w:tcPr>
          <w:p w14:paraId="19330E25" w14:textId="0EF4FAFC"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328.20</w:t>
            </w:r>
          </w:p>
        </w:tc>
        <w:tc>
          <w:tcPr>
            <w:tcW w:w="236" w:type="dxa"/>
          </w:tcPr>
          <w:p w14:paraId="67711E15" w14:textId="5DE0EEB9"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5C7F2D83" w14:textId="799BE949"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B1616E"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Essex</w:t>
            </w:r>
          </w:p>
        </w:tc>
        <w:tc>
          <w:tcPr>
            <w:tcW w:w="897" w:type="dxa"/>
            <w:noWrap/>
            <w:vAlign w:val="center"/>
            <w:hideMark/>
          </w:tcPr>
          <w:p w14:paraId="44F38A1C"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13</w:t>
            </w:r>
          </w:p>
        </w:tc>
        <w:tc>
          <w:tcPr>
            <w:tcW w:w="1496" w:type="dxa"/>
            <w:noWrap/>
            <w:vAlign w:val="center"/>
            <w:hideMark/>
          </w:tcPr>
          <w:p w14:paraId="4E062325"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37.9</w:t>
            </w:r>
          </w:p>
        </w:tc>
        <w:tc>
          <w:tcPr>
            <w:tcW w:w="1843" w:type="dxa"/>
            <w:vAlign w:val="bottom"/>
          </w:tcPr>
          <w:p w14:paraId="7111665B" w14:textId="5DE44F9B"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13.2</w:t>
            </w:r>
          </w:p>
        </w:tc>
        <w:tc>
          <w:tcPr>
            <w:tcW w:w="1273" w:type="dxa"/>
            <w:vAlign w:val="center"/>
          </w:tcPr>
          <w:p w14:paraId="133CA3DD" w14:textId="194AF020"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69.18</w:t>
            </w:r>
          </w:p>
        </w:tc>
        <w:tc>
          <w:tcPr>
            <w:tcW w:w="236" w:type="dxa"/>
          </w:tcPr>
          <w:p w14:paraId="6D5197AB" w14:textId="56B25A3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29FCDC5A" w14:textId="6E346897"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01EA16"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Gloucestershire, Wiltshire and Bristol/Bath Area</w:t>
            </w:r>
          </w:p>
        </w:tc>
        <w:tc>
          <w:tcPr>
            <w:tcW w:w="897" w:type="dxa"/>
            <w:noWrap/>
            <w:vAlign w:val="center"/>
            <w:hideMark/>
          </w:tcPr>
          <w:p w14:paraId="627E0C41"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14</w:t>
            </w:r>
          </w:p>
        </w:tc>
        <w:tc>
          <w:tcPr>
            <w:tcW w:w="1496" w:type="dxa"/>
            <w:noWrap/>
            <w:vAlign w:val="center"/>
            <w:hideMark/>
          </w:tcPr>
          <w:p w14:paraId="18A917A5"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34.4</w:t>
            </w:r>
          </w:p>
        </w:tc>
        <w:tc>
          <w:tcPr>
            <w:tcW w:w="1843" w:type="dxa"/>
            <w:vAlign w:val="bottom"/>
          </w:tcPr>
          <w:p w14:paraId="1EF0600E" w14:textId="1ACEDED4"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12.8</w:t>
            </w:r>
          </w:p>
        </w:tc>
        <w:tc>
          <w:tcPr>
            <w:tcW w:w="1273" w:type="dxa"/>
            <w:vAlign w:val="center"/>
          </w:tcPr>
          <w:p w14:paraId="45DBBA96" w14:textId="4843AA81"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168.81</w:t>
            </w:r>
          </w:p>
        </w:tc>
        <w:tc>
          <w:tcPr>
            <w:tcW w:w="236" w:type="dxa"/>
          </w:tcPr>
          <w:p w14:paraId="6B9D513A" w14:textId="186716A0"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4A56C335" w14:textId="0D421F53"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9E2024"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Hampshire and Isle of Wight</w:t>
            </w:r>
          </w:p>
        </w:tc>
        <w:tc>
          <w:tcPr>
            <w:tcW w:w="897" w:type="dxa"/>
            <w:noWrap/>
            <w:vAlign w:val="center"/>
            <w:hideMark/>
          </w:tcPr>
          <w:p w14:paraId="2143EECE"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15</w:t>
            </w:r>
          </w:p>
        </w:tc>
        <w:tc>
          <w:tcPr>
            <w:tcW w:w="1496" w:type="dxa"/>
            <w:noWrap/>
            <w:vAlign w:val="center"/>
            <w:hideMark/>
          </w:tcPr>
          <w:p w14:paraId="462D13A0"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38.3</w:t>
            </w:r>
          </w:p>
        </w:tc>
        <w:tc>
          <w:tcPr>
            <w:tcW w:w="1843" w:type="dxa"/>
            <w:vAlign w:val="bottom"/>
          </w:tcPr>
          <w:p w14:paraId="057F69CE" w14:textId="0D47259D"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13.2</w:t>
            </w:r>
          </w:p>
        </w:tc>
        <w:tc>
          <w:tcPr>
            <w:tcW w:w="1273" w:type="dxa"/>
            <w:vAlign w:val="center"/>
          </w:tcPr>
          <w:p w14:paraId="0DE7B4ED" w14:textId="461AE65F"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62.03</w:t>
            </w:r>
          </w:p>
        </w:tc>
        <w:tc>
          <w:tcPr>
            <w:tcW w:w="236" w:type="dxa"/>
          </w:tcPr>
          <w:p w14:paraId="3CB8735E" w14:textId="1991EAC1"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11DBBDE3" w14:textId="0B2EAA2E"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8B992C"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Herefordshire, Worcestershire and Warwickshire</w:t>
            </w:r>
          </w:p>
        </w:tc>
        <w:tc>
          <w:tcPr>
            <w:tcW w:w="897" w:type="dxa"/>
            <w:noWrap/>
            <w:vAlign w:val="center"/>
            <w:hideMark/>
          </w:tcPr>
          <w:p w14:paraId="6F8033C7"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16</w:t>
            </w:r>
          </w:p>
        </w:tc>
        <w:tc>
          <w:tcPr>
            <w:tcW w:w="1496" w:type="dxa"/>
            <w:noWrap/>
            <w:vAlign w:val="center"/>
            <w:hideMark/>
          </w:tcPr>
          <w:p w14:paraId="244F50CE"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33.1</w:t>
            </w:r>
          </w:p>
        </w:tc>
        <w:tc>
          <w:tcPr>
            <w:tcW w:w="1843" w:type="dxa"/>
            <w:vAlign w:val="bottom"/>
          </w:tcPr>
          <w:p w14:paraId="2994B055" w14:textId="7D7AAD28"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12.5</w:t>
            </w:r>
          </w:p>
        </w:tc>
        <w:tc>
          <w:tcPr>
            <w:tcW w:w="1273" w:type="dxa"/>
            <w:vAlign w:val="center"/>
          </w:tcPr>
          <w:p w14:paraId="689E9F39" w14:textId="78FCAF8E"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154.04</w:t>
            </w:r>
          </w:p>
        </w:tc>
        <w:tc>
          <w:tcPr>
            <w:tcW w:w="236" w:type="dxa"/>
          </w:tcPr>
          <w:p w14:paraId="18434FB3" w14:textId="0D148E2A"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0C2799CE" w14:textId="69554736"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107925"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Highlands and Islands</w:t>
            </w:r>
          </w:p>
        </w:tc>
        <w:tc>
          <w:tcPr>
            <w:tcW w:w="897" w:type="dxa"/>
            <w:noWrap/>
            <w:vAlign w:val="center"/>
            <w:hideMark/>
          </w:tcPr>
          <w:p w14:paraId="31044574"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17</w:t>
            </w:r>
          </w:p>
        </w:tc>
        <w:tc>
          <w:tcPr>
            <w:tcW w:w="1496" w:type="dxa"/>
            <w:noWrap/>
            <w:vAlign w:val="center"/>
            <w:hideMark/>
          </w:tcPr>
          <w:p w14:paraId="0BE931C9"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37.1</w:t>
            </w:r>
          </w:p>
        </w:tc>
        <w:tc>
          <w:tcPr>
            <w:tcW w:w="1843" w:type="dxa"/>
            <w:vAlign w:val="bottom"/>
          </w:tcPr>
          <w:p w14:paraId="785555D2" w14:textId="6651CF6A"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10.2</w:t>
            </w:r>
          </w:p>
        </w:tc>
        <w:tc>
          <w:tcPr>
            <w:tcW w:w="1273" w:type="dxa"/>
            <w:vAlign w:val="center"/>
          </w:tcPr>
          <w:p w14:paraId="00EC092E" w14:textId="2970CCC1"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110.80</w:t>
            </w:r>
          </w:p>
        </w:tc>
        <w:tc>
          <w:tcPr>
            <w:tcW w:w="236" w:type="dxa"/>
          </w:tcPr>
          <w:p w14:paraId="0799E3DF" w14:textId="284F2FDD"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1D79AE57" w14:textId="35C7A227"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4426A3"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Kent</w:t>
            </w:r>
          </w:p>
        </w:tc>
        <w:tc>
          <w:tcPr>
            <w:tcW w:w="897" w:type="dxa"/>
            <w:noWrap/>
            <w:vAlign w:val="center"/>
            <w:hideMark/>
          </w:tcPr>
          <w:p w14:paraId="5F8B1AE6"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18</w:t>
            </w:r>
          </w:p>
        </w:tc>
        <w:tc>
          <w:tcPr>
            <w:tcW w:w="1496" w:type="dxa"/>
            <w:noWrap/>
            <w:vAlign w:val="center"/>
            <w:hideMark/>
          </w:tcPr>
          <w:p w14:paraId="7693C1AB"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42.2</w:t>
            </w:r>
          </w:p>
        </w:tc>
        <w:tc>
          <w:tcPr>
            <w:tcW w:w="1843" w:type="dxa"/>
            <w:vAlign w:val="bottom"/>
          </w:tcPr>
          <w:p w14:paraId="75E715D6" w14:textId="6B8F0752"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13.6</w:t>
            </w:r>
          </w:p>
        </w:tc>
        <w:tc>
          <w:tcPr>
            <w:tcW w:w="1273" w:type="dxa"/>
            <w:vAlign w:val="center"/>
          </w:tcPr>
          <w:p w14:paraId="0D1927D9" w14:textId="2C0DF5C3"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49.80</w:t>
            </w:r>
          </w:p>
        </w:tc>
        <w:tc>
          <w:tcPr>
            <w:tcW w:w="236" w:type="dxa"/>
          </w:tcPr>
          <w:p w14:paraId="46A4783A" w14:textId="7A28DFA8"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1D6852DE" w14:textId="2EA51C8B"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2204C3"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Lancashire</w:t>
            </w:r>
          </w:p>
        </w:tc>
        <w:tc>
          <w:tcPr>
            <w:tcW w:w="897" w:type="dxa"/>
            <w:noWrap/>
            <w:vAlign w:val="center"/>
            <w:hideMark/>
          </w:tcPr>
          <w:p w14:paraId="141D9FC8"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19</w:t>
            </w:r>
          </w:p>
        </w:tc>
        <w:tc>
          <w:tcPr>
            <w:tcW w:w="1496" w:type="dxa"/>
            <w:noWrap/>
            <w:vAlign w:val="center"/>
            <w:hideMark/>
          </w:tcPr>
          <w:p w14:paraId="4F87878F"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37.6</w:t>
            </w:r>
          </w:p>
        </w:tc>
        <w:tc>
          <w:tcPr>
            <w:tcW w:w="1843" w:type="dxa"/>
            <w:vAlign w:val="bottom"/>
          </w:tcPr>
          <w:p w14:paraId="014653D7" w14:textId="6918D19E"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11.9</w:t>
            </w:r>
          </w:p>
        </w:tc>
        <w:tc>
          <w:tcPr>
            <w:tcW w:w="1273" w:type="dxa"/>
            <w:vAlign w:val="center"/>
          </w:tcPr>
          <w:p w14:paraId="22EAF02F" w14:textId="636B6000"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60.15</w:t>
            </w:r>
          </w:p>
        </w:tc>
        <w:tc>
          <w:tcPr>
            <w:tcW w:w="236" w:type="dxa"/>
          </w:tcPr>
          <w:p w14:paraId="0F44C150" w14:textId="191A5992"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50B002FB" w14:textId="5BB8D21C"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3FC0ED"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Leicestershire, Rutland and Northamptonshire</w:t>
            </w:r>
          </w:p>
        </w:tc>
        <w:tc>
          <w:tcPr>
            <w:tcW w:w="897" w:type="dxa"/>
            <w:noWrap/>
            <w:vAlign w:val="center"/>
            <w:hideMark/>
          </w:tcPr>
          <w:p w14:paraId="16D9195E"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20</w:t>
            </w:r>
          </w:p>
        </w:tc>
        <w:tc>
          <w:tcPr>
            <w:tcW w:w="1496" w:type="dxa"/>
            <w:noWrap/>
            <w:vAlign w:val="center"/>
            <w:hideMark/>
          </w:tcPr>
          <w:p w14:paraId="21AEF9C0"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33.7</w:t>
            </w:r>
          </w:p>
        </w:tc>
        <w:tc>
          <w:tcPr>
            <w:tcW w:w="1843" w:type="dxa"/>
            <w:vAlign w:val="bottom"/>
          </w:tcPr>
          <w:p w14:paraId="7D6A5495" w14:textId="782E8BE9"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12.6</w:t>
            </w:r>
          </w:p>
        </w:tc>
        <w:tc>
          <w:tcPr>
            <w:tcW w:w="1273" w:type="dxa"/>
            <w:vAlign w:val="center"/>
          </w:tcPr>
          <w:p w14:paraId="52A329C8" w14:textId="4DD74C48"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155.45</w:t>
            </w:r>
          </w:p>
        </w:tc>
        <w:tc>
          <w:tcPr>
            <w:tcW w:w="236" w:type="dxa"/>
          </w:tcPr>
          <w:p w14:paraId="5C6150EA" w14:textId="2A0D131E"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49182B43" w14:textId="1C6A0B8F"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6F34EC"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Lincolnshire</w:t>
            </w:r>
          </w:p>
        </w:tc>
        <w:tc>
          <w:tcPr>
            <w:tcW w:w="897" w:type="dxa"/>
            <w:noWrap/>
            <w:vAlign w:val="center"/>
            <w:hideMark/>
          </w:tcPr>
          <w:p w14:paraId="444DFE20"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21</w:t>
            </w:r>
          </w:p>
        </w:tc>
        <w:tc>
          <w:tcPr>
            <w:tcW w:w="1496" w:type="dxa"/>
            <w:noWrap/>
            <w:vAlign w:val="center"/>
            <w:hideMark/>
          </w:tcPr>
          <w:p w14:paraId="7F1AFAE5"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37.2</w:t>
            </w:r>
          </w:p>
        </w:tc>
        <w:tc>
          <w:tcPr>
            <w:tcW w:w="1843" w:type="dxa"/>
            <w:vAlign w:val="bottom"/>
          </w:tcPr>
          <w:p w14:paraId="5B698E44" w14:textId="2CBA70F7"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12.4</w:t>
            </w:r>
          </w:p>
        </w:tc>
        <w:tc>
          <w:tcPr>
            <w:tcW w:w="1273" w:type="dxa"/>
            <w:vAlign w:val="center"/>
          </w:tcPr>
          <w:p w14:paraId="467BEF4E" w14:textId="3DBCA1C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119.70</w:t>
            </w:r>
          </w:p>
        </w:tc>
        <w:tc>
          <w:tcPr>
            <w:tcW w:w="236" w:type="dxa"/>
          </w:tcPr>
          <w:p w14:paraId="2B4A2BAA" w14:textId="5886CD39"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525F2CE6" w14:textId="5779F3DF"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407DC9"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London</w:t>
            </w:r>
          </w:p>
        </w:tc>
        <w:tc>
          <w:tcPr>
            <w:tcW w:w="897" w:type="dxa"/>
            <w:noWrap/>
            <w:vAlign w:val="center"/>
            <w:hideMark/>
          </w:tcPr>
          <w:p w14:paraId="282656B2"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22</w:t>
            </w:r>
          </w:p>
        </w:tc>
        <w:tc>
          <w:tcPr>
            <w:tcW w:w="1496" w:type="dxa"/>
            <w:noWrap/>
            <w:vAlign w:val="center"/>
            <w:hideMark/>
          </w:tcPr>
          <w:p w14:paraId="61D8B9DD"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36</w:t>
            </w:r>
            <w:r>
              <w:rPr>
                <w:rFonts w:eastAsia="Times New Roman" w:cs="Arial"/>
                <w:color w:val="000000"/>
                <w:sz w:val="20"/>
                <w:szCs w:val="20"/>
                <w:lang w:eastAsia="en-GB"/>
              </w:rPr>
              <w:t>.0</w:t>
            </w:r>
          </w:p>
        </w:tc>
        <w:tc>
          <w:tcPr>
            <w:tcW w:w="1843" w:type="dxa"/>
            <w:vAlign w:val="bottom"/>
          </w:tcPr>
          <w:p w14:paraId="03FD82CF" w14:textId="078C8F5F"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13.2</w:t>
            </w:r>
          </w:p>
        </w:tc>
        <w:tc>
          <w:tcPr>
            <w:tcW w:w="1273" w:type="dxa"/>
            <w:vAlign w:val="center"/>
          </w:tcPr>
          <w:p w14:paraId="3E49E3E2" w14:textId="43F944AB"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30.67</w:t>
            </w:r>
          </w:p>
        </w:tc>
        <w:tc>
          <w:tcPr>
            <w:tcW w:w="236" w:type="dxa"/>
          </w:tcPr>
          <w:p w14:paraId="7C8D870D" w14:textId="1B9856E2"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4B4D7FB7" w14:textId="5C830425"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4A56B0"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Manchester and Merseyside</w:t>
            </w:r>
          </w:p>
        </w:tc>
        <w:tc>
          <w:tcPr>
            <w:tcW w:w="897" w:type="dxa"/>
            <w:noWrap/>
            <w:vAlign w:val="center"/>
            <w:hideMark/>
          </w:tcPr>
          <w:p w14:paraId="46EC5D54"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23</w:t>
            </w:r>
          </w:p>
        </w:tc>
        <w:tc>
          <w:tcPr>
            <w:tcW w:w="1496" w:type="dxa"/>
            <w:noWrap/>
            <w:vAlign w:val="center"/>
            <w:hideMark/>
          </w:tcPr>
          <w:p w14:paraId="74C52C9D"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36</w:t>
            </w:r>
            <w:r>
              <w:rPr>
                <w:rFonts w:eastAsia="Times New Roman" w:cs="Arial"/>
                <w:color w:val="000000"/>
                <w:sz w:val="20"/>
                <w:szCs w:val="20"/>
                <w:lang w:eastAsia="en-GB"/>
              </w:rPr>
              <w:t>.0</w:t>
            </w:r>
          </w:p>
        </w:tc>
        <w:tc>
          <w:tcPr>
            <w:tcW w:w="1843" w:type="dxa"/>
            <w:vAlign w:val="bottom"/>
          </w:tcPr>
          <w:p w14:paraId="417D1B96" w14:textId="3664E89C"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w:t>
            </w:r>
          </w:p>
        </w:tc>
        <w:tc>
          <w:tcPr>
            <w:tcW w:w="1273" w:type="dxa"/>
            <w:vAlign w:val="center"/>
          </w:tcPr>
          <w:p w14:paraId="3BFEE472" w14:textId="51005D0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30.07</w:t>
            </w:r>
          </w:p>
        </w:tc>
        <w:tc>
          <w:tcPr>
            <w:tcW w:w="236" w:type="dxa"/>
          </w:tcPr>
          <w:p w14:paraId="2942D430" w14:textId="33B82F64"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510833E5" w14:textId="03D2F9A0"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2972E8"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North Eastern Scotland</w:t>
            </w:r>
          </w:p>
        </w:tc>
        <w:tc>
          <w:tcPr>
            <w:tcW w:w="897" w:type="dxa"/>
            <w:noWrap/>
            <w:vAlign w:val="center"/>
            <w:hideMark/>
          </w:tcPr>
          <w:p w14:paraId="0C2A2FE9"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24</w:t>
            </w:r>
          </w:p>
        </w:tc>
        <w:tc>
          <w:tcPr>
            <w:tcW w:w="1496" w:type="dxa"/>
            <w:noWrap/>
            <w:vAlign w:val="center"/>
            <w:hideMark/>
          </w:tcPr>
          <w:p w14:paraId="497CBA69"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42.7</w:t>
            </w:r>
          </w:p>
        </w:tc>
        <w:tc>
          <w:tcPr>
            <w:tcW w:w="1843" w:type="dxa"/>
            <w:vAlign w:val="bottom"/>
          </w:tcPr>
          <w:p w14:paraId="23FA7542" w14:textId="583C6BE2"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11.1</w:t>
            </w:r>
          </w:p>
        </w:tc>
        <w:tc>
          <w:tcPr>
            <w:tcW w:w="1273" w:type="dxa"/>
            <w:vAlign w:val="center"/>
          </w:tcPr>
          <w:p w14:paraId="4DDF4F86" w14:textId="5C2AF2A3"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140.19</w:t>
            </w:r>
          </w:p>
        </w:tc>
        <w:tc>
          <w:tcPr>
            <w:tcW w:w="236" w:type="dxa"/>
          </w:tcPr>
          <w:p w14:paraId="4FBF2DD7" w14:textId="3C8ED071"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4B791B1A" w14:textId="744E6C37"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BBCBA8"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North Yorkshire</w:t>
            </w:r>
          </w:p>
        </w:tc>
        <w:tc>
          <w:tcPr>
            <w:tcW w:w="897" w:type="dxa"/>
            <w:noWrap/>
            <w:vAlign w:val="center"/>
            <w:hideMark/>
          </w:tcPr>
          <w:p w14:paraId="3980C259"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25</w:t>
            </w:r>
          </w:p>
        </w:tc>
        <w:tc>
          <w:tcPr>
            <w:tcW w:w="1496" w:type="dxa"/>
            <w:noWrap/>
            <w:vAlign w:val="center"/>
            <w:hideMark/>
          </w:tcPr>
          <w:p w14:paraId="1BACB3C4"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36.8</w:t>
            </w:r>
          </w:p>
        </w:tc>
        <w:tc>
          <w:tcPr>
            <w:tcW w:w="1843" w:type="dxa"/>
            <w:vAlign w:val="bottom"/>
          </w:tcPr>
          <w:p w14:paraId="425ECDCF" w14:textId="21039452"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12.4</w:t>
            </w:r>
          </w:p>
        </w:tc>
        <w:tc>
          <w:tcPr>
            <w:tcW w:w="1273" w:type="dxa"/>
            <w:vAlign w:val="center"/>
          </w:tcPr>
          <w:p w14:paraId="4C8BF78E" w14:textId="254B60C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216.34</w:t>
            </w:r>
          </w:p>
        </w:tc>
        <w:tc>
          <w:tcPr>
            <w:tcW w:w="236" w:type="dxa"/>
          </w:tcPr>
          <w:p w14:paraId="7F9A7562" w14:textId="0AFAA4AB"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52375166" w14:textId="63963719"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11976E"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Northumberland and Tyne and Wear</w:t>
            </w:r>
          </w:p>
        </w:tc>
        <w:tc>
          <w:tcPr>
            <w:tcW w:w="897" w:type="dxa"/>
            <w:noWrap/>
            <w:vAlign w:val="center"/>
            <w:hideMark/>
          </w:tcPr>
          <w:p w14:paraId="3DEB086A"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26</w:t>
            </w:r>
          </w:p>
        </w:tc>
        <w:tc>
          <w:tcPr>
            <w:tcW w:w="1496" w:type="dxa"/>
            <w:noWrap/>
            <w:vAlign w:val="center"/>
            <w:hideMark/>
          </w:tcPr>
          <w:p w14:paraId="7CAE9FD9"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41.1</w:t>
            </w:r>
          </w:p>
        </w:tc>
        <w:tc>
          <w:tcPr>
            <w:tcW w:w="1843" w:type="dxa"/>
            <w:vAlign w:val="bottom"/>
          </w:tcPr>
          <w:p w14:paraId="0A4204E9" w14:textId="215DD1C0"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w:t>
            </w:r>
          </w:p>
        </w:tc>
        <w:tc>
          <w:tcPr>
            <w:tcW w:w="1273" w:type="dxa"/>
            <w:vAlign w:val="center"/>
          </w:tcPr>
          <w:p w14:paraId="426673B7" w14:textId="761626EB"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64.94</w:t>
            </w:r>
          </w:p>
        </w:tc>
        <w:tc>
          <w:tcPr>
            <w:tcW w:w="236" w:type="dxa"/>
          </w:tcPr>
          <w:p w14:paraId="14CC95B9" w14:textId="30A4EEB5"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179AE63F" w14:textId="0798934E"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3AA2C7"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Shropshire and Staffordshire</w:t>
            </w:r>
          </w:p>
        </w:tc>
        <w:tc>
          <w:tcPr>
            <w:tcW w:w="897" w:type="dxa"/>
            <w:noWrap/>
            <w:vAlign w:val="center"/>
            <w:hideMark/>
          </w:tcPr>
          <w:p w14:paraId="77837545"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27</w:t>
            </w:r>
          </w:p>
        </w:tc>
        <w:tc>
          <w:tcPr>
            <w:tcW w:w="1496" w:type="dxa"/>
            <w:noWrap/>
            <w:vAlign w:val="center"/>
            <w:hideMark/>
          </w:tcPr>
          <w:p w14:paraId="0936D520"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33.2</w:t>
            </w:r>
          </w:p>
        </w:tc>
        <w:tc>
          <w:tcPr>
            <w:tcW w:w="1843" w:type="dxa"/>
            <w:vAlign w:val="bottom"/>
          </w:tcPr>
          <w:p w14:paraId="55896AB0" w14:textId="274482ED"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12.3</w:t>
            </w:r>
          </w:p>
        </w:tc>
        <w:tc>
          <w:tcPr>
            <w:tcW w:w="1273" w:type="dxa"/>
            <w:vAlign w:val="center"/>
          </w:tcPr>
          <w:p w14:paraId="042E2335" w14:textId="0C740A7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234.38</w:t>
            </w:r>
          </w:p>
        </w:tc>
        <w:tc>
          <w:tcPr>
            <w:tcW w:w="236" w:type="dxa"/>
          </w:tcPr>
          <w:p w14:paraId="0357DA8D" w14:textId="6F7204C6"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55B4B62E" w14:textId="5C680413"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7FCC84"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South Western Scotland</w:t>
            </w:r>
          </w:p>
        </w:tc>
        <w:tc>
          <w:tcPr>
            <w:tcW w:w="897" w:type="dxa"/>
            <w:noWrap/>
            <w:vAlign w:val="center"/>
            <w:hideMark/>
          </w:tcPr>
          <w:p w14:paraId="3DD59E53"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28</w:t>
            </w:r>
          </w:p>
        </w:tc>
        <w:tc>
          <w:tcPr>
            <w:tcW w:w="1496" w:type="dxa"/>
            <w:noWrap/>
            <w:vAlign w:val="center"/>
            <w:hideMark/>
          </w:tcPr>
          <w:p w14:paraId="47279CBC"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40.8</w:t>
            </w:r>
          </w:p>
        </w:tc>
        <w:tc>
          <w:tcPr>
            <w:tcW w:w="1843" w:type="dxa"/>
            <w:vAlign w:val="bottom"/>
          </w:tcPr>
          <w:p w14:paraId="7FF7B114" w14:textId="0A5F7F37"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11.3</w:t>
            </w:r>
          </w:p>
        </w:tc>
        <w:tc>
          <w:tcPr>
            <w:tcW w:w="1273" w:type="dxa"/>
            <w:vAlign w:val="center"/>
          </w:tcPr>
          <w:p w14:paraId="7869D715" w14:textId="02D146AD"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210.21</w:t>
            </w:r>
          </w:p>
        </w:tc>
        <w:tc>
          <w:tcPr>
            <w:tcW w:w="236" w:type="dxa"/>
          </w:tcPr>
          <w:p w14:paraId="1D71373A" w14:textId="790964B8"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50534032" w14:textId="1B607C3F"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BDF368"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South Yorkshire</w:t>
            </w:r>
          </w:p>
        </w:tc>
        <w:tc>
          <w:tcPr>
            <w:tcW w:w="897" w:type="dxa"/>
            <w:noWrap/>
            <w:vAlign w:val="center"/>
            <w:hideMark/>
          </w:tcPr>
          <w:p w14:paraId="622F9773"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29</w:t>
            </w:r>
          </w:p>
        </w:tc>
        <w:tc>
          <w:tcPr>
            <w:tcW w:w="1496" w:type="dxa"/>
            <w:noWrap/>
            <w:vAlign w:val="center"/>
            <w:hideMark/>
          </w:tcPr>
          <w:p w14:paraId="56D1F93B"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35.5</w:t>
            </w:r>
          </w:p>
        </w:tc>
        <w:tc>
          <w:tcPr>
            <w:tcW w:w="1843" w:type="dxa"/>
            <w:vAlign w:val="bottom"/>
          </w:tcPr>
          <w:p w14:paraId="350973B0" w14:textId="0CA00E8A"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12.4</w:t>
            </w:r>
          </w:p>
        </w:tc>
        <w:tc>
          <w:tcPr>
            <w:tcW w:w="1273" w:type="dxa"/>
            <w:vAlign w:val="center"/>
          </w:tcPr>
          <w:p w14:paraId="6DF27666" w14:textId="228692DC"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35.57</w:t>
            </w:r>
          </w:p>
        </w:tc>
        <w:tc>
          <w:tcPr>
            <w:tcW w:w="236" w:type="dxa"/>
          </w:tcPr>
          <w:p w14:paraId="5F8B3DFF" w14:textId="0F6D44BB"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19BFCD85" w14:textId="7BD659EB"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D2B05B"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Surrey, East and West Sussex</w:t>
            </w:r>
          </w:p>
        </w:tc>
        <w:tc>
          <w:tcPr>
            <w:tcW w:w="897" w:type="dxa"/>
            <w:noWrap/>
            <w:vAlign w:val="center"/>
            <w:hideMark/>
          </w:tcPr>
          <w:p w14:paraId="41C46601"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30</w:t>
            </w:r>
          </w:p>
        </w:tc>
        <w:tc>
          <w:tcPr>
            <w:tcW w:w="1496" w:type="dxa"/>
            <w:noWrap/>
            <w:vAlign w:val="center"/>
            <w:hideMark/>
          </w:tcPr>
          <w:p w14:paraId="268A1120"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39.4</w:t>
            </w:r>
          </w:p>
        </w:tc>
        <w:tc>
          <w:tcPr>
            <w:tcW w:w="1843" w:type="dxa"/>
            <w:vAlign w:val="bottom"/>
          </w:tcPr>
          <w:p w14:paraId="34D6D39D" w14:textId="735A8864"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13.5</w:t>
            </w:r>
          </w:p>
        </w:tc>
        <w:tc>
          <w:tcPr>
            <w:tcW w:w="1273" w:type="dxa"/>
            <w:vAlign w:val="center"/>
          </w:tcPr>
          <w:p w14:paraId="034B9C59" w14:textId="25C15924"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85.78</w:t>
            </w:r>
          </w:p>
        </w:tc>
        <w:tc>
          <w:tcPr>
            <w:tcW w:w="236" w:type="dxa"/>
          </w:tcPr>
          <w:p w14:paraId="694476FE" w14:textId="09B5174D"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50885C5E" w14:textId="0295DA66"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3C396F"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Tees Valley and Durham</w:t>
            </w:r>
          </w:p>
        </w:tc>
        <w:tc>
          <w:tcPr>
            <w:tcW w:w="897" w:type="dxa"/>
            <w:noWrap/>
            <w:vAlign w:val="center"/>
            <w:hideMark/>
          </w:tcPr>
          <w:p w14:paraId="17745A87"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31</w:t>
            </w:r>
          </w:p>
        </w:tc>
        <w:tc>
          <w:tcPr>
            <w:tcW w:w="1496" w:type="dxa"/>
            <w:noWrap/>
            <w:vAlign w:val="center"/>
            <w:hideMark/>
          </w:tcPr>
          <w:p w14:paraId="65C1A29D"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38.8</w:t>
            </w:r>
          </w:p>
        </w:tc>
        <w:tc>
          <w:tcPr>
            <w:tcW w:w="1843" w:type="dxa"/>
            <w:vAlign w:val="bottom"/>
          </w:tcPr>
          <w:p w14:paraId="6103CEF3" w14:textId="732F505F"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12.9</w:t>
            </w:r>
          </w:p>
        </w:tc>
        <w:tc>
          <w:tcPr>
            <w:tcW w:w="1273" w:type="dxa"/>
            <w:vAlign w:val="center"/>
          </w:tcPr>
          <w:p w14:paraId="1ED6A87C" w14:textId="6F9CBAA5"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32.47</w:t>
            </w:r>
          </w:p>
        </w:tc>
        <w:tc>
          <w:tcPr>
            <w:tcW w:w="236" w:type="dxa"/>
          </w:tcPr>
          <w:p w14:paraId="49E832A7" w14:textId="06B9BEBA"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0E148D98" w14:textId="6BEC01F7"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4C5B3E"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West Midlands</w:t>
            </w:r>
          </w:p>
        </w:tc>
        <w:tc>
          <w:tcPr>
            <w:tcW w:w="897" w:type="dxa"/>
            <w:noWrap/>
            <w:vAlign w:val="center"/>
            <w:hideMark/>
          </w:tcPr>
          <w:p w14:paraId="7E550BDF"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32</w:t>
            </w:r>
          </w:p>
        </w:tc>
        <w:tc>
          <w:tcPr>
            <w:tcW w:w="1496" w:type="dxa"/>
            <w:noWrap/>
            <w:vAlign w:val="center"/>
            <w:hideMark/>
          </w:tcPr>
          <w:p w14:paraId="1FB56C9D" w14:textId="77777777"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33</w:t>
            </w:r>
            <w:r>
              <w:rPr>
                <w:rFonts w:eastAsia="Times New Roman" w:cs="Arial"/>
                <w:color w:val="000000"/>
                <w:sz w:val="20"/>
                <w:szCs w:val="20"/>
                <w:lang w:eastAsia="en-GB"/>
              </w:rPr>
              <w:t>.0</w:t>
            </w:r>
          </w:p>
        </w:tc>
        <w:tc>
          <w:tcPr>
            <w:tcW w:w="1843" w:type="dxa"/>
            <w:vAlign w:val="bottom"/>
          </w:tcPr>
          <w:p w14:paraId="7D63318D" w14:textId="792B4A03" w:rsidR="009D026A" w:rsidRPr="009D026A"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12.5</w:t>
            </w:r>
          </w:p>
        </w:tc>
        <w:tc>
          <w:tcPr>
            <w:tcW w:w="1273" w:type="dxa"/>
            <w:vAlign w:val="center"/>
          </w:tcPr>
          <w:p w14:paraId="275FE519" w14:textId="2D9806A4"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28.14</w:t>
            </w:r>
          </w:p>
        </w:tc>
        <w:tc>
          <w:tcPr>
            <w:tcW w:w="236" w:type="dxa"/>
          </w:tcPr>
          <w:p w14:paraId="581454A5" w14:textId="2C0A6F63" w:rsidR="009D026A" w:rsidRPr="00200928" w:rsidRDefault="009D026A" w:rsidP="009D026A">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r w:rsidR="009D026A" w:rsidRPr="00200928" w14:paraId="2E1AE24D" w14:textId="1F0017C8" w:rsidTr="009D026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88A96E" w14:textId="77777777" w:rsidR="009D026A" w:rsidRPr="00200928" w:rsidRDefault="009D026A" w:rsidP="009D026A">
            <w:pPr>
              <w:keepNext/>
              <w:keepLines/>
              <w:widowControl w:val="0"/>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West Wales and The Valleys</w:t>
            </w:r>
          </w:p>
        </w:tc>
        <w:tc>
          <w:tcPr>
            <w:tcW w:w="897" w:type="dxa"/>
            <w:noWrap/>
            <w:vAlign w:val="center"/>
            <w:hideMark/>
          </w:tcPr>
          <w:p w14:paraId="26D8B70E"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33</w:t>
            </w:r>
          </w:p>
        </w:tc>
        <w:tc>
          <w:tcPr>
            <w:tcW w:w="1496" w:type="dxa"/>
            <w:noWrap/>
            <w:vAlign w:val="center"/>
            <w:hideMark/>
          </w:tcPr>
          <w:p w14:paraId="62F3629C" w14:textId="77777777"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40.2</w:t>
            </w:r>
          </w:p>
        </w:tc>
        <w:tc>
          <w:tcPr>
            <w:tcW w:w="1843" w:type="dxa"/>
            <w:vAlign w:val="bottom"/>
          </w:tcPr>
          <w:p w14:paraId="460CEB09" w14:textId="0CC35EE3" w:rsidR="009D026A" w:rsidRPr="009D026A"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12.7</w:t>
            </w:r>
          </w:p>
        </w:tc>
        <w:tc>
          <w:tcPr>
            <w:tcW w:w="1273" w:type="dxa"/>
            <w:vAlign w:val="center"/>
          </w:tcPr>
          <w:p w14:paraId="73EBD4F7" w14:textId="04E57521"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212.83</w:t>
            </w:r>
          </w:p>
        </w:tc>
        <w:tc>
          <w:tcPr>
            <w:tcW w:w="236" w:type="dxa"/>
          </w:tcPr>
          <w:p w14:paraId="619D2554" w14:textId="24E4ADCA" w:rsidR="009D026A" w:rsidRPr="00200928" w:rsidRDefault="009D026A" w:rsidP="009D026A">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r>
      <w:tr w:rsidR="009D026A" w:rsidRPr="00200928" w14:paraId="6D374E8A" w14:textId="64ADE0E7" w:rsidTr="009D026A">
        <w:trPr>
          <w:trHeight w:val="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685F77" w14:textId="77777777" w:rsidR="009D026A" w:rsidRPr="00200928" w:rsidRDefault="009D026A" w:rsidP="009D026A">
            <w:pPr>
              <w:spacing w:before="0" w:after="0"/>
              <w:rPr>
                <w:rFonts w:eastAsia="Times New Roman" w:cs="Arial"/>
                <w:color w:val="000000"/>
                <w:sz w:val="20"/>
                <w:szCs w:val="20"/>
                <w:lang w:eastAsia="en-GB"/>
              </w:rPr>
            </w:pPr>
            <w:r w:rsidRPr="00200928">
              <w:rPr>
                <w:rFonts w:eastAsia="Times New Roman" w:cs="Arial"/>
                <w:color w:val="000000"/>
                <w:sz w:val="20"/>
                <w:szCs w:val="20"/>
                <w:lang w:eastAsia="en-GB"/>
              </w:rPr>
              <w:t>West Yorkshire</w:t>
            </w:r>
          </w:p>
        </w:tc>
        <w:tc>
          <w:tcPr>
            <w:tcW w:w="897" w:type="dxa"/>
            <w:noWrap/>
            <w:vAlign w:val="center"/>
            <w:hideMark/>
          </w:tcPr>
          <w:p w14:paraId="37233A9D" w14:textId="77777777" w:rsidR="009D026A" w:rsidRPr="00200928" w:rsidRDefault="009D026A" w:rsidP="009D026A">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34</w:t>
            </w:r>
          </w:p>
        </w:tc>
        <w:tc>
          <w:tcPr>
            <w:tcW w:w="1496" w:type="dxa"/>
            <w:noWrap/>
            <w:vAlign w:val="center"/>
            <w:hideMark/>
          </w:tcPr>
          <w:p w14:paraId="5D8C5F77" w14:textId="77777777" w:rsidR="009D026A" w:rsidRPr="00200928" w:rsidRDefault="009D026A" w:rsidP="009D026A">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00928">
              <w:rPr>
                <w:rFonts w:eastAsia="Times New Roman" w:cs="Arial"/>
                <w:color w:val="000000"/>
                <w:sz w:val="20"/>
                <w:szCs w:val="20"/>
                <w:lang w:eastAsia="en-GB"/>
              </w:rPr>
              <w:t>35.4</w:t>
            </w:r>
          </w:p>
        </w:tc>
        <w:tc>
          <w:tcPr>
            <w:tcW w:w="1843" w:type="dxa"/>
            <w:vAlign w:val="bottom"/>
          </w:tcPr>
          <w:p w14:paraId="68863851" w14:textId="3E1BDF71" w:rsidR="009D026A" w:rsidRPr="009D026A" w:rsidRDefault="009D026A" w:rsidP="009D026A">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9D026A">
              <w:rPr>
                <w:rFonts w:cstheme="minorHAnsi"/>
                <w:color w:val="000000"/>
                <w:sz w:val="20"/>
                <w:szCs w:val="20"/>
              </w:rPr>
              <w:t>12.3</w:t>
            </w:r>
          </w:p>
        </w:tc>
        <w:tc>
          <w:tcPr>
            <w:tcW w:w="1273" w:type="dxa"/>
            <w:vAlign w:val="center"/>
          </w:tcPr>
          <w:p w14:paraId="3379E91C" w14:textId="1AA6485C" w:rsidR="009D026A" w:rsidRPr="00200928" w:rsidRDefault="009D026A" w:rsidP="009D026A">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311658">
              <w:rPr>
                <w:rFonts w:eastAsia="Times New Roman" w:cstheme="minorHAnsi"/>
                <w:color w:val="000000"/>
                <w:sz w:val="20"/>
                <w:szCs w:val="20"/>
                <w:lang w:eastAsia="en-GB"/>
              </w:rPr>
              <w:t>35.57</w:t>
            </w:r>
          </w:p>
        </w:tc>
        <w:tc>
          <w:tcPr>
            <w:tcW w:w="236" w:type="dxa"/>
          </w:tcPr>
          <w:p w14:paraId="7D99F281" w14:textId="3956013A" w:rsidR="009D026A" w:rsidRPr="00200928" w:rsidRDefault="009D026A" w:rsidP="009D026A">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r>
    </w:tbl>
    <w:p w14:paraId="0A3FDCEE" w14:textId="57C61D01" w:rsidR="008B216C" w:rsidRDefault="008B216C" w:rsidP="00262AFD">
      <w:pPr>
        <w:pStyle w:val="Heading8"/>
      </w:pPr>
      <w:bookmarkStart w:id="283" w:name="_Toc50359473"/>
      <w:bookmarkStart w:id="284" w:name="_Ref54884182"/>
      <w:r>
        <w:t>Steam Methane Reforming Data</w:t>
      </w:r>
      <w:bookmarkEnd w:id="283"/>
      <w:bookmarkEnd w:id="284"/>
    </w:p>
    <w:p w14:paraId="42A0CB5C" w14:textId="1F9F030F" w:rsidR="008B216C" w:rsidRDefault="008B216C" w:rsidP="008B216C">
      <w:r>
        <w:t>The variable OPEX cost was calculated using the natural gas requirement of 1.355 kWh</w:t>
      </w:r>
      <w:r>
        <w:rPr>
          <w:vertAlign w:val="subscript"/>
        </w:rPr>
        <w:t>NG</w:t>
      </w:r>
      <w:r>
        <w:t>/kWh</w:t>
      </w:r>
      <w:r>
        <w:rPr>
          <w:vertAlign w:val="subscript"/>
        </w:rPr>
        <w:t>H2</w:t>
      </w:r>
      <w:r>
        <w:t xml:space="preserve"> for SMR</w:t>
      </w:r>
      <w:r w:rsidR="00EA31BD">
        <w:t>s</w:t>
      </w:r>
      <w:r w:rsidR="00E77EF8">
        <w:t xml:space="preserve"> </w:t>
      </w:r>
      <w:r w:rsidR="00E77EF8">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E77EF8">
        <w:fldChar w:fldCharType="separate"/>
      </w:r>
      <w:r w:rsidR="00434694">
        <w:rPr>
          <w:noProof/>
        </w:rPr>
        <w:t>[</w:t>
      </w:r>
      <w:hyperlink w:anchor="_ENREF_51" w:tooltip="Element Energy, 2018 #1018" w:history="1">
        <w:r w:rsidR="006210AE">
          <w:rPr>
            <w:noProof/>
          </w:rPr>
          <w:t>51</w:t>
        </w:r>
      </w:hyperlink>
      <w:r w:rsidR="00434694">
        <w:rPr>
          <w:noProof/>
        </w:rPr>
        <w:t>]</w:t>
      </w:r>
      <w:r w:rsidR="00E77EF8">
        <w:fldChar w:fldCharType="end"/>
      </w:r>
      <w:r w:rsidR="00EA31BD">
        <w:t>,</w:t>
      </w:r>
      <w:r>
        <w:t xml:space="preserve"> multiplied by natural gas prices shown in </w:t>
      </w:r>
      <w:r w:rsidR="00C26B6F">
        <w:fldChar w:fldCharType="begin"/>
      </w:r>
      <w:r w:rsidR="00C26B6F">
        <w:instrText xml:space="preserve"> REF _Ref47020001 \h </w:instrText>
      </w:r>
      <w:r w:rsidR="00C26B6F">
        <w:fldChar w:fldCharType="separate"/>
      </w:r>
      <w:r w:rsidR="00403A31">
        <w:t xml:space="preserve">Table </w:t>
      </w:r>
      <w:r w:rsidR="00403A31">
        <w:rPr>
          <w:noProof/>
        </w:rPr>
        <w:t>18</w:t>
      </w:r>
      <w:r w:rsidR="00C26B6F">
        <w:fldChar w:fldCharType="end"/>
      </w:r>
      <w:r w:rsidR="00803BB1">
        <w:t>,</w:t>
      </w:r>
      <w:r w:rsidR="00C26B6F">
        <w:t xml:space="preserve"> </w:t>
      </w:r>
      <w:r>
        <w:t>plus the variable OPEX for SMR</w:t>
      </w:r>
      <w:r w:rsidR="00EA31BD">
        <w:t>s</w:t>
      </w:r>
      <w:r>
        <w:t xml:space="preserve"> </w:t>
      </w:r>
      <w:r w:rsidR="00C26B6F">
        <w:t>of 0.00013 £/kWh</w:t>
      </w:r>
      <w:r w:rsidR="00C26B6F">
        <w:rPr>
          <w:vertAlign w:val="subscript"/>
        </w:rPr>
        <w:t>H2</w:t>
      </w:r>
      <w:r>
        <w:t xml:space="preserve"> </w:t>
      </w:r>
      <w:r w:rsidR="00E77EF8">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E77EF8">
        <w:fldChar w:fldCharType="separate"/>
      </w:r>
      <w:r w:rsidR="00434694">
        <w:rPr>
          <w:noProof/>
        </w:rPr>
        <w:t>[</w:t>
      </w:r>
      <w:hyperlink w:anchor="_ENREF_51" w:tooltip="Element Energy, 2018 #1018" w:history="1">
        <w:r w:rsidR="006210AE">
          <w:rPr>
            <w:noProof/>
          </w:rPr>
          <w:t>51</w:t>
        </w:r>
      </w:hyperlink>
      <w:r w:rsidR="00434694">
        <w:rPr>
          <w:noProof/>
        </w:rPr>
        <w:t>]</w:t>
      </w:r>
      <w:r w:rsidR="00E77EF8">
        <w:fldChar w:fldCharType="end"/>
      </w:r>
      <w:r w:rsidR="00C26B6F">
        <w:t>.</w:t>
      </w:r>
      <w:r>
        <w:t xml:space="preserve"> Equation </w:t>
      </w:r>
      <w:r w:rsidR="00CF4D20">
        <w:t>(C.2)</w:t>
      </w:r>
      <w:r>
        <w:t xml:space="preserve"> shows an example of calculating the variable OPEX in 2020.</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8B216C" w14:paraId="36A3EC50" w14:textId="77777777" w:rsidTr="008B216C">
        <w:tc>
          <w:tcPr>
            <w:tcW w:w="250" w:type="pct"/>
            <w:shd w:val="clear" w:color="auto" w:fill="auto"/>
          </w:tcPr>
          <w:p w14:paraId="2DA66D20" w14:textId="77777777" w:rsidR="008B216C" w:rsidRDefault="008B216C" w:rsidP="008B216C"/>
        </w:tc>
        <w:tc>
          <w:tcPr>
            <w:tcW w:w="4500" w:type="pct"/>
            <w:shd w:val="clear" w:color="auto" w:fill="auto"/>
            <w:vAlign w:val="center"/>
          </w:tcPr>
          <w:p w14:paraId="64B54342" w14:textId="125F13B2" w:rsidR="008B216C" w:rsidRDefault="008B216C" w:rsidP="008B216C">
            <w:pPr>
              <w:jc w:val="center"/>
            </w:pPr>
            <m:oMathPara>
              <m:oMath>
                <m:r>
                  <w:rPr>
                    <w:rFonts w:ascii="Cambria Math" w:hAnsi="Cambria Math"/>
                  </w:rPr>
                  <m:t>Variable OPE</m:t>
                </m:r>
                <m:sSub>
                  <m:sSubPr>
                    <m:ctrlPr>
                      <w:rPr>
                        <w:rFonts w:ascii="Cambria Math" w:hAnsi="Cambria Math"/>
                        <w:i/>
                      </w:rPr>
                    </m:ctrlPr>
                  </m:sSubPr>
                  <m:e>
                    <m:r>
                      <w:rPr>
                        <w:rFonts w:ascii="Cambria Math" w:hAnsi="Cambria Math"/>
                      </w:rPr>
                      <m:t>X</m:t>
                    </m:r>
                  </m:e>
                  <m:sub>
                    <m:r>
                      <w:rPr>
                        <w:rFonts w:ascii="Cambria Math" w:hAnsi="Cambria Math"/>
                      </w:rPr>
                      <m:t>2020</m:t>
                    </m:r>
                  </m:sub>
                </m:sSub>
                <m:r>
                  <w:rPr>
                    <w:rFonts w:ascii="Cambria Math" w:hAnsi="Cambria Math"/>
                  </w:rPr>
                  <m:t>=</m:t>
                </m:r>
                <m:d>
                  <m:dPr>
                    <m:begChr m:val="["/>
                    <m:endChr m:val="]"/>
                    <m:ctrlPr>
                      <w:rPr>
                        <w:rFonts w:ascii="Cambria Math" w:hAnsi="Cambria Math"/>
                        <w:i/>
                      </w:rPr>
                    </m:ctrlPr>
                  </m:dPr>
                  <m:e>
                    <m:r>
                      <w:rPr>
                        <w:rFonts w:ascii="Cambria Math" w:hAnsi="Cambria Math"/>
                      </w:rPr>
                      <m:t>1.355</m:t>
                    </m:r>
                    <m:d>
                      <m:dPr>
                        <m:ctrlPr>
                          <w:rPr>
                            <w:rFonts w:ascii="Cambria Math" w:hAnsi="Cambria Math"/>
                            <w:i/>
                          </w:rPr>
                        </m:ctrlPr>
                      </m:dPr>
                      <m:e>
                        <m:r>
                          <w:rPr>
                            <w:rFonts w:ascii="Cambria Math" w:hAnsi="Cambria Math"/>
                          </w:rPr>
                          <m:t>kW</m:t>
                        </m:r>
                        <m:sSub>
                          <m:sSubPr>
                            <m:ctrlPr>
                              <w:rPr>
                                <w:rFonts w:ascii="Cambria Math" w:hAnsi="Cambria Math"/>
                                <w:i/>
                              </w:rPr>
                            </m:ctrlPr>
                          </m:sSubPr>
                          <m:e>
                            <m:r>
                              <w:rPr>
                                <w:rFonts w:ascii="Cambria Math" w:hAnsi="Cambria Math"/>
                              </w:rPr>
                              <m:t>h</m:t>
                            </m:r>
                          </m:e>
                          <m:sub>
                            <m:r>
                              <w:rPr>
                                <w:rFonts w:ascii="Cambria Math" w:hAnsi="Cambria Math"/>
                              </w:rPr>
                              <m:t>NG</m:t>
                            </m:r>
                          </m:sub>
                        </m:sSub>
                      </m:e>
                    </m:d>
                    <m:r>
                      <w:rPr>
                        <w:rFonts w:ascii="Cambria Math" w:hAnsi="Cambria Math"/>
                      </w:rPr>
                      <m:t>⋅0.02357</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m:t>
                            </m:r>
                            <m:sSub>
                              <m:sSubPr>
                                <m:ctrlPr>
                                  <w:rPr>
                                    <w:rFonts w:ascii="Cambria Math" w:hAnsi="Cambria Math"/>
                                    <w:i/>
                                  </w:rPr>
                                </m:ctrlPr>
                              </m:sSubPr>
                              <m:e>
                                <m:r>
                                  <w:rPr>
                                    <w:rFonts w:ascii="Cambria Math" w:hAnsi="Cambria Math"/>
                                  </w:rPr>
                                  <m:t>h</m:t>
                                </m:r>
                              </m:e>
                              <m:sub>
                                <m:r>
                                  <w:rPr>
                                    <w:rFonts w:ascii="Cambria Math" w:hAnsi="Cambria Math"/>
                                  </w:rPr>
                                  <m:t>NG</m:t>
                                </m:r>
                              </m:sub>
                            </m:sSub>
                          </m:den>
                        </m:f>
                      </m:e>
                    </m:d>
                    <m:ctrlPr>
                      <w:rPr>
                        <w:rFonts w:ascii="Cambria Math" w:eastAsiaTheme="minorEastAsia" w:hAnsi="Cambria Math"/>
                        <w:i/>
                      </w:rPr>
                    </m:ctrlPr>
                  </m:e>
                </m:d>
                <m:r>
                  <w:rPr>
                    <w:rFonts w:ascii="Cambria Math" w:eastAsiaTheme="minorEastAsia" w:hAnsi="Cambria Math"/>
                  </w:rPr>
                  <m:t>+0.00013</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H2</m:t>
                            </m:r>
                          </m:sub>
                        </m:sSub>
                      </m:den>
                    </m:f>
                  </m:e>
                </m:d>
                <m:r>
                  <w:rPr>
                    <w:rFonts w:ascii="Cambria Math" w:eastAsiaTheme="minorEastAsia" w:hAnsi="Cambria Math"/>
                  </w:rPr>
                  <m:t xml:space="preserve">=0.032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H2</m:t>
                            </m:r>
                          </m:sub>
                        </m:sSub>
                      </m:den>
                    </m:f>
                  </m:e>
                </m:d>
              </m:oMath>
            </m:oMathPara>
          </w:p>
        </w:tc>
        <w:tc>
          <w:tcPr>
            <w:tcW w:w="250" w:type="pct"/>
            <w:shd w:val="clear" w:color="auto" w:fill="auto"/>
            <w:vAlign w:val="center"/>
          </w:tcPr>
          <w:p w14:paraId="18E224A1" w14:textId="50719600" w:rsidR="008B216C" w:rsidRPr="00BF2BA0" w:rsidRDefault="008B216C" w:rsidP="008B216C">
            <w:pPr>
              <w:jc w:val="center"/>
            </w:pPr>
            <w:bookmarkStart w:id="285" w:name="_Ref48764975"/>
            <w:r w:rsidRPr="00BF2BA0">
              <w:t>(</w:t>
            </w:r>
            <w:r w:rsidR="001C1DD0">
              <w:t>C.2</w:t>
            </w:r>
            <w:r w:rsidRPr="00BF2BA0">
              <w:t>)</w:t>
            </w:r>
            <w:bookmarkEnd w:id="285"/>
          </w:p>
        </w:tc>
      </w:tr>
    </w:tbl>
    <w:p w14:paraId="7878E72F" w14:textId="12ED5EFC" w:rsidR="008B216C" w:rsidRDefault="008B216C" w:rsidP="008B216C">
      <w:pPr>
        <w:pStyle w:val="Heading8"/>
      </w:pPr>
      <w:bookmarkStart w:id="286" w:name="_Toc50359474"/>
      <w:bookmarkStart w:id="287" w:name="_Ref54884185"/>
      <w:r>
        <w:t xml:space="preserve">Electrolysis </w:t>
      </w:r>
      <w:r w:rsidR="006D14A5">
        <w:t>p</w:t>
      </w:r>
      <w:r>
        <w:t xml:space="preserve">roduction </w:t>
      </w:r>
      <w:r w:rsidR="006D14A5">
        <w:t>d</w:t>
      </w:r>
      <w:r>
        <w:t>ata</w:t>
      </w:r>
      <w:bookmarkEnd w:id="286"/>
      <w:bookmarkEnd w:id="287"/>
    </w:p>
    <w:p w14:paraId="5149DBC0" w14:textId="76E98669" w:rsidR="008B216C" w:rsidRPr="00836AC8" w:rsidRDefault="008B216C" w:rsidP="00836AC8">
      <w:pPr>
        <w:pStyle w:val="Heading9"/>
      </w:pPr>
      <w:bookmarkStart w:id="288" w:name="_Toc50359475"/>
      <w:r w:rsidRPr="00836AC8">
        <w:t xml:space="preserve">Conventional </w:t>
      </w:r>
      <w:r w:rsidR="006D14A5">
        <w:t>e</w:t>
      </w:r>
      <w:r w:rsidRPr="00836AC8">
        <w:t xml:space="preserve">lectrolysis </w:t>
      </w:r>
      <w:r w:rsidR="006D14A5">
        <w:t>d</w:t>
      </w:r>
      <w:r w:rsidRPr="00836AC8">
        <w:t>ata</w:t>
      </w:r>
      <w:bookmarkEnd w:id="288"/>
    </w:p>
    <w:p w14:paraId="6856C832" w14:textId="12B5B26C" w:rsidR="008B216C" w:rsidRPr="00E46604" w:rsidRDefault="008B216C" w:rsidP="00E46604">
      <w:pPr>
        <w:pStyle w:val="Caption"/>
      </w:pPr>
      <w:bookmarkStart w:id="289" w:name="_Ref48765994"/>
      <w:bookmarkStart w:id="290" w:name="_Toc50359172"/>
      <w:r w:rsidRPr="00E46604">
        <w:t xml:space="preserve">Table </w:t>
      </w:r>
      <w:fldSimple w:instr=" SEQ Table \* ARABIC ">
        <w:r w:rsidR="009D026A">
          <w:rPr>
            <w:noProof/>
          </w:rPr>
          <w:t>21</w:t>
        </w:r>
      </w:fldSimple>
      <w:bookmarkEnd w:id="289"/>
      <w:r w:rsidR="00CF4D20">
        <w:t>:</w:t>
      </w:r>
      <w:r w:rsidRPr="00E46604">
        <w:t xml:space="preserve"> Calculated electrolyser efficiencies for each time period; original data from</w:t>
      </w:r>
      <w:r w:rsidR="00E77EF8">
        <w:t xml:space="preserve"> </w:t>
      </w:r>
      <w:r w:rsidR="00E77EF8">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E77EF8">
        <w:fldChar w:fldCharType="separate"/>
      </w:r>
      <w:r w:rsidR="00434694">
        <w:rPr>
          <w:noProof/>
        </w:rPr>
        <w:t>[</w:t>
      </w:r>
      <w:hyperlink w:anchor="_ENREF_51" w:tooltip="Element Energy, 2018 #1018" w:history="1">
        <w:r w:rsidR="006210AE">
          <w:rPr>
            <w:noProof/>
          </w:rPr>
          <w:t>51</w:t>
        </w:r>
      </w:hyperlink>
      <w:r w:rsidR="00434694">
        <w:rPr>
          <w:noProof/>
        </w:rPr>
        <w:t>]</w:t>
      </w:r>
      <w:r w:rsidR="00E77EF8">
        <w:fldChar w:fldCharType="end"/>
      </w:r>
      <w:r w:rsidR="00803BB1" w:rsidRPr="00E46604">
        <w:t>, corrected by inflation</w:t>
      </w:r>
      <w:r w:rsidRPr="00E46604">
        <w:t>.</w:t>
      </w:r>
      <w:bookmarkEnd w:id="290"/>
      <w:r w:rsidRPr="00E46604">
        <w:t xml:space="preserve"> </w:t>
      </w:r>
    </w:p>
    <w:tbl>
      <w:tblPr>
        <w:tblStyle w:val="PlainTable2"/>
        <w:tblW w:w="0" w:type="auto"/>
        <w:jc w:val="center"/>
        <w:tblLayout w:type="fixed"/>
        <w:tblLook w:val="04A0" w:firstRow="1" w:lastRow="0" w:firstColumn="1" w:lastColumn="0" w:noHBand="0" w:noVBand="1"/>
      </w:tblPr>
      <w:tblGrid>
        <w:gridCol w:w="1105"/>
        <w:gridCol w:w="2462"/>
        <w:gridCol w:w="2462"/>
        <w:gridCol w:w="2462"/>
      </w:tblGrid>
      <w:tr w:rsidR="008B216C" w:rsidRPr="00E15D81" w14:paraId="09E8EB9C" w14:textId="77777777" w:rsidTr="00CF4D20">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644B0519" w14:textId="77777777" w:rsidR="008B216C" w:rsidRPr="00281797" w:rsidRDefault="008B216C" w:rsidP="0030755E">
            <w:pPr>
              <w:keepNext/>
              <w:keepLines/>
              <w:widowControl w:val="0"/>
              <w:spacing w:before="0" w:after="0"/>
              <w:jc w:val="center"/>
              <w:rPr>
                <w:rFonts w:eastAsia="Times New Roman" w:cs="Arial"/>
                <w:i/>
                <w:iCs/>
                <w:color w:val="000000"/>
                <w:sz w:val="20"/>
                <w:szCs w:val="20"/>
                <w:lang w:eastAsia="en-GB"/>
              </w:rPr>
            </w:pPr>
            <w:r w:rsidRPr="00281797">
              <w:rPr>
                <w:rFonts w:eastAsia="Times New Roman" w:cs="Arial"/>
                <w:i/>
                <w:iCs/>
                <w:color w:val="000000"/>
                <w:sz w:val="20"/>
                <w:szCs w:val="20"/>
                <w:lang w:eastAsia="en-GB"/>
              </w:rPr>
              <w:t>Year</w:t>
            </w:r>
          </w:p>
        </w:tc>
        <w:tc>
          <w:tcPr>
            <w:tcW w:w="2462" w:type="dxa"/>
            <w:noWrap/>
            <w:vAlign w:val="center"/>
            <w:hideMark/>
          </w:tcPr>
          <w:p w14:paraId="2D0F6F3E" w14:textId="77777777" w:rsidR="008B216C" w:rsidRPr="00281797" w:rsidRDefault="008B216C" w:rsidP="0030755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281797">
              <w:rPr>
                <w:rFonts w:eastAsia="Times New Roman" w:cs="Arial"/>
                <w:i/>
                <w:iCs/>
                <w:color w:val="000000"/>
                <w:sz w:val="20"/>
                <w:szCs w:val="20"/>
                <w:lang w:eastAsia="en-GB"/>
              </w:rPr>
              <w:t>Alkaline Electrolyser Efficiency (</w:t>
            </w:r>
            <w:r w:rsidRPr="00281797">
              <w:rPr>
                <w:i/>
                <w:iCs/>
                <w:sz w:val="20"/>
                <w:szCs w:val="20"/>
              </w:rPr>
              <w:t>kWh</w:t>
            </w:r>
            <w:r w:rsidRPr="00281797">
              <w:rPr>
                <w:i/>
                <w:iCs/>
                <w:sz w:val="20"/>
                <w:szCs w:val="20"/>
                <w:vertAlign w:val="subscript"/>
              </w:rPr>
              <w:t>elec</w:t>
            </w:r>
            <w:r w:rsidRPr="00281797">
              <w:rPr>
                <w:i/>
                <w:iCs/>
                <w:sz w:val="20"/>
                <w:szCs w:val="20"/>
              </w:rPr>
              <w:t>/kWh</w:t>
            </w:r>
            <w:r w:rsidRPr="00281797">
              <w:rPr>
                <w:i/>
                <w:iCs/>
                <w:sz w:val="20"/>
                <w:szCs w:val="20"/>
                <w:vertAlign w:val="subscript"/>
              </w:rPr>
              <w:t>H2</w:t>
            </w:r>
            <w:r w:rsidRPr="00281797">
              <w:rPr>
                <w:i/>
                <w:iCs/>
                <w:sz w:val="20"/>
                <w:szCs w:val="20"/>
              </w:rPr>
              <w:t>)</w:t>
            </w:r>
          </w:p>
        </w:tc>
        <w:tc>
          <w:tcPr>
            <w:tcW w:w="2462" w:type="dxa"/>
            <w:vAlign w:val="center"/>
          </w:tcPr>
          <w:p w14:paraId="442B6B39" w14:textId="77777777" w:rsidR="008B216C" w:rsidRPr="00281797" w:rsidRDefault="008B216C" w:rsidP="0030755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281797">
              <w:rPr>
                <w:rFonts w:eastAsia="Times New Roman" w:cs="Arial"/>
                <w:i/>
                <w:iCs/>
                <w:color w:val="000000"/>
                <w:sz w:val="20"/>
                <w:szCs w:val="20"/>
                <w:lang w:eastAsia="en-GB"/>
              </w:rPr>
              <w:t>PEM Efficiency (kWh</w:t>
            </w:r>
            <w:r w:rsidRPr="00281797">
              <w:rPr>
                <w:rFonts w:eastAsia="Times New Roman" w:cs="Arial"/>
                <w:i/>
                <w:iCs/>
                <w:color w:val="000000"/>
                <w:sz w:val="20"/>
                <w:szCs w:val="20"/>
                <w:vertAlign w:val="subscript"/>
                <w:lang w:eastAsia="en-GB"/>
              </w:rPr>
              <w:t>elec</w:t>
            </w:r>
            <w:r w:rsidRPr="00281797">
              <w:rPr>
                <w:rFonts w:eastAsia="Times New Roman" w:cs="Arial"/>
                <w:i/>
                <w:iCs/>
                <w:color w:val="000000"/>
                <w:sz w:val="20"/>
                <w:szCs w:val="20"/>
                <w:lang w:eastAsia="en-GB"/>
              </w:rPr>
              <w:t>/kWh</w:t>
            </w:r>
            <w:r w:rsidRPr="00281797">
              <w:rPr>
                <w:rFonts w:eastAsia="Times New Roman" w:cs="Arial"/>
                <w:i/>
                <w:iCs/>
                <w:color w:val="000000"/>
                <w:sz w:val="20"/>
                <w:szCs w:val="20"/>
                <w:vertAlign w:val="subscript"/>
                <w:lang w:eastAsia="en-GB"/>
              </w:rPr>
              <w:t>H2</w:t>
            </w:r>
            <w:r w:rsidRPr="00281797">
              <w:rPr>
                <w:rFonts w:eastAsia="Times New Roman" w:cs="Arial"/>
                <w:i/>
                <w:iCs/>
                <w:color w:val="000000"/>
                <w:sz w:val="20"/>
                <w:szCs w:val="20"/>
                <w:lang w:eastAsia="en-GB"/>
              </w:rPr>
              <w:t>)</w:t>
            </w:r>
          </w:p>
        </w:tc>
        <w:tc>
          <w:tcPr>
            <w:tcW w:w="2462" w:type="dxa"/>
            <w:vAlign w:val="center"/>
          </w:tcPr>
          <w:p w14:paraId="50BD5168" w14:textId="77777777" w:rsidR="008B216C" w:rsidRPr="00281797" w:rsidRDefault="008B216C" w:rsidP="0030755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GB"/>
              </w:rPr>
            </w:pPr>
            <w:r w:rsidRPr="00281797">
              <w:rPr>
                <w:rFonts w:eastAsia="Times New Roman" w:cs="Arial"/>
                <w:i/>
                <w:iCs/>
                <w:color w:val="000000"/>
                <w:sz w:val="20"/>
                <w:szCs w:val="20"/>
                <w:lang w:eastAsia="en-GB"/>
              </w:rPr>
              <w:t>SOEC Efficiency (kWh</w:t>
            </w:r>
            <w:r w:rsidRPr="00281797">
              <w:rPr>
                <w:rFonts w:eastAsia="Times New Roman" w:cs="Arial"/>
                <w:i/>
                <w:iCs/>
                <w:color w:val="000000"/>
                <w:sz w:val="20"/>
                <w:szCs w:val="20"/>
                <w:vertAlign w:val="subscript"/>
                <w:lang w:eastAsia="en-GB"/>
              </w:rPr>
              <w:t>elec</w:t>
            </w:r>
            <w:r w:rsidRPr="00281797">
              <w:rPr>
                <w:rFonts w:eastAsia="Times New Roman" w:cs="Arial"/>
                <w:i/>
                <w:iCs/>
                <w:color w:val="000000"/>
                <w:sz w:val="20"/>
                <w:szCs w:val="20"/>
                <w:lang w:eastAsia="en-GB"/>
              </w:rPr>
              <w:t>/kWh</w:t>
            </w:r>
            <w:r w:rsidRPr="00281797">
              <w:rPr>
                <w:rFonts w:eastAsia="Times New Roman" w:cs="Arial"/>
                <w:i/>
                <w:iCs/>
                <w:color w:val="000000"/>
                <w:sz w:val="20"/>
                <w:szCs w:val="20"/>
                <w:vertAlign w:val="subscript"/>
                <w:lang w:eastAsia="en-GB"/>
              </w:rPr>
              <w:t>H2</w:t>
            </w:r>
            <w:r w:rsidRPr="00281797">
              <w:rPr>
                <w:rFonts w:eastAsia="Times New Roman" w:cs="Arial"/>
                <w:i/>
                <w:iCs/>
                <w:color w:val="000000"/>
                <w:sz w:val="20"/>
                <w:szCs w:val="20"/>
                <w:lang w:eastAsia="en-GB"/>
              </w:rPr>
              <w:t>)</w:t>
            </w:r>
          </w:p>
        </w:tc>
      </w:tr>
      <w:tr w:rsidR="008B216C" w:rsidRPr="00E15D81" w14:paraId="6EEB3D7D" w14:textId="77777777" w:rsidTr="00CF4D2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47A37791" w14:textId="77777777" w:rsidR="008B216C" w:rsidRPr="0045329C" w:rsidRDefault="008B216C" w:rsidP="0030755E">
            <w:pPr>
              <w:keepNext/>
              <w:keepLines/>
              <w:widowControl w:val="0"/>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2020</w:t>
            </w:r>
          </w:p>
        </w:tc>
        <w:tc>
          <w:tcPr>
            <w:tcW w:w="2462" w:type="dxa"/>
            <w:noWrap/>
            <w:vAlign w:val="center"/>
            <w:hideMark/>
          </w:tcPr>
          <w:p w14:paraId="652EE2D8" w14:textId="77777777" w:rsidR="008B216C" w:rsidRPr="0045329C"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1.53</w:t>
            </w:r>
          </w:p>
        </w:tc>
        <w:tc>
          <w:tcPr>
            <w:tcW w:w="2462" w:type="dxa"/>
            <w:vAlign w:val="center"/>
          </w:tcPr>
          <w:p w14:paraId="52C16B42" w14:textId="77777777" w:rsidR="008B216C" w:rsidRPr="002A42FF"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1.65</w:t>
            </w:r>
          </w:p>
        </w:tc>
        <w:tc>
          <w:tcPr>
            <w:tcW w:w="2462" w:type="dxa"/>
            <w:vAlign w:val="center"/>
          </w:tcPr>
          <w:p w14:paraId="613CA74E" w14:textId="77777777" w:rsidR="008B216C" w:rsidRPr="002A42FF"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1.17</w:t>
            </w:r>
          </w:p>
        </w:tc>
      </w:tr>
      <w:tr w:rsidR="008B216C" w:rsidRPr="00E15D81" w14:paraId="41628E7C" w14:textId="77777777" w:rsidTr="00CF4D20">
        <w:trPr>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51A2E2AA" w14:textId="77777777" w:rsidR="008B216C" w:rsidRPr="0045329C" w:rsidRDefault="008B216C" w:rsidP="0030755E">
            <w:pPr>
              <w:keepNext/>
              <w:keepLines/>
              <w:widowControl w:val="0"/>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2025</w:t>
            </w:r>
          </w:p>
        </w:tc>
        <w:tc>
          <w:tcPr>
            <w:tcW w:w="2462" w:type="dxa"/>
            <w:noWrap/>
            <w:vAlign w:val="center"/>
            <w:hideMark/>
          </w:tcPr>
          <w:p w14:paraId="70DE7024" w14:textId="77777777" w:rsidR="008B216C" w:rsidRPr="0045329C"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1.50</w:t>
            </w:r>
          </w:p>
        </w:tc>
        <w:tc>
          <w:tcPr>
            <w:tcW w:w="2462" w:type="dxa"/>
            <w:vAlign w:val="center"/>
          </w:tcPr>
          <w:p w14:paraId="208113DC" w14:textId="77777777" w:rsidR="008B216C" w:rsidRPr="002A42FF"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1.56</w:t>
            </w:r>
          </w:p>
        </w:tc>
        <w:tc>
          <w:tcPr>
            <w:tcW w:w="2462" w:type="dxa"/>
            <w:vAlign w:val="center"/>
          </w:tcPr>
          <w:p w14:paraId="12E39F4A" w14:textId="77777777" w:rsidR="008B216C" w:rsidRPr="002A42FF"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1.14</w:t>
            </w:r>
          </w:p>
        </w:tc>
      </w:tr>
      <w:tr w:rsidR="008B216C" w:rsidRPr="00E15D81" w14:paraId="73EE4EC5" w14:textId="77777777" w:rsidTr="00CF4D2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7D00F227" w14:textId="77777777" w:rsidR="008B216C" w:rsidRPr="0045329C" w:rsidRDefault="008B216C" w:rsidP="0030755E">
            <w:pPr>
              <w:keepNext/>
              <w:keepLines/>
              <w:widowControl w:val="0"/>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2030</w:t>
            </w:r>
          </w:p>
        </w:tc>
        <w:tc>
          <w:tcPr>
            <w:tcW w:w="2462" w:type="dxa"/>
            <w:noWrap/>
            <w:vAlign w:val="center"/>
            <w:hideMark/>
          </w:tcPr>
          <w:p w14:paraId="2856AA78" w14:textId="77777777" w:rsidR="008B216C" w:rsidRPr="0045329C"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1.48</w:t>
            </w:r>
          </w:p>
        </w:tc>
        <w:tc>
          <w:tcPr>
            <w:tcW w:w="2462" w:type="dxa"/>
            <w:vAlign w:val="center"/>
          </w:tcPr>
          <w:p w14:paraId="1FD69171" w14:textId="77777777" w:rsidR="008B216C" w:rsidRPr="002A42FF"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1.50</w:t>
            </w:r>
          </w:p>
        </w:tc>
        <w:tc>
          <w:tcPr>
            <w:tcW w:w="2462" w:type="dxa"/>
            <w:vAlign w:val="center"/>
          </w:tcPr>
          <w:p w14:paraId="05965959" w14:textId="77777777" w:rsidR="008B216C" w:rsidRPr="002A42FF"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1.11</w:t>
            </w:r>
          </w:p>
        </w:tc>
      </w:tr>
      <w:tr w:rsidR="008B216C" w:rsidRPr="00E15D81" w14:paraId="38E59068" w14:textId="77777777" w:rsidTr="00CF4D20">
        <w:trPr>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1850D88D" w14:textId="77777777" w:rsidR="008B216C" w:rsidRPr="0045329C" w:rsidRDefault="008B216C" w:rsidP="0030755E">
            <w:pPr>
              <w:keepNext/>
              <w:keepLines/>
              <w:widowControl w:val="0"/>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2035</w:t>
            </w:r>
          </w:p>
        </w:tc>
        <w:tc>
          <w:tcPr>
            <w:tcW w:w="2462" w:type="dxa"/>
            <w:noWrap/>
            <w:vAlign w:val="center"/>
            <w:hideMark/>
          </w:tcPr>
          <w:p w14:paraId="70904BCC" w14:textId="77777777" w:rsidR="008B216C" w:rsidRPr="0045329C"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1.47</w:t>
            </w:r>
          </w:p>
        </w:tc>
        <w:tc>
          <w:tcPr>
            <w:tcW w:w="2462" w:type="dxa"/>
            <w:vAlign w:val="center"/>
          </w:tcPr>
          <w:p w14:paraId="6AB8C240" w14:textId="77777777" w:rsidR="008B216C" w:rsidRPr="002A42FF"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1.48</w:t>
            </w:r>
          </w:p>
        </w:tc>
        <w:tc>
          <w:tcPr>
            <w:tcW w:w="2462" w:type="dxa"/>
            <w:vAlign w:val="center"/>
          </w:tcPr>
          <w:p w14:paraId="4D00F5E1" w14:textId="77777777" w:rsidR="008B216C" w:rsidRPr="002A42FF"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1.08</w:t>
            </w:r>
          </w:p>
        </w:tc>
      </w:tr>
      <w:tr w:rsidR="008B216C" w:rsidRPr="00E15D81" w14:paraId="228BC3BC" w14:textId="77777777" w:rsidTr="00CF4D2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59E1AD30" w14:textId="77777777" w:rsidR="008B216C" w:rsidRPr="0045329C" w:rsidRDefault="008B216C" w:rsidP="0030755E">
            <w:pPr>
              <w:keepNext/>
              <w:keepLines/>
              <w:widowControl w:val="0"/>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2040</w:t>
            </w:r>
          </w:p>
        </w:tc>
        <w:tc>
          <w:tcPr>
            <w:tcW w:w="2462" w:type="dxa"/>
            <w:noWrap/>
            <w:vAlign w:val="center"/>
            <w:hideMark/>
          </w:tcPr>
          <w:p w14:paraId="41BDE83F" w14:textId="77777777" w:rsidR="008B216C" w:rsidRPr="0045329C"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1.46</w:t>
            </w:r>
          </w:p>
        </w:tc>
        <w:tc>
          <w:tcPr>
            <w:tcW w:w="2462" w:type="dxa"/>
            <w:vAlign w:val="center"/>
          </w:tcPr>
          <w:p w14:paraId="2D83A29D" w14:textId="77777777" w:rsidR="008B216C" w:rsidRPr="002A42FF"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1.46</w:t>
            </w:r>
          </w:p>
        </w:tc>
        <w:tc>
          <w:tcPr>
            <w:tcW w:w="2462" w:type="dxa"/>
            <w:vAlign w:val="center"/>
          </w:tcPr>
          <w:p w14:paraId="2E021FD4" w14:textId="77777777" w:rsidR="008B216C" w:rsidRPr="002A42FF" w:rsidRDefault="008B216C" w:rsidP="0030755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1.07</w:t>
            </w:r>
          </w:p>
        </w:tc>
      </w:tr>
      <w:tr w:rsidR="008B216C" w:rsidRPr="00E15D81" w14:paraId="7FFDD05C" w14:textId="77777777" w:rsidTr="00CF4D20">
        <w:trPr>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66E0D438" w14:textId="77777777" w:rsidR="008B216C" w:rsidRPr="0045329C" w:rsidRDefault="008B216C" w:rsidP="0030755E">
            <w:pPr>
              <w:keepNext/>
              <w:keepLines/>
              <w:widowControl w:val="0"/>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2045</w:t>
            </w:r>
          </w:p>
        </w:tc>
        <w:tc>
          <w:tcPr>
            <w:tcW w:w="2462" w:type="dxa"/>
            <w:noWrap/>
            <w:vAlign w:val="center"/>
            <w:hideMark/>
          </w:tcPr>
          <w:p w14:paraId="5A3A48C6" w14:textId="77777777" w:rsidR="008B216C" w:rsidRPr="0045329C"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1.45</w:t>
            </w:r>
          </w:p>
        </w:tc>
        <w:tc>
          <w:tcPr>
            <w:tcW w:w="2462" w:type="dxa"/>
            <w:vAlign w:val="center"/>
          </w:tcPr>
          <w:p w14:paraId="0906CB5E" w14:textId="77777777" w:rsidR="008B216C" w:rsidRPr="002A42FF"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1.45</w:t>
            </w:r>
          </w:p>
        </w:tc>
        <w:tc>
          <w:tcPr>
            <w:tcW w:w="2462" w:type="dxa"/>
            <w:vAlign w:val="center"/>
          </w:tcPr>
          <w:p w14:paraId="64B49D27" w14:textId="77777777" w:rsidR="008B216C" w:rsidRPr="002A42FF" w:rsidRDefault="008B216C" w:rsidP="0030755E">
            <w:pPr>
              <w:keepNext/>
              <w:keepLines/>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1.06</w:t>
            </w:r>
          </w:p>
        </w:tc>
      </w:tr>
      <w:tr w:rsidR="008B216C" w:rsidRPr="00E15D81" w14:paraId="6B1E1A35" w14:textId="77777777" w:rsidTr="00CF4D2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05" w:type="dxa"/>
            <w:noWrap/>
            <w:vAlign w:val="center"/>
            <w:hideMark/>
          </w:tcPr>
          <w:p w14:paraId="472F488A" w14:textId="77777777" w:rsidR="008B216C" w:rsidRPr="0045329C" w:rsidRDefault="008B216C" w:rsidP="0030755E">
            <w:pPr>
              <w:spacing w:before="0" w:after="0"/>
              <w:jc w:val="center"/>
              <w:rPr>
                <w:rFonts w:eastAsia="Times New Roman" w:cs="Arial"/>
                <w:color w:val="000000"/>
                <w:sz w:val="20"/>
                <w:szCs w:val="20"/>
                <w:lang w:eastAsia="en-GB"/>
              </w:rPr>
            </w:pPr>
            <w:r w:rsidRPr="0045329C">
              <w:rPr>
                <w:rFonts w:eastAsia="Times New Roman" w:cs="Arial"/>
                <w:color w:val="000000"/>
                <w:sz w:val="20"/>
                <w:szCs w:val="20"/>
                <w:lang w:eastAsia="en-GB"/>
              </w:rPr>
              <w:t>2050</w:t>
            </w:r>
          </w:p>
        </w:tc>
        <w:tc>
          <w:tcPr>
            <w:tcW w:w="2462" w:type="dxa"/>
            <w:noWrap/>
            <w:vAlign w:val="center"/>
            <w:hideMark/>
          </w:tcPr>
          <w:p w14:paraId="7BFEBE5B" w14:textId="77777777" w:rsidR="008B216C" w:rsidRPr="0045329C" w:rsidRDefault="008B216C"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45329C">
              <w:rPr>
                <w:rFonts w:eastAsia="Times New Roman" w:cs="Arial"/>
                <w:color w:val="000000"/>
                <w:sz w:val="20"/>
                <w:szCs w:val="20"/>
                <w:lang w:eastAsia="en-GB"/>
              </w:rPr>
              <w:t>1.44</w:t>
            </w:r>
          </w:p>
        </w:tc>
        <w:tc>
          <w:tcPr>
            <w:tcW w:w="2462" w:type="dxa"/>
            <w:vAlign w:val="center"/>
          </w:tcPr>
          <w:p w14:paraId="76D99C4C" w14:textId="77777777" w:rsidR="008B216C" w:rsidRPr="002A42FF" w:rsidRDefault="008B216C"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1.44</w:t>
            </w:r>
          </w:p>
        </w:tc>
        <w:tc>
          <w:tcPr>
            <w:tcW w:w="2462" w:type="dxa"/>
            <w:vAlign w:val="center"/>
          </w:tcPr>
          <w:p w14:paraId="154DF78A" w14:textId="77777777" w:rsidR="008B216C" w:rsidRPr="002A42FF" w:rsidRDefault="008B216C"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2A42FF">
              <w:rPr>
                <w:rFonts w:eastAsia="Times New Roman" w:cs="Arial"/>
                <w:color w:val="000000"/>
                <w:sz w:val="20"/>
                <w:szCs w:val="20"/>
                <w:lang w:eastAsia="en-GB"/>
              </w:rPr>
              <w:t>1.05</w:t>
            </w:r>
          </w:p>
        </w:tc>
      </w:tr>
    </w:tbl>
    <w:p w14:paraId="43E60CB3" w14:textId="4F1BD408" w:rsidR="008B216C" w:rsidRDefault="008B216C" w:rsidP="008B216C">
      <w:r>
        <w:t xml:space="preserve">The </w:t>
      </w:r>
      <w:r w:rsidR="00EA31BD">
        <w:t>v</w:t>
      </w:r>
      <w:r>
        <w:t>ariable OPEX of electrolysers was calculated using the aforement</w:t>
      </w:r>
      <w:r w:rsidR="000F2DBE">
        <w:t>ioned</w:t>
      </w:r>
      <w:r>
        <w:t xml:space="preserve"> electrical efficiency, multiplied by the cost of electricity in the corresponding time period (</w:t>
      </w:r>
      <w:r w:rsidR="000F2DBE">
        <w:fldChar w:fldCharType="begin"/>
      </w:r>
      <w:r w:rsidR="000F2DBE">
        <w:instrText xml:space="preserve"> REF _Ref47020001 \h </w:instrText>
      </w:r>
      <w:r w:rsidR="000F2DBE">
        <w:fldChar w:fldCharType="separate"/>
      </w:r>
      <w:r w:rsidR="00403A31">
        <w:t xml:space="preserve">Table </w:t>
      </w:r>
      <w:r w:rsidR="00403A31">
        <w:rPr>
          <w:noProof/>
        </w:rPr>
        <w:t>18</w:t>
      </w:r>
      <w:r w:rsidR="000F2DBE">
        <w:fldChar w:fldCharType="end"/>
      </w:r>
      <w:r>
        <w:t xml:space="preserve">). Equation </w:t>
      </w:r>
      <w:r w:rsidR="00CF4D20">
        <w:t>(C.3)</w:t>
      </w:r>
      <w:r>
        <w:t xml:space="preserve"> shows an example calculation of the variable OPEX for a PEM electrolyser in 2020.</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8B216C" w14:paraId="4A32C0C9" w14:textId="77777777" w:rsidTr="008B216C">
        <w:tc>
          <w:tcPr>
            <w:tcW w:w="250" w:type="pct"/>
            <w:shd w:val="clear" w:color="auto" w:fill="auto"/>
          </w:tcPr>
          <w:p w14:paraId="6B82063E" w14:textId="77777777" w:rsidR="008B216C" w:rsidRDefault="008B216C" w:rsidP="008B216C"/>
        </w:tc>
        <w:tc>
          <w:tcPr>
            <w:tcW w:w="4500" w:type="pct"/>
            <w:shd w:val="clear" w:color="auto" w:fill="auto"/>
            <w:vAlign w:val="center"/>
          </w:tcPr>
          <w:p w14:paraId="763662D8" w14:textId="4D674F3C" w:rsidR="008B216C" w:rsidRDefault="008B216C" w:rsidP="008B216C">
            <w:pPr>
              <w:jc w:val="center"/>
            </w:pPr>
            <m:oMathPara>
              <m:oMath>
                <m:r>
                  <w:rPr>
                    <w:rFonts w:ascii="Cambria Math" w:hAnsi="Cambria Math"/>
                  </w:rPr>
                  <m:t>PEM Variable OPE</m:t>
                </m:r>
                <m:sSub>
                  <m:sSubPr>
                    <m:ctrlPr>
                      <w:rPr>
                        <w:rFonts w:ascii="Cambria Math" w:hAnsi="Cambria Math"/>
                        <w:i/>
                      </w:rPr>
                    </m:ctrlPr>
                  </m:sSubPr>
                  <m:e>
                    <m:r>
                      <w:rPr>
                        <w:rFonts w:ascii="Cambria Math" w:hAnsi="Cambria Math"/>
                      </w:rPr>
                      <m:t>X</m:t>
                    </m:r>
                  </m:e>
                  <m:sub>
                    <m:r>
                      <w:rPr>
                        <w:rFonts w:ascii="Cambria Math" w:hAnsi="Cambria Math"/>
                      </w:rPr>
                      <m:t>2020</m:t>
                    </m:r>
                  </m:sub>
                </m:sSub>
                <m:r>
                  <w:rPr>
                    <w:rFonts w:ascii="Cambria Math" w:hAnsi="Cambria Math"/>
                  </w:rPr>
                  <m:t>=1.65</m:t>
                </m:r>
                <m:d>
                  <m:dPr>
                    <m:ctrlPr>
                      <w:rPr>
                        <w:rFonts w:ascii="Cambria Math" w:hAnsi="Cambria Math"/>
                        <w:i/>
                      </w:rPr>
                    </m:ctrlPr>
                  </m:dPr>
                  <m:e>
                    <m:f>
                      <m:fPr>
                        <m:ctrlPr>
                          <w:rPr>
                            <w:rFonts w:ascii="Cambria Math" w:hAnsi="Cambria Math"/>
                            <w:i/>
                          </w:rPr>
                        </m:ctrlPr>
                      </m:fPr>
                      <m:num>
                        <m:r>
                          <w:rPr>
                            <w:rFonts w:ascii="Cambria Math" w:hAnsi="Cambria Math"/>
                          </w:rPr>
                          <m:t>kW</m:t>
                        </m:r>
                        <m:sSub>
                          <m:sSubPr>
                            <m:ctrlPr>
                              <w:rPr>
                                <w:rFonts w:ascii="Cambria Math" w:hAnsi="Cambria Math"/>
                                <w:i/>
                              </w:rPr>
                            </m:ctrlPr>
                          </m:sSubPr>
                          <m:e>
                            <m:r>
                              <w:rPr>
                                <w:rFonts w:ascii="Cambria Math" w:hAnsi="Cambria Math"/>
                              </w:rPr>
                              <m:t>h</m:t>
                            </m:r>
                          </m:e>
                          <m:sub>
                            <m:r>
                              <w:rPr>
                                <w:rFonts w:ascii="Cambria Math" w:hAnsi="Cambria Math"/>
                              </w:rPr>
                              <m:t>elec</m:t>
                            </m:r>
                          </m:sub>
                        </m:sSub>
                      </m:num>
                      <m:den>
                        <m:r>
                          <w:rPr>
                            <w:rFonts w:ascii="Cambria Math" w:hAnsi="Cambria Math"/>
                          </w:rPr>
                          <m:t>kW</m:t>
                        </m:r>
                        <m:sSub>
                          <m:sSubPr>
                            <m:ctrlPr>
                              <w:rPr>
                                <w:rFonts w:ascii="Cambria Math" w:hAnsi="Cambria Math"/>
                                <w:i/>
                              </w:rPr>
                            </m:ctrlPr>
                          </m:sSubPr>
                          <m:e>
                            <m:r>
                              <w:rPr>
                                <w:rFonts w:ascii="Cambria Math" w:hAnsi="Cambria Math"/>
                              </w:rPr>
                              <m:t>h</m:t>
                            </m:r>
                          </m:e>
                          <m:sub>
                            <m:r>
                              <w:rPr>
                                <w:rFonts w:ascii="Cambria Math" w:hAnsi="Cambria Math"/>
                              </w:rPr>
                              <m:t>H2</m:t>
                            </m:r>
                          </m:sub>
                        </m:sSub>
                      </m:den>
                    </m:f>
                  </m:e>
                </m:d>
                <m:r>
                  <w:rPr>
                    <w:rFonts w:ascii="Cambria Math" w:hAnsi="Cambria Math"/>
                  </w:rPr>
                  <m:t>⋅0.05239</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m:t>
                        </m:r>
                        <m:sSub>
                          <m:sSubPr>
                            <m:ctrlPr>
                              <w:rPr>
                                <w:rFonts w:ascii="Cambria Math" w:hAnsi="Cambria Math"/>
                                <w:i/>
                              </w:rPr>
                            </m:ctrlPr>
                          </m:sSubPr>
                          <m:e>
                            <m:r>
                              <w:rPr>
                                <w:rFonts w:ascii="Cambria Math" w:hAnsi="Cambria Math"/>
                              </w:rPr>
                              <m:t>h</m:t>
                            </m:r>
                          </m:e>
                          <m:sub>
                            <m:r>
                              <w:rPr>
                                <w:rFonts w:ascii="Cambria Math" w:hAnsi="Cambria Math"/>
                              </w:rPr>
                              <m:t>elec</m:t>
                            </m:r>
                          </m:sub>
                        </m:sSub>
                      </m:den>
                    </m:f>
                  </m:e>
                </m:d>
                <m:r>
                  <w:rPr>
                    <w:rFonts w:ascii="Cambria Math" w:hAnsi="Cambria Math"/>
                  </w:rPr>
                  <m:t>=0.0802</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m:t>
                        </m:r>
                        <m:sSub>
                          <m:sSubPr>
                            <m:ctrlPr>
                              <w:rPr>
                                <w:rFonts w:ascii="Cambria Math" w:hAnsi="Cambria Math"/>
                                <w:i/>
                              </w:rPr>
                            </m:ctrlPr>
                          </m:sSubPr>
                          <m:e>
                            <m:r>
                              <w:rPr>
                                <w:rFonts w:ascii="Cambria Math" w:hAnsi="Cambria Math"/>
                              </w:rPr>
                              <m:t>h</m:t>
                            </m:r>
                          </m:e>
                          <m:sub>
                            <m:r>
                              <w:rPr>
                                <w:rFonts w:ascii="Cambria Math" w:hAnsi="Cambria Math"/>
                              </w:rPr>
                              <m:t>H2</m:t>
                            </m:r>
                          </m:sub>
                        </m:sSub>
                      </m:den>
                    </m:f>
                  </m:e>
                </m:d>
              </m:oMath>
            </m:oMathPara>
          </w:p>
        </w:tc>
        <w:tc>
          <w:tcPr>
            <w:tcW w:w="250" w:type="pct"/>
            <w:shd w:val="clear" w:color="auto" w:fill="auto"/>
            <w:vAlign w:val="center"/>
          </w:tcPr>
          <w:p w14:paraId="1F7AEF15" w14:textId="3ACD2AC2" w:rsidR="008B216C" w:rsidRPr="00BF2BA0" w:rsidRDefault="008B216C" w:rsidP="008B216C">
            <w:pPr>
              <w:jc w:val="center"/>
            </w:pPr>
            <w:bookmarkStart w:id="291" w:name="_Ref48767810"/>
            <w:r w:rsidRPr="00BF2BA0">
              <w:t>(</w:t>
            </w:r>
            <w:r w:rsidR="001C1DD0">
              <w:t>C.3</w:t>
            </w:r>
            <w:r w:rsidRPr="00BF2BA0">
              <w:t>)</w:t>
            </w:r>
            <w:bookmarkEnd w:id="291"/>
          </w:p>
        </w:tc>
      </w:tr>
    </w:tbl>
    <w:p w14:paraId="181AB5CA" w14:textId="095F063B" w:rsidR="008B216C" w:rsidRDefault="008B216C" w:rsidP="008B216C">
      <w:r>
        <w:t>Finally, the emission factor due to convention</w:t>
      </w:r>
      <w:r w:rsidR="000F2DBE">
        <w:t>al</w:t>
      </w:r>
      <w:r>
        <w:t xml:space="preserve"> electrolysis production was calculated using the electrical efficiency, multiplied by the electric</w:t>
      </w:r>
      <w:r w:rsidR="000F2DBE">
        <w:t xml:space="preserve">ity </w:t>
      </w:r>
      <w:r>
        <w:t xml:space="preserve">grid carbon emissions </w:t>
      </w:r>
      <w:r w:rsidR="000F2DBE">
        <w:t>(</w:t>
      </w:r>
      <w:r w:rsidR="000F2DBE">
        <w:fldChar w:fldCharType="begin"/>
      </w:r>
      <w:r w:rsidR="000F2DBE">
        <w:instrText xml:space="preserve"> REF _Ref48346541 \h </w:instrText>
      </w:r>
      <w:r w:rsidR="000F2DBE">
        <w:fldChar w:fldCharType="separate"/>
      </w:r>
      <w:r w:rsidR="00403A31">
        <w:t xml:space="preserve">Table </w:t>
      </w:r>
      <w:r w:rsidR="00403A31">
        <w:rPr>
          <w:noProof/>
        </w:rPr>
        <w:t>5</w:t>
      </w:r>
      <w:r w:rsidR="000F2DBE">
        <w:fldChar w:fldCharType="end"/>
      </w:r>
      <w:r w:rsidR="000F2DBE">
        <w:t xml:space="preserve">). </w:t>
      </w:r>
    </w:p>
    <w:p w14:paraId="3701F183" w14:textId="79A228F2" w:rsidR="008B216C" w:rsidRPr="00D916CA" w:rsidRDefault="009D026A" w:rsidP="00836AC8">
      <w:pPr>
        <w:pStyle w:val="Heading9"/>
      </w:pPr>
      <w:bookmarkStart w:id="292" w:name="_Toc50359476"/>
      <w:r>
        <w:t xml:space="preserve">Wind </w:t>
      </w:r>
      <w:r w:rsidR="006D14A5">
        <w:rPr>
          <w:szCs w:val="25"/>
        </w:rPr>
        <w:t>e</w:t>
      </w:r>
      <w:r w:rsidR="008B216C" w:rsidRPr="000971A2">
        <w:rPr>
          <w:szCs w:val="25"/>
        </w:rPr>
        <w:t>lectrolysis</w:t>
      </w:r>
      <w:r w:rsidR="008B216C">
        <w:t xml:space="preserve"> </w:t>
      </w:r>
      <w:r w:rsidR="006D14A5">
        <w:t>d</w:t>
      </w:r>
      <w:r w:rsidR="008B216C">
        <w:t>ata</w:t>
      </w:r>
      <w:bookmarkEnd w:id="292"/>
    </w:p>
    <w:p w14:paraId="1CFDD924" w14:textId="1BD2F642" w:rsidR="008B216C" w:rsidRDefault="008B216C" w:rsidP="00803BB1">
      <w:r>
        <w:t xml:space="preserve">CAPEX is estimated by using the same values for the conventional electrolysis equipment, </w:t>
      </w:r>
      <w:r w:rsidR="00803BB1">
        <w:t>plus</w:t>
      </w:r>
      <w:r>
        <w:t xml:space="preserve"> the CAPEX associated with installing the renewable wind equipment</w:t>
      </w:r>
      <w:r w:rsidR="005B1245">
        <w:t xml:space="preserve"> </w:t>
      </w:r>
      <w:r w:rsidR="005B1245">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5B1245">
        <w:fldChar w:fldCharType="separate"/>
      </w:r>
      <w:r w:rsidR="00434694">
        <w:rPr>
          <w:noProof/>
        </w:rPr>
        <w:t>[</w:t>
      </w:r>
      <w:hyperlink w:anchor="_ENREF_51" w:tooltip="Element Energy, 2018 #1018" w:history="1">
        <w:r w:rsidR="006210AE">
          <w:rPr>
            <w:noProof/>
          </w:rPr>
          <w:t>51</w:t>
        </w:r>
      </w:hyperlink>
      <w:r w:rsidR="00434694">
        <w:rPr>
          <w:noProof/>
        </w:rPr>
        <w:t>]</w:t>
      </w:r>
      <w:r w:rsidR="005B1245">
        <w:fldChar w:fldCharType="end"/>
      </w:r>
      <w:r w:rsidR="00803BB1">
        <w:t xml:space="preserve"> (which estimates an</w:t>
      </w:r>
      <w:r>
        <w:t xml:space="preserve"> onshore windfarm cost of £64.3m to produce 31.2 MW of hydrogen</w:t>
      </w:r>
      <w:r w:rsidR="00803BB1">
        <w:t>)</w:t>
      </w:r>
      <w:r>
        <w:t>. After adjusting for inflation this was estimated at 2128.91 £/kW</w:t>
      </w:r>
      <w:r>
        <w:rPr>
          <w:vertAlign w:val="subscript"/>
        </w:rPr>
        <w:t>H2</w:t>
      </w:r>
      <w:r>
        <w:t xml:space="preserve">. In order to project the cost of onshore windfarms for future time periods, an annual learning rate of 5% was assumed </w:t>
      </w:r>
      <w:r w:rsidR="005B1245">
        <w:fldChar w:fldCharType="begin"/>
      </w:r>
      <w:r w:rsidR="00AA243F">
        <w:instrText xml:space="preserve"> ADDIN EN.CITE &lt;EndNote&gt;&lt;Cite&gt;&lt;Author&gt;Samsatli&lt;/Author&gt;&lt;Year&gt;2016&lt;/Year&gt;&lt;RecNum&gt;1095&lt;/RecNum&gt;&lt;DisplayText&gt;[23]&lt;/DisplayText&gt;&lt;record&gt;&lt;rec-number&gt;1095&lt;/rec-number&gt;&lt;foreign-keys&gt;&lt;key app="EN" db-id="w500zpaaheraz8epaw1p29dtf2ff9zrswv50" timestamp="1607697901"&gt;1095&lt;/key&gt;&lt;/foreign-keys&gt;&lt;ref-type name="Journal Article"&gt;17&lt;/ref-type&gt;&lt;contributors&gt;&lt;authors&gt;&lt;author&gt;Samsatli, Sheila&lt;/author&gt;&lt;author&gt;Staffell, Iain&lt;/author&gt;&lt;author&gt;Samsatli, Nouri J.&lt;/author&gt;&lt;/authors&gt;&lt;/contributors&gt;&lt;titles&gt;&lt;title&gt;Optimal design and operation of integrated wind-hydrogen-electricity networks for decarbonising the domestic transport sector in Great Britain&lt;/title&gt;&lt;secondary-title&gt;International Journal of Hydrogen Energy&lt;/secondary-title&gt;&lt;/titles&gt;&lt;periodical&gt;&lt;full-title&gt;International Journal of Hydrogen Energy&lt;/full-title&gt;&lt;/periodical&gt;&lt;pages&gt;447-475&lt;/pages&gt;&lt;volume&gt;41&lt;/volume&gt;&lt;number&gt;1&lt;/number&gt;&lt;dates&gt;&lt;year&gt;2016&lt;/year&gt;&lt;/dates&gt;&lt;publisher&gt;Pergamon&lt;/publisher&gt;&lt;urls&gt;&lt;related-urls&gt;&lt;url&gt;https://www.sciencedirect.com/science/article/pii/S0360319915300574&lt;/url&gt;&lt;/related-urls&gt;&lt;pdf-urls&gt;&lt;url&gt;file://Users\David\Library\Application Support\Mendeley Desktop\Downloaded\Samsatli, Staffell, Samsatli - 2016 - Optimal design and operation of integrated wind-hydrogen-electricity networks for decarbonising th.pdf&lt;/url&gt;&lt;/pdf-urls&gt;&lt;/urls&gt;&lt;electronic-resource-num&gt;10.1016/J.IJHYDENE.2015.10.032&lt;/electronic-resource-num&gt;&lt;/record&gt;&lt;/Cite&gt;&lt;/EndNote&gt;</w:instrText>
      </w:r>
      <w:r w:rsidR="005B1245">
        <w:fldChar w:fldCharType="separate"/>
      </w:r>
      <w:r w:rsidR="00AA243F">
        <w:rPr>
          <w:noProof/>
        </w:rPr>
        <w:t>[</w:t>
      </w:r>
      <w:hyperlink w:anchor="_ENREF_23" w:tooltip="Samsatli, 2016 #1095" w:history="1">
        <w:r w:rsidR="006210AE">
          <w:rPr>
            <w:noProof/>
          </w:rPr>
          <w:t>23</w:t>
        </w:r>
      </w:hyperlink>
      <w:r w:rsidR="00AA243F">
        <w:rPr>
          <w:noProof/>
        </w:rPr>
        <w:t>]</w:t>
      </w:r>
      <w:r w:rsidR="005B1245">
        <w:fldChar w:fldCharType="end"/>
      </w:r>
      <w:r>
        <w:t xml:space="preserve">. The variable OPEX was taken </w:t>
      </w:r>
      <w:r w:rsidR="00803BB1">
        <w:t>as</w:t>
      </w:r>
      <w:r>
        <w:t xml:space="preserve"> 0.0147 £/kWh</w:t>
      </w:r>
      <w:r>
        <w:rPr>
          <w:vertAlign w:val="subscript"/>
        </w:rPr>
        <w:t>H2</w:t>
      </w:r>
      <w:r>
        <w:t xml:space="preserve"> </w:t>
      </w:r>
      <w:r w:rsidR="005B1245">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5B1245">
        <w:fldChar w:fldCharType="separate"/>
      </w:r>
      <w:r w:rsidR="00434694">
        <w:rPr>
          <w:noProof/>
        </w:rPr>
        <w:t>[</w:t>
      </w:r>
      <w:hyperlink w:anchor="_ENREF_51" w:tooltip="Element Energy, 2018 #1018" w:history="1">
        <w:r w:rsidR="006210AE">
          <w:rPr>
            <w:noProof/>
          </w:rPr>
          <w:t>51</w:t>
        </w:r>
      </w:hyperlink>
      <w:r w:rsidR="00434694">
        <w:rPr>
          <w:noProof/>
        </w:rPr>
        <w:t>]</w:t>
      </w:r>
      <w:r w:rsidR="005B1245">
        <w:fldChar w:fldCharType="end"/>
      </w:r>
      <w:r w:rsidR="00803BB1">
        <w:t xml:space="preserve"> </w:t>
      </w:r>
      <w:r>
        <w:t>which takes into consideration the variable OPEX of the electrolyser and the onshore windfarm.</w:t>
      </w:r>
    </w:p>
    <w:p w14:paraId="6F77D992" w14:textId="0305065B" w:rsidR="009D026A" w:rsidRDefault="009D026A" w:rsidP="009D026A">
      <w:pPr>
        <w:pStyle w:val="Heading9"/>
      </w:pPr>
      <w:r>
        <w:t>Solar PV e</w:t>
      </w:r>
      <w:r w:rsidRPr="000971A2">
        <w:t>lectrolysis</w:t>
      </w:r>
      <w:r>
        <w:t xml:space="preserve"> data</w:t>
      </w:r>
    </w:p>
    <w:p w14:paraId="5BF220AC" w14:textId="502F7966" w:rsidR="009D026A" w:rsidRDefault="009D026A" w:rsidP="00A129B8">
      <w:r w:rsidRPr="00562C26">
        <w:rPr>
          <w:lang w:eastAsia="en-GB"/>
        </w:rPr>
        <w:t>CAPEX for Solar PV was estimated using data from BEIS</w:t>
      </w:r>
      <w:r w:rsidR="00A129B8">
        <w:rPr>
          <w:lang w:eastAsia="en-GB"/>
        </w:rPr>
        <w:t xml:space="preserve"> </w:t>
      </w:r>
      <w:r w:rsidR="00A129B8">
        <w:rPr>
          <w:lang w:eastAsia="en-GB"/>
        </w:rPr>
        <w:fldChar w:fldCharType="begin"/>
      </w:r>
      <w:r w:rsidR="006210AE">
        <w:rPr>
          <w:lang w:eastAsia="en-GB"/>
        </w:rPr>
        <w:instrText xml:space="preserve"> ADDIN EN.CITE &lt;EndNote&gt;&lt;Cite&gt;&lt;Author&gt;Statista&lt;/Author&gt;&lt;Year&gt;2021&lt;/Year&gt;&lt;RecNum&gt;1399&lt;/RecNum&gt;&lt;DisplayText&gt;[78]&lt;/DisplayText&gt;&lt;record&gt;&lt;rec-number&gt;1399&lt;/rec-number&gt;&lt;foreign-keys&gt;&lt;key app="EN" db-id="w500zpaaheraz8epaw1p29dtf2ff9zrswv50" timestamp="1627007782"&gt;1399&lt;/key&gt;&lt;/foreign-keys&gt;&lt;ref-type name="Web Page"&gt;12&lt;/ref-type&gt;&lt;contributors&gt;&lt;authors&gt;&lt;author&gt;Statista&lt;/author&gt;&lt;/authors&gt;&lt;/contributors&gt;&lt;titles&gt;&lt;title&gt;Energy and Enviroment&lt;/title&gt;&lt;/titles&gt;&lt;volume&gt;2021&lt;/volume&gt;&lt;number&gt;12 July&lt;/number&gt;&lt;dates&gt;&lt;year&gt;2021&lt;/year&gt;&lt;/dates&gt;&lt;urls&gt;&lt;related-urls&gt;&lt;url&gt;https://www.statista.com/statistics/499507/average-solar-pv-cost-per-kw-installed-uk/&lt;/url&gt;&lt;/related-urls&gt;&lt;/urls&gt;&lt;/record&gt;&lt;/Cite&gt;&lt;/EndNote&gt;</w:instrText>
      </w:r>
      <w:r w:rsidR="00A129B8">
        <w:rPr>
          <w:lang w:eastAsia="en-GB"/>
        </w:rPr>
        <w:fldChar w:fldCharType="separate"/>
      </w:r>
      <w:r w:rsidR="006210AE">
        <w:rPr>
          <w:noProof/>
          <w:lang w:eastAsia="en-GB"/>
        </w:rPr>
        <w:t>[</w:t>
      </w:r>
      <w:hyperlink w:anchor="_ENREF_78" w:tooltip="Statista, 2021 #1399" w:history="1">
        <w:r w:rsidR="006210AE">
          <w:rPr>
            <w:noProof/>
            <w:lang w:eastAsia="en-GB"/>
          </w:rPr>
          <w:t>78</w:t>
        </w:r>
      </w:hyperlink>
      <w:r w:rsidR="006210AE">
        <w:rPr>
          <w:noProof/>
          <w:lang w:eastAsia="en-GB"/>
        </w:rPr>
        <w:t>]</w:t>
      </w:r>
      <w:r w:rsidR="00A129B8">
        <w:rPr>
          <w:lang w:eastAsia="en-GB"/>
        </w:rPr>
        <w:fldChar w:fldCharType="end"/>
      </w:r>
      <w:r w:rsidRPr="00562C26">
        <w:rPr>
          <w:lang w:eastAsia="en-GB"/>
        </w:rPr>
        <w:t xml:space="preserve"> which gives the average Solar PV installation costs from 2016 to 2020. The data was then extended out to 2050 by using Excel’s inbuilt forecaster tool and added to the electrolysis CAPEX data to provide the cost of the whole system. Results for the Solar PV CAPEX can be seen in </w:t>
      </w:r>
      <w:r w:rsidR="00A129B8">
        <w:rPr>
          <w:lang w:eastAsia="en-GB"/>
        </w:rPr>
        <w:fldChar w:fldCharType="begin"/>
      </w:r>
      <w:r w:rsidR="00A129B8">
        <w:rPr>
          <w:lang w:eastAsia="en-GB"/>
        </w:rPr>
        <w:instrText xml:space="preserve"> REF _Ref77885871 \h </w:instrText>
      </w:r>
      <w:r w:rsidR="00A129B8">
        <w:rPr>
          <w:lang w:eastAsia="en-GB"/>
        </w:rPr>
      </w:r>
      <w:r w:rsidR="00A129B8">
        <w:rPr>
          <w:lang w:eastAsia="en-GB"/>
        </w:rPr>
        <w:fldChar w:fldCharType="separate"/>
      </w:r>
      <w:r w:rsidR="00403A31">
        <w:t xml:space="preserve">Table </w:t>
      </w:r>
      <w:r w:rsidR="00403A31">
        <w:rPr>
          <w:noProof/>
        </w:rPr>
        <w:t>22</w:t>
      </w:r>
      <w:r w:rsidR="00A129B8">
        <w:rPr>
          <w:lang w:eastAsia="en-GB"/>
        </w:rPr>
        <w:fldChar w:fldCharType="end"/>
      </w:r>
      <w:r w:rsidR="00A129B8">
        <w:rPr>
          <w:lang w:eastAsia="en-GB"/>
        </w:rPr>
        <w:t>.</w:t>
      </w:r>
    </w:p>
    <w:p w14:paraId="671C361C" w14:textId="77777777" w:rsidR="009D026A" w:rsidRDefault="009D026A" w:rsidP="009D026A"/>
    <w:p w14:paraId="088D9A1C" w14:textId="64CB33A5" w:rsidR="009D026A" w:rsidRDefault="009D026A" w:rsidP="00A129B8">
      <w:pPr>
        <w:pStyle w:val="Caption"/>
        <w:keepNext/>
      </w:pPr>
      <w:bookmarkStart w:id="293" w:name="_Ref77885871"/>
      <w:r>
        <w:lastRenderedPageBreak/>
        <w:t xml:space="preserve">Table </w:t>
      </w:r>
      <w:fldSimple w:instr=" SEQ Table \* ARABIC ">
        <w:r w:rsidR="00403A31">
          <w:rPr>
            <w:noProof/>
          </w:rPr>
          <w:t>22</w:t>
        </w:r>
      </w:fldSimple>
      <w:bookmarkEnd w:id="293"/>
      <w:r>
        <w:t xml:space="preserve">: Solar PV CAPEX (£/kWp). Data from 2016 - 2020 </w:t>
      </w:r>
      <w:r w:rsidR="00A129B8">
        <w:rPr>
          <w:lang w:eastAsia="en-GB"/>
        </w:rPr>
        <w:fldChar w:fldCharType="begin"/>
      </w:r>
      <w:r w:rsidR="006210AE">
        <w:rPr>
          <w:lang w:eastAsia="en-GB"/>
        </w:rPr>
        <w:instrText xml:space="preserve"> ADDIN EN.CITE &lt;EndNote&gt;&lt;Cite&gt;&lt;Author&gt;Statista&lt;/Author&gt;&lt;Year&gt;2021&lt;/Year&gt;&lt;RecNum&gt;1399&lt;/RecNum&gt;&lt;DisplayText&gt;[78]&lt;/DisplayText&gt;&lt;record&gt;&lt;rec-number&gt;1399&lt;/rec-number&gt;&lt;foreign-keys&gt;&lt;key app="EN" db-id="w500zpaaheraz8epaw1p29dtf2ff9zrswv50" timestamp="1627007782"&gt;1399&lt;/key&gt;&lt;/foreign-keys&gt;&lt;ref-type name="Web Page"&gt;12&lt;/ref-type&gt;&lt;contributors&gt;&lt;authors&gt;&lt;author&gt;Statista&lt;/author&gt;&lt;/authors&gt;&lt;/contributors&gt;&lt;titles&gt;&lt;title&gt;Energy and Enviroment&lt;/title&gt;&lt;/titles&gt;&lt;volume&gt;2021&lt;/volume&gt;&lt;number&gt;12 July&lt;/number&gt;&lt;dates&gt;&lt;year&gt;2021&lt;/year&gt;&lt;/dates&gt;&lt;urls&gt;&lt;related-urls&gt;&lt;url&gt;https://www.statista.com/statistics/499507/average-solar-pv-cost-per-kw-installed-uk/&lt;/url&gt;&lt;/related-urls&gt;&lt;/urls&gt;&lt;/record&gt;&lt;/Cite&gt;&lt;/EndNote&gt;</w:instrText>
      </w:r>
      <w:r w:rsidR="00A129B8">
        <w:rPr>
          <w:lang w:eastAsia="en-GB"/>
        </w:rPr>
        <w:fldChar w:fldCharType="separate"/>
      </w:r>
      <w:r w:rsidR="006210AE">
        <w:rPr>
          <w:noProof/>
          <w:lang w:eastAsia="en-GB"/>
        </w:rPr>
        <w:t>[</w:t>
      </w:r>
      <w:hyperlink w:anchor="_ENREF_78" w:tooltip="Statista, 2021 #1399" w:history="1">
        <w:r w:rsidR="006210AE">
          <w:rPr>
            <w:noProof/>
            <w:lang w:eastAsia="en-GB"/>
          </w:rPr>
          <w:t>78</w:t>
        </w:r>
      </w:hyperlink>
      <w:r w:rsidR="006210AE">
        <w:rPr>
          <w:noProof/>
          <w:lang w:eastAsia="en-GB"/>
        </w:rPr>
        <w:t>]</w:t>
      </w:r>
      <w:r w:rsidR="00A129B8">
        <w:rPr>
          <w:lang w:eastAsia="en-GB"/>
        </w:rPr>
        <w:fldChar w:fldCharType="end"/>
      </w:r>
    </w:p>
    <w:tbl>
      <w:tblPr>
        <w:tblStyle w:val="TableGrid"/>
        <w:tblW w:w="0" w:type="auto"/>
        <w:jc w:val="center"/>
        <w:tblInd w:w="0" w:type="dxa"/>
        <w:tblBorders>
          <w:top w:val="single" w:sz="4" w:space="0" w:color="7F7F7F" w:themeColor="text1" w:themeTint="80"/>
          <w:left w:val="none" w:sz="0" w:space="0" w:color="auto"/>
          <w:bottom w:val="single" w:sz="4"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622"/>
        <w:gridCol w:w="1463"/>
      </w:tblGrid>
      <w:tr w:rsidR="009D026A" w:rsidRPr="00E02377" w14:paraId="1D68D3EC" w14:textId="77777777" w:rsidTr="00A129B8">
        <w:trPr>
          <w:jc w:val="center"/>
        </w:trPr>
        <w:tc>
          <w:tcPr>
            <w:tcW w:w="0" w:type="auto"/>
            <w:tcBorders>
              <w:top w:val="single" w:sz="4" w:space="0" w:color="7F7F7F" w:themeColor="text1" w:themeTint="80"/>
              <w:bottom w:val="single" w:sz="4" w:space="0" w:color="7F7F7F" w:themeColor="text1" w:themeTint="80"/>
            </w:tcBorders>
          </w:tcPr>
          <w:p w14:paraId="72DC4ABC" w14:textId="77777777" w:rsidR="009D026A" w:rsidRPr="00562C26" w:rsidRDefault="009D026A" w:rsidP="009D026A">
            <w:pPr>
              <w:pStyle w:val="NoSpacing"/>
            </w:pPr>
            <w:r w:rsidRPr="00562C26">
              <w:t>Year</w:t>
            </w:r>
          </w:p>
        </w:tc>
        <w:tc>
          <w:tcPr>
            <w:tcW w:w="0" w:type="auto"/>
            <w:tcBorders>
              <w:top w:val="single" w:sz="4" w:space="0" w:color="7F7F7F" w:themeColor="text1" w:themeTint="80"/>
              <w:bottom w:val="single" w:sz="4" w:space="0" w:color="7F7F7F" w:themeColor="text1" w:themeTint="80"/>
            </w:tcBorders>
          </w:tcPr>
          <w:p w14:paraId="082C0FDA" w14:textId="77777777" w:rsidR="009D026A" w:rsidRPr="00562C26" w:rsidRDefault="009D026A" w:rsidP="009D026A">
            <w:pPr>
              <w:pStyle w:val="NoSpacing"/>
            </w:pPr>
            <w:r w:rsidRPr="00562C26">
              <w:t>CAPEX (£/kWp)</w:t>
            </w:r>
          </w:p>
        </w:tc>
      </w:tr>
      <w:tr w:rsidR="009D026A" w14:paraId="10BD1A0C" w14:textId="77777777" w:rsidTr="00A129B8">
        <w:trPr>
          <w:jc w:val="center"/>
        </w:trPr>
        <w:tc>
          <w:tcPr>
            <w:tcW w:w="0" w:type="auto"/>
            <w:tcBorders>
              <w:top w:val="single" w:sz="4" w:space="0" w:color="7F7F7F" w:themeColor="text1" w:themeTint="80"/>
            </w:tcBorders>
          </w:tcPr>
          <w:p w14:paraId="5996C146" w14:textId="77777777" w:rsidR="009D026A" w:rsidRPr="00562C26" w:rsidRDefault="009D026A" w:rsidP="009D026A">
            <w:pPr>
              <w:pStyle w:val="NoSpacing"/>
            </w:pPr>
            <w:r w:rsidRPr="00562C26">
              <w:t>2020</w:t>
            </w:r>
          </w:p>
        </w:tc>
        <w:tc>
          <w:tcPr>
            <w:tcW w:w="0" w:type="auto"/>
            <w:tcBorders>
              <w:top w:val="single" w:sz="4" w:space="0" w:color="7F7F7F" w:themeColor="text1" w:themeTint="80"/>
            </w:tcBorders>
            <w:vAlign w:val="bottom"/>
          </w:tcPr>
          <w:p w14:paraId="078191A5" w14:textId="77777777" w:rsidR="009D026A" w:rsidRPr="00562C26" w:rsidRDefault="009D026A" w:rsidP="009D026A">
            <w:pPr>
              <w:pStyle w:val="NoSpacing"/>
            </w:pPr>
            <w:r w:rsidRPr="00562C26">
              <w:t>1080.33</w:t>
            </w:r>
          </w:p>
        </w:tc>
      </w:tr>
      <w:tr w:rsidR="009D026A" w14:paraId="2035C6AE" w14:textId="77777777" w:rsidTr="00A129B8">
        <w:trPr>
          <w:jc w:val="center"/>
        </w:trPr>
        <w:tc>
          <w:tcPr>
            <w:tcW w:w="0" w:type="auto"/>
          </w:tcPr>
          <w:p w14:paraId="419CED31" w14:textId="77777777" w:rsidR="009D026A" w:rsidRPr="00562C26" w:rsidRDefault="009D026A" w:rsidP="009D026A">
            <w:pPr>
              <w:pStyle w:val="NoSpacing"/>
            </w:pPr>
            <w:r w:rsidRPr="00562C26">
              <w:t>2025</w:t>
            </w:r>
          </w:p>
        </w:tc>
        <w:tc>
          <w:tcPr>
            <w:tcW w:w="0" w:type="auto"/>
            <w:vAlign w:val="bottom"/>
          </w:tcPr>
          <w:p w14:paraId="3C44386F" w14:textId="77777777" w:rsidR="009D026A" w:rsidRPr="00562C26" w:rsidRDefault="009D026A" w:rsidP="009D026A">
            <w:pPr>
              <w:pStyle w:val="NoSpacing"/>
            </w:pPr>
            <w:r w:rsidRPr="00562C26">
              <w:t>922.36</w:t>
            </w:r>
          </w:p>
        </w:tc>
      </w:tr>
      <w:tr w:rsidR="009D026A" w14:paraId="09F0CBED" w14:textId="77777777" w:rsidTr="00A129B8">
        <w:trPr>
          <w:jc w:val="center"/>
        </w:trPr>
        <w:tc>
          <w:tcPr>
            <w:tcW w:w="0" w:type="auto"/>
          </w:tcPr>
          <w:p w14:paraId="4A13B835" w14:textId="77777777" w:rsidR="009D026A" w:rsidRPr="00562C26" w:rsidRDefault="009D026A" w:rsidP="009D026A">
            <w:pPr>
              <w:pStyle w:val="NoSpacing"/>
            </w:pPr>
            <w:r w:rsidRPr="00562C26">
              <w:t>2030</w:t>
            </w:r>
          </w:p>
        </w:tc>
        <w:tc>
          <w:tcPr>
            <w:tcW w:w="0" w:type="auto"/>
            <w:vAlign w:val="bottom"/>
          </w:tcPr>
          <w:p w14:paraId="718EAF87" w14:textId="77777777" w:rsidR="009D026A" w:rsidRPr="00562C26" w:rsidRDefault="009D026A" w:rsidP="009D026A">
            <w:pPr>
              <w:pStyle w:val="NoSpacing"/>
            </w:pPr>
            <w:r w:rsidRPr="00562C26">
              <w:t>815.00</w:t>
            </w:r>
          </w:p>
        </w:tc>
      </w:tr>
      <w:tr w:rsidR="009D026A" w14:paraId="34B1C4B2" w14:textId="77777777" w:rsidTr="00A129B8">
        <w:trPr>
          <w:jc w:val="center"/>
        </w:trPr>
        <w:tc>
          <w:tcPr>
            <w:tcW w:w="0" w:type="auto"/>
          </w:tcPr>
          <w:p w14:paraId="75CBFC91" w14:textId="77777777" w:rsidR="009D026A" w:rsidRPr="00562C26" w:rsidRDefault="009D026A" w:rsidP="009D026A">
            <w:pPr>
              <w:pStyle w:val="NoSpacing"/>
            </w:pPr>
            <w:r w:rsidRPr="00562C26">
              <w:t>2035</w:t>
            </w:r>
          </w:p>
        </w:tc>
        <w:tc>
          <w:tcPr>
            <w:tcW w:w="0" w:type="auto"/>
            <w:vAlign w:val="bottom"/>
          </w:tcPr>
          <w:p w14:paraId="2DA52CBB" w14:textId="77777777" w:rsidR="009D026A" w:rsidRPr="00562C26" w:rsidRDefault="009D026A" w:rsidP="009D026A">
            <w:pPr>
              <w:pStyle w:val="NoSpacing"/>
            </w:pPr>
            <w:r w:rsidRPr="00562C26">
              <w:t>715.06</w:t>
            </w:r>
          </w:p>
        </w:tc>
      </w:tr>
      <w:tr w:rsidR="009D026A" w14:paraId="45BAB804" w14:textId="77777777" w:rsidTr="00A129B8">
        <w:trPr>
          <w:jc w:val="center"/>
        </w:trPr>
        <w:tc>
          <w:tcPr>
            <w:tcW w:w="0" w:type="auto"/>
          </w:tcPr>
          <w:p w14:paraId="22D3B470" w14:textId="77777777" w:rsidR="009D026A" w:rsidRPr="00562C26" w:rsidRDefault="009D026A" w:rsidP="009D026A">
            <w:pPr>
              <w:pStyle w:val="NoSpacing"/>
            </w:pPr>
            <w:r w:rsidRPr="00562C26">
              <w:t>2040</w:t>
            </w:r>
          </w:p>
        </w:tc>
        <w:tc>
          <w:tcPr>
            <w:tcW w:w="0" w:type="auto"/>
            <w:vAlign w:val="bottom"/>
          </w:tcPr>
          <w:p w14:paraId="2EBDE303" w14:textId="77777777" w:rsidR="009D026A" w:rsidRPr="00562C26" w:rsidRDefault="009D026A" w:rsidP="009D026A">
            <w:pPr>
              <w:pStyle w:val="NoSpacing"/>
            </w:pPr>
            <w:r w:rsidRPr="00562C26">
              <w:t>631.32</w:t>
            </w:r>
          </w:p>
        </w:tc>
      </w:tr>
      <w:tr w:rsidR="009D026A" w14:paraId="34A92F02" w14:textId="77777777" w:rsidTr="00A129B8">
        <w:trPr>
          <w:jc w:val="center"/>
        </w:trPr>
        <w:tc>
          <w:tcPr>
            <w:tcW w:w="0" w:type="auto"/>
          </w:tcPr>
          <w:p w14:paraId="273247B3" w14:textId="77777777" w:rsidR="009D026A" w:rsidRPr="00562C26" w:rsidRDefault="009D026A" w:rsidP="009D026A">
            <w:pPr>
              <w:pStyle w:val="NoSpacing"/>
            </w:pPr>
            <w:r w:rsidRPr="00562C26">
              <w:t>2045</w:t>
            </w:r>
          </w:p>
        </w:tc>
        <w:tc>
          <w:tcPr>
            <w:tcW w:w="0" w:type="auto"/>
            <w:vAlign w:val="bottom"/>
          </w:tcPr>
          <w:p w14:paraId="4EF55420" w14:textId="77777777" w:rsidR="009D026A" w:rsidRPr="00562C26" w:rsidRDefault="009D026A" w:rsidP="009D026A">
            <w:pPr>
              <w:pStyle w:val="NoSpacing"/>
            </w:pPr>
            <w:r w:rsidRPr="00562C26">
              <w:t>554.28</w:t>
            </w:r>
          </w:p>
        </w:tc>
      </w:tr>
      <w:tr w:rsidR="009D026A" w14:paraId="3B0431EE" w14:textId="77777777" w:rsidTr="00A129B8">
        <w:trPr>
          <w:jc w:val="center"/>
        </w:trPr>
        <w:tc>
          <w:tcPr>
            <w:tcW w:w="0" w:type="auto"/>
          </w:tcPr>
          <w:p w14:paraId="597D4255" w14:textId="77777777" w:rsidR="009D026A" w:rsidRPr="00562C26" w:rsidRDefault="009D026A" w:rsidP="009D026A">
            <w:pPr>
              <w:pStyle w:val="NoSpacing"/>
            </w:pPr>
            <w:r w:rsidRPr="00562C26">
              <w:t>2050</w:t>
            </w:r>
          </w:p>
        </w:tc>
        <w:tc>
          <w:tcPr>
            <w:tcW w:w="0" w:type="auto"/>
            <w:vAlign w:val="bottom"/>
          </w:tcPr>
          <w:p w14:paraId="35669238" w14:textId="77777777" w:rsidR="009D026A" w:rsidRPr="00562C26" w:rsidRDefault="009D026A" w:rsidP="009D026A">
            <w:pPr>
              <w:pStyle w:val="NoSpacing"/>
            </w:pPr>
            <w:r w:rsidRPr="00562C26">
              <w:t>477.90</w:t>
            </w:r>
          </w:p>
        </w:tc>
      </w:tr>
    </w:tbl>
    <w:p w14:paraId="72D181AF" w14:textId="77777777" w:rsidR="009D026A" w:rsidRPr="009D026A" w:rsidRDefault="009D026A" w:rsidP="009D026A"/>
    <w:p w14:paraId="37F3A247" w14:textId="34C264D5" w:rsidR="008B216C" w:rsidRDefault="008B216C" w:rsidP="008B216C">
      <w:pPr>
        <w:pStyle w:val="Heading8"/>
      </w:pPr>
      <w:bookmarkStart w:id="294" w:name="_Toc50359477"/>
      <w:bookmarkStart w:id="295" w:name="_Ref54884646"/>
      <w:r>
        <w:t xml:space="preserve">Pipeline </w:t>
      </w:r>
      <w:r w:rsidR="006D14A5">
        <w:t>t</w:t>
      </w:r>
      <w:r>
        <w:t>ransmission</w:t>
      </w:r>
      <w:bookmarkEnd w:id="294"/>
      <w:bookmarkEnd w:id="295"/>
      <w:r w:rsidR="006D14A5">
        <w:t xml:space="preserve"> CAPEX and OPEX</w:t>
      </w:r>
    </w:p>
    <w:p w14:paraId="1AE60A9A" w14:textId="49D9AEDE" w:rsidR="008B216C" w:rsidRDefault="008B216C" w:rsidP="008B216C">
      <w:r>
        <w:t>For pipeline transmission, the H21 – Leeds Citygate report</w:t>
      </w:r>
      <w:r w:rsidR="005B1245">
        <w:t xml:space="preserve"> </w:t>
      </w:r>
      <w:r w:rsidR="000C1DAD">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0C1DAD">
        <w:fldChar w:fldCharType="separate"/>
      </w:r>
      <w:r w:rsidR="00434694">
        <w:rPr>
          <w:noProof/>
        </w:rPr>
        <w:t>[</w:t>
      </w:r>
      <w:hyperlink w:anchor="_ENREF_56" w:tooltip="Sadler, 2016 #926" w:history="1">
        <w:r w:rsidR="006210AE">
          <w:rPr>
            <w:noProof/>
          </w:rPr>
          <w:t>56</w:t>
        </w:r>
      </w:hyperlink>
      <w:r w:rsidR="00434694">
        <w:rPr>
          <w:noProof/>
        </w:rPr>
        <w:t>]</w:t>
      </w:r>
      <w:r w:rsidR="000C1DAD">
        <w:fldChar w:fldCharType="end"/>
      </w:r>
      <w:r>
        <w:t xml:space="preserve"> was used as a starting point for assumptions and economic values</w:t>
      </w:r>
      <w:r w:rsidR="005B404E">
        <w:t xml:space="preserve">, and are </w:t>
      </w:r>
      <w:r>
        <w:t xml:space="preserve">summarised in </w:t>
      </w:r>
      <w:r>
        <w:fldChar w:fldCharType="begin"/>
      </w:r>
      <w:r>
        <w:instrText xml:space="preserve"> REF _Ref48804113 \h </w:instrText>
      </w:r>
      <w:r>
        <w:fldChar w:fldCharType="separate"/>
      </w:r>
      <w:r w:rsidR="00403A31">
        <w:t xml:space="preserve">Table </w:t>
      </w:r>
      <w:r w:rsidR="00403A31">
        <w:rPr>
          <w:noProof/>
        </w:rPr>
        <w:t>23</w:t>
      </w:r>
      <w:r>
        <w:fldChar w:fldCharType="end"/>
      </w:r>
      <w:r w:rsidR="005B404E">
        <w:t xml:space="preserve">. </w:t>
      </w:r>
    </w:p>
    <w:p w14:paraId="01C38EA9" w14:textId="5236AD07" w:rsidR="008B216C" w:rsidRDefault="008B216C" w:rsidP="00836AC8">
      <w:pPr>
        <w:pStyle w:val="Caption"/>
        <w:keepNext/>
        <w:widowControl w:val="0"/>
      </w:pPr>
      <w:bookmarkStart w:id="296" w:name="_Ref48804113"/>
      <w:bookmarkStart w:id="297" w:name="_Toc50359173"/>
      <w:r>
        <w:t xml:space="preserve">Table </w:t>
      </w:r>
      <w:fldSimple w:instr=" SEQ Table \* ARABIC ">
        <w:r w:rsidR="00403A31">
          <w:rPr>
            <w:noProof/>
          </w:rPr>
          <w:t>23</w:t>
        </w:r>
      </w:fldSimple>
      <w:bookmarkEnd w:id="296"/>
      <w:r w:rsidR="00CF4D20">
        <w:t xml:space="preserve">: </w:t>
      </w:r>
      <w:r>
        <w:t>Newly installed transmission pipeline costing data from desktop study; adapted from</w:t>
      </w:r>
      <w:r w:rsidR="000C1DAD">
        <w:t xml:space="preserve"> </w:t>
      </w:r>
      <w:r w:rsidR="000C1DAD">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0C1DAD">
        <w:fldChar w:fldCharType="separate"/>
      </w:r>
      <w:r w:rsidR="00434694">
        <w:rPr>
          <w:noProof/>
        </w:rPr>
        <w:t>[</w:t>
      </w:r>
      <w:hyperlink w:anchor="_ENREF_56" w:tooltip="Sadler, 2016 #926" w:history="1">
        <w:r w:rsidR="006210AE">
          <w:rPr>
            <w:noProof/>
          </w:rPr>
          <w:t>56</w:t>
        </w:r>
      </w:hyperlink>
      <w:r w:rsidR="00434694">
        <w:rPr>
          <w:noProof/>
        </w:rPr>
        <w:t>]</w:t>
      </w:r>
      <w:r w:rsidR="000C1DAD">
        <w:fldChar w:fldCharType="end"/>
      </w:r>
      <w:r>
        <w:t>.</w:t>
      </w:r>
      <w:bookmarkEnd w:id="297"/>
    </w:p>
    <w:tbl>
      <w:tblPr>
        <w:tblStyle w:val="PlainTable2"/>
        <w:tblW w:w="9469" w:type="dxa"/>
        <w:jc w:val="center"/>
        <w:tblLook w:val="04A0" w:firstRow="1" w:lastRow="0" w:firstColumn="1" w:lastColumn="0" w:noHBand="0" w:noVBand="1"/>
      </w:tblPr>
      <w:tblGrid>
        <w:gridCol w:w="1560"/>
        <w:gridCol w:w="1112"/>
        <w:gridCol w:w="1359"/>
        <w:gridCol w:w="1038"/>
        <w:gridCol w:w="1466"/>
        <w:gridCol w:w="1255"/>
        <w:gridCol w:w="1290"/>
        <w:gridCol w:w="1273"/>
      </w:tblGrid>
      <w:tr w:rsidR="008B216C" w:rsidRPr="00E61989" w14:paraId="4053E9E3" w14:textId="77777777" w:rsidTr="00CF4D20">
        <w:trPr>
          <w:cnfStyle w:val="100000000000" w:firstRow="1" w:lastRow="0" w:firstColumn="0" w:lastColumn="0" w:oddVBand="0" w:evenVBand="0" w:oddHBand="0"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46449CF2" w14:textId="77777777" w:rsidR="008B216C" w:rsidRPr="00E61989" w:rsidRDefault="008B216C" w:rsidP="00836AC8">
            <w:pPr>
              <w:keepNext/>
              <w:widowControl w:val="0"/>
              <w:spacing w:before="0" w:after="0"/>
              <w:ind w:left="32" w:hanging="32"/>
              <w:jc w:val="center"/>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Details</w:t>
            </w:r>
          </w:p>
        </w:tc>
        <w:tc>
          <w:tcPr>
            <w:tcW w:w="0" w:type="auto"/>
            <w:noWrap/>
            <w:vAlign w:val="center"/>
            <w:hideMark/>
          </w:tcPr>
          <w:p w14:paraId="5145C88E"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Length (km)</w:t>
            </w:r>
          </w:p>
        </w:tc>
        <w:tc>
          <w:tcPr>
            <w:tcW w:w="0" w:type="auto"/>
            <w:noWrap/>
            <w:vAlign w:val="center"/>
            <w:hideMark/>
          </w:tcPr>
          <w:p w14:paraId="7D2BDBDB"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Diameter (mm)</w:t>
            </w:r>
          </w:p>
        </w:tc>
        <w:tc>
          <w:tcPr>
            <w:tcW w:w="0" w:type="auto"/>
            <w:noWrap/>
            <w:vAlign w:val="center"/>
            <w:hideMark/>
          </w:tcPr>
          <w:p w14:paraId="169E4C75"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CAPEX (£)</w:t>
            </w:r>
          </w:p>
        </w:tc>
        <w:tc>
          <w:tcPr>
            <w:tcW w:w="0" w:type="auto"/>
            <w:noWrap/>
            <w:vAlign w:val="center"/>
            <w:hideMark/>
          </w:tcPr>
          <w:p w14:paraId="51E7ED8F"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 of total CAPEX</w:t>
            </w:r>
          </w:p>
        </w:tc>
        <w:tc>
          <w:tcPr>
            <w:tcW w:w="0" w:type="auto"/>
            <w:noWrap/>
            <w:vAlign w:val="center"/>
            <w:hideMark/>
          </w:tcPr>
          <w:p w14:paraId="4991649C"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CAPEX (£/km)</w:t>
            </w:r>
          </w:p>
        </w:tc>
        <w:tc>
          <w:tcPr>
            <w:tcW w:w="0" w:type="auto"/>
            <w:noWrap/>
            <w:vAlign w:val="center"/>
            <w:hideMark/>
          </w:tcPr>
          <w:p w14:paraId="69CD9075"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Total OPEX (£)</w:t>
            </w:r>
          </w:p>
        </w:tc>
        <w:tc>
          <w:tcPr>
            <w:tcW w:w="0" w:type="auto"/>
            <w:noWrap/>
            <w:vAlign w:val="center"/>
            <w:hideMark/>
          </w:tcPr>
          <w:p w14:paraId="0E2BC5E7" w14:textId="77777777" w:rsidR="008B216C" w:rsidRPr="00E61989" w:rsidRDefault="008B216C" w:rsidP="00836AC8">
            <w:pPr>
              <w:keepNext/>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OPEX (£/year)</w:t>
            </w:r>
          </w:p>
        </w:tc>
      </w:tr>
      <w:tr w:rsidR="008B216C" w:rsidRPr="00E61989" w14:paraId="68D3C7E3" w14:textId="77777777" w:rsidTr="00CF4D20">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560" w:type="dxa"/>
            <w:vAlign w:val="center"/>
            <w:hideMark/>
          </w:tcPr>
          <w:p w14:paraId="6E40816E" w14:textId="77777777" w:rsidR="008B216C" w:rsidRPr="00E61989" w:rsidRDefault="008B216C" w:rsidP="00836AC8">
            <w:pPr>
              <w:keepNext/>
              <w:widowControl w:val="0"/>
              <w:spacing w:before="0" w:after="0"/>
              <w:rPr>
                <w:rFonts w:eastAsia="Times New Roman" w:cs="Arial"/>
                <w:color w:val="000000"/>
                <w:sz w:val="18"/>
                <w:szCs w:val="18"/>
                <w:lang w:eastAsia="en-GB"/>
              </w:rPr>
            </w:pPr>
            <w:r w:rsidRPr="00E61989">
              <w:rPr>
                <w:rFonts w:eastAsia="Times New Roman" w:cs="Arial"/>
                <w:color w:val="000000"/>
                <w:sz w:val="18"/>
                <w:szCs w:val="18"/>
                <w:lang w:eastAsia="en-GB"/>
              </w:rPr>
              <w:t>Pipeline from SMR facility to PRI</w:t>
            </w:r>
          </w:p>
        </w:tc>
        <w:tc>
          <w:tcPr>
            <w:tcW w:w="0" w:type="auto"/>
            <w:noWrap/>
            <w:vAlign w:val="center"/>
            <w:hideMark/>
          </w:tcPr>
          <w:p w14:paraId="3BB23C3E"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114</w:t>
            </w:r>
          </w:p>
        </w:tc>
        <w:tc>
          <w:tcPr>
            <w:tcW w:w="0" w:type="auto"/>
            <w:noWrap/>
            <w:vAlign w:val="center"/>
            <w:hideMark/>
          </w:tcPr>
          <w:p w14:paraId="3FBDE3ED"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650</w:t>
            </w:r>
          </w:p>
        </w:tc>
        <w:tc>
          <w:tcPr>
            <w:tcW w:w="0" w:type="auto"/>
            <w:noWrap/>
            <w:vAlign w:val="center"/>
            <w:hideMark/>
          </w:tcPr>
          <w:p w14:paraId="72DDC6EC"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125090000</w:t>
            </w:r>
          </w:p>
        </w:tc>
        <w:tc>
          <w:tcPr>
            <w:tcW w:w="0" w:type="auto"/>
            <w:noWrap/>
            <w:vAlign w:val="center"/>
            <w:hideMark/>
          </w:tcPr>
          <w:p w14:paraId="4125450B"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56%</w:t>
            </w:r>
          </w:p>
        </w:tc>
        <w:tc>
          <w:tcPr>
            <w:tcW w:w="0" w:type="auto"/>
            <w:noWrap/>
            <w:vAlign w:val="center"/>
            <w:hideMark/>
          </w:tcPr>
          <w:p w14:paraId="4DD693D5"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1097280.70</w:t>
            </w:r>
          </w:p>
        </w:tc>
        <w:tc>
          <w:tcPr>
            <w:tcW w:w="0" w:type="auto"/>
            <w:vMerge w:val="restart"/>
            <w:noWrap/>
            <w:vAlign w:val="center"/>
            <w:hideMark/>
          </w:tcPr>
          <w:p w14:paraId="3BF22E3E"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500000</w:t>
            </w:r>
          </w:p>
        </w:tc>
        <w:tc>
          <w:tcPr>
            <w:tcW w:w="0" w:type="auto"/>
            <w:noWrap/>
            <w:vAlign w:val="center"/>
            <w:hideMark/>
          </w:tcPr>
          <w:p w14:paraId="54E4CE86"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281126.39</w:t>
            </w:r>
          </w:p>
        </w:tc>
      </w:tr>
      <w:tr w:rsidR="008B216C" w:rsidRPr="00E61989" w14:paraId="36DB06CB" w14:textId="77777777" w:rsidTr="00CF4D20">
        <w:trPr>
          <w:trHeight w:val="213"/>
          <w:jc w:val="center"/>
        </w:trPr>
        <w:tc>
          <w:tcPr>
            <w:cnfStyle w:val="001000000000" w:firstRow="0" w:lastRow="0" w:firstColumn="1" w:lastColumn="0" w:oddVBand="0" w:evenVBand="0" w:oddHBand="0" w:evenHBand="0" w:firstRowFirstColumn="0" w:firstRowLastColumn="0" w:lastRowFirstColumn="0" w:lastRowLastColumn="0"/>
            <w:tcW w:w="1560" w:type="dxa"/>
            <w:vAlign w:val="center"/>
            <w:hideMark/>
          </w:tcPr>
          <w:p w14:paraId="1FA84E2C" w14:textId="77777777" w:rsidR="008B216C" w:rsidRPr="00E61989" w:rsidRDefault="008B216C" w:rsidP="00836AC8">
            <w:pPr>
              <w:keepNext/>
              <w:widowControl w:val="0"/>
              <w:spacing w:before="0" w:after="0"/>
              <w:rPr>
                <w:rFonts w:eastAsia="Times New Roman" w:cs="Arial"/>
                <w:color w:val="000000"/>
                <w:sz w:val="18"/>
                <w:szCs w:val="18"/>
                <w:lang w:eastAsia="en-GB"/>
              </w:rPr>
            </w:pPr>
            <w:r w:rsidRPr="00E61989">
              <w:rPr>
                <w:rFonts w:eastAsia="Times New Roman" w:cs="Arial"/>
                <w:color w:val="000000"/>
                <w:sz w:val="18"/>
                <w:szCs w:val="18"/>
                <w:lang w:eastAsia="en-GB"/>
              </w:rPr>
              <w:t>Pipeline from salt cavern to PRI</w:t>
            </w:r>
          </w:p>
        </w:tc>
        <w:tc>
          <w:tcPr>
            <w:tcW w:w="0" w:type="auto"/>
            <w:noWrap/>
            <w:vAlign w:val="center"/>
            <w:hideMark/>
          </w:tcPr>
          <w:p w14:paraId="16CBA762"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76</w:t>
            </w:r>
          </w:p>
        </w:tc>
        <w:tc>
          <w:tcPr>
            <w:tcW w:w="0" w:type="auto"/>
            <w:noWrap/>
            <w:vAlign w:val="center"/>
            <w:hideMark/>
          </w:tcPr>
          <w:p w14:paraId="1DE11353"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450</w:t>
            </w:r>
          </w:p>
        </w:tc>
        <w:tc>
          <w:tcPr>
            <w:tcW w:w="0" w:type="auto"/>
            <w:noWrap/>
            <w:vAlign w:val="center"/>
            <w:hideMark/>
          </w:tcPr>
          <w:p w14:paraId="5EAF1DE2"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71000000</w:t>
            </w:r>
          </w:p>
        </w:tc>
        <w:tc>
          <w:tcPr>
            <w:tcW w:w="0" w:type="auto"/>
            <w:noWrap/>
            <w:vAlign w:val="center"/>
            <w:hideMark/>
          </w:tcPr>
          <w:p w14:paraId="7F1A52EB"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32%</w:t>
            </w:r>
          </w:p>
        </w:tc>
        <w:tc>
          <w:tcPr>
            <w:tcW w:w="0" w:type="auto"/>
            <w:noWrap/>
            <w:vAlign w:val="center"/>
            <w:hideMark/>
          </w:tcPr>
          <w:p w14:paraId="2FEC1030"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934210.53</w:t>
            </w:r>
          </w:p>
        </w:tc>
        <w:tc>
          <w:tcPr>
            <w:tcW w:w="0" w:type="auto"/>
            <w:vMerge/>
            <w:vAlign w:val="center"/>
            <w:hideMark/>
          </w:tcPr>
          <w:p w14:paraId="0E35BD02"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
        </w:tc>
        <w:tc>
          <w:tcPr>
            <w:tcW w:w="0" w:type="auto"/>
            <w:noWrap/>
            <w:vAlign w:val="center"/>
            <w:hideMark/>
          </w:tcPr>
          <w:p w14:paraId="3EA0B8B6"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159564.90</w:t>
            </w:r>
          </w:p>
        </w:tc>
      </w:tr>
      <w:tr w:rsidR="008B216C" w:rsidRPr="00E61989" w14:paraId="628A056F" w14:textId="77777777" w:rsidTr="00ED5886">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560" w:type="dxa"/>
            <w:vAlign w:val="center"/>
            <w:hideMark/>
          </w:tcPr>
          <w:p w14:paraId="0BA06A13" w14:textId="77777777" w:rsidR="008B216C" w:rsidRPr="00E61989" w:rsidRDefault="008B216C" w:rsidP="00836AC8">
            <w:pPr>
              <w:keepNext/>
              <w:widowControl w:val="0"/>
              <w:spacing w:before="0" w:after="0"/>
              <w:rPr>
                <w:rFonts w:eastAsia="Times New Roman" w:cs="Arial"/>
                <w:color w:val="000000"/>
                <w:sz w:val="18"/>
                <w:szCs w:val="18"/>
                <w:lang w:eastAsia="en-GB"/>
              </w:rPr>
            </w:pPr>
            <w:r w:rsidRPr="00E61989">
              <w:rPr>
                <w:rFonts w:eastAsia="Times New Roman" w:cs="Arial"/>
                <w:color w:val="000000"/>
                <w:sz w:val="18"/>
                <w:szCs w:val="18"/>
                <w:lang w:eastAsia="en-GB"/>
              </w:rPr>
              <w:t>17 Bar Transmission ring around Leeds</w:t>
            </w:r>
          </w:p>
        </w:tc>
        <w:tc>
          <w:tcPr>
            <w:tcW w:w="0" w:type="auto"/>
            <w:noWrap/>
            <w:vAlign w:val="center"/>
            <w:hideMark/>
          </w:tcPr>
          <w:p w14:paraId="24120397"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24</w:t>
            </w:r>
          </w:p>
        </w:tc>
        <w:tc>
          <w:tcPr>
            <w:tcW w:w="0" w:type="auto"/>
            <w:noWrap/>
            <w:vAlign w:val="center"/>
            <w:hideMark/>
          </w:tcPr>
          <w:p w14:paraId="62208388"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400</w:t>
            </w:r>
          </w:p>
        </w:tc>
        <w:tc>
          <w:tcPr>
            <w:tcW w:w="0" w:type="auto"/>
            <w:noWrap/>
            <w:vAlign w:val="center"/>
            <w:hideMark/>
          </w:tcPr>
          <w:p w14:paraId="1462E3C8"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20540000</w:t>
            </w:r>
          </w:p>
        </w:tc>
        <w:tc>
          <w:tcPr>
            <w:tcW w:w="0" w:type="auto"/>
            <w:noWrap/>
            <w:vAlign w:val="center"/>
            <w:hideMark/>
          </w:tcPr>
          <w:p w14:paraId="30C92E4C"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9%</w:t>
            </w:r>
          </w:p>
        </w:tc>
        <w:tc>
          <w:tcPr>
            <w:tcW w:w="0" w:type="auto"/>
            <w:noWrap/>
            <w:vAlign w:val="center"/>
            <w:hideMark/>
          </w:tcPr>
          <w:p w14:paraId="3101EDC1"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855833.33</w:t>
            </w:r>
          </w:p>
        </w:tc>
        <w:tc>
          <w:tcPr>
            <w:tcW w:w="0" w:type="auto"/>
            <w:vMerge/>
            <w:vAlign w:val="center"/>
            <w:hideMark/>
          </w:tcPr>
          <w:p w14:paraId="320ADE47"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p>
        </w:tc>
        <w:tc>
          <w:tcPr>
            <w:tcW w:w="0" w:type="auto"/>
            <w:noWrap/>
            <w:vAlign w:val="center"/>
            <w:hideMark/>
          </w:tcPr>
          <w:p w14:paraId="65FE2979" w14:textId="77777777" w:rsidR="008B216C" w:rsidRPr="00E61989" w:rsidRDefault="008B216C" w:rsidP="00836AC8">
            <w:pPr>
              <w:keepNext/>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46161.45</w:t>
            </w:r>
          </w:p>
        </w:tc>
      </w:tr>
      <w:tr w:rsidR="008B216C" w:rsidRPr="00E61989" w14:paraId="5587CCC3" w14:textId="77777777" w:rsidTr="00CF4D20">
        <w:trPr>
          <w:trHeight w:val="700"/>
          <w:jc w:val="center"/>
        </w:trPr>
        <w:tc>
          <w:tcPr>
            <w:cnfStyle w:val="001000000000" w:firstRow="0" w:lastRow="0" w:firstColumn="1" w:lastColumn="0" w:oddVBand="0" w:evenVBand="0" w:oddHBand="0" w:evenHBand="0" w:firstRowFirstColumn="0" w:firstRowLastColumn="0" w:lastRowFirstColumn="0" w:lastRowLastColumn="0"/>
            <w:tcW w:w="1560" w:type="dxa"/>
            <w:vAlign w:val="center"/>
            <w:hideMark/>
          </w:tcPr>
          <w:p w14:paraId="63FF648A" w14:textId="77777777" w:rsidR="008B216C" w:rsidRPr="00E61989" w:rsidRDefault="008B216C" w:rsidP="00836AC8">
            <w:pPr>
              <w:keepNext/>
              <w:widowControl w:val="0"/>
              <w:spacing w:before="0" w:after="0"/>
              <w:rPr>
                <w:rFonts w:eastAsia="Times New Roman" w:cs="Arial"/>
                <w:color w:val="000000"/>
                <w:sz w:val="18"/>
                <w:szCs w:val="18"/>
                <w:lang w:eastAsia="en-GB"/>
              </w:rPr>
            </w:pPr>
            <w:r w:rsidRPr="00E61989">
              <w:rPr>
                <w:rFonts w:eastAsia="Times New Roman" w:cs="Arial"/>
                <w:color w:val="000000"/>
                <w:sz w:val="18"/>
                <w:szCs w:val="18"/>
                <w:lang w:eastAsia="en-GB"/>
              </w:rPr>
              <w:t>Connections to existing MP Distribution in 17 locations</w:t>
            </w:r>
          </w:p>
        </w:tc>
        <w:tc>
          <w:tcPr>
            <w:tcW w:w="0" w:type="auto"/>
            <w:noWrap/>
            <w:vAlign w:val="center"/>
            <w:hideMark/>
          </w:tcPr>
          <w:p w14:paraId="57C0ED94"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w:t>
            </w:r>
          </w:p>
        </w:tc>
        <w:tc>
          <w:tcPr>
            <w:tcW w:w="0" w:type="auto"/>
            <w:noWrap/>
            <w:vAlign w:val="center"/>
            <w:hideMark/>
          </w:tcPr>
          <w:p w14:paraId="1F6732BD"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w:t>
            </w:r>
          </w:p>
        </w:tc>
        <w:tc>
          <w:tcPr>
            <w:tcW w:w="0" w:type="auto"/>
            <w:noWrap/>
            <w:vAlign w:val="center"/>
            <w:hideMark/>
          </w:tcPr>
          <w:p w14:paraId="55124CAF"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5850000</w:t>
            </w:r>
          </w:p>
        </w:tc>
        <w:tc>
          <w:tcPr>
            <w:tcW w:w="0" w:type="auto"/>
            <w:noWrap/>
            <w:vAlign w:val="center"/>
            <w:hideMark/>
          </w:tcPr>
          <w:p w14:paraId="3A14AF1D"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3%</w:t>
            </w:r>
          </w:p>
        </w:tc>
        <w:tc>
          <w:tcPr>
            <w:tcW w:w="0" w:type="auto"/>
            <w:noWrap/>
            <w:vAlign w:val="center"/>
            <w:hideMark/>
          </w:tcPr>
          <w:p w14:paraId="468EC7B2"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w:t>
            </w:r>
          </w:p>
        </w:tc>
        <w:tc>
          <w:tcPr>
            <w:tcW w:w="0" w:type="auto"/>
            <w:vMerge/>
            <w:vAlign w:val="center"/>
            <w:hideMark/>
          </w:tcPr>
          <w:p w14:paraId="6E8FE189"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
        </w:tc>
        <w:tc>
          <w:tcPr>
            <w:tcW w:w="0" w:type="auto"/>
            <w:noWrap/>
            <w:vAlign w:val="center"/>
            <w:hideMark/>
          </w:tcPr>
          <w:p w14:paraId="20CC37DD" w14:textId="77777777" w:rsidR="008B216C" w:rsidRPr="00E61989" w:rsidRDefault="008B216C" w:rsidP="00836AC8">
            <w:pPr>
              <w:keepNext/>
              <w:widowControl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13147.249</w:t>
            </w:r>
          </w:p>
        </w:tc>
      </w:tr>
      <w:tr w:rsidR="008B216C" w:rsidRPr="00E61989" w14:paraId="51264624" w14:textId="77777777" w:rsidTr="00ED5886">
        <w:trPr>
          <w:cnfStyle w:val="000000100000" w:firstRow="0" w:lastRow="0" w:firstColumn="0" w:lastColumn="0" w:oddVBand="0" w:evenVBand="0" w:oddHBand="1" w:evenHBand="0" w:firstRowFirstColumn="0" w:firstRowLastColumn="0" w:lastRowFirstColumn="0" w:lastRowLastColumn="0"/>
          <w:trHeight w:val="89"/>
          <w:jc w:val="center"/>
        </w:trPr>
        <w:tc>
          <w:tcPr>
            <w:cnfStyle w:val="001000000000" w:firstRow="0" w:lastRow="0" w:firstColumn="1" w:lastColumn="0" w:oddVBand="0" w:evenVBand="0" w:oddHBand="0" w:evenHBand="0" w:firstRowFirstColumn="0" w:firstRowLastColumn="0" w:lastRowFirstColumn="0" w:lastRowLastColumn="0"/>
            <w:tcW w:w="1560" w:type="dxa"/>
            <w:tcBorders>
              <w:bottom w:val="single" w:sz="12" w:space="0" w:color="FFFFFF" w:themeColor="background1"/>
            </w:tcBorders>
            <w:noWrap/>
            <w:hideMark/>
          </w:tcPr>
          <w:p w14:paraId="55C72683" w14:textId="77777777" w:rsidR="008B216C" w:rsidRPr="00E61989" w:rsidRDefault="008B216C" w:rsidP="00836AC8">
            <w:pPr>
              <w:spacing w:before="0" w:after="0"/>
              <w:jc w:val="right"/>
              <w:rPr>
                <w:rFonts w:eastAsia="Times New Roman" w:cs="Arial"/>
                <w:color w:val="000000"/>
                <w:sz w:val="18"/>
                <w:szCs w:val="18"/>
                <w:lang w:eastAsia="en-GB"/>
              </w:rPr>
            </w:pPr>
          </w:p>
        </w:tc>
        <w:tc>
          <w:tcPr>
            <w:tcW w:w="0" w:type="auto"/>
            <w:tcBorders>
              <w:bottom w:val="single" w:sz="12" w:space="0" w:color="FFFFFF" w:themeColor="background1"/>
            </w:tcBorders>
            <w:noWrap/>
            <w:hideMark/>
          </w:tcPr>
          <w:p w14:paraId="541D48FA" w14:textId="77777777" w:rsidR="008B216C" w:rsidRPr="00E61989" w:rsidRDefault="008B216C" w:rsidP="00836AC8">
            <w:pPr>
              <w:spacing w:before="0"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p>
        </w:tc>
        <w:tc>
          <w:tcPr>
            <w:tcW w:w="0" w:type="auto"/>
            <w:noWrap/>
            <w:vAlign w:val="center"/>
            <w:hideMark/>
          </w:tcPr>
          <w:p w14:paraId="0285936A" w14:textId="77777777" w:rsidR="008B216C" w:rsidRPr="00E61989" w:rsidRDefault="008B216C" w:rsidP="00836AC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GB"/>
              </w:rPr>
            </w:pPr>
            <w:r w:rsidRPr="00E61989">
              <w:rPr>
                <w:rFonts w:eastAsia="Times New Roman" w:cs="Arial"/>
                <w:b/>
                <w:bCs/>
                <w:i/>
                <w:iCs/>
                <w:color w:val="000000"/>
                <w:sz w:val="18"/>
                <w:szCs w:val="18"/>
                <w:lang w:eastAsia="en-GB"/>
              </w:rPr>
              <w:t>Total</w:t>
            </w:r>
          </w:p>
        </w:tc>
        <w:tc>
          <w:tcPr>
            <w:tcW w:w="0" w:type="auto"/>
            <w:noWrap/>
            <w:vAlign w:val="center"/>
            <w:hideMark/>
          </w:tcPr>
          <w:p w14:paraId="5974EEE5" w14:textId="77777777" w:rsidR="008B216C" w:rsidRPr="00E61989" w:rsidRDefault="008B216C" w:rsidP="00836AC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GB"/>
              </w:rPr>
            </w:pPr>
            <w:r w:rsidRPr="00E61989">
              <w:rPr>
                <w:rFonts w:eastAsia="Times New Roman" w:cs="Arial"/>
                <w:b/>
                <w:bCs/>
                <w:i/>
                <w:iCs/>
                <w:color w:val="000000"/>
                <w:sz w:val="18"/>
                <w:szCs w:val="18"/>
                <w:lang w:eastAsia="en-GB"/>
              </w:rPr>
              <w:t>222480000</w:t>
            </w:r>
          </w:p>
        </w:tc>
        <w:tc>
          <w:tcPr>
            <w:tcW w:w="0" w:type="auto"/>
            <w:tcBorders>
              <w:bottom w:val="single" w:sz="12" w:space="0" w:color="FFFFFF" w:themeColor="background1"/>
            </w:tcBorders>
            <w:noWrap/>
            <w:hideMark/>
          </w:tcPr>
          <w:p w14:paraId="75FDB988" w14:textId="77777777" w:rsidR="008B216C" w:rsidRPr="00E61989" w:rsidRDefault="008B216C" w:rsidP="00836AC8">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GB"/>
              </w:rPr>
            </w:pPr>
          </w:p>
        </w:tc>
        <w:tc>
          <w:tcPr>
            <w:tcW w:w="0" w:type="auto"/>
            <w:tcBorders>
              <w:bottom w:val="single" w:sz="12" w:space="0" w:color="FFFFFF" w:themeColor="background1"/>
            </w:tcBorders>
            <w:noWrap/>
            <w:hideMark/>
          </w:tcPr>
          <w:p w14:paraId="21C38E4B" w14:textId="77777777" w:rsidR="008B216C" w:rsidRPr="00E61989" w:rsidRDefault="008B216C" w:rsidP="00836AC8">
            <w:pPr>
              <w:spacing w:before="0"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p>
        </w:tc>
        <w:tc>
          <w:tcPr>
            <w:tcW w:w="0" w:type="auto"/>
            <w:tcBorders>
              <w:bottom w:val="single" w:sz="12" w:space="0" w:color="FFFFFF" w:themeColor="background1"/>
            </w:tcBorders>
            <w:noWrap/>
            <w:hideMark/>
          </w:tcPr>
          <w:p w14:paraId="66369EB2" w14:textId="77777777" w:rsidR="008B216C" w:rsidRPr="00E61989" w:rsidRDefault="008B216C" w:rsidP="00836AC8">
            <w:pPr>
              <w:spacing w:before="0"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p>
        </w:tc>
        <w:tc>
          <w:tcPr>
            <w:tcW w:w="0" w:type="auto"/>
            <w:tcBorders>
              <w:bottom w:val="single" w:sz="12" w:space="0" w:color="FFFFFF" w:themeColor="background1"/>
            </w:tcBorders>
            <w:noWrap/>
            <w:hideMark/>
          </w:tcPr>
          <w:p w14:paraId="58730F7E" w14:textId="77777777" w:rsidR="008B216C" w:rsidRPr="00E61989" w:rsidRDefault="008B216C" w:rsidP="00836AC8">
            <w:pPr>
              <w:spacing w:before="0"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p>
        </w:tc>
      </w:tr>
    </w:tbl>
    <w:p w14:paraId="57B9F0CF" w14:textId="028C7B32" w:rsidR="008B216C" w:rsidRDefault="008B216C" w:rsidP="008B216C">
      <w:r>
        <w:t xml:space="preserve">Next it was assumed that the 17 </w:t>
      </w:r>
      <w:r w:rsidR="000C1DAD">
        <w:t>b</w:t>
      </w:r>
      <w:r>
        <w:t>ar transmission ring around the city and the connections to existing MP distribution grid will be excluded from the costing parameters inputted into the model. This was considered an appropriate estimate as transmission was being modelled to the centroid of each zone, which in effect would be an overestimate</w:t>
      </w:r>
      <w:r w:rsidR="005B404E">
        <w:t>.</w:t>
      </w:r>
    </w:p>
    <w:p w14:paraId="13582C57" w14:textId="1C29CB07" w:rsidR="008B216C" w:rsidRDefault="008B216C" w:rsidP="008B216C">
      <w:r>
        <w:t xml:space="preserve">The CAPEX and fixed OPEX </w:t>
      </w:r>
      <w:r w:rsidR="005B404E">
        <w:t>were</w:t>
      </w:r>
      <w:r>
        <w:t xml:space="preserve"> then converted to a £/kW-km basis by taking estimated values regarding the gas velocity and density</w:t>
      </w:r>
      <w:r w:rsidR="000C1DAD">
        <w:t xml:space="preserve"> </w:t>
      </w:r>
      <w:r w:rsidR="000C1DAD">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0C1DAD">
        <w:fldChar w:fldCharType="separate"/>
      </w:r>
      <w:r w:rsidR="00434694">
        <w:rPr>
          <w:noProof/>
        </w:rPr>
        <w:t>[</w:t>
      </w:r>
      <w:hyperlink w:anchor="_ENREF_52" w:tooltip="IEA, 2019 #998" w:history="1">
        <w:r w:rsidR="006210AE">
          <w:rPr>
            <w:noProof/>
          </w:rPr>
          <w:t>52</w:t>
        </w:r>
      </w:hyperlink>
      <w:r w:rsidR="00434694">
        <w:rPr>
          <w:noProof/>
        </w:rPr>
        <w:t>]</w:t>
      </w:r>
      <w:r w:rsidR="000C1DAD">
        <w:fldChar w:fldCharType="end"/>
      </w:r>
      <w:r w:rsidR="005B404E">
        <w:t>, with values of</w:t>
      </w:r>
      <w:r>
        <w:t xml:space="preserve"> 15 m/s and 7.9 kg/m</w:t>
      </w:r>
      <w:r>
        <w:rPr>
          <w:vertAlign w:val="superscript"/>
        </w:rPr>
        <w:t>3</w:t>
      </w:r>
      <w:r>
        <w:t xml:space="preserve"> respectively. These values along with the cross-sectional area of the pipeline where used to calculate the mass flow (kg/s), which was then converted to the energy flow/capacity (kW)</w:t>
      </w:r>
      <w:r w:rsidR="00A20ADA">
        <w:t xml:space="preserve"> (</w:t>
      </w:r>
      <w:r w:rsidR="00A20ADA">
        <w:fldChar w:fldCharType="begin"/>
      </w:r>
      <w:r w:rsidR="00A20ADA">
        <w:instrText xml:space="preserve"> REF _Ref48807351 \h </w:instrText>
      </w:r>
      <w:r w:rsidR="00A20ADA">
        <w:fldChar w:fldCharType="separate"/>
      </w:r>
      <w:r w:rsidR="00403A31" w:rsidRPr="00E46604">
        <w:t xml:space="preserve">Table </w:t>
      </w:r>
      <w:r w:rsidR="00403A31">
        <w:rPr>
          <w:noProof/>
        </w:rPr>
        <w:t>24</w:t>
      </w:r>
      <w:r w:rsidR="00A20ADA">
        <w:fldChar w:fldCharType="end"/>
      </w:r>
      <w:r w:rsidR="00A20ADA">
        <w:t>).</w:t>
      </w:r>
    </w:p>
    <w:p w14:paraId="47E969AE" w14:textId="05BC2E29" w:rsidR="008B216C" w:rsidRPr="00E46604" w:rsidRDefault="008B216C" w:rsidP="00E46604">
      <w:pPr>
        <w:pStyle w:val="Caption"/>
      </w:pPr>
      <w:bookmarkStart w:id="298" w:name="_Ref48807351"/>
      <w:bookmarkStart w:id="299" w:name="_Toc50359174"/>
      <w:r w:rsidRPr="00E46604">
        <w:t xml:space="preserve">Table </w:t>
      </w:r>
      <w:fldSimple w:instr=" SEQ Table \* ARABIC ">
        <w:r w:rsidR="00403A31">
          <w:rPr>
            <w:noProof/>
          </w:rPr>
          <w:t>24</w:t>
        </w:r>
      </w:fldSimple>
      <w:bookmarkEnd w:id="298"/>
      <w:r w:rsidR="00CF4D20">
        <w:t>:</w:t>
      </w:r>
      <w:r w:rsidRPr="00E46604">
        <w:t xml:space="preserve"> Shows the calculated capacity of the two transmission pipelines in the H21 report </w:t>
      </w:r>
      <w:r w:rsidR="000C1DAD">
        <w:fldChar w:fldCharType="begin"/>
      </w:r>
      <w:r w:rsidR="00434694">
        <w:instrText xml:space="preserve"> ADDIN EN.CITE &lt;EndNote&gt;&lt;Cite&gt;&lt;Author&gt;Sadler&lt;/Author&gt;&lt;Year&gt;2016&lt;/Year&gt;&lt;RecNum&gt;926&lt;/RecNum&gt;&lt;DisplayText&gt;[56]&lt;/DisplayText&gt;&lt;record&gt;&lt;rec-number&gt;926&lt;/rec-number&gt;&lt;foreign-keys&gt;&lt;key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0C1DAD">
        <w:fldChar w:fldCharType="separate"/>
      </w:r>
      <w:r w:rsidR="00434694">
        <w:rPr>
          <w:noProof/>
        </w:rPr>
        <w:t>[</w:t>
      </w:r>
      <w:hyperlink w:anchor="_ENREF_56" w:tooltip="Sadler, 2016 #926" w:history="1">
        <w:r w:rsidR="006210AE">
          <w:rPr>
            <w:noProof/>
          </w:rPr>
          <w:t>56</w:t>
        </w:r>
      </w:hyperlink>
      <w:r w:rsidR="00434694">
        <w:rPr>
          <w:noProof/>
        </w:rPr>
        <w:t>]</w:t>
      </w:r>
      <w:r w:rsidR="000C1DAD">
        <w:fldChar w:fldCharType="end"/>
      </w:r>
      <w:r w:rsidRPr="00E46604">
        <w:t>.</w:t>
      </w:r>
      <w:bookmarkEnd w:id="299"/>
    </w:p>
    <w:tbl>
      <w:tblPr>
        <w:tblStyle w:val="PlainTable2"/>
        <w:tblW w:w="8490" w:type="dxa"/>
        <w:jc w:val="center"/>
        <w:tblLook w:val="04A0" w:firstRow="1" w:lastRow="0" w:firstColumn="1" w:lastColumn="0" w:noHBand="0" w:noVBand="1"/>
      </w:tblPr>
      <w:tblGrid>
        <w:gridCol w:w="1363"/>
        <w:gridCol w:w="1259"/>
        <w:gridCol w:w="1177"/>
        <w:gridCol w:w="2139"/>
        <w:gridCol w:w="2329"/>
        <w:gridCol w:w="223"/>
      </w:tblGrid>
      <w:tr w:rsidR="008B216C" w:rsidRPr="00E61989" w14:paraId="2EF6314B" w14:textId="77777777" w:rsidTr="00ED5886">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0881C9D" w14:textId="77777777" w:rsidR="008B216C" w:rsidRPr="00E61989" w:rsidRDefault="008B216C" w:rsidP="00003C7E">
            <w:pPr>
              <w:keepNext/>
              <w:keepLines/>
              <w:widowControl w:val="0"/>
              <w:spacing w:before="0" w:after="0"/>
              <w:jc w:val="center"/>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Diameter (mm)</w:t>
            </w:r>
          </w:p>
        </w:tc>
        <w:tc>
          <w:tcPr>
            <w:tcW w:w="0" w:type="auto"/>
            <w:noWrap/>
            <w:vAlign w:val="center"/>
            <w:hideMark/>
          </w:tcPr>
          <w:p w14:paraId="60BE9C28" w14:textId="77777777" w:rsidR="008B216C" w:rsidRPr="00E61989" w:rsidRDefault="008B216C" w:rsidP="00003C7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CAPEX (£/km)</w:t>
            </w:r>
          </w:p>
        </w:tc>
        <w:tc>
          <w:tcPr>
            <w:tcW w:w="0" w:type="auto"/>
            <w:noWrap/>
            <w:vAlign w:val="center"/>
            <w:hideMark/>
          </w:tcPr>
          <w:p w14:paraId="0B79A4AB" w14:textId="77777777" w:rsidR="008B216C" w:rsidRPr="00E61989" w:rsidRDefault="008B216C" w:rsidP="00003C7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color w:val="000000"/>
                <w:sz w:val="18"/>
                <w:szCs w:val="18"/>
                <w:lang w:eastAsia="en-GB"/>
              </w:rPr>
            </w:pPr>
            <w:r w:rsidRPr="00E61989">
              <w:rPr>
                <w:rFonts w:eastAsia="Times New Roman" w:cs="Arial"/>
                <w:i/>
                <w:iCs/>
                <w:color w:val="000000"/>
                <w:sz w:val="18"/>
                <w:szCs w:val="18"/>
                <w:lang w:eastAsia="en-GB"/>
              </w:rPr>
              <w:t>OPEX (£/</w:t>
            </w:r>
            <w:r>
              <w:rPr>
                <w:rFonts w:eastAsia="Times New Roman" w:cs="Arial"/>
                <w:i/>
                <w:iCs/>
                <w:color w:val="000000"/>
                <w:sz w:val="18"/>
                <w:szCs w:val="18"/>
                <w:lang w:eastAsia="en-GB"/>
              </w:rPr>
              <w:t>km</w:t>
            </w:r>
            <w:r w:rsidRPr="00E61989">
              <w:rPr>
                <w:rFonts w:eastAsia="Times New Roman" w:cs="Arial"/>
                <w:i/>
                <w:iCs/>
                <w:color w:val="000000"/>
                <w:sz w:val="18"/>
                <w:szCs w:val="18"/>
                <w:lang w:eastAsia="en-GB"/>
              </w:rPr>
              <w:t>)</w:t>
            </w:r>
          </w:p>
        </w:tc>
        <w:tc>
          <w:tcPr>
            <w:tcW w:w="0" w:type="auto"/>
            <w:vAlign w:val="center"/>
          </w:tcPr>
          <w:p w14:paraId="54AEEA71" w14:textId="77777777" w:rsidR="008B216C" w:rsidRPr="001A301F" w:rsidRDefault="008B216C" w:rsidP="00003C7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1A301F">
              <w:rPr>
                <w:rFonts w:eastAsia="Times New Roman" w:cs="Arial"/>
                <w:i/>
                <w:iCs/>
                <w:color w:val="000000"/>
                <w:sz w:val="18"/>
                <w:szCs w:val="18"/>
                <w:lang w:eastAsia="en-GB"/>
              </w:rPr>
              <w:t>Cross-Sectional Area (m2)</w:t>
            </w:r>
          </w:p>
        </w:tc>
        <w:tc>
          <w:tcPr>
            <w:tcW w:w="0" w:type="auto"/>
            <w:vAlign w:val="center"/>
          </w:tcPr>
          <w:p w14:paraId="5564E557" w14:textId="77777777" w:rsidR="008B216C" w:rsidRPr="001A301F" w:rsidRDefault="008B216C" w:rsidP="00003C7E">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r w:rsidRPr="001A301F">
              <w:rPr>
                <w:rFonts w:eastAsia="Times New Roman" w:cs="Arial"/>
                <w:i/>
                <w:iCs/>
                <w:color w:val="000000"/>
                <w:sz w:val="18"/>
                <w:szCs w:val="18"/>
                <w:lang w:eastAsia="en-GB"/>
              </w:rPr>
              <w:t>Energy Flow/Capacity (MW)</w:t>
            </w:r>
          </w:p>
        </w:tc>
        <w:tc>
          <w:tcPr>
            <w:tcW w:w="0" w:type="auto"/>
          </w:tcPr>
          <w:p w14:paraId="1ABF10DA" w14:textId="77777777" w:rsidR="008B216C" w:rsidRPr="001A301F" w:rsidRDefault="008B216C" w:rsidP="008A16B6">
            <w:pPr>
              <w:keepNext/>
              <w:keepLines/>
              <w:widowControl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GB"/>
              </w:rPr>
            </w:pPr>
          </w:p>
        </w:tc>
      </w:tr>
      <w:tr w:rsidR="008B216C" w:rsidRPr="00E61989" w14:paraId="51ADB9D3" w14:textId="77777777" w:rsidTr="00ED5886">
        <w:trPr>
          <w:cnfStyle w:val="000000100000" w:firstRow="0" w:lastRow="0" w:firstColumn="0" w:lastColumn="0" w:oddVBand="0" w:evenVBand="0" w:oddHBand="1" w:evenHBand="0" w:firstRowFirstColumn="0" w:firstRowLastColumn="0" w:lastRowFirstColumn="0" w:lastRowLastColumn="0"/>
          <w:trHeight w:val="88"/>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CDE9A1" w14:textId="77777777" w:rsidR="008B216C" w:rsidRPr="00E61989" w:rsidRDefault="008B216C" w:rsidP="00003C7E">
            <w:pPr>
              <w:keepNext/>
              <w:keepLines/>
              <w:widowControl w:val="0"/>
              <w:spacing w:before="0" w:after="0"/>
              <w:jc w:val="center"/>
              <w:rPr>
                <w:rFonts w:eastAsia="Times New Roman" w:cs="Arial"/>
                <w:color w:val="000000"/>
                <w:sz w:val="18"/>
                <w:szCs w:val="18"/>
                <w:lang w:eastAsia="en-GB"/>
              </w:rPr>
            </w:pPr>
            <w:r w:rsidRPr="00E61989">
              <w:rPr>
                <w:rFonts w:eastAsia="Times New Roman" w:cs="Arial"/>
                <w:color w:val="000000"/>
                <w:sz w:val="18"/>
                <w:szCs w:val="18"/>
                <w:lang w:eastAsia="en-GB"/>
              </w:rPr>
              <w:t>650</w:t>
            </w:r>
          </w:p>
        </w:tc>
        <w:tc>
          <w:tcPr>
            <w:tcW w:w="0" w:type="auto"/>
            <w:noWrap/>
            <w:vAlign w:val="center"/>
            <w:hideMark/>
          </w:tcPr>
          <w:p w14:paraId="3788A818" w14:textId="77777777" w:rsidR="008B216C" w:rsidRPr="00E61989" w:rsidRDefault="008B216C" w:rsidP="00003C7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1097280.70</w:t>
            </w:r>
          </w:p>
        </w:tc>
        <w:tc>
          <w:tcPr>
            <w:tcW w:w="0" w:type="auto"/>
            <w:noWrap/>
            <w:vAlign w:val="center"/>
            <w:hideMark/>
          </w:tcPr>
          <w:p w14:paraId="10A57C0F" w14:textId="77777777" w:rsidR="008B216C" w:rsidRPr="00E61989" w:rsidRDefault="008B216C" w:rsidP="00003C7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2466.02</w:t>
            </w:r>
          </w:p>
        </w:tc>
        <w:tc>
          <w:tcPr>
            <w:tcW w:w="0" w:type="auto"/>
            <w:vAlign w:val="center"/>
          </w:tcPr>
          <w:p w14:paraId="37950F09" w14:textId="77777777" w:rsidR="008B216C" w:rsidRPr="001A301F" w:rsidRDefault="008B216C" w:rsidP="00003C7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1A301F">
              <w:rPr>
                <w:rFonts w:eastAsia="Times New Roman" w:cs="Arial"/>
                <w:color w:val="000000"/>
                <w:sz w:val="18"/>
                <w:szCs w:val="18"/>
                <w:lang w:eastAsia="en-GB"/>
              </w:rPr>
              <w:t>0.332</w:t>
            </w:r>
          </w:p>
        </w:tc>
        <w:tc>
          <w:tcPr>
            <w:tcW w:w="0" w:type="auto"/>
            <w:vAlign w:val="center"/>
          </w:tcPr>
          <w:p w14:paraId="6C6E9FF6" w14:textId="77777777" w:rsidR="008B216C" w:rsidRPr="001A301F" w:rsidRDefault="008B216C" w:rsidP="00003C7E">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1A301F">
              <w:rPr>
                <w:rFonts w:eastAsia="Times New Roman" w:cs="Arial"/>
                <w:color w:val="000000"/>
                <w:sz w:val="18"/>
                <w:szCs w:val="18"/>
                <w:lang w:eastAsia="en-GB"/>
              </w:rPr>
              <w:t>4713.91</w:t>
            </w:r>
          </w:p>
        </w:tc>
        <w:tc>
          <w:tcPr>
            <w:tcW w:w="0" w:type="auto"/>
          </w:tcPr>
          <w:p w14:paraId="6AFB9C72" w14:textId="77777777" w:rsidR="008B216C" w:rsidRPr="001A301F" w:rsidRDefault="008B216C" w:rsidP="008A16B6">
            <w:pPr>
              <w:keepNext/>
              <w:keepLines/>
              <w:widowControl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p>
        </w:tc>
      </w:tr>
      <w:tr w:rsidR="008B216C" w:rsidRPr="00E61989" w14:paraId="48F3A1B9" w14:textId="77777777" w:rsidTr="00ED5886">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BEA999" w14:textId="77777777" w:rsidR="008B216C" w:rsidRPr="00E61989" w:rsidRDefault="008B216C" w:rsidP="00003C7E">
            <w:pPr>
              <w:spacing w:before="0" w:after="0"/>
              <w:jc w:val="center"/>
              <w:rPr>
                <w:rFonts w:eastAsia="Times New Roman" w:cs="Arial"/>
                <w:color w:val="000000"/>
                <w:sz w:val="18"/>
                <w:szCs w:val="18"/>
                <w:lang w:eastAsia="en-GB"/>
              </w:rPr>
            </w:pPr>
            <w:r w:rsidRPr="00E61989">
              <w:rPr>
                <w:rFonts w:eastAsia="Times New Roman" w:cs="Arial"/>
                <w:color w:val="000000"/>
                <w:sz w:val="18"/>
                <w:szCs w:val="18"/>
                <w:lang w:eastAsia="en-GB"/>
              </w:rPr>
              <w:t>450</w:t>
            </w:r>
          </w:p>
        </w:tc>
        <w:tc>
          <w:tcPr>
            <w:tcW w:w="0" w:type="auto"/>
            <w:noWrap/>
            <w:vAlign w:val="center"/>
            <w:hideMark/>
          </w:tcPr>
          <w:p w14:paraId="7D7D132B" w14:textId="77777777" w:rsidR="008B216C" w:rsidRPr="00E61989" w:rsidRDefault="008B216C" w:rsidP="00003C7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61989">
              <w:rPr>
                <w:rFonts w:eastAsia="Times New Roman" w:cs="Arial"/>
                <w:color w:val="000000"/>
                <w:sz w:val="18"/>
                <w:szCs w:val="18"/>
                <w:lang w:eastAsia="en-GB"/>
              </w:rPr>
              <w:t>934210.53</w:t>
            </w:r>
          </w:p>
        </w:tc>
        <w:tc>
          <w:tcPr>
            <w:tcW w:w="0" w:type="auto"/>
            <w:noWrap/>
            <w:vAlign w:val="center"/>
            <w:hideMark/>
          </w:tcPr>
          <w:p w14:paraId="4255487D" w14:textId="77777777" w:rsidR="008B216C" w:rsidRPr="00E61989" w:rsidRDefault="008B216C" w:rsidP="00003C7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2099.54</w:t>
            </w:r>
          </w:p>
        </w:tc>
        <w:tc>
          <w:tcPr>
            <w:tcW w:w="0" w:type="auto"/>
            <w:vAlign w:val="center"/>
          </w:tcPr>
          <w:p w14:paraId="5CCAC497" w14:textId="77777777" w:rsidR="008B216C" w:rsidRPr="001A301F" w:rsidRDefault="008B216C" w:rsidP="00003C7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1A301F">
              <w:rPr>
                <w:rFonts w:eastAsia="Times New Roman" w:cs="Arial"/>
                <w:color w:val="000000"/>
                <w:sz w:val="18"/>
                <w:szCs w:val="18"/>
                <w:lang w:eastAsia="en-GB"/>
              </w:rPr>
              <w:t>0.159</w:t>
            </w:r>
          </w:p>
        </w:tc>
        <w:tc>
          <w:tcPr>
            <w:tcW w:w="0" w:type="auto"/>
            <w:vAlign w:val="center"/>
          </w:tcPr>
          <w:p w14:paraId="69E4C53F" w14:textId="77777777" w:rsidR="008B216C" w:rsidRPr="001A301F" w:rsidRDefault="008B216C" w:rsidP="00003C7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1A301F">
              <w:rPr>
                <w:rFonts w:eastAsia="Times New Roman" w:cs="Arial"/>
                <w:color w:val="000000"/>
                <w:sz w:val="18"/>
                <w:szCs w:val="18"/>
                <w:lang w:eastAsia="en-GB"/>
              </w:rPr>
              <w:t>2259.33</w:t>
            </w:r>
          </w:p>
        </w:tc>
        <w:tc>
          <w:tcPr>
            <w:tcW w:w="0" w:type="auto"/>
          </w:tcPr>
          <w:p w14:paraId="086FED6A" w14:textId="77777777" w:rsidR="008B216C" w:rsidRPr="001A301F" w:rsidRDefault="008B216C" w:rsidP="008A16B6">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
        </w:tc>
      </w:tr>
    </w:tbl>
    <w:p w14:paraId="40ADC616" w14:textId="51730F2C" w:rsidR="008B216C" w:rsidRPr="00971DDE" w:rsidRDefault="008B216C" w:rsidP="008B216C">
      <w:r>
        <w:t>These estimated capacities where then used to convert the CAPEX and fixed OPEX to a £/kW-km basis</w:t>
      </w:r>
      <w:r w:rsidR="00A20ADA">
        <w:t xml:space="preserve">, </w:t>
      </w:r>
      <w:r>
        <w:t>by plotting a graph of cost (£/km) against capacity (kW) and</w:t>
      </w:r>
      <w:r w:rsidR="00395938">
        <w:t xml:space="preserve">, </w:t>
      </w:r>
      <w:r>
        <w:t xml:space="preserve">drawing a linear </w:t>
      </w:r>
      <w:r w:rsidR="00395938">
        <w:t>regression through the points</w:t>
      </w:r>
      <w:r>
        <w:t xml:space="preserve"> </w:t>
      </w:r>
      <w:r w:rsidR="00395938">
        <w:t>(</w:t>
      </w:r>
      <w:r>
        <w:fldChar w:fldCharType="begin"/>
      </w:r>
      <w:r>
        <w:instrText xml:space="preserve"> REF _Ref48808701 \h </w:instrText>
      </w:r>
      <w:r>
        <w:fldChar w:fldCharType="separate"/>
      </w:r>
      <w:r w:rsidR="00403A31">
        <w:t xml:space="preserve">Figure </w:t>
      </w:r>
      <w:r w:rsidR="00403A31">
        <w:rPr>
          <w:noProof/>
        </w:rPr>
        <w:t>53</w:t>
      </w:r>
      <w:r>
        <w:fldChar w:fldCharType="end"/>
      </w:r>
      <w:r>
        <w:t xml:space="preserve"> and </w:t>
      </w:r>
      <w:r>
        <w:fldChar w:fldCharType="begin"/>
      </w:r>
      <w:r>
        <w:instrText xml:space="preserve"> REF _Ref48808702 \h </w:instrText>
      </w:r>
      <w:r>
        <w:fldChar w:fldCharType="separate"/>
      </w:r>
      <w:r w:rsidR="00403A31">
        <w:t xml:space="preserve">Figure </w:t>
      </w:r>
      <w:r w:rsidR="00403A31">
        <w:rPr>
          <w:noProof/>
        </w:rPr>
        <w:t>54</w:t>
      </w:r>
      <w:r>
        <w:fldChar w:fldCharType="end"/>
      </w:r>
      <w:r w:rsidR="00395938">
        <w:t>)</w:t>
      </w:r>
      <w:r>
        <w:t xml:space="preserve">. </w:t>
      </w:r>
      <w:r w:rsidR="00244784">
        <w:t>Finally, the fixed annual OPEX (£/kW-km) was converted to a percentage of the CAPEX (£/kW-km).</w:t>
      </w: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5318"/>
      </w:tblGrid>
      <w:tr w:rsidR="008B216C" w14:paraId="7D16BCAF" w14:textId="77777777" w:rsidTr="008B216C">
        <w:tc>
          <w:tcPr>
            <w:tcW w:w="5346" w:type="dxa"/>
          </w:tcPr>
          <w:p w14:paraId="659512A1" w14:textId="77777777" w:rsidR="008B216C" w:rsidRDefault="008B216C" w:rsidP="008B216C">
            <w:pPr>
              <w:keepNext/>
            </w:pPr>
            <w:r>
              <w:rPr>
                <w:noProof/>
              </w:rPr>
              <w:lastRenderedPageBreak/>
              <w:drawing>
                <wp:inline distT="0" distB="0" distL="0" distR="0" wp14:anchorId="0A01B5A8" wp14:editId="3ED66737">
                  <wp:extent cx="3240000" cy="2034000"/>
                  <wp:effectExtent l="0" t="0" r="0" b="4445"/>
                  <wp:docPr id="17" name="Chart 17">
                    <a:extLst xmlns:a="http://schemas.openxmlformats.org/drawingml/2006/main">
                      <a:ext uri="{FF2B5EF4-FFF2-40B4-BE49-F238E27FC236}">
                        <a16:creationId xmlns:a16="http://schemas.microsoft.com/office/drawing/2014/main" id="{85B31777-15D6-4909-9B5E-2FCBBB7406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2F8A61F" w14:textId="4619F2C3" w:rsidR="008B216C" w:rsidRDefault="008B216C" w:rsidP="008B216C">
            <w:pPr>
              <w:pStyle w:val="Caption"/>
            </w:pPr>
            <w:bookmarkStart w:id="300" w:name="_Ref48808701"/>
            <w:bookmarkStart w:id="301" w:name="_Toc50359120"/>
            <w:r>
              <w:t xml:space="preserve">Figure </w:t>
            </w:r>
            <w:fldSimple w:instr=" SEQ Figure \* ARABIC ">
              <w:r w:rsidR="00403A31">
                <w:rPr>
                  <w:noProof/>
                </w:rPr>
                <w:t>53</w:t>
              </w:r>
            </w:fldSimple>
            <w:bookmarkEnd w:id="300"/>
            <w:r w:rsidR="00ED5886">
              <w:rPr>
                <w:noProof/>
              </w:rPr>
              <w:t xml:space="preserve">: </w:t>
            </w:r>
            <w:r w:rsidR="00A20ADA">
              <w:t>T</w:t>
            </w:r>
            <w:r>
              <w:t xml:space="preserve">ransmission pipeline CAPEX (£m/km) </w:t>
            </w:r>
            <w:r w:rsidR="00A20ADA">
              <w:t>against</w:t>
            </w:r>
            <w:r>
              <w:t xml:space="preserve"> pipeline capacity (kW</w:t>
            </w:r>
            <w:bookmarkEnd w:id="301"/>
            <w:r w:rsidR="00A20ADA">
              <w:t>).</w:t>
            </w:r>
          </w:p>
        </w:tc>
        <w:tc>
          <w:tcPr>
            <w:tcW w:w="5144" w:type="dxa"/>
          </w:tcPr>
          <w:p w14:paraId="3809C1DD" w14:textId="77777777" w:rsidR="008B216C" w:rsidRDefault="008B216C" w:rsidP="008B216C">
            <w:pPr>
              <w:keepNext/>
            </w:pPr>
            <w:r>
              <w:rPr>
                <w:noProof/>
              </w:rPr>
              <w:drawing>
                <wp:inline distT="0" distB="0" distL="0" distR="0" wp14:anchorId="41683AE6" wp14:editId="42429195">
                  <wp:extent cx="3240000" cy="2034000"/>
                  <wp:effectExtent l="0" t="0" r="0" b="4445"/>
                  <wp:docPr id="19" name="Chart 19">
                    <a:extLst xmlns:a="http://schemas.openxmlformats.org/drawingml/2006/main">
                      <a:ext uri="{FF2B5EF4-FFF2-40B4-BE49-F238E27FC236}">
                        <a16:creationId xmlns:a16="http://schemas.microsoft.com/office/drawing/2014/main" id="{0FB2E930-4C88-42D8-93AA-E52F8EEA6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95F0384" w14:textId="728B27AC" w:rsidR="008B216C" w:rsidRDefault="008B216C" w:rsidP="008B216C">
            <w:pPr>
              <w:pStyle w:val="Caption"/>
            </w:pPr>
            <w:bookmarkStart w:id="302" w:name="_Ref48808702"/>
            <w:bookmarkStart w:id="303" w:name="_Toc50359121"/>
            <w:r>
              <w:t xml:space="preserve">Figure </w:t>
            </w:r>
            <w:fldSimple w:instr=" SEQ Figure \* ARABIC ">
              <w:r w:rsidR="00403A31">
                <w:rPr>
                  <w:noProof/>
                </w:rPr>
                <w:t>54</w:t>
              </w:r>
            </w:fldSimple>
            <w:bookmarkEnd w:id="302"/>
            <w:r w:rsidR="00ED5886">
              <w:rPr>
                <w:noProof/>
              </w:rPr>
              <w:t xml:space="preserve">: </w:t>
            </w:r>
            <w:r w:rsidR="00A20ADA">
              <w:t>T</w:t>
            </w:r>
            <w:r>
              <w:t>ransmission pipeline OPEX (£m/km) against pipeline capacity (kW)</w:t>
            </w:r>
            <w:r w:rsidR="00A20ADA">
              <w:t>.</w:t>
            </w:r>
            <w:bookmarkEnd w:id="303"/>
          </w:p>
        </w:tc>
      </w:tr>
    </w:tbl>
    <w:p w14:paraId="14857FD9" w14:textId="598653C6" w:rsidR="008B216C" w:rsidRDefault="008B216C" w:rsidP="008B216C">
      <w:pPr>
        <w:pStyle w:val="Heading8"/>
      </w:pPr>
      <w:bookmarkStart w:id="304" w:name="_Ref48992431"/>
      <w:bookmarkStart w:id="305" w:name="_Ref48992436"/>
      <w:bookmarkStart w:id="306" w:name="_Toc50359480"/>
      <w:r>
        <w:t>Truck Transmission</w:t>
      </w:r>
      <w:bookmarkEnd w:id="304"/>
      <w:bookmarkEnd w:id="305"/>
      <w:bookmarkEnd w:id="306"/>
      <w:r w:rsidR="00A129B8">
        <w:t xml:space="preserve"> (CH</w:t>
      </w:r>
      <w:r w:rsidR="00A129B8" w:rsidRPr="00A129B8">
        <w:rPr>
          <w:vertAlign w:val="subscript"/>
        </w:rPr>
        <w:t xml:space="preserve">2 </w:t>
      </w:r>
      <w:r w:rsidR="00A129B8">
        <w:t>and LH</w:t>
      </w:r>
      <w:r w:rsidR="00A129B8" w:rsidRPr="00A129B8">
        <w:rPr>
          <w:vertAlign w:val="subscript"/>
        </w:rPr>
        <w:t>2</w:t>
      </w:r>
      <w:r w:rsidR="00A129B8">
        <w:t>)</w:t>
      </w:r>
    </w:p>
    <w:p w14:paraId="608672C2" w14:textId="093A3689" w:rsidR="008B216C" w:rsidRDefault="008B216C" w:rsidP="008B216C">
      <w:r>
        <w:t>The bas</w:t>
      </w:r>
      <w:r w:rsidR="00172A76">
        <w:t>e</w:t>
      </w:r>
      <w:r>
        <w:t xml:space="preserve"> truck transmission techno-economic parameters </w:t>
      </w:r>
      <w:r w:rsidR="00D415C9">
        <w:t>were taken from</w:t>
      </w:r>
      <w:r w:rsidR="000C1DAD">
        <w:t xml:space="preserve"> </w:t>
      </w:r>
      <w:r w:rsidR="000C1DAD">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0C1DAD">
        <w:fldChar w:fldCharType="separate"/>
      </w:r>
      <w:r w:rsidR="00434694">
        <w:rPr>
          <w:noProof/>
        </w:rPr>
        <w:t>[</w:t>
      </w:r>
      <w:hyperlink w:anchor="_ENREF_52" w:tooltip="IEA, 2019 #998" w:history="1">
        <w:r w:rsidR="006210AE">
          <w:rPr>
            <w:noProof/>
          </w:rPr>
          <w:t>52</w:t>
        </w:r>
      </w:hyperlink>
      <w:r w:rsidR="00434694">
        <w:rPr>
          <w:noProof/>
        </w:rPr>
        <w:t>]</w:t>
      </w:r>
      <w:r w:rsidR="000C1DAD">
        <w:fldChar w:fldCharType="end"/>
      </w:r>
      <w:r>
        <w:t xml:space="preserve">. CAPEX was converted to a £/kW-km basis by </w:t>
      </w:r>
      <w:r w:rsidR="00172A76">
        <w:t xml:space="preserve">dividing </w:t>
      </w:r>
      <w:r>
        <w:t xml:space="preserve">the capital cost of a truck estimated to be 140,600 (£/unit) </w:t>
      </w:r>
      <w:r w:rsidR="00172A76">
        <w:t>(</w:t>
      </w:r>
      <w:r>
        <w:t>after adjusting for currency</w:t>
      </w:r>
      <w:r w:rsidR="00172A76">
        <w:t>)</w:t>
      </w:r>
      <w:r>
        <w:t xml:space="preserve">, by </w:t>
      </w:r>
      <w:r w:rsidR="00172A76">
        <w:t>its</w:t>
      </w:r>
      <w:r>
        <w:t xml:space="preserve"> estimated capacity and speed. The capacity was selected to be 1,100 (kg/unit)</w:t>
      </w:r>
      <w:r w:rsidR="000C1DAD">
        <w:t xml:space="preserve"> </w:t>
      </w:r>
      <w:r w:rsidR="000C1DAD">
        <w:fldChar w:fldCharType="begin"/>
      </w:r>
      <w:r w:rsidR="006210AE">
        <w:instrText xml:space="preserve"> ADDIN EN.CITE &lt;EndNote&gt;&lt;Cite&gt;&lt;Author&gt;Hydrogen Europe&lt;/Author&gt;&lt;RecNum&gt;1002&lt;/RecNum&gt;&lt;DisplayText&gt;[79]&lt;/DisplayText&gt;&lt;record&gt;&lt;rec-number&gt;1002&lt;/rec-number&gt;&lt;foreign-keys&gt;&lt;key app="EN" db-id="w500zpaaheraz8epaw1p29dtf2ff9zrswv50" timestamp="1607697901"&gt;1002&lt;/key&gt;&lt;/foreign-keys&gt;&lt;ref-type name="Web Page"&gt;12&lt;/ref-type&gt;&lt;contributors&gt;&lt;authors&gt;&lt;author&gt;Hydrogen Europe,&lt;/author&gt;&lt;/authors&gt;&lt;/contributors&gt;&lt;titles&gt;&lt;title&gt;Hydrogen Europe - Hydrogen transport &amp;amp; distribution&lt;/title&gt;&lt;/titles&gt;&lt;dates&gt;&lt;/dates&gt;&lt;urls&gt;&lt;related-urls&gt;&lt;url&gt;https://hydrogeneurope.eu/hydrogen-transport-distribution&lt;/url&gt;&lt;/related-urls&gt;&lt;/urls&gt;&lt;/record&gt;&lt;/Cite&gt;&lt;/EndNote&gt;</w:instrText>
      </w:r>
      <w:r w:rsidR="000C1DAD">
        <w:fldChar w:fldCharType="separate"/>
      </w:r>
      <w:r w:rsidR="006210AE">
        <w:rPr>
          <w:noProof/>
        </w:rPr>
        <w:t>[</w:t>
      </w:r>
      <w:hyperlink w:anchor="_ENREF_79" w:tooltip="Hydrogen Europe,  #1002" w:history="1">
        <w:r w:rsidR="006210AE">
          <w:rPr>
            <w:noProof/>
          </w:rPr>
          <w:t>79</w:t>
        </w:r>
      </w:hyperlink>
      <w:r w:rsidR="006210AE">
        <w:rPr>
          <w:noProof/>
        </w:rPr>
        <w:t>]</w:t>
      </w:r>
      <w:r w:rsidR="000C1DAD">
        <w:fldChar w:fldCharType="end"/>
      </w:r>
      <w:r>
        <w:t xml:space="preserve"> (36,630 kWh/unit when converted to an energy basis), and the average truck speed </w:t>
      </w:r>
      <w:r w:rsidR="00172A76">
        <w:t>assumed as</w:t>
      </w:r>
      <w:r>
        <w:t xml:space="preserve"> 50 km/h </w:t>
      </w:r>
      <w:r w:rsidR="004253EE">
        <w:fldChar w:fldCharType="begin"/>
      </w:r>
      <w:r w:rsidR="004253EE">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4253EE">
        <w:fldChar w:fldCharType="separate"/>
      </w:r>
      <w:r w:rsidR="004253EE">
        <w:rPr>
          <w:noProof/>
        </w:rPr>
        <w:t>[</w:t>
      </w:r>
      <w:hyperlink w:anchor="_ENREF_12" w:tooltip="Murthy Konda, 2011 #968" w:history="1">
        <w:r w:rsidR="006210AE">
          <w:rPr>
            <w:noProof/>
          </w:rPr>
          <w:t>12</w:t>
        </w:r>
      </w:hyperlink>
      <w:r w:rsidR="004253EE">
        <w:rPr>
          <w:noProof/>
        </w:rPr>
        <w:t>]</w:t>
      </w:r>
      <w:r w:rsidR="004253EE">
        <w:fldChar w:fldCharType="end"/>
      </w:r>
      <w:r>
        <w:t>. Equation</w:t>
      </w:r>
      <w:r w:rsidR="00ED5886">
        <w:t xml:space="preserve"> (C.4)</w:t>
      </w:r>
      <w:r>
        <w:t xml:space="preserve"> shows this calculation.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8B216C" w14:paraId="10C8F5B1" w14:textId="77777777" w:rsidTr="008B216C">
        <w:tc>
          <w:tcPr>
            <w:tcW w:w="250" w:type="pct"/>
            <w:shd w:val="clear" w:color="auto" w:fill="auto"/>
          </w:tcPr>
          <w:p w14:paraId="20ED6EE5" w14:textId="77777777" w:rsidR="008B216C" w:rsidRDefault="008B216C" w:rsidP="008B216C"/>
        </w:tc>
        <w:tc>
          <w:tcPr>
            <w:tcW w:w="4500" w:type="pct"/>
            <w:shd w:val="clear" w:color="auto" w:fill="auto"/>
            <w:vAlign w:val="center"/>
          </w:tcPr>
          <w:p w14:paraId="4FC408AE" w14:textId="3271C65D" w:rsidR="008B216C" w:rsidRDefault="008B216C" w:rsidP="008B216C">
            <w:pPr>
              <w:jc w:val="center"/>
            </w:pPr>
            <m:oMathPara>
              <m:oMath>
                <m:r>
                  <w:rPr>
                    <w:rFonts w:ascii="Cambria Math" w:hAnsi="Cambria Math"/>
                  </w:rPr>
                  <m:t>CAPEX</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kW∙km</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140600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unit</m:t>
                            </m:r>
                          </m:den>
                        </m:f>
                      </m:e>
                    </m:d>
                  </m:num>
                  <m:den>
                    <m:r>
                      <w:rPr>
                        <w:rFonts w:ascii="Cambria Math" w:eastAsiaTheme="minorEastAsia" w:hAnsi="Cambria Math"/>
                      </w:rPr>
                      <m:t>36630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r>
                      <w:rPr>
                        <w:rFonts w:ascii="Cambria Math" w:eastAsiaTheme="minorEastAsia" w:hAnsi="Cambria Math"/>
                      </w:rPr>
                      <m:t>⋅50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km</m:t>
                            </m:r>
                          </m:num>
                          <m:den>
                            <m:r>
                              <w:rPr>
                                <w:rFonts w:ascii="Cambria Math" w:eastAsiaTheme="minorEastAsia" w:hAnsi="Cambria Math"/>
                              </w:rPr>
                              <m:t>h</m:t>
                            </m:r>
                          </m:den>
                        </m:f>
                      </m:e>
                    </m:d>
                  </m:den>
                </m:f>
                <m:r>
                  <w:rPr>
                    <w:rFonts w:ascii="Cambria Math" w:eastAsiaTheme="minorEastAsia" w:hAnsi="Cambria Math"/>
                  </w:rPr>
                  <m:t>=7.68⋅</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kW∙km</m:t>
                        </m:r>
                      </m:den>
                    </m:f>
                  </m:e>
                </m:d>
              </m:oMath>
            </m:oMathPara>
          </w:p>
        </w:tc>
        <w:tc>
          <w:tcPr>
            <w:tcW w:w="250" w:type="pct"/>
            <w:shd w:val="clear" w:color="auto" w:fill="auto"/>
            <w:vAlign w:val="center"/>
          </w:tcPr>
          <w:p w14:paraId="2E8DCB9C" w14:textId="1786CA1D" w:rsidR="008B216C" w:rsidRPr="00BF2BA0" w:rsidRDefault="008B216C" w:rsidP="008B216C">
            <w:pPr>
              <w:jc w:val="center"/>
            </w:pPr>
            <w:bookmarkStart w:id="307" w:name="_Ref48812456"/>
            <w:r w:rsidRPr="00BF2BA0">
              <w:t>(</w:t>
            </w:r>
            <w:r w:rsidR="001C1DD0">
              <w:t>C.4</w:t>
            </w:r>
            <w:r w:rsidRPr="00BF2BA0">
              <w:t>)</w:t>
            </w:r>
            <w:bookmarkEnd w:id="307"/>
          </w:p>
        </w:tc>
      </w:tr>
    </w:tbl>
    <w:p w14:paraId="08864EDC" w14:textId="01650196" w:rsidR="008B216C" w:rsidRDefault="008B216C" w:rsidP="008B216C">
      <w:r>
        <w:t>The variable OPEX takes into consideration the cost of fuel and labour. Fuel costs were calculated using the estimated fuel cost of 0.988 £/L</w:t>
      </w:r>
      <w:r w:rsidR="00172A76">
        <w:t xml:space="preserve"> and the</w:t>
      </w:r>
      <w:r>
        <w:t xml:space="preserve"> estimated fuel efficiency of 2.55 km/L </w:t>
      </w:r>
      <w:r w:rsidR="004253EE">
        <w:fldChar w:fldCharType="begin"/>
      </w:r>
      <w:r w:rsidR="004253EE">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4253EE">
        <w:fldChar w:fldCharType="separate"/>
      </w:r>
      <w:r w:rsidR="004253EE">
        <w:rPr>
          <w:noProof/>
        </w:rPr>
        <w:t>[</w:t>
      </w:r>
      <w:hyperlink w:anchor="_ENREF_12" w:tooltip="Murthy Konda, 2011 #968" w:history="1">
        <w:r w:rsidR="006210AE">
          <w:rPr>
            <w:noProof/>
          </w:rPr>
          <w:t>12</w:t>
        </w:r>
      </w:hyperlink>
      <w:r w:rsidR="004253EE">
        <w:rPr>
          <w:noProof/>
        </w:rPr>
        <w:t>]</w:t>
      </w:r>
      <w:r w:rsidR="004253EE">
        <w:fldChar w:fldCharType="end"/>
      </w:r>
      <w:r>
        <w:t xml:space="preserve">; and the aforementioned estimated </w:t>
      </w:r>
      <w:r w:rsidR="00172A76">
        <w:t>truck capacity</w:t>
      </w:r>
      <w:r>
        <w:t xml:space="preserve">. The labour costs were calculated using </w:t>
      </w:r>
      <w:r w:rsidR="00172A76">
        <w:t>an</w:t>
      </w:r>
      <w:r>
        <w:t xml:space="preserve"> estimated d</w:t>
      </w:r>
      <w:r w:rsidR="00172A76">
        <w:t>r</w:t>
      </w:r>
      <w:r>
        <w:t>iver wage of £17.48 per hour</w:t>
      </w:r>
      <w:r w:rsidR="004253EE">
        <w:t xml:space="preserve"> </w:t>
      </w:r>
      <w:r w:rsidR="004253EE">
        <w:fldChar w:fldCharType="begin"/>
      </w:r>
      <w:r w:rsidR="004253EE">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4253EE">
        <w:fldChar w:fldCharType="separate"/>
      </w:r>
      <w:r w:rsidR="004253EE">
        <w:rPr>
          <w:noProof/>
        </w:rPr>
        <w:t>[</w:t>
      </w:r>
      <w:hyperlink w:anchor="_ENREF_12" w:tooltip="Murthy Konda, 2011 #968" w:history="1">
        <w:r w:rsidR="006210AE">
          <w:rPr>
            <w:noProof/>
          </w:rPr>
          <w:t>12</w:t>
        </w:r>
      </w:hyperlink>
      <w:r w:rsidR="004253EE">
        <w:rPr>
          <w:noProof/>
        </w:rPr>
        <w:t>]</w:t>
      </w:r>
      <w:r w:rsidR="004253EE">
        <w:fldChar w:fldCharType="end"/>
      </w:r>
      <w:r>
        <w:t>; the aforementioned average speed of the truck; and the capacity of a vehicle.</w:t>
      </w:r>
      <w:r w:rsidR="00172A76">
        <w:t xml:space="preserve"> This is shown in Equation</w:t>
      </w:r>
      <w:r w:rsidR="00ED5886">
        <w:t xml:space="preserve"> (C.5)</w:t>
      </w:r>
      <w:r w:rsidR="00172A76">
        <w:t>.</w:t>
      </w:r>
      <w: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8B216C" w14:paraId="6C51D30D" w14:textId="77777777" w:rsidTr="008B216C">
        <w:tc>
          <w:tcPr>
            <w:tcW w:w="250" w:type="pct"/>
            <w:shd w:val="clear" w:color="auto" w:fill="auto"/>
          </w:tcPr>
          <w:p w14:paraId="238C134F" w14:textId="77777777" w:rsidR="008B216C" w:rsidRDefault="008B216C" w:rsidP="008B216C"/>
        </w:tc>
        <w:tc>
          <w:tcPr>
            <w:tcW w:w="4500" w:type="pct"/>
            <w:shd w:val="clear" w:color="auto" w:fill="auto"/>
            <w:vAlign w:val="center"/>
          </w:tcPr>
          <w:p w14:paraId="4FCD78D1" w14:textId="77777777" w:rsidR="008B216C" w:rsidRDefault="008B216C" w:rsidP="008B216C">
            <w:pPr>
              <w:jc w:val="center"/>
            </w:pPr>
            <m:oMathPara>
              <m:oMath>
                <m:r>
                  <w:rPr>
                    <w:rFonts w:ascii="Cambria Math" w:hAnsi="Cambria Math"/>
                  </w:rPr>
                  <m:t>Variable OPEX=</m:t>
                </m:r>
                <m:d>
                  <m:dPr>
                    <m:begChr m:val="["/>
                    <m:endChr m:val="]"/>
                    <m:ctrlPr>
                      <w:rPr>
                        <w:rFonts w:ascii="Cambria Math" w:hAnsi="Cambria Math"/>
                        <w:i/>
                      </w:rPr>
                    </m:ctrlPr>
                  </m:dPr>
                  <m:e>
                    <m:f>
                      <m:fPr>
                        <m:ctrlPr>
                          <w:rPr>
                            <w:rFonts w:ascii="Cambria Math" w:hAnsi="Cambria Math"/>
                            <w:i/>
                          </w:rPr>
                        </m:ctrlPr>
                      </m:fPr>
                      <m:num>
                        <m:r>
                          <w:rPr>
                            <w:rFonts w:ascii="Cambria Math" w:hAnsi="Cambria Math"/>
                          </w:rPr>
                          <m:t>0.988</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L</m:t>
                                </m:r>
                              </m:den>
                            </m:f>
                          </m:e>
                        </m:d>
                      </m:num>
                      <m:den>
                        <m:r>
                          <w:rPr>
                            <w:rFonts w:ascii="Cambria Math" w:hAnsi="Cambria Math"/>
                          </w:rPr>
                          <m:t>2.55</m:t>
                        </m:r>
                        <m:d>
                          <m:dPr>
                            <m:ctrlPr>
                              <w:rPr>
                                <w:rFonts w:ascii="Cambria Math" w:hAnsi="Cambria Math"/>
                                <w:i/>
                              </w:rPr>
                            </m:ctrlPr>
                          </m:dPr>
                          <m:e>
                            <m:f>
                              <m:fPr>
                                <m:ctrlPr>
                                  <w:rPr>
                                    <w:rFonts w:ascii="Cambria Math" w:hAnsi="Cambria Math"/>
                                    <w:i/>
                                  </w:rPr>
                                </m:ctrlPr>
                              </m:fPr>
                              <m:num>
                                <m:r>
                                  <w:rPr>
                                    <w:rFonts w:ascii="Cambria Math" w:hAnsi="Cambria Math"/>
                                  </w:rPr>
                                  <m:t>km</m:t>
                                </m:r>
                              </m:num>
                              <m:den>
                                <m:r>
                                  <w:rPr>
                                    <w:rFonts w:ascii="Cambria Math" w:hAnsi="Cambria Math"/>
                                  </w:rPr>
                                  <m:t>L</m:t>
                                </m:r>
                              </m:den>
                            </m:f>
                          </m:e>
                        </m:d>
                        <m:r>
                          <w:rPr>
                            <w:rFonts w:ascii="Cambria Math" w:hAnsi="Cambria Math"/>
                          </w:rPr>
                          <m:t>×</m:t>
                        </m:r>
                        <m:r>
                          <w:rPr>
                            <w:rFonts w:ascii="Cambria Math" w:eastAsiaTheme="minorEastAsia" w:hAnsi="Cambria Math"/>
                          </w:rPr>
                          <m:t>36630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17.48</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h</m:t>
                                </m:r>
                              </m:den>
                            </m:f>
                          </m:e>
                        </m:d>
                      </m:num>
                      <m:den>
                        <m:r>
                          <w:rPr>
                            <w:rFonts w:ascii="Cambria Math" w:eastAsiaTheme="minorEastAsia" w:hAnsi="Cambria Math"/>
                          </w:rPr>
                          <m:t>50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km</m:t>
                                </m:r>
                              </m:num>
                              <m:den>
                                <m:r>
                                  <w:rPr>
                                    <w:rFonts w:ascii="Cambria Math" w:eastAsiaTheme="minorEastAsia" w:hAnsi="Cambria Math"/>
                                  </w:rPr>
                                  <m:t>h</m:t>
                                </m:r>
                              </m:den>
                            </m:f>
                          </m:e>
                        </m:d>
                        <m:r>
                          <w:rPr>
                            <w:rFonts w:ascii="Cambria Math" w:eastAsiaTheme="minorEastAsia" w:hAnsi="Cambria Math"/>
                          </w:rPr>
                          <m:t>×36630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den>
                    </m:f>
                    <m:ctrlPr>
                      <w:rPr>
                        <w:rFonts w:ascii="Cambria Math" w:eastAsiaTheme="minorEastAsia" w:hAnsi="Cambria Math"/>
                        <w:i/>
                      </w:rPr>
                    </m:ctrlPr>
                  </m:e>
                </m:d>
                <m:r>
                  <w:rPr>
                    <w:rFonts w:ascii="Cambria Math" w:eastAsiaTheme="minorEastAsia" w:hAnsi="Cambria Math"/>
                  </w:rPr>
                  <m:t>=2.01×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kWh∙km</m:t>
                        </m:r>
                      </m:den>
                    </m:f>
                  </m:e>
                </m:d>
              </m:oMath>
            </m:oMathPara>
          </w:p>
        </w:tc>
        <w:tc>
          <w:tcPr>
            <w:tcW w:w="250" w:type="pct"/>
            <w:shd w:val="clear" w:color="auto" w:fill="auto"/>
            <w:vAlign w:val="center"/>
          </w:tcPr>
          <w:p w14:paraId="18A0CFD5" w14:textId="29438320" w:rsidR="008B216C" w:rsidRPr="00BF2BA0" w:rsidRDefault="008B216C" w:rsidP="008B216C">
            <w:pPr>
              <w:jc w:val="center"/>
            </w:pPr>
            <w:bookmarkStart w:id="308" w:name="_Ref55321366"/>
            <w:r w:rsidRPr="00BF2BA0">
              <w:t>(</w:t>
            </w:r>
            <w:r w:rsidR="001C1DD0">
              <w:t>C.5</w:t>
            </w:r>
            <w:r w:rsidRPr="00BF2BA0">
              <w:t>)</w:t>
            </w:r>
            <w:bookmarkEnd w:id="308"/>
          </w:p>
        </w:tc>
      </w:tr>
    </w:tbl>
    <w:p w14:paraId="1A1A8E2A" w14:textId="2DC174EA" w:rsidR="008B216C" w:rsidRDefault="008B216C" w:rsidP="008B216C">
      <w:pPr>
        <w:rPr>
          <w:rFonts w:eastAsiaTheme="minorEastAsia"/>
        </w:rPr>
      </w:pPr>
      <w:r>
        <w:t xml:space="preserve">The value of </w:t>
      </w:r>
      <m:oMath>
        <m:r>
          <w:rPr>
            <w:rFonts w:ascii="Cambria Math" w:eastAsiaTheme="minorEastAsia" w:hAnsi="Cambria Math"/>
          </w:rPr>
          <m:t>2.01×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kWh∙km</m:t>
                </m:r>
              </m:den>
            </m:f>
          </m:e>
        </m:d>
      </m:oMath>
      <w:r>
        <w:rPr>
          <w:rFonts w:eastAsiaTheme="minorEastAsia"/>
        </w:rPr>
        <w:t xml:space="preserve"> was </w:t>
      </w:r>
      <w:r w:rsidR="00172A76">
        <w:rPr>
          <w:rFonts w:eastAsiaTheme="minorEastAsia"/>
        </w:rPr>
        <w:t>m</w:t>
      </w:r>
      <w:r>
        <w:rPr>
          <w:rFonts w:eastAsiaTheme="minorEastAsia"/>
        </w:rPr>
        <w:t xml:space="preserve">ultiplied by two, </w:t>
      </w:r>
      <w:r w:rsidR="00172A76">
        <w:rPr>
          <w:rFonts w:eastAsiaTheme="minorEastAsia"/>
        </w:rPr>
        <w:t xml:space="preserve">assuming that </w:t>
      </w:r>
      <w:r>
        <w:rPr>
          <w:rFonts w:eastAsiaTheme="minorEastAsia"/>
        </w:rPr>
        <w:t xml:space="preserve">the truck will have to make a return journey to the depot, </w:t>
      </w:r>
      <w:r w:rsidR="00172A76">
        <w:rPr>
          <w:rFonts w:eastAsiaTheme="minorEastAsia"/>
        </w:rPr>
        <w:t xml:space="preserve">giving </w:t>
      </w:r>
      <w:r>
        <w:rPr>
          <w:rFonts w:eastAsiaTheme="minorEastAsia"/>
        </w:rPr>
        <w:t xml:space="preserve">a final variable OPEX value of </w:t>
      </w:r>
      <m:oMath>
        <m:r>
          <w:rPr>
            <w:rFonts w:ascii="Cambria Math" w:eastAsiaTheme="minorEastAsia" w:hAnsi="Cambria Math"/>
          </w:rPr>
          <m:t>4.02×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kWh∙km</m:t>
                </m:r>
              </m:den>
            </m:f>
          </m:e>
        </m:d>
      </m:oMath>
      <w:r>
        <w:rPr>
          <w:rFonts w:eastAsiaTheme="minorEastAsia"/>
        </w:rPr>
        <w:t xml:space="preserve"> as seen in </w:t>
      </w:r>
      <w:r>
        <w:rPr>
          <w:rFonts w:eastAsiaTheme="minorEastAsia"/>
        </w:rPr>
        <w:fldChar w:fldCharType="begin"/>
      </w:r>
      <w:r>
        <w:rPr>
          <w:rFonts w:eastAsiaTheme="minorEastAsia"/>
        </w:rPr>
        <w:instrText xml:space="preserve"> REF _Ref48771711 \h </w:instrText>
      </w:r>
      <w:r>
        <w:rPr>
          <w:rFonts w:eastAsiaTheme="minorEastAsia"/>
        </w:rPr>
      </w:r>
      <w:r>
        <w:rPr>
          <w:rFonts w:eastAsiaTheme="minorEastAsia"/>
        </w:rPr>
        <w:fldChar w:fldCharType="separate"/>
      </w:r>
      <w:r w:rsidR="00BA7B57">
        <w:t xml:space="preserve">Table </w:t>
      </w:r>
      <w:r w:rsidR="00BA7B57">
        <w:rPr>
          <w:noProof/>
        </w:rPr>
        <w:t>8</w:t>
      </w:r>
      <w:r>
        <w:rPr>
          <w:rFonts w:eastAsiaTheme="minorEastAsia"/>
        </w:rPr>
        <w:fldChar w:fldCharType="end"/>
      </w:r>
      <w:r>
        <w:rPr>
          <w:rFonts w:eastAsiaTheme="minorEastAsia"/>
        </w:rPr>
        <w:t>. On top of this, there is a cost associated with the loading/unloading time of the truck at the start and end of the journey. As this cost is only based on the number of trucks transmitting hydrogen from one zone to another and not based on the distance the truck is travelling, the parameter should be in the form of £/kWh. This value was calculated using the aforementioned drivers</w:t>
      </w:r>
      <w:r w:rsidR="00172A76">
        <w:rPr>
          <w:rFonts w:eastAsiaTheme="minorEastAsia"/>
        </w:rPr>
        <w:t>’</w:t>
      </w:r>
      <w:r>
        <w:rPr>
          <w:rFonts w:eastAsiaTheme="minorEastAsia"/>
        </w:rPr>
        <w:t xml:space="preserve"> wage; truck capacity; and the estimated loading/unloading time of 2 hours per trip</w:t>
      </w:r>
      <w:r w:rsidR="004253EE">
        <w:rPr>
          <w:rFonts w:eastAsiaTheme="minorEastAsia"/>
        </w:rPr>
        <w:t xml:space="preserve"> </w:t>
      </w:r>
      <w:r w:rsidR="004253EE">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4253EE">
        <w:fldChar w:fldCharType="separate"/>
      </w:r>
      <w:r w:rsidR="00434694">
        <w:rPr>
          <w:noProof/>
        </w:rPr>
        <w:t>[</w:t>
      </w:r>
      <w:hyperlink w:anchor="_ENREF_52" w:tooltip="IEA, 2019 #998" w:history="1">
        <w:r w:rsidR="006210AE">
          <w:rPr>
            <w:noProof/>
          </w:rPr>
          <w:t>52</w:t>
        </w:r>
      </w:hyperlink>
      <w:r w:rsidR="00434694">
        <w:rPr>
          <w:noProof/>
        </w:rPr>
        <w:t>]</w:t>
      </w:r>
      <w:r w:rsidR="004253EE">
        <w:fldChar w:fldCharType="end"/>
      </w:r>
      <w:r>
        <w:rPr>
          <w:rFonts w:eastAsiaTheme="minorEastAsia"/>
        </w:rPr>
        <w:t xml:space="preserve"> </w:t>
      </w:r>
      <w:r>
        <w:rPr>
          <w:rFonts w:eastAsiaTheme="minorEastAsia"/>
        </w:rPr>
        <w:fldChar w:fldCharType="begin" w:fldLock="1"/>
      </w:r>
      <w:r w:rsidR="00507427">
        <w:rPr>
          <w:rFonts w:eastAsiaTheme="minorEastAsia"/>
        </w:rPr>
        <w:instrText>ADDIN CSL_CITATION {"citationItems":[{"id":"ITEM-1","itemData":{"abstract":"This annex collects the various assumptions that underpin the analyses throughout The Future of Hydrogen. For technologies, global averages are presented. However, several analyses in the report present regional examples, for which costs will vary with material and labour inputs and differ from the global average. These input parameters reflect choices made by the IEA in light of the limited space to present multiple sensitivity analyses. However, there is no doubt that many of the quantitative aspects of hydrogen-related technologies face uncertainties that are compounded when only one case is shown per chart or one illustrative example described. For that reason, the IEA website is home to a growing number of interactive graphics that allow the user to explore variations on the assumptions listed below.","author":[{"dropping-particle":"","family":"International Energy Agency (iea)","given":"","non-dropping-particle":"","parse-names":false,"suffix":""}],"id":"ITEM-1","issued":{"date-parts":[["2019","6"]]},"title":"The Future of Hydrogen Report: Assumptions","type":"report"},"uris":["http://www.mendeley.com/documents/?uuid=261e4a9a-d467-39aa-b836-19afe43b3793"]}],"mendeley":{"formattedCitation":"[4]","plainTextFormattedCitation":"[4]","previouslyFormattedCitation":"[4]"},"properties":{"noteIndex":0},"schema":"https://github.com/citation-style-language/schema/raw/master/csl-citation.json"}</w:instrText>
      </w:r>
      <w:r>
        <w:rPr>
          <w:rFonts w:eastAsiaTheme="minorEastAsia"/>
        </w:rPr>
        <w:fldChar w:fldCharType="separate"/>
      </w:r>
      <w:r w:rsidR="00507427" w:rsidRPr="00507427">
        <w:rPr>
          <w:rFonts w:eastAsiaTheme="minorEastAsia"/>
          <w:noProof/>
        </w:rPr>
        <w:t>[4]</w:t>
      </w:r>
      <w:r>
        <w:rPr>
          <w:rFonts w:eastAsiaTheme="minorEastAsia"/>
        </w:rPr>
        <w:fldChar w:fldCharType="end"/>
      </w:r>
      <w:r>
        <w:rPr>
          <w:rFonts w:eastAsiaTheme="minorEastAsia"/>
        </w:rPr>
        <w:t>. This gives an addition</w:t>
      </w:r>
      <w:r w:rsidR="00172A76">
        <w:rPr>
          <w:rFonts w:eastAsiaTheme="minorEastAsia"/>
        </w:rPr>
        <w:t>al</w:t>
      </w:r>
      <w:r>
        <w:rPr>
          <w:rFonts w:eastAsiaTheme="minorEastAsia"/>
        </w:rPr>
        <w:t xml:space="preserve"> variable OPEX of </w:t>
      </w:r>
      <m:oMath>
        <m:r>
          <w:rPr>
            <w:rFonts w:ascii="Cambria Math" w:hAnsi="Cambria Math"/>
          </w:rPr>
          <m:t>9.58</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m:t>
                </m:r>
              </m:den>
            </m:f>
          </m:e>
        </m:d>
      </m:oMath>
      <w:r>
        <w:rPr>
          <w:rFonts w:eastAsiaTheme="minorEastAsia"/>
        </w:rPr>
        <w:t xml:space="preserve"> (as seen in </w:t>
      </w:r>
      <w:r>
        <w:rPr>
          <w:rFonts w:eastAsiaTheme="minorEastAsia"/>
        </w:rPr>
        <w:fldChar w:fldCharType="begin"/>
      </w:r>
      <w:r>
        <w:rPr>
          <w:rFonts w:eastAsiaTheme="minorEastAsia"/>
        </w:rPr>
        <w:instrText xml:space="preserve"> REF _Ref48771711 \h </w:instrText>
      </w:r>
      <w:r>
        <w:rPr>
          <w:rFonts w:eastAsiaTheme="minorEastAsia"/>
        </w:rPr>
      </w:r>
      <w:r>
        <w:rPr>
          <w:rFonts w:eastAsiaTheme="minorEastAsia"/>
        </w:rPr>
        <w:fldChar w:fldCharType="separate"/>
      </w:r>
      <w:r w:rsidR="00403A31">
        <w:t xml:space="preserve">Table </w:t>
      </w:r>
      <w:r w:rsidR="00403A31">
        <w:rPr>
          <w:noProof/>
        </w:rPr>
        <w:t>8</w:t>
      </w:r>
      <w:r>
        <w:rPr>
          <w:rFonts w:eastAsiaTheme="minorEastAsia"/>
        </w:rPr>
        <w:fldChar w:fldCharType="end"/>
      </w:r>
      <w:r>
        <w:rPr>
          <w:rFonts w:eastAsiaTheme="minorEastAsia"/>
        </w:rPr>
        <w:t>)</w:t>
      </w:r>
      <w:r w:rsidR="00172A76">
        <w:rPr>
          <w:rFonts w:eastAsiaTheme="minorEastAsia"/>
        </w:rPr>
        <w:t xml:space="preserve">. </w:t>
      </w:r>
      <w:r>
        <w:rPr>
          <w:rFonts w:eastAsiaTheme="minorEastAsia"/>
        </w:rPr>
        <w:t>Equation</w:t>
      </w:r>
      <w:r w:rsidR="00ED5886">
        <w:rPr>
          <w:rFonts w:eastAsiaTheme="minorEastAsia"/>
        </w:rPr>
        <w:t xml:space="preserve"> (C.6)</w:t>
      </w:r>
      <w:r>
        <w:rPr>
          <w:rFonts w:eastAsiaTheme="minorEastAsia"/>
        </w:rPr>
        <w:t xml:space="preserve"> shows how this was calculated.</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8B216C" w14:paraId="060EDFAA" w14:textId="77777777" w:rsidTr="008B216C">
        <w:tc>
          <w:tcPr>
            <w:tcW w:w="250" w:type="pct"/>
            <w:shd w:val="clear" w:color="auto" w:fill="auto"/>
          </w:tcPr>
          <w:p w14:paraId="07CC9F3A" w14:textId="77777777" w:rsidR="008B216C" w:rsidRDefault="008B216C" w:rsidP="008B216C"/>
        </w:tc>
        <w:tc>
          <w:tcPr>
            <w:tcW w:w="4500" w:type="pct"/>
            <w:shd w:val="clear" w:color="auto" w:fill="auto"/>
            <w:vAlign w:val="center"/>
          </w:tcPr>
          <w:p w14:paraId="50052FDD" w14:textId="77777777" w:rsidR="008B216C" w:rsidRDefault="008B216C" w:rsidP="008B216C">
            <w:pPr>
              <w:jc w:val="center"/>
            </w:pPr>
            <m:oMathPara>
              <m:oMath>
                <m:r>
                  <w:rPr>
                    <w:rFonts w:ascii="Cambria Math" w:hAnsi="Cambria Math"/>
                  </w:rPr>
                  <m:t>Variable OPEX=</m:t>
                </m:r>
                <m:f>
                  <m:fPr>
                    <m:ctrlPr>
                      <w:rPr>
                        <w:rFonts w:ascii="Cambria Math" w:hAnsi="Cambria Math"/>
                        <w:i/>
                      </w:rPr>
                    </m:ctrlPr>
                  </m:fPr>
                  <m:num>
                    <m:r>
                      <w:rPr>
                        <w:rFonts w:ascii="Cambria Math" w:hAnsi="Cambria Math"/>
                      </w:rPr>
                      <m:t>17.48</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h</m:t>
                            </m:r>
                          </m:den>
                        </m:f>
                      </m:e>
                    </m:d>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unit</m:t>
                            </m:r>
                          </m:den>
                        </m:f>
                      </m:e>
                    </m:d>
                  </m:num>
                  <m:den>
                    <m:r>
                      <w:rPr>
                        <w:rFonts w:ascii="Cambria Math" w:eastAsiaTheme="minorEastAsia" w:hAnsi="Cambria Math"/>
                      </w:rPr>
                      <m:t>36630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den>
                </m:f>
                <m:r>
                  <w:rPr>
                    <w:rFonts w:ascii="Cambria Math" w:hAnsi="Cambria Math"/>
                  </w:rPr>
                  <m:t>=9.58</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m:t>
                        </m:r>
                      </m:den>
                    </m:f>
                  </m:e>
                </m:d>
              </m:oMath>
            </m:oMathPara>
          </w:p>
        </w:tc>
        <w:tc>
          <w:tcPr>
            <w:tcW w:w="250" w:type="pct"/>
            <w:shd w:val="clear" w:color="auto" w:fill="auto"/>
            <w:vAlign w:val="center"/>
          </w:tcPr>
          <w:p w14:paraId="720A092C" w14:textId="3EF4DC27" w:rsidR="008B216C" w:rsidRPr="00BF2BA0" w:rsidRDefault="008B216C" w:rsidP="008B216C">
            <w:pPr>
              <w:jc w:val="center"/>
            </w:pPr>
            <w:bookmarkStart w:id="309" w:name="_Ref48814769"/>
            <w:r w:rsidRPr="00BF2BA0">
              <w:t>(</w:t>
            </w:r>
            <w:r w:rsidR="001C1DD0">
              <w:t>C.6</w:t>
            </w:r>
            <w:r w:rsidRPr="00BF2BA0">
              <w:t>)</w:t>
            </w:r>
            <w:bookmarkEnd w:id="309"/>
          </w:p>
        </w:tc>
      </w:tr>
    </w:tbl>
    <w:p w14:paraId="03A727D8" w14:textId="0C3EABAB" w:rsidR="008B216C" w:rsidRDefault="008B216C" w:rsidP="008B216C">
      <w:pPr>
        <w:rPr>
          <w:rFonts w:eastAsiaTheme="minorEastAsia"/>
        </w:rPr>
      </w:pPr>
      <w:r>
        <w:t xml:space="preserve">Finally, the total emission factor for truck transmission was calculated </w:t>
      </w:r>
      <w:r w:rsidR="00172A76">
        <w:t>multiplying th</w:t>
      </w:r>
      <w:r>
        <w:t>e estimated emission factor for a truck of 62 g</w:t>
      </w:r>
      <w:r>
        <w:rPr>
          <w:vertAlign w:val="subscript"/>
        </w:rPr>
        <w:t>CO2</w:t>
      </w:r>
      <w:r>
        <w:t>/tonne-km</w:t>
      </w:r>
      <w:r w:rsidR="00172A76">
        <w:t>,</w:t>
      </w:r>
      <w:r>
        <w:t xml:space="preserve"> and the estimated weight of a truck of 40 tonnes </w:t>
      </w:r>
      <w:r w:rsidR="004253EE">
        <w:fldChar w:fldCharType="begin"/>
      </w:r>
      <w:r w:rsidR="00434694">
        <w:instrText xml:space="preserve"> ADDIN EN.CITE &lt;EndNote&gt;&lt;Cite&gt;&lt;Author&gt;McKinnon&lt;/Author&gt;&lt;RecNum&gt;973&lt;/RecNum&gt;&lt;DisplayText&gt;[57]&lt;/DisplayText&gt;&lt;record&gt;&lt;rec-number&gt;973&lt;/rec-number&gt;&lt;foreign-keys&gt;&lt;key app="EN" db-id="w500zpaaheraz8epaw1p29dtf2ff9zrswv50" timestamp="1607697901"&gt;973&lt;/key&gt;&lt;/foreign-keys&gt;&lt;ref-type name="Report"&gt;27&lt;/ref-type&gt;&lt;contributors&gt;&lt;authors&gt;&lt;author&gt;McKinnon, Alan&lt;/author&gt;&lt;author&gt;Piecyk, Maja&lt;/author&gt;&lt;/authors&gt;&lt;/contributors&gt;&lt;titles&gt;&lt;title&gt;Measuring and Managing CO 2 Emissions of European Chemical Transport&lt;/title&gt;&lt;/titles&gt;&lt;dates&gt;&lt;/dates&gt;&lt;pub-location&gt;Edinburgh&lt;/pub-location&gt;&lt;urls&gt;&lt;related-urls&gt;&lt;url&gt;www.cefic.org&lt;/url&gt;&lt;/related-urls&gt;&lt;pdf-urls&gt;&lt;url&gt;file://Users\David\Library\Application Support\Mendeley Desktop\Downloaded\Mckinnon, Piecyk - Unknown - Measuring and Managing CO 2 Emissions of European Chemical Transport.pdf&lt;/url&gt;&lt;/pdf-urls&gt;&lt;/urls&gt;&lt;/record&gt;&lt;/Cite&gt;&lt;/EndNote&gt;</w:instrText>
      </w:r>
      <w:r w:rsidR="004253EE">
        <w:fldChar w:fldCharType="separate"/>
      </w:r>
      <w:r w:rsidR="00434694">
        <w:rPr>
          <w:noProof/>
        </w:rPr>
        <w:t>[</w:t>
      </w:r>
      <w:hyperlink w:anchor="_ENREF_57" w:tooltip="McKinnon,  #973" w:history="1">
        <w:r w:rsidR="006210AE">
          <w:rPr>
            <w:noProof/>
          </w:rPr>
          <w:t>57</w:t>
        </w:r>
      </w:hyperlink>
      <w:r w:rsidR="00434694">
        <w:rPr>
          <w:noProof/>
        </w:rPr>
        <w:t>]</w:t>
      </w:r>
      <w:r w:rsidR="004253EE">
        <w:fldChar w:fldCharType="end"/>
      </w:r>
      <w:r w:rsidR="00C9584F">
        <w:t xml:space="preserve">, and dividing </w:t>
      </w:r>
      <w:r>
        <w:t>by the truck capacity</w:t>
      </w:r>
      <w:r w:rsidR="00C9584F">
        <w:t>,</w:t>
      </w:r>
      <w:r>
        <w:t xml:space="preserve"> to obtain a value of 6.77</w:t>
      </w:r>
      <m:oMath>
        <m:r>
          <w:rPr>
            <w:rFonts w:ascii="Cambria Math" w:hAnsi="Cambria Math"/>
          </w:rPr>
          <m:t>×</m:t>
        </m:r>
      </m:oMath>
      <w:r>
        <w:rPr>
          <w:rFonts w:eastAsiaTheme="minorEastAsia"/>
        </w:rPr>
        <w:t>10</w:t>
      </w:r>
      <w:r>
        <w:rPr>
          <w:rFonts w:eastAsiaTheme="minorEastAsia"/>
          <w:vertAlign w:val="superscript"/>
        </w:rPr>
        <w:t>-4</w:t>
      </w:r>
      <w:r>
        <w:rPr>
          <w:rFonts w:eastAsiaTheme="minorEastAsia"/>
        </w:rPr>
        <w:t xml:space="preserve"> kg</w:t>
      </w:r>
      <w:r>
        <w:rPr>
          <w:rFonts w:eastAsiaTheme="minorEastAsia"/>
          <w:vertAlign w:val="subscript"/>
        </w:rPr>
        <w:t>CO2</w:t>
      </w:r>
      <w:r>
        <w:rPr>
          <w:rFonts w:eastAsiaTheme="minorEastAsia"/>
        </w:rPr>
        <w:t xml:space="preserve">/kWh-km. This value is then multiplied by 2 (assuming a return journey of truck to depot) in order to obtain a final emission factor of </w:t>
      </w:r>
      <w:r>
        <w:t>1.35</w:t>
      </w:r>
      <m:oMath>
        <m:r>
          <w:rPr>
            <w:rFonts w:ascii="Cambria Math" w:hAnsi="Cambria Math"/>
          </w:rPr>
          <m:t>×</m:t>
        </m:r>
      </m:oMath>
      <w:r>
        <w:rPr>
          <w:rFonts w:eastAsiaTheme="minorEastAsia"/>
        </w:rPr>
        <w:t>10</w:t>
      </w:r>
      <w:r>
        <w:rPr>
          <w:rFonts w:eastAsiaTheme="minorEastAsia"/>
          <w:vertAlign w:val="superscript"/>
        </w:rPr>
        <w:t>-3</w:t>
      </w:r>
      <w:r>
        <w:rPr>
          <w:rFonts w:eastAsiaTheme="minorEastAsia"/>
        </w:rPr>
        <w:t xml:space="preserve"> kg</w:t>
      </w:r>
      <w:r>
        <w:rPr>
          <w:rFonts w:eastAsiaTheme="minorEastAsia"/>
          <w:vertAlign w:val="subscript"/>
        </w:rPr>
        <w:t>CO2</w:t>
      </w:r>
      <w:r>
        <w:rPr>
          <w:rFonts w:eastAsiaTheme="minorEastAsia"/>
        </w:rPr>
        <w:t xml:space="preserve">/kWh-km as seen in </w:t>
      </w:r>
      <w:r>
        <w:rPr>
          <w:rFonts w:eastAsiaTheme="minorEastAsia"/>
        </w:rPr>
        <w:fldChar w:fldCharType="begin"/>
      </w:r>
      <w:r>
        <w:rPr>
          <w:rFonts w:eastAsiaTheme="minorEastAsia"/>
        </w:rPr>
        <w:instrText xml:space="preserve"> REF _Ref48771711 \h </w:instrText>
      </w:r>
      <w:r>
        <w:rPr>
          <w:rFonts w:eastAsiaTheme="minorEastAsia"/>
        </w:rPr>
      </w:r>
      <w:r>
        <w:rPr>
          <w:rFonts w:eastAsiaTheme="minorEastAsia"/>
        </w:rPr>
        <w:fldChar w:fldCharType="separate"/>
      </w:r>
      <w:r w:rsidR="00BA7B57">
        <w:t xml:space="preserve">Table </w:t>
      </w:r>
      <w:r w:rsidR="00BA7B57">
        <w:rPr>
          <w:noProof/>
        </w:rPr>
        <w:t>8</w:t>
      </w:r>
      <w:r>
        <w:rPr>
          <w:rFonts w:eastAsiaTheme="minorEastAsia"/>
        </w:rPr>
        <w:fldChar w:fldCharType="end"/>
      </w:r>
      <w:r>
        <w:rPr>
          <w:rFonts w:eastAsiaTheme="minorEastAsia"/>
        </w:rPr>
        <w:t>.</w:t>
      </w:r>
    </w:p>
    <w:p w14:paraId="66722CB1" w14:textId="524978C7" w:rsidR="00A129B8" w:rsidRDefault="00A129B8" w:rsidP="00A129B8">
      <w:r>
        <w:t xml:space="preserve">Liquefied trailer transmission techno-economic parameters were taken from </w:t>
      </w:r>
      <w:r>
        <w:fldChar w:fldCharType="begin"/>
      </w:r>
      <w:r>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fldChar w:fldCharType="separate"/>
      </w:r>
      <w:r>
        <w:rPr>
          <w:noProof/>
        </w:rPr>
        <w:t>[</w:t>
      </w:r>
      <w:hyperlink w:anchor="_ENREF_52" w:tooltip="IEA, 2019 #998" w:history="1">
        <w:r w:rsidR="006210AE">
          <w:rPr>
            <w:noProof/>
          </w:rPr>
          <w:t>52</w:t>
        </w:r>
      </w:hyperlink>
      <w:r>
        <w:rPr>
          <w:noProof/>
        </w:rPr>
        <w:t>]</w:t>
      </w:r>
      <w:r>
        <w:fldChar w:fldCharType="end"/>
      </w:r>
      <w:r>
        <w:t xml:space="preserve">. CAPEX was converted to a £/kW-km basis by dividing the capital cost of a truck, estimated to be 721,400 (£/unit) (after adjusting for currency), by its estimated capacity and speed. The capacity was taken to be 4,300 (kg/unit) from </w:t>
      </w:r>
      <w:r>
        <w:fldChar w:fldCharType="begin"/>
      </w:r>
      <w:r>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fldChar w:fldCharType="separate"/>
      </w:r>
      <w:r>
        <w:rPr>
          <w:noProof/>
        </w:rPr>
        <w:t>[</w:t>
      </w:r>
      <w:hyperlink w:anchor="_ENREF_52" w:tooltip="IEA, 2019 #998" w:history="1">
        <w:r w:rsidR="006210AE">
          <w:rPr>
            <w:noProof/>
          </w:rPr>
          <w:t>52</w:t>
        </w:r>
      </w:hyperlink>
      <w:r>
        <w:rPr>
          <w:noProof/>
        </w:rPr>
        <w:t>]</w:t>
      </w:r>
      <w:r>
        <w:fldChar w:fldCharType="end"/>
      </w:r>
      <w:r>
        <w:t xml:space="preserve"> (143,190 kWh when converted to an energy basis), and the average truck speed was assumed to be 50 km/h </w:t>
      </w:r>
      <w:r>
        <w:fldChar w:fldCharType="begin"/>
      </w:r>
      <w:r>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fldChar w:fldCharType="separate"/>
      </w:r>
      <w:r>
        <w:rPr>
          <w:noProof/>
        </w:rPr>
        <w:t>[</w:t>
      </w:r>
      <w:hyperlink w:anchor="_ENREF_12" w:tooltip="Murthy Konda, 2011 #968" w:history="1">
        <w:r w:rsidR="006210AE">
          <w:rPr>
            <w:noProof/>
          </w:rPr>
          <w:t>12</w:t>
        </w:r>
      </w:hyperlink>
      <w:r>
        <w:rPr>
          <w:noProof/>
        </w:rPr>
        <w:t>]</w:t>
      </w:r>
      <w:r>
        <w:fldChar w:fldCharType="end"/>
      </w:r>
      <w:r>
        <w:t>. Equation (C.7) shows this calculation.</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8033"/>
        <w:gridCol w:w="634"/>
      </w:tblGrid>
      <w:tr w:rsidR="00A129B8" w14:paraId="43EE519C" w14:textId="77777777" w:rsidTr="00DD52D0">
        <w:tc>
          <w:tcPr>
            <w:tcW w:w="199" w:type="pct"/>
            <w:shd w:val="clear" w:color="auto" w:fill="auto"/>
          </w:tcPr>
          <w:p w14:paraId="5FA69867" w14:textId="77777777" w:rsidR="00A129B8" w:rsidRDefault="00A129B8" w:rsidP="00F4052C"/>
        </w:tc>
        <w:tc>
          <w:tcPr>
            <w:tcW w:w="4449" w:type="pct"/>
            <w:shd w:val="clear" w:color="auto" w:fill="auto"/>
            <w:vAlign w:val="center"/>
          </w:tcPr>
          <w:p w14:paraId="15319065" w14:textId="77777777" w:rsidR="00A129B8" w:rsidRDefault="00A129B8" w:rsidP="00F4052C">
            <w:pPr>
              <w:jc w:val="center"/>
            </w:pPr>
            <m:oMathPara>
              <m:oMath>
                <m:r>
                  <w:rPr>
                    <w:rFonts w:ascii="Cambria Math" w:hAnsi="Cambria Math"/>
                  </w:rPr>
                  <m:t>CAPEX</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kW∙km</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721400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unit</m:t>
                            </m:r>
                          </m:den>
                        </m:f>
                      </m:e>
                    </m:d>
                  </m:num>
                  <m:den>
                    <m:r>
                      <w:rPr>
                        <w:rFonts w:ascii="Cambria Math" w:eastAsiaTheme="minorEastAsia" w:hAnsi="Cambria Math"/>
                      </w:rPr>
                      <m:t>143190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r>
                      <w:rPr>
                        <w:rFonts w:ascii="Cambria Math" w:eastAsiaTheme="minorEastAsia" w:hAnsi="Cambria Math"/>
                      </w:rPr>
                      <m:t>⋅50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km</m:t>
                            </m:r>
                          </m:num>
                          <m:den>
                            <m:r>
                              <w:rPr>
                                <w:rFonts w:ascii="Cambria Math" w:eastAsiaTheme="minorEastAsia" w:hAnsi="Cambria Math"/>
                              </w:rPr>
                              <m:t>h</m:t>
                            </m:r>
                          </m:den>
                        </m:f>
                      </m:e>
                    </m:d>
                  </m:den>
                </m:f>
                <m:r>
                  <w:rPr>
                    <w:rFonts w:ascii="Cambria Math" w:eastAsiaTheme="minorEastAsia" w:hAnsi="Cambria Math"/>
                  </w:rPr>
                  <m:t>=1.01⋅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kW∙km</m:t>
                        </m:r>
                      </m:den>
                    </m:f>
                  </m:e>
                </m:d>
              </m:oMath>
            </m:oMathPara>
          </w:p>
        </w:tc>
        <w:tc>
          <w:tcPr>
            <w:tcW w:w="351" w:type="pct"/>
            <w:shd w:val="clear" w:color="auto" w:fill="auto"/>
            <w:vAlign w:val="center"/>
          </w:tcPr>
          <w:p w14:paraId="297D3887" w14:textId="77777777" w:rsidR="00A129B8" w:rsidRPr="00BF2BA0" w:rsidRDefault="00A129B8" w:rsidP="00F4052C">
            <w:pPr>
              <w:jc w:val="center"/>
            </w:pPr>
            <w:r w:rsidRPr="00BF2BA0">
              <w:t>(</w:t>
            </w:r>
            <w:r>
              <w:t>C.7</w:t>
            </w:r>
            <w:r w:rsidRPr="00BF2BA0">
              <w:t>)</w:t>
            </w:r>
          </w:p>
        </w:tc>
      </w:tr>
    </w:tbl>
    <w:p w14:paraId="0CEA541F" w14:textId="4EEF9FD3" w:rsidR="00A129B8" w:rsidRDefault="00A129B8" w:rsidP="00A129B8">
      <w:r>
        <w:t xml:space="preserve">The variable OPEX takes into consideration the cost of fuel and labour. Fuel costs were calculated using the estimated fuel cost of 0.988 £/L and the estimated fuel efficiency of 2.55 km/L </w:t>
      </w:r>
      <w:r>
        <w:fldChar w:fldCharType="begin"/>
      </w:r>
      <w:r>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fldChar w:fldCharType="separate"/>
      </w:r>
      <w:r>
        <w:rPr>
          <w:noProof/>
        </w:rPr>
        <w:t>[</w:t>
      </w:r>
      <w:hyperlink w:anchor="_ENREF_12" w:tooltip="Murthy Konda, 2011 #968" w:history="1">
        <w:r w:rsidR="006210AE">
          <w:rPr>
            <w:noProof/>
          </w:rPr>
          <w:t>12</w:t>
        </w:r>
      </w:hyperlink>
      <w:r>
        <w:rPr>
          <w:noProof/>
        </w:rPr>
        <w:t>]</w:t>
      </w:r>
      <w:r>
        <w:fldChar w:fldCharType="end"/>
      </w:r>
      <w:r>
        <w:t xml:space="preserve">; and the aforementioned estimated truck capacity. The labour costs were calculated using an estimated driver wage of £17.48 per hour </w:t>
      </w:r>
      <w:r>
        <w:fldChar w:fldCharType="begin"/>
      </w:r>
      <w:r>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fldChar w:fldCharType="separate"/>
      </w:r>
      <w:r>
        <w:rPr>
          <w:noProof/>
        </w:rPr>
        <w:t>[</w:t>
      </w:r>
      <w:hyperlink w:anchor="_ENREF_12" w:tooltip="Murthy Konda, 2011 #968" w:history="1">
        <w:r w:rsidR="006210AE">
          <w:rPr>
            <w:noProof/>
          </w:rPr>
          <w:t>12</w:t>
        </w:r>
      </w:hyperlink>
      <w:r>
        <w:rPr>
          <w:noProof/>
        </w:rPr>
        <w:t>]</w:t>
      </w:r>
      <w:r>
        <w:fldChar w:fldCharType="end"/>
      </w:r>
      <w:r>
        <w:t xml:space="preserve">; the aforementioned average speed of the truck; and the capacity of a vehicle. This is shown in Equation (C.8).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A129B8" w14:paraId="2E7C1218" w14:textId="77777777" w:rsidTr="00F4052C">
        <w:tc>
          <w:tcPr>
            <w:tcW w:w="250" w:type="pct"/>
            <w:shd w:val="clear" w:color="auto" w:fill="auto"/>
          </w:tcPr>
          <w:p w14:paraId="14A9E236" w14:textId="77777777" w:rsidR="00A129B8" w:rsidRDefault="00A129B8" w:rsidP="00F4052C"/>
        </w:tc>
        <w:tc>
          <w:tcPr>
            <w:tcW w:w="4500" w:type="pct"/>
            <w:shd w:val="clear" w:color="auto" w:fill="auto"/>
            <w:vAlign w:val="center"/>
          </w:tcPr>
          <w:p w14:paraId="5457E6E4" w14:textId="77777777" w:rsidR="00A129B8" w:rsidRDefault="00A129B8" w:rsidP="00F4052C">
            <w:pPr>
              <w:jc w:val="center"/>
            </w:pPr>
            <m:oMathPara>
              <m:oMath>
                <m:r>
                  <w:rPr>
                    <w:rFonts w:ascii="Cambria Math" w:hAnsi="Cambria Math"/>
                  </w:rPr>
                  <m:t>Variable OPEX=</m:t>
                </m:r>
                <m:d>
                  <m:dPr>
                    <m:begChr m:val="["/>
                    <m:endChr m:val="]"/>
                    <m:ctrlPr>
                      <w:rPr>
                        <w:rFonts w:ascii="Cambria Math" w:hAnsi="Cambria Math"/>
                        <w:i/>
                      </w:rPr>
                    </m:ctrlPr>
                  </m:dPr>
                  <m:e>
                    <m:f>
                      <m:fPr>
                        <m:ctrlPr>
                          <w:rPr>
                            <w:rFonts w:ascii="Cambria Math" w:hAnsi="Cambria Math"/>
                            <w:i/>
                          </w:rPr>
                        </m:ctrlPr>
                      </m:fPr>
                      <m:num>
                        <m:r>
                          <w:rPr>
                            <w:rFonts w:ascii="Cambria Math" w:hAnsi="Cambria Math"/>
                          </w:rPr>
                          <m:t>0.988</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L</m:t>
                                </m:r>
                              </m:den>
                            </m:f>
                          </m:e>
                        </m:d>
                      </m:num>
                      <m:den>
                        <m:r>
                          <w:rPr>
                            <w:rFonts w:ascii="Cambria Math" w:hAnsi="Cambria Math"/>
                          </w:rPr>
                          <m:t>2.55</m:t>
                        </m:r>
                        <m:d>
                          <m:dPr>
                            <m:ctrlPr>
                              <w:rPr>
                                <w:rFonts w:ascii="Cambria Math" w:hAnsi="Cambria Math"/>
                                <w:i/>
                              </w:rPr>
                            </m:ctrlPr>
                          </m:dPr>
                          <m:e>
                            <m:f>
                              <m:fPr>
                                <m:ctrlPr>
                                  <w:rPr>
                                    <w:rFonts w:ascii="Cambria Math" w:hAnsi="Cambria Math"/>
                                    <w:i/>
                                  </w:rPr>
                                </m:ctrlPr>
                              </m:fPr>
                              <m:num>
                                <m:r>
                                  <w:rPr>
                                    <w:rFonts w:ascii="Cambria Math" w:hAnsi="Cambria Math"/>
                                  </w:rPr>
                                  <m:t>km</m:t>
                                </m:r>
                              </m:num>
                              <m:den>
                                <m:r>
                                  <w:rPr>
                                    <w:rFonts w:ascii="Cambria Math" w:hAnsi="Cambria Math"/>
                                  </w:rPr>
                                  <m:t>L</m:t>
                                </m:r>
                              </m:den>
                            </m:f>
                          </m:e>
                        </m:d>
                        <m:r>
                          <w:rPr>
                            <w:rFonts w:ascii="Cambria Math" w:hAnsi="Cambria Math"/>
                          </w:rPr>
                          <m:t>×</m:t>
                        </m:r>
                        <m:r>
                          <w:rPr>
                            <w:rFonts w:ascii="Cambria Math" w:eastAsiaTheme="minorEastAsia" w:hAnsi="Cambria Math"/>
                          </w:rPr>
                          <m:t>143190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17.48</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h</m:t>
                                </m:r>
                              </m:den>
                            </m:f>
                          </m:e>
                        </m:d>
                      </m:num>
                      <m:den>
                        <m:r>
                          <w:rPr>
                            <w:rFonts w:ascii="Cambria Math" w:eastAsiaTheme="minorEastAsia" w:hAnsi="Cambria Math"/>
                          </w:rPr>
                          <m:t>50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km</m:t>
                                </m:r>
                              </m:num>
                              <m:den>
                                <m:r>
                                  <w:rPr>
                                    <w:rFonts w:ascii="Cambria Math" w:eastAsiaTheme="minorEastAsia" w:hAnsi="Cambria Math"/>
                                  </w:rPr>
                                  <m:t>h</m:t>
                                </m:r>
                              </m:den>
                            </m:f>
                          </m:e>
                        </m:d>
                        <m:r>
                          <w:rPr>
                            <w:rFonts w:ascii="Cambria Math" w:eastAsiaTheme="minorEastAsia" w:hAnsi="Cambria Math"/>
                          </w:rPr>
                          <m:t>×143190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den>
                    </m:f>
                    <m:ctrlPr>
                      <w:rPr>
                        <w:rFonts w:ascii="Cambria Math" w:eastAsiaTheme="minorEastAsia" w:hAnsi="Cambria Math"/>
                        <w:i/>
                      </w:rPr>
                    </m:ctrlPr>
                  </m:e>
                </m:d>
                <m:r>
                  <w:rPr>
                    <w:rFonts w:ascii="Cambria Math" w:eastAsiaTheme="minorEastAsia" w:hAnsi="Cambria Math"/>
                  </w:rPr>
                  <m:t>=5.15×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kWh∙km</m:t>
                        </m:r>
                      </m:den>
                    </m:f>
                  </m:e>
                </m:d>
              </m:oMath>
            </m:oMathPara>
          </w:p>
        </w:tc>
        <w:tc>
          <w:tcPr>
            <w:tcW w:w="250" w:type="pct"/>
            <w:shd w:val="clear" w:color="auto" w:fill="auto"/>
            <w:vAlign w:val="center"/>
          </w:tcPr>
          <w:p w14:paraId="4B419849" w14:textId="77777777" w:rsidR="00A129B8" w:rsidRPr="00BF2BA0" w:rsidRDefault="00A129B8" w:rsidP="00F4052C">
            <w:pPr>
              <w:jc w:val="center"/>
            </w:pPr>
            <w:r w:rsidRPr="00BF2BA0">
              <w:t>(</w:t>
            </w:r>
            <w:r>
              <w:t>C.8</w:t>
            </w:r>
            <w:r w:rsidRPr="00BF2BA0">
              <w:t>)</w:t>
            </w:r>
          </w:p>
        </w:tc>
      </w:tr>
    </w:tbl>
    <w:p w14:paraId="68CEF9EF" w14:textId="4AC37A84" w:rsidR="00A129B8" w:rsidRDefault="00A129B8" w:rsidP="00A129B8">
      <w:pPr>
        <w:rPr>
          <w:rFonts w:eastAsiaTheme="minorEastAsia"/>
        </w:rPr>
      </w:pPr>
      <w:r>
        <w:t xml:space="preserve">The value of </w:t>
      </w:r>
      <m:oMath>
        <m:r>
          <w:rPr>
            <w:rFonts w:ascii="Cambria Math" w:eastAsiaTheme="minorEastAsia" w:hAnsi="Cambria Math"/>
          </w:rPr>
          <m:t>5.15×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kWh∙km</m:t>
                </m:r>
              </m:den>
            </m:f>
          </m:e>
        </m:d>
      </m:oMath>
      <w:r>
        <w:rPr>
          <w:rFonts w:eastAsiaTheme="minorEastAsia"/>
        </w:rPr>
        <w:t xml:space="preserve"> was multiplied by two, assuming that the truck will have to make a return journey to the depot, giving a final variable OPEX value of </w:t>
      </w:r>
      <m:oMath>
        <m:r>
          <w:rPr>
            <w:rFonts w:ascii="Cambria Math" w:eastAsiaTheme="minorEastAsia" w:hAnsi="Cambria Math"/>
          </w:rPr>
          <m:t>1.03×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kWh∙km</m:t>
                </m:r>
              </m:den>
            </m:f>
          </m:e>
        </m:d>
      </m:oMath>
      <w:r>
        <w:rPr>
          <w:rFonts w:eastAsiaTheme="minorEastAsia"/>
        </w:rPr>
        <w:t xml:space="preserve"> as seen in </w:t>
      </w:r>
      <w:r>
        <w:rPr>
          <w:rFonts w:eastAsiaTheme="minorEastAsia"/>
        </w:rPr>
        <w:fldChar w:fldCharType="begin"/>
      </w:r>
      <w:r>
        <w:rPr>
          <w:rFonts w:eastAsiaTheme="minorEastAsia"/>
        </w:rPr>
        <w:instrText xml:space="preserve"> REF _Ref48771711 \h </w:instrText>
      </w:r>
      <w:r>
        <w:rPr>
          <w:rFonts w:eastAsiaTheme="minorEastAsia"/>
        </w:rPr>
      </w:r>
      <w:r>
        <w:rPr>
          <w:rFonts w:eastAsiaTheme="minorEastAsia"/>
        </w:rPr>
        <w:fldChar w:fldCharType="separate"/>
      </w:r>
      <w:r>
        <w:t xml:space="preserve">Table </w:t>
      </w:r>
      <w:r>
        <w:rPr>
          <w:noProof/>
        </w:rPr>
        <w:t>8</w:t>
      </w:r>
      <w:r>
        <w:rPr>
          <w:rFonts w:eastAsiaTheme="minorEastAsia"/>
        </w:rPr>
        <w:fldChar w:fldCharType="end"/>
      </w:r>
      <w:r>
        <w:rPr>
          <w:rFonts w:eastAsiaTheme="minorEastAsia"/>
        </w:rPr>
        <w:t xml:space="preserve">. On top of this, there is a cost associated with the loading/unloading time of the truck at the start and end of the journey. As this cost is only based on the number of trucks transmitting hydrogen from one zone to another and not based on the distance the truck is travelling, the parameter should be in the form of £/kWh. This value was calculated using the aforementioned drivers’ wage; truck capacity; and the estimated loading/unloading time of 2 hours per trip </w:t>
      </w:r>
      <w:r>
        <w:fldChar w:fldCharType="begin"/>
      </w:r>
      <w:r>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fldChar w:fldCharType="separate"/>
      </w:r>
      <w:r>
        <w:rPr>
          <w:noProof/>
        </w:rPr>
        <w:t>[</w:t>
      </w:r>
      <w:hyperlink w:anchor="_ENREF_52" w:tooltip="IEA, 2019 #998" w:history="1">
        <w:r w:rsidR="006210AE">
          <w:rPr>
            <w:noProof/>
          </w:rPr>
          <w:t>52</w:t>
        </w:r>
      </w:hyperlink>
      <w:r>
        <w:rPr>
          <w:noProof/>
        </w:rPr>
        <w:t>]</w:t>
      </w:r>
      <w:r>
        <w:fldChar w:fldCharType="end"/>
      </w:r>
      <w:r>
        <w:rPr>
          <w:rFonts w:eastAsiaTheme="minorEastAsia"/>
        </w:rPr>
        <w:t xml:space="preserve"> </w:t>
      </w:r>
      <w:r>
        <w:rPr>
          <w:rFonts w:eastAsiaTheme="minorEastAsia"/>
        </w:rPr>
        <w:fldChar w:fldCharType="begin" w:fldLock="1"/>
      </w:r>
      <w:r>
        <w:rPr>
          <w:rFonts w:eastAsiaTheme="minorEastAsia"/>
        </w:rPr>
        <w:instrText>ADDIN CSL_CITATION {"citationItems":[{"id":"ITEM-1","itemData":{"abstract":"This annex collects the various assumptions that underpin the analyses throughout The Future of Hydrogen. For technologies, global averages are presented. However, several analyses in the report present regional examples, for which costs will vary with material and labour inputs and differ from the global average. These input parameters reflect choices made by the IEA in light of the limited space to present multiple sensitivity analyses. However, there is no doubt that many of the quantitative aspects of hydrogen-related technologies face uncertainties that are compounded when only one case is shown per chart or one illustrative example described. For that reason, the IEA website is home to a growing number of interactive graphics that allow the user to explore variations on the assumptions listed below.","author":[{"dropping-particle":"","family":"International Energy Agency (iea)","given":"","non-dropping-particle":"","parse-names":false,"suffix":""}],"id":"ITEM-1","issued":{"date-parts":[["2019","6"]]},"title":"The Future of Hydrogen Report: Assumptions","type":"report"},"uris":["http://www.mendeley.com/documents/?uuid=261e4a9a-d467-39aa-b836-19afe43b3793"]}],"mendeley":{"formattedCitation":"[4]","plainTextFormattedCitation":"[4]","previouslyFormattedCitation":"[4]"},"properties":{"noteIndex":0},"schema":"https://github.com/citation-style-language/schema/raw/master/csl-citation.json"}</w:instrText>
      </w:r>
      <w:r>
        <w:rPr>
          <w:rFonts w:eastAsiaTheme="minorEastAsia"/>
        </w:rPr>
        <w:fldChar w:fldCharType="separate"/>
      </w:r>
      <w:r w:rsidRPr="00507427">
        <w:rPr>
          <w:rFonts w:eastAsiaTheme="minorEastAsia"/>
          <w:noProof/>
        </w:rPr>
        <w:t>[4]</w:t>
      </w:r>
      <w:r>
        <w:rPr>
          <w:rFonts w:eastAsiaTheme="minorEastAsia"/>
        </w:rPr>
        <w:fldChar w:fldCharType="end"/>
      </w:r>
      <w:r>
        <w:rPr>
          <w:rFonts w:eastAsiaTheme="minorEastAsia"/>
        </w:rPr>
        <w:t xml:space="preserve">. This gives an additional variable OPEX of </w:t>
      </w:r>
      <m:oMath>
        <m:r>
          <w:rPr>
            <w:rFonts w:ascii="Cambria Math" w:hAnsi="Cambria Math"/>
          </w:rPr>
          <m:t>2.41</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m:t>
                </m:r>
              </m:den>
            </m:f>
          </m:e>
        </m:d>
      </m:oMath>
      <w:r>
        <w:rPr>
          <w:rFonts w:eastAsiaTheme="minorEastAsia"/>
        </w:rPr>
        <w:t>. Equation (C.9) shows how this was calculated.</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8032"/>
        <w:gridCol w:w="634"/>
      </w:tblGrid>
      <w:tr w:rsidR="00A129B8" w14:paraId="52509687" w14:textId="77777777" w:rsidTr="00F4052C">
        <w:tc>
          <w:tcPr>
            <w:tcW w:w="250" w:type="pct"/>
            <w:shd w:val="clear" w:color="auto" w:fill="auto"/>
          </w:tcPr>
          <w:p w14:paraId="67573025" w14:textId="77777777" w:rsidR="00A129B8" w:rsidRDefault="00A129B8" w:rsidP="00F4052C"/>
        </w:tc>
        <w:tc>
          <w:tcPr>
            <w:tcW w:w="4500" w:type="pct"/>
            <w:shd w:val="clear" w:color="auto" w:fill="auto"/>
            <w:vAlign w:val="center"/>
          </w:tcPr>
          <w:p w14:paraId="16DEF1FB" w14:textId="77777777" w:rsidR="00A129B8" w:rsidRDefault="00A129B8" w:rsidP="00F4052C">
            <w:pPr>
              <w:jc w:val="center"/>
            </w:pPr>
            <m:oMathPara>
              <m:oMath>
                <m:r>
                  <w:rPr>
                    <w:rFonts w:ascii="Cambria Math" w:hAnsi="Cambria Math"/>
                  </w:rPr>
                  <m:t>Variable OPEX=</m:t>
                </m:r>
                <m:f>
                  <m:fPr>
                    <m:ctrlPr>
                      <w:rPr>
                        <w:rFonts w:ascii="Cambria Math" w:hAnsi="Cambria Math"/>
                        <w:i/>
                      </w:rPr>
                    </m:ctrlPr>
                  </m:fPr>
                  <m:num>
                    <m:r>
                      <w:rPr>
                        <w:rFonts w:ascii="Cambria Math" w:hAnsi="Cambria Math"/>
                      </w:rPr>
                      <m:t>17.48</m:t>
                    </m:r>
                    <m:d>
                      <m:dPr>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h</m:t>
                            </m:r>
                          </m:den>
                        </m:f>
                      </m:e>
                    </m:d>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unit</m:t>
                            </m:r>
                          </m:den>
                        </m:f>
                      </m:e>
                    </m:d>
                  </m:num>
                  <m:den>
                    <m:r>
                      <w:rPr>
                        <w:rFonts w:ascii="Cambria Math" w:eastAsiaTheme="minorEastAsia" w:hAnsi="Cambria Math"/>
                      </w:rPr>
                      <m:t>143190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unit</m:t>
                            </m:r>
                          </m:den>
                        </m:f>
                      </m:e>
                    </m:d>
                  </m:den>
                </m:f>
                <m:r>
                  <w:rPr>
                    <w:rFonts w:ascii="Cambria Math" w:hAnsi="Cambria Math"/>
                  </w:rPr>
                  <m:t>=2.41</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kWh</m:t>
                        </m:r>
                      </m:den>
                    </m:f>
                  </m:e>
                </m:d>
              </m:oMath>
            </m:oMathPara>
          </w:p>
        </w:tc>
        <w:tc>
          <w:tcPr>
            <w:tcW w:w="250" w:type="pct"/>
            <w:shd w:val="clear" w:color="auto" w:fill="auto"/>
            <w:vAlign w:val="center"/>
          </w:tcPr>
          <w:p w14:paraId="01F5EB4D" w14:textId="77777777" w:rsidR="00A129B8" w:rsidRPr="00BF2BA0" w:rsidRDefault="00A129B8" w:rsidP="00F4052C">
            <w:pPr>
              <w:jc w:val="center"/>
            </w:pPr>
            <w:r w:rsidRPr="00BF2BA0">
              <w:t>(</w:t>
            </w:r>
            <w:r>
              <w:t>C.9</w:t>
            </w:r>
            <w:r w:rsidRPr="00BF2BA0">
              <w:t>)</w:t>
            </w:r>
          </w:p>
        </w:tc>
      </w:tr>
    </w:tbl>
    <w:p w14:paraId="160F5D12" w14:textId="20B851A0" w:rsidR="00A129B8" w:rsidRPr="001B743E" w:rsidRDefault="00A129B8" w:rsidP="008B216C">
      <w:r>
        <w:t>Finally, the total emission factor for truck transmission was calculated multiplying the estimated emission factor for a truck of 62 g</w:t>
      </w:r>
      <w:r>
        <w:rPr>
          <w:vertAlign w:val="subscript"/>
        </w:rPr>
        <w:t>CO2</w:t>
      </w:r>
      <w:r>
        <w:t xml:space="preserve">/tonne-km, and the estimated weight of a truck of 40 tonnes </w:t>
      </w:r>
      <w:r>
        <w:lastRenderedPageBreak/>
        <w:fldChar w:fldCharType="begin"/>
      </w:r>
      <w:r>
        <w:instrText xml:space="preserve"> ADDIN EN.CITE &lt;EndNote&gt;&lt;Cite&gt;&lt;Author&gt;McKinnon&lt;/Author&gt;&lt;RecNum&gt;973&lt;/RecNum&gt;&lt;DisplayText&gt;[57]&lt;/DisplayText&gt;&lt;record&gt;&lt;rec-number&gt;973&lt;/rec-number&gt;&lt;foreign-keys&gt;&lt;key app="EN" db-id="w500zpaaheraz8epaw1p29dtf2ff9zrswv50" timestamp="1607697901"&gt;973&lt;/key&gt;&lt;/foreign-keys&gt;&lt;ref-type name="Report"&gt;27&lt;/ref-type&gt;&lt;contributors&gt;&lt;authors&gt;&lt;author&gt;McKinnon, Alan&lt;/author&gt;&lt;author&gt;Piecyk, Maja&lt;/author&gt;&lt;/authors&gt;&lt;/contributors&gt;&lt;titles&gt;&lt;title&gt;Measuring and Managing CO 2 Emissions of European Chemical Transport&lt;/title&gt;&lt;/titles&gt;&lt;dates&gt;&lt;/dates&gt;&lt;pub-location&gt;Edinburgh&lt;/pub-location&gt;&lt;urls&gt;&lt;related-urls&gt;&lt;url&gt;www.cefic.org&lt;/url&gt;&lt;/related-urls&gt;&lt;pdf-urls&gt;&lt;url&gt;file://Users\David\Library\Application Support\Mendeley Desktop\Downloaded\Mckinnon, Piecyk - Unknown - Measuring and Managing CO 2 Emissions of European Chemical Transport.pdf&lt;/url&gt;&lt;/pdf-urls&gt;&lt;/urls&gt;&lt;/record&gt;&lt;/Cite&gt;&lt;/EndNote&gt;</w:instrText>
      </w:r>
      <w:r>
        <w:fldChar w:fldCharType="separate"/>
      </w:r>
      <w:r>
        <w:rPr>
          <w:noProof/>
        </w:rPr>
        <w:t>[</w:t>
      </w:r>
      <w:hyperlink w:anchor="_ENREF_57" w:tooltip="McKinnon,  #973" w:history="1">
        <w:r w:rsidR="006210AE">
          <w:rPr>
            <w:noProof/>
          </w:rPr>
          <w:t>57</w:t>
        </w:r>
      </w:hyperlink>
      <w:r>
        <w:rPr>
          <w:noProof/>
        </w:rPr>
        <w:t>]</w:t>
      </w:r>
      <w:r>
        <w:fldChar w:fldCharType="end"/>
      </w:r>
      <w:r>
        <w:t>, and dividing by the truck capacity, to obtain a value of 6.77</w:t>
      </w:r>
      <m:oMath>
        <m:r>
          <w:rPr>
            <w:rFonts w:ascii="Cambria Math" w:hAnsi="Cambria Math"/>
          </w:rPr>
          <m:t>×</m:t>
        </m:r>
      </m:oMath>
      <w:r>
        <w:rPr>
          <w:rFonts w:eastAsiaTheme="minorEastAsia"/>
        </w:rPr>
        <w:t>10</w:t>
      </w:r>
      <w:r>
        <w:rPr>
          <w:rFonts w:eastAsiaTheme="minorEastAsia"/>
          <w:vertAlign w:val="superscript"/>
        </w:rPr>
        <w:t>-4</w:t>
      </w:r>
      <w:r>
        <w:rPr>
          <w:rFonts w:eastAsiaTheme="minorEastAsia"/>
        </w:rPr>
        <w:t xml:space="preserve"> kg</w:t>
      </w:r>
      <w:r>
        <w:rPr>
          <w:rFonts w:eastAsiaTheme="minorEastAsia"/>
          <w:vertAlign w:val="subscript"/>
        </w:rPr>
        <w:t>CO2</w:t>
      </w:r>
      <w:r>
        <w:rPr>
          <w:rFonts w:eastAsiaTheme="minorEastAsia"/>
        </w:rPr>
        <w:t xml:space="preserve">/kWh-km. This value is then multiplied by 2 (assuming a return journey of truck to depot) in order to obtain a final emission factor of </w:t>
      </w:r>
      <w:r>
        <w:t>1.35</w:t>
      </w:r>
      <m:oMath>
        <m:r>
          <w:rPr>
            <w:rFonts w:ascii="Cambria Math" w:hAnsi="Cambria Math"/>
          </w:rPr>
          <m:t>×</m:t>
        </m:r>
      </m:oMath>
      <w:r>
        <w:rPr>
          <w:rFonts w:eastAsiaTheme="minorEastAsia"/>
        </w:rPr>
        <w:t>10</w:t>
      </w:r>
      <w:r>
        <w:rPr>
          <w:rFonts w:eastAsiaTheme="minorEastAsia"/>
          <w:vertAlign w:val="superscript"/>
        </w:rPr>
        <w:t>-3</w:t>
      </w:r>
      <w:r>
        <w:rPr>
          <w:rFonts w:eastAsiaTheme="minorEastAsia"/>
        </w:rPr>
        <w:t xml:space="preserve"> kg</w:t>
      </w:r>
      <w:r>
        <w:rPr>
          <w:rFonts w:eastAsiaTheme="minorEastAsia"/>
          <w:vertAlign w:val="subscript"/>
        </w:rPr>
        <w:t>CO2</w:t>
      </w:r>
      <w:r>
        <w:rPr>
          <w:rFonts w:eastAsiaTheme="minorEastAsia"/>
        </w:rPr>
        <w:t xml:space="preserve">/kWh-km as seen in </w:t>
      </w:r>
      <w:r>
        <w:rPr>
          <w:rFonts w:eastAsiaTheme="minorEastAsia"/>
        </w:rPr>
        <w:fldChar w:fldCharType="begin"/>
      </w:r>
      <w:r>
        <w:rPr>
          <w:rFonts w:eastAsiaTheme="minorEastAsia"/>
        </w:rPr>
        <w:instrText xml:space="preserve"> REF _Ref48771711 \h </w:instrText>
      </w:r>
      <w:r>
        <w:rPr>
          <w:rFonts w:eastAsiaTheme="minorEastAsia"/>
        </w:rPr>
      </w:r>
      <w:r>
        <w:rPr>
          <w:rFonts w:eastAsiaTheme="minorEastAsia"/>
        </w:rPr>
        <w:fldChar w:fldCharType="separate"/>
      </w:r>
      <w:r>
        <w:t xml:space="preserve">Table </w:t>
      </w:r>
      <w:r>
        <w:rPr>
          <w:noProof/>
        </w:rPr>
        <w:t>9</w:t>
      </w:r>
      <w:r>
        <w:rPr>
          <w:rFonts w:eastAsiaTheme="minorEastAsia"/>
        </w:rPr>
        <w:fldChar w:fldCharType="end"/>
      </w:r>
      <w:r>
        <w:rPr>
          <w:rFonts w:eastAsiaTheme="minorEastAsia"/>
        </w:rPr>
        <w:t xml:space="preserve">. It must be noted that efficiency penalties are already included in the techno-economic parameters taken from </w:t>
      </w:r>
      <w:r>
        <w:fldChar w:fldCharType="begin"/>
      </w:r>
      <w:r>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fldChar w:fldCharType="separate"/>
      </w:r>
      <w:r>
        <w:rPr>
          <w:noProof/>
        </w:rPr>
        <w:t>[</w:t>
      </w:r>
      <w:hyperlink w:anchor="_ENREF_52" w:tooltip="IEA, 2019 #998" w:history="1">
        <w:r w:rsidR="006210AE">
          <w:rPr>
            <w:noProof/>
          </w:rPr>
          <w:t>52</w:t>
        </w:r>
      </w:hyperlink>
      <w:r>
        <w:rPr>
          <w:noProof/>
        </w:rPr>
        <w:t>]</w:t>
      </w:r>
      <w:r>
        <w:fldChar w:fldCharType="end"/>
      </w:r>
      <w:r>
        <w:t>, hence why there is no efficiency parameter included in the above equations.</w:t>
      </w:r>
    </w:p>
    <w:p w14:paraId="2630F610" w14:textId="78743CC7" w:rsidR="008B216C" w:rsidRPr="00534331" w:rsidRDefault="008B216C" w:rsidP="008B216C">
      <w:pPr>
        <w:pStyle w:val="Heading8"/>
      </w:pPr>
      <w:bookmarkStart w:id="310" w:name="_Toc50359481"/>
      <w:bookmarkStart w:id="311" w:name="_Ref55396164"/>
      <w:r>
        <w:t>Pipeline Distribution</w:t>
      </w:r>
      <w:bookmarkEnd w:id="310"/>
      <w:bookmarkEnd w:id="311"/>
    </w:p>
    <w:p w14:paraId="5E9A6707" w14:textId="423BDD62" w:rsidR="008B216C" w:rsidRDefault="008B216C" w:rsidP="00836AC8">
      <w:pPr>
        <w:pStyle w:val="Heading9"/>
      </w:pPr>
      <w:bookmarkStart w:id="312" w:name="_Toc50359482"/>
      <w:r>
        <w:t>Repurposing the Gas Distribution Network (To Supply 100% Hydrogen)</w:t>
      </w:r>
      <w:bookmarkEnd w:id="312"/>
    </w:p>
    <w:p w14:paraId="646F6CCE" w14:textId="53A7F84B" w:rsidR="008B216C" w:rsidRDefault="008A16B6" w:rsidP="008B216C">
      <w:r>
        <w:fldChar w:fldCharType="begin"/>
      </w:r>
      <w:r>
        <w:instrText xml:space="preserve"> REF _Ref48332686 \h </w:instrText>
      </w:r>
      <w:r>
        <w:fldChar w:fldCharType="separate"/>
      </w:r>
      <w:r w:rsidR="00403A31" w:rsidRPr="00E46604">
        <w:t xml:space="preserve">Table </w:t>
      </w:r>
      <w:r w:rsidR="00403A31">
        <w:rPr>
          <w:noProof/>
        </w:rPr>
        <w:t>25</w:t>
      </w:r>
      <w:r>
        <w:fldChar w:fldCharType="end"/>
      </w:r>
      <w:r>
        <w:t xml:space="preserve"> shows the cost of upgrading and reinforcing the gas distribution system for the low; medium and intermediate pressure tiers to supply hydrogen</w:t>
      </w:r>
      <w:r w:rsidR="004253EE">
        <w:t xml:space="preserve"> </w:t>
      </w:r>
      <w:r w:rsidR="004253EE">
        <w:fldChar w:fldCharType="begin"/>
      </w:r>
      <w:r w:rsidR="00434694">
        <w:instrText xml:space="preserve"> ADDIN EN.CITE &lt;EndNote&gt;&lt;Cite&gt;&lt;Author&gt;Element Energy&lt;/Author&gt;&lt;Year&gt;2018&lt;/Year&gt;&lt;RecNum&gt;1018&lt;/RecNum&gt;&lt;DisplayText&gt;[51, 56]&lt;/DisplayText&gt;&lt;record&gt;&lt;rec-number&gt;1018&lt;/rec-number&gt;&lt;foreign-keys&gt;&lt;key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base(2).pdf&lt;/url&gt;&lt;/pdf-urls&gt;&lt;/urls&gt;&lt;/record&gt;&lt;/Cite&gt;&lt;Cite&gt;&lt;Author&gt;Sadler&lt;/Author&gt;&lt;Year&gt;2016&lt;/Year&gt;&lt;RecNum&gt;926&lt;/RecNum&gt;&lt;record&gt;&lt;rec-number&gt;926&lt;/rec-number&gt;&lt;foreign-keys&gt;&lt;key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4253EE">
        <w:fldChar w:fldCharType="separate"/>
      </w:r>
      <w:r w:rsidR="00434694">
        <w:rPr>
          <w:noProof/>
        </w:rPr>
        <w:t>[</w:t>
      </w:r>
      <w:hyperlink w:anchor="_ENREF_51" w:tooltip="Element Energy, 2018 #1018" w:history="1">
        <w:r w:rsidR="006210AE">
          <w:rPr>
            <w:noProof/>
          </w:rPr>
          <w:t>51</w:t>
        </w:r>
      </w:hyperlink>
      <w:r w:rsidR="00434694">
        <w:rPr>
          <w:noProof/>
        </w:rPr>
        <w:t xml:space="preserve">, </w:t>
      </w:r>
      <w:hyperlink w:anchor="_ENREF_56" w:tooltip="Sadler, 2016 #926" w:history="1">
        <w:r w:rsidR="006210AE">
          <w:rPr>
            <w:noProof/>
          </w:rPr>
          <w:t>56</w:t>
        </w:r>
      </w:hyperlink>
      <w:r w:rsidR="00434694">
        <w:rPr>
          <w:noProof/>
        </w:rPr>
        <w:t>]</w:t>
      </w:r>
      <w:r w:rsidR="004253EE">
        <w:fldChar w:fldCharType="end"/>
      </w:r>
      <w:r>
        <w:t>.</w:t>
      </w:r>
      <w:r w:rsidR="008B216C">
        <w:t xml:space="preserve"> The costing data was</w:t>
      </w:r>
      <w:r>
        <w:t xml:space="preserve"> converted from a</w:t>
      </w:r>
      <w:r w:rsidR="008B216C">
        <w:t xml:space="preserve"> £/km basis</w:t>
      </w:r>
      <w:r>
        <w:t xml:space="preserve"> to</w:t>
      </w:r>
      <w:r w:rsidR="008B216C">
        <w:t xml:space="preserve"> a £/kW-km basis. </w:t>
      </w:r>
      <w:r>
        <w:t>I</w:t>
      </w:r>
      <w:r w:rsidR="008B216C">
        <w:t>t is assumed that</w:t>
      </w:r>
      <w:r>
        <w:t xml:space="preserve"> converted distribution infrastructure</w:t>
      </w:r>
      <w:r w:rsidR="008B216C">
        <w:t xml:space="preserve"> has the same lifetime and fixed OPEX as a newly installed transmission pipeline </w:t>
      </w:r>
      <w:r>
        <w:t>(</w:t>
      </w:r>
      <w:r w:rsidR="008B216C">
        <w:t>40 years and 0.22% of the CAPEX respectively</w:t>
      </w:r>
      <w:r w:rsidR="004253EE">
        <w:t xml:space="preserve"> </w:t>
      </w:r>
      <w:r w:rsidR="004253EE">
        <w:fldChar w:fldCharType="begin"/>
      </w:r>
      <w:r w:rsidR="00434694">
        <w:instrText xml:space="preserve"> ADDIN EN.CITE &lt;EndNote&gt;&lt;Cite&gt;&lt;Author&gt;IEA&lt;/Author&gt;&lt;Year&gt;2019&lt;/Year&gt;&lt;RecNum&gt;998&lt;/RecNum&gt;&lt;DisplayText&gt;[52, 56]&lt;/DisplayText&gt;&lt;record&gt;&lt;rec-number&gt;998&lt;/rec-number&gt;&lt;foreign-keys&gt;&lt;key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Assumptions.pdf&lt;/url&gt;&lt;/pdf-urls&gt;&lt;/urls&gt;&lt;/record&gt;&lt;/Cite&gt;&lt;Cite&gt;&lt;Author&gt;Sadler&lt;/Author&gt;&lt;Year&gt;2016&lt;/Year&gt;&lt;RecNum&gt;926&lt;/RecNum&gt;&lt;record&gt;&lt;rec-number&gt;926&lt;/rec-number&gt;&lt;foreign-keys&gt;&lt;key app="EN" db-id="w500zpaaheraz8epaw1p29dtf2ff9zrswv50" timestamp="1607697901"&gt;926&lt;/key&gt;&lt;/foreign-keys&gt;&lt;ref-type name="Report"&gt;27&lt;/ref-type&gt;&lt;contributors&gt;&lt;authors&gt;&lt;author&gt;Sadler, Dan&lt;/author&gt;&lt;author&gt;Cargill, Al&lt;/author&gt;&lt;author&gt;Crowther, Mark&lt;/author&gt;&lt;author&gt;Rennie, Alastair&lt;/author&gt;&lt;author&gt;Watt, James&lt;/author&gt;&lt;author&gt;Burton, Steve&lt;/author&gt;&lt;author&gt;Haines, Mike&lt;/author&gt;&lt;/authors&gt;&lt;/contributors&gt;&lt;titles&gt;&lt;title&gt;H21 - Leeds City Gate&lt;/title&gt;&lt;/titles&gt;&lt;dates&gt;&lt;year&gt;2016&lt;/year&gt;&lt;/dates&gt;&lt;urls&gt;&lt;related-urls&gt;&lt;url&gt;https://www.northerngasnetworks.co.uk/wp-content/uploads/2017/04/H21-Report-Interactive-PDF-July-2016.compressed.pdf&lt;/url&gt;&lt;/related-urls&gt;&lt;pdf-urls&gt;&lt;url&gt;file://Users\David\Library\Application Support\Mendeley Desktop\Downloaded\Sadler et al. - 2016 - H21 - Leeds City Gate.pdf&lt;/url&gt;&lt;/pdf-urls&gt;&lt;/urls&gt;&lt;/record&gt;&lt;/Cite&gt;&lt;/EndNote&gt;</w:instrText>
      </w:r>
      <w:r w:rsidR="004253EE">
        <w:fldChar w:fldCharType="separate"/>
      </w:r>
      <w:r w:rsidR="00434694">
        <w:rPr>
          <w:noProof/>
        </w:rPr>
        <w:t>[</w:t>
      </w:r>
      <w:hyperlink w:anchor="_ENREF_52" w:tooltip="IEA, 2019 #998" w:history="1">
        <w:r w:rsidR="006210AE">
          <w:rPr>
            <w:noProof/>
          </w:rPr>
          <w:t>52</w:t>
        </w:r>
      </w:hyperlink>
      <w:r w:rsidR="00434694">
        <w:rPr>
          <w:noProof/>
        </w:rPr>
        <w:t xml:space="preserve">, </w:t>
      </w:r>
      <w:hyperlink w:anchor="_ENREF_56" w:tooltip="Sadler, 2016 #926" w:history="1">
        <w:r w:rsidR="006210AE">
          <w:rPr>
            <w:noProof/>
          </w:rPr>
          <w:t>56</w:t>
        </w:r>
      </w:hyperlink>
      <w:r w:rsidR="00434694">
        <w:rPr>
          <w:noProof/>
        </w:rPr>
        <w:t>]</w:t>
      </w:r>
      <w:r w:rsidR="004253EE">
        <w:fldChar w:fldCharType="end"/>
      </w:r>
      <w:r>
        <w:t>)</w:t>
      </w:r>
      <w:r w:rsidR="008B216C">
        <w:t>.</w:t>
      </w:r>
      <w:r w:rsidR="00E46604" w:rsidRPr="00E46604">
        <w:t xml:space="preserve"> </w:t>
      </w:r>
      <w:r w:rsidR="00E46604">
        <w:t>Actual operating pressure ranges of the pressure tiers in the GDN</w:t>
      </w:r>
      <w:r w:rsidR="004253EE">
        <w:t xml:space="preserve"> </w:t>
      </w:r>
      <w:r w:rsidR="004253EE">
        <w:fldChar w:fldCharType="begin"/>
      </w:r>
      <w:r w:rsidR="006210AE">
        <w:instrText xml:space="preserve"> ADDIN EN.CITE &lt;EndNote&gt;&lt;Cite&gt;&lt;Author&gt;National Grid Gas&lt;/Author&gt;&lt;Year&gt;2016&lt;/Year&gt;&lt;RecNum&gt;1012&lt;/RecNum&gt;&lt;DisplayText&gt;[80]&lt;/DisplayText&gt;&lt;record&gt;&lt;rec-number&gt;1012&lt;/rec-number&gt;&lt;foreign-keys&gt;&lt;key app="EN" db-id="w500zpaaheraz8epaw1p29dtf2ff9zrswv50" timestamp="1607697901"&gt;1012&lt;/key&gt;&lt;/foreign-keys&gt;&lt;ref-type name="Report"&gt;27&lt;/ref-type&gt;&lt;contributors&gt;&lt;authors&gt;&lt;author&gt;National Grid Gas,&lt;/author&gt;&lt;/authors&gt;&lt;/contributors&gt;&lt;titles&gt;&lt;title&gt;Climate Change Adaptation Reporting - Second Round Response&lt;/title&gt;&lt;/titles&gt;&lt;dates&gt;&lt;year&gt;2016&lt;/year&gt;&lt;/dates&gt;&lt;publisher&gt;National Grid&lt;/publisher&gt;&lt;urls&gt;&lt;pdf-urls&gt;&lt;url&gt;file://Users\David\Library\Application Support\Mendeley Desktop\Downloaded\Grid - Unknown - Climate Change Adaptation Second Round Adaptation Response National Grid Gas.pdf&lt;/url&gt;&lt;/pdf-urls&gt;&lt;/urls&gt;&lt;/record&gt;&lt;/Cite&gt;&lt;/EndNote&gt;</w:instrText>
      </w:r>
      <w:r w:rsidR="004253EE">
        <w:fldChar w:fldCharType="separate"/>
      </w:r>
      <w:r w:rsidR="006210AE">
        <w:rPr>
          <w:noProof/>
        </w:rPr>
        <w:t>[</w:t>
      </w:r>
      <w:hyperlink w:anchor="_ENREF_80" w:tooltip="National Grid Gas, 2016 #1012" w:history="1">
        <w:r w:rsidR="006210AE">
          <w:rPr>
            <w:noProof/>
          </w:rPr>
          <w:t>80</w:t>
        </w:r>
      </w:hyperlink>
      <w:r w:rsidR="006210AE">
        <w:rPr>
          <w:noProof/>
        </w:rPr>
        <w:t>]</w:t>
      </w:r>
      <w:r w:rsidR="004253EE">
        <w:fldChar w:fldCharType="end"/>
      </w:r>
      <w:r w:rsidR="00E46604">
        <w:t xml:space="preserve"> were then used to estimate the hydrogen density ranges for the corresponding pressure tiers</w:t>
      </w:r>
      <w:r w:rsidR="007C277F">
        <w:t xml:space="preserve"> </w:t>
      </w:r>
      <w:r w:rsidR="007C277F">
        <w:fldChar w:fldCharType="begin"/>
      </w:r>
      <w:r w:rsidR="006210AE">
        <w:instrText xml:space="preserve"> ADDIN EN.CITE &lt;EndNote&gt;&lt;Cite&gt;&lt;Author&gt;The Engineering Toolbox&lt;/Author&gt;&lt;RecNum&gt;1076&lt;/RecNum&gt;&lt;DisplayText&gt;[81]&lt;/DisplayText&gt;&lt;record&gt;&lt;rec-number&gt;1076&lt;/rec-number&gt;&lt;foreign-keys&gt;&lt;key app="EN" db-id="w500zpaaheraz8epaw1p29dtf2ff9zrswv50" timestamp="1607697901"&gt;1076&lt;/key&gt;&lt;/foreign-keys&gt;&lt;ref-type name="Web Page"&gt;12&lt;/ref-type&gt;&lt;contributors&gt;&lt;authors&gt;&lt;author&gt;The Engineering Toolbox, &lt;/author&gt;&lt;/authors&gt;&lt;/contributors&gt;&lt;titles&gt;&lt;title&gt;Hydrogen - Density and Specific Weight&lt;/title&gt;&lt;/titles&gt;&lt;volume&gt;2020&lt;/volume&gt;&lt;number&gt;16 August&lt;/number&gt;&lt;dates&gt;&lt;/dates&gt;&lt;urls&gt;&lt;related-urls&gt;&lt;url&gt;https://www.engineeringtoolbox.com/hydrogen-H2-density-specific-weight-temperature-pressure-d_2044.html&lt;/url&gt;&lt;/related-urls&gt;&lt;/urls&gt;&lt;/record&gt;&lt;/Cite&gt;&lt;/EndNote&gt;</w:instrText>
      </w:r>
      <w:r w:rsidR="007C277F">
        <w:fldChar w:fldCharType="separate"/>
      </w:r>
      <w:r w:rsidR="006210AE">
        <w:rPr>
          <w:noProof/>
        </w:rPr>
        <w:t>[</w:t>
      </w:r>
      <w:hyperlink w:anchor="_ENREF_81" w:tooltip="The Engineering Toolbox,  #1076" w:history="1">
        <w:r w:rsidR="006210AE">
          <w:rPr>
            <w:noProof/>
          </w:rPr>
          <w:t>81</w:t>
        </w:r>
      </w:hyperlink>
      <w:r w:rsidR="006210AE">
        <w:rPr>
          <w:noProof/>
        </w:rPr>
        <w:t>]</w:t>
      </w:r>
      <w:r w:rsidR="007C277F">
        <w:fldChar w:fldCharType="end"/>
      </w:r>
      <w:r w:rsidR="00E46604">
        <w:t>.</w:t>
      </w:r>
      <w:r w:rsidR="00A95060" w:rsidRPr="00A95060">
        <w:t xml:space="preserve"> </w:t>
      </w:r>
      <w:r w:rsidR="00A95060">
        <w:t xml:space="preserve">Finally, the capacity range for each pressure tier was calculated using the cross-sectional area of the pipes, an assumed gas velocity of 15 m/s </w:t>
      </w:r>
      <w:r w:rsidR="007C277F">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7C277F">
        <w:fldChar w:fldCharType="separate"/>
      </w:r>
      <w:r w:rsidR="00434694">
        <w:rPr>
          <w:noProof/>
        </w:rPr>
        <w:t>[</w:t>
      </w:r>
      <w:hyperlink w:anchor="_ENREF_52" w:tooltip="IEA, 2019 #998" w:history="1">
        <w:r w:rsidR="006210AE">
          <w:rPr>
            <w:noProof/>
          </w:rPr>
          <w:t>52</w:t>
        </w:r>
      </w:hyperlink>
      <w:r w:rsidR="00434694">
        <w:rPr>
          <w:noProof/>
        </w:rPr>
        <w:t>]</w:t>
      </w:r>
      <w:r w:rsidR="007C277F">
        <w:fldChar w:fldCharType="end"/>
      </w:r>
      <w:r w:rsidR="00A95060">
        <w:t xml:space="preserve">, and the calculated densities. Results are shown in </w:t>
      </w:r>
      <w:r w:rsidR="00A95060">
        <w:fldChar w:fldCharType="begin"/>
      </w:r>
      <w:r w:rsidR="00A95060">
        <w:instrText xml:space="preserve"> REF _Ref48332686 \h </w:instrText>
      </w:r>
      <w:r w:rsidR="00A95060">
        <w:fldChar w:fldCharType="separate"/>
      </w:r>
      <w:r w:rsidR="00403A31" w:rsidRPr="00E46604">
        <w:t xml:space="preserve">Table </w:t>
      </w:r>
      <w:r w:rsidR="00403A31">
        <w:rPr>
          <w:noProof/>
        </w:rPr>
        <w:t>25</w:t>
      </w:r>
      <w:r w:rsidR="00A95060">
        <w:fldChar w:fldCharType="end"/>
      </w:r>
      <w:r w:rsidR="00A95060">
        <w:t>.</w:t>
      </w:r>
    </w:p>
    <w:p w14:paraId="21ADFEF1" w14:textId="0E2F0D7D" w:rsidR="008B216C" w:rsidRPr="00E46604" w:rsidRDefault="008B216C" w:rsidP="00E46604">
      <w:pPr>
        <w:pStyle w:val="Caption"/>
      </w:pPr>
      <w:bookmarkStart w:id="313" w:name="_Ref48332686"/>
      <w:bookmarkStart w:id="314" w:name="_Toc50359176"/>
      <w:r w:rsidRPr="00E46604">
        <w:t xml:space="preserve">Table </w:t>
      </w:r>
      <w:fldSimple w:instr=" SEQ Table \* ARABIC ">
        <w:r w:rsidR="00403A31">
          <w:rPr>
            <w:noProof/>
          </w:rPr>
          <w:t>25</w:t>
        </w:r>
      </w:fldSimple>
      <w:bookmarkEnd w:id="313"/>
      <w:r w:rsidR="00750B2D">
        <w:t xml:space="preserve">: </w:t>
      </w:r>
      <w:r w:rsidR="00E46604">
        <w:t>C</w:t>
      </w:r>
      <w:r w:rsidRPr="00E46604">
        <w:t>apital expenditure for repurposing different gas distribution pressure tiers</w:t>
      </w:r>
      <w:r w:rsidR="007C277F">
        <w:t xml:space="preserve"> </w:t>
      </w:r>
      <w:r w:rsidR="007C277F">
        <w:fldChar w:fldCharType="begin"/>
      </w:r>
      <w:r w:rsidR="00434694">
        <w:instrText xml:space="preserve"> ADDIN EN.CITE &lt;EndNote&gt;&lt;Cite&gt;&lt;Author&gt;Element Energy&lt;/Author&gt;&lt;Year&gt;2018&lt;/Year&gt;&lt;RecNum&gt;1018&lt;/RecNum&gt;&lt;DisplayText&gt;[51]&lt;/DisplayText&gt;&lt;record&gt;&lt;rec-number&gt;1018&lt;/rec-number&gt;&lt;foreign-keys&gt;&lt;key app="EN" db-id="w500zpaaheraz8epaw1p29dtf2ff9zrswv50" timestamp="1607697901"&gt;1018&lt;/key&gt;&lt;/foreign-keys&gt;&lt;ref-type name="Report"&gt;27&lt;/ref-type&gt;&lt;contributors&gt;&lt;authors&gt;&lt;author&gt;Element Energy,&lt;/author&gt;&lt;/authors&gt;&lt;/contributors&gt;&lt;titles&gt;&lt;title&gt;Hydrogen supply chain evidence base&lt;/title&gt;&lt;/titles&gt;&lt;dates&gt;&lt;year&gt;2018&lt;/year&gt;&lt;/dates&gt;&lt;urls&gt;&lt;pdf-urls&gt;&lt;url&gt;file://Users\David\Library\Application Support\Mendeley Desktop\Downloaded\Element Energy - 2018 - Hydrogen supply chain evidence base(2).pdf&lt;/url&gt;&lt;/pdf-urls&gt;&lt;/urls&gt;&lt;/record&gt;&lt;/Cite&gt;&lt;/EndNote&gt;</w:instrText>
      </w:r>
      <w:r w:rsidR="007C277F">
        <w:fldChar w:fldCharType="separate"/>
      </w:r>
      <w:r w:rsidR="00434694">
        <w:rPr>
          <w:noProof/>
        </w:rPr>
        <w:t>[</w:t>
      </w:r>
      <w:hyperlink w:anchor="_ENREF_51" w:tooltip="Element Energy, 2018 #1018" w:history="1">
        <w:r w:rsidR="006210AE">
          <w:rPr>
            <w:noProof/>
          </w:rPr>
          <w:t>51</w:t>
        </w:r>
      </w:hyperlink>
      <w:r w:rsidR="00434694">
        <w:rPr>
          <w:noProof/>
        </w:rPr>
        <w:t>]</w:t>
      </w:r>
      <w:r w:rsidR="007C277F">
        <w:fldChar w:fldCharType="end"/>
      </w:r>
      <w:r w:rsidRPr="00E46604">
        <w:t>.</w:t>
      </w:r>
      <w:bookmarkEnd w:id="314"/>
      <w:r w:rsidR="00E46604">
        <w:t xml:space="preserve"> Low and high operating pressure and corresponding hydrogen densities for the various pressure tiers in the gas distribution network</w:t>
      </w:r>
      <w:r w:rsidR="00E46604" w:rsidRPr="0054399F">
        <w:t xml:space="preserve"> </w:t>
      </w:r>
      <w:r w:rsidR="00E46604" w:rsidRPr="0054399F">
        <w:rPr>
          <w:vertAlign w:val="superscript"/>
        </w:rPr>
        <w:t xml:space="preserve">a </w:t>
      </w:r>
      <w:r w:rsidR="007C277F">
        <w:fldChar w:fldCharType="begin"/>
      </w:r>
      <w:r w:rsidR="006210AE">
        <w:instrText xml:space="preserve"> ADDIN EN.CITE &lt;EndNote&gt;&lt;Cite&gt;&lt;Author&gt;National Grid Gas&lt;/Author&gt;&lt;Year&gt;2016&lt;/Year&gt;&lt;RecNum&gt;1012&lt;/RecNum&gt;&lt;DisplayText&gt;[80]&lt;/DisplayText&gt;&lt;record&gt;&lt;rec-number&gt;1012&lt;/rec-number&gt;&lt;foreign-keys&gt;&lt;key app="EN" db-id="w500zpaaheraz8epaw1p29dtf2ff9zrswv50" timestamp="1607697901"&gt;1012&lt;/key&gt;&lt;/foreign-keys&gt;&lt;ref-type name="Report"&gt;27&lt;/ref-type&gt;&lt;contributors&gt;&lt;authors&gt;&lt;author&gt;National Grid Gas,&lt;/author&gt;&lt;/authors&gt;&lt;/contributors&gt;&lt;titles&gt;&lt;title&gt;Climate Change Adaptation Reporting - Second Round Response&lt;/title&gt;&lt;/titles&gt;&lt;dates&gt;&lt;year&gt;2016&lt;/year&gt;&lt;/dates&gt;&lt;publisher&gt;National Grid&lt;/publisher&gt;&lt;urls&gt;&lt;pdf-urls&gt;&lt;url&gt;file://Users\David\Library\Application Support\Mendeley Desktop\Downloaded\Grid - Unknown - Climate Change Adaptation Second Round Adaptation Response National Grid Gas.pdf&lt;/url&gt;&lt;/pdf-urls&gt;&lt;/urls&gt;&lt;/record&gt;&lt;/Cite&gt;&lt;/EndNote&gt;</w:instrText>
      </w:r>
      <w:r w:rsidR="007C277F">
        <w:fldChar w:fldCharType="separate"/>
      </w:r>
      <w:r w:rsidR="006210AE">
        <w:rPr>
          <w:noProof/>
        </w:rPr>
        <w:t>[</w:t>
      </w:r>
      <w:hyperlink w:anchor="_ENREF_80" w:tooltip="National Grid Gas, 2016 #1012" w:history="1">
        <w:r w:rsidR="006210AE">
          <w:rPr>
            <w:noProof/>
          </w:rPr>
          <w:t>80</w:t>
        </w:r>
      </w:hyperlink>
      <w:r w:rsidR="006210AE">
        <w:rPr>
          <w:noProof/>
        </w:rPr>
        <w:t>]</w:t>
      </w:r>
      <w:r w:rsidR="007C277F">
        <w:fldChar w:fldCharType="end"/>
      </w:r>
      <w:r w:rsidR="00E46604">
        <w:rPr>
          <w:vertAlign w:val="superscript"/>
        </w:rPr>
        <w:t xml:space="preserve">  b</w:t>
      </w:r>
      <w:r w:rsidR="00E46604" w:rsidRPr="00D948CB">
        <w:rPr>
          <w:vertAlign w:val="superscript"/>
        </w:rPr>
        <w:t xml:space="preserve"> </w:t>
      </w:r>
      <w:r w:rsidR="007C277F">
        <w:fldChar w:fldCharType="begin"/>
      </w:r>
      <w:r w:rsidR="006210AE">
        <w:instrText xml:space="preserve"> ADDIN EN.CITE &lt;EndNote&gt;&lt;Cite&gt;&lt;Author&gt;The Engineering Toolbox&lt;/Author&gt;&lt;RecNum&gt;1076&lt;/RecNum&gt;&lt;DisplayText&gt;[81]&lt;/DisplayText&gt;&lt;record&gt;&lt;rec-number&gt;1076&lt;/rec-number&gt;&lt;foreign-keys&gt;&lt;key app="EN" db-id="w500zpaaheraz8epaw1p29dtf2ff9zrswv50" timestamp="1607697901"&gt;1076&lt;/key&gt;&lt;/foreign-keys&gt;&lt;ref-type name="Web Page"&gt;12&lt;/ref-type&gt;&lt;contributors&gt;&lt;authors&gt;&lt;author&gt;The Engineering Toolbox, &lt;/author&gt;&lt;/authors&gt;&lt;/contributors&gt;&lt;titles&gt;&lt;title&gt;Hydrogen - Density and Specific Weight&lt;/title&gt;&lt;/titles&gt;&lt;volume&gt;2020&lt;/volume&gt;&lt;number&gt;16 August&lt;/number&gt;&lt;dates&gt;&lt;/dates&gt;&lt;urls&gt;&lt;related-urls&gt;&lt;url&gt;https://www.engineeringtoolbox.com/hydrogen-H2-density-specific-weight-temperature-pressure-d_2044.html&lt;/url&gt;&lt;/related-urls&gt;&lt;/urls&gt;&lt;/record&gt;&lt;/Cite&gt;&lt;/EndNote&gt;</w:instrText>
      </w:r>
      <w:r w:rsidR="007C277F">
        <w:fldChar w:fldCharType="separate"/>
      </w:r>
      <w:r w:rsidR="006210AE">
        <w:rPr>
          <w:noProof/>
        </w:rPr>
        <w:t>[</w:t>
      </w:r>
      <w:hyperlink w:anchor="_ENREF_81" w:tooltip="The Engineering Toolbox,  #1076" w:history="1">
        <w:r w:rsidR="006210AE">
          <w:rPr>
            <w:noProof/>
          </w:rPr>
          <w:t>81</w:t>
        </w:r>
      </w:hyperlink>
      <w:r w:rsidR="006210AE">
        <w:rPr>
          <w:noProof/>
        </w:rPr>
        <w:t>]</w:t>
      </w:r>
      <w:r w:rsidR="007C277F">
        <w:fldChar w:fldCharType="end"/>
      </w:r>
      <w:r w:rsidR="007C277F">
        <w:t>.</w:t>
      </w:r>
    </w:p>
    <w:tbl>
      <w:tblPr>
        <w:tblStyle w:val="PlainTable2"/>
        <w:tblW w:w="0" w:type="auto"/>
        <w:jc w:val="center"/>
        <w:tblLook w:val="04A0" w:firstRow="1" w:lastRow="0" w:firstColumn="1" w:lastColumn="0" w:noHBand="0" w:noVBand="1"/>
      </w:tblPr>
      <w:tblGrid>
        <w:gridCol w:w="1198"/>
        <w:gridCol w:w="1097"/>
        <w:gridCol w:w="996"/>
        <w:gridCol w:w="1044"/>
        <w:gridCol w:w="1046"/>
        <w:gridCol w:w="929"/>
        <w:gridCol w:w="931"/>
        <w:gridCol w:w="892"/>
        <w:gridCol w:w="893"/>
      </w:tblGrid>
      <w:tr w:rsidR="00E46604" w:rsidRPr="00E46604" w14:paraId="4CFDEC7D" w14:textId="6C24FB72" w:rsidTr="00ED5886">
        <w:trPr>
          <w:cnfStyle w:val="100000000000" w:firstRow="1" w:lastRow="0" w:firstColumn="0" w:lastColumn="0" w:oddVBand="0" w:evenVBand="0" w:oddHBand="0"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1A30CE" w14:textId="77777777" w:rsidR="00E46604" w:rsidRPr="00E46604" w:rsidRDefault="00E46604" w:rsidP="00003C7E">
            <w:pPr>
              <w:spacing w:before="0" w:after="0"/>
              <w:rPr>
                <w:rFonts w:eastAsia="Times New Roman" w:cs="Arial"/>
                <w:color w:val="000000"/>
                <w:sz w:val="18"/>
                <w:szCs w:val="18"/>
                <w:lang w:eastAsia="en-GB"/>
              </w:rPr>
            </w:pPr>
            <w:r w:rsidRPr="00E46604">
              <w:rPr>
                <w:rFonts w:eastAsia="Times New Roman" w:cs="Arial"/>
                <w:color w:val="000000"/>
                <w:sz w:val="18"/>
                <w:szCs w:val="18"/>
                <w:lang w:eastAsia="en-GB"/>
              </w:rPr>
              <w:t>Pressure Tier</w:t>
            </w:r>
          </w:p>
        </w:tc>
        <w:tc>
          <w:tcPr>
            <w:tcW w:w="0" w:type="auto"/>
            <w:noWrap/>
            <w:vAlign w:val="center"/>
            <w:hideMark/>
          </w:tcPr>
          <w:p w14:paraId="26CF0CBB" w14:textId="77777777"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Cost (£/km)</w:t>
            </w:r>
          </w:p>
        </w:tc>
        <w:tc>
          <w:tcPr>
            <w:tcW w:w="0" w:type="auto"/>
            <w:vAlign w:val="center"/>
          </w:tcPr>
          <w:p w14:paraId="702816C1" w14:textId="77777777"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Assumed Pipe Diameter (mm)</w:t>
            </w:r>
          </w:p>
        </w:tc>
        <w:tc>
          <w:tcPr>
            <w:tcW w:w="0" w:type="auto"/>
            <w:vAlign w:val="center"/>
          </w:tcPr>
          <w:p w14:paraId="4DA01AE0" w14:textId="39D50D64"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Low Operating Pressure (bar)</w:t>
            </w:r>
            <w:r w:rsidRPr="00E46604">
              <w:rPr>
                <w:rFonts w:eastAsia="Times New Roman" w:cs="Arial"/>
                <w:color w:val="000000"/>
                <w:sz w:val="18"/>
                <w:szCs w:val="18"/>
                <w:vertAlign w:val="superscript"/>
                <w:lang w:eastAsia="en-GB"/>
              </w:rPr>
              <w:t>a</w:t>
            </w:r>
          </w:p>
        </w:tc>
        <w:tc>
          <w:tcPr>
            <w:tcW w:w="0" w:type="auto"/>
            <w:vAlign w:val="center"/>
          </w:tcPr>
          <w:p w14:paraId="1233EE00" w14:textId="09F8869A"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High Operating Pressure (bar)</w:t>
            </w:r>
            <w:r w:rsidRPr="00E46604">
              <w:rPr>
                <w:rFonts w:eastAsia="Times New Roman" w:cs="Arial"/>
                <w:color w:val="000000"/>
                <w:sz w:val="18"/>
                <w:szCs w:val="18"/>
                <w:vertAlign w:val="superscript"/>
                <w:lang w:eastAsia="en-GB"/>
              </w:rPr>
              <w:t>a</w:t>
            </w:r>
          </w:p>
        </w:tc>
        <w:tc>
          <w:tcPr>
            <w:tcW w:w="0" w:type="auto"/>
            <w:vAlign w:val="center"/>
          </w:tcPr>
          <w:p w14:paraId="58CE5D53" w14:textId="7997740C"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cs="Arial"/>
                <w:color w:val="000000"/>
                <w:sz w:val="18"/>
                <w:szCs w:val="18"/>
              </w:rPr>
              <w:t>Low Density (kg/m3)</w:t>
            </w:r>
            <w:r w:rsidRPr="00E46604">
              <w:rPr>
                <w:rFonts w:cs="Arial"/>
                <w:color w:val="000000"/>
                <w:sz w:val="18"/>
                <w:szCs w:val="18"/>
                <w:vertAlign w:val="superscript"/>
              </w:rPr>
              <w:t>b</w:t>
            </w:r>
          </w:p>
        </w:tc>
        <w:tc>
          <w:tcPr>
            <w:tcW w:w="0" w:type="auto"/>
            <w:vAlign w:val="center"/>
          </w:tcPr>
          <w:p w14:paraId="7FDF1011" w14:textId="6D31CE23"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cs="Arial"/>
                <w:color w:val="000000"/>
                <w:sz w:val="18"/>
                <w:szCs w:val="18"/>
              </w:rPr>
              <w:t>High Density (kg/m3)</w:t>
            </w:r>
            <w:r w:rsidRPr="00E46604">
              <w:rPr>
                <w:rFonts w:cs="Arial"/>
                <w:color w:val="000000"/>
                <w:sz w:val="18"/>
                <w:szCs w:val="18"/>
                <w:vertAlign w:val="superscript"/>
              </w:rPr>
              <w:t>b</w:t>
            </w:r>
          </w:p>
        </w:tc>
        <w:tc>
          <w:tcPr>
            <w:tcW w:w="0" w:type="auto"/>
            <w:vAlign w:val="center"/>
          </w:tcPr>
          <w:p w14:paraId="61CF254B" w14:textId="3A33E53E"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46604">
              <w:rPr>
                <w:rFonts w:eastAsia="Times New Roman" w:cs="Arial"/>
                <w:color w:val="000000"/>
                <w:sz w:val="18"/>
                <w:szCs w:val="18"/>
                <w:lang w:eastAsia="en-GB"/>
              </w:rPr>
              <w:t>Low Capacity (kW)</w:t>
            </w:r>
          </w:p>
        </w:tc>
        <w:tc>
          <w:tcPr>
            <w:tcW w:w="0" w:type="auto"/>
            <w:vAlign w:val="center"/>
          </w:tcPr>
          <w:p w14:paraId="62D6A934" w14:textId="73EE3DD5" w:rsidR="00E46604" w:rsidRPr="00E46604" w:rsidRDefault="00E46604" w:rsidP="00003C7E">
            <w:pPr>
              <w:spacing w:before="0" w:after="0"/>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46604">
              <w:rPr>
                <w:rFonts w:eastAsia="Times New Roman" w:cs="Arial"/>
                <w:color w:val="000000"/>
                <w:sz w:val="18"/>
                <w:szCs w:val="18"/>
                <w:lang w:eastAsia="en-GB"/>
              </w:rPr>
              <w:t>High Capacity (kW)</w:t>
            </w:r>
          </w:p>
        </w:tc>
      </w:tr>
      <w:tr w:rsidR="00E46604" w:rsidRPr="00E46604" w14:paraId="6FBF9786" w14:textId="60260C80" w:rsidTr="00ED588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665359" w14:textId="77777777" w:rsidR="00E46604" w:rsidRPr="00E46604" w:rsidRDefault="00E46604" w:rsidP="00003C7E">
            <w:pPr>
              <w:spacing w:before="0" w:after="0"/>
              <w:rPr>
                <w:rFonts w:eastAsia="Times New Roman" w:cs="Arial"/>
                <w:color w:val="000000"/>
                <w:sz w:val="18"/>
                <w:szCs w:val="18"/>
                <w:lang w:eastAsia="en-GB"/>
              </w:rPr>
            </w:pPr>
            <w:r w:rsidRPr="00E46604">
              <w:rPr>
                <w:rFonts w:eastAsia="Times New Roman" w:cs="Arial"/>
                <w:color w:val="000000"/>
                <w:sz w:val="18"/>
                <w:szCs w:val="18"/>
                <w:lang w:eastAsia="en-GB"/>
              </w:rPr>
              <w:t>Intermediate</w:t>
            </w:r>
          </w:p>
        </w:tc>
        <w:tc>
          <w:tcPr>
            <w:tcW w:w="0" w:type="auto"/>
            <w:noWrap/>
            <w:vAlign w:val="center"/>
            <w:hideMark/>
          </w:tcPr>
          <w:p w14:paraId="2498524D" w14:textId="77777777"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400,000</w:t>
            </w:r>
          </w:p>
        </w:tc>
        <w:tc>
          <w:tcPr>
            <w:tcW w:w="0" w:type="auto"/>
            <w:vAlign w:val="center"/>
          </w:tcPr>
          <w:p w14:paraId="029A2D11" w14:textId="77777777"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268</w:t>
            </w:r>
          </w:p>
        </w:tc>
        <w:tc>
          <w:tcPr>
            <w:tcW w:w="0" w:type="auto"/>
            <w:vAlign w:val="center"/>
          </w:tcPr>
          <w:p w14:paraId="07847F92" w14:textId="77D1DE3F"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w:t>
            </w:r>
          </w:p>
        </w:tc>
        <w:tc>
          <w:tcPr>
            <w:tcW w:w="0" w:type="auto"/>
            <w:vAlign w:val="center"/>
          </w:tcPr>
          <w:p w14:paraId="011EB32C" w14:textId="49480C00"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7</w:t>
            </w:r>
          </w:p>
        </w:tc>
        <w:tc>
          <w:tcPr>
            <w:tcW w:w="0" w:type="auto"/>
            <w:vAlign w:val="center"/>
          </w:tcPr>
          <w:p w14:paraId="41C7DAA5" w14:textId="6C01323D"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2.50</w:t>
            </w:r>
          </w:p>
        </w:tc>
        <w:tc>
          <w:tcPr>
            <w:tcW w:w="0" w:type="auto"/>
            <w:vAlign w:val="center"/>
          </w:tcPr>
          <w:p w14:paraId="2B1BB287" w14:textId="04F150FD"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8.80</w:t>
            </w:r>
          </w:p>
        </w:tc>
        <w:tc>
          <w:tcPr>
            <w:tcW w:w="0" w:type="auto"/>
            <w:vAlign w:val="center"/>
          </w:tcPr>
          <w:p w14:paraId="2EBA77D2" w14:textId="042BE51F"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25094</w:t>
            </w:r>
            <w:r>
              <w:rPr>
                <w:rFonts w:eastAsia="Times New Roman" w:cs="Arial"/>
                <w:color w:val="000000"/>
                <w:sz w:val="18"/>
                <w:szCs w:val="18"/>
                <w:lang w:eastAsia="en-GB"/>
              </w:rPr>
              <w:t>9</w:t>
            </w:r>
          </w:p>
        </w:tc>
        <w:tc>
          <w:tcPr>
            <w:tcW w:w="0" w:type="auto"/>
            <w:vAlign w:val="center"/>
          </w:tcPr>
          <w:p w14:paraId="42938DA7" w14:textId="55658261"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883972</w:t>
            </w:r>
          </w:p>
        </w:tc>
      </w:tr>
      <w:tr w:rsidR="00E46604" w:rsidRPr="00E46604" w14:paraId="5D8F7DEF" w14:textId="31AE1BC2"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24F249" w14:textId="77777777" w:rsidR="00E46604" w:rsidRPr="00E46604" w:rsidRDefault="00E46604" w:rsidP="00003C7E">
            <w:pPr>
              <w:spacing w:before="0" w:after="0"/>
              <w:rPr>
                <w:rFonts w:eastAsia="Times New Roman" w:cs="Arial"/>
                <w:color w:val="000000"/>
                <w:sz w:val="18"/>
                <w:szCs w:val="18"/>
                <w:lang w:eastAsia="en-GB"/>
              </w:rPr>
            </w:pPr>
            <w:r w:rsidRPr="00E46604">
              <w:rPr>
                <w:rFonts w:eastAsia="Times New Roman" w:cs="Arial"/>
                <w:color w:val="000000"/>
                <w:sz w:val="18"/>
                <w:szCs w:val="18"/>
                <w:lang w:eastAsia="en-GB"/>
              </w:rPr>
              <w:t>Medium</w:t>
            </w:r>
          </w:p>
        </w:tc>
        <w:tc>
          <w:tcPr>
            <w:tcW w:w="0" w:type="auto"/>
            <w:noWrap/>
            <w:vAlign w:val="center"/>
            <w:hideMark/>
          </w:tcPr>
          <w:p w14:paraId="386F95A4" w14:textId="77777777"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350,000</w:t>
            </w:r>
          </w:p>
        </w:tc>
        <w:tc>
          <w:tcPr>
            <w:tcW w:w="0" w:type="auto"/>
            <w:vAlign w:val="center"/>
          </w:tcPr>
          <w:p w14:paraId="2BCC741E" w14:textId="77777777"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229</w:t>
            </w:r>
          </w:p>
        </w:tc>
        <w:tc>
          <w:tcPr>
            <w:tcW w:w="0" w:type="auto"/>
            <w:vAlign w:val="center"/>
          </w:tcPr>
          <w:p w14:paraId="67F719DB" w14:textId="38BCB315"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0.075</w:t>
            </w:r>
          </w:p>
        </w:tc>
        <w:tc>
          <w:tcPr>
            <w:tcW w:w="0" w:type="auto"/>
            <w:vAlign w:val="center"/>
          </w:tcPr>
          <w:p w14:paraId="0DA7D0EC" w14:textId="3A2EF6CF"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w:t>
            </w:r>
          </w:p>
        </w:tc>
        <w:tc>
          <w:tcPr>
            <w:tcW w:w="0" w:type="auto"/>
            <w:vAlign w:val="center"/>
          </w:tcPr>
          <w:p w14:paraId="732F3100" w14:textId="36BF364C"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0.14</w:t>
            </w:r>
          </w:p>
        </w:tc>
        <w:tc>
          <w:tcPr>
            <w:tcW w:w="0" w:type="auto"/>
            <w:vAlign w:val="center"/>
          </w:tcPr>
          <w:p w14:paraId="7477D464" w14:textId="6092C5F1"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2.50</w:t>
            </w:r>
          </w:p>
        </w:tc>
        <w:tc>
          <w:tcPr>
            <w:tcW w:w="0" w:type="auto"/>
            <w:vAlign w:val="center"/>
          </w:tcPr>
          <w:p w14:paraId="7F6B9E04" w14:textId="130430CA"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10110</w:t>
            </w:r>
          </w:p>
        </w:tc>
        <w:tc>
          <w:tcPr>
            <w:tcW w:w="0" w:type="auto"/>
            <w:vAlign w:val="center"/>
          </w:tcPr>
          <w:p w14:paraId="5E99F6AA" w14:textId="33B3C862" w:rsidR="00E46604" w:rsidRPr="00E46604" w:rsidRDefault="00E46604" w:rsidP="00003C7E">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18437</w:t>
            </w:r>
            <w:r>
              <w:rPr>
                <w:rFonts w:eastAsia="Times New Roman" w:cs="Arial"/>
                <w:color w:val="000000"/>
                <w:sz w:val="18"/>
                <w:szCs w:val="18"/>
                <w:lang w:eastAsia="en-GB"/>
              </w:rPr>
              <w:t>1</w:t>
            </w:r>
          </w:p>
        </w:tc>
      </w:tr>
      <w:tr w:rsidR="00E46604" w:rsidRPr="00E46604" w14:paraId="55D6A5E7" w14:textId="5398B14C"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DF2E43" w14:textId="77777777" w:rsidR="00E46604" w:rsidRPr="00E46604" w:rsidRDefault="00E46604" w:rsidP="00003C7E">
            <w:pPr>
              <w:spacing w:before="0" w:after="0"/>
              <w:rPr>
                <w:rFonts w:eastAsia="Times New Roman" w:cs="Arial"/>
                <w:color w:val="000000"/>
                <w:sz w:val="18"/>
                <w:szCs w:val="18"/>
                <w:lang w:eastAsia="en-GB"/>
              </w:rPr>
            </w:pPr>
            <w:r w:rsidRPr="00E46604">
              <w:rPr>
                <w:rFonts w:eastAsia="Times New Roman" w:cs="Arial"/>
                <w:color w:val="000000"/>
                <w:sz w:val="18"/>
                <w:szCs w:val="18"/>
                <w:lang w:eastAsia="en-GB"/>
              </w:rPr>
              <w:t>Low</w:t>
            </w:r>
          </w:p>
        </w:tc>
        <w:tc>
          <w:tcPr>
            <w:tcW w:w="0" w:type="auto"/>
            <w:noWrap/>
            <w:vAlign w:val="center"/>
            <w:hideMark/>
          </w:tcPr>
          <w:p w14:paraId="60FEA484" w14:textId="77777777"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200,000</w:t>
            </w:r>
          </w:p>
        </w:tc>
        <w:tc>
          <w:tcPr>
            <w:tcW w:w="0" w:type="auto"/>
            <w:vAlign w:val="center"/>
          </w:tcPr>
          <w:p w14:paraId="23FA568A" w14:textId="77777777"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127</w:t>
            </w:r>
          </w:p>
        </w:tc>
        <w:tc>
          <w:tcPr>
            <w:tcW w:w="0" w:type="auto"/>
            <w:vAlign w:val="center"/>
          </w:tcPr>
          <w:p w14:paraId="6D54AFEA" w14:textId="79C0A190"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0.03</w:t>
            </w:r>
          </w:p>
        </w:tc>
        <w:tc>
          <w:tcPr>
            <w:tcW w:w="0" w:type="auto"/>
            <w:vAlign w:val="center"/>
          </w:tcPr>
          <w:p w14:paraId="64ED8D6E" w14:textId="6E030A8B"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0.075</w:t>
            </w:r>
          </w:p>
        </w:tc>
        <w:tc>
          <w:tcPr>
            <w:tcW w:w="0" w:type="auto"/>
            <w:vAlign w:val="center"/>
          </w:tcPr>
          <w:p w14:paraId="329AA427" w14:textId="05B872CE"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0.064</w:t>
            </w:r>
          </w:p>
        </w:tc>
        <w:tc>
          <w:tcPr>
            <w:tcW w:w="0" w:type="auto"/>
            <w:vAlign w:val="center"/>
          </w:tcPr>
          <w:p w14:paraId="71983AD7" w14:textId="10190981"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0.137</w:t>
            </w:r>
          </w:p>
        </w:tc>
        <w:tc>
          <w:tcPr>
            <w:tcW w:w="0" w:type="auto"/>
            <w:vAlign w:val="center"/>
          </w:tcPr>
          <w:p w14:paraId="23D68CC6" w14:textId="1AC5FC25"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1469</w:t>
            </w:r>
          </w:p>
        </w:tc>
        <w:tc>
          <w:tcPr>
            <w:tcW w:w="0" w:type="auto"/>
            <w:vAlign w:val="center"/>
          </w:tcPr>
          <w:p w14:paraId="78E34B70" w14:textId="3BB98D74" w:rsidR="00E46604" w:rsidRPr="00E46604" w:rsidRDefault="00E46604" w:rsidP="00003C7E">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GB"/>
              </w:rPr>
            </w:pPr>
            <w:r w:rsidRPr="00E46604">
              <w:rPr>
                <w:rFonts w:eastAsia="Times New Roman" w:cs="Arial"/>
                <w:color w:val="000000"/>
                <w:sz w:val="18"/>
                <w:szCs w:val="18"/>
                <w:lang w:eastAsia="en-GB"/>
              </w:rPr>
              <w:t>3120</w:t>
            </w:r>
          </w:p>
        </w:tc>
      </w:tr>
    </w:tbl>
    <w:p w14:paraId="3E263D69" w14:textId="6D392C40" w:rsidR="008B216C" w:rsidRDefault="00003C7E" w:rsidP="008B216C">
      <w:r>
        <w:fldChar w:fldCharType="begin"/>
      </w:r>
      <w:r>
        <w:instrText xml:space="preserve"> REF _Ref48344946 \h </w:instrText>
      </w:r>
      <w:r>
        <w:fldChar w:fldCharType="separate"/>
      </w:r>
      <w:r w:rsidR="00403A31">
        <w:t xml:space="preserve">Figure </w:t>
      </w:r>
      <w:r w:rsidR="00403A31">
        <w:rPr>
          <w:noProof/>
        </w:rPr>
        <w:t>55</w:t>
      </w:r>
      <w:r>
        <w:fldChar w:fldCharType="end"/>
      </w:r>
      <w:r>
        <w:t xml:space="preserve"> plots</w:t>
      </w:r>
      <w:r w:rsidR="008B216C">
        <w:t xml:space="preserve"> the cost for each GDN pressure tier (£/km) vs the low and high capacities for the corresponding pressure tier. A linear </w:t>
      </w:r>
      <w:r>
        <w:t xml:space="preserve">interpolation </w:t>
      </w:r>
      <w:r w:rsidR="008B216C">
        <w:t xml:space="preserve">shows </w:t>
      </w:r>
      <w:r>
        <w:t xml:space="preserve">that the </w:t>
      </w:r>
      <w:r w:rsidR="008B216C">
        <w:t>CAPEX (£/kW-km) of repurposing the GDN lies within the range of 1.65 – 0.51 £/kW-km.</w:t>
      </w:r>
      <w:r>
        <w:t xml:space="preserve"> A</w:t>
      </w:r>
      <w:r w:rsidR="008B216C">
        <w:t xml:space="preserve"> middle value of 1.08 £/kW-km </w:t>
      </w:r>
      <w:r>
        <w:t>was assumed</w:t>
      </w:r>
      <w:r w:rsidR="007C277F">
        <w:t>.</w:t>
      </w:r>
    </w:p>
    <w:p w14:paraId="5C0EC44D" w14:textId="77777777" w:rsidR="008B216C" w:rsidRDefault="008B216C" w:rsidP="008B216C">
      <w:pPr>
        <w:pStyle w:val="Style1"/>
        <w:keepNext/>
        <w:jc w:val="center"/>
      </w:pPr>
      <w:r>
        <w:rPr>
          <w:noProof/>
        </w:rPr>
        <w:lastRenderedPageBreak/>
        <w:drawing>
          <wp:inline distT="0" distB="0" distL="0" distR="0" wp14:anchorId="25D1E3E9" wp14:editId="0E01BFDC">
            <wp:extent cx="4588648" cy="2814099"/>
            <wp:effectExtent l="0" t="0" r="2540" b="5715"/>
            <wp:docPr id="12" name="Chart 12">
              <a:extLst xmlns:a="http://schemas.openxmlformats.org/drawingml/2006/main">
                <a:ext uri="{FF2B5EF4-FFF2-40B4-BE49-F238E27FC236}">
                  <a16:creationId xmlns:a16="http://schemas.microsoft.com/office/drawing/2014/main" id="{52B1D039-2517-4E0F-9202-1123368CE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D8DB209" w14:textId="45637B66" w:rsidR="008B216C" w:rsidRDefault="008B216C" w:rsidP="008B216C">
      <w:pPr>
        <w:pStyle w:val="Caption"/>
      </w:pPr>
      <w:bookmarkStart w:id="315" w:name="_Ref48344946"/>
      <w:bookmarkStart w:id="316" w:name="_Toc50359123"/>
      <w:r>
        <w:t xml:space="preserve">Figure </w:t>
      </w:r>
      <w:fldSimple w:instr=" SEQ Figure \* ARABIC ">
        <w:r w:rsidR="00403A31">
          <w:rPr>
            <w:noProof/>
          </w:rPr>
          <w:t>55</w:t>
        </w:r>
      </w:fldSimple>
      <w:bookmarkEnd w:id="315"/>
      <w:r w:rsidR="00750B2D">
        <w:t>:</w:t>
      </w:r>
      <w:r>
        <w:t xml:space="preserve"> </w:t>
      </w:r>
      <w:r w:rsidR="00750B2D">
        <w:t>C</w:t>
      </w:r>
      <w:r>
        <w:t>apital cost in £/km vs pipeline capacity in kW, with linear lines of best fit for the low capacity assumption (in blue), and the high capacity assumption (in orange).</w:t>
      </w:r>
      <w:bookmarkEnd w:id="316"/>
    </w:p>
    <w:p w14:paraId="7FF3EAF7" w14:textId="5AC07EC0" w:rsidR="008B216C" w:rsidRDefault="008B216C" w:rsidP="00836AC8">
      <w:pPr>
        <w:pStyle w:val="Heading9"/>
      </w:pPr>
      <w:bookmarkStart w:id="317" w:name="_Toc50359483"/>
      <w:r>
        <w:t>Newly Installed Distribution Pipelines</w:t>
      </w:r>
      <w:bookmarkEnd w:id="317"/>
    </w:p>
    <w:p w14:paraId="0B5159B6" w14:textId="6AE4BFBB" w:rsidR="008B216C" w:rsidRDefault="008B216C" w:rsidP="008B216C">
      <w:r>
        <w:t xml:space="preserve">Newly installed distribution pipelines’ CAPEX was estimated </w:t>
      </w:r>
      <w:r w:rsidR="00003C7E">
        <w:t>from</w:t>
      </w:r>
      <w:r w:rsidR="00DB3296">
        <w:t xml:space="preserve"> </w:t>
      </w:r>
      <w:r w:rsidR="00DB3296">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DB3296">
        <w:fldChar w:fldCharType="separate"/>
      </w:r>
      <w:r w:rsidR="00434694">
        <w:rPr>
          <w:noProof/>
        </w:rPr>
        <w:t>[</w:t>
      </w:r>
      <w:hyperlink w:anchor="_ENREF_52" w:tooltip="IEA, 2019 #998" w:history="1">
        <w:r w:rsidR="006210AE">
          <w:rPr>
            <w:noProof/>
          </w:rPr>
          <w:t>52</w:t>
        </w:r>
      </w:hyperlink>
      <w:r w:rsidR="00434694">
        <w:rPr>
          <w:noProof/>
        </w:rPr>
        <w:t>]</w:t>
      </w:r>
      <w:r w:rsidR="00DB3296">
        <w:fldChar w:fldCharType="end"/>
      </w:r>
      <w:r>
        <w:t xml:space="preserve">. Since the CAPEX was given in the form of £/km for a low- and high-pressure distribution pipeline, </w:t>
      </w:r>
      <w:r w:rsidR="00003C7E">
        <w:t xml:space="preserve">it was </w:t>
      </w:r>
      <w:r>
        <w:t xml:space="preserve">converted into </w:t>
      </w:r>
      <w:r w:rsidR="00003C7E">
        <w:t xml:space="preserve">a </w:t>
      </w:r>
      <w:r>
        <w:t xml:space="preserve">£/kW-km so </w:t>
      </w:r>
      <w:r w:rsidR="00003C7E">
        <w:t xml:space="preserve">basis to </w:t>
      </w:r>
      <w:r>
        <w:t>be used in the model.</w:t>
      </w:r>
      <w:r w:rsidR="00003C7E">
        <w:t xml:space="preserve"> Estimated </w:t>
      </w:r>
      <w:r>
        <w:t>CAPEX (</w:t>
      </w:r>
      <w:r w:rsidR="00442C0F">
        <w:t>£</w:t>
      </w:r>
      <w:r>
        <w:t>m/km) and designed throughput (ktonnes/y &amp; tonnes/y)</w:t>
      </w:r>
      <w:r w:rsidR="00003C7E">
        <w:t xml:space="preserve"> were converted into a hydrogen energy basis (kW).</w:t>
      </w:r>
      <w:r>
        <w:t xml:space="preserve"> </w:t>
      </w:r>
      <w:r>
        <w:fldChar w:fldCharType="begin"/>
      </w:r>
      <w:r>
        <w:instrText xml:space="preserve"> REF _Ref48830119 \h </w:instrText>
      </w:r>
      <w:r>
        <w:fldChar w:fldCharType="separate"/>
      </w:r>
      <w:r w:rsidR="00403A31">
        <w:t xml:space="preserve">Table </w:t>
      </w:r>
      <w:r w:rsidR="00403A31">
        <w:rPr>
          <w:noProof/>
        </w:rPr>
        <w:t>26</w:t>
      </w:r>
      <w:r>
        <w:fldChar w:fldCharType="end"/>
      </w:r>
      <w:r>
        <w:t xml:space="preserve"> shows these values</w:t>
      </w:r>
      <w:r w:rsidR="00003C7E">
        <w:t xml:space="preserve">. </w:t>
      </w:r>
      <w:r>
        <w:t xml:space="preserve"> </w:t>
      </w:r>
    </w:p>
    <w:p w14:paraId="4AEB4287" w14:textId="483A55A6" w:rsidR="008B216C" w:rsidRDefault="008B216C" w:rsidP="008B216C">
      <w:pPr>
        <w:pStyle w:val="Caption"/>
        <w:keepNext/>
      </w:pPr>
      <w:bookmarkStart w:id="318" w:name="_Ref48830119"/>
      <w:bookmarkStart w:id="319" w:name="_Toc50359179"/>
      <w:r>
        <w:t xml:space="preserve">Table </w:t>
      </w:r>
      <w:fldSimple w:instr=" SEQ Table \* ARABIC ">
        <w:r w:rsidR="00403A31">
          <w:rPr>
            <w:noProof/>
          </w:rPr>
          <w:t>26</w:t>
        </w:r>
      </w:fldSimple>
      <w:bookmarkEnd w:id="318"/>
      <w:r w:rsidR="00750B2D">
        <w:t xml:space="preserve">: </w:t>
      </w:r>
      <w:r>
        <w:t>CAPEX (£/km) and design throughput (kg/s) of a low and high pressure new hydrogen distribution pipeline; data adapted from</w:t>
      </w:r>
      <w:r w:rsidR="00DB3296">
        <w:t xml:space="preserve"> </w:t>
      </w:r>
      <w:r w:rsidR="00DB3296">
        <w:fldChar w:fldCharType="begin"/>
      </w:r>
      <w:r w:rsidR="00434694">
        <w:instrText xml:space="preserve"> ADDIN EN.CITE &lt;EndNote&gt;&lt;Cite&gt;&lt;Author&gt;IEA&lt;/Author&gt;&lt;Year&gt;2019&lt;/Year&gt;&lt;RecNum&gt;998&lt;/RecNum&gt;&lt;DisplayText&gt;[52]&lt;/DisplayText&gt;&lt;record&gt;&lt;rec-number&gt;998&lt;/rec-number&gt;&lt;foreign-keys&gt;&lt;key app="EN" db-id="w500zpaaheraz8epaw1p29dtf2ff9zrswv50" timestamp="1607697901"&gt;998&lt;/key&gt;&lt;/foreign-keys&gt;&lt;ref-type name="Report"&gt;27&lt;/ref-type&gt;&lt;contributors&gt;&lt;authors&gt;&lt;author&gt;IEA&lt;/author&gt;&lt;/authors&gt;&lt;/contributors&gt;&lt;titles&gt;&lt;title&gt;The Future of Hydrogen Report: Assumptions&lt;/title&gt;&lt;/titles&gt;&lt;dates&gt;&lt;year&gt;2019&lt;/year&gt;&lt;/dates&gt;&lt;publisher&gt;International Energy Agency&lt;/publisher&gt;&lt;urls&gt;&lt;related-urls&gt;&lt;url&gt;https://iea.blob.core.windows.net/assets/a02a0c80-77b2-462e-a9d5-1099e0e572ce/IEA-The-Future-of-Hydrogen-Assumptions-Annex.pdf&lt;/url&gt;&lt;/related-urls&gt;&lt;pdf-urls&gt;&lt;url&gt;file://Users\David\Library\Application Support\Mendeley Desktop\Downloaded\International Energy Agency (iea) - 2019 - The Future of Hydrogen Report Assumptions.pdf&lt;/url&gt;&lt;/pdf-urls&gt;&lt;/urls&gt;&lt;/record&gt;&lt;/Cite&gt;&lt;/EndNote&gt;</w:instrText>
      </w:r>
      <w:r w:rsidR="00DB3296">
        <w:fldChar w:fldCharType="separate"/>
      </w:r>
      <w:r w:rsidR="00434694">
        <w:rPr>
          <w:noProof/>
        </w:rPr>
        <w:t>[</w:t>
      </w:r>
      <w:hyperlink w:anchor="_ENREF_52" w:tooltip="IEA, 2019 #998" w:history="1">
        <w:r w:rsidR="006210AE">
          <w:rPr>
            <w:noProof/>
          </w:rPr>
          <w:t>52</w:t>
        </w:r>
      </w:hyperlink>
      <w:r w:rsidR="00434694">
        <w:rPr>
          <w:noProof/>
        </w:rPr>
        <w:t>]</w:t>
      </w:r>
      <w:r w:rsidR="00DB3296">
        <w:fldChar w:fldCharType="end"/>
      </w:r>
      <w:r>
        <w:t>.</w:t>
      </w:r>
      <w:bookmarkEnd w:id="319"/>
    </w:p>
    <w:tbl>
      <w:tblPr>
        <w:tblStyle w:val="PlainTable2"/>
        <w:tblW w:w="0" w:type="auto"/>
        <w:jc w:val="center"/>
        <w:tblLook w:val="04A0" w:firstRow="1" w:lastRow="0" w:firstColumn="1" w:lastColumn="0" w:noHBand="0" w:noVBand="1"/>
      </w:tblPr>
      <w:tblGrid>
        <w:gridCol w:w="1356"/>
        <w:gridCol w:w="1536"/>
        <w:gridCol w:w="1721"/>
        <w:gridCol w:w="1371"/>
      </w:tblGrid>
      <w:tr w:rsidR="008B216C" w:rsidRPr="00D10C43" w14:paraId="01EB43F1" w14:textId="77777777" w:rsidTr="00750B2D">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vAlign w:val="center"/>
          </w:tcPr>
          <w:p w14:paraId="3E6423B6" w14:textId="77777777" w:rsidR="008B216C" w:rsidRPr="00D10C43" w:rsidRDefault="008B216C" w:rsidP="0030755E">
            <w:pPr>
              <w:spacing w:before="0" w:after="0"/>
              <w:rPr>
                <w:sz w:val="20"/>
                <w:szCs w:val="20"/>
              </w:rPr>
            </w:pPr>
          </w:p>
        </w:tc>
        <w:tc>
          <w:tcPr>
            <w:tcW w:w="0" w:type="auto"/>
            <w:vAlign w:val="center"/>
          </w:tcPr>
          <w:p w14:paraId="22BAE1D3" w14:textId="77777777" w:rsidR="008B216C" w:rsidRPr="00D10C43" w:rsidRDefault="008B216C" w:rsidP="0030755E">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D10C43">
              <w:rPr>
                <w:sz w:val="20"/>
                <w:szCs w:val="20"/>
                <w:lang w:eastAsia="en-GB"/>
              </w:rPr>
              <w:t>CAPEX (£m/km)</w:t>
            </w:r>
          </w:p>
        </w:tc>
        <w:tc>
          <w:tcPr>
            <w:tcW w:w="0" w:type="auto"/>
            <w:vAlign w:val="center"/>
          </w:tcPr>
          <w:p w14:paraId="767613EC" w14:textId="77777777" w:rsidR="008B216C" w:rsidRPr="00D10C43" w:rsidRDefault="008B216C" w:rsidP="0030755E">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D10C43">
              <w:rPr>
                <w:sz w:val="20"/>
                <w:szCs w:val="20"/>
                <w:lang w:eastAsia="en-GB"/>
              </w:rPr>
              <w:t>Throughput (kg/s)</w:t>
            </w:r>
          </w:p>
        </w:tc>
        <w:tc>
          <w:tcPr>
            <w:tcW w:w="0" w:type="auto"/>
            <w:vAlign w:val="center"/>
          </w:tcPr>
          <w:p w14:paraId="2AE72E63" w14:textId="77777777" w:rsidR="008B216C" w:rsidRPr="00D10C43" w:rsidRDefault="008B216C" w:rsidP="0030755E">
            <w:pPr>
              <w:pStyle w:val="Style1"/>
              <w:spacing w:before="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Pr>
                <w:sz w:val="20"/>
                <w:szCs w:val="20"/>
                <w:lang w:eastAsia="en-GB"/>
              </w:rPr>
              <w:t>Capacity (kW)</w:t>
            </w:r>
          </w:p>
        </w:tc>
      </w:tr>
      <w:tr w:rsidR="008B216C" w:rsidRPr="00D10C43" w14:paraId="6CF3576F" w14:textId="77777777" w:rsidTr="00ED588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9A1BF7" w14:textId="77777777" w:rsidR="008B216C" w:rsidRPr="00D10C43" w:rsidRDefault="008B216C" w:rsidP="0030755E">
            <w:pPr>
              <w:pStyle w:val="Style1"/>
              <w:spacing w:before="0" w:line="240" w:lineRule="auto"/>
              <w:jc w:val="left"/>
              <w:rPr>
                <w:sz w:val="20"/>
                <w:szCs w:val="20"/>
                <w:lang w:eastAsia="en-GB"/>
              </w:rPr>
            </w:pPr>
            <w:r w:rsidRPr="00D10C43">
              <w:rPr>
                <w:sz w:val="20"/>
                <w:szCs w:val="20"/>
                <w:lang w:eastAsia="en-GB"/>
              </w:rPr>
              <w:t>High Pressure</w:t>
            </w:r>
          </w:p>
        </w:tc>
        <w:tc>
          <w:tcPr>
            <w:tcW w:w="0" w:type="auto"/>
            <w:vAlign w:val="center"/>
          </w:tcPr>
          <w:p w14:paraId="682F9B09" w14:textId="77777777" w:rsidR="008B216C" w:rsidRPr="00D10C43" w:rsidRDefault="008B216C" w:rsidP="0030755E">
            <w:pPr>
              <w:pStyle w:val="Style1"/>
              <w:spacing w:before="0"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en-GB"/>
              </w:rPr>
            </w:pPr>
            <w:r w:rsidRPr="00D10C43">
              <w:rPr>
                <w:sz w:val="20"/>
                <w:szCs w:val="20"/>
                <w:lang w:eastAsia="en-GB"/>
              </w:rPr>
              <w:t>0.38</w:t>
            </w:r>
          </w:p>
        </w:tc>
        <w:tc>
          <w:tcPr>
            <w:tcW w:w="0" w:type="auto"/>
            <w:vAlign w:val="center"/>
          </w:tcPr>
          <w:p w14:paraId="055BA3FB" w14:textId="77777777" w:rsidR="008B216C" w:rsidRPr="00D10C43" w:rsidRDefault="008B216C"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D10C43">
              <w:rPr>
                <w:rFonts w:eastAsia="Times New Roman" w:cs="Arial"/>
                <w:color w:val="000000"/>
                <w:sz w:val="20"/>
                <w:szCs w:val="20"/>
                <w:lang w:eastAsia="en-GB"/>
              </w:rPr>
              <w:t>1.2</w:t>
            </w:r>
          </w:p>
        </w:tc>
        <w:tc>
          <w:tcPr>
            <w:tcW w:w="0" w:type="auto"/>
            <w:vAlign w:val="center"/>
          </w:tcPr>
          <w:p w14:paraId="27AE8364" w14:textId="77777777" w:rsidR="008B216C" w:rsidRPr="00D10C43" w:rsidRDefault="008B216C" w:rsidP="0030755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143856.0</w:t>
            </w:r>
          </w:p>
        </w:tc>
      </w:tr>
      <w:tr w:rsidR="008B216C" w:rsidRPr="00D10C43" w14:paraId="194B8EB0" w14:textId="77777777" w:rsidTr="00ED5886">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6E41CC" w14:textId="77777777" w:rsidR="008B216C" w:rsidRPr="00D10C43" w:rsidRDefault="008B216C" w:rsidP="0030755E">
            <w:pPr>
              <w:pStyle w:val="Style1"/>
              <w:spacing w:before="0" w:line="240" w:lineRule="auto"/>
              <w:jc w:val="left"/>
              <w:rPr>
                <w:sz w:val="20"/>
                <w:szCs w:val="20"/>
                <w:lang w:eastAsia="en-GB"/>
              </w:rPr>
            </w:pPr>
            <w:r w:rsidRPr="00D10C43">
              <w:rPr>
                <w:sz w:val="20"/>
                <w:szCs w:val="20"/>
                <w:lang w:eastAsia="en-GB"/>
              </w:rPr>
              <w:t>Low Pressure</w:t>
            </w:r>
          </w:p>
        </w:tc>
        <w:tc>
          <w:tcPr>
            <w:tcW w:w="0" w:type="auto"/>
            <w:vAlign w:val="center"/>
          </w:tcPr>
          <w:p w14:paraId="76DF0E57" w14:textId="77777777" w:rsidR="008B216C" w:rsidRPr="00D10C43" w:rsidRDefault="008B216C"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D10C43">
              <w:rPr>
                <w:rFonts w:eastAsia="Times New Roman" w:cs="Arial"/>
                <w:color w:val="000000"/>
                <w:sz w:val="20"/>
                <w:szCs w:val="20"/>
                <w:lang w:eastAsia="en-GB"/>
              </w:rPr>
              <w:t>0.228</w:t>
            </w:r>
          </w:p>
        </w:tc>
        <w:tc>
          <w:tcPr>
            <w:tcW w:w="0" w:type="auto"/>
            <w:vAlign w:val="center"/>
          </w:tcPr>
          <w:p w14:paraId="66361AA3" w14:textId="77777777" w:rsidR="008B216C" w:rsidRPr="00D10C43" w:rsidRDefault="008B216C"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D10C43">
              <w:rPr>
                <w:rFonts w:eastAsia="Times New Roman" w:cs="Arial"/>
                <w:color w:val="000000"/>
                <w:sz w:val="20"/>
                <w:szCs w:val="20"/>
                <w:lang w:eastAsia="en-GB"/>
              </w:rPr>
              <w:t>0.0116</w:t>
            </w:r>
          </w:p>
        </w:tc>
        <w:tc>
          <w:tcPr>
            <w:tcW w:w="0" w:type="auto"/>
            <w:vAlign w:val="center"/>
          </w:tcPr>
          <w:p w14:paraId="44A8C2F2" w14:textId="77777777" w:rsidR="008B216C" w:rsidRPr="00D10C43" w:rsidRDefault="008B216C" w:rsidP="0030755E">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1387.0</w:t>
            </w:r>
          </w:p>
        </w:tc>
      </w:tr>
    </w:tbl>
    <w:p w14:paraId="5FEF23A3" w14:textId="2BB84712" w:rsidR="008B216C" w:rsidRDefault="008B216C" w:rsidP="008B216C">
      <w:r>
        <w:t xml:space="preserve">CAPEX (£/km) was then plotted against the capacity (kW) for the low- and high-pressure pipeline, and a linear </w:t>
      </w:r>
      <w:r w:rsidR="00B879F3">
        <w:t xml:space="preserve">interpolation </w:t>
      </w:r>
      <w:r>
        <w:t xml:space="preserve">was </w:t>
      </w:r>
      <w:r w:rsidR="00B879F3">
        <w:t>drawn.</w:t>
      </w:r>
    </w:p>
    <w:p w14:paraId="743711D6" w14:textId="77777777" w:rsidR="008B216C" w:rsidRDefault="008B216C" w:rsidP="008B216C">
      <w:pPr>
        <w:keepNext/>
        <w:jc w:val="center"/>
      </w:pPr>
      <w:r>
        <w:rPr>
          <w:noProof/>
        </w:rPr>
        <w:drawing>
          <wp:inline distT="0" distB="0" distL="0" distR="0" wp14:anchorId="14056BF7" wp14:editId="742A046E">
            <wp:extent cx="4206240" cy="2099145"/>
            <wp:effectExtent l="0" t="0" r="3810" b="0"/>
            <wp:docPr id="21" name="Chart 21">
              <a:extLst xmlns:a="http://schemas.openxmlformats.org/drawingml/2006/main">
                <a:ext uri="{FF2B5EF4-FFF2-40B4-BE49-F238E27FC236}">
                  <a16:creationId xmlns:a16="http://schemas.microsoft.com/office/drawing/2014/main" id="{765308CB-7014-4642-A7A6-4CBA65A8A4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FB4259D" w14:textId="37603637" w:rsidR="008B216C" w:rsidRDefault="008B216C" w:rsidP="008B216C">
      <w:pPr>
        <w:pStyle w:val="Caption"/>
      </w:pPr>
      <w:bookmarkStart w:id="320" w:name="_Toc50359124"/>
      <w:r>
        <w:t xml:space="preserve">Figure </w:t>
      </w:r>
      <w:fldSimple w:instr=" SEQ Figure \* ARABIC ">
        <w:r w:rsidR="00A12555">
          <w:rPr>
            <w:noProof/>
          </w:rPr>
          <w:t>56</w:t>
        </w:r>
      </w:fldSimple>
      <w:r w:rsidR="00750B2D">
        <w:rPr>
          <w:noProof/>
        </w:rPr>
        <w:t xml:space="preserve">: </w:t>
      </w:r>
      <w:r>
        <w:t>CAPEX (£/km) vs capacity (kW) for a newly installed hydrogen distribution pipeline.</w:t>
      </w:r>
      <w:bookmarkEnd w:id="320"/>
    </w:p>
    <w:p w14:paraId="446BB3C8" w14:textId="6746FC01" w:rsidR="008B216C" w:rsidRPr="00B3604B" w:rsidRDefault="008B216C" w:rsidP="00552907">
      <w:pPr>
        <w:pStyle w:val="Heading8"/>
      </w:pPr>
      <w:bookmarkStart w:id="321" w:name="_Ref48992401"/>
      <w:bookmarkStart w:id="322" w:name="_Toc50359484"/>
      <w:bookmarkStart w:id="323" w:name="_Ref55396166"/>
      <w:r w:rsidRPr="00B3604B">
        <w:lastRenderedPageBreak/>
        <w:t>Truck Distribution</w:t>
      </w:r>
      <w:bookmarkEnd w:id="321"/>
      <w:bookmarkEnd w:id="322"/>
      <w:bookmarkEnd w:id="323"/>
      <w:r w:rsidR="00A129B8">
        <w:t xml:space="preserve"> (CGH</w:t>
      </w:r>
      <w:r w:rsidR="00A129B8">
        <w:rPr>
          <w:vertAlign w:val="subscript"/>
        </w:rPr>
        <w:t>2</w:t>
      </w:r>
      <w:r w:rsidR="00A129B8">
        <w:t xml:space="preserve"> and LH</w:t>
      </w:r>
      <w:r w:rsidR="00A129B8">
        <w:rPr>
          <w:vertAlign w:val="subscript"/>
        </w:rPr>
        <w:t>2</w:t>
      </w:r>
      <w:r w:rsidR="00A129B8">
        <w:t>)</w:t>
      </w:r>
    </w:p>
    <w:p w14:paraId="2A84C4AD" w14:textId="68459877" w:rsidR="008B216C" w:rsidRDefault="008B216C" w:rsidP="008B216C">
      <w:r>
        <w:t xml:space="preserve">Truck distribution techno-economic parameters were estimated using the same methodology as </w:t>
      </w:r>
      <w:r w:rsidR="000E471C">
        <w:t>for truck transmission</w:t>
      </w:r>
      <w:r w:rsidR="005851DD">
        <w:t xml:space="preserve"> (both compressed gas and liquid hydrogen)</w:t>
      </w:r>
      <w:r w:rsidR="000E471C">
        <w:t xml:space="preserve"> (Appendix </w:t>
      </w:r>
      <w:r w:rsidR="000E471C">
        <w:fldChar w:fldCharType="begin"/>
      </w:r>
      <w:r w:rsidR="000E471C">
        <w:instrText xml:space="preserve"> REF _Ref48992431 \r \h </w:instrText>
      </w:r>
      <w:r w:rsidR="000E471C">
        <w:fldChar w:fldCharType="separate"/>
      </w:r>
      <w:r w:rsidR="00A12555">
        <w:t>C.10</w:t>
      </w:r>
      <w:r w:rsidR="000E471C">
        <w:fldChar w:fldCharType="end"/>
      </w:r>
      <w:r w:rsidR="000E471C">
        <w:t>), with t</w:t>
      </w:r>
      <w:r>
        <w:t>he only difference between the two transportation method</w:t>
      </w:r>
      <w:r w:rsidR="00442C0F">
        <w:t xml:space="preserve">s was the </w:t>
      </w:r>
      <w:r>
        <w:t xml:space="preserve">assumed average truck speed </w:t>
      </w:r>
      <w:r w:rsidR="00442C0F">
        <w:t>was</w:t>
      </w:r>
      <w:r>
        <w:t xml:space="preserve"> 25 km/h</w:t>
      </w:r>
      <w:r w:rsidR="00442C0F">
        <w:t xml:space="preserve"> for distribution</w:t>
      </w:r>
      <w:r w:rsidR="00DB3296">
        <w:t xml:space="preserve"> </w:t>
      </w:r>
      <w:r w:rsidR="00DB3296">
        <w:fldChar w:fldCharType="begin"/>
      </w:r>
      <w:r w:rsidR="00DB3296">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DB3296">
        <w:fldChar w:fldCharType="separate"/>
      </w:r>
      <w:r w:rsidR="00DB3296">
        <w:rPr>
          <w:noProof/>
        </w:rPr>
        <w:t>[</w:t>
      </w:r>
      <w:hyperlink w:anchor="_ENREF_12" w:tooltip="Murthy Konda, 2011 #968" w:history="1">
        <w:r w:rsidR="006210AE">
          <w:rPr>
            <w:noProof/>
          </w:rPr>
          <w:t>12</w:t>
        </w:r>
      </w:hyperlink>
      <w:r w:rsidR="00DB3296">
        <w:rPr>
          <w:noProof/>
        </w:rPr>
        <w:t>]</w:t>
      </w:r>
      <w:r w:rsidR="00DB3296">
        <w:fldChar w:fldCharType="end"/>
      </w:r>
      <w:r>
        <w:t xml:space="preserve">. </w:t>
      </w:r>
    </w:p>
    <w:p w14:paraId="4279E748" w14:textId="25F3204B" w:rsidR="008B216C" w:rsidRDefault="008B216C" w:rsidP="00552907">
      <w:pPr>
        <w:pStyle w:val="Heading8"/>
      </w:pPr>
      <w:bookmarkStart w:id="324" w:name="_Toc50359485"/>
      <w:bookmarkStart w:id="325" w:name="_Ref55400823"/>
      <w:bookmarkStart w:id="326" w:name="_Ref55414260"/>
      <w:r>
        <w:t>Hydrogen Refuelling Stations</w:t>
      </w:r>
      <w:bookmarkEnd w:id="324"/>
      <w:bookmarkEnd w:id="325"/>
      <w:bookmarkEnd w:id="326"/>
    </w:p>
    <w:p w14:paraId="167D6AAD" w14:textId="409348EA" w:rsidR="008B216C" w:rsidRDefault="008B216C" w:rsidP="008B216C">
      <w:r>
        <w:fldChar w:fldCharType="begin"/>
      </w:r>
      <w:r>
        <w:instrText xml:space="preserve"> REF _Ref48907275 \h </w:instrText>
      </w:r>
      <w:r>
        <w:fldChar w:fldCharType="separate"/>
      </w:r>
      <w:r w:rsidR="00A12555">
        <w:t xml:space="preserve">Table </w:t>
      </w:r>
      <w:r w:rsidR="00A12555">
        <w:rPr>
          <w:noProof/>
        </w:rPr>
        <w:t>27</w:t>
      </w:r>
      <w:r>
        <w:fldChar w:fldCharType="end"/>
      </w:r>
      <w:r>
        <w:t xml:space="preserve"> shows a summary of the breakdown of CAPEX and OPEX costs</w:t>
      </w:r>
      <w:r w:rsidR="009E3AD1">
        <w:t xml:space="preserve"> of hydrogen refuelling stations</w:t>
      </w:r>
      <w:r w:rsidR="00DB3296">
        <w:t xml:space="preserve"> </w:t>
      </w:r>
      <w:r w:rsidR="00DB3296">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DB3296">
        <w:fldChar w:fldCharType="separate"/>
      </w:r>
      <w:r w:rsidR="00434694">
        <w:rPr>
          <w:noProof/>
        </w:rPr>
        <w:t>[</w:t>
      </w:r>
      <w:hyperlink w:anchor="_ENREF_60" w:tooltip="Xu, 2017 #894" w:history="1">
        <w:r w:rsidR="006210AE">
          <w:rPr>
            <w:noProof/>
          </w:rPr>
          <w:t>60</w:t>
        </w:r>
      </w:hyperlink>
      <w:r w:rsidR="00434694">
        <w:rPr>
          <w:noProof/>
        </w:rPr>
        <w:t>]</w:t>
      </w:r>
      <w:r w:rsidR="00DB3296">
        <w:fldChar w:fldCharType="end"/>
      </w:r>
      <w:r>
        <w:t>, after removing equipment associated with on-site hydrogen production; capacities converted to an energy basis (kW); and prices corrected for currency and inflation.</w:t>
      </w:r>
      <w:r w:rsidR="009E3AD1">
        <w:t xml:space="preserve"> H</w:t>
      </w:r>
      <w:r>
        <w:t>ydrogen storage was lumped into the costing of the hydrogen refuelling station. Xu et al.</w:t>
      </w:r>
      <w:r w:rsidR="00DB3296">
        <w:t xml:space="preserve"> </w:t>
      </w:r>
      <w:r w:rsidR="00DB3296">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DB3296">
        <w:fldChar w:fldCharType="separate"/>
      </w:r>
      <w:r w:rsidR="00434694">
        <w:rPr>
          <w:noProof/>
        </w:rPr>
        <w:t>[</w:t>
      </w:r>
      <w:hyperlink w:anchor="_ENREF_60" w:tooltip="Xu, 2017 #894" w:history="1">
        <w:r w:rsidR="006210AE">
          <w:rPr>
            <w:noProof/>
          </w:rPr>
          <w:t>60</w:t>
        </w:r>
      </w:hyperlink>
      <w:r w:rsidR="00434694">
        <w:rPr>
          <w:noProof/>
        </w:rPr>
        <w:t>]</w:t>
      </w:r>
      <w:r w:rsidR="00DB3296">
        <w:fldChar w:fldCharType="end"/>
      </w:r>
      <w:r>
        <w:t xml:space="preserve"> assume a bulk storage of 30% of the daily refuelling station capacity, and a 14% cascade storage in order to accommodate for demand</w:t>
      </w:r>
      <w:r w:rsidR="009E3AD1">
        <w:t xml:space="preserve"> fluctuations</w:t>
      </w:r>
      <w:r>
        <w:t>.</w:t>
      </w:r>
    </w:p>
    <w:p w14:paraId="64722FF5" w14:textId="1F95EEA7" w:rsidR="008B216C" w:rsidRDefault="008B216C" w:rsidP="008B216C">
      <w:pPr>
        <w:pStyle w:val="Caption"/>
        <w:keepNext/>
      </w:pPr>
      <w:bookmarkStart w:id="327" w:name="_Ref48907275"/>
      <w:bookmarkStart w:id="328" w:name="_Toc50359180"/>
      <w:r>
        <w:t xml:space="preserve">Table </w:t>
      </w:r>
      <w:fldSimple w:instr=" SEQ Table \* ARABIC ">
        <w:r w:rsidR="00A12555">
          <w:rPr>
            <w:noProof/>
          </w:rPr>
          <w:t>27</w:t>
        </w:r>
      </w:fldSimple>
      <w:bookmarkEnd w:id="327"/>
      <w:r w:rsidR="00750B2D">
        <w:t xml:space="preserve">: </w:t>
      </w:r>
      <w:r>
        <w:t>Capital</w:t>
      </w:r>
      <w:r w:rsidR="009E3AD1">
        <w:t xml:space="preserve">, </w:t>
      </w:r>
      <w:r>
        <w:t xml:space="preserve">operation and maintenance cost for a range of hydrogen refuelling station capacities; data adapted from </w:t>
      </w:r>
      <w:r w:rsidR="00DB3296">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DB3296">
        <w:fldChar w:fldCharType="separate"/>
      </w:r>
      <w:r w:rsidR="00434694">
        <w:rPr>
          <w:noProof/>
        </w:rPr>
        <w:t>[</w:t>
      </w:r>
      <w:hyperlink w:anchor="_ENREF_60" w:tooltip="Xu, 2017 #894" w:history="1">
        <w:r w:rsidR="006210AE">
          <w:rPr>
            <w:noProof/>
          </w:rPr>
          <w:t>60</w:t>
        </w:r>
      </w:hyperlink>
      <w:r w:rsidR="00434694">
        <w:rPr>
          <w:noProof/>
        </w:rPr>
        <w:t>]</w:t>
      </w:r>
      <w:r w:rsidR="00DB3296">
        <w:fldChar w:fldCharType="end"/>
      </w:r>
      <w:r>
        <w:t>.</w:t>
      </w:r>
      <w:bookmarkEnd w:id="328"/>
    </w:p>
    <w:tbl>
      <w:tblPr>
        <w:tblStyle w:val="PlainTable2"/>
        <w:tblW w:w="0" w:type="auto"/>
        <w:jc w:val="center"/>
        <w:tblLook w:val="04A0" w:firstRow="1" w:lastRow="0" w:firstColumn="1" w:lastColumn="0" w:noHBand="0" w:noVBand="1"/>
      </w:tblPr>
      <w:tblGrid>
        <w:gridCol w:w="713"/>
        <w:gridCol w:w="2820"/>
        <w:gridCol w:w="977"/>
        <w:gridCol w:w="977"/>
        <w:gridCol w:w="977"/>
      </w:tblGrid>
      <w:tr w:rsidR="008B216C" w:rsidRPr="001E74FD" w14:paraId="30BE4E69" w14:textId="77777777" w:rsidTr="00750B2D">
        <w:trPr>
          <w:cnfStyle w:val="100000000000" w:firstRow="1" w:lastRow="0" w:firstColumn="0" w:lastColumn="0" w:oddVBand="0" w:evenVBand="0" w:oddHBand="0"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0BA6C44A" w14:textId="77777777" w:rsidR="008B216C" w:rsidRPr="001E74FD" w:rsidRDefault="008B216C" w:rsidP="008B216C">
            <w:pPr>
              <w:rPr>
                <w:rFonts w:ascii="Times New Roman" w:eastAsia="Times New Roman" w:hAnsi="Times New Roman" w:cs="Times New Roman"/>
                <w:sz w:val="20"/>
                <w:szCs w:val="20"/>
                <w:lang w:eastAsia="en-GB"/>
              </w:rPr>
            </w:pPr>
          </w:p>
        </w:tc>
        <w:tc>
          <w:tcPr>
            <w:tcW w:w="0" w:type="auto"/>
            <w:noWrap/>
            <w:vAlign w:val="center"/>
            <w:hideMark/>
          </w:tcPr>
          <w:p w14:paraId="17C50F25" w14:textId="77777777" w:rsidR="008B216C" w:rsidRPr="001E74FD" w:rsidRDefault="008B216C" w:rsidP="00850A3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Capacity (kW)</w:t>
            </w:r>
          </w:p>
        </w:tc>
        <w:tc>
          <w:tcPr>
            <w:tcW w:w="0" w:type="auto"/>
            <w:noWrap/>
            <w:vAlign w:val="center"/>
            <w:hideMark/>
          </w:tcPr>
          <w:p w14:paraId="7DE2C41F" w14:textId="77777777" w:rsidR="008B216C" w:rsidRPr="001E74FD" w:rsidRDefault="008B216C" w:rsidP="00850A3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138.75</w:t>
            </w:r>
          </w:p>
        </w:tc>
        <w:tc>
          <w:tcPr>
            <w:tcW w:w="0" w:type="auto"/>
            <w:noWrap/>
            <w:vAlign w:val="center"/>
            <w:hideMark/>
          </w:tcPr>
          <w:p w14:paraId="7F8AD69D" w14:textId="77777777" w:rsidR="008B216C" w:rsidRPr="001E74FD" w:rsidRDefault="008B216C" w:rsidP="00850A3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693.75</w:t>
            </w:r>
          </w:p>
        </w:tc>
        <w:tc>
          <w:tcPr>
            <w:tcW w:w="0" w:type="auto"/>
            <w:noWrap/>
            <w:vAlign w:val="center"/>
            <w:hideMark/>
          </w:tcPr>
          <w:p w14:paraId="0C5840E5" w14:textId="77777777" w:rsidR="008B216C" w:rsidRPr="001E74FD" w:rsidRDefault="008B216C" w:rsidP="00850A3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13875</w:t>
            </w:r>
          </w:p>
        </w:tc>
      </w:tr>
      <w:tr w:rsidR="008B216C" w:rsidRPr="001E74FD" w14:paraId="77934105"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textDirection w:val="btLr"/>
            <w:vAlign w:val="center"/>
            <w:hideMark/>
          </w:tcPr>
          <w:p w14:paraId="0FD2D4FC" w14:textId="77777777" w:rsidR="008B216C" w:rsidRPr="001E74FD" w:rsidRDefault="008B216C" w:rsidP="008B216C">
            <w:pPr>
              <w:jc w:val="center"/>
              <w:rPr>
                <w:rFonts w:eastAsia="Times New Roman" w:cs="Arial"/>
                <w:color w:val="000000"/>
                <w:sz w:val="20"/>
                <w:szCs w:val="20"/>
                <w:lang w:eastAsia="en-GB"/>
              </w:rPr>
            </w:pPr>
            <w:r w:rsidRPr="001E74FD">
              <w:rPr>
                <w:rFonts w:eastAsia="Times New Roman" w:cs="Arial"/>
                <w:color w:val="000000"/>
                <w:sz w:val="20"/>
                <w:szCs w:val="20"/>
                <w:lang w:eastAsia="en-GB"/>
              </w:rPr>
              <w:t>Capital (£1000)</w:t>
            </w:r>
          </w:p>
        </w:tc>
        <w:tc>
          <w:tcPr>
            <w:tcW w:w="0" w:type="auto"/>
            <w:noWrap/>
            <w:vAlign w:val="center"/>
            <w:hideMark/>
          </w:tcPr>
          <w:p w14:paraId="26417BEC"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CAPEX Total</w:t>
            </w:r>
          </w:p>
        </w:tc>
        <w:tc>
          <w:tcPr>
            <w:tcW w:w="0" w:type="auto"/>
            <w:noWrap/>
            <w:vAlign w:val="center"/>
            <w:hideMark/>
          </w:tcPr>
          <w:p w14:paraId="393BE54D"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617.191</w:t>
            </w:r>
          </w:p>
        </w:tc>
        <w:tc>
          <w:tcPr>
            <w:tcW w:w="0" w:type="auto"/>
            <w:noWrap/>
            <w:vAlign w:val="center"/>
            <w:hideMark/>
          </w:tcPr>
          <w:p w14:paraId="49D88946"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2255.96</w:t>
            </w:r>
          </w:p>
        </w:tc>
        <w:tc>
          <w:tcPr>
            <w:tcW w:w="0" w:type="auto"/>
            <w:noWrap/>
            <w:vAlign w:val="center"/>
            <w:hideMark/>
          </w:tcPr>
          <w:p w14:paraId="13171527"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4132.44</w:t>
            </w:r>
          </w:p>
        </w:tc>
      </w:tr>
      <w:tr w:rsidR="008B216C" w:rsidRPr="001E74FD" w14:paraId="6E7F4D1B"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732646F"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1343EDD7"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Compressor for bulk storage</w:t>
            </w:r>
          </w:p>
        </w:tc>
        <w:tc>
          <w:tcPr>
            <w:tcW w:w="0" w:type="auto"/>
            <w:noWrap/>
            <w:vAlign w:val="center"/>
            <w:hideMark/>
          </w:tcPr>
          <w:p w14:paraId="3007F9B8"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23.69794</w:t>
            </w:r>
          </w:p>
        </w:tc>
        <w:tc>
          <w:tcPr>
            <w:tcW w:w="0" w:type="auto"/>
            <w:noWrap/>
            <w:vAlign w:val="center"/>
            <w:hideMark/>
          </w:tcPr>
          <w:p w14:paraId="3D03CC8E"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85.79458</w:t>
            </w:r>
          </w:p>
        </w:tc>
        <w:tc>
          <w:tcPr>
            <w:tcW w:w="0" w:type="auto"/>
            <w:noWrap/>
            <w:vAlign w:val="center"/>
            <w:hideMark/>
          </w:tcPr>
          <w:p w14:paraId="55CB2CB7"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149.2569</w:t>
            </w:r>
          </w:p>
        </w:tc>
      </w:tr>
      <w:tr w:rsidR="008B216C" w:rsidRPr="001E74FD" w14:paraId="71AAE73B"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4BE02D7"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287FB9AA" w14:textId="464C83AE" w:rsidR="008B216C" w:rsidRPr="001E74FD" w:rsidRDefault="00750B2D"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Pr>
                <w:rFonts w:eastAsia="Times New Roman" w:cs="Arial"/>
                <w:color w:val="000000"/>
                <w:sz w:val="20"/>
                <w:szCs w:val="20"/>
                <w:lang w:eastAsia="en-GB"/>
              </w:rPr>
              <w:t>C</w:t>
            </w:r>
            <w:r w:rsidR="008B216C" w:rsidRPr="001E74FD">
              <w:rPr>
                <w:rFonts w:eastAsia="Times New Roman" w:cs="Arial"/>
                <w:color w:val="000000"/>
                <w:sz w:val="20"/>
                <w:szCs w:val="20"/>
                <w:lang w:eastAsia="en-GB"/>
              </w:rPr>
              <w:t>ompressor for cascade storage</w:t>
            </w:r>
          </w:p>
        </w:tc>
        <w:tc>
          <w:tcPr>
            <w:tcW w:w="0" w:type="auto"/>
            <w:noWrap/>
            <w:vAlign w:val="center"/>
            <w:hideMark/>
          </w:tcPr>
          <w:p w14:paraId="47027424"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29.80317</w:t>
            </w:r>
          </w:p>
        </w:tc>
        <w:tc>
          <w:tcPr>
            <w:tcW w:w="0" w:type="auto"/>
            <w:noWrap/>
            <w:vAlign w:val="center"/>
            <w:hideMark/>
          </w:tcPr>
          <w:p w14:paraId="442E6A8F"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107.8859</w:t>
            </w:r>
          </w:p>
        </w:tc>
        <w:tc>
          <w:tcPr>
            <w:tcW w:w="0" w:type="auto"/>
            <w:noWrap/>
            <w:vAlign w:val="center"/>
            <w:hideMark/>
          </w:tcPr>
          <w:p w14:paraId="43BAD5DA"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187.8162</w:t>
            </w:r>
          </w:p>
        </w:tc>
      </w:tr>
      <w:tr w:rsidR="008B216C" w:rsidRPr="001E74FD" w14:paraId="6A32541D"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475B6DF"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72F56D57"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Bulk storage</w:t>
            </w:r>
          </w:p>
        </w:tc>
        <w:tc>
          <w:tcPr>
            <w:tcW w:w="0" w:type="auto"/>
            <w:noWrap/>
            <w:vAlign w:val="center"/>
            <w:hideMark/>
          </w:tcPr>
          <w:p w14:paraId="4C7084C3"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44.4236</w:t>
            </w:r>
          </w:p>
        </w:tc>
        <w:tc>
          <w:tcPr>
            <w:tcW w:w="0" w:type="auto"/>
            <w:noWrap/>
            <w:vAlign w:val="center"/>
            <w:hideMark/>
          </w:tcPr>
          <w:p w14:paraId="13A204E2"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148.6945</w:t>
            </w:r>
          </w:p>
        </w:tc>
        <w:tc>
          <w:tcPr>
            <w:tcW w:w="0" w:type="auto"/>
            <w:noWrap/>
            <w:vAlign w:val="center"/>
            <w:hideMark/>
          </w:tcPr>
          <w:p w14:paraId="49A215FD"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249.9932</w:t>
            </w:r>
          </w:p>
        </w:tc>
      </w:tr>
      <w:tr w:rsidR="008B216C" w:rsidRPr="001E74FD" w14:paraId="185F1C94"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7D1C822"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35F793E6"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Cascade storage</w:t>
            </w:r>
          </w:p>
        </w:tc>
        <w:tc>
          <w:tcPr>
            <w:tcW w:w="0" w:type="auto"/>
            <w:noWrap/>
            <w:vAlign w:val="center"/>
            <w:hideMark/>
          </w:tcPr>
          <w:p w14:paraId="75F1A655"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31.24915</w:t>
            </w:r>
          </w:p>
        </w:tc>
        <w:tc>
          <w:tcPr>
            <w:tcW w:w="0" w:type="auto"/>
            <w:noWrap/>
            <w:vAlign w:val="center"/>
            <w:hideMark/>
          </w:tcPr>
          <w:p w14:paraId="52870B88"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104.4316</w:t>
            </w:r>
          </w:p>
        </w:tc>
        <w:tc>
          <w:tcPr>
            <w:tcW w:w="0" w:type="auto"/>
            <w:noWrap/>
            <w:vAlign w:val="center"/>
            <w:hideMark/>
          </w:tcPr>
          <w:p w14:paraId="21D2359A"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175.6058</w:t>
            </w:r>
          </w:p>
        </w:tc>
      </w:tr>
      <w:tr w:rsidR="008B216C" w:rsidRPr="001E74FD" w14:paraId="08DC8458"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3D8261F"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663B2A42"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Dispensers</w:t>
            </w:r>
          </w:p>
        </w:tc>
        <w:tc>
          <w:tcPr>
            <w:tcW w:w="0" w:type="auto"/>
            <w:noWrap/>
            <w:vAlign w:val="center"/>
            <w:hideMark/>
          </w:tcPr>
          <w:p w14:paraId="06D10C42"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48.1992</w:t>
            </w:r>
          </w:p>
        </w:tc>
        <w:tc>
          <w:tcPr>
            <w:tcW w:w="0" w:type="auto"/>
            <w:noWrap/>
            <w:vAlign w:val="center"/>
            <w:hideMark/>
          </w:tcPr>
          <w:p w14:paraId="1CCFF122"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48.1992</w:t>
            </w:r>
          </w:p>
        </w:tc>
        <w:tc>
          <w:tcPr>
            <w:tcW w:w="0" w:type="auto"/>
            <w:noWrap/>
            <w:vAlign w:val="center"/>
            <w:hideMark/>
          </w:tcPr>
          <w:p w14:paraId="70625ED2"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48.1992</w:t>
            </w:r>
          </w:p>
        </w:tc>
      </w:tr>
      <w:tr w:rsidR="008B216C" w:rsidRPr="001E74FD" w14:paraId="4F1D7288"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ECDE6BC"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0C1967B5"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Engineering &amp; Home office</w:t>
            </w:r>
          </w:p>
        </w:tc>
        <w:tc>
          <w:tcPr>
            <w:tcW w:w="0" w:type="auto"/>
            <w:noWrap/>
            <w:vAlign w:val="center"/>
            <w:hideMark/>
          </w:tcPr>
          <w:p w14:paraId="45AC4114"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49.16318</w:t>
            </w:r>
          </w:p>
        </w:tc>
        <w:tc>
          <w:tcPr>
            <w:tcW w:w="0" w:type="auto"/>
            <w:noWrap/>
            <w:vAlign w:val="center"/>
            <w:hideMark/>
          </w:tcPr>
          <w:p w14:paraId="7C496A30"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196.9741</w:t>
            </w:r>
          </w:p>
        </w:tc>
        <w:tc>
          <w:tcPr>
            <w:tcW w:w="0" w:type="auto"/>
            <w:noWrap/>
            <w:vAlign w:val="center"/>
            <w:hideMark/>
          </w:tcPr>
          <w:p w14:paraId="277BB00C"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371.5355</w:t>
            </w:r>
          </w:p>
        </w:tc>
      </w:tr>
      <w:tr w:rsidR="008B216C" w:rsidRPr="001E74FD" w14:paraId="41A9D9DB"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37BFB1C2"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50133DF6"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Civil &amp; site</w:t>
            </w:r>
          </w:p>
        </w:tc>
        <w:tc>
          <w:tcPr>
            <w:tcW w:w="0" w:type="auto"/>
            <w:noWrap/>
            <w:vAlign w:val="center"/>
            <w:hideMark/>
          </w:tcPr>
          <w:p w14:paraId="0D3CE215"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196.8134</w:t>
            </w:r>
          </w:p>
        </w:tc>
        <w:tc>
          <w:tcPr>
            <w:tcW w:w="0" w:type="auto"/>
            <w:noWrap/>
            <w:vAlign w:val="center"/>
            <w:hideMark/>
          </w:tcPr>
          <w:p w14:paraId="73B9FFB1"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787.8963</w:t>
            </w:r>
          </w:p>
        </w:tc>
        <w:tc>
          <w:tcPr>
            <w:tcW w:w="0" w:type="auto"/>
            <w:noWrap/>
            <w:vAlign w:val="center"/>
            <w:hideMark/>
          </w:tcPr>
          <w:p w14:paraId="41930EC1"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1486.142</w:t>
            </w:r>
          </w:p>
        </w:tc>
      </w:tr>
      <w:tr w:rsidR="008B216C" w:rsidRPr="001E74FD" w14:paraId="579EBEBF"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C1774EF"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1AEDCE84"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Control and Safety</w:t>
            </w:r>
          </w:p>
        </w:tc>
        <w:tc>
          <w:tcPr>
            <w:tcW w:w="0" w:type="auto"/>
            <w:noWrap/>
            <w:vAlign w:val="center"/>
            <w:hideMark/>
          </w:tcPr>
          <w:p w14:paraId="301861B1"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118.088</w:t>
            </w:r>
          </w:p>
        </w:tc>
        <w:tc>
          <w:tcPr>
            <w:tcW w:w="0" w:type="auto"/>
            <w:noWrap/>
            <w:vAlign w:val="center"/>
            <w:hideMark/>
          </w:tcPr>
          <w:p w14:paraId="32687E92"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472.7538</w:t>
            </w:r>
          </w:p>
        </w:tc>
        <w:tc>
          <w:tcPr>
            <w:tcW w:w="0" w:type="auto"/>
            <w:noWrap/>
            <w:vAlign w:val="center"/>
            <w:hideMark/>
          </w:tcPr>
          <w:p w14:paraId="6DCC7483"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891.6852</w:t>
            </w:r>
          </w:p>
        </w:tc>
      </w:tr>
      <w:tr w:rsidR="008B216C" w:rsidRPr="001E74FD" w14:paraId="3E57458F"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0089AA7"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6521B668"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Contingency</w:t>
            </w:r>
          </w:p>
        </w:tc>
        <w:tc>
          <w:tcPr>
            <w:tcW w:w="0" w:type="auto"/>
            <w:noWrap/>
            <w:vAlign w:val="center"/>
            <w:hideMark/>
          </w:tcPr>
          <w:p w14:paraId="595FA765"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75.75308</w:t>
            </w:r>
          </w:p>
        </w:tc>
        <w:tc>
          <w:tcPr>
            <w:tcW w:w="0" w:type="auto"/>
            <w:noWrap/>
            <w:vAlign w:val="center"/>
            <w:hideMark/>
          </w:tcPr>
          <w:p w14:paraId="45A5BF95"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303.3336</w:t>
            </w:r>
          </w:p>
        </w:tc>
        <w:tc>
          <w:tcPr>
            <w:tcW w:w="0" w:type="auto"/>
            <w:noWrap/>
            <w:vAlign w:val="center"/>
            <w:hideMark/>
          </w:tcPr>
          <w:p w14:paraId="02B39492"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572.2048</w:t>
            </w:r>
          </w:p>
        </w:tc>
      </w:tr>
      <w:tr w:rsidR="008B216C" w:rsidRPr="001E74FD" w14:paraId="363A4C57"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textDirection w:val="btLr"/>
            <w:vAlign w:val="center"/>
            <w:hideMark/>
          </w:tcPr>
          <w:p w14:paraId="35145259" w14:textId="77777777" w:rsidR="008B216C" w:rsidRPr="001E74FD" w:rsidRDefault="008B216C" w:rsidP="008B216C">
            <w:pPr>
              <w:jc w:val="center"/>
              <w:rPr>
                <w:rFonts w:eastAsia="Times New Roman" w:cs="Arial"/>
                <w:color w:val="000000"/>
                <w:sz w:val="20"/>
                <w:szCs w:val="20"/>
                <w:lang w:eastAsia="en-GB"/>
              </w:rPr>
            </w:pPr>
            <w:r w:rsidRPr="001E74FD">
              <w:rPr>
                <w:rFonts w:eastAsia="Times New Roman" w:cs="Arial"/>
                <w:color w:val="000000"/>
                <w:sz w:val="20"/>
                <w:szCs w:val="20"/>
                <w:lang w:eastAsia="en-GB"/>
              </w:rPr>
              <w:t>O&amp;M (£1000)</w:t>
            </w:r>
          </w:p>
        </w:tc>
        <w:tc>
          <w:tcPr>
            <w:tcW w:w="0" w:type="auto"/>
            <w:noWrap/>
            <w:vAlign w:val="center"/>
            <w:hideMark/>
          </w:tcPr>
          <w:p w14:paraId="67A7F12D"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OPEX Total</w:t>
            </w:r>
          </w:p>
        </w:tc>
        <w:tc>
          <w:tcPr>
            <w:tcW w:w="0" w:type="auto"/>
            <w:noWrap/>
            <w:vAlign w:val="center"/>
            <w:hideMark/>
          </w:tcPr>
          <w:p w14:paraId="30DC4B2D"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56.0</w:t>
            </w:r>
          </w:p>
        </w:tc>
        <w:tc>
          <w:tcPr>
            <w:tcW w:w="0" w:type="auto"/>
            <w:noWrap/>
            <w:vAlign w:val="center"/>
            <w:hideMark/>
          </w:tcPr>
          <w:p w14:paraId="0E3CD28B"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264.9</w:t>
            </w:r>
          </w:p>
        </w:tc>
        <w:tc>
          <w:tcPr>
            <w:tcW w:w="0" w:type="auto"/>
            <w:noWrap/>
            <w:vAlign w:val="center"/>
            <w:hideMark/>
          </w:tcPr>
          <w:p w14:paraId="4E65E621"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lang w:eastAsia="en-GB"/>
              </w:rPr>
            </w:pPr>
            <w:r w:rsidRPr="001E74FD">
              <w:rPr>
                <w:rFonts w:eastAsia="Times New Roman" w:cs="Arial"/>
                <w:b/>
                <w:bCs/>
                <w:i/>
                <w:iCs/>
                <w:color w:val="000000"/>
                <w:sz w:val="20"/>
                <w:szCs w:val="20"/>
                <w:lang w:eastAsia="en-GB"/>
              </w:rPr>
              <w:t>526.3</w:t>
            </w:r>
          </w:p>
        </w:tc>
      </w:tr>
      <w:tr w:rsidR="008B216C" w:rsidRPr="001E74FD" w14:paraId="745B4259" w14:textId="77777777" w:rsidTr="00ED5886">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758F82F7"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1DA02403"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Power</w:t>
            </w:r>
          </w:p>
        </w:tc>
        <w:tc>
          <w:tcPr>
            <w:tcW w:w="0" w:type="auto"/>
            <w:noWrap/>
            <w:vAlign w:val="center"/>
            <w:hideMark/>
          </w:tcPr>
          <w:p w14:paraId="23923852"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0</w:t>
            </w:r>
          </w:p>
        </w:tc>
        <w:tc>
          <w:tcPr>
            <w:tcW w:w="0" w:type="auto"/>
            <w:noWrap/>
            <w:vAlign w:val="center"/>
            <w:hideMark/>
          </w:tcPr>
          <w:p w14:paraId="3B87623A"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0.160664</w:t>
            </w:r>
          </w:p>
        </w:tc>
        <w:tc>
          <w:tcPr>
            <w:tcW w:w="0" w:type="auto"/>
            <w:noWrap/>
            <w:vAlign w:val="center"/>
            <w:hideMark/>
          </w:tcPr>
          <w:p w14:paraId="53D02D00"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3.855936</w:t>
            </w:r>
          </w:p>
        </w:tc>
      </w:tr>
      <w:tr w:rsidR="008B216C" w:rsidRPr="001E74FD" w14:paraId="6F714249"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C0D3901"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5250D220"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Water</w:t>
            </w:r>
          </w:p>
        </w:tc>
        <w:tc>
          <w:tcPr>
            <w:tcW w:w="0" w:type="auto"/>
            <w:noWrap/>
            <w:vAlign w:val="center"/>
            <w:hideMark/>
          </w:tcPr>
          <w:p w14:paraId="0199EBB9"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1.927968</w:t>
            </w:r>
          </w:p>
        </w:tc>
        <w:tc>
          <w:tcPr>
            <w:tcW w:w="0" w:type="auto"/>
            <w:noWrap/>
            <w:vAlign w:val="center"/>
            <w:hideMark/>
          </w:tcPr>
          <w:p w14:paraId="08F4C05F"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9.63984</w:t>
            </w:r>
          </w:p>
        </w:tc>
        <w:tc>
          <w:tcPr>
            <w:tcW w:w="0" w:type="auto"/>
            <w:noWrap/>
            <w:vAlign w:val="center"/>
            <w:hideMark/>
          </w:tcPr>
          <w:p w14:paraId="3084BDC7"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19.27968</w:t>
            </w:r>
          </w:p>
        </w:tc>
      </w:tr>
      <w:tr w:rsidR="008B216C" w:rsidRPr="001E74FD" w14:paraId="14C874C7" w14:textId="77777777" w:rsidTr="00ED5886">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708DB8C"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59DB772E" w14:textId="77777777" w:rsidR="008B216C" w:rsidRPr="001E74FD" w:rsidRDefault="008B216C" w:rsidP="00850A37">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Lease of land</w:t>
            </w:r>
          </w:p>
        </w:tc>
        <w:tc>
          <w:tcPr>
            <w:tcW w:w="0" w:type="auto"/>
            <w:noWrap/>
            <w:vAlign w:val="center"/>
            <w:hideMark/>
          </w:tcPr>
          <w:p w14:paraId="5377FA13"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38.88069</w:t>
            </w:r>
          </w:p>
        </w:tc>
        <w:tc>
          <w:tcPr>
            <w:tcW w:w="0" w:type="auto"/>
            <w:noWrap/>
            <w:vAlign w:val="center"/>
            <w:hideMark/>
          </w:tcPr>
          <w:p w14:paraId="3CC186FD"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194.4034</w:t>
            </w:r>
          </w:p>
        </w:tc>
        <w:tc>
          <w:tcPr>
            <w:tcW w:w="0" w:type="auto"/>
            <w:noWrap/>
            <w:vAlign w:val="center"/>
            <w:hideMark/>
          </w:tcPr>
          <w:p w14:paraId="67647AD0" w14:textId="77777777" w:rsidR="008B216C" w:rsidRPr="001E74FD" w:rsidRDefault="008B216C" w:rsidP="00850A37">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388.7265</w:t>
            </w:r>
          </w:p>
        </w:tc>
      </w:tr>
      <w:tr w:rsidR="008B216C" w:rsidRPr="001E74FD" w14:paraId="6EB07DD9" w14:textId="77777777" w:rsidTr="00ED588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934A964" w14:textId="77777777" w:rsidR="008B216C" w:rsidRPr="001E74FD" w:rsidRDefault="008B216C" w:rsidP="008B216C">
            <w:pPr>
              <w:rPr>
                <w:rFonts w:eastAsia="Times New Roman" w:cs="Arial"/>
                <w:color w:val="000000"/>
                <w:sz w:val="20"/>
                <w:szCs w:val="20"/>
                <w:lang w:eastAsia="en-GB"/>
              </w:rPr>
            </w:pPr>
          </w:p>
        </w:tc>
        <w:tc>
          <w:tcPr>
            <w:tcW w:w="0" w:type="auto"/>
            <w:noWrap/>
            <w:vAlign w:val="center"/>
            <w:hideMark/>
          </w:tcPr>
          <w:p w14:paraId="24535CE3" w14:textId="77777777" w:rsidR="008B216C" w:rsidRPr="001E74FD" w:rsidRDefault="008B216C" w:rsidP="00850A3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Maintenance</w:t>
            </w:r>
          </w:p>
        </w:tc>
        <w:tc>
          <w:tcPr>
            <w:tcW w:w="0" w:type="auto"/>
            <w:noWrap/>
            <w:vAlign w:val="center"/>
            <w:hideMark/>
          </w:tcPr>
          <w:p w14:paraId="2D1F3819"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15.18275</w:t>
            </w:r>
          </w:p>
        </w:tc>
        <w:tc>
          <w:tcPr>
            <w:tcW w:w="0" w:type="auto"/>
            <w:noWrap/>
            <w:vAlign w:val="center"/>
            <w:hideMark/>
          </w:tcPr>
          <w:p w14:paraId="21B7E370"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60.65066</w:t>
            </w:r>
          </w:p>
        </w:tc>
        <w:tc>
          <w:tcPr>
            <w:tcW w:w="0" w:type="auto"/>
            <w:noWrap/>
            <w:vAlign w:val="center"/>
            <w:hideMark/>
          </w:tcPr>
          <w:p w14:paraId="269CF6B0" w14:textId="77777777" w:rsidR="008B216C" w:rsidRPr="001E74FD" w:rsidRDefault="008B216C" w:rsidP="00850A37">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1E74FD">
              <w:rPr>
                <w:rFonts w:eastAsia="Times New Roman" w:cs="Arial"/>
                <w:color w:val="000000"/>
                <w:sz w:val="20"/>
                <w:szCs w:val="20"/>
                <w:lang w:eastAsia="en-GB"/>
              </w:rPr>
              <w:t>114.4731</w:t>
            </w:r>
          </w:p>
        </w:tc>
      </w:tr>
    </w:tbl>
    <w:p w14:paraId="33D784F4" w14:textId="1DC392E0" w:rsidR="008B216C" w:rsidRDefault="00573287" w:rsidP="008B216C">
      <w:pPr>
        <w:rPr>
          <w:noProof/>
        </w:rPr>
      </w:pPr>
      <w:r>
        <w:rPr>
          <w:noProof/>
        </w:rPr>
        <w:t>To</w:t>
      </w:r>
      <w:r w:rsidR="008B216C">
        <w:rPr>
          <w:noProof/>
        </w:rPr>
        <w:t xml:space="preserve"> determine the CAPEX and OPEX on a £/kW basis, the total CAPEX and OPEX (£) were plotted against their associated daily capacities (kW)</w:t>
      </w:r>
      <w:r>
        <w:rPr>
          <w:noProof/>
        </w:rPr>
        <w:t xml:space="preserve"> (</w:t>
      </w:r>
      <w:r w:rsidR="008B216C">
        <w:rPr>
          <w:noProof/>
        </w:rPr>
        <w:fldChar w:fldCharType="begin"/>
      </w:r>
      <w:r w:rsidR="008B216C">
        <w:rPr>
          <w:noProof/>
        </w:rPr>
        <w:instrText xml:space="preserve"> REF _Ref48908273 \h </w:instrText>
      </w:r>
      <w:r w:rsidR="008B216C">
        <w:rPr>
          <w:noProof/>
        </w:rPr>
      </w:r>
      <w:r w:rsidR="008B216C">
        <w:rPr>
          <w:noProof/>
        </w:rPr>
        <w:fldChar w:fldCharType="separate"/>
      </w:r>
      <w:r w:rsidR="00A12555">
        <w:t xml:space="preserve">Figure </w:t>
      </w:r>
      <w:r w:rsidR="00A12555">
        <w:rPr>
          <w:noProof/>
        </w:rPr>
        <w:t>57</w:t>
      </w:r>
      <w:r w:rsidR="008B216C">
        <w:rPr>
          <w:noProof/>
        </w:rPr>
        <w:fldChar w:fldCharType="end"/>
      </w:r>
      <w:r w:rsidR="008B216C">
        <w:rPr>
          <w:noProof/>
        </w:rPr>
        <w:t xml:space="preserve"> and </w:t>
      </w:r>
      <w:r w:rsidR="008B216C">
        <w:rPr>
          <w:noProof/>
        </w:rPr>
        <w:fldChar w:fldCharType="begin"/>
      </w:r>
      <w:r w:rsidR="008B216C">
        <w:rPr>
          <w:noProof/>
        </w:rPr>
        <w:instrText xml:space="preserve"> REF _Ref48908274 \h </w:instrText>
      </w:r>
      <w:r w:rsidR="008B216C">
        <w:rPr>
          <w:noProof/>
        </w:rPr>
      </w:r>
      <w:r w:rsidR="008B216C">
        <w:rPr>
          <w:noProof/>
        </w:rPr>
        <w:fldChar w:fldCharType="separate"/>
      </w:r>
      <w:r w:rsidR="00A12555">
        <w:t xml:space="preserve">Figure </w:t>
      </w:r>
      <w:r w:rsidR="00A12555">
        <w:rPr>
          <w:noProof/>
        </w:rPr>
        <w:t>58</w:t>
      </w:r>
      <w:r w:rsidR="008B216C">
        <w:rPr>
          <w:noProof/>
        </w:rPr>
        <w:fldChar w:fldCharType="end"/>
      </w:r>
      <w:r>
        <w:rPr>
          <w:noProof/>
        </w:rPr>
        <w:t xml:space="preserve">). The linear </w:t>
      </w:r>
      <w:r w:rsidR="00BE2BBD">
        <w:rPr>
          <w:noProof/>
        </w:rPr>
        <w:t>i</w:t>
      </w:r>
      <w:r>
        <w:rPr>
          <w:noProof/>
        </w:rPr>
        <w:t xml:space="preserve">nterpolations </w:t>
      </w:r>
      <w:r w:rsidR="008B216C">
        <w:rPr>
          <w:noProof/>
        </w:rPr>
        <w:t>were used as the lineari</w:t>
      </w:r>
      <w:r>
        <w:rPr>
          <w:noProof/>
        </w:rPr>
        <w:t>se</w:t>
      </w:r>
      <w:r w:rsidR="008B216C">
        <w:rPr>
          <w:noProof/>
        </w:rPr>
        <w:t>d CAPEX and OPEX for a refuelling station, with values of 305.6 £/kW for the CAPEX and 12.7% for OPEX when considered as a percentage of the CAPEX.</w:t>
      </w:r>
    </w:p>
    <w:tbl>
      <w:tblPr>
        <w:tblStyle w:val="TableGrid"/>
        <w:tblW w:w="1077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5456"/>
      </w:tblGrid>
      <w:tr w:rsidR="008B216C" w14:paraId="2AD9BC3B" w14:textId="77777777" w:rsidTr="008B216C">
        <w:trPr>
          <w:jc w:val="center"/>
        </w:trPr>
        <w:tc>
          <w:tcPr>
            <w:tcW w:w="4936" w:type="dxa"/>
          </w:tcPr>
          <w:p w14:paraId="6E144454" w14:textId="77777777" w:rsidR="008B216C" w:rsidRDefault="008B216C" w:rsidP="008B216C">
            <w:pPr>
              <w:keepNext/>
            </w:pPr>
            <w:r>
              <w:rPr>
                <w:noProof/>
              </w:rPr>
              <w:lastRenderedPageBreak/>
              <w:drawing>
                <wp:inline distT="0" distB="0" distL="0" distR="0" wp14:anchorId="6D3A7083" wp14:editId="20B53F32">
                  <wp:extent cx="3240000" cy="2226366"/>
                  <wp:effectExtent l="0" t="0" r="0" b="2540"/>
                  <wp:docPr id="22" name="Chart 22">
                    <a:extLst xmlns:a="http://schemas.openxmlformats.org/drawingml/2006/main">
                      <a:ext uri="{FF2B5EF4-FFF2-40B4-BE49-F238E27FC236}">
                        <a16:creationId xmlns:a16="http://schemas.microsoft.com/office/drawing/2014/main" id="{06A46D50-9F99-4F1F-81C1-27A1D69852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A8E337E" w14:textId="59E66123" w:rsidR="008B216C" w:rsidRDefault="008B216C" w:rsidP="008B216C">
            <w:pPr>
              <w:pStyle w:val="Caption"/>
            </w:pPr>
            <w:bookmarkStart w:id="329" w:name="_Ref48908273"/>
            <w:bookmarkStart w:id="330" w:name="_Toc50359125"/>
            <w:r>
              <w:t xml:space="preserve">Figure </w:t>
            </w:r>
            <w:fldSimple w:instr=" SEQ Figure \* ARABIC ">
              <w:r w:rsidR="00A12555">
                <w:rPr>
                  <w:noProof/>
                </w:rPr>
                <w:t>57</w:t>
              </w:r>
            </w:fldSimple>
            <w:bookmarkEnd w:id="329"/>
            <w:r w:rsidR="00750B2D">
              <w:rPr>
                <w:noProof/>
              </w:rPr>
              <w:t xml:space="preserve">: </w:t>
            </w:r>
            <w:r>
              <w:t>CAPEX (£) vs daily capacity (kW) for a hydrogen refuelling station; data adapted from</w:t>
            </w:r>
            <w:r w:rsidR="00BD7614">
              <w:t xml:space="preserve"> </w:t>
            </w:r>
            <w:r w:rsidR="00DB3296">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DB3296">
              <w:fldChar w:fldCharType="separate"/>
            </w:r>
            <w:r w:rsidR="00434694">
              <w:rPr>
                <w:noProof/>
              </w:rPr>
              <w:t>[</w:t>
            </w:r>
            <w:hyperlink w:anchor="_ENREF_60" w:tooltip="Xu, 2017 #894" w:history="1">
              <w:r w:rsidR="006210AE">
                <w:rPr>
                  <w:noProof/>
                </w:rPr>
                <w:t>60</w:t>
              </w:r>
            </w:hyperlink>
            <w:r w:rsidR="00434694">
              <w:rPr>
                <w:noProof/>
              </w:rPr>
              <w:t>]</w:t>
            </w:r>
            <w:r w:rsidR="00DB3296">
              <w:fldChar w:fldCharType="end"/>
            </w:r>
            <w:r>
              <w:t>.</w:t>
            </w:r>
            <w:bookmarkEnd w:id="330"/>
            <w:r>
              <w:t xml:space="preserve"> </w:t>
            </w:r>
          </w:p>
        </w:tc>
        <w:tc>
          <w:tcPr>
            <w:tcW w:w="5838" w:type="dxa"/>
          </w:tcPr>
          <w:p w14:paraId="5C5A2EAE" w14:textId="77777777" w:rsidR="008B216C" w:rsidRDefault="008B216C" w:rsidP="008B216C">
            <w:pPr>
              <w:keepNext/>
            </w:pPr>
            <w:r>
              <w:rPr>
                <w:noProof/>
              </w:rPr>
              <w:drawing>
                <wp:inline distT="0" distB="0" distL="0" distR="0" wp14:anchorId="42A0AB65" wp14:editId="64462E90">
                  <wp:extent cx="3239770" cy="2226310"/>
                  <wp:effectExtent l="0" t="0" r="0" b="2540"/>
                  <wp:docPr id="23" name="Chart 23">
                    <a:extLst xmlns:a="http://schemas.openxmlformats.org/drawingml/2006/main">
                      <a:ext uri="{FF2B5EF4-FFF2-40B4-BE49-F238E27FC236}">
                        <a16:creationId xmlns:a16="http://schemas.microsoft.com/office/drawing/2014/main" id="{A122FFCE-8238-404A-AD4C-D4D115E37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ABDB51C" w14:textId="0D8AFDF4" w:rsidR="008B216C" w:rsidRDefault="008B216C" w:rsidP="008B216C">
            <w:pPr>
              <w:pStyle w:val="Caption"/>
              <w:rPr>
                <w:noProof/>
              </w:rPr>
            </w:pPr>
            <w:bookmarkStart w:id="331" w:name="_Ref48908274"/>
            <w:bookmarkStart w:id="332" w:name="_Toc50359126"/>
            <w:r>
              <w:t xml:space="preserve">Figure </w:t>
            </w:r>
            <w:fldSimple w:instr=" SEQ Figure \* ARABIC ">
              <w:r w:rsidR="00A12555">
                <w:rPr>
                  <w:noProof/>
                </w:rPr>
                <w:t>58</w:t>
              </w:r>
            </w:fldSimple>
            <w:bookmarkEnd w:id="331"/>
            <w:r w:rsidR="00750B2D">
              <w:t xml:space="preserve">: </w:t>
            </w:r>
            <w:r>
              <w:t>OPEX (£) vs daily capacity (kW) for a hydrogen refuelling station; data adapted from</w:t>
            </w:r>
            <w:r w:rsidR="00DB3296">
              <w:fldChar w:fldCharType="begin"/>
            </w:r>
            <w:r w:rsidR="00434694">
              <w:instrText xml:space="preserve"> ADDIN EN.CITE &lt;EndNote&gt;&lt;Cite&gt;&lt;Author&gt;Xu&lt;/Author&gt;&lt;Year&gt;2017&lt;/Year&gt;&lt;RecNum&gt;894&lt;/RecNum&gt;&lt;DisplayText&gt;[60]&lt;/DisplayText&gt;&lt;record&gt;&lt;rec-number&gt;894&lt;/rec-number&gt;&lt;foreign-keys&gt;&lt;key app="EN" db-id="w500zpaaheraz8epaw1p29dtf2ff9zrswv50" timestamp="1607697901"&gt;894&lt;/key&gt;&lt;/foreign-keys&gt;&lt;ref-type name="Journal Article"&gt;17&lt;/ref-type&gt;&lt;contributors&gt;&lt;authors&gt;&lt;author&gt;Xu, Xinhai&lt;/author&gt;&lt;author&gt;Xu, Ben&lt;/author&gt;&lt;author&gt;Dong, Jun&lt;/author&gt;&lt;author&gt;Liu, Xiaotong&lt;/author&gt;&lt;/authors&gt;&lt;/contributors&gt;&lt;titles&gt;&lt;title&gt;Near-term analysis of a roll-out strategy to introduce fuel cell vehicles and hydrogen stations in Shenzhen China&lt;/title&gt;&lt;secondary-title&gt;Applied Energy&lt;/secondary-title&gt;&lt;/titles&gt;&lt;periodical&gt;&lt;full-title&gt;Applied Energy&lt;/full-title&gt;&lt;/periodical&gt;&lt;pages&gt;229-237&lt;/pages&gt;&lt;volume&gt;196&lt;/volume&gt;&lt;keywords&gt;&lt;keyword&gt;Capital investment&lt;/keyword&gt;&lt;keyword&gt;Fuel cell vehicle&lt;/keyword&gt;&lt;keyword&gt;Hydrogen price&lt;/keyword&gt;&lt;keyword&gt;Hydrogen station&lt;/keyword&gt;&lt;keyword&gt;Roll-out strategy&lt;/keyword&gt;&lt;keyword&gt;Shenzhen&lt;/keyword&gt;&lt;/keywords&gt;&lt;dates&gt;&lt;year&gt;2017&lt;/year&gt;&lt;/dates&gt;&lt;publisher&gt;Elsevier Ltd&lt;/publisher&gt;&lt;urls&gt;&lt;related-urls&gt;&lt;url&gt;http://dx.doi.org/10.1016/j.apenergy.2016.11.048&lt;/url&gt;&lt;/related-urls&gt;&lt;pdf-urls&gt;&lt;url&gt;file://Users\David\Library\Application Support\Mendeley Desktop\Downloaded\Xu et al. - 2017 - Near-term analysis of a roll-out strategy to introduce fuel cell vehicles and hydrogen stations in Shenzhen China.pdf&lt;/url&gt;&lt;/pdf-urls&gt;&lt;/urls&gt;&lt;electronic-resource-num&gt;10.1016/j.apenergy.2016.11.048&lt;/electronic-resource-num&gt;&lt;/record&gt;&lt;/Cite&gt;&lt;/EndNote&gt;</w:instrText>
            </w:r>
            <w:r w:rsidR="00DB3296">
              <w:fldChar w:fldCharType="separate"/>
            </w:r>
            <w:r w:rsidR="00434694">
              <w:rPr>
                <w:noProof/>
              </w:rPr>
              <w:t>[</w:t>
            </w:r>
            <w:hyperlink w:anchor="_ENREF_60" w:tooltip="Xu, 2017 #894" w:history="1">
              <w:r w:rsidR="006210AE">
                <w:rPr>
                  <w:noProof/>
                </w:rPr>
                <w:t>60</w:t>
              </w:r>
            </w:hyperlink>
            <w:r w:rsidR="00434694">
              <w:rPr>
                <w:noProof/>
              </w:rPr>
              <w:t>]</w:t>
            </w:r>
            <w:r w:rsidR="00DB3296">
              <w:fldChar w:fldCharType="end"/>
            </w:r>
            <w:r>
              <w:t>.</w:t>
            </w:r>
            <w:bookmarkEnd w:id="332"/>
          </w:p>
        </w:tc>
      </w:tr>
    </w:tbl>
    <w:p w14:paraId="0F4B6751" w14:textId="73C2EA2C" w:rsidR="008B216C" w:rsidRDefault="008B216C" w:rsidP="008B216C">
      <w:r>
        <w:t>To validate the</w:t>
      </w:r>
      <w:r w:rsidR="00CE183C">
        <w:t>se</w:t>
      </w:r>
      <w:r>
        <w:t xml:space="preserve"> results, they were compared to CAPEX of a hydrogen refuelling station assumed in a previous hydrogen supply chain optimisation </w:t>
      </w:r>
      <w:r w:rsidR="00CE183C">
        <w:t>study</w:t>
      </w:r>
      <w:r w:rsidR="009E3C78">
        <w:t xml:space="preserve"> </w:t>
      </w:r>
      <w:r w:rsidR="009E3C78">
        <w:fldChar w:fldCharType="begin"/>
      </w:r>
      <w:r w:rsidR="009E3C78">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9E3C78">
        <w:fldChar w:fldCharType="separate"/>
      </w:r>
      <w:r w:rsidR="009E3C78">
        <w:rPr>
          <w:noProof/>
        </w:rPr>
        <w:t>[</w:t>
      </w:r>
      <w:hyperlink w:anchor="_ENREF_12" w:tooltip="Murthy Konda, 2011 #968" w:history="1">
        <w:r w:rsidR="006210AE">
          <w:rPr>
            <w:noProof/>
          </w:rPr>
          <w:t>12</w:t>
        </w:r>
      </w:hyperlink>
      <w:r w:rsidR="009E3C78">
        <w:rPr>
          <w:noProof/>
        </w:rPr>
        <w:t>]</w:t>
      </w:r>
      <w:r w:rsidR="009E3C78">
        <w:fldChar w:fldCharType="end"/>
      </w:r>
      <w:r w:rsidR="00BE2BBD">
        <w:t xml:space="preserve">, shown in </w:t>
      </w:r>
      <w:r>
        <w:t xml:space="preserve">Equation </w:t>
      </w:r>
      <w:r w:rsidR="00ED5886">
        <w:t>(C.</w:t>
      </w:r>
      <w:r w:rsidR="005851DD">
        <w:t>10</w:t>
      </w:r>
      <w:r w:rsidR="00ED5886">
        <w:t>)</w:t>
      </w:r>
      <w:r>
        <w:t>.</w:t>
      </w:r>
    </w:p>
    <w:tbl>
      <w:tblPr>
        <w:tblStyle w:val="TableGrid"/>
        <w:tblW w:w="4869"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822"/>
        <w:gridCol w:w="746"/>
      </w:tblGrid>
      <w:tr w:rsidR="008B216C" w14:paraId="697B743E" w14:textId="77777777" w:rsidTr="00DD52D0">
        <w:tc>
          <w:tcPr>
            <w:tcW w:w="205" w:type="pct"/>
            <w:shd w:val="clear" w:color="auto" w:fill="auto"/>
          </w:tcPr>
          <w:p w14:paraId="5AC7505D" w14:textId="77777777" w:rsidR="008B216C" w:rsidRDefault="008B216C" w:rsidP="008B216C"/>
        </w:tc>
        <w:tc>
          <w:tcPr>
            <w:tcW w:w="4569" w:type="pct"/>
            <w:shd w:val="clear" w:color="auto" w:fill="auto"/>
            <w:vAlign w:val="center"/>
          </w:tcPr>
          <w:p w14:paraId="2B62D3A2" w14:textId="13C45C3D" w:rsidR="008B216C" w:rsidRDefault="008B216C" w:rsidP="008B216C">
            <w:pPr>
              <w:jc w:val="center"/>
            </w:pPr>
            <m:oMathPara>
              <m:oMath>
                <m:r>
                  <w:rPr>
                    <w:rFonts w:ascii="Cambria Math" w:hAnsi="Cambria Math"/>
                  </w:rPr>
                  <m:t xml:space="preserve">HRS CAPEX </m:t>
                </m:r>
                <m:d>
                  <m:dPr>
                    <m:ctrlPr>
                      <w:rPr>
                        <w:rFonts w:ascii="Cambria Math" w:hAnsi="Cambria Math"/>
                        <w:i/>
                      </w:rPr>
                    </m:ctrlPr>
                  </m:dPr>
                  <m:e>
                    <m:r>
                      <w:rPr>
                        <w:rFonts w:ascii="Cambria Math" w:hAnsi="Cambria Math"/>
                      </w:rPr>
                      <m:t>1000$</m:t>
                    </m:r>
                  </m:e>
                </m:d>
                <m:r>
                  <w:rPr>
                    <w:rFonts w:ascii="Cambria Math" w:hAnsi="Cambria Math"/>
                  </w:rPr>
                  <m:t>=925⋅</m:t>
                </m:r>
                <m:sSup>
                  <m:sSupPr>
                    <m:ctrlPr>
                      <w:rPr>
                        <w:rFonts w:ascii="Cambria Math" w:hAnsi="Cambria Math"/>
                        <w:i/>
                      </w:rPr>
                    </m:ctrlPr>
                  </m:sSupPr>
                  <m:e>
                    <m:d>
                      <m:dPr>
                        <m:ctrlPr>
                          <w:rPr>
                            <w:rFonts w:ascii="Cambria Math" w:hAnsi="Cambria Math"/>
                            <w:i/>
                          </w:rPr>
                        </m:ctrlPr>
                      </m:dPr>
                      <m:e>
                        <m:r>
                          <w:rPr>
                            <w:rFonts w:ascii="Cambria Math" w:hAnsi="Cambria Math"/>
                          </w:rPr>
                          <m:t>Cap</m:t>
                        </m:r>
                        <m:d>
                          <m:dPr>
                            <m:ctrlPr>
                              <w:rPr>
                                <w:rFonts w:ascii="Cambria Math" w:hAnsi="Cambria Math"/>
                                <w:i/>
                              </w:rPr>
                            </m:ctrlPr>
                          </m:dPr>
                          <m:e>
                            <m:f>
                              <m:fPr>
                                <m:ctrlPr>
                                  <w:rPr>
                                    <w:rFonts w:ascii="Cambria Math" w:hAnsi="Cambria Math"/>
                                    <w:i/>
                                  </w:rPr>
                                </m:ctrlPr>
                              </m:fPr>
                              <m:num>
                                <m:r>
                                  <w:rPr>
                                    <w:rFonts w:ascii="Cambria Math" w:hAnsi="Cambria Math"/>
                                  </w:rPr>
                                  <m:t>kg</m:t>
                                </m:r>
                              </m:num>
                              <m:den>
                                <m:r>
                                  <w:rPr>
                                    <w:rFonts w:ascii="Cambria Math" w:hAnsi="Cambria Math"/>
                                  </w:rPr>
                                  <m:t>day</m:t>
                                </m:r>
                              </m:den>
                            </m:f>
                          </m:e>
                        </m:d>
                      </m:e>
                    </m:d>
                  </m:e>
                  <m:sup>
                    <m:r>
                      <w:rPr>
                        <w:rFonts w:ascii="Cambria Math" w:hAnsi="Cambria Math"/>
                      </w:rPr>
                      <m:t>0.76</m:t>
                    </m:r>
                  </m:sup>
                </m:sSup>
              </m:oMath>
            </m:oMathPara>
          </w:p>
        </w:tc>
        <w:tc>
          <w:tcPr>
            <w:tcW w:w="226" w:type="pct"/>
            <w:shd w:val="clear" w:color="auto" w:fill="auto"/>
            <w:vAlign w:val="center"/>
          </w:tcPr>
          <w:p w14:paraId="095DAB26" w14:textId="644B56D6" w:rsidR="008B216C" w:rsidRPr="00BF2BA0" w:rsidRDefault="008B216C" w:rsidP="008B216C">
            <w:pPr>
              <w:jc w:val="center"/>
            </w:pPr>
            <w:bookmarkStart w:id="333" w:name="_Ref48908918"/>
            <w:r w:rsidRPr="00BF2BA0">
              <w:t>(</w:t>
            </w:r>
            <w:r w:rsidR="001C1DD0">
              <w:t>C.</w:t>
            </w:r>
            <w:r w:rsidR="005851DD">
              <w:t>10</w:t>
            </w:r>
            <w:r w:rsidRPr="00BF2BA0">
              <w:t>)</w:t>
            </w:r>
            <w:bookmarkEnd w:id="333"/>
          </w:p>
        </w:tc>
      </w:tr>
    </w:tbl>
    <w:p w14:paraId="40276B81" w14:textId="7C950F7D" w:rsidR="008B216C" w:rsidRDefault="008B216C" w:rsidP="008B216C">
      <w:r>
        <w:t xml:space="preserve">The </w:t>
      </w:r>
      <w:r w:rsidR="00BE2BBD">
        <w:t>e</w:t>
      </w:r>
      <w:r>
        <w:t>quation was used (after correction for currency and units) to estimate the CAPEX for a range of capacities</w:t>
      </w:r>
      <w:r w:rsidR="00BE2BBD">
        <w:t>, and pl</w:t>
      </w:r>
      <w:r>
        <w:t>otted</w:t>
      </w:r>
      <w:r w:rsidR="00BE2BBD">
        <w:t xml:space="preserve"> in </w:t>
      </w:r>
      <w:r w:rsidR="00BE2BBD">
        <w:fldChar w:fldCharType="begin"/>
      </w:r>
      <w:r w:rsidR="00BE2BBD">
        <w:instrText xml:space="preserve"> REF _Ref48909361 \h </w:instrText>
      </w:r>
      <w:r w:rsidR="00BE2BBD">
        <w:fldChar w:fldCharType="separate"/>
      </w:r>
      <w:r w:rsidR="00821537">
        <w:t xml:space="preserve">Figure </w:t>
      </w:r>
      <w:r w:rsidR="00821537">
        <w:rPr>
          <w:noProof/>
        </w:rPr>
        <w:t>59</w:t>
      </w:r>
      <w:r w:rsidR="00BE2BBD">
        <w:fldChar w:fldCharType="end"/>
      </w:r>
      <w:r w:rsidR="00BE2BBD">
        <w:t>. Through a</w:t>
      </w:r>
      <w:r>
        <w:t xml:space="preserve"> linear </w:t>
      </w:r>
      <w:r w:rsidR="00BE2BBD">
        <w:t xml:space="preserve">interpolation, </w:t>
      </w:r>
      <w:r>
        <w:t>an estimated CAPEX of 302.7 £/kW</w:t>
      </w:r>
      <w:r w:rsidR="00BE2BBD">
        <w:t xml:space="preserve"> was obtained</w:t>
      </w:r>
      <w:r>
        <w:t>,</w:t>
      </w:r>
      <w:r w:rsidR="00BE2BBD">
        <w:t xml:space="preserve"> validated the value of</w:t>
      </w:r>
      <w:r>
        <w:t xml:space="preserve"> </w:t>
      </w:r>
      <w:r>
        <w:rPr>
          <w:noProof/>
        </w:rPr>
        <w:t xml:space="preserve">305.6 £/kW </w:t>
      </w:r>
      <w:r w:rsidR="00BE2BBD">
        <w:rPr>
          <w:noProof/>
        </w:rPr>
        <w:t>used in</w:t>
      </w:r>
      <w:r>
        <w:rPr>
          <w:noProof/>
        </w:rPr>
        <w:t xml:space="preserve"> this study.</w:t>
      </w:r>
    </w:p>
    <w:p w14:paraId="43540CCE" w14:textId="77777777" w:rsidR="008B216C" w:rsidRDefault="008B216C" w:rsidP="008B216C">
      <w:pPr>
        <w:keepNext/>
        <w:jc w:val="center"/>
      </w:pPr>
      <w:r>
        <w:rPr>
          <w:noProof/>
        </w:rPr>
        <w:drawing>
          <wp:inline distT="0" distB="0" distL="0" distR="0" wp14:anchorId="214C68BB" wp14:editId="127A89B4">
            <wp:extent cx="3919855" cy="1812897"/>
            <wp:effectExtent l="0" t="0" r="4445" b="0"/>
            <wp:docPr id="28" name="Chart 28">
              <a:extLst xmlns:a="http://schemas.openxmlformats.org/drawingml/2006/main">
                <a:ext uri="{FF2B5EF4-FFF2-40B4-BE49-F238E27FC236}">
                  <a16:creationId xmlns:a16="http://schemas.microsoft.com/office/drawing/2014/main" id="{6A76CF25-0E76-4A22-8BE7-26B4732CA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A7C059E" w14:textId="50EE1171" w:rsidR="008B216C" w:rsidRDefault="008B216C" w:rsidP="008B216C">
      <w:pPr>
        <w:pStyle w:val="Caption"/>
      </w:pPr>
      <w:bookmarkStart w:id="334" w:name="_Ref48909361"/>
      <w:bookmarkStart w:id="335" w:name="_Toc50359127"/>
      <w:r>
        <w:t xml:space="preserve">Figure </w:t>
      </w:r>
      <w:fldSimple w:instr=" SEQ Figure \* ARABIC ">
        <w:r w:rsidR="00821537">
          <w:rPr>
            <w:noProof/>
          </w:rPr>
          <w:t>59</w:t>
        </w:r>
      </w:fldSimple>
      <w:bookmarkEnd w:id="334"/>
      <w:r w:rsidR="00750B2D">
        <w:rPr>
          <w:noProof/>
        </w:rPr>
        <w:t xml:space="preserve">: </w:t>
      </w:r>
      <w:r>
        <w:t>CAPEX (£1000) vs hydrogen refuelling station capacity;  CAPEX</w:t>
      </w:r>
      <w:r w:rsidR="00BE2BBD">
        <w:t xml:space="preserve"> vs </w:t>
      </w:r>
      <w:r>
        <w:t>capacity</w:t>
      </w:r>
      <w:r w:rsidR="00BE2BBD">
        <w:t xml:space="preserve"> relation from</w:t>
      </w:r>
      <w:r w:rsidR="009E3C78">
        <w:t xml:space="preserve"> </w:t>
      </w:r>
      <w:r w:rsidR="009E3C78">
        <w:fldChar w:fldCharType="begin"/>
      </w:r>
      <w:r w:rsidR="009E3C78">
        <w:instrText xml:space="preserve"> ADDIN EN.CITE &lt;EndNote&gt;&lt;Cite&gt;&lt;Author&gt;Murthy Konda&lt;/Author&gt;&lt;Year&gt;2011&lt;/Year&gt;&lt;RecNum&gt;968&lt;/RecNum&gt;&lt;DisplayText&gt;[12]&lt;/DisplayText&gt;&lt;record&gt;&lt;rec-number&gt;968&lt;/rec-number&gt;&lt;foreign-keys&gt;&lt;key app="EN" db-id="w500zpaaheraz8epaw1p29dtf2ff9zrswv50" timestamp="1607697901"&gt;968&lt;/key&gt;&lt;/foreign-keys&gt;&lt;ref-type name="Journal Article"&gt;17&lt;/ref-type&gt;&lt;contributors&gt;&lt;authors&gt;&lt;author&gt;Murthy Konda, N. V. S. N.&lt;/author&gt;&lt;author&gt;Shah, Nilay&lt;/author&gt;&lt;author&gt;Brandon, Nigel P.&lt;/author&gt;&lt;/authors&gt;&lt;/contributors&gt;&lt;titles&gt;&lt;title&gt;Optimal transition towards a large-scale hydrogen infrastructure for the transport sector: The case for the Netherlands&lt;/title&gt;&lt;secondary-title&gt;International Journal of Hydrogen Energy&lt;/secondary-title&gt;&lt;/titles&gt;&lt;periodical&gt;&lt;full-title&gt;International Journal of Hydrogen Energy&lt;/full-title&gt;&lt;/periodical&gt;&lt;pages&gt;4619-4635&lt;/pages&gt;&lt;volume&gt;36&lt;/volume&gt;&lt;number&gt;8&lt;/number&gt;&lt;keywords&gt;&lt;keyword&gt;Clean transportation&lt;/keyword&gt;&lt;keyword&gt;Hydrogen&lt;/keyword&gt;&lt;keyword&gt;Network design&lt;/keyword&gt;&lt;keyword&gt;Optimization&lt;/keyword&gt;&lt;keyword&gt;Spatiotemporal techno-economic analysis&lt;/keyword&gt;&lt;keyword&gt;Supply chain&lt;/keyword&gt;&lt;/keywords&gt;&lt;dates&gt;&lt;year&gt;2011&lt;/year&gt;&lt;/dates&gt;&lt;urls&gt;&lt;related-urls&gt;&lt;url&gt;http://www.sciencedirect.com/science/article/pii/S0360319911001492&lt;/url&gt;&lt;/related-urls&gt;&lt;/urls&gt;&lt;electronic-resource-num&gt;https://doi.org/10.1016/j.ijhydene.2011.01.104&lt;/electronic-resource-num&gt;&lt;/record&gt;&lt;/Cite&gt;&lt;/EndNote&gt;</w:instrText>
      </w:r>
      <w:r w:rsidR="009E3C78">
        <w:fldChar w:fldCharType="separate"/>
      </w:r>
      <w:r w:rsidR="009E3C78">
        <w:rPr>
          <w:noProof/>
        </w:rPr>
        <w:t>[</w:t>
      </w:r>
      <w:hyperlink w:anchor="_ENREF_12" w:tooltip="Murthy Konda, 2011 #968" w:history="1">
        <w:r w:rsidR="006210AE">
          <w:rPr>
            <w:noProof/>
          </w:rPr>
          <w:t>12</w:t>
        </w:r>
      </w:hyperlink>
      <w:r w:rsidR="009E3C78">
        <w:rPr>
          <w:noProof/>
        </w:rPr>
        <w:t>]</w:t>
      </w:r>
      <w:r w:rsidR="009E3C78">
        <w:fldChar w:fldCharType="end"/>
      </w:r>
      <w:r>
        <w:t>.</w:t>
      </w:r>
      <w:bookmarkEnd w:id="335"/>
    </w:p>
    <w:p w14:paraId="52F03C83" w14:textId="738A057E" w:rsidR="008B216C" w:rsidRDefault="008B216C" w:rsidP="00552907">
      <w:pPr>
        <w:pStyle w:val="Heading8"/>
      </w:pPr>
      <w:bookmarkStart w:id="336" w:name="_Toc50359488"/>
      <w:bookmarkStart w:id="337" w:name="_Ref55412437"/>
      <w:r>
        <w:t>PSA Hydrogen Purification</w:t>
      </w:r>
      <w:bookmarkEnd w:id="336"/>
      <w:bookmarkEnd w:id="337"/>
    </w:p>
    <w:p w14:paraId="654E5DAE" w14:textId="2368BB1E" w:rsidR="008B216C" w:rsidRDefault="008B216C" w:rsidP="00836AC8">
      <w:pPr>
        <w:pStyle w:val="Heading9"/>
      </w:pPr>
      <w:bookmarkStart w:id="338" w:name="_Toc50359489"/>
      <w:r>
        <w:t>Localised PSA Hydrogen Purification</w:t>
      </w:r>
      <w:bookmarkEnd w:id="338"/>
      <w:r>
        <w:t xml:space="preserve"> </w:t>
      </w:r>
    </w:p>
    <w:p w14:paraId="0A6CD23A" w14:textId="3206E42E" w:rsidR="008B216C" w:rsidRDefault="008B216C" w:rsidP="008B216C">
      <w:r>
        <w:t>Localised PSA purification techno-economic parameters which considered the cost of separating and purifying hydrogen from a 10%</w:t>
      </w:r>
      <w:r>
        <w:rPr>
          <w:vertAlign w:val="subscript"/>
        </w:rPr>
        <w:t>vol</w:t>
      </w:r>
      <w:r>
        <w:t xml:space="preserve"> and 20%</w:t>
      </w:r>
      <w:r>
        <w:rPr>
          <w:vertAlign w:val="subscript"/>
        </w:rPr>
        <w:t>vol</w:t>
      </w:r>
      <w:r>
        <w:t xml:space="preserve"> hydrogen/methane mixture, from a low pressure pipeline (8 bar) for a range of 100 – 1000 kg</w:t>
      </w:r>
      <w:r>
        <w:rPr>
          <w:vertAlign w:val="subscript"/>
        </w:rPr>
        <w:t>H2</w:t>
      </w:r>
      <w:r>
        <w:t>/day</w:t>
      </w:r>
      <w:r w:rsidR="007F2F22" w:rsidRPr="007F2F22">
        <w:t xml:space="preserve"> </w:t>
      </w:r>
      <w:r w:rsidR="007F2F22">
        <w:t>were considered</w:t>
      </w:r>
      <w:r w:rsidR="009E3C78">
        <w:t xml:space="preserve"> </w:t>
      </w:r>
      <w:r w:rsidR="009E3C78">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9E3C78">
        <w:fldChar w:fldCharType="separate"/>
      </w:r>
      <w:r w:rsidR="00434694">
        <w:rPr>
          <w:noProof/>
        </w:rPr>
        <w:t>[</w:t>
      </w:r>
      <w:hyperlink w:anchor="_ENREF_63" w:tooltip="Melaina, 2013 #971" w:history="1">
        <w:r w:rsidR="006210AE">
          <w:rPr>
            <w:noProof/>
          </w:rPr>
          <w:t>63</w:t>
        </w:r>
      </w:hyperlink>
      <w:r w:rsidR="00434694">
        <w:rPr>
          <w:noProof/>
        </w:rPr>
        <w:t>]</w:t>
      </w:r>
      <w:r w:rsidR="009E3C78">
        <w:fldChar w:fldCharType="end"/>
      </w:r>
      <w:r>
        <w:t xml:space="preserve">. Using </w:t>
      </w:r>
      <w:r w:rsidR="00AD5992">
        <w:t xml:space="preserve">these capacities </w:t>
      </w:r>
      <w:r w:rsidR="007F2F22">
        <w:t>an</w:t>
      </w:r>
      <w:r w:rsidR="00AD5992">
        <w:t>d an</w:t>
      </w:r>
      <w:r w:rsidR="007F2F22">
        <w:t xml:space="preserve"> </w:t>
      </w:r>
      <w:r>
        <w:t xml:space="preserve">assumed equipment lifetime </w:t>
      </w:r>
      <w:r w:rsidR="007F2F22">
        <w:t>of 25 years</w:t>
      </w:r>
      <w:r>
        <w:t xml:space="preserve">, the total lifetime throughput of the system </w:t>
      </w:r>
      <w:r w:rsidR="007F2F22">
        <w:t xml:space="preserve">was </w:t>
      </w:r>
      <w:r>
        <w:t xml:space="preserve">estimated </w:t>
      </w:r>
      <w:r w:rsidR="00AD5992">
        <w:t>(</w:t>
      </w:r>
      <w:r>
        <w:fldChar w:fldCharType="begin"/>
      </w:r>
      <w:r>
        <w:instrText xml:space="preserve"> REF _Ref48932361 \h </w:instrText>
      </w:r>
      <w:r>
        <w:fldChar w:fldCharType="separate"/>
      </w:r>
      <w:r w:rsidR="00A74206">
        <w:t xml:space="preserve">Table </w:t>
      </w:r>
      <w:r w:rsidR="00A74206">
        <w:rPr>
          <w:noProof/>
        </w:rPr>
        <w:t>28</w:t>
      </w:r>
      <w:r>
        <w:fldChar w:fldCharType="end"/>
      </w:r>
      <w:r w:rsidR="00AD5992">
        <w:t>)</w:t>
      </w:r>
      <w:r w:rsidR="007F2F22">
        <w:t>.</w:t>
      </w:r>
    </w:p>
    <w:p w14:paraId="0BC9B1C5" w14:textId="52B94CB9" w:rsidR="008B216C" w:rsidRDefault="008B216C" w:rsidP="008B216C">
      <w:pPr>
        <w:pStyle w:val="Caption"/>
        <w:keepNext/>
      </w:pPr>
      <w:bookmarkStart w:id="339" w:name="_Ref48932361"/>
      <w:bookmarkStart w:id="340" w:name="_Toc50359181"/>
      <w:r>
        <w:lastRenderedPageBreak/>
        <w:t xml:space="preserve">Table </w:t>
      </w:r>
      <w:fldSimple w:instr=" SEQ Table \* ARABIC ">
        <w:r w:rsidR="00A74206">
          <w:rPr>
            <w:noProof/>
          </w:rPr>
          <w:t>28</w:t>
        </w:r>
      </w:fldSimple>
      <w:bookmarkEnd w:id="339"/>
      <w:r w:rsidR="00750B2D">
        <w:t>:</w:t>
      </w:r>
      <w:r>
        <w:t xml:space="preserve"> Estimated lifetime throughput and total cost of equipment for a range of localised PSA capacities, with a hydrogen concentration inlet of 10% and 20% by vol. </w:t>
      </w:r>
      <w:r>
        <w:rPr>
          <w:rFonts w:eastAsia="Times New Roman" w:cs="Arial"/>
          <w:color w:val="000000"/>
          <w:sz w:val="20"/>
          <w:szCs w:val="20"/>
          <w:vertAlign w:val="superscript"/>
          <w:lang w:eastAsia="en-GB"/>
        </w:rPr>
        <w:t>a</w:t>
      </w:r>
      <w:r w:rsidR="009E3C78">
        <w:t xml:space="preserve"> </w:t>
      </w:r>
      <w:r w:rsidR="009E3C78">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9E3C78">
        <w:fldChar w:fldCharType="separate"/>
      </w:r>
      <w:r w:rsidR="00434694">
        <w:rPr>
          <w:noProof/>
        </w:rPr>
        <w:t>[</w:t>
      </w:r>
      <w:hyperlink w:anchor="_ENREF_63" w:tooltip="Melaina, 2013 #971" w:history="1">
        <w:r w:rsidR="006210AE">
          <w:rPr>
            <w:noProof/>
          </w:rPr>
          <w:t>63</w:t>
        </w:r>
      </w:hyperlink>
      <w:r w:rsidR="00434694">
        <w:rPr>
          <w:noProof/>
        </w:rPr>
        <w:t>]</w:t>
      </w:r>
      <w:r w:rsidR="009E3C78">
        <w:fldChar w:fldCharType="end"/>
      </w:r>
      <w:bookmarkEnd w:id="340"/>
    </w:p>
    <w:tbl>
      <w:tblPr>
        <w:tblStyle w:val="PlainTable2"/>
        <w:tblW w:w="9732" w:type="dxa"/>
        <w:tblInd w:w="-284" w:type="dxa"/>
        <w:tblLook w:val="04A0" w:firstRow="1" w:lastRow="0" w:firstColumn="1" w:lastColumn="0" w:noHBand="0" w:noVBand="1"/>
      </w:tblPr>
      <w:tblGrid>
        <w:gridCol w:w="519"/>
        <w:gridCol w:w="1520"/>
        <w:gridCol w:w="2644"/>
        <w:gridCol w:w="985"/>
        <w:gridCol w:w="2505"/>
        <w:gridCol w:w="1559"/>
      </w:tblGrid>
      <w:tr w:rsidR="008B216C" w:rsidRPr="00777052" w14:paraId="5F470EC9" w14:textId="77777777" w:rsidTr="00750B2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7F7F7F" w:themeColor="text1" w:themeTint="80"/>
            </w:tcBorders>
            <w:noWrap/>
            <w:hideMark/>
          </w:tcPr>
          <w:p w14:paraId="53B59CF8" w14:textId="77777777" w:rsidR="008B216C" w:rsidRPr="00C86741" w:rsidRDefault="008B216C" w:rsidP="007F2F22">
            <w:pPr>
              <w:spacing w:before="0" w:after="0"/>
              <w:rPr>
                <w:rFonts w:ascii="Times New Roman" w:eastAsia="Times New Roman" w:hAnsi="Times New Roman" w:cs="Times New Roman"/>
                <w:sz w:val="20"/>
                <w:szCs w:val="20"/>
                <w:lang w:eastAsia="en-GB"/>
              </w:rPr>
            </w:pPr>
          </w:p>
        </w:tc>
        <w:tc>
          <w:tcPr>
            <w:tcW w:w="0" w:type="auto"/>
            <w:tcBorders>
              <w:bottom w:val="single" w:sz="12" w:space="0" w:color="7F7F7F" w:themeColor="text1" w:themeTint="80"/>
            </w:tcBorders>
            <w:noWrap/>
            <w:vAlign w:val="center"/>
            <w:hideMark/>
          </w:tcPr>
          <w:p w14:paraId="7953BE17" w14:textId="77777777" w:rsidR="008B216C" w:rsidRPr="00EE5977" w:rsidRDefault="008B216C" w:rsidP="007F2F2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vertAlign w:val="superscript"/>
                <w:lang w:eastAsia="en-GB"/>
              </w:rPr>
            </w:pPr>
            <w:r w:rsidRPr="00C86741">
              <w:rPr>
                <w:rFonts w:eastAsia="Times New Roman" w:cs="Arial"/>
                <w:color w:val="000000"/>
                <w:sz w:val="20"/>
                <w:szCs w:val="20"/>
                <w:lang w:eastAsia="en-GB"/>
              </w:rPr>
              <w:t>Cost ($/kgH</w:t>
            </w:r>
            <w:r w:rsidRPr="00AD5992">
              <w:rPr>
                <w:rFonts w:eastAsia="Times New Roman" w:cs="Arial"/>
                <w:color w:val="000000"/>
                <w:sz w:val="20"/>
                <w:szCs w:val="20"/>
                <w:vertAlign w:val="subscript"/>
                <w:lang w:eastAsia="en-GB"/>
              </w:rPr>
              <w:t>2</w:t>
            </w:r>
            <w:r w:rsidRPr="00C86741">
              <w:rPr>
                <w:rFonts w:eastAsia="Times New Roman" w:cs="Arial"/>
                <w:color w:val="000000"/>
                <w:sz w:val="20"/>
                <w:szCs w:val="20"/>
                <w:lang w:eastAsia="en-GB"/>
              </w:rPr>
              <w:t>)</w:t>
            </w:r>
            <w:r>
              <w:rPr>
                <w:rFonts w:eastAsia="Times New Roman" w:cs="Arial"/>
                <w:color w:val="000000"/>
                <w:sz w:val="20"/>
                <w:szCs w:val="20"/>
                <w:vertAlign w:val="superscript"/>
                <w:lang w:eastAsia="en-GB"/>
              </w:rPr>
              <w:t>a</w:t>
            </w:r>
          </w:p>
        </w:tc>
        <w:tc>
          <w:tcPr>
            <w:tcW w:w="0" w:type="auto"/>
            <w:tcBorders>
              <w:bottom w:val="single" w:sz="12" w:space="0" w:color="7F7F7F" w:themeColor="text1" w:themeTint="80"/>
            </w:tcBorders>
            <w:noWrap/>
            <w:vAlign w:val="center"/>
            <w:hideMark/>
          </w:tcPr>
          <w:p w14:paraId="1CB07D0E" w14:textId="77777777" w:rsidR="008B216C" w:rsidRPr="00C86741" w:rsidRDefault="008B216C" w:rsidP="007F2F2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Capacity Output (kg/day)</w:t>
            </w:r>
            <w:r>
              <w:rPr>
                <w:rFonts w:eastAsia="Times New Roman" w:cs="Arial"/>
                <w:color w:val="000000"/>
                <w:sz w:val="20"/>
                <w:szCs w:val="20"/>
                <w:vertAlign w:val="superscript"/>
                <w:lang w:eastAsia="en-GB"/>
              </w:rPr>
              <w:t xml:space="preserve"> a</w:t>
            </w:r>
          </w:p>
        </w:tc>
        <w:tc>
          <w:tcPr>
            <w:tcW w:w="0" w:type="auto"/>
            <w:tcBorders>
              <w:bottom w:val="single" w:sz="12" w:space="0" w:color="7F7F7F" w:themeColor="text1" w:themeTint="80"/>
            </w:tcBorders>
            <w:noWrap/>
            <w:vAlign w:val="center"/>
            <w:hideMark/>
          </w:tcPr>
          <w:p w14:paraId="39BA4FF0" w14:textId="77777777" w:rsidR="008B216C" w:rsidRPr="00C86741" w:rsidRDefault="008B216C" w:rsidP="007F2F2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Lifetime</w:t>
            </w:r>
          </w:p>
        </w:tc>
        <w:tc>
          <w:tcPr>
            <w:tcW w:w="0" w:type="auto"/>
            <w:tcBorders>
              <w:bottom w:val="single" w:sz="12" w:space="0" w:color="7F7F7F" w:themeColor="text1" w:themeTint="80"/>
            </w:tcBorders>
            <w:noWrap/>
            <w:vAlign w:val="center"/>
            <w:hideMark/>
          </w:tcPr>
          <w:p w14:paraId="3B997976" w14:textId="77777777" w:rsidR="008B216C" w:rsidRPr="00C86741" w:rsidRDefault="008B216C" w:rsidP="007F2F2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Lifetime Throughput (kg)</w:t>
            </w:r>
          </w:p>
        </w:tc>
        <w:tc>
          <w:tcPr>
            <w:tcW w:w="1559" w:type="dxa"/>
            <w:tcBorders>
              <w:bottom w:val="single" w:sz="12" w:space="0" w:color="7F7F7F" w:themeColor="text1" w:themeTint="80"/>
            </w:tcBorders>
            <w:vAlign w:val="center"/>
          </w:tcPr>
          <w:p w14:paraId="09D58474" w14:textId="77777777" w:rsidR="008B216C" w:rsidRPr="00500266" w:rsidRDefault="008B216C" w:rsidP="007F2F22">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Cost Over Lifetime ($)</w:t>
            </w:r>
          </w:p>
        </w:tc>
      </w:tr>
      <w:tr w:rsidR="008B216C" w:rsidRPr="00777052" w14:paraId="6EF5550F" w14:textId="77777777" w:rsidTr="00ED5886">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7F7F7F" w:themeColor="text1" w:themeTint="80"/>
            </w:tcBorders>
            <w:noWrap/>
            <w:textDirection w:val="btLr"/>
            <w:hideMark/>
          </w:tcPr>
          <w:p w14:paraId="440F1B26" w14:textId="7956EDF7" w:rsidR="008B216C" w:rsidRPr="00C86741" w:rsidRDefault="008B216C" w:rsidP="007F2F22">
            <w:pPr>
              <w:spacing w:before="0" w:after="0"/>
              <w:ind w:left="113" w:right="113"/>
              <w:jc w:val="center"/>
              <w:rPr>
                <w:rFonts w:eastAsia="Times New Roman" w:cs="Arial"/>
                <w:color w:val="000000"/>
                <w:sz w:val="20"/>
                <w:szCs w:val="20"/>
                <w:lang w:eastAsia="en-GB"/>
              </w:rPr>
            </w:pPr>
            <w:r w:rsidRPr="00C86741">
              <w:rPr>
                <w:rFonts w:eastAsia="Times New Roman" w:cs="Arial"/>
                <w:color w:val="000000"/>
                <w:sz w:val="20"/>
                <w:szCs w:val="20"/>
                <w:lang w:eastAsia="en-GB"/>
              </w:rPr>
              <w:t>10%</w:t>
            </w:r>
            <w:r w:rsidRPr="00777052">
              <w:rPr>
                <w:rFonts w:eastAsia="Times New Roman" w:cs="Arial"/>
                <w:color w:val="000000"/>
                <w:sz w:val="20"/>
                <w:szCs w:val="20"/>
                <w:vertAlign w:val="subscript"/>
                <w:lang w:eastAsia="en-GB"/>
              </w:rPr>
              <w:t>vol</w:t>
            </w:r>
            <w:r w:rsidRPr="00777052">
              <w:rPr>
                <w:rFonts w:eastAsia="Times New Roman" w:cs="Arial"/>
                <w:color w:val="000000"/>
                <w:sz w:val="20"/>
                <w:szCs w:val="20"/>
                <w:lang w:eastAsia="en-GB"/>
              </w:rPr>
              <w:t xml:space="preserve"> Hydrogen</w:t>
            </w:r>
            <w:r w:rsidRPr="00C86741">
              <w:rPr>
                <w:rFonts w:eastAsia="Times New Roman" w:cs="Arial"/>
                <w:color w:val="000000"/>
                <w:sz w:val="20"/>
                <w:szCs w:val="20"/>
                <w:lang w:eastAsia="en-GB"/>
              </w:rPr>
              <w:t xml:space="preserve"> </w:t>
            </w:r>
            <w:r w:rsidRPr="00777052">
              <w:rPr>
                <w:rFonts w:eastAsia="Times New Roman" w:cs="Arial"/>
                <w:color w:val="000000"/>
                <w:sz w:val="20"/>
                <w:szCs w:val="20"/>
                <w:lang w:eastAsia="en-GB"/>
              </w:rPr>
              <w:t>I</w:t>
            </w:r>
            <w:r w:rsidRPr="00C86741">
              <w:rPr>
                <w:rFonts w:eastAsia="Times New Roman" w:cs="Arial"/>
                <w:color w:val="000000"/>
                <w:sz w:val="20"/>
                <w:szCs w:val="20"/>
                <w:lang w:eastAsia="en-GB"/>
              </w:rPr>
              <w:t>n</w:t>
            </w:r>
            <w:r w:rsidRPr="00777052">
              <w:rPr>
                <w:rFonts w:eastAsia="Times New Roman" w:cs="Arial"/>
                <w:color w:val="000000"/>
                <w:sz w:val="20"/>
                <w:szCs w:val="20"/>
                <w:lang w:eastAsia="en-GB"/>
              </w:rPr>
              <w:t>let Conc</w:t>
            </w:r>
            <w:r w:rsidR="00AD5992">
              <w:rPr>
                <w:rFonts w:eastAsia="Times New Roman" w:cs="Arial"/>
                <w:color w:val="000000"/>
                <w:sz w:val="20"/>
                <w:szCs w:val="20"/>
                <w:lang w:eastAsia="en-GB"/>
              </w:rPr>
              <w:t>.</w:t>
            </w:r>
          </w:p>
        </w:tc>
        <w:tc>
          <w:tcPr>
            <w:tcW w:w="0" w:type="auto"/>
            <w:tcBorders>
              <w:top w:val="single" w:sz="12" w:space="0" w:color="7F7F7F" w:themeColor="text1" w:themeTint="80"/>
            </w:tcBorders>
            <w:noWrap/>
            <w:vAlign w:val="center"/>
            <w:hideMark/>
          </w:tcPr>
          <w:p w14:paraId="12914A63"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8.3</w:t>
            </w:r>
          </w:p>
        </w:tc>
        <w:tc>
          <w:tcPr>
            <w:tcW w:w="0" w:type="auto"/>
            <w:tcBorders>
              <w:top w:val="single" w:sz="12" w:space="0" w:color="7F7F7F" w:themeColor="text1" w:themeTint="80"/>
            </w:tcBorders>
            <w:noWrap/>
            <w:vAlign w:val="center"/>
            <w:hideMark/>
          </w:tcPr>
          <w:p w14:paraId="6ADF79AD"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100</w:t>
            </w:r>
          </w:p>
        </w:tc>
        <w:tc>
          <w:tcPr>
            <w:tcW w:w="0" w:type="auto"/>
            <w:vMerge w:val="restart"/>
            <w:tcBorders>
              <w:top w:val="single" w:sz="12" w:space="0" w:color="7F7F7F" w:themeColor="text1" w:themeTint="80"/>
            </w:tcBorders>
            <w:noWrap/>
            <w:vAlign w:val="center"/>
            <w:hideMark/>
          </w:tcPr>
          <w:p w14:paraId="1A4BC727" w14:textId="77777777" w:rsidR="008B216C" w:rsidRPr="00C86741" w:rsidRDefault="008B216C" w:rsidP="007F2F22">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25</w:t>
            </w:r>
          </w:p>
        </w:tc>
        <w:tc>
          <w:tcPr>
            <w:tcW w:w="0" w:type="auto"/>
            <w:tcBorders>
              <w:top w:val="single" w:sz="12" w:space="0" w:color="7F7F7F" w:themeColor="text1" w:themeTint="80"/>
            </w:tcBorders>
            <w:noWrap/>
            <w:vAlign w:val="center"/>
            <w:hideMark/>
          </w:tcPr>
          <w:p w14:paraId="6823ECD2"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912500</w:t>
            </w:r>
          </w:p>
        </w:tc>
        <w:tc>
          <w:tcPr>
            <w:tcW w:w="0" w:type="auto"/>
            <w:tcBorders>
              <w:top w:val="single" w:sz="12" w:space="0" w:color="7F7F7F" w:themeColor="text1" w:themeTint="80"/>
            </w:tcBorders>
            <w:vAlign w:val="center"/>
          </w:tcPr>
          <w:p w14:paraId="45412355"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7,573,750 </w:t>
            </w:r>
          </w:p>
        </w:tc>
      </w:tr>
      <w:tr w:rsidR="008B216C" w:rsidRPr="00C86741" w14:paraId="370B880A" w14:textId="77777777" w:rsidTr="00ED5886">
        <w:trPr>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4CD10D7"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5A0BF3A0"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6.2</w:t>
            </w:r>
          </w:p>
        </w:tc>
        <w:tc>
          <w:tcPr>
            <w:tcW w:w="0" w:type="auto"/>
            <w:noWrap/>
            <w:vAlign w:val="center"/>
            <w:hideMark/>
          </w:tcPr>
          <w:p w14:paraId="178E3411"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150</w:t>
            </w:r>
          </w:p>
        </w:tc>
        <w:tc>
          <w:tcPr>
            <w:tcW w:w="0" w:type="auto"/>
            <w:vMerge/>
            <w:hideMark/>
          </w:tcPr>
          <w:p w14:paraId="45703C14"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7DBDA52D"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1368750</w:t>
            </w:r>
          </w:p>
        </w:tc>
        <w:tc>
          <w:tcPr>
            <w:tcW w:w="0" w:type="auto"/>
            <w:vAlign w:val="center"/>
          </w:tcPr>
          <w:p w14:paraId="6F76AE59"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8,486,250 </w:t>
            </w:r>
          </w:p>
        </w:tc>
      </w:tr>
      <w:tr w:rsidR="008B216C" w:rsidRPr="00C86741" w14:paraId="0729346B" w14:textId="77777777" w:rsidTr="00ED58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06EBD46"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436017DF"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5.4</w:t>
            </w:r>
          </w:p>
        </w:tc>
        <w:tc>
          <w:tcPr>
            <w:tcW w:w="0" w:type="auto"/>
            <w:noWrap/>
            <w:vAlign w:val="center"/>
            <w:hideMark/>
          </w:tcPr>
          <w:p w14:paraId="5880A000"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225</w:t>
            </w:r>
          </w:p>
        </w:tc>
        <w:tc>
          <w:tcPr>
            <w:tcW w:w="0" w:type="auto"/>
            <w:vMerge/>
            <w:hideMark/>
          </w:tcPr>
          <w:p w14:paraId="5986FF9B"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2B08D4D2"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2053125</w:t>
            </w:r>
          </w:p>
        </w:tc>
        <w:tc>
          <w:tcPr>
            <w:tcW w:w="0" w:type="auto"/>
            <w:vAlign w:val="center"/>
          </w:tcPr>
          <w:p w14:paraId="0CD94B44"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11,086,875 </w:t>
            </w:r>
          </w:p>
        </w:tc>
      </w:tr>
      <w:tr w:rsidR="008B216C" w:rsidRPr="00C86741" w14:paraId="07409E7F" w14:textId="77777777" w:rsidTr="00ED5886">
        <w:trPr>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2CC8FA3"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0CAF44D9"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4.9</w:t>
            </w:r>
          </w:p>
        </w:tc>
        <w:tc>
          <w:tcPr>
            <w:tcW w:w="0" w:type="auto"/>
            <w:noWrap/>
            <w:vAlign w:val="center"/>
            <w:hideMark/>
          </w:tcPr>
          <w:p w14:paraId="3AF0EA23"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320</w:t>
            </w:r>
          </w:p>
        </w:tc>
        <w:tc>
          <w:tcPr>
            <w:tcW w:w="0" w:type="auto"/>
            <w:vMerge/>
            <w:hideMark/>
          </w:tcPr>
          <w:p w14:paraId="4753081F"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576B6B12"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2920000</w:t>
            </w:r>
          </w:p>
        </w:tc>
        <w:tc>
          <w:tcPr>
            <w:tcW w:w="0" w:type="auto"/>
            <w:vAlign w:val="center"/>
          </w:tcPr>
          <w:p w14:paraId="4EF77B43"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14,308,000 </w:t>
            </w:r>
          </w:p>
        </w:tc>
      </w:tr>
      <w:tr w:rsidR="008B216C" w:rsidRPr="00C86741" w14:paraId="1E32C1D9" w14:textId="77777777" w:rsidTr="00ED58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50D29DB"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750B877A"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4.5</w:t>
            </w:r>
          </w:p>
        </w:tc>
        <w:tc>
          <w:tcPr>
            <w:tcW w:w="0" w:type="auto"/>
            <w:noWrap/>
            <w:vAlign w:val="center"/>
            <w:hideMark/>
          </w:tcPr>
          <w:p w14:paraId="56595A1E"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400</w:t>
            </w:r>
          </w:p>
        </w:tc>
        <w:tc>
          <w:tcPr>
            <w:tcW w:w="0" w:type="auto"/>
            <w:vMerge/>
            <w:hideMark/>
          </w:tcPr>
          <w:p w14:paraId="3CE3020C"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6BD25555"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3650000</w:t>
            </w:r>
          </w:p>
        </w:tc>
        <w:tc>
          <w:tcPr>
            <w:tcW w:w="0" w:type="auto"/>
            <w:vAlign w:val="center"/>
          </w:tcPr>
          <w:p w14:paraId="7F2088F3"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16,425,000 </w:t>
            </w:r>
          </w:p>
        </w:tc>
      </w:tr>
      <w:tr w:rsidR="008B216C" w:rsidRPr="00C86741" w14:paraId="33990581" w14:textId="77777777" w:rsidTr="00ED5886">
        <w:trPr>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1C436725"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60D8AA97"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4.25</w:t>
            </w:r>
          </w:p>
        </w:tc>
        <w:tc>
          <w:tcPr>
            <w:tcW w:w="0" w:type="auto"/>
            <w:noWrap/>
            <w:vAlign w:val="center"/>
            <w:hideMark/>
          </w:tcPr>
          <w:p w14:paraId="73154CE0"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480</w:t>
            </w:r>
          </w:p>
        </w:tc>
        <w:tc>
          <w:tcPr>
            <w:tcW w:w="0" w:type="auto"/>
            <w:vMerge/>
            <w:hideMark/>
          </w:tcPr>
          <w:p w14:paraId="13332E68"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2D87F72B"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4380000</w:t>
            </w:r>
          </w:p>
        </w:tc>
        <w:tc>
          <w:tcPr>
            <w:tcW w:w="0" w:type="auto"/>
            <w:vAlign w:val="center"/>
          </w:tcPr>
          <w:p w14:paraId="5421E69D"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18,615,000 </w:t>
            </w:r>
          </w:p>
        </w:tc>
      </w:tr>
      <w:tr w:rsidR="008B216C" w:rsidRPr="00C86741" w14:paraId="2A4984F7" w14:textId="77777777" w:rsidTr="00ED58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1074F1FE"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717465BA"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w:t>
            </w:r>
          </w:p>
        </w:tc>
        <w:tc>
          <w:tcPr>
            <w:tcW w:w="0" w:type="auto"/>
            <w:noWrap/>
            <w:vAlign w:val="center"/>
            <w:hideMark/>
          </w:tcPr>
          <w:p w14:paraId="196F8337"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550</w:t>
            </w:r>
          </w:p>
        </w:tc>
        <w:tc>
          <w:tcPr>
            <w:tcW w:w="0" w:type="auto"/>
            <w:vMerge/>
            <w:hideMark/>
          </w:tcPr>
          <w:p w14:paraId="66098528"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164647DE"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5018750</w:t>
            </w:r>
          </w:p>
        </w:tc>
        <w:tc>
          <w:tcPr>
            <w:tcW w:w="0" w:type="auto"/>
            <w:vAlign w:val="center"/>
          </w:tcPr>
          <w:p w14:paraId="213FDE8D"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20,075,000 </w:t>
            </w:r>
          </w:p>
        </w:tc>
      </w:tr>
      <w:tr w:rsidR="008B216C" w:rsidRPr="00C86741" w14:paraId="2EB8058E" w14:textId="77777777" w:rsidTr="008B216C">
        <w:trPr>
          <w:trHeight w:val="249"/>
        </w:trPr>
        <w:tc>
          <w:tcPr>
            <w:cnfStyle w:val="001000000000" w:firstRow="0" w:lastRow="0" w:firstColumn="1" w:lastColumn="0" w:oddVBand="0" w:evenVBand="0" w:oddHBand="0" w:evenHBand="0" w:firstRowFirstColumn="0" w:firstRowLastColumn="0" w:lastRowFirstColumn="0" w:lastRowLastColumn="0"/>
            <w:tcW w:w="0" w:type="auto"/>
            <w:vMerge/>
            <w:hideMark/>
          </w:tcPr>
          <w:p w14:paraId="617EC4FB"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5757B570"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3.9</w:t>
            </w:r>
          </w:p>
        </w:tc>
        <w:tc>
          <w:tcPr>
            <w:tcW w:w="0" w:type="auto"/>
            <w:noWrap/>
            <w:vAlign w:val="center"/>
            <w:hideMark/>
          </w:tcPr>
          <w:p w14:paraId="5AD864E0"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620</w:t>
            </w:r>
          </w:p>
        </w:tc>
        <w:tc>
          <w:tcPr>
            <w:tcW w:w="0" w:type="auto"/>
            <w:vMerge/>
            <w:hideMark/>
          </w:tcPr>
          <w:p w14:paraId="3AA2C163"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10E1CEE8"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5657500</w:t>
            </w:r>
          </w:p>
        </w:tc>
        <w:tc>
          <w:tcPr>
            <w:tcW w:w="0" w:type="auto"/>
            <w:vAlign w:val="center"/>
          </w:tcPr>
          <w:p w14:paraId="41CB48E3"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22,064,250 </w:t>
            </w:r>
          </w:p>
        </w:tc>
      </w:tr>
      <w:tr w:rsidR="008B216C" w:rsidRPr="00C86741" w14:paraId="2F5E0293" w14:textId="77777777" w:rsidTr="00ED58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64B9F14D"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4C6AF335"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3.7</w:t>
            </w:r>
          </w:p>
        </w:tc>
        <w:tc>
          <w:tcPr>
            <w:tcW w:w="0" w:type="auto"/>
            <w:noWrap/>
            <w:vAlign w:val="center"/>
            <w:hideMark/>
          </w:tcPr>
          <w:p w14:paraId="3E012919"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715</w:t>
            </w:r>
          </w:p>
        </w:tc>
        <w:tc>
          <w:tcPr>
            <w:tcW w:w="0" w:type="auto"/>
            <w:vMerge/>
            <w:hideMark/>
          </w:tcPr>
          <w:p w14:paraId="4D926CB0"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05607628"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6524375</w:t>
            </w:r>
          </w:p>
        </w:tc>
        <w:tc>
          <w:tcPr>
            <w:tcW w:w="0" w:type="auto"/>
            <w:vAlign w:val="center"/>
          </w:tcPr>
          <w:p w14:paraId="60A18451"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24,140,188 </w:t>
            </w:r>
          </w:p>
        </w:tc>
      </w:tr>
      <w:tr w:rsidR="008B216C" w:rsidRPr="00C86741" w14:paraId="7B3DFD38" w14:textId="77777777" w:rsidTr="00ED5886">
        <w:trPr>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44959180"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38FBBC02"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3.6</w:t>
            </w:r>
          </w:p>
        </w:tc>
        <w:tc>
          <w:tcPr>
            <w:tcW w:w="0" w:type="auto"/>
            <w:noWrap/>
            <w:vAlign w:val="center"/>
            <w:hideMark/>
          </w:tcPr>
          <w:p w14:paraId="2C6870C5"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800</w:t>
            </w:r>
          </w:p>
        </w:tc>
        <w:tc>
          <w:tcPr>
            <w:tcW w:w="0" w:type="auto"/>
            <w:vMerge/>
            <w:hideMark/>
          </w:tcPr>
          <w:p w14:paraId="3DBAF974"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4900A058"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7300000</w:t>
            </w:r>
          </w:p>
        </w:tc>
        <w:tc>
          <w:tcPr>
            <w:tcW w:w="0" w:type="auto"/>
            <w:vAlign w:val="center"/>
          </w:tcPr>
          <w:p w14:paraId="38143B91"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26,280,000 </w:t>
            </w:r>
          </w:p>
        </w:tc>
      </w:tr>
      <w:tr w:rsidR="008B216C" w:rsidRPr="00C86741" w14:paraId="6EC3FB81" w14:textId="77777777" w:rsidTr="00ED58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12" w:space="0" w:color="7F7F7F" w:themeColor="text1" w:themeTint="80"/>
            </w:tcBorders>
            <w:hideMark/>
          </w:tcPr>
          <w:p w14:paraId="14283B7E" w14:textId="77777777" w:rsidR="008B216C" w:rsidRPr="00C86741" w:rsidRDefault="008B216C" w:rsidP="007F2F22">
            <w:pPr>
              <w:spacing w:before="0" w:after="0"/>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hideMark/>
          </w:tcPr>
          <w:p w14:paraId="667F04D9"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3.3</w:t>
            </w:r>
          </w:p>
        </w:tc>
        <w:tc>
          <w:tcPr>
            <w:tcW w:w="0" w:type="auto"/>
            <w:tcBorders>
              <w:bottom w:val="single" w:sz="12" w:space="0" w:color="7F7F7F" w:themeColor="text1" w:themeTint="80"/>
            </w:tcBorders>
            <w:noWrap/>
            <w:vAlign w:val="center"/>
            <w:hideMark/>
          </w:tcPr>
          <w:p w14:paraId="31E9DBE3"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1000</w:t>
            </w:r>
          </w:p>
        </w:tc>
        <w:tc>
          <w:tcPr>
            <w:tcW w:w="0" w:type="auto"/>
            <w:vMerge/>
            <w:tcBorders>
              <w:bottom w:val="single" w:sz="12" w:space="0" w:color="7F7F7F" w:themeColor="text1" w:themeTint="80"/>
            </w:tcBorders>
            <w:hideMark/>
          </w:tcPr>
          <w:p w14:paraId="73A5723F"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hideMark/>
          </w:tcPr>
          <w:p w14:paraId="2D1CD279"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9125000</w:t>
            </w:r>
          </w:p>
        </w:tc>
        <w:tc>
          <w:tcPr>
            <w:tcW w:w="0" w:type="auto"/>
            <w:tcBorders>
              <w:bottom w:val="single" w:sz="12" w:space="0" w:color="7F7F7F" w:themeColor="text1" w:themeTint="80"/>
            </w:tcBorders>
            <w:vAlign w:val="center"/>
          </w:tcPr>
          <w:p w14:paraId="45C341E6"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30,112,500 </w:t>
            </w:r>
          </w:p>
        </w:tc>
      </w:tr>
      <w:tr w:rsidR="008B216C" w:rsidRPr="00777052" w14:paraId="64D23682" w14:textId="77777777" w:rsidTr="00ED5886">
        <w:trPr>
          <w:trHeight w:val="5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7F7F7F" w:themeColor="text1" w:themeTint="80"/>
            </w:tcBorders>
            <w:noWrap/>
            <w:textDirection w:val="btLr"/>
            <w:hideMark/>
          </w:tcPr>
          <w:p w14:paraId="6F9473BB" w14:textId="68F4EDD2" w:rsidR="008B216C" w:rsidRPr="00C86741" w:rsidRDefault="008B216C" w:rsidP="007F2F22">
            <w:pPr>
              <w:spacing w:before="0" w:after="0"/>
              <w:ind w:left="113" w:right="113"/>
              <w:jc w:val="center"/>
              <w:rPr>
                <w:rFonts w:eastAsia="Times New Roman" w:cs="Arial"/>
                <w:color w:val="000000"/>
                <w:sz w:val="20"/>
                <w:szCs w:val="20"/>
                <w:lang w:eastAsia="en-GB"/>
              </w:rPr>
            </w:pPr>
            <w:r w:rsidRPr="00777052">
              <w:rPr>
                <w:rFonts w:eastAsia="Times New Roman" w:cs="Arial"/>
                <w:color w:val="000000"/>
                <w:sz w:val="20"/>
                <w:szCs w:val="20"/>
                <w:lang w:eastAsia="en-GB"/>
              </w:rPr>
              <w:t>2</w:t>
            </w:r>
            <w:r w:rsidRPr="00C86741">
              <w:rPr>
                <w:rFonts w:eastAsia="Times New Roman" w:cs="Arial"/>
                <w:color w:val="000000"/>
                <w:sz w:val="20"/>
                <w:szCs w:val="20"/>
                <w:lang w:eastAsia="en-GB"/>
              </w:rPr>
              <w:t>0%</w:t>
            </w:r>
            <w:r w:rsidRPr="00777052">
              <w:rPr>
                <w:rFonts w:eastAsia="Times New Roman" w:cs="Arial"/>
                <w:color w:val="000000"/>
                <w:sz w:val="20"/>
                <w:szCs w:val="20"/>
                <w:vertAlign w:val="subscript"/>
                <w:lang w:eastAsia="en-GB"/>
              </w:rPr>
              <w:t>vol</w:t>
            </w:r>
            <w:r w:rsidRPr="00777052">
              <w:rPr>
                <w:rFonts w:eastAsia="Times New Roman" w:cs="Arial"/>
                <w:color w:val="000000"/>
                <w:sz w:val="20"/>
                <w:szCs w:val="20"/>
                <w:lang w:eastAsia="en-GB"/>
              </w:rPr>
              <w:t xml:space="preserve"> Hydrogen</w:t>
            </w:r>
            <w:r w:rsidRPr="00C86741">
              <w:rPr>
                <w:rFonts w:eastAsia="Times New Roman" w:cs="Arial"/>
                <w:color w:val="000000"/>
                <w:sz w:val="20"/>
                <w:szCs w:val="20"/>
                <w:lang w:eastAsia="en-GB"/>
              </w:rPr>
              <w:t xml:space="preserve"> </w:t>
            </w:r>
            <w:r w:rsidRPr="00777052">
              <w:rPr>
                <w:rFonts w:eastAsia="Times New Roman" w:cs="Arial"/>
                <w:color w:val="000000"/>
                <w:sz w:val="20"/>
                <w:szCs w:val="20"/>
                <w:lang w:eastAsia="en-GB"/>
              </w:rPr>
              <w:t>I</w:t>
            </w:r>
            <w:r w:rsidRPr="00C86741">
              <w:rPr>
                <w:rFonts w:eastAsia="Times New Roman" w:cs="Arial"/>
                <w:color w:val="000000"/>
                <w:sz w:val="20"/>
                <w:szCs w:val="20"/>
                <w:lang w:eastAsia="en-GB"/>
              </w:rPr>
              <w:t>n</w:t>
            </w:r>
            <w:r w:rsidRPr="00777052">
              <w:rPr>
                <w:rFonts w:eastAsia="Times New Roman" w:cs="Arial"/>
                <w:color w:val="000000"/>
                <w:sz w:val="20"/>
                <w:szCs w:val="20"/>
                <w:lang w:eastAsia="en-GB"/>
              </w:rPr>
              <w:t>let Conc</w:t>
            </w:r>
            <w:r w:rsidR="00AD5992">
              <w:rPr>
                <w:rFonts w:eastAsia="Times New Roman" w:cs="Arial"/>
                <w:color w:val="000000"/>
                <w:sz w:val="20"/>
                <w:szCs w:val="20"/>
                <w:lang w:eastAsia="en-GB"/>
              </w:rPr>
              <w:t>.</w:t>
            </w:r>
          </w:p>
        </w:tc>
        <w:tc>
          <w:tcPr>
            <w:tcW w:w="0" w:type="auto"/>
            <w:tcBorders>
              <w:top w:val="single" w:sz="12" w:space="0" w:color="7F7F7F" w:themeColor="text1" w:themeTint="80"/>
            </w:tcBorders>
            <w:noWrap/>
            <w:vAlign w:val="center"/>
            <w:hideMark/>
          </w:tcPr>
          <w:p w14:paraId="2D28AE1E"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7.4</w:t>
            </w:r>
          </w:p>
        </w:tc>
        <w:tc>
          <w:tcPr>
            <w:tcW w:w="0" w:type="auto"/>
            <w:tcBorders>
              <w:top w:val="single" w:sz="12" w:space="0" w:color="7F7F7F" w:themeColor="text1" w:themeTint="80"/>
            </w:tcBorders>
            <w:noWrap/>
            <w:vAlign w:val="center"/>
            <w:hideMark/>
          </w:tcPr>
          <w:p w14:paraId="0CAC7F02"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100</w:t>
            </w:r>
          </w:p>
        </w:tc>
        <w:tc>
          <w:tcPr>
            <w:tcW w:w="0" w:type="auto"/>
            <w:vMerge w:val="restart"/>
            <w:tcBorders>
              <w:top w:val="single" w:sz="12" w:space="0" w:color="7F7F7F" w:themeColor="text1" w:themeTint="80"/>
            </w:tcBorders>
            <w:noWrap/>
            <w:vAlign w:val="center"/>
            <w:hideMark/>
          </w:tcPr>
          <w:p w14:paraId="5091157D" w14:textId="77777777" w:rsidR="008B216C" w:rsidRPr="00C86741" w:rsidRDefault="008B216C" w:rsidP="007F2F22">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25</w:t>
            </w:r>
          </w:p>
        </w:tc>
        <w:tc>
          <w:tcPr>
            <w:tcW w:w="0" w:type="auto"/>
            <w:tcBorders>
              <w:top w:val="single" w:sz="12" w:space="0" w:color="7F7F7F" w:themeColor="text1" w:themeTint="80"/>
            </w:tcBorders>
            <w:noWrap/>
            <w:vAlign w:val="center"/>
            <w:hideMark/>
          </w:tcPr>
          <w:p w14:paraId="68F24B3A"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912500</w:t>
            </w:r>
          </w:p>
        </w:tc>
        <w:tc>
          <w:tcPr>
            <w:tcW w:w="0" w:type="auto"/>
            <w:tcBorders>
              <w:top w:val="single" w:sz="12" w:space="0" w:color="7F7F7F" w:themeColor="text1" w:themeTint="80"/>
            </w:tcBorders>
            <w:vAlign w:val="center"/>
          </w:tcPr>
          <w:p w14:paraId="323CE2B6"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6,752,500 </w:t>
            </w:r>
          </w:p>
        </w:tc>
      </w:tr>
      <w:tr w:rsidR="008B216C" w:rsidRPr="00C86741" w14:paraId="40614E69" w14:textId="77777777" w:rsidTr="008B216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0" w:type="auto"/>
            <w:vMerge/>
            <w:hideMark/>
          </w:tcPr>
          <w:p w14:paraId="6F82039F"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69D1E844"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w:t>
            </w:r>
          </w:p>
        </w:tc>
        <w:tc>
          <w:tcPr>
            <w:tcW w:w="0" w:type="auto"/>
            <w:noWrap/>
            <w:vAlign w:val="center"/>
            <w:hideMark/>
          </w:tcPr>
          <w:p w14:paraId="34C85C22"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150</w:t>
            </w:r>
          </w:p>
        </w:tc>
        <w:tc>
          <w:tcPr>
            <w:tcW w:w="0" w:type="auto"/>
            <w:vMerge/>
            <w:hideMark/>
          </w:tcPr>
          <w:p w14:paraId="05835F9E"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1BF7ED05"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1368750</w:t>
            </w:r>
          </w:p>
        </w:tc>
        <w:tc>
          <w:tcPr>
            <w:tcW w:w="0" w:type="auto"/>
            <w:vAlign w:val="center"/>
          </w:tcPr>
          <w:p w14:paraId="114C8A46"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5,475,000 </w:t>
            </w:r>
          </w:p>
        </w:tc>
      </w:tr>
      <w:tr w:rsidR="008B216C" w:rsidRPr="00C86741" w14:paraId="3575E26C" w14:textId="77777777" w:rsidTr="008B216C">
        <w:trPr>
          <w:trHeight w:val="249"/>
        </w:trPr>
        <w:tc>
          <w:tcPr>
            <w:cnfStyle w:val="001000000000" w:firstRow="0" w:lastRow="0" w:firstColumn="1" w:lastColumn="0" w:oddVBand="0" w:evenVBand="0" w:oddHBand="0" w:evenHBand="0" w:firstRowFirstColumn="0" w:firstRowLastColumn="0" w:lastRowFirstColumn="0" w:lastRowLastColumn="0"/>
            <w:tcW w:w="0" w:type="auto"/>
            <w:vMerge/>
            <w:hideMark/>
          </w:tcPr>
          <w:p w14:paraId="7009E7B6"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470B1B97"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3.4</w:t>
            </w:r>
          </w:p>
        </w:tc>
        <w:tc>
          <w:tcPr>
            <w:tcW w:w="0" w:type="auto"/>
            <w:noWrap/>
            <w:vAlign w:val="center"/>
            <w:hideMark/>
          </w:tcPr>
          <w:p w14:paraId="102E4E0B"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225</w:t>
            </w:r>
          </w:p>
        </w:tc>
        <w:tc>
          <w:tcPr>
            <w:tcW w:w="0" w:type="auto"/>
            <w:vMerge/>
            <w:hideMark/>
          </w:tcPr>
          <w:p w14:paraId="5B74BBD5"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2856D14B"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2053125</w:t>
            </w:r>
          </w:p>
        </w:tc>
        <w:tc>
          <w:tcPr>
            <w:tcW w:w="0" w:type="auto"/>
            <w:vAlign w:val="center"/>
          </w:tcPr>
          <w:p w14:paraId="25A7E7D7"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6,980,625 </w:t>
            </w:r>
          </w:p>
        </w:tc>
      </w:tr>
      <w:tr w:rsidR="008B216C" w:rsidRPr="00C86741" w14:paraId="14FF7C7B" w14:textId="77777777" w:rsidTr="008B216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0" w:type="auto"/>
            <w:vMerge/>
            <w:hideMark/>
          </w:tcPr>
          <w:p w14:paraId="067C0F5F"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60666396"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w:t>
            </w:r>
          </w:p>
        </w:tc>
        <w:tc>
          <w:tcPr>
            <w:tcW w:w="0" w:type="auto"/>
            <w:noWrap/>
            <w:vAlign w:val="center"/>
            <w:hideMark/>
          </w:tcPr>
          <w:p w14:paraId="5307548C"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320</w:t>
            </w:r>
          </w:p>
        </w:tc>
        <w:tc>
          <w:tcPr>
            <w:tcW w:w="0" w:type="auto"/>
            <w:vMerge/>
            <w:hideMark/>
          </w:tcPr>
          <w:p w14:paraId="5B435DA4"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426C542A"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2920000</w:t>
            </w:r>
          </w:p>
        </w:tc>
        <w:tc>
          <w:tcPr>
            <w:tcW w:w="0" w:type="auto"/>
            <w:vAlign w:val="center"/>
          </w:tcPr>
          <w:p w14:paraId="50E5A533"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8,760,000 </w:t>
            </w:r>
          </w:p>
        </w:tc>
      </w:tr>
      <w:tr w:rsidR="008B216C" w:rsidRPr="00C86741" w14:paraId="72FC679A" w14:textId="77777777" w:rsidTr="00750B2D">
        <w:trPr>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28574431"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36DFC68C"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2.8</w:t>
            </w:r>
          </w:p>
        </w:tc>
        <w:tc>
          <w:tcPr>
            <w:tcW w:w="0" w:type="auto"/>
            <w:noWrap/>
            <w:vAlign w:val="center"/>
            <w:hideMark/>
          </w:tcPr>
          <w:p w14:paraId="41D0ABEC"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400</w:t>
            </w:r>
          </w:p>
        </w:tc>
        <w:tc>
          <w:tcPr>
            <w:tcW w:w="0" w:type="auto"/>
            <w:vMerge/>
            <w:hideMark/>
          </w:tcPr>
          <w:p w14:paraId="7D604603"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716AD3A7"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3650000</w:t>
            </w:r>
          </w:p>
        </w:tc>
        <w:tc>
          <w:tcPr>
            <w:tcW w:w="0" w:type="auto"/>
            <w:vAlign w:val="center"/>
          </w:tcPr>
          <w:p w14:paraId="2A46A388"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10,220,000 </w:t>
            </w:r>
          </w:p>
        </w:tc>
      </w:tr>
      <w:tr w:rsidR="008B216C" w:rsidRPr="00C86741" w14:paraId="43B5127E" w14:textId="77777777" w:rsidTr="00750B2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81F7EEC"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4B5506DD"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2.6</w:t>
            </w:r>
          </w:p>
        </w:tc>
        <w:tc>
          <w:tcPr>
            <w:tcW w:w="0" w:type="auto"/>
            <w:noWrap/>
            <w:vAlign w:val="center"/>
            <w:hideMark/>
          </w:tcPr>
          <w:p w14:paraId="17F5320A"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480</w:t>
            </w:r>
          </w:p>
        </w:tc>
        <w:tc>
          <w:tcPr>
            <w:tcW w:w="0" w:type="auto"/>
            <w:vMerge/>
            <w:hideMark/>
          </w:tcPr>
          <w:p w14:paraId="348D76BC"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3210E09E"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4380000</w:t>
            </w:r>
          </w:p>
        </w:tc>
        <w:tc>
          <w:tcPr>
            <w:tcW w:w="0" w:type="auto"/>
            <w:vAlign w:val="center"/>
          </w:tcPr>
          <w:p w14:paraId="4C85CA77"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11,388,000 </w:t>
            </w:r>
          </w:p>
        </w:tc>
      </w:tr>
      <w:tr w:rsidR="008B216C" w:rsidRPr="00C86741" w14:paraId="488547A0" w14:textId="77777777" w:rsidTr="00ED5886">
        <w:trPr>
          <w:trHeight w:val="83"/>
        </w:trPr>
        <w:tc>
          <w:tcPr>
            <w:cnfStyle w:val="001000000000" w:firstRow="0" w:lastRow="0" w:firstColumn="1" w:lastColumn="0" w:oddVBand="0" w:evenVBand="0" w:oddHBand="0" w:evenHBand="0" w:firstRowFirstColumn="0" w:firstRowLastColumn="0" w:lastRowFirstColumn="0" w:lastRowLastColumn="0"/>
            <w:tcW w:w="0" w:type="auto"/>
            <w:vMerge/>
            <w:hideMark/>
          </w:tcPr>
          <w:p w14:paraId="14934EC2"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724119ED"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2.5</w:t>
            </w:r>
          </w:p>
        </w:tc>
        <w:tc>
          <w:tcPr>
            <w:tcW w:w="0" w:type="auto"/>
            <w:noWrap/>
            <w:vAlign w:val="center"/>
            <w:hideMark/>
          </w:tcPr>
          <w:p w14:paraId="468C94CE"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550</w:t>
            </w:r>
          </w:p>
        </w:tc>
        <w:tc>
          <w:tcPr>
            <w:tcW w:w="0" w:type="auto"/>
            <w:vMerge/>
            <w:hideMark/>
          </w:tcPr>
          <w:p w14:paraId="1A35787B"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105BD1C4"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5018750</w:t>
            </w:r>
          </w:p>
        </w:tc>
        <w:tc>
          <w:tcPr>
            <w:tcW w:w="0" w:type="auto"/>
            <w:vAlign w:val="center"/>
          </w:tcPr>
          <w:p w14:paraId="2D8AFFD5"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12,546,875 </w:t>
            </w:r>
          </w:p>
        </w:tc>
      </w:tr>
      <w:tr w:rsidR="008B216C" w:rsidRPr="00C86741" w14:paraId="00682C75" w14:textId="77777777" w:rsidTr="00ED5886">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0" w:type="auto"/>
            <w:vMerge/>
            <w:hideMark/>
          </w:tcPr>
          <w:p w14:paraId="3C199646"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3CA6CA68"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2.3</w:t>
            </w:r>
          </w:p>
        </w:tc>
        <w:tc>
          <w:tcPr>
            <w:tcW w:w="0" w:type="auto"/>
            <w:noWrap/>
            <w:vAlign w:val="center"/>
            <w:hideMark/>
          </w:tcPr>
          <w:p w14:paraId="65AFBC7D"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620</w:t>
            </w:r>
          </w:p>
        </w:tc>
        <w:tc>
          <w:tcPr>
            <w:tcW w:w="0" w:type="auto"/>
            <w:vMerge/>
            <w:hideMark/>
          </w:tcPr>
          <w:p w14:paraId="21DEF6E8"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01B2E08D"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5657500</w:t>
            </w:r>
          </w:p>
        </w:tc>
        <w:tc>
          <w:tcPr>
            <w:tcW w:w="0" w:type="auto"/>
            <w:vAlign w:val="center"/>
          </w:tcPr>
          <w:p w14:paraId="465D3287"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13,012,250 </w:t>
            </w:r>
          </w:p>
        </w:tc>
      </w:tr>
      <w:tr w:rsidR="008B216C" w:rsidRPr="00C86741" w14:paraId="25A52F55" w14:textId="77777777" w:rsidTr="00ED5886">
        <w:trPr>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377E2C97"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7E817D83"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2.2</w:t>
            </w:r>
          </w:p>
        </w:tc>
        <w:tc>
          <w:tcPr>
            <w:tcW w:w="0" w:type="auto"/>
            <w:noWrap/>
            <w:vAlign w:val="center"/>
            <w:hideMark/>
          </w:tcPr>
          <w:p w14:paraId="48B8FEF4"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715</w:t>
            </w:r>
          </w:p>
        </w:tc>
        <w:tc>
          <w:tcPr>
            <w:tcW w:w="0" w:type="auto"/>
            <w:vMerge/>
            <w:hideMark/>
          </w:tcPr>
          <w:p w14:paraId="7C19B3EC"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01186A69"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6524375</w:t>
            </w:r>
          </w:p>
        </w:tc>
        <w:tc>
          <w:tcPr>
            <w:tcW w:w="0" w:type="auto"/>
            <w:vAlign w:val="center"/>
          </w:tcPr>
          <w:p w14:paraId="20B6F36C"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14,353,625 </w:t>
            </w:r>
          </w:p>
        </w:tc>
      </w:tr>
      <w:tr w:rsidR="008B216C" w:rsidRPr="00C86741" w14:paraId="30943898" w14:textId="77777777" w:rsidTr="00ED58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Merge/>
            <w:hideMark/>
          </w:tcPr>
          <w:p w14:paraId="4D159E97" w14:textId="77777777" w:rsidR="008B216C" w:rsidRPr="00C86741" w:rsidRDefault="008B216C" w:rsidP="007F2F22">
            <w:pPr>
              <w:spacing w:before="0" w:after="0"/>
              <w:rPr>
                <w:rFonts w:eastAsia="Times New Roman" w:cs="Arial"/>
                <w:color w:val="000000"/>
                <w:sz w:val="20"/>
                <w:szCs w:val="20"/>
                <w:lang w:eastAsia="en-GB"/>
              </w:rPr>
            </w:pPr>
          </w:p>
        </w:tc>
        <w:tc>
          <w:tcPr>
            <w:tcW w:w="0" w:type="auto"/>
            <w:noWrap/>
            <w:vAlign w:val="center"/>
            <w:hideMark/>
          </w:tcPr>
          <w:p w14:paraId="5171ECB8"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2.1</w:t>
            </w:r>
          </w:p>
        </w:tc>
        <w:tc>
          <w:tcPr>
            <w:tcW w:w="0" w:type="auto"/>
            <w:noWrap/>
            <w:vAlign w:val="center"/>
            <w:hideMark/>
          </w:tcPr>
          <w:p w14:paraId="1A93398B"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800</w:t>
            </w:r>
          </w:p>
        </w:tc>
        <w:tc>
          <w:tcPr>
            <w:tcW w:w="0" w:type="auto"/>
            <w:vMerge/>
            <w:hideMark/>
          </w:tcPr>
          <w:p w14:paraId="1D135626"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0" w:type="auto"/>
            <w:noWrap/>
            <w:vAlign w:val="center"/>
            <w:hideMark/>
          </w:tcPr>
          <w:p w14:paraId="09DCC2AE" w14:textId="77777777" w:rsidR="008B216C" w:rsidRPr="00C86741"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7300000</w:t>
            </w:r>
          </w:p>
        </w:tc>
        <w:tc>
          <w:tcPr>
            <w:tcW w:w="0" w:type="auto"/>
            <w:vAlign w:val="center"/>
          </w:tcPr>
          <w:p w14:paraId="75253CA3" w14:textId="77777777" w:rsidR="008B216C" w:rsidRPr="00500266" w:rsidRDefault="008B216C" w:rsidP="007F2F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15,330,000 </w:t>
            </w:r>
          </w:p>
        </w:tc>
      </w:tr>
      <w:tr w:rsidR="008B216C" w:rsidRPr="00C86741" w14:paraId="32A47A08" w14:textId="77777777" w:rsidTr="00ED5886">
        <w:trPr>
          <w:trHeight w:val="7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12" w:space="0" w:color="7F7F7F" w:themeColor="text1" w:themeTint="80"/>
            </w:tcBorders>
            <w:hideMark/>
          </w:tcPr>
          <w:p w14:paraId="414BF0F7" w14:textId="77777777" w:rsidR="008B216C" w:rsidRPr="00C86741" w:rsidRDefault="008B216C" w:rsidP="007F2F22">
            <w:pPr>
              <w:spacing w:before="0" w:after="0"/>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hideMark/>
          </w:tcPr>
          <w:p w14:paraId="19681417"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2</w:t>
            </w:r>
          </w:p>
        </w:tc>
        <w:tc>
          <w:tcPr>
            <w:tcW w:w="0" w:type="auto"/>
            <w:tcBorders>
              <w:bottom w:val="single" w:sz="12" w:space="0" w:color="7F7F7F" w:themeColor="text1" w:themeTint="80"/>
            </w:tcBorders>
            <w:noWrap/>
            <w:vAlign w:val="center"/>
            <w:hideMark/>
          </w:tcPr>
          <w:p w14:paraId="48D78076"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1000</w:t>
            </w:r>
          </w:p>
        </w:tc>
        <w:tc>
          <w:tcPr>
            <w:tcW w:w="0" w:type="auto"/>
            <w:vMerge/>
            <w:tcBorders>
              <w:bottom w:val="single" w:sz="12" w:space="0" w:color="7F7F7F" w:themeColor="text1" w:themeTint="80"/>
            </w:tcBorders>
            <w:hideMark/>
          </w:tcPr>
          <w:p w14:paraId="0E67FAFF"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hideMark/>
          </w:tcPr>
          <w:p w14:paraId="4614D118" w14:textId="77777777" w:rsidR="008B216C" w:rsidRPr="00C86741"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9125000</w:t>
            </w:r>
          </w:p>
        </w:tc>
        <w:tc>
          <w:tcPr>
            <w:tcW w:w="0" w:type="auto"/>
            <w:tcBorders>
              <w:bottom w:val="single" w:sz="12" w:space="0" w:color="7F7F7F" w:themeColor="text1" w:themeTint="80"/>
            </w:tcBorders>
            <w:vAlign w:val="center"/>
          </w:tcPr>
          <w:p w14:paraId="27A651FF" w14:textId="77777777" w:rsidR="008B216C" w:rsidRPr="00500266" w:rsidRDefault="008B216C" w:rsidP="007F2F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500266">
              <w:rPr>
                <w:rFonts w:cs="Arial"/>
                <w:color w:val="000000"/>
                <w:sz w:val="20"/>
                <w:szCs w:val="20"/>
              </w:rPr>
              <w:t xml:space="preserve">18,250,000 </w:t>
            </w:r>
          </w:p>
        </w:tc>
      </w:tr>
    </w:tbl>
    <w:p w14:paraId="38FD1CB1" w14:textId="1EDCD529" w:rsidR="008B216C" w:rsidRDefault="00AD5992" w:rsidP="008B216C">
      <w:r>
        <w:t xml:space="preserve">A </w:t>
      </w:r>
      <w:r w:rsidR="008B216C">
        <w:t xml:space="preserve">breakdown of total cost into CAPEX, OPEX and energy </w:t>
      </w:r>
      <w:r>
        <w:t xml:space="preserve">as </w:t>
      </w:r>
      <w:r w:rsidR="008B216C">
        <w:t>61%, 30% and 9%</w:t>
      </w:r>
      <w:r>
        <w:t>,</w:t>
      </w:r>
      <w:r w:rsidR="008B216C">
        <w:t xml:space="preserve"> respectively</w:t>
      </w:r>
      <w:r>
        <w:t xml:space="preserve">, </w:t>
      </w:r>
      <w:r w:rsidR="008B216C">
        <w:t>was applied to the total cost</w:t>
      </w:r>
      <w:r w:rsidR="009E3C78">
        <w:t xml:space="preserve"> </w:t>
      </w:r>
      <w:r w:rsidR="009E3C78">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9E3C78">
        <w:fldChar w:fldCharType="separate"/>
      </w:r>
      <w:r w:rsidR="00434694">
        <w:rPr>
          <w:noProof/>
        </w:rPr>
        <w:t>[</w:t>
      </w:r>
      <w:hyperlink w:anchor="_ENREF_63" w:tooltip="Melaina, 2013 #971" w:history="1">
        <w:r w:rsidR="006210AE">
          <w:rPr>
            <w:noProof/>
          </w:rPr>
          <w:t>63</w:t>
        </w:r>
      </w:hyperlink>
      <w:r w:rsidR="00434694">
        <w:rPr>
          <w:noProof/>
        </w:rPr>
        <w:t>]</w:t>
      </w:r>
      <w:r w:rsidR="009E3C78">
        <w:fldChar w:fldCharType="end"/>
      </w:r>
      <w:r>
        <w:t>. R</w:t>
      </w:r>
      <w:r w:rsidR="008B216C">
        <w:t xml:space="preserve">esults are shown in </w:t>
      </w:r>
      <w:r w:rsidR="008B216C">
        <w:fldChar w:fldCharType="begin"/>
      </w:r>
      <w:r w:rsidR="008B216C">
        <w:instrText xml:space="preserve"> REF _Ref48934199 \h </w:instrText>
      </w:r>
      <w:r w:rsidR="008B216C">
        <w:fldChar w:fldCharType="separate"/>
      </w:r>
      <w:r w:rsidR="0004408C">
        <w:t xml:space="preserve">Table </w:t>
      </w:r>
      <w:r w:rsidR="0004408C">
        <w:rPr>
          <w:noProof/>
        </w:rPr>
        <w:t>29</w:t>
      </w:r>
      <w:r w:rsidR="008B216C">
        <w:fldChar w:fldCharType="end"/>
      </w:r>
      <w:r>
        <w:t>, corrected for inflation and currency</w:t>
      </w:r>
      <w:r w:rsidR="008B216C">
        <w:t>. The CAPEX was plotted against the capacity (kW)</w:t>
      </w:r>
      <w:r>
        <w:t>,</w:t>
      </w:r>
      <w:r w:rsidR="008B216C">
        <w:t xml:space="preserve"> and OPEX plotted against the lifetime throughput (£/kWh)</w:t>
      </w:r>
      <w:r>
        <w:t>. Both were linearly interpolated to find the</w:t>
      </w:r>
      <w:r w:rsidR="008B216C">
        <w:t xml:space="preserve"> CAPEX on a £/kW basis and OPEX on a £/kWh basis</w:t>
      </w:r>
      <w:r>
        <w:t>,</w:t>
      </w:r>
      <w:r w:rsidR="008B216C">
        <w:t xml:space="preserve"> for a 10% and 20% hydrogen concentration input (see </w:t>
      </w:r>
      <w:r w:rsidR="008B216C">
        <w:fldChar w:fldCharType="begin"/>
      </w:r>
      <w:r w:rsidR="008B216C">
        <w:instrText xml:space="preserve"> REF _Ref48935624 \h </w:instrText>
      </w:r>
      <w:r w:rsidR="008B216C">
        <w:fldChar w:fldCharType="separate"/>
      </w:r>
      <w:r w:rsidR="0004408C">
        <w:t xml:space="preserve">Figure </w:t>
      </w:r>
      <w:r w:rsidR="0004408C">
        <w:rPr>
          <w:noProof/>
        </w:rPr>
        <w:t>60</w:t>
      </w:r>
      <w:r w:rsidR="008B216C">
        <w:fldChar w:fldCharType="end"/>
      </w:r>
      <w:r w:rsidR="008B216C">
        <w:t xml:space="preserve"> to </w:t>
      </w:r>
      <w:r w:rsidR="008B216C">
        <w:fldChar w:fldCharType="begin"/>
      </w:r>
      <w:r w:rsidR="008B216C">
        <w:instrText xml:space="preserve"> REF _Ref48935627 \h </w:instrText>
      </w:r>
      <w:r w:rsidR="008B216C">
        <w:fldChar w:fldCharType="separate"/>
      </w:r>
      <w:r w:rsidR="0004408C">
        <w:t xml:space="preserve">Figure </w:t>
      </w:r>
      <w:r w:rsidR="0004408C">
        <w:rPr>
          <w:noProof/>
        </w:rPr>
        <w:t>63</w:t>
      </w:r>
      <w:r w:rsidR="008B216C">
        <w:fldChar w:fldCharType="end"/>
      </w:r>
      <w:r w:rsidR="008B216C">
        <w:t>).</w:t>
      </w:r>
    </w:p>
    <w:p w14:paraId="614295BB" w14:textId="2D2A2896" w:rsidR="008B216C" w:rsidRDefault="008B216C" w:rsidP="008B216C">
      <w:pPr>
        <w:pStyle w:val="Caption"/>
        <w:keepNext/>
      </w:pPr>
      <w:bookmarkStart w:id="341" w:name="_Ref48934199"/>
      <w:bookmarkStart w:id="342" w:name="_Toc50359182"/>
      <w:r>
        <w:t xml:space="preserve">Table </w:t>
      </w:r>
      <w:fldSimple w:instr=" SEQ Table \* ARABIC ">
        <w:r w:rsidR="0004408C">
          <w:rPr>
            <w:noProof/>
          </w:rPr>
          <w:t>29</w:t>
        </w:r>
      </w:fldSimple>
      <w:bookmarkEnd w:id="341"/>
      <w:r w:rsidR="00750B2D">
        <w:t>:</w:t>
      </w:r>
      <w:r>
        <w:t xml:space="preserve"> Estimated CAPEX (£) and OPEX (£) of localised PSA equipment for a range of capacities, with a hydrogen concentration inlet of 10% and 20% by vol</w:t>
      </w:r>
      <w:bookmarkEnd w:id="342"/>
      <w:r w:rsidR="00AD5992">
        <w:t>.</w:t>
      </w:r>
      <w:r>
        <w:t xml:space="preserve"> </w:t>
      </w:r>
    </w:p>
    <w:tbl>
      <w:tblPr>
        <w:tblStyle w:val="PlainTable2"/>
        <w:tblW w:w="5177" w:type="dxa"/>
        <w:jc w:val="center"/>
        <w:tblLook w:val="04A0" w:firstRow="1" w:lastRow="0" w:firstColumn="1" w:lastColumn="0" w:noHBand="0" w:noVBand="1"/>
      </w:tblPr>
      <w:tblGrid>
        <w:gridCol w:w="1276"/>
        <w:gridCol w:w="924"/>
        <w:gridCol w:w="1488"/>
        <w:gridCol w:w="1489"/>
      </w:tblGrid>
      <w:tr w:rsidR="008B216C" w:rsidRPr="007A5861" w14:paraId="5E7B965B" w14:textId="77777777" w:rsidTr="00750B2D">
        <w:trPr>
          <w:cnfStyle w:val="100000000000" w:firstRow="1" w:lastRow="0" w:firstColumn="0" w:lastColumn="0" w:oddVBand="0" w:evenVBand="0" w:oddHBand="0"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7F7F7F" w:themeColor="text1" w:themeTint="80"/>
            </w:tcBorders>
            <w:noWrap/>
            <w:hideMark/>
          </w:tcPr>
          <w:p w14:paraId="52770232" w14:textId="77777777" w:rsidR="008B216C" w:rsidRPr="00C86741" w:rsidRDefault="008B216C" w:rsidP="00AD5992">
            <w:pPr>
              <w:spacing w:before="0" w:after="0"/>
              <w:rPr>
                <w:rFonts w:ascii="Times New Roman" w:eastAsia="Times New Roman" w:hAnsi="Times New Roman" w:cs="Times New Roman"/>
                <w:sz w:val="20"/>
                <w:szCs w:val="20"/>
                <w:lang w:eastAsia="en-GB"/>
              </w:rPr>
            </w:pPr>
          </w:p>
        </w:tc>
        <w:tc>
          <w:tcPr>
            <w:tcW w:w="703" w:type="dxa"/>
            <w:tcBorders>
              <w:bottom w:val="single" w:sz="12" w:space="0" w:color="7F7F7F" w:themeColor="text1" w:themeTint="80"/>
            </w:tcBorders>
            <w:noWrap/>
            <w:vAlign w:val="center"/>
            <w:hideMark/>
          </w:tcPr>
          <w:p w14:paraId="3A9C1B25" w14:textId="77777777" w:rsidR="008B216C" w:rsidRPr="00C86741" w:rsidRDefault="008B216C" w:rsidP="00AD599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eastAsia="Times New Roman" w:cs="Arial"/>
                <w:color w:val="000000"/>
                <w:sz w:val="20"/>
                <w:szCs w:val="20"/>
                <w:lang w:eastAsia="en-GB"/>
              </w:rPr>
              <w:t>Capacity (kW)</w:t>
            </w:r>
          </w:p>
        </w:tc>
        <w:tc>
          <w:tcPr>
            <w:tcW w:w="0" w:type="auto"/>
            <w:tcBorders>
              <w:bottom w:val="single" w:sz="12" w:space="0" w:color="7F7F7F" w:themeColor="text1" w:themeTint="80"/>
            </w:tcBorders>
            <w:noWrap/>
            <w:vAlign w:val="center"/>
            <w:hideMark/>
          </w:tcPr>
          <w:p w14:paraId="11CA3243" w14:textId="77777777" w:rsidR="008B216C" w:rsidRPr="00C86741" w:rsidRDefault="008B216C" w:rsidP="00AD599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86741">
              <w:rPr>
                <w:rFonts w:eastAsia="Times New Roman" w:cs="Arial"/>
                <w:color w:val="000000"/>
                <w:sz w:val="20"/>
                <w:szCs w:val="20"/>
                <w:lang w:eastAsia="en-GB"/>
              </w:rPr>
              <w:t>C</w:t>
            </w:r>
            <w:r w:rsidRPr="007A5861">
              <w:rPr>
                <w:rFonts w:eastAsia="Times New Roman" w:cs="Arial"/>
                <w:color w:val="000000"/>
                <w:sz w:val="20"/>
                <w:szCs w:val="20"/>
                <w:lang w:eastAsia="en-GB"/>
              </w:rPr>
              <w:t>APEX</w:t>
            </w:r>
            <w:r w:rsidRPr="00C86741">
              <w:rPr>
                <w:rFonts w:eastAsia="Times New Roman" w:cs="Arial"/>
                <w:color w:val="000000"/>
                <w:sz w:val="20"/>
                <w:szCs w:val="20"/>
                <w:lang w:eastAsia="en-GB"/>
              </w:rPr>
              <w:t xml:space="preserve"> (</w:t>
            </w:r>
            <w:r w:rsidRPr="007A5861">
              <w:rPr>
                <w:rFonts w:eastAsia="Times New Roman" w:cs="Arial"/>
                <w:color w:val="000000"/>
                <w:sz w:val="20"/>
                <w:szCs w:val="20"/>
                <w:lang w:eastAsia="en-GB"/>
              </w:rPr>
              <w:t>£</w:t>
            </w:r>
            <w:r w:rsidRPr="00C86741">
              <w:rPr>
                <w:rFonts w:eastAsia="Times New Roman" w:cs="Arial"/>
                <w:color w:val="000000"/>
                <w:sz w:val="20"/>
                <w:szCs w:val="20"/>
                <w:lang w:eastAsia="en-GB"/>
              </w:rPr>
              <w:t>)</w:t>
            </w:r>
          </w:p>
        </w:tc>
        <w:tc>
          <w:tcPr>
            <w:tcW w:w="0" w:type="auto"/>
            <w:tcBorders>
              <w:bottom w:val="single" w:sz="12" w:space="0" w:color="7F7F7F" w:themeColor="text1" w:themeTint="80"/>
            </w:tcBorders>
            <w:noWrap/>
            <w:vAlign w:val="center"/>
            <w:hideMark/>
          </w:tcPr>
          <w:p w14:paraId="14F6E353" w14:textId="77777777" w:rsidR="008B216C" w:rsidRPr="00C86741" w:rsidRDefault="008B216C" w:rsidP="00AD5992">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eastAsia="Times New Roman" w:cs="Arial"/>
                <w:color w:val="000000"/>
                <w:sz w:val="20"/>
                <w:szCs w:val="20"/>
                <w:lang w:eastAsia="en-GB"/>
              </w:rPr>
              <w:t>OPEX</w:t>
            </w:r>
            <w:r w:rsidRPr="00C86741">
              <w:rPr>
                <w:rFonts w:eastAsia="Times New Roman" w:cs="Arial"/>
                <w:color w:val="000000"/>
                <w:sz w:val="20"/>
                <w:szCs w:val="20"/>
                <w:lang w:eastAsia="en-GB"/>
              </w:rPr>
              <w:t xml:space="preserve"> (</w:t>
            </w:r>
            <w:r w:rsidRPr="007A5861">
              <w:rPr>
                <w:rFonts w:eastAsia="Times New Roman" w:cs="Arial"/>
                <w:color w:val="000000"/>
                <w:sz w:val="20"/>
                <w:szCs w:val="20"/>
                <w:lang w:eastAsia="en-GB"/>
              </w:rPr>
              <w:t>£</w:t>
            </w:r>
            <w:r w:rsidRPr="00C86741">
              <w:rPr>
                <w:rFonts w:eastAsia="Times New Roman" w:cs="Arial"/>
                <w:color w:val="000000"/>
                <w:sz w:val="20"/>
                <w:szCs w:val="20"/>
                <w:lang w:eastAsia="en-GB"/>
              </w:rPr>
              <w:t>)</w:t>
            </w:r>
          </w:p>
        </w:tc>
      </w:tr>
      <w:tr w:rsidR="008B216C" w:rsidRPr="007A5861" w14:paraId="77017263" w14:textId="77777777" w:rsidTr="00750B2D">
        <w:trPr>
          <w:cnfStyle w:val="000000100000" w:firstRow="0" w:lastRow="0" w:firstColumn="0" w:lastColumn="0" w:oddVBand="0" w:evenVBand="0" w:oddHBand="1" w:evenHBand="0" w:firstRowFirstColumn="0" w:firstRowLastColumn="0" w:lastRowFirstColumn="0" w:lastRowLastColumn="0"/>
          <w:trHeight w:val="109"/>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12" w:space="0" w:color="7F7F7F" w:themeColor="text1" w:themeTint="80"/>
            </w:tcBorders>
            <w:noWrap/>
            <w:textDirection w:val="btLr"/>
            <w:hideMark/>
          </w:tcPr>
          <w:p w14:paraId="46440B88" w14:textId="78204D08" w:rsidR="008B216C" w:rsidRPr="00C86741" w:rsidRDefault="008B216C" w:rsidP="00AD5992">
            <w:pPr>
              <w:spacing w:before="0" w:after="0"/>
              <w:ind w:left="113" w:right="113"/>
              <w:jc w:val="center"/>
              <w:rPr>
                <w:rFonts w:eastAsia="Times New Roman" w:cs="Arial"/>
                <w:color w:val="000000"/>
                <w:sz w:val="20"/>
                <w:szCs w:val="20"/>
                <w:lang w:eastAsia="en-GB"/>
              </w:rPr>
            </w:pPr>
            <w:r w:rsidRPr="00C86741">
              <w:rPr>
                <w:rFonts w:eastAsia="Times New Roman" w:cs="Arial"/>
                <w:color w:val="000000"/>
                <w:sz w:val="20"/>
                <w:szCs w:val="20"/>
                <w:lang w:eastAsia="en-GB"/>
              </w:rPr>
              <w:t>10%</w:t>
            </w:r>
            <w:r w:rsidRPr="007A5861">
              <w:rPr>
                <w:rFonts w:eastAsia="Times New Roman" w:cs="Arial"/>
                <w:color w:val="000000"/>
                <w:sz w:val="20"/>
                <w:szCs w:val="20"/>
                <w:vertAlign w:val="subscript"/>
                <w:lang w:eastAsia="en-GB"/>
              </w:rPr>
              <w:t>vol</w:t>
            </w:r>
            <w:r w:rsidRPr="007A5861">
              <w:rPr>
                <w:rFonts w:eastAsia="Times New Roman" w:cs="Arial"/>
                <w:color w:val="000000"/>
                <w:sz w:val="20"/>
                <w:szCs w:val="20"/>
                <w:lang w:eastAsia="en-GB"/>
              </w:rPr>
              <w:t xml:space="preserve"> Hydrogen</w:t>
            </w:r>
            <w:r w:rsidRPr="00C86741">
              <w:rPr>
                <w:rFonts w:eastAsia="Times New Roman" w:cs="Arial"/>
                <w:color w:val="000000"/>
                <w:sz w:val="20"/>
                <w:szCs w:val="20"/>
                <w:lang w:eastAsia="en-GB"/>
              </w:rPr>
              <w:t xml:space="preserve"> </w:t>
            </w:r>
            <w:r w:rsidRPr="007A5861">
              <w:rPr>
                <w:rFonts w:eastAsia="Times New Roman" w:cs="Arial"/>
                <w:color w:val="000000"/>
                <w:sz w:val="20"/>
                <w:szCs w:val="20"/>
                <w:lang w:eastAsia="en-GB"/>
              </w:rPr>
              <w:t>I</w:t>
            </w:r>
            <w:r w:rsidRPr="00C86741">
              <w:rPr>
                <w:rFonts w:eastAsia="Times New Roman" w:cs="Arial"/>
                <w:color w:val="000000"/>
                <w:sz w:val="20"/>
                <w:szCs w:val="20"/>
                <w:lang w:eastAsia="en-GB"/>
              </w:rPr>
              <w:t>n</w:t>
            </w:r>
            <w:r w:rsidRPr="007A5861">
              <w:rPr>
                <w:rFonts w:eastAsia="Times New Roman" w:cs="Arial"/>
                <w:color w:val="000000"/>
                <w:sz w:val="20"/>
                <w:szCs w:val="20"/>
                <w:lang w:eastAsia="en-GB"/>
              </w:rPr>
              <w:t>let Conc</w:t>
            </w:r>
            <w:r w:rsidR="00AD5992">
              <w:rPr>
                <w:rFonts w:eastAsia="Times New Roman" w:cs="Arial"/>
                <w:color w:val="000000"/>
                <w:sz w:val="20"/>
                <w:szCs w:val="20"/>
                <w:lang w:eastAsia="en-GB"/>
              </w:rPr>
              <w:t>.</w:t>
            </w:r>
          </w:p>
        </w:tc>
        <w:tc>
          <w:tcPr>
            <w:tcW w:w="703" w:type="dxa"/>
            <w:tcBorders>
              <w:top w:val="single" w:sz="12" w:space="0" w:color="7F7F7F" w:themeColor="text1" w:themeTint="80"/>
            </w:tcBorders>
            <w:noWrap/>
            <w:vAlign w:val="center"/>
            <w:hideMark/>
          </w:tcPr>
          <w:p w14:paraId="3B7B3E84"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139</w:t>
            </w:r>
          </w:p>
        </w:tc>
        <w:tc>
          <w:tcPr>
            <w:tcW w:w="0" w:type="auto"/>
            <w:tcBorders>
              <w:top w:val="single" w:sz="12" w:space="0" w:color="7F7F7F" w:themeColor="text1" w:themeTint="80"/>
            </w:tcBorders>
            <w:noWrap/>
            <w:vAlign w:val="center"/>
            <w:hideMark/>
          </w:tcPr>
          <w:p w14:paraId="021A2D31" w14:textId="3F610068"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4,481,315</w:t>
            </w:r>
          </w:p>
        </w:tc>
        <w:tc>
          <w:tcPr>
            <w:tcW w:w="0" w:type="auto"/>
            <w:tcBorders>
              <w:top w:val="single" w:sz="12" w:space="0" w:color="7F7F7F" w:themeColor="text1" w:themeTint="80"/>
            </w:tcBorders>
            <w:noWrap/>
            <w:vAlign w:val="bottom"/>
            <w:hideMark/>
          </w:tcPr>
          <w:p w14:paraId="41445F1B" w14:textId="032C530D"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3,905,146</w:t>
            </w:r>
          </w:p>
        </w:tc>
      </w:tr>
      <w:tr w:rsidR="008B216C" w:rsidRPr="007A5861" w14:paraId="13744F02" w14:textId="77777777" w:rsidTr="00AD5992">
        <w:trPr>
          <w:trHeight w:val="262"/>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0D8E402C"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2540835F"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208</w:t>
            </w:r>
          </w:p>
        </w:tc>
        <w:tc>
          <w:tcPr>
            <w:tcW w:w="0" w:type="auto"/>
            <w:noWrap/>
            <w:vAlign w:val="center"/>
            <w:hideMark/>
          </w:tcPr>
          <w:p w14:paraId="36FC8D82" w14:textId="5D1C2966"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5,021,233</w:t>
            </w:r>
          </w:p>
        </w:tc>
        <w:tc>
          <w:tcPr>
            <w:tcW w:w="0" w:type="auto"/>
            <w:noWrap/>
            <w:vAlign w:val="bottom"/>
            <w:hideMark/>
          </w:tcPr>
          <w:p w14:paraId="11CD7E55" w14:textId="560AC12B"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4,375,646</w:t>
            </w:r>
          </w:p>
        </w:tc>
      </w:tr>
      <w:tr w:rsidR="008B216C" w:rsidRPr="007A5861" w14:paraId="2CB2CB20"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7007C82E"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75977F59"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312</w:t>
            </w:r>
          </w:p>
        </w:tc>
        <w:tc>
          <w:tcPr>
            <w:tcW w:w="0" w:type="auto"/>
            <w:noWrap/>
            <w:vAlign w:val="center"/>
            <w:hideMark/>
          </w:tcPr>
          <w:p w14:paraId="4FFD763D" w14:textId="561621E9"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6,559,998</w:t>
            </w:r>
          </w:p>
        </w:tc>
        <w:tc>
          <w:tcPr>
            <w:tcW w:w="0" w:type="auto"/>
            <w:noWrap/>
            <w:vAlign w:val="bottom"/>
            <w:hideMark/>
          </w:tcPr>
          <w:p w14:paraId="49ADD435" w14:textId="52080B40"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5,716,569</w:t>
            </w:r>
          </w:p>
        </w:tc>
      </w:tr>
      <w:tr w:rsidR="008B216C" w:rsidRPr="007A5861" w14:paraId="6C1F742E"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6227443E"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1771F284"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444</w:t>
            </w:r>
          </w:p>
        </w:tc>
        <w:tc>
          <w:tcPr>
            <w:tcW w:w="0" w:type="auto"/>
            <w:noWrap/>
            <w:vAlign w:val="center"/>
            <w:hideMark/>
          </w:tcPr>
          <w:p w14:paraId="09716C53" w14:textId="4995CF12"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8,465,906</w:t>
            </w:r>
          </w:p>
        </w:tc>
        <w:tc>
          <w:tcPr>
            <w:tcW w:w="0" w:type="auto"/>
            <w:noWrap/>
            <w:vAlign w:val="bottom"/>
            <w:hideMark/>
          </w:tcPr>
          <w:p w14:paraId="5F5572BC" w14:textId="7FF76AF0"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7,377,433</w:t>
            </w:r>
          </w:p>
        </w:tc>
      </w:tr>
      <w:tr w:rsidR="008B216C" w:rsidRPr="007A5861" w14:paraId="6D2C965A"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0DB8F968"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0C44C574"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555</w:t>
            </w:r>
          </w:p>
        </w:tc>
        <w:tc>
          <w:tcPr>
            <w:tcW w:w="0" w:type="auto"/>
            <w:noWrap/>
            <w:vAlign w:val="center"/>
            <w:hideMark/>
          </w:tcPr>
          <w:p w14:paraId="4557AF3C" w14:textId="6DDE6D12"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9,718,515</w:t>
            </w:r>
          </w:p>
        </w:tc>
        <w:tc>
          <w:tcPr>
            <w:tcW w:w="0" w:type="auto"/>
            <w:noWrap/>
            <w:vAlign w:val="bottom"/>
            <w:hideMark/>
          </w:tcPr>
          <w:p w14:paraId="4FEA5E32" w14:textId="1687F320"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8,468,991</w:t>
            </w:r>
          </w:p>
        </w:tc>
      </w:tr>
      <w:tr w:rsidR="008B216C" w:rsidRPr="007A5861" w14:paraId="6EE85877"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6290F401"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6DEDA732"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666</w:t>
            </w:r>
          </w:p>
        </w:tc>
        <w:tc>
          <w:tcPr>
            <w:tcW w:w="0" w:type="auto"/>
            <w:noWrap/>
            <w:vAlign w:val="center"/>
            <w:hideMark/>
          </w:tcPr>
          <w:p w14:paraId="51342B64" w14:textId="7BCBE52D"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11,014,317</w:t>
            </w:r>
          </w:p>
        </w:tc>
        <w:tc>
          <w:tcPr>
            <w:tcW w:w="0" w:type="auto"/>
            <w:noWrap/>
            <w:vAlign w:val="bottom"/>
            <w:hideMark/>
          </w:tcPr>
          <w:p w14:paraId="5971697A" w14:textId="3CFE8BA4"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9,598,190</w:t>
            </w:r>
          </w:p>
        </w:tc>
      </w:tr>
      <w:tr w:rsidR="008B216C" w:rsidRPr="007A5861" w14:paraId="3D18A18E"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6296C3B1"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4CDE3DE2"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763</w:t>
            </w:r>
          </w:p>
        </w:tc>
        <w:tc>
          <w:tcPr>
            <w:tcW w:w="0" w:type="auto"/>
            <w:noWrap/>
            <w:vAlign w:val="center"/>
            <w:hideMark/>
          </w:tcPr>
          <w:p w14:paraId="04F8E61D" w14:textId="6B6AB21C"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11,878,185</w:t>
            </w:r>
          </w:p>
        </w:tc>
        <w:tc>
          <w:tcPr>
            <w:tcW w:w="0" w:type="auto"/>
            <w:noWrap/>
            <w:vAlign w:val="bottom"/>
            <w:hideMark/>
          </w:tcPr>
          <w:p w14:paraId="5BA0A64C" w14:textId="27BE5B0C"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10,350,990</w:t>
            </w:r>
          </w:p>
        </w:tc>
      </w:tr>
      <w:tr w:rsidR="008B216C" w:rsidRPr="007A5861" w14:paraId="5C7E9BDE"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74FA864C"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49FEF6EA"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860</w:t>
            </w:r>
          </w:p>
        </w:tc>
        <w:tc>
          <w:tcPr>
            <w:tcW w:w="0" w:type="auto"/>
            <w:noWrap/>
            <w:vAlign w:val="center"/>
            <w:hideMark/>
          </w:tcPr>
          <w:p w14:paraId="555338A9" w14:textId="6D829705"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13,055,205</w:t>
            </w:r>
          </w:p>
        </w:tc>
        <w:tc>
          <w:tcPr>
            <w:tcW w:w="0" w:type="auto"/>
            <w:noWrap/>
            <w:vAlign w:val="bottom"/>
            <w:hideMark/>
          </w:tcPr>
          <w:p w14:paraId="74B19A6F" w14:textId="4B0B01A1"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11,376,679</w:t>
            </w:r>
          </w:p>
        </w:tc>
      </w:tr>
      <w:tr w:rsidR="008B216C" w:rsidRPr="007A5861" w14:paraId="6E4E3D7A"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002E841F"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138F3F07"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992</w:t>
            </w:r>
          </w:p>
        </w:tc>
        <w:tc>
          <w:tcPr>
            <w:tcW w:w="0" w:type="auto"/>
            <w:noWrap/>
            <w:vAlign w:val="center"/>
            <w:hideMark/>
          </w:tcPr>
          <w:p w14:paraId="7971B7FF" w14:textId="3189F37D"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14,283,517</w:t>
            </w:r>
          </w:p>
        </w:tc>
        <w:tc>
          <w:tcPr>
            <w:tcW w:w="0" w:type="auto"/>
            <w:noWrap/>
            <w:vAlign w:val="bottom"/>
            <w:hideMark/>
          </w:tcPr>
          <w:p w14:paraId="1AACB2A6" w14:textId="77BD891E"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12,447,065</w:t>
            </w:r>
          </w:p>
        </w:tc>
      </w:tr>
      <w:tr w:rsidR="008B216C" w:rsidRPr="007A5861" w14:paraId="1C1F5BAF"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4A9973D8"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7BFE0F7D"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1110</w:t>
            </w:r>
          </w:p>
        </w:tc>
        <w:tc>
          <w:tcPr>
            <w:tcW w:w="0" w:type="auto"/>
            <w:noWrap/>
            <w:vAlign w:val="center"/>
            <w:hideMark/>
          </w:tcPr>
          <w:p w14:paraId="5CA52F6F" w14:textId="16997D40"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15,549,624</w:t>
            </w:r>
          </w:p>
        </w:tc>
        <w:tc>
          <w:tcPr>
            <w:tcW w:w="0" w:type="auto"/>
            <w:noWrap/>
            <w:vAlign w:val="bottom"/>
            <w:hideMark/>
          </w:tcPr>
          <w:p w14:paraId="4819AD6F" w14:textId="11B3090C"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13,550,386</w:t>
            </w:r>
          </w:p>
        </w:tc>
      </w:tr>
      <w:tr w:rsidR="008B216C" w:rsidRPr="007A5861" w14:paraId="103561C0" w14:textId="77777777" w:rsidTr="00750B2D">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12" w:space="0" w:color="7F7F7F" w:themeColor="text1" w:themeTint="80"/>
            </w:tcBorders>
            <w:hideMark/>
          </w:tcPr>
          <w:p w14:paraId="7A0D12AD" w14:textId="77777777" w:rsidR="008B216C" w:rsidRPr="00C86741" w:rsidRDefault="008B216C" w:rsidP="00AD5992">
            <w:pPr>
              <w:spacing w:before="0" w:after="0"/>
              <w:rPr>
                <w:rFonts w:eastAsia="Times New Roman" w:cs="Arial"/>
                <w:color w:val="000000"/>
                <w:sz w:val="20"/>
                <w:szCs w:val="20"/>
                <w:lang w:eastAsia="en-GB"/>
              </w:rPr>
            </w:pPr>
          </w:p>
        </w:tc>
        <w:tc>
          <w:tcPr>
            <w:tcW w:w="703" w:type="dxa"/>
            <w:tcBorders>
              <w:bottom w:val="single" w:sz="12" w:space="0" w:color="7F7F7F" w:themeColor="text1" w:themeTint="80"/>
            </w:tcBorders>
            <w:noWrap/>
            <w:vAlign w:val="center"/>
            <w:hideMark/>
          </w:tcPr>
          <w:p w14:paraId="62926956"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1388</w:t>
            </w:r>
          </w:p>
        </w:tc>
        <w:tc>
          <w:tcPr>
            <w:tcW w:w="0" w:type="auto"/>
            <w:tcBorders>
              <w:bottom w:val="single" w:sz="12" w:space="0" w:color="7F7F7F" w:themeColor="text1" w:themeTint="80"/>
            </w:tcBorders>
            <w:noWrap/>
            <w:vAlign w:val="center"/>
            <w:hideMark/>
          </w:tcPr>
          <w:p w14:paraId="25DFF710" w14:textId="4B617350"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17,817,277</w:t>
            </w:r>
          </w:p>
        </w:tc>
        <w:tc>
          <w:tcPr>
            <w:tcW w:w="0" w:type="auto"/>
            <w:tcBorders>
              <w:bottom w:val="single" w:sz="12" w:space="0" w:color="7F7F7F" w:themeColor="text1" w:themeTint="80"/>
            </w:tcBorders>
            <w:noWrap/>
            <w:vAlign w:val="bottom"/>
            <w:hideMark/>
          </w:tcPr>
          <w:p w14:paraId="1C15ED18" w14:textId="2774411B"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15,526,484</w:t>
            </w:r>
          </w:p>
        </w:tc>
      </w:tr>
      <w:tr w:rsidR="008B216C" w:rsidRPr="007A5861" w14:paraId="7AFDC07C" w14:textId="77777777" w:rsidTr="00750B2D">
        <w:trPr>
          <w:trHeight w:val="50"/>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12" w:space="0" w:color="7F7F7F" w:themeColor="text1" w:themeTint="80"/>
            </w:tcBorders>
            <w:noWrap/>
            <w:textDirection w:val="btLr"/>
            <w:hideMark/>
          </w:tcPr>
          <w:p w14:paraId="6AF3C6C8" w14:textId="3B0CE0FE" w:rsidR="008B216C" w:rsidRPr="00C86741" w:rsidRDefault="008B216C" w:rsidP="00AD5992">
            <w:pPr>
              <w:spacing w:before="0" w:after="0"/>
              <w:ind w:left="113" w:right="113"/>
              <w:jc w:val="center"/>
              <w:rPr>
                <w:rFonts w:eastAsia="Times New Roman" w:cs="Arial"/>
                <w:color w:val="000000"/>
                <w:sz w:val="20"/>
                <w:szCs w:val="20"/>
                <w:lang w:eastAsia="en-GB"/>
              </w:rPr>
            </w:pPr>
            <w:r w:rsidRPr="007A5861">
              <w:rPr>
                <w:rFonts w:eastAsia="Times New Roman" w:cs="Arial"/>
                <w:color w:val="000000"/>
                <w:sz w:val="20"/>
                <w:szCs w:val="20"/>
                <w:lang w:eastAsia="en-GB"/>
              </w:rPr>
              <w:t>2</w:t>
            </w:r>
            <w:r w:rsidRPr="00C86741">
              <w:rPr>
                <w:rFonts w:eastAsia="Times New Roman" w:cs="Arial"/>
                <w:color w:val="000000"/>
                <w:sz w:val="20"/>
                <w:szCs w:val="20"/>
                <w:lang w:eastAsia="en-GB"/>
              </w:rPr>
              <w:t>0%</w:t>
            </w:r>
            <w:r w:rsidRPr="007A5861">
              <w:rPr>
                <w:rFonts w:eastAsia="Times New Roman" w:cs="Arial"/>
                <w:color w:val="000000"/>
                <w:sz w:val="20"/>
                <w:szCs w:val="20"/>
                <w:vertAlign w:val="subscript"/>
                <w:lang w:eastAsia="en-GB"/>
              </w:rPr>
              <w:t>vol</w:t>
            </w:r>
            <w:r w:rsidRPr="007A5861">
              <w:rPr>
                <w:rFonts w:eastAsia="Times New Roman" w:cs="Arial"/>
                <w:color w:val="000000"/>
                <w:sz w:val="20"/>
                <w:szCs w:val="20"/>
                <w:lang w:eastAsia="en-GB"/>
              </w:rPr>
              <w:t xml:space="preserve"> Hydrogen</w:t>
            </w:r>
            <w:r w:rsidRPr="00C86741">
              <w:rPr>
                <w:rFonts w:eastAsia="Times New Roman" w:cs="Arial"/>
                <w:color w:val="000000"/>
                <w:sz w:val="20"/>
                <w:szCs w:val="20"/>
                <w:lang w:eastAsia="en-GB"/>
              </w:rPr>
              <w:t xml:space="preserve"> </w:t>
            </w:r>
            <w:r w:rsidRPr="007A5861">
              <w:rPr>
                <w:rFonts w:eastAsia="Times New Roman" w:cs="Arial"/>
                <w:color w:val="000000"/>
                <w:sz w:val="20"/>
                <w:szCs w:val="20"/>
                <w:lang w:eastAsia="en-GB"/>
              </w:rPr>
              <w:t>I</w:t>
            </w:r>
            <w:r w:rsidRPr="00C86741">
              <w:rPr>
                <w:rFonts w:eastAsia="Times New Roman" w:cs="Arial"/>
                <w:color w:val="000000"/>
                <w:sz w:val="20"/>
                <w:szCs w:val="20"/>
                <w:lang w:eastAsia="en-GB"/>
              </w:rPr>
              <w:t>n</w:t>
            </w:r>
            <w:r w:rsidRPr="007A5861">
              <w:rPr>
                <w:rFonts w:eastAsia="Times New Roman" w:cs="Arial"/>
                <w:color w:val="000000"/>
                <w:sz w:val="20"/>
                <w:szCs w:val="20"/>
                <w:lang w:eastAsia="en-GB"/>
              </w:rPr>
              <w:t>let Conc</w:t>
            </w:r>
            <w:r w:rsidR="00AD5992">
              <w:rPr>
                <w:rFonts w:eastAsia="Times New Roman" w:cs="Arial"/>
                <w:color w:val="000000"/>
                <w:sz w:val="20"/>
                <w:szCs w:val="20"/>
                <w:lang w:eastAsia="en-GB"/>
              </w:rPr>
              <w:t>.</w:t>
            </w:r>
          </w:p>
        </w:tc>
        <w:tc>
          <w:tcPr>
            <w:tcW w:w="703" w:type="dxa"/>
            <w:tcBorders>
              <w:top w:val="single" w:sz="12" w:space="0" w:color="7F7F7F" w:themeColor="text1" w:themeTint="80"/>
            </w:tcBorders>
            <w:noWrap/>
            <w:vAlign w:val="center"/>
            <w:hideMark/>
          </w:tcPr>
          <w:p w14:paraId="251DE42A"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139</w:t>
            </w:r>
          </w:p>
        </w:tc>
        <w:tc>
          <w:tcPr>
            <w:tcW w:w="0" w:type="auto"/>
            <w:tcBorders>
              <w:top w:val="single" w:sz="12" w:space="0" w:color="7F7F7F" w:themeColor="text1" w:themeTint="80"/>
            </w:tcBorders>
            <w:noWrap/>
            <w:vAlign w:val="center"/>
            <w:hideMark/>
          </w:tcPr>
          <w:p w14:paraId="06C6DC54" w14:textId="26BCE065"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3,995,389</w:t>
            </w:r>
          </w:p>
        </w:tc>
        <w:tc>
          <w:tcPr>
            <w:tcW w:w="0" w:type="auto"/>
            <w:tcBorders>
              <w:top w:val="single" w:sz="12" w:space="0" w:color="7F7F7F" w:themeColor="text1" w:themeTint="80"/>
            </w:tcBorders>
            <w:noWrap/>
            <w:vAlign w:val="bottom"/>
            <w:hideMark/>
          </w:tcPr>
          <w:p w14:paraId="15FF376B" w14:textId="51322589"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3,481,696</w:t>
            </w:r>
          </w:p>
        </w:tc>
      </w:tr>
      <w:tr w:rsidR="008B216C" w:rsidRPr="007A5861" w14:paraId="33645AE0" w14:textId="77777777" w:rsidTr="00750B2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73CE5339"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4D5BAD6A"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208</w:t>
            </w:r>
          </w:p>
        </w:tc>
        <w:tc>
          <w:tcPr>
            <w:tcW w:w="0" w:type="auto"/>
            <w:noWrap/>
            <w:vAlign w:val="center"/>
            <w:hideMark/>
          </w:tcPr>
          <w:p w14:paraId="51189126" w14:textId="099D972F"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3,239,505</w:t>
            </w:r>
          </w:p>
        </w:tc>
        <w:tc>
          <w:tcPr>
            <w:tcW w:w="0" w:type="auto"/>
            <w:noWrap/>
            <w:vAlign w:val="bottom"/>
            <w:hideMark/>
          </w:tcPr>
          <w:p w14:paraId="3685503F" w14:textId="75065666"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2,822,997</w:t>
            </w:r>
          </w:p>
        </w:tc>
      </w:tr>
      <w:tr w:rsidR="008B216C" w:rsidRPr="007A5861" w14:paraId="1922D0C2"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2BFF22FC"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75EDEEB1"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312</w:t>
            </w:r>
          </w:p>
        </w:tc>
        <w:tc>
          <w:tcPr>
            <w:tcW w:w="0" w:type="auto"/>
            <w:noWrap/>
            <w:vAlign w:val="center"/>
            <w:hideMark/>
          </w:tcPr>
          <w:p w14:paraId="43EAF1A3" w14:textId="71C879A3"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4,130,369</w:t>
            </w:r>
          </w:p>
        </w:tc>
        <w:tc>
          <w:tcPr>
            <w:tcW w:w="0" w:type="auto"/>
            <w:noWrap/>
            <w:vAlign w:val="bottom"/>
            <w:hideMark/>
          </w:tcPr>
          <w:p w14:paraId="2744E570" w14:textId="1FEE4441"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3,599,321</w:t>
            </w:r>
          </w:p>
        </w:tc>
      </w:tr>
      <w:tr w:rsidR="008B216C" w:rsidRPr="007A5861" w14:paraId="4BEB4172"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67AF587F"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4CE2FEEA"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444</w:t>
            </w:r>
          </w:p>
        </w:tc>
        <w:tc>
          <w:tcPr>
            <w:tcW w:w="0" w:type="auto"/>
            <w:noWrap/>
            <w:vAlign w:val="center"/>
            <w:hideMark/>
          </w:tcPr>
          <w:p w14:paraId="3B5A3DBC" w14:textId="652DAC0A"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5,183,208</w:t>
            </w:r>
          </w:p>
        </w:tc>
        <w:tc>
          <w:tcPr>
            <w:tcW w:w="0" w:type="auto"/>
            <w:noWrap/>
            <w:vAlign w:val="bottom"/>
            <w:hideMark/>
          </w:tcPr>
          <w:p w14:paraId="0FFF3043" w14:textId="7466B67C"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4,516,795</w:t>
            </w:r>
          </w:p>
        </w:tc>
      </w:tr>
      <w:tr w:rsidR="008B216C" w:rsidRPr="007A5861" w14:paraId="2971550F" w14:textId="77777777" w:rsidTr="00750B2D">
        <w:trPr>
          <w:trHeight w:val="132"/>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1B3A9AB8"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324E3254"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555</w:t>
            </w:r>
          </w:p>
        </w:tc>
        <w:tc>
          <w:tcPr>
            <w:tcW w:w="0" w:type="auto"/>
            <w:noWrap/>
            <w:vAlign w:val="center"/>
            <w:hideMark/>
          </w:tcPr>
          <w:p w14:paraId="7CED7DCE" w14:textId="5597AEAC"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6,047,076</w:t>
            </w:r>
          </w:p>
        </w:tc>
        <w:tc>
          <w:tcPr>
            <w:tcW w:w="0" w:type="auto"/>
            <w:noWrap/>
            <w:vAlign w:val="bottom"/>
            <w:hideMark/>
          </w:tcPr>
          <w:p w14:paraId="3E003801" w14:textId="0E1680D1"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5,269,595</w:t>
            </w:r>
          </w:p>
        </w:tc>
      </w:tr>
      <w:tr w:rsidR="008B216C" w:rsidRPr="007A5861" w14:paraId="2CE83CF8" w14:textId="77777777" w:rsidTr="00750B2D">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7BD8D9FE"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492FD24B"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666</w:t>
            </w:r>
          </w:p>
        </w:tc>
        <w:tc>
          <w:tcPr>
            <w:tcW w:w="0" w:type="auto"/>
            <w:noWrap/>
            <w:vAlign w:val="center"/>
            <w:hideMark/>
          </w:tcPr>
          <w:p w14:paraId="4AA36C2D" w14:textId="77CDBD18"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6,738,170</w:t>
            </w:r>
          </w:p>
        </w:tc>
        <w:tc>
          <w:tcPr>
            <w:tcW w:w="0" w:type="auto"/>
            <w:noWrap/>
            <w:vAlign w:val="bottom"/>
            <w:hideMark/>
          </w:tcPr>
          <w:p w14:paraId="7A79C785" w14:textId="01CB8771"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5,871,834</w:t>
            </w:r>
          </w:p>
        </w:tc>
      </w:tr>
      <w:tr w:rsidR="008B216C" w:rsidRPr="007A5861" w14:paraId="60FDBE32"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6477AF1D"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5E85CE24"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763</w:t>
            </w:r>
          </w:p>
        </w:tc>
        <w:tc>
          <w:tcPr>
            <w:tcW w:w="0" w:type="auto"/>
            <w:noWrap/>
            <w:vAlign w:val="center"/>
            <w:hideMark/>
          </w:tcPr>
          <w:p w14:paraId="4E42166A" w14:textId="6E352B20"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7,423,865</w:t>
            </w:r>
          </w:p>
        </w:tc>
        <w:tc>
          <w:tcPr>
            <w:tcW w:w="0" w:type="auto"/>
            <w:noWrap/>
            <w:vAlign w:val="bottom"/>
            <w:hideMark/>
          </w:tcPr>
          <w:p w14:paraId="5862CA75" w14:textId="11029ABE"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6,469,368</w:t>
            </w:r>
          </w:p>
        </w:tc>
      </w:tr>
      <w:tr w:rsidR="008B216C" w:rsidRPr="007A5861" w14:paraId="2141B85C"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01768040"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3A22C2EF"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860</w:t>
            </w:r>
          </w:p>
        </w:tc>
        <w:tc>
          <w:tcPr>
            <w:tcW w:w="0" w:type="auto"/>
            <w:noWrap/>
            <w:vAlign w:val="center"/>
            <w:hideMark/>
          </w:tcPr>
          <w:p w14:paraId="629D20B1" w14:textId="6318B315"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7,699,223</w:t>
            </w:r>
          </w:p>
        </w:tc>
        <w:tc>
          <w:tcPr>
            <w:tcW w:w="0" w:type="auto"/>
            <w:noWrap/>
            <w:vAlign w:val="bottom"/>
            <w:hideMark/>
          </w:tcPr>
          <w:p w14:paraId="40FC11C0" w14:textId="12E71704"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6,709,323</w:t>
            </w:r>
          </w:p>
        </w:tc>
      </w:tr>
      <w:tr w:rsidR="008B216C" w:rsidRPr="007A5861" w14:paraId="719319F2"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714A7171"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4FEEFBF4"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992</w:t>
            </w:r>
          </w:p>
        </w:tc>
        <w:tc>
          <w:tcPr>
            <w:tcW w:w="0" w:type="auto"/>
            <w:noWrap/>
            <w:vAlign w:val="center"/>
            <w:hideMark/>
          </w:tcPr>
          <w:p w14:paraId="1E449BE1" w14:textId="7BE5F1AC"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8,492,902</w:t>
            </w:r>
          </w:p>
        </w:tc>
        <w:tc>
          <w:tcPr>
            <w:tcW w:w="0" w:type="auto"/>
            <w:noWrap/>
            <w:vAlign w:val="bottom"/>
            <w:hideMark/>
          </w:tcPr>
          <w:p w14:paraId="491CD137" w14:textId="54F06BBC"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7,400,958</w:t>
            </w:r>
          </w:p>
        </w:tc>
      </w:tr>
      <w:tr w:rsidR="008B216C" w:rsidRPr="007A5861" w14:paraId="53635709" w14:textId="77777777" w:rsidTr="00750B2D">
        <w:trPr>
          <w:cnfStyle w:val="000000100000" w:firstRow="0" w:lastRow="0" w:firstColumn="0" w:lastColumn="0" w:oddVBand="0" w:evenVBand="0" w:oddHBand="1"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1276" w:type="dxa"/>
            <w:vMerge/>
            <w:hideMark/>
          </w:tcPr>
          <w:p w14:paraId="3357597E" w14:textId="77777777" w:rsidR="008B216C" w:rsidRPr="00C86741" w:rsidRDefault="008B216C" w:rsidP="00AD5992">
            <w:pPr>
              <w:spacing w:before="0" w:after="0"/>
              <w:rPr>
                <w:rFonts w:eastAsia="Times New Roman" w:cs="Arial"/>
                <w:color w:val="000000"/>
                <w:sz w:val="20"/>
                <w:szCs w:val="20"/>
                <w:lang w:eastAsia="en-GB"/>
              </w:rPr>
            </w:pPr>
          </w:p>
        </w:tc>
        <w:tc>
          <w:tcPr>
            <w:tcW w:w="703" w:type="dxa"/>
            <w:noWrap/>
            <w:vAlign w:val="center"/>
            <w:hideMark/>
          </w:tcPr>
          <w:p w14:paraId="391104ED" w14:textId="77777777"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1110</w:t>
            </w:r>
          </w:p>
        </w:tc>
        <w:tc>
          <w:tcPr>
            <w:tcW w:w="0" w:type="auto"/>
            <w:noWrap/>
            <w:vAlign w:val="center"/>
            <w:hideMark/>
          </w:tcPr>
          <w:p w14:paraId="5CF6BCE1" w14:textId="21E8028E"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9,070,614</w:t>
            </w:r>
          </w:p>
        </w:tc>
        <w:tc>
          <w:tcPr>
            <w:tcW w:w="0" w:type="auto"/>
            <w:noWrap/>
            <w:vAlign w:val="bottom"/>
            <w:hideMark/>
          </w:tcPr>
          <w:p w14:paraId="00B8FA34" w14:textId="3B529A7E" w:rsidR="008B216C" w:rsidRPr="00C86741" w:rsidRDefault="008B216C" w:rsidP="00AD5992">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7,904,392</w:t>
            </w:r>
          </w:p>
        </w:tc>
      </w:tr>
      <w:tr w:rsidR="008B216C" w:rsidRPr="007A5861" w14:paraId="215F95BA"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12" w:space="0" w:color="7F7F7F" w:themeColor="text1" w:themeTint="80"/>
            </w:tcBorders>
            <w:hideMark/>
          </w:tcPr>
          <w:p w14:paraId="250ECC50" w14:textId="77777777" w:rsidR="008B216C" w:rsidRPr="00C86741" w:rsidRDefault="008B216C" w:rsidP="00AD5992">
            <w:pPr>
              <w:spacing w:before="0" w:after="0"/>
              <w:rPr>
                <w:rFonts w:eastAsia="Times New Roman" w:cs="Arial"/>
                <w:color w:val="000000"/>
                <w:sz w:val="20"/>
                <w:szCs w:val="20"/>
                <w:lang w:eastAsia="en-GB"/>
              </w:rPr>
            </w:pPr>
          </w:p>
        </w:tc>
        <w:tc>
          <w:tcPr>
            <w:tcW w:w="703" w:type="dxa"/>
            <w:tcBorders>
              <w:bottom w:val="single" w:sz="12" w:space="0" w:color="7F7F7F" w:themeColor="text1" w:themeTint="80"/>
            </w:tcBorders>
            <w:noWrap/>
            <w:vAlign w:val="center"/>
            <w:hideMark/>
          </w:tcPr>
          <w:p w14:paraId="43C0E869" w14:textId="77777777"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1388</w:t>
            </w:r>
          </w:p>
        </w:tc>
        <w:tc>
          <w:tcPr>
            <w:tcW w:w="0" w:type="auto"/>
            <w:tcBorders>
              <w:bottom w:val="single" w:sz="12" w:space="0" w:color="7F7F7F" w:themeColor="text1" w:themeTint="80"/>
            </w:tcBorders>
            <w:noWrap/>
            <w:vAlign w:val="center"/>
            <w:hideMark/>
          </w:tcPr>
          <w:p w14:paraId="5AA0EBB2" w14:textId="0CB6FA73"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10,798,350</w:t>
            </w:r>
          </w:p>
        </w:tc>
        <w:tc>
          <w:tcPr>
            <w:tcW w:w="0" w:type="auto"/>
            <w:tcBorders>
              <w:bottom w:val="single" w:sz="12" w:space="0" w:color="7F7F7F" w:themeColor="text1" w:themeTint="80"/>
            </w:tcBorders>
            <w:noWrap/>
            <w:vAlign w:val="bottom"/>
            <w:hideMark/>
          </w:tcPr>
          <w:p w14:paraId="6A7EE68D" w14:textId="6D940498" w:rsidR="008B216C" w:rsidRPr="00C86741" w:rsidRDefault="008B216C" w:rsidP="00AD5992">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7A5861">
              <w:rPr>
                <w:rFonts w:cs="Arial"/>
                <w:color w:val="000000"/>
                <w:sz w:val="20"/>
                <w:szCs w:val="20"/>
              </w:rPr>
              <w:t>9,409,991</w:t>
            </w:r>
          </w:p>
        </w:tc>
      </w:tr>
    </w:tbl>
    <w:tbl>
      <w:tblPr>
        <w:tblStyle w:val="TableGrid"/>
        <w:tblW w:w="1063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5318"/>
      </w:tblGrid>
      <w:tr w:rsidR="008B216C" w14:paraId="47F982AA" w14:textId="77777777" w:rsidTr="00552907">
        <w:tc>
          <w:tcPr>
            <w:tcW w:w="5318" w:type="dxa"/>
          </w:tcPr>
          <w:p w14:paraId="05B05B55" w14:textId="77777777" w:rsidR="008B216C" w:rsidRDefault="008B216C" w:rsidP="008B216C">
            <w:pPr>
              <w:keepNext/>
              <w:tabs>
                <w:tab w:val="left" w:pos="1238"/>
              </w:tabs>
            </w:pPr>
            <w:r>
              <w:rPr>
                <w:noProof/>
              </w:rPr>
              <w:drawing>
                <wp:inline distT="0" distB="0" distL="0" distR="0" wp14:anchorId="2F816D00" wp14:editId="08F0D846">
                  <wp:extent cx="3240000" cy="2520000"/>
                  <wp:effectExtent l="0" t="0" r="0" b="0"/>
                  <wp:docPr id="129" name="Chart 129">
                    <a:extLst xmlns:a="http://schemas.openxmlformats.org/drawingml/2006/main">
                      <a:ext uri="{FF2B5EF4-FFF2-40B4-BE49-F238E27FC236}">
                        <a16:creationId xmlns:a16="http://schemas.microsoft.com/office/drawing/2014/main" id="{DB0D7879-9501-45D2-B8D8-26A3EEAAFE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9AC91F0" w14:textId="6A7AA447" w:rsidR="008B216C" w:rsidRDefault="008B216C" w:rsidP="008B216C">
            <w:pPr>
              <w:pStyle w:val="Caption"/>
            </w:pPr>
            <w:bookmarkStart w:id="343" w:name="_Ref48935624"/>
            <w:bookmarkStart w:id="344" w:name="_Toc50359128"/>
            <w:r>
              <w:t xml:space="preserve">Figure </w:t>
            </w:r>
            <w:fldSimple w:instr=" SEQ Figure \* ARABIC ">
              <w:r w:rsidR="0004408C">
                <w:rPr>
                  <w:noProof/>
                </w:rPr>
                <w:t>60</w:t>
              </w:r>
            </w:fldSimple>
            <w:bookmarkEnd w:id="343"/>
            <w:r w:rsidR="00750B2D">
              <w:rPr>
                <w:noProof/>
              </w:rPr>
              <w:t>:</w:t>
            </w:r>
            <w:r>
              <w:t xml:space="preserve"> OPEX (£) vs total throughput (kWh) of localised hydrogen PSA purification, with a 10% hydrogen inlet concentration.</w:t>
            </w:r>
            <w:bookmarkEnd w:id="344"/>
          </w:p>
        </w:tc>
        <w:tc>
          <w:tcPr>
            <w:tcW w:w="5318" w:type="dxa"/>
          </w:tcPr>
          <w:p w14:paraId="4C6777A8" w14:textId="77777777" w:rsidR="008B216C" w:rsidRDefault="008B216C" w:rsidP="008B216C">
            <w:pPr>
              <w:keepNext/>
              <w:tabs>
                <w:tab w:val="left" w:pos="1238"/>
              </w:tabs>
            </w:pPr>
            <w:r>
              <w:rPr>
                <w:noProof/>
              </w:rPr>
              <w:drawing>
                <wp:inline distT="0" distB="0" distL="0" distR="0" wp14:anchorId="02148B94" wp14:editId="1AA5BA5E">
                  <wp:extent cx="3240000" cy="2520000"/>
                  <wp:effectExtent l="0" t="0" r="0" b="0"/>
                  <wp:docPr id="135" name="Chart 135">
                    <a:extLst xmlns:a="http://schemas.openxmlformats.org/drawingml/2006/main">
                      <a:ext uri="{FF2B5EF4-FFF2-40B4-BE49-F238E27FC236}">
                        <a16:creationId xmlns:a16="http://schemas.microsoft.com/office/drawing/2014/main" id="{B964BD56-1CF9-433B-8D42-DECEBEEB1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8664F35" w14:textId="5D8241FA" w:rsidR="008B216C" w:rsidRDefault="008B216C" w:rsidP="008B216C">
            <w:pPr>
              <w:pStyle w:val="Caption"/>
            </w:pPr>
            <w:bookmarkStart w:id="345" w:name="_Toc50359129"/>
            <w:r>
              <w:t xml:space="preserve">Figure </w:t>
            </w:r>
            <w:fldSimple w:instr=" SEQ Figure \* ARABIC ">
              <w:r w:rsidR="0004408C">
                <w:rPr>
                  <w:noProof/>
                </w:rPr>
                <w:t>61</w:t>
              </w:r>
            </w:fldSimple>
            <w:r w:rsidR="00750B2D">
              <w:rPr>
                <w:noProof/>
              </w:rPr>
              <w:t>:</w:t>
            </w:r>
            <w:r>
              <w:t xml:space="preserve"> CAPEX (£) vs capacity (kW) of localised hydrogen PSA purification, with a 10% hydrogen inlet concentration.</w:t>
            </w:r>
            <w:bookmarkEnd w:id="345"/>
          </w:p>
        </w:tc>
      </w:tr>
      <w:tr w:rsidR="008B216C" w14:paraId="449D4284" w14:textId="77777777" w:rsidTr="00552907">
        <w:tc>
          <w:tcPr>
            <w:tcW w:w="5318" w:type="dxa"/>
          </w:tcPr>
          <w:p w14:paraId="4A168880" w14:textId="77777777" w:rsidR="008B216C" w:rsidRDefault="008B216C" w:rsidP="008B216C">
            <w:pPr>
              <w:keepNext/>
              <w:tabs>
                <w:tab w:val="left" w:pos="1238"/>
              </w:tabs>
            </w:pPr>
            <w:r>
              <w:rPr>
                <w:noProof/>
              </w:rPr>
              <w:drawing>
                <wp:inline distT="0" distB="0" distL="0" distR="0" wp14:anchorId="247DCC7F" wp14:editId="62EB5FD1">
                  <wp:extent cx="3240000" cy="2520000"/>
                  <wp:effectExtent l="0" t="0" r="0" b="0"/>
                  <wp:docPr id="133" name="Chart 133">
                    <a:extLst xmlns:a="http://schemas.openxmlformats.org/drawingml/2006/main">
                      <a:ext uri="{FF2B5EF4-FFF2-40B4-BE49-F238E27FC236}">
                        <a16:creationId xmlns:a16="http://schemas.microsoft.com/office/drawing/2014/main" id="{8F990B41-68BB-4C60-A0C7-43DD26FE20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D7F810C" w14:textId="50B1C49D" w:rsidR="008B216C" w:rsidRDefault="008B216C" w:rsidP="008B216C">
            <w:pPr>
              <w:pStyle w:val="Caption"/>
            </w:pPr>
            <w:bookmarkStart w:id="346" w:name="_Toc50359130"/>
            <w:r>
              <w:t xml:space="preserve">Figure </w:t>
            </w:r>
            <w:fldSimple w:instr=" SEQ Figure \* ARABIC ">
              <w:r w:rsidR="0004408C">
                <w:rPr>
                  <w:noProof/>
                </w:rPr>
                <w:t>62</w:t>
              </w:r>
            </w:fldSimple>
            <w:r w:rsidR="00750B2D">
              <w:t>:</w:t>
            </w:r>
            <w:r>
              <w:t xml:space="preserve"> OPEX (£) vs total throughput (kWh) of localised hydrogen PSA purification, with a 20% hydrogen inlet concentration.</w:t>
            </w:r>
            <w:bookmarkEnd w:id="346"/>
          </w:p>
        </w:tc>
        <w:tc>
          <w:tcPr>
            <w:tcW w:w="5318" w:type="dxa"/>
          </w:tcPr>
          <w:p w14:paraId="7F868E6F" w14:textId="77777777" w:rsidR="008B216C" w:rsidRDefault="008B216C" w:rsidP="008B216C">
            <w:pPr>
              <w:keepNext/>
              <w:tabs>
                <w:tab w:val="left" w:pos="1238"/>
              </w:tabs>
            </w:pPr>
            <w:r>
              <w:rPr>
                <w:noProof/>
              </w:rPr>
              <w:drawing>
                <wp:inline distT="0" distB="0" distL="0" distR="0" wp14:anchorId="66838B8F" wp14:editId="7AC7D38D">
                  <wp:extent cx="3240000" cy="2520000"/>
                  <wp:effectExtent l="0" t="0" r="0" b="0"/>
                  <wp:docPr id="136" name="Chart 136">
                    <a:extLst xmlns:a="http://schemas.openxmlformats.org/drawingml/2006/main">
                      <a:ext uri="{FF2B5EF4-FFF2-40B4-BE49-F238E27FC236}">
                        <a16:creationId xmlns:a16="http://schemas.microsoft.com/office/drawing/2014/main" id="{328D149C-4738-4061-B06D-9806750C29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81339CC" w14:textId="75ED2ABB" w:rsidR="008B216C" w:rsidRDefault="008B216C" w:rsidP="008B216C">
            <w:pPr>
              <w:pStyle w:val="Caption"/>
            </w:pPr>
            <w:bookmarkStart w:id="347" w:name="_Ref48935627"/>
            <w:bookmarkStart w:id="348" w:name="_Toc50359131"/>
            <w:r>
              <w:t xml:space="preserve">Figure </w:t>
            </w:r>
            <w:fldSimple w:instr=" SEQ Figure \* ARABIC ">
              <w:r w:rsidR="0004408C">
                <w:rPr>
                  <w:noProof/>
                </w:rPr>
                <w:t>63</w:t>
              </w:r>
            </w:fldSimple>
            <w:bookmarkEnd w:id="347"/>
            <w:r w:rsidR="00750B2D">
              <w:rPr>
                <w:noProof/>
              </w:rPr>
              <w:t xml:space="preserve">: </w:t>
            </w:r>
            <w:r>
              <w:t>CAPEX (£) vs capacity (kW) of localised hydrogen PSA purification, with a 20% hydrogen inlet concentration.</w:t>
            </w:r>
            <w:bookmarkEnd w:id="348"/>
          </w:p>
        </w:tc>
      </w:tr>
    </w:tbl>
    <w:p w14:paraId="600DA202" w14:textId="2BEEC4E6" w:rsidR="008B216C" w:rsidRDefault="008B216C" w:rsidP="008B216C">
      <w:pPr>
        <w:tabs>
          <w:tab w:val="left" w:pos="1238"/>
        </w:tabs>
      </w:pPr>
      <w:r>
        <w:t>The CAPEX (£/kW) and OPEX (£/kWh) for a 10% and 20% hydrogen concentration inlet were then used to predict the same values for higher inlet concentrations</w:t>
      </w:r>
      <w:r w:rsidR="00AD5992">
        <w:t xml:space="preserve">, </w:t>
      </w:r>
      <w:r>
        <w:t xml:space="preserve">by plotting the CAPEX and OPEX obtained vs the hydrogen inlet concentration (see </w:t>
      </w:r>
      <w:r>
        <w:fldChar w:fldCharType="begin"/>
      </w:r>
      <w:r>
        <w:instrText xml:space="preserve"> REF _Ref48935983 \h </w:instrText>
      </w:r>
      <w:r>
        <w:fldChar w:fldCharType="separate"/>
      </w:r>
      <w:r w:rsidR="0004408C">
        <w:t xml:space="preserve">Figure </w:t>
      </w:r>
      <w:r w:rsidR="0004408C">
        <w:rPr>
          <w:noProof/>
        </w:rPr>
        <w:t>64</w:t>
      </w:r>
      <w:r>
        <w:fldChar w:fldCharType="end"/>
      </w:r>
      <w:r>
        <w:t xml:space="preserve"> and </w:t>
      </w:r>
      <w:r>
        <w:fldChar w:fldCharType="begin"/>
      </w:r>
      <w:r>
        <w:instrText xml:space="preserve"> REF _Ref48935985 \h </w:instrText>
      </w:r>
      <w:r>
        <w:fldChar w:fldCharType="separate"/>
      </w:r>
      <w:r w:rsidR="0004408C">
        <w:t xml:space="preserve">Figure </w:t>
      </w:r>
      <w:r w:rsidR="0004408C">
        <w:rPr>
          <w:noProof/>
        </w:rPr>
        <w:t>65</w:t>
      </w:r>
      <w:r>
        <w:fldChar w:fldCharType="end"/>
      </w:r>
      <w:r>
        <w:t xml:space="preserve">), and assuming a power </w:t>
      </w:r>
      <w:r w:rsidR="00AD5992">
        <w:t>interpolation to d</w:t>
      </w:r>
      <w:r>
        <w:t>escribe the drop in CAPEX and OPEX as the hydrogen inlet concentration increase</w:t>
      </w:r>
      <w:r w:rsidR="00AD5992">
        <w:t>s</w:t>
      </w:r>
      <w:r>
        <w:t xml:space="preserve">. The </w:t>
      </w:r>
      <w:r w:rsidR="00AD5992">
        <w:t>resulting e</w:t>
      </w:r>
      <w:r>
        <w:t>quations were then used to estimate the CAPEX and OPEX of a localised PSA system with a 95% hydrogen concentration inlet (assumed to be</w:t>
      </w:r>
      <w:r w:rsidRPr="00AD5992">
        <w:rPr>
          <w:i/>
          <w:iCs/>
        </w:rPr>
        <w:t xml:space="preserve"> dirty</w:t>
      </w:r>
      <w:r>
        <w:t xml:space="preserve"> grade in the model), and a 99% hydrogen concentration inlet (assumed to be </w:t>
      </w:r>
      <w:r w:rsidRPr="00AD5992">
        <w:rPr>
          <w:i/>
          <w:iCs/>
        </w:rPr>
        <w:t>clean</w:t>
      </w:r>
      <w:r>
        <w:t xml:space="preserve"> grade). These values </w:t>
      </w:r>
      <w:r w:rsidR="00AD5992">
        <w:t xml:space="preserve">are shown in </w:t>
      </w:r>
      <w:r>
        <w:fldChar w:fldCharType="begin"/>
      </w:r>
      <w:r>
        <w:instrText xml:space="preserve"> REF _Ref48937144 \h </w:instrText>
      </w:r>
      <w:r>
        <w:fldChar w:fldCharType="separate"/>
      </w:r>
      <w:r w:rsidR="00F20644">
        <w:t xml:space="preserve">Table </w:t>
      </w:r>
      <w:r w:rsidR="00F20644">
        <w:rPr>
          <w:noProof/>
        </w:rPr>
        <w:t>30</w:t>
      </w:r>
      <w:r>
        <w:fldChar w:fldCharType="end"/>
      </w:r>
      <w:r>
        <w:t>.</w:t>
      </w:r>
    </w:p>
    <w:tbl>
      <w:tblPr>
        <w:tblStyle w:val="TableGrid"/>
        <w:tblW w:w="1069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5346"/>
      </w:tblGrid>
      <w:tr w:rsidR="008B216C" w14:paraId="307FF52D" w14:textId="77777777" w:rsidTr="008B216C">
        <w:tc>
          <w:tcPr>
            <w:tcW w:w="5346" w:type="dxa"/>
          </w:tcPr>
          <w:p w14:paraId="060D21B0" w14:textId="77777777" w:rsidR="008B216C" w:rsidRDefault="008B216C" w:rsidP="008B216C">
            <w:pPr>
              <w:keepNext/>
              <w:tabs>
                <w:tab w:val="left" w:pos="1238"/>
              </w:tabs>
            </w:pPr>
            <w:r>
              <w:rPr>
                <w:noProof/>
              </w:rPr>
              <w:lastRenderedPageBreak/>
              <w:drawing>
                <wp:inline distT="0" distB="0" distL="0" distR="0" wp14:anchorId="5E54D670" wp14:editId="1C61A745">
                  <wp:extent cx="3240000" cy="2520000"/>
                  <wp:effectExtent l="0" t="0" r="0" b="0"/>
                  <wp:docPr id="137" name="Chart 137">
                    <a:extLst xmlns:a="http://schemas.openxmlformats.org/drawingml/2006/main">
                      <a:ext uri="{FF2B5EF4-FFF2-40B4-BE49-F238E27FC236}">
                        <a16:creationId xmlns:a16="http://schemas.microsoft.com/office/drawing/2014/main" id="{BDC43007-88E8-472B-96C0-4B3960A0F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0D21330" w14:textId="0204870C" w:rsidR="008B216C" w:rsidRDefault="008B216C" w:rsidP="008B216C">
            <w:pPr>
              <w:pStyle w:val="Caption"/>
            </w:pPr>
            <w:bookmarkStart w:id="349" w:name="_Ref48935983"/>
            <w:bookmarkStart w:id="350" w:name="_Toc50359132"/>
            <w:r>
              <w:t xml:space="preserve">Figure </w:t>
            </w:r>
            <w:fldSimple w:instr=" SEQ Figure \* ARABIC ">
              <w:r w:rsidR="00F20644">
                <w:rPr>
                  <w:noProof/>
                </w:rPr>
                <w:t>64</w:t>
              </w:r>
            </w:fldSimple>
            <w:bookmarkEnd w:id="349"/>
            <w:r w:rsidR="00750B2D">
              <w:t>:</w:t>
            </w:r>
            <w:r>
              <w:t xml:space="preserve"> </w:t>
            </w:r>
            <w:r w:rsidR="00750B2D">
              <w:t>Estimated</w:t>
            </w:r>
            <w:r>
              <w:t xml:space="preserve"> OPEX (£/kWh) vs hydrogen inlet concentration (% vol) for a localised PSA unit, with a power line of best fit.</w:t>
            </w:r>
            <w:bookmarkEnd w:id="350"/>
          </w:p>
        </w:tc>
        <w:tc>
          <w:tcPr>
            <w:tcW w:w="5346" w:type="dxa"/>
          </w:tcPr>
          <w:p w14:paraId="5636DF65" w14:textId="77777777" w:rsidR="008B216C" w:rsidRDefault="008B216C" w:rsidP="008B216C">
            <w:pPr>
              <w:keepNext/>
              <w:tabs>
                <w:tab w:val="left" w:pos="1238"/>
              </w:tabs>
            </w:pPr>
            <w:r>
              <w:rPr>
                <w:noProof/>
              </w:rPr>
              <w:drawing>
                <wp:inline distT="0" distB="0" distL="0" distR="0" wp14:anchorId="3C6D5475" wp14:editId="695ABC35">
                  <wp:extent cx="3240000" cy="2520000"/>
                  <wp:effectExtent l="0" t="0" r="0" b="0"/>
                  <wp:docPr id="138" name="Chart 138">
                    <a:extLst xmlns:a="http://schemas.openxmlformats.org/drawingml/2006/main">
                      <a:ext uri="{FF2B5EF4-FFF2-40B4-BE49-F238E27FC236}">
                        <a16:creationId xmlns:a16="http://schemas.microsoft.com/office/drawing/2014/main" id="{DFF35916-4F39-47F8-8DCF-A0B20416C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225000F" w14:textId="5F89D7E3" w:rsidR="008B216C" w:rsidRDefault="008B216C" w:rsidP="008B216C">
            <w:pPr>
              <w:pStyle w:val="Caption"/>
            </w:pPr>
            <w:bookmarkStart w:id="351" w:name="_Ref48935985"/>
            <w:bookmarkStart w:id="352" w:name="_Toc50359133"/>
            <w:r>
              <w:t xml:space="preserve">Figure </w:t>
            </w:r>
            <w:fldSimple w:instr=" SEQ Figure \* ARABIC ">
              <w:r w:rsidR="00F20644">
                <w:rPr>
                  <w:noProof/>
                </w:rPr>
                <w:t>65</w:t>
              </w:r>
            </w:fldSimple>
            <w:bookmarkEnd w:id="351"/>
            <w:r w:rsidR="00750B2D">
              <w:t>:</w:t>
            </w:r>
            <w:r>
              <w:t xml:space="preserve"> </w:t>
            </w:r>
            <w:r w:rsidR="00750B2D">
              <w:t xml:space="preserve">Estimated </w:t>
            </w:r>
            <w:r>
              <w:t>CAPEX (£/kWh) vs hydrogen inlet concentration (% vol) for a localised PSA unit, with a power line of best fit.</w:t>
            </w:r>
            <w:bookmarkEnd w:id="352"/>
          </w:p>
        </w:tc>
      </w:tr>
    </w:tbl>
    <w:p w14:paraId="37ED7BE4" w14:textId="38017226" w:rsidR="008B216C" w:rsidRDefault="008B216C" w:rsidP="008B216C">
      <w:pPr>
        <w:pStyle w:val="Caption"/>
        <w:keepNext/>
      </w:pPr>
      <w:bookmarkStart w:id="353" w:name="_Ref48937144"/>
      <w:bookmarkStart w:id="354" w:name="_Toc50359183"/>
      <w:r>
        <w:t xml:space="preserve">Table </w:t>
      </w:r>
      <w:fldSimple w:instr=" SEQ Table \* ARABIC ">
        <w:r w:rsidR="00F20644">
          <w:rPr>
            <w:noProof/>
          </w:rPr>
          <w:t>30</w:t>
        </w:r>
      </w:fldSimple>
      <w:bookmarkEnd w:id="353"/>
      <w:r w:rsidR="00750B2D">
        <w:rPr>
          <w:noProof/>
        </w:rPr>
        <w:t xml:space="preserve">: </w:t>
      </w:r>
      <w:r>
        <w:rPr>
          <w:noProof/>
        </w:rPr>
        <w:t>Summary of OPEX (£/kWh) and CAPEX (£/kW) of localised PSA units with an inlet hydrogen concentration of 20%, 95% and 99% by vol.</w:t>
      </w:r>
      <w:bookmarkEnd w:id="354"/>
    </w:p>
    <w:tbl>
      <w:tblPr>
        <w:tblStyle w:val="PlainTable2"/>
        <w:tblW w:w="0" w:type="auto"/>
        <w:jc w:val="center"/>
        <w:tblLook w:val="04A0" w:firstRow="1" w:lastRow="0" w:firstColumn="1" w:lastColumn="0" w:noHBand="0" w:noVBand="1"/>
      </w:tblPr>
      <w:tblGrid>
        <w:gridCol w:w="2997"/>
        <w:gridCol w:w="1408"/>
        <w:gridCol w:w="1392"/>
      </w:tblGrid>
      <w:tr w:rsidR="008B216C" w:rsidRPr="001B152A" w14:paraId="0047BDB0" w14:textId="77777777" w:rsidTr="008B21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B6AAAD" w14:textId="3ADF7C99" w:rsidR="008B216C" w:rsidRPr="001B152A" w:rsidRDefault="008B216C" w:rsidP="00AD5992">
            <w:pPr>
              <w:tabs>
                <w:tab w:val="left" w:pos="1238"/>
              </w:tabs>
              <w:spacing w:before="0" w:after="0"/>
              <w:rPr>
                <w:sz w:val="20"/>
                <w:szCs w:val="20"/>
              </w:rPr>
            </w:pPr>
            <w:r w:rsidRPr="001B152A">
              <w:rPr>
                <w:sz w:val="20"/>
                <w:szCs w:val="20"/>
              </w:rPr>
              <w:t>Hydrogen Inlet Conc</w:t>
            </w:r>
            <w:r w:rsidR="00AD5992">
              <w:rPr>
                <w:sz w:val="20"/>
                <w:szCs w:val="20"/>
              </w:rPr>
              <w:t>entration</w:t>
            </w:r>
            <w:r w:rsidRPr="001B152A">
              <w:rPr>
                <w:sz w:val="20"/>
                <w:szCs w:val="20"/>
              </w:rPr>
              <w:t xml:space="preserve"> (%)</w:t>
            </w:r>
          </w:p>
        </w:tc>
        <w:tc>
          <w:tcPr>
            <w:tcW w:w="0" w:type="auto"/>
          </w:tcPr>
          <w:p w14:paraId="76BE884F" w14:textId="77777777" w:rsidR="008B216C" w:rsidRPr="001B152A" w:rsidRDefault="008B216C" w:rsidP="00AD5992">
            <w:pPr>
              <w:tabs>
                <w:tab w:val="left" w:pos="1238"/>
              </w:tabs>
              <w:spacing w:before="0"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OPEX</w:t>
            </w:r>
            <w:r w:rsidRPr="001B152A">
              <w:rPr>
                <w:sz w:val="20"/>
                <w:szCs w:val="20"/>
              </w:rPr>
              <w:t xml:space="preserve"> (£/kW</w:t>
            </w:r>
            <w:r>
              <w:rPr>
                <w:sz w:val="20"/>
                <w:szCs w:val="20"/>
              </w:rPr>
              <w:t>h</w:t>
            </w:r>
            <w:r w:rsidRPr="001B152A">
              <w:rPr>
                <w:sz w:val="20"/>
                <w:szCs w:val="20"/>
              </w:rPr>
              <w:t>)</w:t>
            </w:r>
          </w:p>
        </w:tc>
        <w:tc>
          <w:tcPr>
            <w:tcW w:w="0" w:type="auto"/>
          </w:tcPr>
          <w:p w14:paraId="06803A43" w14:textId="77777777" w:rsidR="008B216C" w:rsidRPr="001B152A" w:rsidRDefault="008B216C" w:rsidP="00AD5992">
            <w:pPr>
              <w:tabs>
                <w:tab w:val="left" w:pos="1238"/>
              </w:tabs>
              <w:spacing w:before="0"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CAPEX</w:t>
            </w:r>
            <w:r w:rsidRPr="001B152A">
              <w:rPr>
                <w:sz w:val="20"/>
                <w:szCs w:val="20"/>
              </w:rPr>
              <w:t xml:space="preserve"> (£/kW)</w:t>
            </w:r>
          </w:p>
        </w:tc>
      </w:tr>
      <w:tr w:rsidR="008B216C" w:rsidRPr="001B152A" w14:paraId="784E5F59" w14:textId="77777777" w:rsidTr="008B2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B44B5E5" w14:textId="77777777" w:rsidR="008B216C" w:rsidRPr="001B152A" w:rsidRDefault="008B216C" w:rsidP="00AD5992">
            <w:pPr>
              <w:tabs>
                <w:tab w:val="left" w:pos="1238"/>
              </w:tabs>
              <w:spacing w:before="0" w:after="0"/>
              <w:rPr>
                <w:sz w:val="20"/>
                <w:szCs w:val="20"/>
              </w:rPr>
            </w:pPr>
            <w:r w:rsidRPr="001B152A">
              <w:rPr>
                <w:sz w:val="20"/>
                <w:szCs w:val="20"/>
              </w:rPr>
              <w:t>20</w:t>
            </w:r>
          </w:p>
        </w:tc>
        <w:tc>
          <w:tcPr>
            <w:tcW w:w="0" w:type="auto"/>
          </w:tcPr>
          <w:p w14:paraId="7602EB6E" w14:textId="77777777" w:rsidR="008B216C" w:rsidRPr="001B152A" w:rsidRDefault="008B216C" w:rsidP="00AD5992">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1B152A">
              <w:rPr>
                <w:sz w:val="20"/>
                <w:szCs w:val="20"/>
              </w:rPr>
              <w:t>0.0226</w:t>
            </w:r>
          </w:p>
        </w:tc>
        <w:tc>
          <w:tcPr>
            <w:tcW w:w="0" w:type="auto"/>
          </w:tcPr>
          <w:p w14:paraId="690ECFFF" w14:textId="77777777" w:rsidR="008B216C" w:rsidRPr="001B152A" w:rsidRDefault="008B216C" w:rsidP="00AD5992">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1B152A">
              <w:rPr>
                <w:sz w:val="20"/>
                <w:szCs w:val="20"/>
              </w:rPr>
              <w:t>7746.7</w:t>
            </w:r>
          </w:p>
        </w:tc>
      </w:tr>
      <w:tr w:rsidR="008B216C" w:rsidRPr="001B152A" w14:paraId="6FE82437" w14:textId="77777777" w:rsidTr="008B216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1ACC0E1" w14:textId="77777777" w:rsidR="008B216C" w:rsidRPr="001B152A" w:rsidRDefault="008B216C" w:rsidP="00AD5992">
            <w:pPr>
              <w:tabs>
                <w:tab w:val="left" w:pos="1238"/>
              </w:tabs>
              <w:spacing w:before="0" w:after="0"/>
              <w:rPr>
                <w:sz w:val="20"/>
                <w:szCs w:val="20"/>
              </w:rPr>
            </w:pPr>
            <w:r w:rsidRPr="001B152A">
              <w:rPr>
                <w:sz w:val="20"/>
                <w:szCs w:val="20"/>
              </w:rPr>
              <w:t>95</w:t>
            </w:r>
          </w:p>
        </w:tc>
        <w:tc>
          <w:tcPr>
            <w:tcW w:w="0" w:type="auto"/>
          </w:tcPr>
          <w:p w14:paraId="0B707925" w14:textId="77777777" w:rsidR="008B216C" w:rsidRPr="001B152A" w:rsidRDefault="008B216C" w:rsidP="00AD5992">
            <w:pPr>
              <w:tabs>
                <w:tab w:val="left" w:pos="1238"/>
              </w:tabs>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1B152A">
              <w:rPr>
                <w:sz w:val="20"/>
                <w:szCs w:val="20"/>
              </w:rPr>
              <w:t>0.0056</w:t>
            </w:r>
          </w:p>
        </w:tc>
        <w:tc>
          <w:tcPr>
            <w:tcW w:w="0" w:type="auto"/>
          </w:tcPr>
          <w:p w14:paraId="74E4283A" w14:textId="77777777" w:rsidR="008B216C" w:rsidRPr="001B152A" w:rsidRDefault="008B216C" w:rsidP="00AD5992">
            <w:pPr>
              <w:tabs>
                <w:tab w:val="left" w:pos="1238"/>
              </w:tabs>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1B152A">
              <w:rPr>
                <w:sz w:val="20"/>
                <w:szCs w:val="20"/>
              </w:rPr>
              <w:t>2499.9</w:t>
            </w:r>
          </w:p>
        </w:tc>
      </w:tr>
      <w:tr w:rsidR="008B216C" w:rsidRPr="001B152A" w14:paraId="7608DE74" w14:textId="77777777" w:rsidTr="008B2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7C24898" w14:textId="77777777" w:rsidR="008B216C" w:rsidRPr="001B152A" w:rsidRDefault="008B216C" w:rsidP="00AD5992">
            <w:pPr>
              <w:tabs>
                <w:tab w:val="left" w:pos="1238"/>
              </w:tabs>
              <w:spacing w:before="0" w:after="0"/>
              <w:rPr>
                <w:sz w:val="20"/>
                <w:szCs w:val="20"/>
              </w:rPr>
            </w:pPr>
            <w:r w:rsidRPr="001B152A">
              <w:rPr>
                <w:sz w:val="20"/>
                <w:szCs w:val="20"/>
              </w:rPr>
              <w:t>99</w:t>
            </w:r>
          </w:p>
        </w:tc>
        <w:tc>
          <w:tcPr>
            <w:tcW w:w="0" w:type="auto"/>
          </w:tcPr>
          <w:p w14:paraId="3367B760" w14:textId="77777777" w:rsidR="008B216C" w:rsidRPr="001B152A" w:rsidRDefault="008B216C" w:rsidP="00AD5992">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1B152A">
              <w:rPr>
                <w:sz w:val="20"/>
                <w:szCs w:val="20"/>
              </w:rPr>
              <w:t>0.0054</w:t>
            </w:r>
          </w:p>
        </w:tc>
        <w:tc>
          <w:tcPr>
            <w:tcW w:w="0" w:type="auto"/>
          </w:tcPr>
          <w:p w14:paraId="2CF2B4A5" w14:textId="77777777" w:rsidR="008B216C" w:rsidRPr="001B152A" w:rsidRDefault="008B216C" w:rsidP="00AD5992">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1B152A">
              <w:rPr>
                <w:sz w:val="20"/>
                <w:szCs w:val="20"/>
              </w:rPr>
              <w:t>2426.2</w:t>
            </w:r>
          </w:p>
        </w:tc>
      </w:tr>
    </w:tbl>
    <w:p w14:paraId="4F0DF1DC" w14:textId="53DCB8B0" w:rsidR="008B216C" w:rsidRDefault="008B216C" w:rsidP="008B216C">
      <w:bookmarkStart w:id="355" w:name="_Hlk48989047"/>
      <w:r>
        <w:t>Next, the cost of energy was included into the OPEX value as</w:t>
      </w:r>
      <w:r w:rsidR="002419B6">
        <w:t xml:space="preserve"> an energy requirement estimate of</w:t>
      </w:r>
      <w:r>
        <w:t xml:space="preserve"> </w:t>
      </w:r>
      <w:r w:rsidR="002419B6">
        <w:t>0.60 kWh</w:t>
      </w:r>
      <w:r w:rsidR="002419B6">
        <w:rPr>
          <w:vertAlign w:val="subscript"/>
        </w:rPr>
        <w:t>e</w:t>
      </w:r>
      <w:r w:rsidR="002419B6">
        <w:t>/kWh</w:t>
      </w:r>
      <w:r w:rsidR="002419B6">
        <w:rPr>
          <w:vertAlign w:val="subscript"/>
        </w:rPr>
        <w:t>H2</w:t>
      </w:r>
      <w:r>
        <w:t xml:space="preserve"> </w:t>
      </w:r>
      <w:r w:rsidR="009E3C78">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9E3C78">
        <w:fldChar w:fldCharType="separate"/>
      </w:r>
      <w:r w:rsidR="00434694">
        <w:rPr>
          <w:noProof/>
        </w:rPr>
        <w:t>[</w:t>
      </w:r>
      <w:hyperlink w:anchor="_ENREF_62" w:tooltip="Nordio, 2020 #959" w:history="1">
        <w:r w:rsidR="006210AE">
          <w:rPr>
            <w:noProof/>
          </w:rPr>
          <w:t>62</w:t>
        </w:r>
      </w:hyperlink>
      <w:r w:rsidR="00434694">
        <w:rPr>
          <w:noProof/>
        </w:rPr>
        <w:t>]</w:t>
      </w:r>
      <w:r w:rsidR="009E3C78">
        <w:fldChar w:fldCharType="end"/>
      </w:r>
      <w:r>
        <w:t xml:space="preserve">. This value was then multiplied by the wholesale electricity price in the corresponding year and added on to the OPEX seen in </w:t>
      </w:r>
      <w:r>
        <w:fldChar w:fldCharType="begin"/>
      </w:r>
      <w:r>
        <w:instrText xml:space="preserve"> REF _Ref48937144 \h </w:instrText>
      </w:r>
      <w:r>
        <w:fldChar w:fldCharType="separate"/>
      </w:r>
      <w:r w:rsidR="00F20644">
        <w:t xml:space="preserve">Table </w:t>
      </w:r>
      <w:r w:rsidR="00F20644">
        <w:rPr>
          <w:noProof/>
        </w:rPr>
        <w:t>30</w:t>
      </w:r>
      <w:r>
        <w:fldChar w:fldCharType="end"/>
      </w:r>
      <w:r>
        <w:t xml:space="preserve">. Finally, the CAPEX was assumed to have an annual learning rate of 2.5% to give the values seen in </w:t>
      </w:r>
      <w:r>
        <w:fldChar w:fldCharType="begin"/>
      </w:r>
      <w:r>
        <w:instrText xml:space="preserve"> REF _Ref48917089 \h </w:instrText>
      </w:r>
      <w:r>
        <w:fldChar w:fldCharType="separate"/>
      </w:r>
      <w:r w:rsidR="00F20644">
        <w:t xml:space="preserve">Table </w:t>
      </w:r>
      <w:r w:rsidR="00F20644">
        <w:rPr>
          <w:noProof/>
        </w:rPr>
        <w:t>11</w:t>
      </w:r>
      <w:r>
        <w:fldChar w:fldCharType="end"/>
      </w:r>
      <w:r>
        <w:t>.</w:t>
      </w:r>
      <w:bookmarkEnd w:id="355"/>
    </w:p>
    <w:p w14:paraId="65046DF8" w14:textId="57D2604B" w:rsidR="008B216C" w:rsidRDefault="008B216C" w:rsidP="00836AC8">
      <w:pPr>
        <w:pStyle w:val="Heading9"/>
      </w:pPr>
      <w:bookmarkStart w:id="356" w:name="_Toc50359490"/>
      <w:r>
        <w:t>Centralised PSA Hydrogen Purification</w:t>
      </w:r>
      <w:bookmarkEnd w:id="356"/>
    </w:p>
    <w:p w14:paraId="548BE2C8" w14:textId="200CCFF9" w:rsidR="008B216C" w:rsidRDefault="00A94196" w:rsidP="008B216C">
      <w:r>
        <w:t>Hydrogen</w:t>
      </w:r>
      <w:r w:rsidR="008B216C">
        <w:t xml:space="preserve"> separation and purification was considered from a high-pressure pipeline with a 10% and 20% hydrogen concentration inlet</w:t>
      </w:r>
      <w:r>
        <w:t xml:space="preserve"> </w:t>
      </w:r>
      <w:r w:rsidR="009E3C78">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9E3C78">
        <w:fldChar w:fldCharType="separate"/>
      </w:r>
      <w:r w:rsidR="00434694">
        <w:rPr>
          <w:noProof/>
        </w:rPr>
        <w:t>[</w:t>
      </w:r>
      <w:hyperlink w:anchor="_ENREF_63" w:tooltip="Melaina, 2013 #971" w:history="1">
        <w:r w:rsidR="006210AE">
          <w:rPr>
            <w:noProof/>
          </w:rPr>
          <w:t>63</w:t>
        </w:r>
      </w:hyperlink>
      <w:r w:rsidR="00434694">
        <w:rPr>
          <w:noProof/>
        </w:rPr>
        <w:t>]</w:t>
      </w:r>
      <w:r w:rsidR="009E3C78">
        <w:fldChar w:fldCharType="end"/>
      </w:r>
      <w:r w:rsidR="008B216C">
        <w:t xml:space="preserve">. The same approach </w:t>
      </w:r>
      <w:r>
        <w:t xml:space="preserve">as for localised PSA purification </w:t>
      </w:r>
      <w:r w:rsidR="008B216C">
        <w:t>was taken to estimate the techno-economic parameters for centralised PSA</w:t>
      </w:r>
      <w:r>
        <w:t xml:space="preserve">. </w:t>
      </w:r>
      <w:r w:rsidR="006E55EB">
        <w:fldChar w:fldCharType="begin"/>
      </w:r>
      <w:r w:rsidR="006E55EB">
        <w:instrText xml:space="preserve"> REF _Ref48938193 \h </w:instrText>
      </w:r>
      <w:r w:rsidR="006E55EB">
        <w:fldChar w:fldCharType="separate"/>
      </w:r>
      <w:r w:rsidR="00C24ED6">
        <w:t xml:space="preserve">Table </w:t>
      </w:r>
      <w:r w:rsidR="00C24ED6">
        <w:rPr>
          <w:noProof/>
        </w:rPr>
        <w:t>31</w:t>
      </w:r>
      <w:r w:rsidR="006E55EB">
        <w:fldChar w:fldCharType="end"/>
      </w:r>
      <w:r w:rsidR="006E55EB">
        <w:t xml:space="preserve"> and </w:t>
      </w:r>
      <w:r w:rsidR="008B216C">
        <w:fldChar w:fldCharType="begin"/>
      </w:r>
      <w:r w:rsidR="008B216C">
        <w:instrText xml:space="preserve"> REF _Ref48938676 \h </w:instrText>
      </w:r>
      <w:r w:rsidR="008B216C">
        <w:fldChar w:fldCharType="separate"/>
      </w:r>
      <w:r w:rsidR="00C24ED6">
        <w:t xml:space="preserve">Table </w:t>
      </w:r>
      <w:r w:rsidR="00C24ED6">
        <w:rPr>
          <w:noProof/>
        </w:rPr>
        <w:t>32</w:t>
      </w:r>
      <w:r w:rsidR="008B216C">
        <w:fldChar w:fldCharType="end"/>
      </w:r>
      <w:r w:rsidR="006E55EB">
        <w:t xml:space="preserve"> show the calculated parameters</w:t>
      </w:r>
      <w:r w:rsidR="008B216C">
        <w:t>.</w:t>
      </w:r>
      <w:r w:rsidR="006E55EB">
        <w:t xml:space="preserve"> </w:t>
      </w:r>
      <w:r w:rsidR="006E55EB">
        <w:fldChar w:fldCharType="begin"/>
      </w:r>
      <w:r w:rsidR="006E55EB">
        <w:instrText xml:space="preserve"> REF _Ref48985874 \h </w:instrText>
      </w:r>
      <w:r w:rsidR="006E55EB">
        <w:fldChar w:fldCharType="separate"/>
      </w:r>
      <w:r w:rsidR="00C24ED6">
        <w:t xml:space="preserve">Figure </w:t>
      </w:r>
      <w:r w:rsidR="00C24ED6">
        <w:rPr>
          <w:noProof/>
        </w:rPr>
        <w:t>66</w:t>
      </w:r>
      <w:r w:rsidR="006E55EB">
        <w:fldChar w:fldCharType="end"/>
      </w:r>
      <w:r w:rsidR="006E55EB">
        <w:t xml:space="preserve"> to </w:t>
      </w:r>
      <w:r w:rsidR="006E55EB">
        <w:fldChar w:fldCharType="begin"/>
      </w:r>
      <w:r w:rsidR="006E55EB">
        <w:instrText xml:space="preserve"> REF _Ref48985875 \h </w:instrText>
      </w:r>
      <w:r w:rsidR="006E55EB">
        <w:fldChar w:fldCharType="separate"/>
      </w:r>
      <w:r w:rsidR="00C24ED6">
        <w:t xml:space="preserve">Figure </w:t>
      </w:r>
      <w:r w:rsidR="00C24ED6">
        <w:rPr>
          <w:noProof/>
        </w:rPr>
        <w:t>69</w:t>
      </w:r>
      <w:r w:rsidR="006E55EB">
        <w:fldChar w:fldCharType="end"/>
      </w:r>
      <w:r w:rsidR="006E55EB">
        <w:t xml:space="preserve"> show the CAPEX (£) versus capacity (kW) and the OPEX versus lifetime throughput (kWh), for both the 10% and 20% hydrogen concentration inlets.</w:t>
      </w:r>
    </w:p>
    <w:p w14:paraId="1E70E8CE" w14:textId="07504CEE" w:rsidR="008B216C" w:rsidRDefault="008B216C" w:rsidP="008B216C">
      <w:pPr>
        <w:pStyle w:val="Caption"/>
        <w:keepNext/>
      </w:pPr>
      <w:bookmarkStart w:id="357" w:name="_Ref48938193"/>
      <w:bookmarkStart w:id="358" w:name="_Toc50359184"/>
      <w:r>
        <w:t xml:space="preserve">Table </w:t>
      </w:r>
      <w:fldSimple w:instr=" SEQ Table \* ARABIC ">
        <w:r w:rsidR="00C24ED6">
          <w:rPr>
            <w:noProof/>
          </w:rPr>
          <w:t>31</w:t>
        </w:r>
      </w:fldSimple>
      <w:bookmarkEnd w:id="357"/>
      <w:r w:rsidR="00750B2D">
        <w:rPr>
          <w:noProof/>
        </w:rPr>
        <w:t>:</w:t>
      </w:r>
      <w:r>
        <w:rPr>
          <w:noProof/>
        </w:rPr>
        <w:t xml:space="preserve"> </w:t>
      </w:r>
      <w:r>
        <w:t xml:space="preserve">Estimated lifetime throughput and total cost of equipment for a range of central PSA capacities, with a hydrogen concentration inlet of 10% and 20% by vol. </w:t>
      </w:r>
      <w:r>
        <w:rPr>
          <w:rFonts w:eastAsia="Times New Roman" w:cs="Arial"/>
          <w:color w:val="000000"/>
          <w:sz w:val="20"/>
          <w:szCs w:val="20"/>
          <w:vertAlign w:val="superscript"/>
          <w:lang w:eastAsia="en-GB"/>
        </w:rPr>
        <w:t>a</w:t>
      </w:r>
      <w:r w:rsidR="009E3C78">
        <w:fldChar w:fldCharType="begin"/>
      </w:r>
      <w:r w:rsidR="00434694">
        <w:instrText xml:space="preserve"> ADDIN EN.CITE &lt;EndNote&gt;&lt;Cite&gt;&lt;Author&gt;Melaina&lt;/Author&gt;&lt;Year&gt;2013&lt;/Year&gt;&lt;RecNum&gt;971&lt;/RecNum&gt;&lt;DisplayText&gt;[63]&lt;/DisplayText&gt;&lt;record&gt;&lt;rec-number&gt;971&lt;/rec-number&gt;&lt;foreign-keys&gt;&lt;key app="EN" db-id="w500zpaaheraz8epaw1p29dtf2ff9zrswv50" timestamp="1607697901"&gt;971&lt;/key&gt;&lt;/foreign-keys&gt;&lt;ref-type name="Report"&gt;27&lt;/ref-type&gt;&lt;contributors&gt;&lt;authors&gt;&lt;author&gt;Melaina, M. W.&lt;/author&gt;&lt;author&gt;Antonia, O.&lt;/author&gt;&lt;author&gt;Penev, M.&lt;/author&gt;&lt;/authors&gt;&lt;tertiary-authors&gt;&lt;author&gt;NREL&lt;/author&gt;&lt;/tertiary-authors&gt;&lt;/contributors&gt;&lt;titles&gt;&lt;title&gt;Blending Hydrogen into Natural Gas Pipeline Networks: A Review of Key Issues&lt;/title&gt;&lt;/titles&gt;&lt;keywords&gt;&lt;keyword&gt;Hydrogen&lt;/keyword&gt;&lt;keyword&gt;March 2013&lt;/keyword&gt;&lt;keyword&gt;NREL/TP-5600-51995&lt;/keyword&gt;&lt;keyword&gt;National Renewable Energy Laboratory&lt;/keyword&gt;&lt;keyword&gt;U.S. natural gas pipeline network&lt;/keyword&gt;&lt;keyword&gt;hydrogen pipelines&lt;/keyword&gt;&lt;keyword&gt;study and assessment&lt;/keyword&gt;&lt;/keywords&gt;&lt;dates&gt;&lt;year&gt;2013&lt;/year&gt;&lt;/dates&gt;&lt;publisher&gt;NREL&lt;/publisher&gt;&lt;urls&gt;&lt;related-urls&gt;&lt;url&gt;http://www.osti.gov/bridge&lt;/url&gt;&lt;/related-urls&gt;&lt;pdf-urls&gt;&lt;url&gt;file://Users\David\Library\Application Support\Mendeley Desktop\Downloaded\Melaina, Antonia, Penev - 2013 - Blending Hydrogen into Natural Gas Pipeline Networks A Review of Key Issues.pdf&lt;/url&gt;&lt;/pdf-urls&gt;&lt;/urls&gt;&lt;/record&gt;&lt;/Cite&gt;&lt;/EndNote&gt;</w:instrText>
      </w:r>
      <w:r w:rsidR="009E3C78">
        <w:fldChar w:fldCharType="separate"/>
      </w:r>
      <w:r w:rsidR="00434694">
        <w:rPr>
          <w:noProof/>
        </w:rPr>
        <w:t>[</w:t>
      </w:r>
      <w:hyperlink w:anchor="_ENREF_63" w:tooltip="Melaina, 2013 #971" w:history="1">
        <w:r w:rsidR="006210AE">
          <w:rPr>
            <w:noProof/>
          </w:rPr>
          <w:t>63</w:t>
        </w:r>
      </w:hyperlink>
      <w:r w:rsidR="00434694">
        <w:rPr>
          <w:noProof/>
        </w:rPr>
        <w:t>]</w:t>
      </w:r>
      <w:r w:rsidR="009E3C78">
        <w:fldChar w:fldCharType="end"/>
      </w:r>
      <w:bookmarkEnd w:id="358"/>
      <w:r w:rsidR="00AA18E8">
        <w:t xml:space="preserve"> </w:t>
      </w:r>
    </w:p>
    <w:tbl>
      <w:tblPr>
        <w:tblStyle w:val="PlainTable2"/>
        <w:tblW w:w="9168" w:type="dxa"/>
        <w:jc w:val="center"/>
        <w:tblLayout w:type="fixed"/>
        <w:tblLook w:val="04A0" w:firstRow="1" w:lastRow="0" w:firstColumn="1" w:lastColumn="0" w:noHBand="0" w:noVBand="1"/>
      </w:tblPr>
      <w:tblGrid>
        <w:gridCol w:w="707"/>
        <w:gridCol w:w="1449"/>
        <w:gridCol w:w="2481"/>
        <w:gridCol w:w="1077"/>
        <w:gridCol w:w="2181"/>
        <w:gridCol w:w="1273"/>
      </w:tblGrid>
      <w:tr w:rsidR="008B216C" w:rsidRPr="00F07713" w14:paraId="5F8109F0" w14:textId="77777777" w:rsidTr="008B216C">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707" w:type="dxa"/>
            <w:noWrap/>
            <w:hideMark/>
          </w:tcPr>
          <w:p w14:paraId="6C9FF189" w14:textId="77777777" w:rsidR="008B216C" w:rsidRPr="00F07713" w:rsidRDefault="008B216C" w:rsidP="00A94196">
            <w:pPr>
              <w:spacing w:before="0" w:after="0"/>
              <w:rPr>
                <w:rFonts w:ascii="Times New Roman" w:eastAsia="Times New Roman" w:hAnsi="Times New Roman" w:cs="Times New Roman"/>
                <w:sz w:val="20"/>
                <w:szCs w:val="20"/>
                <w:lang w:eastAsia="en-GB"/>
              </w:rPr>
            </w:pPr>
          </w:p>
        </w:tc>
        <w:tc>
          <w:tcPr>
            <w:tcW w:w="1449" w:type="dxa"/>
            <w:noWrap/>
            <w:vAlign w:val="center"/>
            <w:hideMark/>
          </w:tcPr>
          <w:p w14:paraId="4F0218A5" w14:textId="77777777" w:rsidR="008B216C" w:rsidRPr="00F07713" w:rsidRDefault="008B216C" w:rsidP="00A94196">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vertAlign w:val="superscript"/>
                <w:lang w:eastAsia="en-GB"/>
              </w:rPr>
            </w:pPr>
            <w:r w:rsidRPr="00F07713">
              <w:rPr>
                <w:rFonts w:eastAsia="Times New Roman" w:cs="Arial"/>
                <w:color w:val="000000"/>
                <w:sz w:val="20"/>
                <w:szCs w:val="20"/>
                <w:lang w:eastAsia="en-GB"/>
              </w:rPr>
              <w:t>Cost ($/kgH2)</w:t>
            </w:r>
            <w:r w:rsidRPr="00F07713">
              <w:rPr>
                <w:rFonts w:eastAsia="Times New Roman" w:cs="Arial"/>
                <w:color w:val="000000"/>
                <w:sz w:val="20"/>
                <w:szCs w:val="20"/>
                <w:vertAlign w:val="superscript"/>
                <w:lang w:eastAsia="en-GB"/>
              </w:rPr>
              <w:t>a</w:t>
            </w:r>
          </w:p>
        </w:tc>
        <w:tc>
          <w:tcPr>
            <w:tcW w:w="2481" w:type="dxa"/>
            <w:noWrap/>
            <w:vAlign w:val="center"/>
            <w:hideMark/>
          </w:tcPr>
          <w:p w14:paraId="1E783FCB" w14:textId="77777777" w:rsidR="008B216C" w:rsidRPr="00F07713" w:rsidRDefault="008B216C" w:rsidP="00A94196">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Capacity Output (kg/day)</w:t>
            </w:r>
            <w:r w:rsidRPr="00F07713">
              <w:rPr>
                <w:rFonts w:eastAsia="Times New Roman" w:cs="Arial"/>
                <w:color w:val="000000"/>
                <w:sz w:val="20"/>
                <w:szCs w:val="20"/>
                <w:vertAlign w:val="superscript"/>
                <w:lang w:eastAsia="en-GB"/>
              </w:rPr>
              <w:t xml:space="preserve"> a</w:t>
            </w:r>
          </w:p>
        </w:tc>
        <w:tc>
          <w:tcPr>
            <w:tcW w:w="1077" w:type="dxa"/>
            <w:noWrap/>
            <w:vAlign w:val="center"/>
            <w:hideMark/>
          </w:tcPr>
          <w:p w14:paraId="06341E06" w14:textId="77777777" w:rsidR="008B216C" w:rsidRPr="00F07713" w:rsidRDefault="008B216C" w:rsidP="00A94196">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 xml:space="preserve">Lifetime </w:t>
            </w:r>
          </w:p>
        </w:tc>
        <w:tc>
          <w:tcPr>
            <w:tcW w:w="2181" w:type="dxa"/>
            <w:noWrap/>
            <w:vAlign w:val="center"/>
            <w:hideMark/>
          </w:tcPr>
          <w:p w14:paraId="18708667" w14:textId="77777777" w:rsidR="008B216C" w:rsidRPr="00F07713" w:rsidRDefault="008B216C" w:rsidP="00A94196">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Lifetime Throughput (kg)</w:t>
            </w:r>
          </w:p>
        </w:tc>
        <w:tc>
          <w:tcPr>
            <w:tcW w:w="1273" w:type="dxa"/>
            <w:vAlign w:val="center"/>
          </w:tcPr>
          <w:p w14:paraId="2FE0D611" w14:textId="77777777" w:rsidR="008B216C" w:rsidRPr="00F07713" w:rsidRDefault="008B216C" w:rsidP="00A94196">
            <w:pPr>
              <w:spacing w:before="0" w:after="0"/>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F07713">
              <w:rPr>
                <w:rFonts w:cs="Arial"/>
                <w:color w:val="000000"/>
                <w:sz w:val="20"/>
                <w:szCs w:val="20"/>
              </w:rPr>
              <w:t>Cost Over Lifetime ($)</w:t>
            </w:r>
          </w:p>
        </w:tc>
      </w:tr>
      <w:tr w:rsidR="008B216C" w:rsidRPr="00F07713" w14:paraId="2CFA03BC"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val="restart"/>
            <w:noWrap/>
            <w:textDirection w:val="btLr"/>
            <w:vAlign w:val="center"/>
            <w:hideMark/>
          </w:tcPr>
          <w:p w14:paraId="74672C21" w14:textId="73F23E13" w:rsidR="008B216C" w:rsidRPr="00F07713" w:rsidRDefault="008B216C" w:rsidP="00A94196">
            <w:pPr>
              <w:spacing w:before="0" w:after="0"/>
              <w:ind w:left="113" w:right="113"/>
              <w:jc w:val="center"/>
              <w:rPr>
                <w:rFonts w:eastAsia="Times New Roman" w:cs="Arial"/>
                <w:color w:val="000000"/>
                <w:sz w:val="20"/>
                <w:szCs w:val="20"/>
                <w:lang w:eastAsia="en-GB"/>
              </w:rPr>
            </w:pPr>
            <w:r w:rsidRPr="00F07713">
              <w:rPr>
                <w:rFonts w:eastAsia="Times New Roman" w:cs="Arial"/>
                <w:color w:val="000000"/>
                <w:sz w:val="20"/>
                <w:szCs w:val="20"/>
                <w:lang w:eastAsia="en-GB"/>
              </w:rPr>
              <w:t>10%</w:t>
            </w:r>
            <w:r w:rsidRPr="00F07713">
              <w:rPr>
                <w:rFonts w:eastAsia="Times New Roman" w:cs="Arial"/>
                <w:color w:val="000000"/>
                <w:sz w:val="20"/>
                <w:szCs w:val="20"/>
                <w:vertAlign w:val="subscript"/>
                <w:lang w:eastAsia="en-GB"/>
              </w:rPr>
              <w:t>vol</w:t>
            </w:r>
            <w:r w:rsidRPr="00F07713">
              <w:rPr>
                <w:rFonts w:eastAsia="Times New Roman" w:cs="Arial"/>
                <w:color w:val="000000"/>
                <w:sz w:val="20"/>
                <w:szCs w:val="20"/>
                <w:lang w:eastAsia="en-GB"/>
              </w:rPr>
              <w:t xml:space="preserve"> Hydrogen Inlet Conc</w:t>
            </w:r>
            <w:r w:rsidR="00A94196">
              <w:rPr>
                <w:rFonts w:eastAsia="Times New Roman" w:cs="Arial"/>
                <w:color w:val="000000"/>
                <w:sz w:val="20"/>
                <w:szCs w:val="20"/>
                <w:lang w:eastAsia="en-GB"/>
              </w:rPr>
              <w:t>.</w:t>
            </w:r>
          </w:p>
        </w:tc>
        <w:tc>
          <w:tcPr>
            <w:tcW w:w="1449" w:type="dxa"/>
            <w:noWrap/>
            <w:vAlign w:val="center"/>
            <w:hideMark/>
          </w:tcPr>
          <w:p w14:paraId="3514D611"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1.3</w:t>
            </w:r>
          </w:p>
        </w:tc>
        <w:tc>
          <w:tcPr>
            <w:tcW w:w="2481" w:type="dxa"/>
            <w:noWrap/>
            <w:vAlign w:val="center"/>
            <w:hideMark/>
          </w:tcPr>
          <w:p w14:paraId="7B650930"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100</w:t>
            </w:r>
          </w:p>
        </w:tc>
        <w:tc>
          <w:tcPr>
            <w:tcW w:w="1077" w:type="dxa"/>
            <w:vMerge w:val="restart"/>
            <w:noWrap/>
            <w:vAlign w:val="center"/>
            <w:hideMark/>
          </w:tcPr>
          <w:p w14:paraId="6E1E6D6C" w14:textId="77777777" w:rsidR="008B216C" w:rsidRPr="00F07713" w:rsidRDefault="008B216C" w:rsidP="00A94196">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25</w:t>
            </w:r>
          </w:p>
        </w:tc>
        <w:tc>
          <w:tcPr>
            <w:tcW w:w="2181" w:type="dxa"/>
            <w:noWrap/>
            <w:hideMark/>
          </w:tcPr>
          <w:p w14:paraId="2058B329"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912500</w:t>
            </w:r>
          </w:p>
        </w:tc>
        <w:tc>
          <w:tcPr>
            <w:tcW w:w="1273" w:type="dxa"/>
            <w:vAlign w:val="center"/>
          </w:tcPr>
          <w:p w14:paraId="05DDE72B"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1,186,250 </w:t>
            </w:r>
          </w:p>
        </w:tc>
      </w:tr>
      <w:tr w:rsidR="008B216C" w:rsidRPr="00F07713" w14:paraId="61D0C225"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0E6E1619"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3052658B"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0.82</w:t>
            </w:r>
          </w:p>
        </w:tc>
        <w:tc>
          <w:tcPr>
            <w:tcW w:w="2481" w:type="dxa"/>
            <w:noWrap/>
            <w:vAlign w:val="center"/>
            <w:hideMark/>
          </w:tcPr>
          <w:p w14:paraId="640E62A1"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150</w:t>
            </w:r>
          </w:p>
        </w:tc>
        <w:tc>
          <w:tcPr>
            <w:tcW w:w="1077" w:type="dxa"/>
            <w:vMerge/>
            <w:hideMark/>
          </w:tcPr>
          <w:p w14:paraId="16EAB23A"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44C41896"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1368750</w:t>
            </w:r>
          </w:p>
        </w:tc>
        <w:tc>
          <w:tcPr>
            <w:tcW w:w="1273" w:type="dxa"/>
            <w:vAlign w:val="center"/>
          </w:tcPr>
          <w:p w14:paraId="31F01134"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1,122,375 </w:t>
            </w:r>
          </w:p>
        </w:tc>
      </w:tr>
      <w:tr w:rsidR="008B216C" w:rsidRPr="00F07713" w14:paraId="248D96D1"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20B4DF82"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55EF3E70"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0.64</w:t>
            </w:r>
          </w:p>
        </w:tc>
        <w:tc>
          <w:tcPr>
            <w:tcW w:w="2481" w:type="dxa"/>
            <w:noWrap/>
            <w:vAlign w:val="center"/>
            <w:hideMark/>
          </w:tcPr>
          <w:p w14:paraId="563B4213"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225</w:t>
            </w:r>
          </w:p>
        </w:tc>
        <w:tc>
          <w:tcPr>
            <w:tcW w:w="1077" w:type="dxa"/>
            <w:vMerge/>
            <w:hideMark/>
          </w:tcPr>
          <w:p w14:paraId="3A62C89E"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7AB71695"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2053125</w:t>
            </w:r>
          </w:p>
        </w:tc>
        <w:tc>
          <w:tcPr>
            <w:tcW w:w="1273" w:type="dxa"/>
            <w:vAlign w:val="center"/>
          </w:tcPr>
          <w:p w14:paraId="5CEA5361"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1,314,000 </w:t>
            </w:r>
          </w:p>
        </w:tc>
      </w:tr>
      <w:tr w:rsidR="008B216C" w:rsidRPr="00F07713" w14:paraId="1D9181FA"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66DF9CF3"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2B950BFE"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0.54</w:t>
            </w:r>
          </w:p>
        </w:tc>
        <w:tc>
          <w:tcPr>
            <w:tcW w:w="2481" w:type="dxa"/>
            <w:noWrap/>
            <w:vAlign w:val="center"/>
            <w:hideMark/>
          </w:tcPr>
          <w:p w14:paraId="0FF9D077"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320</w:t>
            </w:r>
          </w:p>
        </w:tc>
        <w:tc>
          <w:tcPr>
            <w:tcW w:w="1077" w:type="dxa"/>
            <w:vMerge/>
            <w:hideMark/>
          </w:tcPr>
          <w:p w14:paraId="7DBF19C0"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274BE79E"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2920000</w:t>
            </w:r>
          </w:p>
        </w:tc>
        <w:tc>
          <w:tcPr>
            <w:tcW w:w="1273" w:type="dxa"/>
            <w:vAlign w:val="center"/>
          </w:tcPr>
          <w:p w14:paraId="26015E75"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1,576,800 </w:t>
            </w:r>
          </w:p>
        </w:tc>
      </w:tr>
      <w:tr w:rsidR="008B216C" w:rsidRPr="00F07713" w14:paraId="07BF1A2A"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723414A1"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53086943"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0.47</w:t>
            </w:r>
          </w:p>
        </w:tc>
        <w:tc>
          <w:tcPr>
            <w:tcW w:w="2481" w:type="dxa"/>
            <w:noWrap/>
            <w:vAlign w:val="center"/>
            <w:hideMark/>
          </w:tcPr>
          <w:p w14:paraId="04BB0416"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400</w:t>
            </w:r>
          </w:p>
        </w:tc>
        <w:tc>
          <w:tcPr>
            <w:tcW w:w="1077" w:type="dxa"/>
            <w:vMerge/>
            <w:hideMark/>
          </w:tcPr>
          <w:p w14:paraId="1598842E"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1713976E"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3650000</w:t>
            </w:r>
          </w:p>
        </w:tc>
        <w:tc>
          <w:tcPr>
            <w:tcW w:w="1273" w:type="dxa"/>
            <w:vAlign w:val="center"/>
          </w:tcPr>
          <w:p w14:paraId="65A50BB5"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1,715,500 </w:t>
            </w:r>
          </w:p>
        </w:tc>
      </w:tr>
      <w:tr w:rsidR="008B216C" w:rsidRPr="00F07713" w14:paraId="5906984F"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495B76F4"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54EF433C"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0.42</w:t>
            </w:r>
          </w:p>
        </w:tc>
        <w:tc>
          <w:tcPr>
            <w:tcW w:w="2481" w:type="dxa"/>
            <w:noWrap/>
            <w:vAlign w:val="center"/>
            <w:hideMark/>
          </w:tcPr>
          <w:p w14:paraId="79F33168"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480</w:t>
            </w:r>
          </w:p>
        </w:tc>
        <w:tc>
          <w:tcPr>
            <w:tcW w:w="1077" w:type="dxa"/>
            <w:vMerge/>
            <w:hideMark/>
          </w:tcPr>
          <w:p w14:paraId="01BB501B"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09FCCFE3"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4380000</w:t>
            </w:r>
          </w:p>
        </w:tc>
        <w:tc>
          <w:tcPr>
            <w:tcW w:w="1273" w:type="dxa"/>
            <w:vAlign w:val="center"/>
          </w:tcPr>
          <w:p w14:paraId="42BFF429"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1,839,600 </w:t>
            </w:r>
          </w:p>
        </w:tc>
      </w:tr>
      <w:tr w:rsidR="008B216C" w:rsidRPr="00F07713" w14:paraId="6E756B5C"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6D0DEDEE"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4A6DBE7E"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0.39</w:t>
            </w:r>
          </w:p>
        </w:tc>
        <w:tc>
          <w:tcPr>
            <w:tcW w:w="2481" w:type="dxa"/>
            <w:noWrap/>
            <w:vAlign w:val="center"/>
            <w:hideMark/>
          </w:tcPr>
          <w:p w14:paraId="6F31CB80"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550</w:t>
            </w:r>
          </w:p>
        </w:tc>
        <w:tc>
          <w:tcPr>
            <w:tcW w:w="1077" w:type="dxa"/>
            <w:vMerge/>
            <w:hideMark/>
          </w:tcPr>
          <w:p w14:paraId="6458E4A2"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414813D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5018750</w:t>
            </w:r>
          </w:p>
        </w:tc>
        <w:tc>
          <w:tcPr>
            <w:tcW w:w="1273" w:type="dxa"/>
            <w:vAlign w:val="center"/>
          </w:tcPr>
          <w:p w14:paraId="052EC62D"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1,957,313 </w:t>
            </w:r>
          </w:p>
        </w:tc>
      </w:tr>
      <w:tr w:rsidR="008B216C" w:rsidRPr="00F07713" w14:paraId="7E112CDE"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29A49F69"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2B8443B5"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0.35</w:t>
            </w:r>
          </w:p>
        </w:tc>
        <w:tc>
          <w:tcPr>
            <w:tcW w:w="2481" w:type="dxa"/>
            <w:noWrap/>
            <w:vAlign w:val="center"/>
            <w:hideMark/>
          </w:tcPr>
          <w:p w14:paraId="0C2631F3"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620</w:t>
            </w:r>
          </w:p>
        </w:tc>
        <w:tc>
          <w:tcPr>
            <w:tcW w:w="1077" w:type="dxa"/>
            <w:vMerge/>
            <w:hideMark/>
          </w:tcPr>
          <w:p w14:paraId="3056FDC9"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1452DEF0"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5657500</w:t>
            </w:r>
          </w:p>
        </w:tc>
        <w:tc>
          <w:tcPr>
            <w:tcW w:w="1273" w:type="dxa"/>
            <w:vAlign w:val="center"/>
          </w:tcPr>
          <w:p w14:paraId="4A3F6BA3"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1,980,125 </w:t>
            </w:r>
          </w:p>
        </w:tc>
      </w:tr>
      <w:tr w:rsidR="008B216C" w:rsidRPr="00F07713" w14:paraId="3EB030D5"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73F34CFC"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57DD67FD"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0.33</w:t>
            </w:r>
          </w:p>
        </w:tc>
        <w:tc>
          <w:tcPr>
            <w:tcW w:w="2481" w:type="dxa"/>
            <w:noWrap/>
            <w:vAlign w:val="center"/>
            <w:hideMark/>
          </w:tcPr>
          <w:p w14:paraId="63EB4C45"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715</w:t>
            </w:r>
          </w:p>
        </w:tc>
        <w:tc>
          <w:tcPr>
            <w:tcW w:w="1077" w:type="dxa"/>
            <w:vMerge/>
            <w:hideMark/>
          </w:tcPr>
          <w:p w14:paraId="54D9DA77"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449EFA8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6524375</w:t>
            </w:r>
          </w:p>
        </w:tc>
        <w:tc>
          <w:tcPr>
            <w:tcW w:w="1273" w:type="dxa"/>
            <w:vAlign w:val="center"/>
          </w:tcPr>
          <w:p w14:paraId="21FE953E"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2,153,044 </w:t>
            </w:r>
          </w:p>
        </w:tc>
      </w:tr>
      <w:tr w:rsidR="008B216C" w:rsidRPr="00F07713" w14:paraId="20867C1B"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084E35E5"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3B7655DA"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0.32</w:t>
            </w:r>
          </w:p>
        </w:tc>
        <w:tc>
          <w:tcPr>
            <w:tcW w:w="2481" w:type="dxa"/>
            <w:noWrap/>
            <w:vAlign w:val="center"/>
            <w:hideMark/>
          </w:tcPr>
          <w:p w14:paraId="45C866DC"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800</w:t>
            </w:r>
          </w:p>
        </w:tc>
        <w:tc>
          <w:tcPr>
            <w:tcW w:w="1077" w:type="dxa"/>
            <w:vMerge/>
            <w:hideMark/>
          </w:tcPr>
          <w:p w14:paraId="341ED785"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1E3EDBBD"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7300000</w:t>
            </w:r>
          </w:p>
        </w:tc>
        <w:tc>
          <w:tcPr>
            <w:tcW w:w="1273" w:type="dxa"/>
            <w:vAlign w:val="center"/>
          </w:tcPr>
          <w:p w14:paraId="6C80B401"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2,336,000 </w:t>
            </w:r>
          </w:p>
        </w:tc>
      </w:tr>
      <w:tr w:rsidR="008B216C" w:rsidRPr="00F07713" w14:paraId="6A946C73" w14:textId="77777777" w:rsidTr="008B216C">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6253E775"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47E35091"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w:t>
            </w:r>
          </w:p>
        </w:tc>
        <w:tc>
          <w:tcPr>
            <w:tcW w:w="2481" w:type="dxa"/>
            <w:noWrap/>
            <w:vAlign w:val="center"/>
            <w:hideMark/>
          </w:tcPr>
          <w:p w14:paraId="76969514"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1000</w:t>
            </w:r>
          </w:p>
        </w:tc>
        <w:tc>
          <w:tcPr>
            <w:tcW w:w="1077" w:type="dxa"/>
            <w:vMerge/>
            <w:hideMark/>
          </w:tcPr>
          <w:p w14:paraId="09E20845"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3F63F70A"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9125000</w:t>
            </w:r>
          </w:p>
        </w:tc>
        <w:tc>
          <w:tcPr>
            <w:tcW w:w="1273" w:type="dxa"/>
            <w:vAlign w:val="center"/>
          </w:tcPr>
          <w:p w14:paraId="79090868"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2,737,500 </w:t>
            </w:r>
          </w:p>
        </w:tc>
      </w:tr>
      <w:tr w:rsidR="008B216C" w:rsidRPr="00F07713" w14:paraId="004CCB03"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val="restart"/>
            <w:noWrap/>
            <w:textDirection w:val="btLr"/>
            <w:vAlign w:val="center"/>
            <w:hideMark/>
          </w:tcPr>
          <w:p w14:paraId="5B115C8E" w14:textId="2F446254" w:rsidR="008B216C" w:rsidRPr="00F07713" w:rsidRDefault="008B216C" w:rsidP="00A94196">
            <w:pPr>
              <w:spacing w:before="0" w:after="0"/>
              <w:ind w:left="113" w:right="113"/>
              <w:jc w:val="center"/>
              <w:rPr>
                <w:rFonts w:eastAsia="Times New Roman" w:cs="Arial"/>
                <w:color w:val="000000"/>
                <w:sz w:val="20"/>
                <w:szCs w:val="20"/>
                <w:lang w:eastAsia="en-GB"/>
              </w:rPr>
            </w:pPr>
            <w:r w:rsidRPr="00F07713">
              <w:rPr>
                <w:rFonts w:eastAsia="Times New Roman" w:cs="Arial"/>
                <w:color w:val="000000"/>
                <w:sz w:val="20"/>
                <w:szCs w:val="20"/>
                <w:lang w:eastAsia="en-GB"/>
              </w:rPr>
              <w:t>20%</w:t>
            </w:r>
            <w:r w:rsidRPr="00F07713">
              <w:rPr>
                <w:rFonts w:eastAsia="Times New Roman" w:cs="Arial"/>
                <w:color w:val="000000"/>
                <w:sz w:val="20"/>
                <w:szCs w:val="20"/>
                <w:vertAlign w:val="subscript"/>
                <w:lang w:eastAsia="en-GB"/>
              </w:rPr>
              <w:t>vol</w:t>
            </w:r>
            <w:r w:rsidRPr="00F07713">
              <w:rPr>
                <w:rFonts w:eastAsia="Times New Roman" w:cs="Arial"/>
                <w:color w:val="000000"/>
                <w:sz w:val="20"/>
                <w:szCs w:val="20"/>
                <w:lang w:eastAsia="en-GB"/>
              </w:rPr>
              <w:t xml:space="preserve"> Hydrogen Inlet Conc</w:t>
            </w:r>
            <w:r w:rsidR="00A94196">
              <w:rPr>
                <w:rFonts w:eastAsia="Times New Roman" w:cs="Arial"/>
                <w:color w:val="000000"/>
                <w:sz w:val="20"/>
                <w:szCs w:val="20"/>
                <w:lang w:eastAsia="en-GB"/>
              </w:rPr>
              <w:t>.</w:t>
            </w:r>
          </w:p>
        </w:tc>
        <w:tc>
          <w:tcPr>
            <w:tcW w:w="1449" w:type="dxa"/>
            <w:noWrap/>
            <w:vAlign w:val="center"/>
            <w:hideMark/>
          </w:tcPr>
          <w:p w14:paraId="44189930"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1.13</w:t>
            </w:r>
          </w:p>
        </w:tc>
        <w:tc>
          <w:tcPr>
            <w:tcW w:w="2481" w:type="dxa"/>
            <w:noWrap/>
            <w:vAlign w:val="center"/>
            <w:hideMark/>
          </w:tcPr>
          <w:p w14:paraId="7EB9ABF6"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100</w:t>
            </w:r>
          </w:p>
        </w:tc>
        <w:tc>
          <w:tcPr>
            <w:tcW w:w="1077" w:type="dxa"/>
            <w:vMerge w:val="restart"/>
            <w:noWrap/>
            <w:vAlign w:val="center"/>
            <w:hideMark/>
          </w:tcPr>
          <w:p w14:paraId="3407014B" w14:textId="77777777" w:rsidR="008B216C" w:rsidRPr="00F07713" w:rsidRDefault="008B216C" w:rsidP="00A94196">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25</w:t>
            </w:r>
          </w:p>
        </w:tc>
        <w:tc>
          <w:tcPr>
            <w:tcW w:w="2181" w:type="dxa"/>
            <w:noWrap/>
            <w:hideMark/>
          </w:tcPr>
          <w:p w14:paraId="0BC956B7"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912500</w:t>
            </w:r>
          </w:p>
        </w:tc>
        <w:tc>
          <w:tcPr>
            <w:tcW w:w="1273" w:type="dxa"/>
            <w:vAlign w:val="center"/>
          </w:tcPr>
          <w:p w14:paraId="4610745C"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1,031,125 </w:t>
            </w:r>
          </w:p>
        </w:tc>
      </w:tr>
      <w:tr w:rsidR="008B216C" w:rsidRPr="00F07713" w14:paraId="0FEB7FE8"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1D14E08C"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44F72604"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0.72</w:t>
            </w:r>
          </w:p>
        </w:tc>
        <w:tc>
          <w:tcPr>
            <w:tcW w:w="2481" w:type="dxa"/>
            <w:noWrap/>
            <w:vAlign w:val="center"/>
            <w:hideMark/>
          </w:tcPr>
          <w:p w14:paraId="587A306F"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150</w:t>
            </w:r>
          </w:p>
        </w:tc>
        <w:tc>
          <w:tcPr>
            <w:tcW w:w="1077" w:type="dxa"/>
            <w:vMerge/>
            <w:hideMark/>
          </w:tcPr>
          <w:p w14:paraId="62A0E904"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52181E5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1368750</w:t>
            </w:r>
          </w:p>
        </w:tc>
        <w:tc>
          <w:tcPr>
            <w:tcW w:w="1273" w:type="dxa"/>
            <w:vAlign w:val="center"/>
          </w:tcPr>
          <w:p w14:paraId="02519C72"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985,500 </w:t>
            </w:r>
          </w:p>
        </w:tc>
      </w:tr>
      <w:tr w:rsidR="008B216C" w:rsidRPr="00F07713" w14:paraId="33F5A815"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5896AD7D"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278A8CD2"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0.58</w:t>
            </w:r>
          </w:p>
        </w:tc>
        <w:tc>
          <w:tcPr>
            <w:tcW w:w="2481" w:type="dxa"/>
            <w:noWrap/>
            <w:vAlign w:val="center"/>
            <w:hideMark/>
          </w:tcPr>
          <w:p w14:paraId="09492A29"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225</w:t>
            </w:r>
          </w:p>
        </w:tc>
        <w:tc>
          <w:tcPr>
            <w:tcW w:w="1077" w:type="dxa"/>
            <w:vMerge/>
            <w:hideMark/>
          </w:tcPr>
          <w:p w14:paraId="56E32083"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62633594"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2053125</w:t>
            </w:r>
          </w:p>
        </w:tc>
        <w:tc>
          <w:tcPr>
            <w:tcW w:w="1273" w:type="dxa"/>
            <w:vAlign w:val="center"/>
          </w:tcPr>
          <w:p w14:paraId="130B4F80"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1,190,813 </w:t>
            </w:r>
          </w:p>
        </w:tc>
      </w:tr>
      <w:tr w:rsidR="008B216C" w:rsidRPr="00F07713" w14:paraId="3364F074"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723E0B83"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514C9148"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0.48</w:t>
            </w:r>
          </w:p>
        </w:tc>
        <w:tc>
          <w:tcPr>
            <w:tcW w:w="2481" w:type="dxa"/>
            <w:noWrap/>
            <w:vAlign w:val="center"/>
            <w:hideMark/>
          </w:tcPr>
          <w:p w14:paraId="016E5831"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320</w:t>
            </w:r>
          </w:p>
        </w:tc>
        <w:tc>
          <w:tcPr>
            <w:tcW w:w="1077" w:type="dxa"/>
            <w:vMerge/>
            <w:hideMark/>
          </w:tcPr>
          <w:p w14:paraId="013A0BE6"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2AE71D98"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2920000</w:t>
            </w:r>
          </w:p>
        </w:tc>
        <w:tc>
          <w:tcPr>
            <w:tcW w:w="1273" w:type="dxa"/>
            <w:vAlign w:val="center"/>
          </w:tcPr>
          <w:p w14:paraId="7F67278B"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1,401,600 </w:t>
            </w:r>
          </w:p>
        </w:tc>
      </w:tr>
      <w:tr w:rsidR="008B216C" w:rsidRPr="00F07713" w14:paraId="1335CE51"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4269520E"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5D7DBA9A"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0.41</w:t>
            </w:r>
          </w:p>
        </w:tc>
        <w:tc>
          <w:tcPr>
            <w:tcW w:w="2481" w:type="dxa"/>
            <w:noWrap/>
            <w:vAlign w:val="center"/>
            <w:hideMark/>
          </w:tcPr>
          <w:p w14:paraId="3B6C85C7"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400</w:t>
            </w:r>
          </w:p>
        </w:tc>
        <w:tc>
          <w:tcPr>
            <w:tcW w:w="1077" w:type="dxa"/>
            <w:vMerge/>
            <w:hideMark/>
          </w:tcPr>
          <w:p w14:paraId="4D550958"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52545DF1"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3650000</w:t>
            </w:r>
          </w:p>
        </w:tc>
        <w:tc>
          <w:tcPr>
            <w:tcW w:w="1273" w:type="dxa"/>
            <w:vAlign w:val="center"/>
          </w:tcPr>
          <w:p w14:paraId="09A4D2C0"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1,496,500 </w:t>
            </w:r>
          </w:p>
        </w:tc>
      </w:tr>
      <w:tr w:rsidR="008B216C" w:rsidRPr="00F07713" w14:paraId="50A80FC8"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1238C69B"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2727DF3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0.36</w:t>
            </w:r>
          </w:p>
        </w:tc>
        <w:tc>
          <w:tcPr>
            <w:tcW w:w="2481" w:type="dxa"/>
            <w:noWrap/>
            <w:vAlign w:val="center"/>
            <w:hideMark/>
          </w:tcPr>
          <w:p w14:paraId="3FABB9BE"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480</w:t>
            </w:r>
          </w:p>
        </w:tc>
        <w:tc>
          <w:tcPr>
            <w:tcW w:w="1077" w:type="dxa"/>
            <w:vMerge/>
            <w:hideMark/>
          </w:tcPr>
          <w:p w14:paraId="3A0189A9"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680AF7DA"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4380000</w:t>
            </w:r>
          </w:p>
        </w:tc>
        <w:tc>
          <w:tcPr>
            <w:tcW w:w="1273" w:type="dxa"/>
            <w:vAlign w:val="center"/>
          </w:tcPr>
          <w:p w14:paraId="07D34FC6"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1,576,800 </w:t>
            </w:r>
          </w:p>
        </w:tc>
      </w:tr>
      <w:tr w:rsidR="008B216C" w:rsidRPr="00F07713" w14:paraId="718F73E7"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5A7255FA"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6F594E5B"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0.32</w:t>
            </w:r>
          </w:p>
        </w:tc>
        <w:tc>
          <w:tcPr>
            <w:tcW w:w="2481" w:type="dxa"/>
            <w:noWrap/>
            <w:vAlign w:val="center"/>
            <w:hideMark/>
          </w:tcPr>
          <w:p w14:paraId="501FE089"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550</w:t>
            </w:r>
          </w:p>
        </w:tc>
        <w:tc>
          <w:tcPr>
            <w:tcW w:w="1077" w:type="dxa"/>
            <w:vMerge/>
            <w:hideMark/>
          </w:tcPr>
          <w:p w14:paraId="71F5BBC3"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7B31196E"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5018750</w:t>
            </w:r>
          </w:p>
        </w:tc>
        <w:tc>
          <w:tcPr>
            <w:tcW w:w="1273" w:type="dxa"/>
            <w:vAlign w:val="center"/>
          </w:tcPr>
          <w:p w14:paraId="25A978E3"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1,606,000 </w:t>
            </w:r>
          </w:p>
        </w:tc>
      </w:tr>
      <w:tr w:rsidR="008B216C" w:rsidRPr="00F07713" w14:paraId="4AA67C7C"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275E6426"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6B34C9C3"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0.29</w:t>
            </w:r>
          </w:p>
        </w:tc>
        <w:tc>
          <w:tcPr>
            <w:tcW w:w="2481" w:type="dxa"/>
            <w:noWrap/>
            <w:vAlign w:val="center"/>
            <w:hideMark/>
          </w:tcPr>
          <w:p w14:paraId="632D3460"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620</w:t>
            </w:r>
          </w:p>
        </w:tc>
        <w:tc>
          <w:tcPr>
            <w:tcW w:w="1077" w:type="dxa"/>
            <w:vMerge/>
            <w:hideMark/>
          </w:tcPr>
          <w:p w14:paraId="583F2E80"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0AE7C65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5657500</w:t>
            </w:r>
          </w:p>
        </w:tc>
        <w:tc>
          <w:tcPr>
            <w:tcW w:w="1273" w:type="dxa"/>
            <w:vAlign w:val="center"/>
          </w:tcPr>
          <w:p w14:paraId="78B17370"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1,640,675 </w:t>
            </w:r>
          </w:p>
        </w:tc>
      </w:tr>
      <w:tr w:rsidR="008B216C" w:rsidRPr="00F07713" w14:paraId="726712C3" w14:textId="77777777" w:rsidTr="008B216C">
        <w:trPr>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700270FE"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28B5B936"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0.27</w:t>
            </w:r>
          </w:p>
        </w:tc>
        <w:tc>
          <w:tcPr>
            <w:tcW w:w="2481" w:type="dxa"/>
            <w:noWrap/>
            <w:vAlign w:val="center"/>
            <w:hideMark/>
          </w:tcPr>
          <w:p w14:paraId="5E8F06AF"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715</w:t>
            </w:r>
          </w:p>
        </w:tc>
        <w:tc>
          <w:tcPr>
            <w:tcW w:w="1077" w:type="dxa"/>
            <w:vMerge/>
            <w:hideMark/>
          </w:tcPr>
          <w:p w14:paraId="30005F03"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1949BE19"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6524375</w:t>
            </w:r>
          </w:p>
        </w:tc>
        <w:tc>
          <w:tcPr>
            <w:tcW w:w="1273" w:type="dxa"/>
            <w:vAlign w:val="center"/>
          </w:tcPr>
          <w:p w14:paraId="3D0E8DEA"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1,761,581 </w:t>
            </w:r>
          </w:p>
        </w:tc>
      </w:tr>
      <w:tr w:rsidR="008B216C" w:rsidRPr="00F07713" w14:paraId="57FA43DA" w14:textId="77777777" w:rsidTr="008B216C">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7747AAFD"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13779856"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0.26</w:t>
            </w:r>
          </w:p>
        </w:tc>
        <w:tc>
          <w:tcPr>
            <w:tcW w:w="2481" w:type="dxa"/>
            <w:noWrap/>
            <w:vAlign w:val="center"/>
            <w:hideMark/>
          </w:tcPr>
          <w:p w14:paraId="6E1BC86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800</w:t>
            </w:r>
          </w:p>
        </w:tc>
        <w:tc>
          <w:tcPr>
            <w:tcW w:w="1077" w:type="dxa"/>
            <w:vMerge/>
            <w:hideMark/>
          </w:tcPr>
          <w:p w14:paraId="3AE4C561" w14:textId="77777777" w:rsidR="008B216C" w:rsidRPr="00F07713" w:rsidRDefault="008B216C" w:rsidP="00A94196">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7574F4AC"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7300000</w:t>
            </w:r>
          </w:p>
        </w:tc>
        <w:tc>
          <w:tcPr>
            <w:tcW w:w="1273" w:type="dxa"/>
            <w:vAlign w:val="center"/>
          </w:tcPr>
          <w:p w14:paraId="22DB73E8" w14:textId="77777777" w:rsidR="008B216C" w:rsidRPr="00F07713" w:rsidRDefault="008B216C" w:rsidP="00A94196">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1,898,000 </w:t>
            </w:r>
          </w:p>
        </w:tc>
      </w:tr>
      <w:tr w:rsidR="008B216C" w:rsidRPr="00F07713" w14:paraId="2DFF2018" w14:textId="77777777" w:rsidTr="008B216C">
        <w:trPr>
          <w:trHeight w:val="259"/>
          <w:jc w:val="center"/>
        </w:trPr>
        <w:tc>
          <w:tcPr>
            <w:cnfStyle w:val="001000000000" w:firstRow="0" w:lastRow="0" w:firstColumn="1" w:lastColumn="0" w:oddVBand="0" w:evenVBand="0" w:oddHBand="0" w:evenHBand="0" w:firstRowFirstColumn="0" w:firstRowLastColumn="0" w:lastRowFirstColumn="0" w:lastRowLastColumn="0"/>
            <w:tcW w:w="707" w:type="dxa"/>
            <w:vMerge/>
            <w:hideMark/>
          </w:tcPr>
          <w:p w14:paraId="3709E15B" w14:textId="77777777" w:rsidR="008B216C" w:rsidRPr="00F07713" w:rsidRDefault="008B216C" w:rsidP="00A94196">
            <w:pPr>
              <w:spacing w:before="0" w:after="0"/>
              <w:rPr>
                <w:rFonts w:eastAsia="Times New Roman" w:cs="Arial"/>
                <w:color w:val="000000"/>
                <w:sz w:val="20"/>
                <w:szCs w:val="20"/>
                <w:lang w:eastAsia="en-GB"/>
              </w:rPr>
            </w:pPr>
          </w:p>
        </w:tc>
        <w:tc>
          <w:tcPr>
            <w:tcW w:w="1449" w:type="dxa"/>
            <w:noWrap/>
            <w:vAlign w:val="center"/>
            <w:hideMark/>
          </w:tcPr>
          <w:p w14:paraId="11172DC3"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0.24</w:t>
            </w:r>
          </w:p>
        </w:tc>
        <w:tc>
          <w:tcPr>
            <w:tcW w:w="2481" w:type="dxa"/>
            <w:noWrap/>
            <w:vAlign w:val="center"/>
            <w:hideMark/>
          </w:tcPr>
          <w:p w14:paraId="4143532D"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1000</w:t>
            </w:r>
          </w:p>
        </w:tc>
        <w:tc>
          <w:tcPr>
            <w:tcW w:w="1077" w:type="dxa"/>
            <w:vMerge/>
            <w:hideMark/>
          </w:tcPr>
          <w:p w14:paraId="4EDACE2C" w14:textId="77777777" w:rsidR="008B216C" w:rsidRPr="00F07713" w:rsidRDefault="008B216C" w:rsidP="00A94196">
            <w:pPr>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
        </w:tc>
        <w:tc>
          <w:tcPr>
            <w:tcW w:w="2181" w:type="dxa"/>
            <w:noWrap/>
            <w:hideMark/>
          </w:tcPr>
          <w:p w14:paraId="3B244C3F"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eastAsia="Times New Roman" w:cs="Arial"/>
                <w:color w:val="000000"/>
                <w:sz w:val="20"/>
                <w:szCs w:val="20"/>
                <w:lang w:eastAsia="en-GB"/>
              </w:rPr>
              <w:t>9125000</w:t>
            </w:r>
          </w:p>
        </w:tc>
        <w:tc>
          <w:tcPr>
            <w:tcW w:w="1273" w:type="dxa"/>
            <w:vAlign w:val="center"/>
          </w:tcPr>
          <w:p w14:paraId="7A8DD3B1" w14:textId="77777777" w:rsidR="008B216C" w:rsidRPr="00F07713" w:rsidRDefault="008B216C" w:rsidP="00A94196">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F07713">
              <w:rPr>
                <w:rFonts w:cs="Arial"/>
                <w:color w:val="000000"/>
                <w:sz w:val="20"/>
                <w:szCs w:val="20"/>
              </w:rPr>
              <w:t xml:space="preserve">2,190,000 </w:t>
            </w:r>
          </w:p>
        </w:tc>
      </w:tr>
    </w:tbl>
    <w:p w14:paraId="34CA79BB" w14:textId="594F3D00" w:rsidR="008B216C" w:rsidRDefault="008B216C" w:rsidP="008B216C">
      <w:pPr>
        <w:pStyle w:val="Caption"/>
        <w:keepNext/>
      </w:pPr>
      <w:bookmarkStart w:id="359" w:name="_Ref48938676"/>
      <w:bookmarkStart w:id="360" w:name="_Toc50359185"/>
      <w:r>
        <w:lastRenderedPageBreak/>
        <w:t xml:space="preserve">Table </w:t>
      </w:r>
      <w:fldSimple w:instr=" SEQ Table \* ARABIC ">
        <w:r w:rsidR="00C24ED6">
          <w:rPr>
            <w:noProof/>
          </w:rPr>
          <w:t>32</w:t>
        </w:r>
      </w:fldSimple>
      <w:bookmarkEnd w:id="359"/>
      <w:r w:rsidR="00750B2D">
        <w:t xml:space="preserve">: </w:t>
      </w:r>
      <w:r>
        <w:t>Estimated CAPEX (£) and OPEX (£) of central PSA equipment for a range of capacities, with a hydrogen concentration inlet of 10% and 20% by vol.</w:t>
      </w:r>
      <w:bookmarkEnd w:id="360"/>
    </w:p>
    <w:tbl>
      <w:tblPr>
        <w:tblStyle w:val="PlainTable2"/>
        <w:tblW w:w="5695" w:type="dxa"/>
        <w:jc w:val="center"/>
        <w:tblLook w:val="04A0" w:firstRow="1" w:lastRow="0" w:firstColumn="1" w:lastColumn="0" w:noHBand="0" w:noVBand="1"/>
      </w:tblPr>
      <w:tblGrid>
        <w:gridCol w:w="710"/>
        <w:gridCol w:w="2048"/>
        <w:gridCol w:w="1537"/>
        <w:gridCol w:w="1400"/>
      </w:tblGrid>
      <w:tr w:rsidR="008B216C" w:rsidRPr="00E34268" w14:paraId="4C73CEC0" w14:textId="77777777" w:rsidTr="00750B2D">
        <w:trPr>
          <w:cnfStyle w:val="100000000000" w:firstRow="1" w:lastRow="0" w:firstColumn="0" w:lastColumn="0" w:oddVBand="0" w:evenVBand="0" w:oddHBand="0" w:evenHBand="0" w:firstRowFirstColumn="0" w:firstRowLastColumn="0" w:lastRowFirstColumn="0" w:lastRowLastColumn="0"/>
          <w:trHeight w:val="91"/>
          <w:jc w:val="center"/>
        </w:trPr>
        <w:tc>
          <w:tcPr>
            <w:cnfStyle w:val="001000000000" w:firstRow="0" w:lastRow="0" w:firstColumn="1" w:lastColumn="0" w:oddVBand="0" w:evenVBand="0" w:oddHBand="0" w:evenHBand="0" w:firstRowFirstColumn="0" w:firstRowLastColumn="0" w:lastRowFirstColumn="0" w:lastRowLastColumn="0"/>
            <w:tcW w:w="709" w:type="dxa"/>
            <w:tcBorders>
              <w:bottom w:val="single" w:sz="12" w:space="0" w:color="7F7F7F" w:themeColor="text1" w:themeTint="80"/>
            </w:tcBorders>
            <w:noWrap/>
            <w:hideMark/>
          </w:tcPr>
          <w:p w14:paraId="56ACD2D3" w14:textId="77777777" w:rsidR="008B216C" w:rsidRPr="00E34268" w:rsidRDefault="008B216C" w:rsidP="006E55EB">
            <w:pPr>
              <w:spacing w:before="0" w:after="0"/>
              <w:rPr>
                <w:rFonts w:ascii="Times New Roman" w:eastAsia="Times New Roman" w:hAnsi="Times New Roman" w:cs="Times New Roman"/>
                <w:sz w:val="20"/>
                <w:szCs w:val="20"/>
                <w:lang w:eastAsia="en-GB"/>
              </w:rPr>
            </w:pPr>
          </w:p>
        </w:tc>
        <w:tc>
          <w:tcPr>
            <w:tcW w:w="0" w:type="auto"/>
            <w:tcBorders>
              <w:bottom w:val="single" w:sz="12" w:space="0" w:color="7F7F7F" w:themeColor="text1" w:themeTint="80"/>
            </w:tcBorders>
            <w:noWrap/>
            <w:vAlign w:val="center"/>
            <w:hideMark/>
          </w:tcPr>
          <w:p w14:paraId="3F20C4F7" w14:textId="77777777" w:rsidR="008B216C" w:rsidRPr="00E34268" w:rsidRDefault="008B216C" w:rsidP="006E55EB">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eastAsia="Times New Roman" w:cs="Arial"/>
                <w:color w:val="000000"/>
                <w:sz w:val="20"/>
                <w:szCs w:val="20"/>
                <w:lang w:eastAsia="en-GB"/>
              </w:rPr>
              <w:t>Capacity (kW)</w:t>
            </w:r>
          </w:p>
        </w:tc>
        <w:tc>
          <w:tcPr>
            <w:tcW w:w="0" w:type="auto"/>
            <w:tcBorders>
              <w:bottom w:val="single" w:sz="12" w:space="0" w:color="7F7F7F" w:themeColor="text1" w:themeTint="80"/>
            </w:tcBorders>
            <w:noWrap/>
            <w:vAlign w:val="center"/>
            <w:hideMark/>
          </w:tcPr>
          <w:p w14:paraId="6731092D" w14:textId="77777777" w:rsidR="008B216C" w:rsidRPr="00E34268" w:rsidRDefault="008B216C" w:rsidP="006E55EB">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eastAsia="Times New Roman" w:cs="Arial"/>
                <w:color w:val="000000"/>
                <w:sz w:val="20"/>
                <w:szCs w:val="20"/>
                <w:lang w:eastAsia="en-GB"/>
              </w:rPr>
              <w:t>CAPEX (£)</w:t>
            </w:r>
          </w:p>
        </w:tc>
        <w:tc>
          <w:tcPr>
            <w:tcW w:w="0" w:type="auto"/>
            <w:tcBorders>
              <w:bottom w:val="single" w:sz="12" w:space="0" w:color="7F7F7F" w:themeColor="text1" w:themeTint="80"/>
            </w:tcBorders>
            <w:noWrap/>
            <w:vAlign w:val="center"/>
            <w:hideMark/>
          </w:tcPr>
          <w:p w14:paraId="5F39EE32" w14:textId="77777777" w:rsidR="008B216C" w:rsidRPr="00E34268" w:rsidRDefault="008B216C" w:rsidP="006E55EB">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eastAsia="Times New Roman" w:cs="Arial"/>
                <w:color w:val="000000"/>
                <w:sz w:val="20"/>
                <w:szCs w:val="20"/>
                <w:lang w:eastAsia="en-GB"/>
              </w:rPr>
              <w:t>OPEX (£)</w:t>
            </w:r>
          </w:p>
        </w:tc>
      </w:tr>
      <w:tr w:rsidR="008B216C" w:rsidRPr="00E34268" w14:paraId="498704FF" w14:textId="77777777" w:rsidTr="00750B2D">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12" w:space="0" w:color="7F7F7F" w:themeColor="text1" w:themeTint="80"/>
            </w:tcBorders>
            <w:noWrap/>
            <w:textDirection w:val="btLr"/>
            <w:hideMark/>
          </w:tcPr>
          <w:p w14:paraId="11CF8CBF" w14:textId="35690D7B" w:rsidR="008B216C" w:rsidRPr="00E34268" w:rsidRDefault="008B216C" w:rsidP="006E55EB">
            <w:pPr>
              <w:spacing w:before="0" w:after="0"/>
              <w:ind w:left="113" w:right="113"/>
              <w:jc w:val="center"/>
              <w:rPr>
                <w:rFonts w:eastAsia="Times New Roman" w:cs="Arial"/>
                <w:color w:val="000000"/>
                <w:sz w:val="20"/>
                <w:szCs w:val="20"/>
                <w:lang w:eastAsia="en-GB"/>
              </w:rPr>
            </w:pPr>
            <w:r w:rsidRPr="00E34268">
              <w:rPr>
                <w:rFonts w:eastAsia="Times New Roman" w:cs="Arial"/>
                <w:color w:val="000000"/>
                <w:sz w:val="20"/>
                <w:szCs w:val="20"/>
                <w:lang w:eastAsia="en-GB"/>
              </w:rPr>
              <w:t>10%</w:t>
            </w:r>
            <w:r w:rsidRPr="00E34268">
              <w:rPr>
                <w:rFonts w:eastAsia="Times New Roman" w:cs="Arial"/>
                <w:color w:val="000000"/>
                <w:sz w:val="20"/>
                <w:szCs w:val="20"/>
                <w:vertAlign w:val="subscript"/>
                <w:lang w:eastAsia="en-GB"/>
              </w:rPr>
              <w:t>vol</w:t>
            </w:r>
            <w:r w:rsidRPr="00E34268">
              <w:rPr>
                <w:rFonts w:eastAsia="Times New Roman" w:cs="Arial"/>
                <w:color w:val="000000"/>
                <w:sz w:val="20"/>
                <w:szCs w:val="20"/>
                <w:lang w:eastAsia="en-GB"/>
              </w:rPr>
              <w:t xml:space="preserve"> Hydrogen Inlet Conc</w:t>
            </w:r>
            <w:r w:rsidR="00750B2D">
              <w:rPr>
                <w:rFonts w:eastAsia="Times New Roman" w:cs="Arial"/>
                <w:color w:val="000000"/>
                <w:sz w:val="20"/>
                <w:szCs w:val="20"/>
                <w:lang w:eastAsia="en-GB"/>
              </w:rPr>
              <w:t>.</w:t>
            </w:r>
          </w:p>
        </w:tc>
        <w:tc>
          <w:tcPr>
            <w:tcW w:w="0" w:type="auto"/>
            <w:tcBorders>
              <w:top w:val="single" w:sz="12" w:space="0" w:color="7F7F7F" w:themeColor="text1" w:themeTint="80"/>
            </w:tcBorders>
            <w:noWrap/>
            <w:vAlign w:val="center"/>
            <w:hideMark/>
          </w:tcPr>
          <w:p w14:paraId="62572B90"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139</w:t>
            </w:r>
          </w:p>
        </w:tc>
        <w:tc>
          <w:tcPr>
            <w:tcW w:w="0" w:type="auto"/>
            <w:tcBorders>
              <w:top w:val="single" w:sz="12" w:space="0" w:color="7F7F7F" w:themeColor="text1" w:themeTint="80"/>
            </w:tcBorders>
            <w:noWrap/>
            <w:vAlign w:val="bottom"/>
            <w:hideMark/>
          </w:tcPr>
          <w:p w14:paraId="452F2BA6" w14:textId="27ABDC89"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611,649</w:t>
            </w:r>
          </w:p>
        </w:tc>
        <w:tc>
          <w:tcPr>
            <w:tcW w:w="0" w:type="auto"/>
            <w:tcBorders>
              <w:top w:val="single" w:sz="12" w:space="0" w:color="7F7F7F" w:themeColor="text1" w:themeTint="80"/>
            </w:tcBorders>
            <w:noWrap/>
            <w:vAlign w:val="bottom"/>
            <w:hideMark/>
          </w:tcPr>
          <w:p w14:paraId="3DAA4E34" w14:textId="69CEC7E2"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300,811</w:t>
            </w:r>
          </w:p>
        </w:tc>
      </w:tr>
      <w:tr w:rsidR="008B216C" w:rsidRPr="00E34268" w14:paraId="344A162E"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5BD777E3"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741F23B7"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208</w:t>
            </w:r>
          </w:p>
        </w:tc>
        <w:tc>
          <w:tcPr>
            <w:tcW w:w="0" w:type="auto"/>
            <w:noWrap/>
            <w:vAlign w:val="bottom"/>
            <w:hideMark/>
          </w:tcPr>
          <w:p w14:paraId="69AA2507" w14:textId="2B8D351E"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578,714</w:t>
            </w:r>
          </w:p>
        </w:tc>
        <w:tc>
          <w:tcPr>
            <w:tcW w:w="0" w:type="auto"/>
            <w:noWrap/>
            <w:vAlign w:val="bottom"/>
            <w:hideMark/>
          </w:tcPr>
          <w:p w14:paraId="3F5B7FFE" w14:textId="21F03A83"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284,614</w:t>
            </w:r>
          </w:p>
        </w:tc>
      </w:tr>
      <w:tr w:rsidR="008B216C" w:rsidRPr="00E34268" w14:paraId="26970489"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1941B390"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08924E6B"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312</w:t>
            </w:r>
          </w:p>
        </w:tc>
        <w:tc>
          <w:tcPr>
            <w:tcW w:w="0" w:type="auto"/>
            <w:noWrap/>
            <w:vAlign w:val="bottom"/>
            <w:hideMark/>
          </w:tcPr>
          <w:p w14:paraId="6FD70DB3" w14:textId="5EB859FE"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677,519</w:t>
            </w:r>
          </w:p>
        </w:tc>
        <w:tc>
          <w:tcPr>
            <w:tcW w:w="0" w:type="auto"/>
            <w:noWrap/>
            <w:vAlign w:val="bottom"/>
            <w:hideMark/>
          </w:tcPr>
          <w:p w14:paraId="28357A06" w14:textId="33630E0E"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333,206</w:t>
            </w:r>
          </w:p>
        </w:tc>
      </w:tr>
      <w:tr w:rsidR="008B216C" w:rsidRPr="00E34268" w14:paraId="24F2447A"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0A95B2C5"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2BF7EF7B"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444</w:t>
            </w:r>
          </w:p>
        </w:tc>
        <w:tc>
          <w:tcPr>
            <w:tcW w:w="0" w:type="auto"/>
            <w:noWrap/>
            <w:vAlign w:val="bottom"/>
            <w:hideMark/>
          </w:tcPr>
          <w:p w14:paraId="61AB1933" w14:textId="5BFB9F4E"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813,023</w:t>
            </w:r>
          </w:p>
        </w:tc>
        <w:tc>
          <w:tcPr>
            <w:tcW w:w="0" w:type="auto"/>
            <w:noWrap/>
            <w:vAlign w:val="bottom"/>
            <w:hideMark/>
          </w:tcPr>
          <w:p w14:paraId="7BF2995B" w14:textId="657B130A"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399,847</w:t>
            </w:r>
          </w:p>
        </w:tc>
      </w:tr>
      <w:tr w:rsidR="008B216C" w:rsidRPr="00E34268" w14:paraId="36605B4D"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7D39BF14"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2B645C66"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555</w:t>
            </w:r>
          </w:p>
        </w:tc>
        <w:tc>
          <w:tcPr>
            <w:tcW w:w="0" w:type="auto"/>
            <w:noWrap/>
            <w:vAlign w:val="bottom"/>
            <w:hideMark/>
          </w:tcPr>
          <w:p w14:paraId="443991E4" w14:textId="51C894AE"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884,539</w:t>
            </w:r>
          </w:p>
        </w:tc>
        <w:tc>
          <w:tcPr>
            <w:tcW w:w="0" w:type="auto"/>
            <w:noWrap/>
            <w:vAlign w:val="bottom"/>
            <w:hideMark/>
          </w:tcPr>
          <w:p w14:paraId="6F9EB3B0" w14:textId="6018CED6"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435,019</w:t>
            </w:r>
          </w:p>
        </w:tc>
      </w:tr>
      <w:tr w:rsidR="008B216C" w:rsidRPr="00E34268" w14:paraId="16556D7D"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299B7643"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4C14A149"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666</w:t>
            </w:r>
          </w:p>
        </w:tc>
        <w:tc>
          <w:tcPr>
            <w:tcW w:w="0" w:type="auto"/>
            <w:noWrap/>
            <w:vAlign w:val="bottom"/>
            <w:hideMark/>
          </w:tcPr>
          <w:p w14:paraId="4E7C4928" w14:textId="30C36FAB"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948,527</w:t>
            </w:r>
          </w:p>
        </w:tc>
        <w:tc>
          <w:tcPr>
            <w:tcW w:w="0" w:type="auto"/>
            <w:noWrap/>
            <w:vAlign w:val="bottom"/>
            <w:hideMark/>
          </w:tcPr>
          <w:p w14:paraId="110F62FE" w14:textId="01B29D5E"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466,489</w:t>
            </w:r>
          </w:p>
        </w:tc>
      </w:tr>
      <w:tr w:rsidR="008B216C" w:rsidRPr="00E34268" w14:paraId="179FA22F"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66560543"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0D14C5AB"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763</w:t>
            </w:r>
          </w:p>
        </w:tc>
        <w:tc>
          <w:tcPr>
            <w:tcW w:w="0" w:type="auto"/>
            <w:noWrap/>
            <w:vAlign w:val="bottom"/>
            <w:hideMark/>
          </w:tcPr>
          <w:p w14:paraId="70EFDAEE" w14:textId="7AAF108F"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1,009,221</w:t>
            </w:r>
          </w:p>
        </w:tc>
        <w:tc>
          <w:tcPr>
            <w:tcW w:w="0" w:type="auto"/>
            <w:noWrap/>
            <w:vAlign w:val="bottom"/>
            <w:hideMark/>
          </w:tcPr>
          <w:p w14:paraId="3CAEC3F0" w14:textId="03543768"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496,338</w:t>
            </w:r>
          </w:p>
        </w:tc>
      </w:tr>
      <w:tr w:rsidR="008B216C" w:rsidRPr="00E34268" w14:paraId="682944C8"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621DB04D"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280161E6"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860</w:t>
            </w:r>
          </w:p>
        </w:tc>
        <w:tc>
          <w:tcPr>
            <w:tcW w:w="0" w:type="auto"/>
            <w:noWrap/>
            <w:vAlign w:val="bottom"/>
            <w:hideMark/>
          </w:tcPr>
          <w:p w14:paraId="58158BEC" w14:textId="7DFF5454"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1,020,984</w:t>
            </w:r>
          </w:p>
        </w:tc>
        <w:tc>
          <w:tcPr>
            <w:tcW w:w="0" w:type="auto"/>
            <w:noWrap/>
            <w:vAlign w:val="bottom"/>
            <w:hideMark/>
          </w:tcPr>
          <w:p w14:paraId="4DA5AEA1" w14:textId="7983E303"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502,123</w:t>
            </w:r>
          </w:p>
        </w:tc>
      </w:tr>
      <w:tr w:rsidR="008B216C" w:rsidRPr="00E34268" w14:paraId="6D20BC3A"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124094E2"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529C6EFA"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992</w:t>
            </w:r>
          </w:p>
        </w:tc>
        <w:tc>
          <w:tcPr>
            <w:tcW w:w="0" w:type="auto"/>
            <w:noWrap/>
            <w:vAlign w:val="bottom"/>
            <w:hideMark/>
          </w:tcPr>
          <w:p w14:paraId="565A5498" w14:textId="0DD64E6F"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1,110,144</w:t>
            </w:r>
          </w:p>
        </w:tc>
        <w:tc>
          <w:tcPr>
            <w:tcW w:w="0" w:type="auto"/>
            <w:noWrap/>
            <w:vAlign w:val="bottom"/>
            <w:hideMark/>
          </w:tcPr>
          <w:p w14:paraId="626C3B03" w14:textId="5498E024"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545,972</w:t>
            </w:r>
          </w:p>
        </w:tc>
      </w:tr>
      <w:tr w:rsidR="008B216C" w:rsidRPr="00E34268" w14:paraId="40A2645F" w14:textId="77777777" w:rsidTr="00750B2D">
        <w:trPr>
          <w:trHeight w:val="72"/>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1BE1EA9E"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44F27874"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1110</w:t>
            </w:r>
          </w:p>
        </w:tc>
        <w:tc>
          <w:tcPr>
            <w:tcW w:w="0" w:type="auto"/>
            <w:noWrap/>
            <w:vAlign w:val="bottom"/>
            <w:hideMark/>
          </w:tcPr>
          <w:p w14:paraId="2503D7CE" w14:textId="409D3ACD"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1,204,479</w:t>
            </w:r>
          </w:p>
        </w:tc>
        <w:tc>
          <w:tcPr>
            <w:tcW w:w="0" w:type="auto"/>
            <w:noWrap/>
            <w:vAlign w:val="bottom"/>
            <w:hideMark/>
          </w:tcPr>
          <w:p w14:paraId="1F7AAF43" w14:textId="5AD818E8"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592,367</w:t>
            </w:r>
          </w:p>
        </w:tc>
      </w:tr>
      <w:tr w:rsidR="008B216C" w:rsidRPr="00E34268" w14:paraId="364A7913" w14:textId="77777777" w:rsidTr="00750B2D">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709" w:type="dxa"/>
            <w:vMerge/>
            <w:tcBorders>
              <w:bottom w:val="single" w:sz="12" w:space="0" w:color="7F7F7F" w:themeColor="text1" w:themeTint="80"/>
            </w:tcBorders>
            <w:hideMark/>
          </w:tcPr>
          <w:p w14:paraId="30F171D8" w14:textId="77777777" w:rsidR="008B216C" w:rsidRPr="00E34268" w:rsidRDefault="008B216C" w:rsidP="006E55EB">
            <w:pPr>
              <w:spacing w:before="0" w:after="0"/>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hideMark/>
          </w:tcPr>
          <w:p w14:paraId="39A9436F"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1388</w:t>
            </w:r>
          </w:p>
        </w:tc>
        <w:tc>
          <w:tcPr>
            <w:tcW w:w="0" w:type="auto"/>
            <w:tcBorders>
              <w:bottom w:val="single" w:sz="12" w:space="0" w:color="7F7F7F" w:themeColor="text1" w:themeTint="80"/>
            </w:tcBorders>
            <w:noWrap/>
            <w:vAlign w:val="bottom"/>
            <w:hideMark/>
          </w:tcPr>
          <w:p w14:paraId="2D8CDC9B" w14:textId="24EF3833"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1,411,499</w:t>
            </w:r>
          </w:p>
        </w:tc>
        <w:tc>
          <w:tcPr>
            <w:tcW w:w="0" w:type="auto"/>
            <w:tcBorders>
              <w:bottom w:val="single" w:sz="12" w:space="0" w:color="7F7F7F" w:themeColor="text1" w:themeTint="80"/>
            </w:tcBorders>
            <w:noWrap/>
            <w:vAlign w:val="bottom"/>
            <w:hideMark/>
          </w:tcPr>
          <w:p w14:paraId="0FF7F3A3" w14:textId="0ACA6250"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694,180</w:t>
            </w:r>
          </w:p>
        </w:tc>
      </w:tr>
      <w:tr w:rsidR="008B216C" w:rsidRPr="00E34268" w14:paraId="4C5E9229" w14:textId="77777777" w:rsidTr="00750B2D">
        <w:trPr>
          <w:trHeight w:val="50"/>
          <w:jc w:val="center"/>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12" w:space="0" w:color="7F7F7F" w:themeColor="text1" w:themeTint="80"/>
            </w:tcBorders>
            <w:noWrap/>
            <w:textDirection w:val="btLr"/>
            <w:hideMark/>
          </w:tcPr>
          <w:p w14:paraId="6213A4F8" w14:textId="1A36FDEE" w:rsidR="008B216C" w:rsidRPr="00E34268" w:rsidRDefault="008B216C" w:rsidP="006E55EB">
            <w:pPr>
              <w:spacing w:before="0" w:after="0"/>
              <w:ind w:left="113" w:right="113"/>
              <w:jc w:val="center"/>
              <w:rPr>
                <w:rFonts w:eastAsia="Times New Roman" w:cs="Arial"/>
                <w:color w:val="000000"/>
                <w:sz w:val="20"/>
                <w:szCs w:val="20"/>
                <w:lang w:eastAsia="en-GB"/>
              </w:rPr>
            </w:pPr>
            <w:r w:rsidRPr="00E34268">
              <w:rPr>
                <w:rFonts w:eastAsia="Times New Roman" w:cs="Arial"/>
                <w:color w:val="000000"/>
                <w:sz w:val="20"/>
                <w:szCs w:val="20"/>
                <w:lang w:eastAsia="en-GB"/>
              </w:rPr>
              <w:t>20%</w:t>
            </w:r>
            <w:r w:rsidRPr="00E34268">
              <w:rPr>
                <w:rFonts w:eastAsia="Times New Roman" w:cs="Arial"/>
                <w:color w:val="000000"/>
                <w:sz w:val="20"/>
                <w:szCs w:val="20"/>
                <w:vertAlign w:val="subscript"/>
                <w:lang w:eastAsia="en-GB"/>
              </w:rPr>
              <w:t>vol</w:t>
            </w:r>
            <w:r w:rsidRPr="00E34268">
              <w:rPr>
                <w:rFonts w:eastAsia="Times New Roman" w:cs="Arial"/>
                <w:color w:val="000000"/>
                <w:sz w:val="20"/>
                <w:szCs w:val="20"/>
                <w:lang w:eastAsia="en-GB"/>
              </w:rPr>
              <w:t xml:space="preserve"> Hydrogen Inlet Conc</w:t>
            </w:r>
            <w:r w:rsidR="00750B2D">
              <w:rPr>
                <w:rFonts w:eastAsia="Times New Roman" w:cs="Arial"/>
                <w:color w:val="000000"/>
                <w:sz w:val="20"/>
                <w:szCs w:val="20"/>
                <w:lang w:eastAsia="en-GB"/>
              </w:rPr>
              <w:t>.</w:t>
            </w:r>
          </w:p>
        </w:tc>
        <w:tc>
          <w:tcPr>
            <w:tcW w:w="0" w:type="auto"/>
            <w:tcBorders>
              <w:top w:val="single" w:sz="12" w:space="0" w:color="7F7F7F" w:themeColor="text1" w:themeTint="80"/>
            </w:tcBorders>
            <w:noWrap/>
            <w:vAlign w:val="center"/>
            <w:hideMark/>
          </w:tcPr>
          <w:p w14:paraId="26AC9A7B"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139</w:t>
            </w:r>
          </w:p>
        </w:tc>
        <w:tc>
          <w:tcPr>
            <w:tcW w:w="0" w:type="auto"/>
            <w:tcBorders>
              <w:top w:val="single" w:sz="12" w:space="0" w:color="7F7F7F" w:themeColor="text1" w:themeTint="80"/>
            </w:tcBorders>
            <w:noWrap/>
            <w:vAlign w:val="bottom"/>
            <w:hideMark/>
          </w:tcPr>
          <w:p w14:paraId="46AF3919" w14:textId="4A20FCCA"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531,664</w:t>
            </w:r>
          </w:p>
        </w:tc>
        <w:tc>
          <w:tcPr>
            <w:tcW w:w="0" w:type="auto"/>
            <w:tcBorders>
              <w:top w:val="single" w:sz="12" w:space="0" w:color="7F7F7F" w:themeColor="text1" w:themeTint="80"/>
            </w:tcBorders>
            <w:noWrap/>
            <w:vAlign w:val="bottom"/>
            <w:hideMark/>
          </w:tcPr>
          <w:p w14:paraId="4B2E5ACF" w14:textId="44AE0554"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261,474</w:t>
            </w:r>
          </w:p>
        </w:tc>
      </w:tr>
      <w:tr w:rsidR="008B216C" w:rsidRPr="00E34268" w14:paraId="60385EBA"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631A1C5D"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7BBF0415"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208</w:t>
            </w:r>
          </w:p>
        </w:tc>
        <w:tc>
          <w:tcPr>
            <w:tcW w:w="0" w:type="auto"/>
            <w:noWrap/>
            <w:vAlign w:val="bottom"/>
            <w:hideMark/>
          </w:tcPr>
          <w:p w14:paraId="6A0C93D6" w14:textId="3CD47762"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508,139</w:t>
            </w:r>
          </w:p>
        </w:tc>
        <w:tc>
          <w:tcPr>
            <w:tcW w:w="0" w:type="auto"/>
            <w:noWrap/>
            <w:vAlign w:val="bottom"/>
            <w:hideMark/>
          </w:tcPr>
          <w:p w14:paraId="7F905C78" w14:textId="6718BA3F"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249,905</w:t>
            </w:r>
          </w:p>
        </w:tc>
      </w:tr>
      <w:tr w:rsidR="008B216C" w:rsidRPr="00E34268" w14:paraId="67EEBFB4"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6D96FE94"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54B15B04"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312</w:t>
            </w:r>
          </w:p>
        </w:tc>
        <w:tc>
          <w:tcPr>
            <w:tcW w:w="0" w:type="auto"/>
            <w:noWrap/>
            <w:vAlign w:val="bottom"/>
            <w:hideMark/>
          </w:tcPr>
          <w:p w14:paraId="32FD8DFB" w14:textId="3611611F"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614,002</w:t>
            </w:r>
          </w:p>
        </w:tc>
        <w:tc>
          <w:tcPr>
            <w:tcW w:w="0" w:type="auto"/>
            <w:noWrap/>
            <w:vAlign w:val="bottom"/>
            <w:hideMark/>
          </w:tcPr>
          <w:p w14:paraId="443CB4BE" w14:textId="245A267B"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301,968</w:t>
            </w:r>
          </w:p>
        </w:tc>
      </w:tr>
      <w:tr w:rsidR="008B216C" w:rsidRPr="00E34268" w14:paraId="29FE62A4"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4D3D3EB2"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419B187E"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444</w:t>
            </w:r>
          </w:p>
        </w:tc>
        <w:tc>
          <w:tcPr>
            <w:tcW w:w="0" w:type="auto"/>
            <w:noWrap/>
            <w:vAlign w:val="bottom"/>
            <w:hideMark/>
          </w:tcPr>
          <w:p w14:paraId="76076DD7" w14:textId="3F28B2B6"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722,687</w:t>
            </w:r>
          </w:p>
        </w:tc>
        <w:tc>
          <w:tcPr>
            <w:tcW w:w="0" w:type="auto"/>
            <w:noWrap/>
            <w:vAlign w:val="bottom"/>
            <w:hideMark/>
          </w:tcPr>
          <w:p w14:paraId="160DC9AB" w14:textId="58A7E43D"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355,420</w:t>
            </w:r>
          </w:p>
        </w:tc>
      </w:tr>
      <w:tr w:rsidR="008B216C" w:rsidRPr="00E34268" w14:paraId="7D695C1C"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1F1AE5ED"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65F37F59"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555</w:t>
            </w:r>
          </w:p>
        </w:tc>
        <w:tc>
          <w:tcPr>
            <w:tcW w:w="0" w:type="auto"/>
            <w:noWrap/>
            <w:vAlign w:val="bottom"/>
            <w:hideMark/>
          </w:tcPr>
          <w:p w14:paraId="496979C2" w14:textId="375BAD86"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771,619</w:t>
            </w:r>
          </w:p>
        </w:tc>
        <w:tc>
          <w:tcPr>
            <w:tcW w:w="0" w:type="auto"/>
            <w:noWrap/>
            <w:vAlign w:val="bottom"/>
            <w:hideMark/>
          </w:tcPr>
          <w:p w14:paraId="6E70EE0D" w14:textId="412480C5"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379,485</w:t>
            </w:r>
          </w:p>
        </w:tc>
      </w:tr>
      <w:tr w:rsidR="008B216C" w:rsidRPr="00E34268" w14:paraId="0613C39F"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4DFF93E2"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60D92CBA"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666</w:t>
            </w:r>
          </w:p>
        </w:tc>
        <w:tc>
          <w:tcPr>
            <w:tcW w:w="0" w:type="auto"/>
            <w:noWrap/>
            <w:vAlign w:val="bottom"/>
            <w:hideMark/>
          </w:tcPr>
          <w:p w14:paraId="0695BD6E" w14:textId="77A76A52"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813,023</w:t>
            </w:r>
          </w:p>
        </w:tc>
        <w:tc>
          <w:tcPr>
            <w:tcW w:w="0" w:type="auto"/>
            <w:noWrap/>
            <w:vAlign w:val="bottom"/>
            <w:hideMark/>
          </w:tcPr>
          <w:p w14:paraId="3990E0FB" w14:textId="50C36570"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399,847</w:t>
            </w:r>
          </w:p>
        </w:tc>
      </w:tr>
      <w:tr w:rsidR="008B216C" w:rsidRPr="00E34268" w14:paraId="7C40BCCA"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3F445459"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3B64ACE7"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763</w:t>
            </w:r>
          </w:p>
        </w:tc>
        <w:tc>
          <w:tcPr>
            <w:tcW w:w="0" w:type="auto"/>
            <w:noWrap/>
            <w:vAlign w:val="bottom"/>
            <w:hideMark/>
          </w:tcPr>
          <w:p w14:paraId="2049FA34" w14:textId="5AAA411D"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828,079</w:t>
            </w:r>
          </w:p>
        </w:tc>
        <w:tc>
          <w:tcPr>
            <w:tcW w:w="0" w:type="auto"/>
            <w:noWrap/>
            <w:vAlign w:val="bottom"/>
            <w:hideMark/>
          </w:tcPr>
          <w:p w14:paraId="51106007" w14:textId="458A25CA"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407,252</w:t>
            </w:r>
          </w:p>
        </w:tc>
      </w:tr>
      <w:tr w:rsidR="008B216C" w:rsidRPr="00E34268" w14:paraId="0316CD95"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5A977FD3"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010FB7F8"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860</w:t>
            </w:r>
          </w:p>
        </w:tc>
        <w:tc>
          <w:tcPr>
            <w:tcW w:w="0" w:type="auto"/>
            <w:noWrap/>
            <w:vAlign w:val="bottom"/>
            <w:hideMark/>
          </w:tcPr>
          <w:p w14:paraId="5311514D" w14:textId="10268B4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845,958</w:t>
            </w:r>
          </w:p>
        </w:tc>
        <w:tc>
          <w:tcPr>
            <w:tcW w:w="0" w:type="auto"/>
            <w:noWrap/>
            <w:vAlign w:val="bottom"/>
            <w:hideMark/>
          </w:tcPr>
          <w:p w14:paraId="5A68D741" w14:textId="38DA5160"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416,045</w:t>
            </w:r>
          </w:p>
        </w:tc>
      </w:tr>
      <w:tr w:rsidR="008B216C" w:rsidRPr="00E34268" w14:paraId="424FF2F6"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1CD96F00"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5C840A5F"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992</w:t>
            </w:r>
          </w:p>
        </w:tc>
        <w:tc>
          <w:tcPr>
            <w:tcW w:w="0" w:type="auto"/>
            <w:noWrap/>
            <w:vAlign w:val="bottom"/>
            <w:hideMark/>
          </w:tcPr>
          <w:p w14:paraId="508ED845" w14:textId="27CA7FCA"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908,299</w:t>
            </w:r>
          </w:p>
        </w:tc>
        <w:tc>
          <w:tcPr>
            <w:tcW w:w="0" w:type="auto"/>
            <w:noWrap/>
            <w:vAlign w:val="bottom"/>
            <w:hideMark/>
          </w:tcPr>
          <w:p w14:paraId="130BAF47" w14:textId="766116A0"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446,705</w:t>
            </w:r>
          </w:p>
        </w:tc>
      </w:tr>
      <w:tr w:rsidR="008B216C" w:rsidRPr="00E34268" w14:paraId="7F9EDF7E" w14:textId="77777777" w:rsidTr="00750B2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10289BBD" w14:textId="77777777" w:rsidR="008B216C" w:rsidRPr="00E34268" w:rsidRDefault="008B216C" w:rsidP="006E55EB">
            <w:pPr>
              <w:spacing w:before="0" w:after="0"/>
              <w:rPr>
                <w:rFonts w:eastAsia="Times New Roman" w:cs="Arial"/>
                <w:color w:val="000000"/>
                <w:sz w:val="20"/>
                <w:szCs w:val="20"/>
                <w:lang w:eastAsia="en-GB"/>
              </w:rPr>
            </w:pPr>
          </w:p>
        </w:tc>
        <w:tc>
          <w:tcPr>
            <w:tcW w:w="0" w:type="auto"/>
            <w:noWrap/>
            <w:vAlign w:val="center"/>
            <w:hideMark/>
          </w:tcPr>
          <w:p w14:paraId="00EB695F" w14:textId="77777777"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1110</w:t>
            </w:r>
          </w:p>
        </w:tc>
        <w:tc>
          <w:tcPr>
            <w:tcW w:w="0" w:type="auto"/>
            <w:noWrap/>
            <w:vAlign w:val="bottom"/>
            <w:hideMark/>
          </w:tcPr>
          <w:p w14:paraId="62360E78" w14:textId="59243899"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978,639</w:t>
            </w:r>
          </w:p>
        </w:tc>
        <w:tc>
          <w:tcPr>
            <w:tcW w:w="0" w:type="auto"/>
            <w:noWrap/>
            <w:vAlign w:val="bottom"/>
            <w:hideMark/>
          </w:tcPr>
          <w:p w14:paraId="4ED5EAD5" w14:textId="63824023" w:rsidR="008B216C" w:rsidRPr="00E34268" w:rsidRDefault="008B216C" w:rsidP="006E55EB">
            <w:pPr>
              <w:spacing w:before="0" w:after="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481,298</w:t>
            </w:r>
          </w:p>
        </w:tc>
      </w:tr>
      <w:tr w:rsidR="008B216C" w:rsidRPr="00E34268" w14:paraId="65BCD1F0" w14:textId="77777777" w:rsidTr="00750B2D">
        <w:trPr>
          <w:trHeight w:val="70"/>
          <w:jc w:val="center"/>
        </w:trPr>
        <w:tc>
          <w:tcPr>
            <w:cnfStyle w:val="001000000000" w:firstRow="0" w:lastRow="0" w:firstColumn="1" w:lastColumn="0" w:oddVBand="0" w:evenVBand="0" w:oddHBand="0" w:evenHBand="0" w:firstRowFirstColumn="0" w:firstRowLastColumn="0" w:lastRowFirstColumn="0" w:lastRowLastColumn="0"/>
            <w:tcW w:w="709" w:type="dxa"/>
            <w:vMerge/>
            <w:tcBorders>
              <w:bottom w:val="single" w:sz="12" w:space="0" w:color="7F7F7F" w:themeColor="text1" w:themeTint="80"/>
            </w:tcBorders>
            <w:hideMark/>
          </w:tcPr>
          <w:p w14:paraId="0CF0D71E" w14:textId="77777777" w:rsidR="008B216C" w:rsidRPr="00E34268" w:rsidRDefault="008B216C" w:rsidP="006E55EB">
            <w:pPr>
              <w:spacing w:before="0" w:after="0"/>
              <w:rPr>
                <w:rFonts w:eastAsia="Times New Roman" w:cs="Arial"/>
                <w:color w:val="000000"/>
                <w:sz w:val="20"/>
                <w:szCs w:val="20"/>
                <w:lang w:eastAsia="en-GB"/>
              </w:rPr>
            </w:pPr>
          </w:p>
        </w:tc>
        <w:tc>
          <w:tcPr>
            <w:tcW w:w="0" w:type="auto"/>
            <w:tcBorders>
              <w:bottom w:val="single" w:sz="12" w:space="0" w:color="7F7F7F" w:themeColor="text1" w:themeTint="80"/>
            </w:tcBorders>
            <w:noWrap/>
            <w:vAlign w:val="center"/>
            <w:hideMark/>
          </w:tcPr>
          <w:p w14:paraId="0E795492" w14:textId="77777777"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1388</w:t>
            </w:r>
          </w:p>
        </w:tc>
        <w:tc>
          <w:tcPr>
            <w:tcW w:w="0" w:type="auto"/>
            <w:tcBorders>
              <w:bottom w:val="single" w:sz="12" w:space="0" w:color="7F7F7F" w:themeColor="text1" w:themeTint="80"/>
            </w:tcBorders>
            <w:noWrap/>
            <w:vAlign w:val="bottom"/>
            <w:hideMark/>
          </w:tcPr>
          <w:p w14:paraId="5FAE2121" w14:textId="2902FF2A"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1,129,199</w:t>
            </w:r>
          </w:p>
        </w:tc>
        <w:tc>
          <w:tcPr>
            <w:tcW w:w="0" w:type="auto"/>
            <w:tcBorders>
              <w:bottom w:val="single" w:sz="12" w:space="0" w:color="7F7F7F" w:themeColor="text1" w:themeTint="80"/>
            </w:tcBorders>
            <w:noWrap/>
            <w:vAlign w:val="bottom"/>
            <w:hideMark/>
          </w:tcPr>
          <w:p w14:paraId="3639E2C1" w14:textId="49803716" w:rsidR="008B216C" w:rsidRPr="00E34268" w:rsidRDefault="008B216C" w:rsidP="006E55EB">
            <w:pPr>
              <w:spacing w:before="0"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E34268">
              <w:rPr>
                <w:rFonts w:cs="Arial"/>
                <w:color w:val="000000"/>
                <w:sz w:val="20"/>
                <w:szCs w:val="20"/>
              </w:rPr>
              <w:t>555,344</w:t>
            </w:r>
          </w:p>
        </w:tc>
      </w:tr>
    </w:tbl>
    <w:tbl>
      <w:tblPr>
        <w:tblStyle w:val="TableGrid"/>
        <w:tblW w:w="1069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5346"/>
      </w:tblGrid>
      <w:tr w:rsidR="008B216C" w14:paraId="26AA41E5" w14:textId="77777777" w:rsidTr="008B216C">
        <w:tc>
          <w:tcPr>
            <w:tcW w:w="5346" w:type="dxa"/>
          </w:tcPr>
          <w:p w14:paraId="7F31A572" w14:textId="77777777" w:rsidR="008B216C" w:rsidRDefault="008B216C" w:rsidP="008B216C">
            <w:pPr>
              <w:keepNext/>
              <w:tabs>
                <w:tab w:val="left" w:pos="1238"/>
              </w:tabs>
            </w:pPr>
            <w:r>
              <w:rPr>
                <w:noProof/>
              </w:rPr>
              <w:lastRenderedPageBreak/>
              <w:drawing>
                <wp:inline distT="0" distB="0" distL="0" distR="0" wp14:anchorId="4E0BBE4F" wp14:editId="2DEF267A">
                  <wp:extent cx="3240000" cy="2520000"/>
                  <wp:effectExtent l="0" t="0" r="0" b="0"/>
                  <wp:docPr id="10" name="Chart 10">
                    <a:extLst xmlns:a="http://schemas.openxmlformats.org/drawingml/2006/main">
                      <a:ext uri="{FF2B5EF4-FFF2-40B4-BE49-F238E27FC236}">
                        <a16:creationId xmlns:a16="http://schemas.microsoft.com/office/drawing/2014/main" id="{0B20741D-A5AB-4C79-AD08-A514F4464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EA4FEFA" w14:textId="1F1D3760" w:rsidR="008B216C" w:rsidRDefault="008B216C" w:rsidP="008B216C">
            <w:pPr>
              <w:pStyle w:val="Caption"/>
            </w:pPr>
            <w:bookmarkStart w:id="361" w:name="_Ref48985874"/>
            <w:bookmarkStart w:id="362" w:name="_Toc50359134"/>
            <w:r>
              <w:t xml:space="preserve">Figure </w:t>
            </w:r>
            <w:fldSimple w:instr=" SEQ Figure \* ARABIC ">
              <w:r w:rsidR="00C24ED6">
                <w:rPr>
                  <w:noProof/>
                </w:rPr>
                <w:t>66</w:t>
              </w:r>
            </w:fldSimple>
            <w:bookmarkEnd w:id="361"/>
            <w:r w:rsidR="00750B2D">
              <w:rPr>
                <w:noProof/>
              </w:rPr>
              <w:t xml:space="preserve">: </w:t>
            </w:r>
            <w:r>
              <w:t>OPEX (£) vs total throughput (kWh) of centralised hydrogen PSA purification, with a 10% hydrogen inlet concentration.</w:t>
            </w:r>
            <w:bookmarkEnd w:id="362"/>
          </w:p>
        </w:tc>
        <w:tc>
          <w:tcPr>
            <w:tcW w:w="5346" w:type="dxa"/>
          </w:tcPr>
          <w:p w14:paraId="0AD67A57" w14:textId="77777777" w:rsidR="008B216C" w:rsidRDefault="008B216C" w:rsidP="008B216C">
            <w:pPr>
              <w:keepNext/>
              <w:tabs>
                <w:tab w:val="left" w:pos="1238"/>
              </w:tabs>
            </w:pPr>
            <w:r>
              <w:rPr>
                <w:noProof/>
              </w:rPr>
              <w:drawing>
                <wp:inline distT="0" distB="0" distL="0" distR="0" wp14:anchorId="5521767D" wp14:editId="4AA3D615">
                  <wp:extent cx="3240000" cy="2520000"/>
                  <wp:effectExtent l="0" t="0" r="0" b="0"/>
                  <wp:docPr id="15" name="Chart 15">
                    <a:extLst xmlns:a="http://schemas.openxmlformats.org/drawingml/2006/main">
                      <a:ext uri="{FF2B5EF4-FFF2-40B4-BE49-F238E27FC236}">
                        <a16:creationId xmlns:a16="http://schemas.microsoft.com/office/drawing/2014/main" id="{30417BC9-2587-4C67-9585-A4DB9FB64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12013F3" w14:textId="11EE3C31" w:rsidR="008B216C" w:rsidRDefault="008B216C" w:rsidP="008B216C">
            <w:pPr>
              <w:pStyle w:val="Caption"/>
            </w:pPr>
            <w:bookmarkStart w:id="363" w:name="_Toc50359135"/>
            <w:r>
              <w:t xml:space="preserve">Figure </w:t>
            </w:r>
            <w:fldSimple w:instr=" SEQ Figure \* ARABIC ">
              <w:r w:rsidR="00C24ED6">
                <w:rPr>
                  <w:noProof/>
                </w:rPr>
                <w:t>67</w:t>
              </w:r>
            </w:fldSimple>
            <w:r w:rsidR="00750B2D">
              <w:rPr>
                <w:noProof/>
              </w:rPr>
              <w:t>:</w:t>
            </w:r>
            <w:r>
              <w:t xml:space="preserve"> CAPEX (£) vs capacity (kW) of centralised hydrogen PSA purification, with a 10% hydrogen inlet concentration.</w:t>
            </w:r>
            <w:bookmarkEnd w:id="363"/>
          </w:p>
        </w:tc>
      </w:tr>
      <w:tr w:rsidR="008B216C" w14:paraId="74A9C539" w14:textId="77777777" w:rsidTr="008B216C">
        <w:tc>
          <w:tcPr>
            <w:tcW w:w="5346" w:type="dxa"/>
          </w:tcPr>
          <w:p w14:paraId="6CAEC841" w14:textId="77777777" w:rsidR="008B216C" w:rsidRDefault="008B216C" w:rsidP="008B216C">
            <w:pPr>
              <w:keepNext/>
              <w:tabs>
                <w:tab w:val="left" w:pos="1238"/>
              </w:tabs>
            </w:pPr>
            <w:r>
              <w:rPr>
                <w:noProof/>
              </w:rPr>
              <w:drawing>
                <wp:inline distT="0" distB="0" distL="0" distR="0" wp14:anchorId="3CF9D9F0" wp14:editId="0A58D393">
                  <wp:extent cx="3240000" cy="2520000"/>
                  <wp:effectExtent l="0" t="0" r="0" b="0"/>
                  <wp:docPr id="16" name="Chart 16">
                    <a:extLst xmlns:a="http://schemas.openxmlformats.org/drawingml/2006/main">
                      <a:ext uri="{FF2B5EF4-FFF2-40B4-BE49-F238E27FC236}">
                        <a16:creationId xmlns:a16="http://schemas.microsoft.com/office/drawing/2014/main" id="{2D4B4A9F-11E2-44B5-8225-9DD00959B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8454C32" w14:textId="4B8838AC" w:rsidR="008B216C" w:rsidRDefault="008B216C" w:rsidP="008B216C">
            <w:pPr>
              <w:pStyle w:val="Caption"/>
            </w:pPr>
            <w:bookmarkStart w:id="364" w:name="_Toc50359136"/>
            <w:r>
              <w:t xml:space="preserve">Figure </w:t>
            </w:r>
            <w:fldSimple w:instr=" SEQ Figure \* ARABIC ">
              <w:r w:rsidR="00C24ED6">
                <w:rPr>
                  <w:noProof/>
                </w:rPr>
                <w:t>68</w:t>
              </w:r>
            </w:fldSimple>
            <w:r w:rsidR="001C1DD0">
              <w:t>:</w:t>
            </w:r>
            <w:r>
              <w:t xml:space="preserve"> OPEX (£) vs total throughput (kWh) of centralised hydrogen PSA purification, with a 20% hydrogen inlet concentration.</w:t>
            </w:r>
            <w:bookmarkEnd w:id="364"/>
          </w:p>
        </w:tc>
        <w:tc>
          <w:tcPr>
            <w:tcW w:w="5346" w:type="dxa"/>
          </w:tcPr>
          <w:p w14:paraId="6588C0E6" w14:textId="77777777" w:rsidR="008B216C" w:rsidRDefault="008B216C" w:rsidP="008B216C">
            <w:pPr>
              <w:keepNext/>
              <w:tabs>
                <w:tab w:val="left" w:pos="1238"/>
              </w:tabs>
            </w:pPr>
            <w:r>
              <w:rPr>
                <w:noProof/>
              </w:rPr>
              <w:drawing>
                <wp:inline distT="0" distB="0" distL="0" distR="0" wp14:anchorId="759DBE51" wp14:editId="0CB9701E">
                  <wp:extent cx="3240000" cy="2520000"/>
                  <wp:effectExtent l="0" t="0" r="0" b="0"/>
                  <wp:docPr id="18" name="Chart 18">
                    <a:extLst xmlns:a="http://schemas.openxmlformats.org/drawingml/2006/main">
                      <a:ext uri="{FF2B5EF4-FFF2-40B4-BE49-F238E27FC236}">
                        <a16:creationId xmlns:a16="http://schemas.microsoft.com/office/drawing/2014/main" id="{D915466F-FAEB-4242-9297-76AD1E64D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A5D343C" w14:textId="5698DDE3" w:rsidR="008B216C" w:rsidRDefault="008B216C" w:rsidP="008B216C">
            <w:pPr>
              <w:pStyle w:val="Caption"/>
            </w:pPr>
            <w:bookmarkStart w:id="365" w:name="_Ref48985875"/>
            <w:bookmarkStart w:id="366" w:name="_Toc50359137"/>
            <w:r>
              <w:t xml:space="preserve">Figure </w:t>
            </w:r>
            <w:fldSimple w:instr=" SEQ Figure \* ARABIC ">
              <w:r w:rsidR="00C24ED6">
                <w:rPr>
                  <w:noProof/>
                </w:rPr>
                <w:t>69</w:t>
              </w:r>
            </w:fldSimple>
            <w:bookmarkEnd w:id="365"/>
            <w:r w:rsidR="001C1DD0">
              <w:t>:</w:t>
            </w:r>
            <w:r>
              <w:t xml:space="preserve"> CAPEX (£) vs capacity (kW) of centralised hydrogen PSA purification, with a 20% hydrogen inlet concentration.</w:t>
            </w:r>
            <w:bookmarkEnd w:id="366"/>
          </w:p>
        </w:tc>
      </w:tr>
    </w:tbl>
    <w:p w14:paraId="0F722903" w14:textId="1E505A5C" w:rsidR="008B216C" w:rsidRDefault="008B216C" w:rsidP="008B216C">
      <w:pPr>
        <w:tabs>
          <w:tab w:val="left" w:pos="1238"/>
        </w:tabs>
      </w:pPr>
      <w:r>
        <w:t>The CAPEX (£/kW) and OPEX (£/kWh) for a 10% and 20% hydrogen concentration inlet were used to predict the same values for a 95% inlet concentration</w:t>
      </w:r>
      <w:r w:rsidR="006E55EB">
        <w:t>, as before (</w:t>
      </w:r>
      <w:r>
        <w:t xml:space="preserve">see </w:t>
      </w:r>
      <w:r>
        <w:fldChar w:fldCharType="begin"/>
      </w:r>
      <w:r>
        <w:instrText xml:space="preserve"> REF _Ref48988866 \h </w:instrText>
      </w:r>
      <w:r>
        <w:fldChar w:fldCharType="separate"/>
      </w:r>
      <w:r w:rsidR="00C24ED6">
        <w:t xml:space="preserve">Figure </w:t>
      </w:r>
      <w:r w:rsidR="00C24ED6">
        <w:rPr>
          <w:noProof/>
        </w:rPr>
        <w:t>70</w:t>
      </w:r>
      <w:r>
        <w:fldChar w:fldCharType="end"/>
      </w:r>
      <w:r>
        <w:t xml:space="preserve"> and </w:t>
      </w:r>
      <w:r>
        <w:fldChar w:fldCharType="begin"/>
      </w:r>
      <w:r>
        <w:instrText xml:space="preserve"> REF _Ref48988867 \h </w:instrText>
      </w:r>
      <w:r>
        <w:fldChar w:fldCharType="separate"/>
      </w:r>
      <w:r w:rsidR="00C24ED6">
        <w:t xml:space="preserve">Figure </w:t>
      </w:r>
      <w:r w:rsidR="00C24ED6">
        <w:rPr>
          <w:noProof/>
        </w:rPr>
        <w:t>71</w:t>
      </w:r>
      <w:r>
        <w:fldChar w:fldCharType="end"/>
      </w:r>
      <w:r>
        <w:t>)</w:t>
      </w:r>
      <w:r w:rsidR="006E55EB">
        <w:t>.</w:t>
      </w:r>
      <w:r>
        <w:t xml:space="preserve"> The </w:t>
      </w:r>
      <w:r w:rsidR="006E55EB">
        <w:t>obtained power equations wer</w:t>
      </w:r>
      <w:r>
        <w:t>e used to estimate the CAPEX and OPEX of a centralised PSA system with a 95% hydrogen concentration inlet (</w:t>
      </w:r>
      <w:r w:rsidRPr="006E55EB">
        <w:rPr>
          <w:i/>
          <w:iCs/>
        </w:rPr>
        <w:t>dirty</w:t>
      </w:r>
      <w:r>
        <w:t xml:space="preserve"> grade in the model)</w:t>
      </w:r>
      <w:r w:rsidR="006E55EB">
        <w:t xml:space="preserve">. Values are shown in </w:t>
      </w:r>
      <w:r>
        <w:fldChar w:fldCharType="begin"/>
      </w:r>
      <w:r>
        <w:instrText xml:space="preserve"> REF _Ref48988979 \h </w:instrText>
      </w:r>
      <w:r>
        <w:fldChar w:fldCharType="separate"/>
      </w:r>
      <w:r w:rsidR="00C24ED6">
        <w:t xml:space="preserve">Table </w:t>
      </w:r>
      <w:r w:rsidR="00C24ED6">
        <w:rPr>
          <w:noProof/>
        </w:rPr>
        <w:t>33</w:t>
      </w:r>
      <w:r>
        <w:fldChar w:fldCharType="end"/>
      </w:r>
      <w:r>
        <w:t>.</w:t>
      </w:r>
    </w:p>
    <w:tbl>
      <w:tblPr>
        <w:tblStyle w:val="TableGrid"/>
        <w:tblW w:w="1069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5346"/>
      </w:tblGrid>
      <w:tr w:rsidR="008B216C" w14:paraId="51E6DABF" w14:textId="77777777" w:rsidTr="008B216C">
        <w:tc>
          <w:tcPr>
            <w:tcW w:w="5346" w:type="dxa"/>
          </w:tcPr>
          <w:p w14:paraId="299C177B" w14:textId="77777777" w:rsidR="008B216C" w:rsidRDefault="008B216C" w:rsidP="008B216C">
            <w:pPr>
              <w:keepNext/>
              <w:tabs>
                <w:tab w:val="left" w:pos="1238"/>
              </w:tabs>
            </w:pPr>
            <w:r>
              <w:rPr>
                <w:noProof/>
              </w:rPr>
              <w:lastRenderedPageBreak/>
              <w:drawing>
                <wp:inline distT="0" distB="0" distL="0" distR="0" wp14:anchorId="3EC1156D" wp14:editId="410EEDD7">
                  <wp:extent cx="3240000" cy="2520000"/>
                  <wp:effectExtent l="0" t="0" r="0" b="0"/>
                  <wp:docPr id="128" name="Chart 128">
                    <a:extLst xmlns:a="http://schemas.openxmlformats.org/drawingml/2006/main">
                      <a:ext uri="{FF2B5EF4-FFF2-40B4-BE49-F238E27FC236}">
                        <a16:creationId xmlns:a16="http://schemas.microsoft.com/office/drawing/2014/main" id="{BB950FA7-652B-4283-AD81-12375B352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43D96C8" w14:textId="0BA73E1D" w:rsidR="008B216C" w:rsidRDefault="008B216C" w:rsidP="008B216C">
            <w:pPr>
              <w:pStyle w:val="Caption"/>
            </w:pPr>
            <w:bookmarkStart w:id="367" w:name="_Ref48988866"/>
            <w:bookmarkStart w:id="368" w:name="_Toc50359138"/>
            <w:r>
              <w:t xml:space="preserve">Figure </w:t>
            </w:r>
            <w:fldSimple w:instr=" SEQ Figure \* ARABIC ">
              <w:r w:rsidR="00C24ED6">
                <w:rPr>
                  <w:noProof/>
                </w:rPr>
                <w:t>70</w:t>
              </w:r>
            </w:fldSimple>
            <w:bookmarkEnd w:id="367"/>
            <w:r w:rsidR="001C1DD0">
              <w:t>:</w:t>
            </w:r>
            <w:r>
              <w:t xml:space="preserve"> </w:t>
            </w:r>
            <w:r w:rsidR="00750B2D">
              <w:t>E</w:t>
            </w:r>
            <w:r>
              <w:t>stimated linearized OPEX (£/kWh) vs hydrogen inlet concentration (% vol) for a central PSA unit, with a power line of best fit.</w:t>
            </w:r>
            <w:bookmarkEnd w:id="368"/>
          </w:p>
        </w:tc>
        <w:tc>
          <w:tcPr>
            <w:tcW w:w="5346" w:type="dxa"/>
          </w:tcPr>
          <w:p w14:paraId="29CE7357" w14:textId="77777777" w:rsidR="008B216C" w:rsidRDefault="008B216C" w:rsidP="008B216C">
            <w:pPr>
              <w:keepNext/>
              <w:tabs>
                <w:tab w:val="left" w:pos="1238"/>
              </w:tabs>
            </w:pPr>
            <w:r>
              <w:rPr>
                <w:noProof/>
              </w:rPr>
              <w:drawing>
                <wp:inline distT="0" distB="0" distL="0" distR="0" wp14:anchorId="44E0A079" wp14:editId="74C71AC2">
                  <wp:extent cx="3240000" cy="2520000"/>
                  <wp:effectExtent l="0" t="0" r="0" b="0"/>
                  <wp:docPr id="130" name="Chart 130">
                    <a:extLst xmlns:a="http://schemas.openxmlformats.org/drawingml/2006/main">
                      <a:ext uri="{FF2B5EF4-FFF2-40B4-BE49-F238E27FC236}">
                        <a16:creationId xmlns:a16="http://schemas.microsoft.com/office/drawing/2014/main" id="{A180DA3D-E7F0-4BB6-A2C6-6FE35B205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702B8DAB" w14:textId="04A82F26" w:rsidR="008B216C" w:rsidRDefault="008B216C" w:rsidP="008B216C">
            <w:pPr>
              <w:pStyle w:val="Caption"/>
            </w:pPr>
            <w:bookmarkStart w:id="369" w:name="_Ref48988867"/>
            <w:bookmarkStart w:id="370" w:name="_Toc50359139"/>
            <w:r>
              <w:t xml:space="preserve">Figure </w:t>
            </w:r>
            <w:fldSimple w:instr=" SEQ Figure \* ARABIC ">
              <w:r w:rsidR="00C24ED6">
                <w:rPr>
                  <w:noProof/>
                </w:rPr>
                <w:t>71</w:t>
              </w:r>
            </w:fldSimple>
            <w:bookmarkEnd w:id="369"/>
            <w:r w:rsidR="001C1DD0">
              <w:t>:</w:t>
            </w:r>
            <w:r>
              <w:t xml:space="preserve"> </w:t>
            </w:r>
            <w:r w:rsidR="00750B2D">
              <w:t>E</w:t>
            </w:r>
            <w:r>
              <w:t>stimated linearized CAPEX (£/kW) vs hydrogen inlet concentration (% vol) for a central PSA unit, with a power line of best fit.</w:t>
            </w:r>
            <w:bookmarkEnd w:id="370"/>
          </w:p>
        </w:tc>
      </w:tr>
    </w:tbl>
    <w:p w14:paraId="2062B485" w14:textId="3AAA46AE" w:rsidR="008B216C" w:rsidRDefault="008B216C" w:rsidP="008B216C">
      <w:pPr>
        <w:pStyle w:val="Caption"/>
        <w:keepNext/>
      </w:pPr>
      <w:bookmarkStart w:id="371" w:name="_Ref48988979"/>
      <w:bookmarkStart w:id="372" w:name="_Toc50359186"/>
      <w:r>
        <w:t xml:space="preserve">Table </w:t>
      </w:r>
      <w:fldSimple w:instr=" SEQ Table \* ARABIC ">
        <w:r w:rsidR="00C24ED6">
          <w:rPr>
            <w:noProof/>
          </w:rPr>
          <w:t>33</w:t>
        </w:r>
      </w:fldSimple>
      <w:bookmarkEnd w:id="371"/>
      <w:r w:rsidR="001C1DD0">
        <w:t>:</w:t>
      </w:r>
      <w:r>
        <w:t xml:space="preserve"> </w:t>
      </w:r>
      <w:r>
        <w:rPr>
          <w:noProof/>
        </w:rPr>
        <w:t>OPEX (£/kWh) and CAPEX (£/kW) of central PSA unit with an inlet hydrogen concentration of 95% by vol.</w:t>
      </w:r>
      <w:bookmarkEnd w:id="372"/>
    </w:p>
    <w:tbl>
      <w:tblPr>
        <w:tblStyle w:val="PlainTable2"/>
        <w:tblW w:w="0" w:type="auto"/>
        <w:jc w:val="center"/>
        <w:tblLook w:val="04A0" w:firstRow="1" w:lastRow="0" w:firstColumn="1" w:lastColumn="0" w:noHBand="0" w:noVBand="1"/>
      </w:tblPr>
      <w:tblGrid>
        <w:gridCol w:w="2216"/>
        <w:gridCol w:w="1408"/>
        <w:gridCol w:w="1392"/>
      </w:tblGrid>
      <w:tr w:rsidR="008B216C" w:rsidRPr="001B152A" w14:paraId="6DEEC0CD" w14:textId="77777777" w:rsidTr="008B21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5B411B6" w14:textId="77777777" w:rsidR="008B216C" w:rsidRPr="001B152A" w:rsidRDefault="008B216C" w:rsidP="006E55EB">
            <w:pPr>
              <w:tabs>
                <w:tab w:val="left" w:pos="1238"/>
              </w:tabs>
              <w:spacing w:before="0" w:after="0"/>
              <w:rPr>
                <w:sz w:val="20"/>
                <w:szCs w:val="20"/>
              </w:rPr>
            </w:pPr>
            <w:r w:rsidRPr="001B152A">
              <w:rPr>
                <w:sz w:val="20"/>
                <w:szCs w:val="20"/>
              </w:rPr>
              <w:t>Hydrogen Inlet Conc (%)</w:t>
            </w:r>
          </w:p>
        </w:tc>
        <w:tc>
          <w:tcPr>
            <w:tcW w:w="0" w:type="auto"/>
          </w:tcPr>
          <w:p w14:paraId="681819DA" w14:textId="77777777" w:rsidR="008B216C" w:rsidRPr="001B152A" w:rsidRDefault="008B216C" w:rsidP="006E55EB">
            <w:pPr>
              <w:tabs>
                <w:tab w:val="left" w:pos="1238"/>
              </w:tabs>
              <w:spacing w:before="0"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OPEX</w:t>
            </w:r>
            <w:r w:rsidRPr="001B152A">
              <w:rPr>
                <w:sz w:val="20"/>
                <w:szCs w:val="20"/>
              </w:rPr>
              <w:t xml:space="preserve"> (£/kW</w:t>
            </w:r>
            <w:r>
              <w:rPr>
                <w:sz w:val="20"/>
                <w:szCs w:val="20"/>
              </w:rPr>
              <w:t>h</w:t>
            </w:r>
            <w:r w:rsidRPr="001B152A">
              <w:rPr>
                <w:sz w:val="20"/>
                <w:szCs w:val="20"/>
              </w:rPr>
              <w:t>)</w:t>
            </w:r>
          </w:p>
        </w:tc>
        <w:tc>
          <w:tcPr>
            <w:tcW w:w="0" w:type="auto"/>
          </w:tcPr>
          <w:p w14:paraId="7FA4BCDF" w14:textId="77777777" w:rsidR="008B216C" w:rsidRPr="001B152A" w:rsidRDefault="008B216C" w:rsidP="006E55EB">
            <w:pPr>
              <w:tabs>
                <w:tab w:val="left" w:pos="1238"/>
              </w:tabs>
              <w:spacing w:before="0"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CAPEX</w:t>
            </w:r>
            <w:r w:rsidRPr="001B152A">
              <w:rPr>
                <w:sz w:val="20"/>
                <w:szCs w:val="20"/>
              </w:rPr>
              <w:t xml:space="preserve"> (£/kW)</w:t>
            </w:r>
          </w:p>
        </w:tc>
      </w:tr>
      <w:tr w:rsidR="008B216C" w:rsidRPr="001B152A" w14:paraId="58504CCB" w14:textId="77777777" w:rsidTr="00750B2D">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0" w:type="auto"/>
          </w:tcPr>
          <w:p w14:paraId="7B677A2C" w14:textId="77777777" w:rsidR="008B216C" w:rsidRPr="001B152A" w:rsidRDefault="008B216C" w:rsidP="006E55EB">
            <w:pPr>
              <w:tabs>
                <w:tab w:val="left" w:pos="1238"/>
              </w:tabs>
              <w:spacing w:before="0" w:after="0"/>
              <w:rPr>
                <w:sz w:val="20"/>
                <w:szCs w:val="20"/>
              </w:rPr>
            </w:pPr>
            <w:r w:rsidRPr="001B152A">
              <w:rPr>
                <w:sz w:val="20"/>
                <w:szCs w:val="20"/>
              </w:rPr>
              <w:t>95</w:t>
            </w:r>
          </w:p>
        </w:tc>
        <w:tc>
          <w:tcPr>
            <w:tcW w:w="0" w:type="auto"/>
          </w:tcPr>
          <w:p w14:paraId="4BC6D402" w14:textId="77777777" w:rsidR="008B216C" w:rsidRPr="001B152A" w:rsidRDefault="008B216C" w:rsidP="006E55EB">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3A15B0">
              <w:rPr>
                <w:sz w:val="20"/>
                <w:szCs w:val="20"/>
              </w:rPr>
              <w:t>0.001</w:t>
            </w:r>
            <w:r>
              <w:rPr>
                <w:sz w:val="20"/>
                <w:szCs w:val="20"/>
              </w:rPr>
              <w:t>4</w:t>
            </w:r>
          </w:p>
        </w:tc>
        <w:tc>
          <w:tcPr>
            <w:tcW w:w="0" w:type="auto"/>
          </w:tcPr>
          <w:p w14:paraId="25C02B77" w14:textId="77777777" w:rsidR="008B216C" w:rsidRPr="001B152A" w:rsidRDefault="008B216C" w:rsidP="006E55EB">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3A15B0">
              <w:rPr>
                <w:sz w:val="20"/>
                <w:szCs w:val="20"/>
              </w:rPr>
              <w:t>653.</w:t>
            </w:r>
            <w:r>
              <w:rPr>
                <w:sz w:val="20"/>
                <w:szCs w:val="20"/>
              </w:rPr>
              <w:t>8</w:t>
            </w:r>
          </w:p>
        </w:tc>
      </w:tr>
    </w:tbl>
    <w:p w14:paraId="3D461ADE" w14:textId="0D67C000" w:rsidR="008B216C" w:rsidRDefault="006E55EB" w:rsidP="008B216C">
      <w:r>
        <w:t>The</w:t>
      </w:r>
      <w:r w:rsidR="008B216C">
        <w:t xml:space="preserve"> cost of energy was included into the OPEX </w:t>
      </w:r>
      <w:r>
        <w:t>as before</w:t>
      </w:r>
      <w:r w:rsidR="008B216C">
        <w:t xml:space="preserve"> </w:t>
      </w:r>
      <w:r w:rsidR="009E3C78">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9E3C78">
        <w:fldChar w:fldCharType="separate"/>
      </w:r>
      <w:r w:rsidR="00434694">
        <w:rPr>
          <w:noProof/>
        </w:rPr>
        <w:t>[</w:t>
      </w:r>
      <w:hyperlink w:anchor="_ENREF_62" w:tooltip="Nordio, 2020 #959" w:history="1">
        <w:r w:rsidR="006210AE">
          <w:rPr>
            <w:noProof/>
          </w:rPr>
          <w:t>62</w:t>
        </w:r>
      </w:hyperlink>
      <w:r w:rsidR="00434694">
        <w:rPr>
          <w:noProof/>
        </w:rPr>
        <w:t>]</w:t>
      </w:r>
      <w:r w:rsidR="009E3C78">
        <w:fldChar w:fldCharType="end"/>
      </w:r>
      <w:r w:rsidR="00924C27">
        <w:t>.</w:t>
      </w:r>
      <w:r w:rsidR="008B216C">
        <w:t xml:space="preserve"> This value was then multiplied by the wholesale electricity price in the corresponding year and added on to the OPEX seen in </w:t>
      </w:r>
      <w:r w:rsidR="008B216C">
        <w:fldChar w:fldCharType="begin"/>
      </w:r>
      <w:r w:rsidR="008B216C">
        <w:instrText xml:space="preserve"> REF _Ref48988979 \h </w:instrText>
      </w:r>
      <w:r w:rsidR="008B216C">
        <w:fldChar w:fldCharType="separate"/>
      </w:r>
      <w:r w:rsidR="00C24ED6">
        <w:t xml:space="preserve">Table </w:t>
      </w:r>
      <w:r w:rsidR="00C24ED6">
        <w:rPr>
          <w:noProof/>
        </w:rPr>
        <w:t>33</w:t>
      </w:r>
      <w:r w:rsidR="008B216C">
        <w:fldChar w:fldCharType="end"/>
      </w:r>
      <w:r w:rsidR="008B216C">
        <w:t>. Finally, the CAPEX was assumed to have an annual learning rate of 2.5%</w:t>
      </w:r>
      <w:r w:rsidR="00924C27">
        <w:t xml:space="preserve">, </w:t>
      </w:r>
      <w:r w:rsidR="008B216C">
        <w:t xml:space="preserve">to give the values seen in </w:t>
      </w:r>
      <w:r w:rsidR="008B216C">
        <w:fldChar w:fldCharType="begin"/>
      </w:r>
      <w:r w:rsidR="008B216C">
        <w:instrText xml:space="preserve"> REF _Ref48917089 \h </w:instrText>
      </w:r>
      <w:r w:rsidR="008B216C">
        <w:fldChar w:fldCharType="separate"/>
      </w:r>
      <w:r w:rsidR="00C24ED6">
        <w:t xml:space="preserve">Table </w:t>
      </w:r>
      <w:r w:rsidR="00C24ED6">
        <w:rPr>
          <w:noProof/>
        </w:rPr>
        <w:t>11</w:t>
      </w:r>
      <w:r w:rsidR="008B216C">
        <w:fldChar w:fldCharType="end"/>
      </w:r>
      <w:r w:rsidR="008B216C">
        <w:t>.</w:t>
      </w:r>
    </w:p>
    <w:p w14:paraId="45817E81" w14:textId="329C4D06" w:rsidR="008B216C" w:rsidRDefault="008B216C" w:rsidP="00552907">
      <w:pPr>
        <w:pStyle w:val="Heading8"/>
      </w:pPr>
      <w:bookmarkStart w:id="373" w:name="_Toc50359491"/>
      <w:bookmarkStart w:id="374" w:name="_Ref55412438"/>
      <w:r>
        <w:t>Localised Hybrid Membrane Purification</w:t>
      </w:r>
      <w:bookmarkEnd w:id="373"/>
      <w:bookmarkEnd w:id="374"/>
    </w:p>
    <w:p w14:paraId="6C7B0242" w14:textId="33E590E7" w:rsidR="008B216C" w:rsidRDefault="008B216C" w:rsidP="008B216C">
      <w:r>
        <w:t xml:space="preserve">The hybrid membrane purification techno-economic parameters were based </w:t>
      </w:r>
      <w:r w:rsidR="006500AC">
        <w:t>on</w:t>
      </w:r>
      <w:r w:rsidRPr="00AD2C52">
        <w:rPr>
          <w:rFonts w:cs="Arial"/>
          <w:noProof/>
          <w:szCs w:val="24"/>
        </w:rPr>
        <w:t xml:space="preserve"> Nordio</w:t>
      </w:r>
      <w:r>
        <w:rPr>
          <w:rFonts w:cs="Arial"/>
          <w:noProof/>
          <w:szCs w:val="24"/>
        </w:rPr>
        <w:t xml:space="preserve"> </w:t>
      </w:r>
      <w:r w:rsidRPr="006500AC">
        <w:rPr>
          <w:rFonts w:cs="Arial"/>
          <w:i/>
          <w:iCs/>
          <w:noProof/>
          <w:szCs w:val="24"/>
        </w:rPr>
        <w:t>et al</w:t>
      </w:r>
      <w:r>
        <w:rPr>
          <w:rFonts w:cs="Arial"/>
          <w:noProof/>
          <w:szCs w:val="24"/>
        </w:rPr>
        <w:t>.</w:t>
      </w:r>
      <w:r>
        <w:t xml:space="preserve"> </w:t>
      </w:r>
      <w:r w:rsidR="009E3C78">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9E3C78">
        <w:fldChar w:fldCharType="separate"/>
      </w:r>
      <w:r w:rsidR="00434694">
        <w:rPr>
          <w:noProof/>
        </w:rPr>
        <w:t>[</w:t>
      </w:r>
      <w:hyperlink w:anchor="_ENREF_62" w:tooltip="Nordio, 2020 #959" w:history="1">
        <w:r w:rsidR="006210AE">
          <w:rPr>
            <w:noProof/>
          </w:rPr>
          <w:t>62</w:t>
        </w:r>
      </w:hyperlink>
      <w:r w:rsidR="00434694">
        <w:rPr>
          <w:noProof/>
        </w:rPr>
        <w:t>]</w:t>
      </w:r>
      <w:r w:rsidR="009E3C78">
        <w:fldChar w:fldCharType="end"/>
      </w:r>
      <w:r w:rsidR="006500AC">
        <w:t xml:space="preserve">, which </w:t>
      </w:r>
      <w:r>
        <w:t>summarised the CAPEX (€) and fixed OPEX (€/kg) values for a range of configurations of hybrid membrane purification units with a 20% hydrogen concentration inlet. The CAPEX was divided by the purification capacity to obtain the value on a €/(kg per day) basis</w:t>
      </w:r>
      <w:r w:rsidR="006500AC">
        <w:t xml:space="preserve">, adjusted </w:t>
      </w:r>
      <w:r>
        <w:t>for currency</w:t>
      </w:r>
      <w:r w:rsidR="006500AC">
        <w:t xml:space="preserve">, </w:t>
      </w:r>
      <w:r>
        <w:t>and convert</w:t>
      </w:r>
      <w:r w:rsidR="006500AC">
        <w:t xml:space="preserve">ed from </w:t>
      </w:r>
      <w:r>
        <w:t>mass to energy units</w:t>
      </w:r>
      <w:r w:rsidR="006500AC">
        <w:t xml:space="preserve"> (</w:t>
      </w:r>
      <w:r>
        <w:fldChar w:fldCharType="begin"/>
      </w:r>
      <w:r>
        <w:instrText xml:space="preserve"> REF _Ref48990391 \h </w:instrText>
      </w:r>
      <w:r>
        <w:fldChar w:fldCharType="separate"/>
      </w:r>
      <w:r w:rsidR="00C24ED6">
        <w:t xml:space="preserve">Table </w:t>
      </w:r>
      <w:r w:rsidR="00C24ED6">
        <w:rPr>
          <w:noProof/>
        </w:rPr>
        <w:t>34</w:t>
      </w:r>
      <w:r>
        <w:fldChar w:fldCharType="end"/>
      </w:r>
      <w:r w:rsidR="006500AC">
        <w:t>)</w:t>
      </w:r>
      <w:r>
        <w:t xml:space="preserve">. </w:t>
      </w:r>
    </w:p>
    <w:p w14:paraId="46128561" w14:textId="12C45F2A" w:rsidR="008B216C" w:rsidRDefault="008B216C" w:rsidP="008B216C">
      <w:pPr>
        <w:pStyle w:val="Caption"/>
        <w:keepNext/>
      </w:pPr>
      <w:bookmarkStart w:id="375" w:name="_Ref48990391"/>
      <w:bookmarkStart w:id="376" w:name="_Toc50359187"/>
      <w:r>
        <w:t xml:space="preserve">Table </w:t>
      </w:r>
      <w:fldSimple w:instr=" SEQ Table \* ARABIC ">
        <w:r w:rsidR="00C24ED6">
          <w:rPr>
            <w:noProof/>
          </w:rPr>
          <w:t>34</w:t>
        </w:r>
      </w:fldSimple>
      <w:bookmarkEnd w:id="375"/>
      <w:r w:rsidR="001C1DD0">
        <w:t>:</w:t>
      </w:r>
      <w:r>
        <w:t xml:space="preserve"> CAPEX (£/kW) and fixed OPEX (£/kWh) for hybrid membrane purification (configuration B); data taken from </w:t>
      </w:r>
      <w:r w:rsidRPr="00AD2C52">
        <w:rPr>
          <w:rFonts w:cs="Arial"/>
          <w:noProof/>
          <w:szCs w:val="24"/>
        </w:rPr>
        <w:t>M. Nordio</w:t>
      </w:r>
      <w:r>
        <w:rPr>
          <w:rFonts w:cs="Arial"/>
          <w:noProof/>
          <w:szCs w:val="24"/>
        </w:rPr>
        <w:t xml:space="preserve"> et al.</w:t>
      </w:r>
      <w:r>
        <w:t xml:space="preserve"> </w:t>
      </w:r>
      <w:r w:rsidR="009E3C78">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9E3C78">
        <w:fldChar w:fldCharType="separate"/>
      </w:r>
      <w:r w:rsidR="00434694">
        <w:rPr>
          <w:noProof/>
        </w:rPr>
        <w:t>[</w:t>
      </w:r>
      <w:hyperlink w:anchor="_ENREF_62" w:tooltip="Nordio, 2020 #959" w:history="1">
        <w:r w:rsidR="006210AE">
          <w:rPr>
            <w:noProof/>
          </w:rPr>
          <w:t>62</w:t>
        </w:r>
      </w:hyperlink>
      <w:r w:rsidR="00434694">
        <w:rPr>
          <w:noProof/>
        </w:rPr>
        <w:t>]</w:t>
      </w:r>
      <w:r w:rsidR="009E3C78">
        <w:fldChar w:fldCharType="end"/>
      </w:r>
      <w:bookmarkEnd w:id="376"/>
    </w:p>
    <w:tbl>
      <w:tblPr>
        <w:tblStyle w:val="PlainTable2"/>
        <w:tblW w:w="0" w:type="auto"/>
        <w:jc w:val="center"/>
        <w:tblLook w:val="04A0" w:firstRow="1" w:lastRow="0" w:firstColumn="1" w:lastColumn="0" w:noHBand="0" w:noVBand="1"/>
      </w:tblPr>
      <w:tblGrid>
        <w:gridCol w:w="1392"/>
        <w:gridCol w:w="1894"/>
      </w:tblGrid>
      <w:tr w:rsidR="008B216C" w:rsidRPr="001B152A" w14:paraId="045C8F63" w14:textId="77777777" w:rsidTr="008B21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F93A730" w14:textId="77777777" w:rsidR="008B216C" w:rsidRPr="001B152A" w:rsidRDefault="008B216C" w:rsidP="006500AC">
            <w:pPr>
              <w:tabs>
                <w:tab w:val="left" w:pos="1238"/>
              </w:tabs>
              <w:spacing w:before="0" w:after="0"/>
              <w:rPr>
                <w:sz w:val="20"/>
                <w:szCs w:val="20"/>
              </w:rPr>
            </w:pPr>
            <w:r>
              <w:rPr>
                <w:sz w:val="20"/>
                <w:szCs w:val="20"/>
              </w:rPr>
              <w:t>CAPEX</w:t>
            </w:r>
            <w:r w:rsidRPr="001B152A">
              <w:rPr>
                <w:sz w:val="20"/>
                <w:szCs w:val="20"/>
              </w:rPr>
              <w:t xml:space="preserve"> (£/kW)</w:t>
            </w:r>
          </w:p>
        </w:tc>
        <w:tc>
          <w:tcPr>
            <w:tcW w:w="0" w:type="auto"/>
          </w:tcPr>
          <w:p w14:paraId="6E81CB2E" w14:textId="77777777" w:rsidR="008B216C" w:rsidRPr="001B152A" w:rsidRDefault="008B216C" w:rsidP="006500AC">
            <w:pPr>
              <w:tabs>
                <w:tab w:val="left" w:pos="1238"/>
              </w:tabs>
              <w:spacing w:before="0"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Fixed OPEX</w:t>
            </w:r>
            <w:r w:rsidRPr="001B152A">
              <w:rPr>
                <w:sz w:val="20"/>
                <w:szCs w:val="20"/>
              </w:rPr>
              <w:t xml:space="preserve"> (£/kW</w:t>
            </w:r>
            <w:r>
              <w:rPr>
                <w:sz w:val="20"/>
                <w:szCs w:val="20"/>
              </w:rPr>
              <w:t>h</w:t>
            </w:r>
            <w:r w:rsidRPr="001B152A">
              <w:rPr>
                <w:sz w:val="20"/>
                <w:szCs w:val="20"/>
              </w:rPr>
              <w:t>)</w:t>
            </w:r>
          </w:p>
        </w:tc>
      </w:tr>
      <w:tr w:rsidR="008B216C" w:rsidRPr="001B152A" w14:paraId="4481D181" w14:textId="77777777" w:rsidTr="008B2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DF57D30" w14:textId="77777777" w:rsidR="008B216C" w:rsidRPr="001B152A" w:rsidRDefault="008B216C" w:rsidP="006500AC">
            <w:pPr>
              <w:tabs>
                <w:tab w:val="left" w:pos="1238"/>
              </w:tabs>
              <w:spacing w:before="0" w:after="0"/>
              <w:rPr>
                <w:sz w:val="20"/>
                <w:szCs w:val="20"/>
              </w:rPr>
            </w:pPr>
            <w:r>
              <w:rPr>
                <w:sz w:val="20"/>
                <w:szCs w:val="20"/>
              </w:rPr>
              <w:t>10118.9</w:t>
            </w:r>
          </w:p>
        </w:tc>
        <w:tc>
          <w:tcPr>
            <w:tcW w:w="0" w:type="auto"/>
          </w:tcPr>
          <w:p w14:paraId="7DD08B6D" w14:textId="77777777" w:rsidR="008B216C" w:rsidRPr="001B152A" w:rsidRDefault="008B216C" w:rsidP="006500AC">
            <w:pPr>
              <w:tabs>
                <w:tab w:val="left" w:pos="1238"/>
              </w:tabs>
              <w:spacing w:before="0"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0.0757</w:t>
            </w:r>
          </w:p>
        </w:tc>
      </w:tr>
    </w:tbl>
    <w:p w14:paraId="1F5471F7" w14:textId="21CD9192" w:rsidR="00C167DB" w:rsidRDefault="00BB6D38" w:rsidP="008B216C">
      <w:r>
        <w:t>T</w:t>
      </w:r>
      <w:r w:rsidR="008B216C">
        <w:t>he fixed OPEX (£/kWh) was added to the electricity consumption of the technology (0.239 kWh</w:t>
      </w:r>
      <w:r w:rsidR="008B216C">
        <w:rPr>
          <w:vertAlign w:val="subscript"/>
        </w:rPr>
        <w:t>e</w:t>
      </w:r>
      <w:r w:rsidR="008B216C">
        <w:t>/kWh</w:t>
      </w:r>
      <w:r w:rsidR="008B216C">
        <w:rPr>
          <w:vertAlign w:val="subscript"/>
        </w:rPr>
        <w:t>H2</w:t>
      </w:r>
      <w:r w:rsidR="008B216C">
        <w:t>)</w:t>
      </w:r>
      <w:r w:rsidR="009E3C78">
        <w:t xml:space="preserve"> </w:t>
      </w:r>
      <w:r w:rsidR="009E3C78">
        <w:fldChar w:fldCharType="begin"/>
      </w:r>
      <w:r w:rsidR="00434694">
        <w:instrText xml:space="preserve"> ADDIN EN.CITE &lt;EndNote&gt;&lt;Cite&gt;&lt;Author&gt;Nordio&lt;/Author&gt;&lt;Year&gt;2020&lt;/Year&gt;&lt;RecNum&gt;959&lt;/RecNum&gt;&lt;DisplayText&gt;[62]&lt;/DisplayText&gt;&lt;record&gt;&lt;rec-number&gt;959&lt;/rec-number&gt;&lt;foreign-keys&gt;&lt;key app="EN" db-id="w500zpaaheraz8epaw1p29dtf2ff9zrswv50" timestamp="1607697901"&gt;959&lt;/key&gt;&lt;/foreign-keys&gt;&lt;ref-type name="Journal Article"&gt;17&lt;/ref-type&gt;&lt;contributors&gt;&lt;authors&gt;&lt;author&gt;Nordio, Maria&lt;/author&gt;&lt;author&gt;Wassie, Solomon Assefa&lt;/author&gt;&lt;author&gt;Van Sint Annaland, Martin&lt;/author&gt;&lt;author&gt;Pacheco Tanaka, D. Alfredo&lt;/author&gt;&lt;author&gt;Viviente Sole, José Luis&lt;/author&gt;&lt;author&gt;Gallucci, Fausto&lt;/author&gt;&lt;/authors&gt;&lt;/contributors&gt;&lt;titles&gt;&lt;title&gt;Techno-economic evaluation on a hybrid technology for low hydrogen concentration separation and purification from natural gas grid&lt;/title&gt;&lt;secondary-title&gt;International Journal of Hydrogen Energy&lt;/secondary-title&gt;&lt;/titles&gt;&lt;periodical&gt;&lt;full-title&gt;International Journal of Hydrogen Energy&lt;/full-title&gt;&lt;/periodical&gt;&lt;keywords&gt;&lt;keyword&gt;Hybrid system&lt;/keyword&gt;&lt;keyword&gt;Hydrogen separation&lt;/keyword&gt;&lt;keyword&gt;Innovative configurations&lt;/keyword&gt;&lt;keyword&gt;Natural gas grid&lt;/keyword&gt;&lt;/keywords&gt;&lt;dates&gt;&lt;year&gt;2020&lt;/year&gt;&lt;/dates&gt;&lt;publisher&gt;Elsevier Ltd&lt;/publisher&gt;&lt;urls&gt;&lt;related-urls&gt;&lt;url&gt;www.sciencedirect.com&lt;/url&gt;&lt;/related-urls&gt;&lt;pdf-urls&gt;&lt;url&gt;file://Users\David\Library\Application Support\Mendeley Desktop\Downloaded\Nordio et al. - 2020 - Techno-economic evaluation on a hybrid technology for low hydrogen concentration separation and purification from.pdf&lt;/url&gt;&lt;/pdf-urls&gt;&lt;/urls&gt;&lt;electronic-resource-num&gt;10.1016/j.ijhydene.2020.05.009&lt;/electronic-resource-num&gt;&lt;/record&gt;&lt;/Cite&gt;&lt;/EndNote&gt;</w:instrText>
      </w:r>
      <w:r w:rsidR="009E3C78">
        <w:fldChar w:fldCharType="separate"/>
      </w:r>
      <w:r w:rsidR="00434694">
        <w:rPr>
          <w:noProof/>
        </w:rPr>
        <w:t>[</w:t>
      </w:r>
      <w:hyperlink w:anchor="_ENREF_62" w:tooltip="Nordio, 2020 #959" w:history="1">
        <w:r w:rsidR="006210AE">
          <w:rPr>
            <w:noProof/>
          </w:rPr>
          <w:t>62</w:t>
        </w:r>
      </w:hyperlink>
      <w:r w:rsidR="00434694">
        <w:rPr>
          <w:noProof/>
        </w:rPr>
        <w:t>]</w:t>
      </w:r>
      <w:r w:rsidR="009E3C78">
        <w:fldChar w:fldCharType="end"/>
      </w:r>
      <w:r>
        <w:t xml:space="preserve"> and</w:t>
      </w:r>
      <w:r w:rsidR="008B216C">
        <w:t xml:space="preserve"> multiplied by the cost of wholesale electricity for the corresponding time period</w:t>
      </w:r>
      <w:r>
        <w:t>.</w:t>
      </w:r>
      <w:r w:rsidR="008B216C">
        <w:t xml:space="preserve"> The CAPEX (£/kW) was assumed to have a 5% annual learning rate. Emissions from the purification technology were estimated by applying the electricity consumption by the associated emission factor from the electricity grid in the corresponding time-period.</w:t>
      </w:r>
      <w:r w:rsidRPr="00BB6D38">
        <w:t xml:space="preserve"> </w:t>
      </w:r>
    </w:p>
    <w:sectPr w:rsidR="00C167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BF07A" w14:textId="77777777" w:rsidR="00903D45" w:rsidRDefault="00903D45" w:rsidP="003D0F14">
      <w:pPr>
        <w:spacing w:after="0" w:line="240" w:lineRule="auto"/>
      </w:pPr>
      <w:r>
        <w:separator/>
      </w:r>
    </w:p>
  </w:endnote>
  <w:endnote w:type="continuationSeparator" w:id="0">
    <w:p w14:paraId="634BB87E" w14:textId="77777777" w:rsidR="00903D45" w:rsidRDefault="00903D45" w:rsidP="003D0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9E2FA" w14:textId="77777777" w:rsidR="00903D45" w:rsidRDefault="00903D45" w:rsidP="003D0F14">
      <w:pPr>
        <w:spacing w:after="0" w:line="240" w:lineRule="auto"/>
      </w:pPr>
      <w:r>
        <w:separator/>
      </w:r>
    </w:p>
  </w:footnote>
  <w:footnote w:type="continuationSeparator" w:id="0">
    <w:p w14:paraId="7F57AB25" w14:textId="77777777" w:rsidR="00903D45" w:rsidRDefault="00903D45" w:rsidP="003D0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B0AC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F898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B849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BE2D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64D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CCCF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BE0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F812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AA5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82EA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A6DCA"/>
    <w:multiLevelType w:val="hybridMultilevel"/>
    <w:tmpl w:val="64FA3942"/>
    <w:lvl w:ilvl="0" w:tplc="C6E6E7BE">
      <w:start w:val="1"/>
      <w:numFmt w:val="upperLetter"/>
      <w:pStyle w:val="Appendix"/>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0BAF5B38"/>
    <w:multiLevelType w:val="hybridMultilevel"/>
    <w:tmpl w:val="55E22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DB0C8B"/>
    <w:multiLevelType w:val="hybridMultilevel"/>
    <w:tmpl w:val="A0CE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5B2508"/>
    <w:multiLevelType w:val="hybridMultilevel"/>
    <w:tmpl w:val="C40EEE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31719E3"/>
    <w:multiLevelType w:val="hybridMultilevel"/>
    <w:tmpl w:val="BE2ADF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3747C9D"/>
    <w:multiLevelType w:val="multilevel"/>
    <w:tmpl w:val="417EF2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sz w:val="25"/>
        <w:szCs w:val="25"/>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41D5554"/>
    <w:multiLevelType w:val="multilevel"/>
    <w:tmpl w:val="9C6E9760"/>
    <w:styleLink w:val="Appendixheadings"/>
    <w:lvl w:ilvl="0">
      <w:start w:val="1"/>
      <w:numFmt w:val="upperLetter"/>
      <w:lvlText w:val="%1."/>
      <w:lvlJc w:val="left"/>
      <w:pPr>
        <w:ind w:left="1080" w:hanging="360"/>
      </w:pPr>
      <w:rPr>
        <w:rFonts w:asciiTheme="minorHAnsi" w:eastAsiaTheme="majorEastAsia" w:hAnsiTheme="minorHAnsi" w:cstheme="minorHAnsi"/>
        <w:sz w:val="24"/>
      </w:rPr>
    </w:lvl>
    <w:lvl w:ilvl="1">
      <w:start w:val="1"/>
      <w:numFmt w:val="decimal"/>
      <w:lvlText w:val="%1.%2."/>
      <w:lvlJc w:val="left"/>
      <w:pPr>
        <w:ind w:left="1440" w:hanging="360"/>
      </w:pPr>
      <w:rPr>
        <w:rFonts w:asciiTheme="minorHAnsi" w:hAnsiTheme="minorHAnsi" w:hint="default"/>
        <w:sz w:val="24"/>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15:restartNumberingAfterBreak="0">
    <w:nsid w:val="1F6B01C8"/>
    <w:multiLevelType w:val="hybridMultilevel"/>
    <w:tmpl w:val="2368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143990"/>
    <w:multiLevelType w:val="hybridMultilevel"/>
    <w:tmpl w:val="1ED0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6E6DBF"/>
    <w:multiLevelType w:val="hybridMultilevel"/>
    <w:tmpl w:val="28CEE01A"/>
    <w:lvl w:ilvl="0" w:tplc="DB5A8AB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4422F2B"/>
    <w:multiLevelType w:val="hybridMultilevel"/>
    <w:tmpl w:val="AE7C5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4E3C5A"/>
    <w:multiLevelType w:val="hybridMultilevel"/>
    <w:tmpl w:val="F906F3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27AC2790"/>
    <w:multiLevelType w:val="hybridMultilevel"/>
    <w:tmpl w:val="AB8802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27AD415F"/>
    <w:multiLevelType w:val="multilevel"/>
    <w:tmpl w:val="BFC2233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91C5ABD"/>
    <w:multiLevelType w:val="multilevel"/>
    <w:tmpl w:val="EB12C3EC"/>
    <w:lvl w:ilvl="0">
      <w:start w:val="1"/>
      <w:numFmt w:val="upperLetter"/>
      <w:pStyle w:val="Heading7"/>
      <w:lvlText w:val="Appendix %1."/>
      <w:lvlJc w:val="left"/>
      <w:pPr>
        <w:ind w:left="1080" w:hanging="360"/>
      </w:pPr>
      <w:rPr>
        <w:rFonts w:asciiTheme="minorHAnsi" w:hAnsiTheme="minorHAnsi" w:hint="default"/>
        <w:sz w:val="26"/>
        <w:szCs w:val="26"/>
      </w:rPr>
    </w:lvl>
    <w:lvl w:ilvl="1">
      <w:start w:val="1"/>
      <w:numFmt w:val="decimal"/>
      <w:pStyle w:val="Heading8"/>
      <w:lvlText w:val="%1.%2."/>
      <w:lvlJc w:val="left"/>
      <w:pPr>
        <w:ind w:left="1440" w:hanging="360"/>
      </w:pPr>
      <w:rPr>
        <w:rFonts w:asciiTheme="minorHAnsi" w:hAnsiTheme="minorHAnsi" w:hint="default"/>
        <w:sz w:val="24"/>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2E8C7C08"/>
    <w:multiLevelType w:val="hybridMultilevel"/>
    <w:tmpl w:val="1B3C2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E72E59"/>
    <w:multiLevelType w:val="hybridMultilevel"/>
    <w:tmpl w:val="E83E1AD6"/>
    <w:lvl w:ilvl="0" w:tplc="C492C5B6">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3A07C0"/>
    <w:multiLevelType w:val="hybridMultilevel"/>
    <w:tmpl w:val="0018F7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31456F0"/>
    <w:multiLevelType w:val="hybridMultilevel"/>
    <w:tmpl w:val="05A285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6B80102"/>
    <w:multiLevelType w:val="hybridMultilevel"/>
    <w:tmpl w:val="A08A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A61878"/>
    <w:multiLevelType w:val="hybridMultilevel"/>
    <w:tmpl w:val="1CD2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C71DEB"/>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2957F0D"/>
    <w:multiLevelType w:val="hybridMultilevel"/>
    <w:tmpl w:val="D60060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45B90CA2"/>
    <w:multiLevelType w:val="hybridMultilevel"/>
    <w:tmpl w:val="9E2EE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EC0120"/>
    <w:multiLevelType w:val="hybridMultilevel"/>
    <w:tmpl w:val="2C762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34610A"/>
    <w:multiLevelType w:val="hybridMultilevel"/>
    <w:tmpl w:val="2DEE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C55392"/>
    <w:multiLevelType w:val="hybridMultilevel"/>
    <w:tmpl w:val="AB8802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56D1536B"/>
    <w:multiLevelType w:val="multilevel"/>
    <w:tmpl w:val="71FE87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Appendix %7."/>
      <w:lvlJc w:val="left"/>
      <w:pPr>
        <w:ind w:left="25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986256B"/>
    <w:multiLevelType w:val="hybridMultilevel"/>
    <w:tmpl w:val="44C4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C05A8B"/>
    <w:multiLevelType w:val="hybridMultilevel"/>
    <w:tmpl w:val="79A678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BB02E8F"/>
    <w:multiLevelType w:val="multilevel"/>
    <w:tmpl w:val="CCE2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494070"/>
    <w:multiLevelType w:val="hybridMultilevel"/>
    <w:tmpl w:val="837218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0AD0BEA"/>
    <w:multiLevelType w:val="hybridMultilevel"/>
    <w:tmpl w:val="8F8089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4F83F51"/>
    <w:multiLevelType w:val="hybridMultilevel"/>
    <w:tmpl w:val="D040A38A"/>
    <w:lvl w:ilvl="0" w:tplc="632E49DC">
      <w:numFmt w:val="bullet"/>
      <w:lvlText w:val="-"/>
      <w:lvlJc w:val="left"/>
      <w:pPr>
        <w:ind w:left="1120" w:hanging="360"/>
      </w:pPr>
      <w:rPr>
        <w:rFonts w:ascii="Calibri" w:eastAsiaTheme="minorHAnsi" w:hAnsi="Calibri" w:cs="Calibri"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44" w15:restartNumberingAfterBreak="0">
    <w:nsid w:val="67C66620"/>
    <w:multiLevelType w:val="hybridMultilevel"/>
    <w:tmpl w:val="3710C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254496"/>
    <w:multiLevelType w:val="hybridMultilevel"/>
    <w:tmpl w:val="C728ED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ECE765C"/>
    <w:multiLevelType w:val="hybridMultilevel"/>
    <w:tmpl w:val="D60060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3"/>
  </w:num>
  <w:num w:numId="2">
    <w:abstractNumId w:val="15"/>
  </w:num>
  <w:num w:numId="3">
    <w:abstractNumId w:val="44"/>
  </w:num>
  <w:num w:numId="4">
    <w:abstractNumId w:val="18"/>
  </w:num>
  <w:num w:numId="5">
    <w:abstractNumId w:val="34"/>
  </w:num>
  <w:num w:numId="6">
    <w:abstractNumId w:val="35"/>
  </w:num>
  <w:num w:numId="7">
    <w:abstractNumId w:val="20"/>
  </w:num>
  <w:num w:numId="8">
    <w:abstractNumId w:val="11"/>
  </w:num>
  <w:num w:numId="9">
    <w:abstractNumId w:val="19"/>
  </w:num>
  <w:num w:numId="10">
    <w:abstractNumId w:val="42"/>
  </w:num>
  <w:num w:numId="11">
    <w:abstractNumId w:val="17"/>
  </w:num>
  <w:num w:numId="12">
    <w:abstractNumId w:val="25"/>
  </w:num>
  <w:num w:numId="13">
    <w:abstractNumId w:val="36"/>
  </w:num>
  <w:num w:numId="14">
    <w:abstractNumId w:val="2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num>
  <w:num w:numId="18">
    <w:abstractNumId w:val="39"/>
  </w:num>
  <w:num w:numId="19">
    <w:abstractNumId w:val="27"/>
  </w:num>
  <w:num w:numId="20">
    <w:abstractNumId w:val="28"/>
  </w:num>
  <w:num w:numId="21">
    <w:abstractNumId w:val="14"/>
  </w:num>
  <w:num w:numId="22">
    <w:abstractNumId w:val="12"/>
  </w:num>
  <w:num w:numId="23">
    <w:abstractNumId w:val="33"/>
  </w:num>
  <w:num w:numId="24">
    <w:abstractNumId w:val="30"/>
  </w:num>
  <w:num w:numId="25">
    <w:abstractNumId w:val="45"/>
  </w:num>
  <w:num w:numId="26">
    <w:abstractNumId w:val="41"/>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7"/>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31"/>
  </w:num>
  <w:num w:numId="42">
    <w:abstractNumId w:val="16"/>
  </w:num>
  <w:num w:numId="43">
    <w:abstractNumId w:val="16"/>
    <w:lvlOverride w:ilvl="0">
      <w:lvl w:ilvl="0">
        <w:start w:val="1"/>
        <w:numFmt w:val="upperLetter"/>
        <w:lvlText w:val="%1."/>
        <w:lvlJc w:val="left"/>
        <w:pPr>
          <w:ind w:left="1080" w:hanging="360"/>
        </w:pPr>
        <w:rPr>
          <w:rFonts w:asciiTheme="minorHAnsi" w:eastAsiaTheme="majorEastAsia" w:hAnsiTheme="minorHAnsi" w:cstheme="minorHAnsi"/>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40" w:hanging="360"/>
        </w:pPr>
        <w:rPr>
          <w:rFonts w:asciiTheme="minorHAnsi" w:hAnsiTheme="minorHAnsi" w:hint="default"/>
          <w:sz w:val="26"/>
          <w:szCs w:val="26"/>
        </w:rPr>
      </w:lvl>
    </w:lvlOverride>
  </w:num>
  <w:num w:numId="44">
    <w:abstractNumId w:val="24"/>
  </w:num>
  <w:num w:numId="45">
    <w:abstractNumId w:val="22"/>
  </w:num>
  <w:num w:numId="46">
    <w:abstractNumId w:val="32"/>
  </w:num>
  <w:num w:numId="47">
    <w:abstractNumId w:val="21"/>
  </w:num>
  <w:num w:numId="48">
    <w:abstractNumId w:val="29"/>
  </w:num>
  <w:num w:numId="49">
    <w:abstractNumId w:val="38"/>
  </w:num>
  <w:num w:numId="50">
    <w:abstractNumId w:val="19"/>
  </w:num>
  <w:num w:numId="51">
    <w:abstractNumId w:val="40"/>
  </w:num>
  <w:num w:numId="52">
    <w:abstractNumId w:val="19"/>
  </w:num>
  <w:num w:numId="53">
    <w:abstractNumId w:val="13"/>
  </w:num>
  <w:num w:numId="54">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500zpaaheraz8epaw1p29dtf2ff9zrswv50&quot;&gt;Francisca-Converted&lt;record-ids&gt;&lt;item&gt;892&lt;/item&gt;&lt;item&gt;894&lt;/item&gt;&lt;item&gt;896&lt;/item&gt;&lt;item&gt;897&lt;/item&gt;&lt;item&gt;902&lt;/item&gt;&lt;item&gt;904&lt;/item&gt;&lt;item&gt;906&lt;/item&gt;&lt;item&gt;907&lt;/item&gt;&lt;item&gt;912&lt;/item&gt;&lt;item&gt;924&lt;/item&gt;&lt;item&gt;926&lt;/item&gt;&lt;item&gt;930&lt;/item&gt;&lt;item&gt;931&lt;/item&gt;&lt;item&gt;932&lt;/item&gt;&lt;item&gt;933&lt;/item&gt;&lt;item&gt;950&lt;/item&gt;&lt;item&gt;953&lt;/item&gt;&lt;item&gt;954&lt;/item&gt;&lt;item&gt;955&lt;/item&gt;&lt;item&gt;956&lt;/item&gt;&lt;item&gt;959&lt;/item&gt;&lt;item&gt;968&lt;/item&gt;&lt;item&gt;971&lt;/item&gt;&lt;item&gt;972&lt;/item&gt;&lt;item&gt;973&lt;/item&gt;&lt;item&gt;975&lt;/item&gt;&lt;item&gt;997&lt;/item&gt;&lt;item&gt;998&lt;/item&gt;&lt;item&gt;999&lt;/item&gt;&lt;item&gt;1002&lt;/item&gt;&lt;item&gt;1003&lt;/item&gt;&lt;item&gt;1005&lt;/item&gt;&lt;item&gt;1006&lt;/item&gt;&lt;item&gt;1007&lt;/item&gt;&lt;item&gt;1008&lt;/item&gt;&lt;item&gt;1010&lt;/item&gt;&lt;item&gt;1012&lt;/item&gt;&lt;item&gt;1018&lt;/item&gt;&lt;item&gt;1026&lt;/item&gt;&lt;item&gt;1031&lt;/item&gt;&lt;item&gt;1032&lt;/item&gt;&lt;item&gt;1034&lt;/item&gt;&lt;item&gt;1035&lt;/item&gt;&lt;item&gt;1036&lt;/item&gt;&lt;item&gt;1045&lt;/item&gt;&lt;item&gt;1047&lt;/item&gt;&lt;item&gt;1048&lt;/item&gt;&lt;item&gt;1050&lt;/item&gt;&lt;item&gt;1052&lt;/item&gt;&lt;item&gt;1053&lt;/item&gt;&lt;item&gt;1061&lt;/item&gt;&lt;item&gt;1064&lt;/item&gt;&lt;item&gt;1065&lt;/item&gt;&lt;item&gt;1075&lt;/item&gt;&lt;item&gt;1076&lt;/item&gt;&lt;item&gt;1080&lt;/item&gt;&lt;item&gt;1082&lt;/item&gt;&lt;item&gt;1087&lt;/item&gt;&lt;item&gt;1088&lt;/item&gt;&lt;item&gt;1089&lt;/item&gt;&lt;item&gt;1092&lt;/item&gt;&lt;item&gt;1094&lt;/item&gt;&lt;item&gt;1095&lt;/item&gt;&lt;item&gt;1097&lt;/item&gt;&lt;item&gt;1098&lt;/item&gt;&lt;item&gt;1297&lt;/item&gt;&lt;item&gt;1334&lt;/item&gt;&lt;item&gt;1338&lt;/item&gt;&lt;item&gt;1348&lt;/item&gt;&lt;item&gt;1372&lt;/item&gt;&lt;item&gt;1373&lt;/item&gt;&lt;item&gt;1374&lt;/item&gt;&lt;item&gt;1375&lt;/item&gt;&lt;item&gt;1376&lt;/item&gt;&lt;item&gt;1377&lt;/item&gt;&lt;item&gt;1378&lt;/item&gt;&lt;item&gt;1379&lt;/item&gt;&lt;item&gt;1395&lt;/item&gt;&lt;item&gt;1397&lt;/item&gt;&lt;item&gt;1398&lt;/item&gt;&lt;item&gt;1399&lt;/item&gt;&lt;/record-ids&gt;&lt;/item&gt;&lt;/Libraries&gt;"/>
  </w:docVars>
  <w:rsids>
    <w:rsidRoot w:val="00395971"/>
    <w:rsid w:val="00002AC3"/>
    <w:rsid w:val="00003C7E"/>
    <w:rsid w:val="00004731"/>
    <w:rsid w:val="00004B3E"/>
    <w:rsid w:val="00005176"/>
    <w:rsid w:val="00005799"/>
    <w:rsid w:val="00007C26"/>
    <w:rsid w:val="00007CBA"/>
    <w:rsid w:val="000123E3"/>
    <w:rsid w:val="00013188"/>
    <w:rsid w:val="00013ABB"/>
    <w:rsid w:val="0001550C"/>
    <w:rsid w:val="000162CD"/>
    <w:rsid w:val="0002116F"/>
    <w:rsid w:val="000211DC"/>
    <w:rsid w:val="00021501"/>
    <w:rsid w:val="00021B10"/>
    <w:rsid w:val="000229B8"/>
    <w:rsid w:val="00022D64"/>
    <w:rsid w:val="00024032"/>
    <w:rsid w:val="00024EC3"/>
    <w:rsid w:val="00025925"/>
    <w:rsid w:val="00027B47"/>
    <w:rsid w:val="000304BB"/>
    <w:rsid w:val="00030BD5"/>
    <w:rsid w:val="00030C46"/>
    <w:rsid w:val="00030C7E"/>
    <w:rsid w:val="0003101C"/>
    <w:rsid w:val="0003105F"/>
    <w:rsid w:val="000315F1"/>
    <w:rsid w:val="00032FB3"/>
    <w:rsid w:val="00033481"/>
    <w:rsid w:val="000339F8"/>
    <w:rsid w:val="00035364"/>
    <w:rsid w:val="00041804"/>
    <w:rsid w:val="00043150"/>
    <w:rsid w:val="0004408C"/>
    <w:rsid w:val="00044122"/>
    <w:rsid w:val="000453F5"/>
    <w:rsid w:val="00047282"/>
    <w:rsid w:val="000525FB"/>
    <w:rsid w:val="00053840"/>
    <w:rsid w:val="00053DB3"/>
    <w:rsid w:val="00055007"/>
    <w:rsid w:val="00056F54"/>
    <w:rsid w:val="00057A4F"/>
    <w:rsid w:val="00057C45"/>
    <w:rsid w:val="00060302"/>
    <w:rsid w:val="00063E6D"/>
    <w:rsid w:val="00064507"/>
    <w:rsid w:val="00065ED0"/>
    <w:rsid w:val="00067E0D"/>
    <w:rsid w:val="00072B41"/>
    <w:rsid w:val="000731EB"/>
    <w:rsid w:val="00073255"/>
    <w:rsid w:val="000766AB"/>
    <w:rsid w:val="000767C5"/>
    <w:rsid w:val="00081C1C"/>
    <w:rsid w:val="00082679"/>
    <w:rsid w:val="00085D09"/>
    <w:rsid w:val="00086A4E"/>
    <w:rsid w:val="00090422"/>
    <w:rsid w:val="000932EF"/>
    <w:rsid w:val="000932F6"/>
    <w:rsid w:val="00093DE8"/>
    <w:rsid w:val="00094020"/>
    <w:rsid w:val="00094425"/>
    <w:rsid w:val="000946E0"/>
    <w:rsid w:val="00097539"/>
    <w:rsid w:val="000A068D"/>
    <w:rsid w:val="000A37D0"/>
    <w:rsid w:val="000A3BE4"/>
    <w:rsid w:val="000A3CDA"/>
    <w:rsid w:val="000A420F"/>
    <w:rsid w:val="000A6181"/>
    <w:rsid w:val="000B00EC"/>
    <w:rsid w:val="000B20E4"/>
    <w:rsid w:val="000B370F"/>
    <w:rsid w:val="000B3E51"/>
    <w:rsid w:val="000C0DD1"/>
    <w:rsid w:val="000C13C6"/>
    <w:rsid w:val="000C1DAD"/>
    <w:rsid w:val="000C4226"/>
    <w:rsid w:val="000C54A1"/>
    <w:rsid w:val="000C5FF9"/>
    <w:rsid w:val="000C64C4"/>
    <w:rsid w:val="000C6827"/>
    <w:rsid w:val="000C6943"/>
    <w:rsid w:val="000C6C2D"/>
    <w:rsid w:val="000C6C3A"/>
    <w:rsid w:val="000D1C90"/>
    <w:rsid w:val="000D3624"/>
    <w:rsid w:val="000D3EB3"/>
    <w:rsid w:val="000D4A0E"/>
    <w:rsid w:val="000D6D23"/>
    <w:rsid w:val="000D6EAD"/>
    <w:rsid w:val="000E1163"/>
    <w:rsid w:val="000E1726"/>
    <w:rsid w:val="000E1EBF"/>
    <w:rsid w:val="000E2B68"/>
    <w:rsid w:val="000E2DAC"/>
    <w:rsid w:val="000E41C3"/>
    <w:rsid w:val="000E471C"/>
    <w:rsid w:val="000E577C"/>
    <w:rsid w:val="000E73E5"/>
    <w:rsid w:val="000F2DBE"/>
    <w:rsid w:val="000F34A9"/>
    <w:rsid w:val="000F3514"/>
    <w:rsid w:val="000F3E3E"/>
    <w:rsid w:val="000F40BE"/>
    <w:rsid w:val="000F41AB"/>
    <w:rsid w:val="000F4446"/>
    <w:rsid w:val="000F6EA0"/>
    <w:rsid w:val="000F76E0"/>
    <w:rsid w:val="00103080"/>
    <w:rsid w:val="0010535A"/>
    <w:rsid w:val="00110954"/>
    <w:rsid w:val="00112697"/>
    <w:rsid w:val="001128CA"/>
    <w:rsid w:val="001154C2"/>
    <w:rsid w:val="00116668"/>
    <w:rsid w:val="00120D05"/>
    <w:rsid w:val="00121BBE"/>
    <w:rsid w:val="00121C83"/>
    <w:rsid w:val="001228FF"/>
    <w:rsid w:val="0012309E"/>
    <w:rsid w:val="00123920"/>
    <w:rsid w:val="00125079"/>
    <w:rsid w:val="0012529F"/>
    <w:rsid w:val="0012721D"/>
    <w:rsid w:val="001278B1"/>
    <w:rsid w:val="00132575"/>
    <w:rsid w:val="00133AA2"/>
    <w:rsid w:val="0013489D"/>
    <w:rsid w:val="00134C85"/>
    <w:rsid w:val="001371FE"/>
    <w:rsid w:val="001414BE"/>
    <w:rsid w:val="00141F8D"/>
    <w:rsid w:val="0014492B"/>
    <w:rsid w:val="0014517F"/>
    <w:rsid w:val="00146300"/>
    <w:rsid w:val="001465A4"/>
    <w:rsid w:val="00147E9E"/>
    <w:rsid w:val="00153789"/>
    <w:rsid w:val="00153EFC"/>
    <w:rsid w:val="0015595E"/>
    <w:rsid w:val="001601A1"/>
    <w:rsid w:val="0016257A"/>
    <w:rsid w:val="001625B7"/>
    <w:rsid w:val="00163556"/>
    <w:rsid w:val="001656DF"/>
    <w:rsid w:val="00165A57"/>
    <w:rsid w:val="001661AE"/>
    <w:rsid w:val="00171B0E"/>
    <w:rsid w:val="0017212B"/>
    <w:rsid w:val="00172A76"/>
    <w:rsid w:val="00172D98"/>
    <w:rsid w:val="00175EBF"/>
    <w:rsid w:val="0017725F"/>
    <w:rsid w:val="0018074F"/>
    <w:rsid w:val="00180E02"/>
    <w:rsid w:val="00181A3F"/>
    <w:rsid w:val="001878A8"/>
    <w:rsid w:val="00191359"/>
    <w:rsid w:val="00192FE7"/>
    <w:rsid w:val="00193653"/>
    <w:rsid w:val="00193667"/>
    <w:rsid w:val="00193F4A"/>
    <w:rsid w:val="00194EDC"/>
    <w:rsid w:val="001950D4"/>
    <w:rsid w:val="001959E2"/>
    <w:rsid w:val="001976C6"/>
    <w:rsid w:val="00197F65"/>
    <w:rsid w:val="001A0C31"/>
    <w:rsid w:val="001A0DC3"/>
    <w:rsid w:val="001A0F7F"/>
    <w:rsid w:val="001A1BAD"/>
    <w:rsid w:val="001A34E7"/>
    <w:rsid w:val="001A4FF6"/>
    <w:rsid w:val="001A5497"/>
    <w:rsid w:val="001A60B5"/>
    <w:rsid w:val="001A7149"/>
    <w:rsid w:val="001B2AE2"/>
    <w:rsid w:val="001B2CC8"/>
    <w:rsid w:val="001B3013"/>
    <w:rsid w:val="001B3FFF"/>
    <w:rsid w:val="001B441A"/>
    <w:rsid w:val="001B78B5"/>
    <w:rsid w:val="001C15B5"/>
    <w:rsid w:val="001C1DD0"/>
    <w:rsid w:val="001C3244"/>
    <w:rsid w:val="001C59B5"/>
    <w:rsid w:val="001C71A2"/>
    <w:rsid w:val="001D162F"/>
    <w:rsid w:val="001D4EB1"/>
    <w:rsid w:val="001D5AF0"/>
    <w:rsid w:val="001D6015"/>
    <w:rsid w:val="001D67BC"/>
    <w:rsid w:val="001D740C"/>
    <w:rsid w:val="001E41FF"/>
    <w:rsid w:val="001E530B"/>
    <w:rsid w:val="001E5952"/>
    <w:rsid w:val="001E6C86"/>
    <w:rsid w:val="001F025D"/>
    <w:rsid w:val="001F0E18"/>
    <w:rsid w:val="001F0E85"/>
    <w:rsid w:val="001F1E56"/>
    <w:rsid w:val="001F2A2C"/>
    <w:rsid w:val="001F2B65"/>
    <w:rsid w:val="001F4F19"/>
    <w:rsid w:val="001F538C"/>
    <w:rsid w:val="002026C8"/>
    <w:rsid w:val="00202B0C"/>
    <w:rsid w:val="00205B6F"/>
    <w:rsid w:val="002140CA"/>
    <w:rsid w:val="002171E3"/>
    <w:rsid w:val="002217AB"/>
    <w:rsid w:val="00221EB8"/>
    <w:rsid w:val="00224700"/>
    <w:rsid w:val="00226001"/>
    <w:rsid w:val="002260D3"/>
    <w:rsid w:val="00226DA9"/>
    <w:rsid w:val="00231DD8"/>
    <w:rsid w:val="0023417C"/>
    <w:rsid w:val="002356AF"/>
    <w:rsid w:val="00236CAC"/>
    <w:rsid w:val="00237719"/>
    <w:rsid w:val="0024061F"/>
    <w:rsid w:val="002419B6"/>
    <w:rsid w:val="00242EC6"/>
    <w:rsid w:val="002434C9"/>
    <w:rsid w:val="00244784"/>
    <w:rsid w:val="00245884"/>
    <w:rsid w:val="002459C4"/>
    <w:rsid w:val="00247DE1"/>
    <w:rsid w:val="00251154"/>
    <w:rsid w:val="002517DA"/>
    <w:rsid w:val="00261A73"/>
    <w:rsid w:val="00262AFD"/>
    <w:rsid w:val="00262C08"/>
    <w:rsid w:val="00263282"/>
    <w:rsid w:val="00263F52"/>
    <w:rsid w:val="00264A16"/>
    <w:rsid w:val="00264C33"/>
    <w:rsid w:val="002654F1"/>
    <w:rsid w:val="0026607A"/>
    <w:rsid w:val="002669CF"/>
    <w:rsid w:val="00267CC9"/>
    <w:rsid w:val="00270263"/>
    <w:rsid w:val="002720E1"/>
    <w:rsid w:val="002736B6"/>
    <w:rsid w:val="00273FC5"/>
    <w:rsid w:val="002750B9"/>
    <w:rsid w:val="0027781E"/>
    <w:rsid w:val="002824A1"/>
    <w:rsid w:val="002829B8"/>
    <w:rsid w:val="00282A56"/>
    <w:rsid w:val="00282C53"/>
    <w:rsid w:val="00282C8B"/>
    <w:rsid w:val="00285325"/>
    <w:rsid w:val="002929A5"/>
    <w:rsid w:val="00292CD1"/>
    <w:rsid w:val="00293187"/>
    <w:rsid w:val="00293D4C"/>
    <w:rsid w:val="00294249"/>
    <w:rsid w:val="00294A68"/>
    <w:rsid w:val="00294AC9"/>
    <w:rsid w:val="0029553F"/>
    <w:rsid w:val="002956A8"/>
    <w:rsid w:val="00295805"/>
    <w:rsid w:val="00295981"/>
    <w:rsid w:val="00296125"/>
    <w:rsid w:val="00297D6A"/>
    <w:rsid w:val="002A3F4D"/>
    <w:rsid w:val="002A534C"/>
    <w:rsid w:val="002A57BB"/>
    <w:rsid w:val="002A66A7"/>
    <w:rsid w:val="002A7000"/>
    <w:rsid w:val="002A78E8"/>
    <w:rsid w:val="002A7E6C"/>
    <w:rsid w:val="002B036A"/>
    <w:rsid w:val="002B117C"/>
    <w:rsid w:val="002B13CB"/>
    <w:rsid w:val="002B3C7F"/>
    <w:rsid w:val="002B628F"/>
    <w:rsid w:val="002C06C2"/>
    <w:rsid w:val="002C12F2"/>
    <w:rsid w:val="002C1429"/>
    <w:rsid w:val="002C3379"/>
    <w:rsid w:val="002C3B57"/>
    <w:rsid w:val="002C41B7"/>
    <w:rsid w:val="002C599F"/>
    <w:rsid w:val="002C78F1"/>
    <w:rsid w:val="002D09FA"/>
    <w:rsid w:val="002D0C71"/>
    <w:rsid w:val="002D1317"/>
    <w:rsid w:val="002D1886"/>
    <w:rsid w:val="002D3CE9"/>
    <w:rsid w:val="002D4886"/>
    <w:rsid w:val="002D6BB7"/>
    <w:rsid w:val="002D6D3B"/>
    <w:rsid w:val="002E00B3"/>
    <w:rsid w:val="002E170B"/>
    <w:rsid w:val="002E1942"/>
    <w:rsid w:val="002E39D0"/>
    <w:rsid w:val="002E6002"/>
    <w:rsid w:val="002E7558"/>
    <w:rsid w:val="002E793A"/>
    <w:rsid w:val="002E7F8D"/>
    <w:rsid w:val="002F0039"/>
    <w:rsid w:val="002F2A21"/>
    <w:rsid w:val="002F4B20"/>
    <w:rsid w:val="002F5B8C"/>
    <w:rsid w:val="0030258B"/>
    <w:rsid w:val="003032CA"/>
    <w:rsid w:val="00306B43"/>
    <w:rsid w:val="00307375"/>
    <w:rsid w:val="0030755E"/>
    <w:rsid w:val="00307888"/>
    <w:rsid w:val="00311994"/>
    <w:rsid w:val="0031241E"/>
    <w:rsid w:val="0031297D"/>
    <w:rsid w:val="00313799"/>
    <w:rsid w:val="00313E4A"/>
    <w:rsid w:val="003162F1"/>
    <w:rsid w:val="00316D53"/>
    <w:rsid w:val="00317744"/>
    <w:rsid w:val="00317B9E"/>
    <w:rsid w:val="00323FEF"/>
    <w:rsid w:val="00325BFE"/>
    <w:rsid w:val="00326FA9"/>
    <w:rsid w:val="00327135"/>
    <w:rsid w:val="00330DA1"/>
    <w:rsid w:val="00330EC2"/>
    <w:rsid w:val="00331DD7"/>
    <w:rsid w:val="003344FB"/>
    <w:rsid w:val="00337937"/>
    <w:rsid w:val="00343428"/>
    <w:rsid w:val="00344138"/>
    <w:rsid w:val="003443B8"/>
    <w:rsid w:val="0034595D"/>
    <w:rsid w:val="00347538"/>
    <w:rsid w:val="00351A5D"/>
    <w:rsid w:val="00352D93"/>
    <w:rsid w:val="00354768"/>
    <w:rsid w:val="00354C2F"/>
    <w:rsid w:val="00355E25"/>
    <w:rsid w:val="00356426"/>
    <w:rsid w:val="00357C9E"/>
    <w:rsid w:val="0036135D"/>
    <w:rsid w:val="0036276C"/>
    <w:rsid w:val="0036324B"/>
    <w:rsid w:val="00364AF7"/>
    <w:rsid w:val="00364B0B"/>
    <w:rsid w:val="00371615"/>
    <w:rsid w:val="003733E8"/>
    <w:rsid w:val="00373507"/>
    <w:rsid w:val="0037487C"/>
    <w:rsid w:val="00375015"/>
    <w:rsid w:val="003757B3"/>
    <w:rsid w:val="00376D70"/>
    <w:rsid w:val="00382DD9"/>
    <w:rsid w:val="00384092"/>
    <w:rsid w:val="00384623"/>
    <w:rsid w:val="00386759"/>
    <w:rsid w:val="00391946"/>
    <w:rsid w:val="0039399C"/>
    <w:rsid w:val="00395938"/>
    <w:rsid w:val="00395971"/>
    <w:rsid w:val="00395FC2"/>
    <w:rsid w:val="0039667F"/>
    <w:rsid w:val="003A03BA"/>
    <w:rsid w:val="003A0EDB"/>
    <w:rsid w:val="003A2CF6"/>
    <w:rsid w:val="003A3DC6"/>
    <w:rsid w:val="003A57AD"/>
    <w:rsid w:val="003A6539"/>
    <w:rsid w:val="003A76DB"/>
    <w:rsid w:val="003A7BF8"/>
    <w:rsid w:val="003B0512"/>
    <w:rsid w:val="003B0F45"/>
    <w:rsid w:val="003B12A5"/>
    <w:rsid w:val="003B4CD4"/>
    <w:rsid w:val="003B7396"/>
    <w:rsid w:val="003B74AC"/>
    <w:rsid w:val="003C25F1"/>
    <w:rsid w:val="003C40E1"/>
    <w:rsid w:val="003C4533"/>
    <w:rsid w:val="003C48D3"/>
    <w:rsid w:val="003C56F0"/>
    <w:rsid w:val="003C69D2"/>
    <w:rsid w:val="003C7AF3"/>
    <w:rsid w:val="003C7F9A"/>
    <w:rsid w:val="003D084C"/>
    <w:rsid w:val="003D0E7D"/>
    <w:rsid w:val="003D0F14"/>
    <w:rsid w:val="003D38F6"/>
    <w:rsid w:val="003D4A05"/>
    <w:rsid w:val="003D5E9C"/>
    <w:rsid w:val="003E031C"/>
    <w:rsid w:val="003E1875"/>
    <w:rsid w:val="003E2402"/>
    <w:rsid w:val="003E394A"/>
    <w:rsid w:val="003E7BD5"/>
    <w:rsid w:val="003F1C36"/>
    <w:rsid w:val="003F2109"/>
    <w:rsid w:val="003F34A2"/>
    <w:rsid w:val="003F3A56"/>
    <w:rsid w:val="003F4749"/>
    <w:rsid w:val="003F4B29"/>
    <w:rsid w:val="003F7BB2"/>
    <w:rsid w:val="00400D2F"/>
    <w:rsid w:val="00401D53"/>
    <w:rsid w:val="00402294"/>
    <w:rsid w:val="00402CD7"/>
    <w:rsid w:val="004034A3"/>
    <w:rsid w:val="0040398A"/>
    <w:rsid w:val="00403A31"/>
    <w:rsid w:val="00407B85"/>
    <w:rsid w:val="00410AD6"/>
    <w:rsid w:val="00412B25"/>
    <w:rsid w:val="00412F40"/>
    <w:rsid w:val="004142D8"/>
    <w:rsid w:val="0041538E"/>
    <w:rsid w:val="0042012D"/>
    <w:rsid w:val="00420233"/>
    <w:rsid w:val="0042396C"/>
    <w:rsid w:val="004253EE"/>
    <w:rsid w:val="00425925"/>
    <w:rsid w:val="004267E1"/>
    <w:rsid w:val="00427F4E"/>
    <w:rsid w:val="004300CC"/>
    <w:rsid w:val="004302EA"/>
    <w:rsid w:val="004303F9"/>
    <w:rsid w:val="00431091"/>
    <w:rsid w:val="0043176A"/>
    <w:rsid w:val="004323E3"/>
    <w:rsid w:val="00433C36"/>
    <w:rsid w:val="00434694"/>
    <w:rsid w:val="0043563A"/>
    <w:rsid w:val="00436CC8"/>
    <w:rsid w:val="00437743"/>
    <w:rsid w:val="004406F6"/>
    <w:rsid w:val="00440C98"/>
    <w:rsid w:val="004416EB"/>
    <w:rsid w:val="00441702"/>
    <w:rsid w:val="00442C0F"/>
    <w:rsid w:val="00443CC1"/>
    <w:rsid w:val="0044596C"/>
    <w:rsid w:val="0045013B"/>
    <w:rsid w:val="00450DD1"/>
    <w:rsid w:val="00451172"/>
    <w:rsid w:val="0045173E"/>
    <w:rsid w:val="00451960"/>
    <w:rsid w:val="004559C3"/>
    <w:rsid w:val="00455C9D"/>
    <w:rsid w:val="0045661F"/>
    <w:rsid w:val="00457010"/>
    <w:rsid w:val="0045741A"/>
    <w:rsid w:val="004576DA"/>
    <w:rsid w:val="00457760"/>
    <w:rsid w:val="00460F21"/>
    <w:rsid w:val="00463953"/>
    <w:rsid w:val="004674F4"/>
    <w:rsid w:val="00470BB8"/>
    <w:rsid w:val="0047140A"/>
    <w:rsid w:val="004718B9"/>
    <w:rsid w:val="00472A26"/>
    <w:rsid w:val="004741A1"/>
    <w:rsid w:val="00474F13"/>
    <w:rsid w:val="00475023"/>
    <w:rsid w:val="0047583D"/>
    <w:rsid w:val="00476951"/>
    <w:rsid w:val="004800DF"/>
    <w:rsid w:val="004808CD"/>
    <w:rsid w:val="00485073"/>
    <w:rsid w:val="0048550B"/>
    <w:rsid w:val="00487E12"/>
    <w:rsid w:val="0049011C"/>
    <w:rsid w:val="004908B6"/>
    <w:rsid w:val="00491ADE"/>
    <w:rsid w:val="004959A9"/>
    <w:rsid w:val="00496E49"/>
    <w:rsid w:val="00496E83"/>
    <w:rsid w:val="004A1888"/>
    <w:rsid w:val="004A40A7"/>
    <w:rsid w:val="004A50C7"/>
    <w:rsid w:val="004A556F"/>
    <w:rsid w:val="004A5ECD"/>
    <w:rsid w:val="004A5FBA"/>
    <w:rsid w:val="004A7E97"/>
    <w:rsid w:val="004B1D00"/>
    <w:rsid w:val="004B2023"/>
    <w:rsid w:val="004B2772"/>
    <w:rsid w:val="004B28C5"/>
    <w:rsid w:val="004B3A7F"/>
    <w:rsid w:val="004B401E"/>
    <w:rsid w:val="004C0491"/>
    <w:rsid w:val="004C0A25"/>
    <w:rsid w:val="004C2812"/>
    <w:rsid w:val="004C48E0"/>
    <w:rsid w:val="004C4A74"/>
    <w:rsid w:val="004C6148"/>
    <w:rsid w:val="004C672D"/>
    <w:rsid w:val="004C73FA"/>
    <w:rsid w:val="004D0D55"/>
    <w:rsid w:val="004D2D7A"/>
    <w:rsid w:val="004D5D6A"/>
    <w:rsid w:val="004E0659"/>
    <w:rsid w:val="004E1670"/>
    <w:rsid w:val="004E1E23"/>
    <w:rsid w:val="004E51A8"/>
    <w:rsid w:val="004E59C2"/>
    <w:rsid w:val="004F0C72"/>
    <w:rsid w:val="004F5806"/>
    <w:rsid w:val="004F743C"/>
    <w:rsid w:val="004F7BC6"/>
    <w:rsid w:val="00502134"/>
    <w:rsid w:val="005024BF"/>
    <w:rsid w:val="00507427"/>
    <w:rsid w:val="00510BDE"/>
    <w:rsid w:val="00510E2A"/>
    <w:rsid w:val="005112F5"/>
    <w:rsid w:val="00512BB5"/>
    <w:rsid w:val="00512EEA"/>
    <w:rsid w:val="005148DB"/>
    <w:rsid w:val="00514F8C"/>
    <w:rsid w:val="005152BB"/>
    <w:rsid w:val="005167D2"/>
    <w:rsid w:val="00516C29"/>
    <w:rsid w:val="005200AC"/>
    <w:rsid w:val="005255CA"/>
    <w:rsid w:val="005300B0"/>
    <w:rsid w:val="0053221A"/>
    <w:rsid w:val="005325CD"/>
    <w:rsid w:val="00532701"/>
    <w:rsid w:val="00533BF1"/>
    <w:rsid w:val="00534106"/>
    <w:rsid w:val="00534F0A"/>
    <w:rsid w:val="0053701F"/>
    <w:rsid w:val="005372F0"/>
    <w:rsid w:val="00541706"/>
    <w:rsid w:val="00541CCA"/>
    <w:rsid w:val="00541E29"/>
    <w:rsid w:val="00543DA6"/>
    <w:rsid w:val="00546F68"/>
    <w:rsid w:val="005506DB"/>
    <w:rsid w:val="00551525"/>
    <w:rsid w:val="0055191D"/>
    <w:rsid w:val="005519A9"/>
    <w:rsid w:val="00552396"/>
    <w:rsid w:val="00552852"/>
    <w:rsid w:val="00552907"/>
    <w:rsid w:val="00553835"/>
    <w:rsid w:val="00553EC6"/>
    <w:rsid w:val="00555187"/>
    <w:rsid w:val="00555CB3"/>
    <w:rsid w:val="00556568"/>
    <w:rsid w:val="00557A94"/>
    <w:rsid w:val="00557CCA"/>
    <w:rsid w:val="005604BA"/>
    <w:rsid w:val="005623D8"/>
    <w:rsid w:val="00564DDB"/>
    <w:rsid w:val="00572FA4"/>
    <w:rsid w:val="005731FC"/>
    <w:rsid w:val="00573287"/>
    <w:rsid w:val="00574C50"/>
    <w:rsid w:val="00574E53"/>
    <w:rsid w:val="0057715F"/>
    <w:rsid w:val="00577850"/>
    <w:rsid w:val="00581FD1"/>
    <w:rsid w:val="0058270E"/>
    <w:rsid w:val="00582A92"/>
    <w:rsid w:val="00583C66"/>
    <w:rsid w:val="005851DD"/>
    <w:rsid w:val="00585B18"/>
    <w:rsid w:val="00590CEC"/>
    <w:rsid w:val="00594456"/>
    <w:rsid w:val="0059582A"/>
    <w:rsid w:val="00596FF5"/>
    <w:rsid w:val="00597552"/>
    <w:rsid w:val="005A0257"/>
    <w:rsid w:val="005A0327"/>
    <w:rsid w:val="005A2699"/>
    <w:rsid w:val="005A7617"/>
    <w:rsid w:val="005B1245"/>
    <w:rsid w:val="005B1302"/>
    <w:rsid w:val="005B3D0A"/>
    <w:rsid w:val="005B404E"/>
    <w:rsid w:val="005B4D59"/>
    <w:rsid w:val="005B5D51"/>
    <w:rsid w:val="005B7A43"/>
    <w:rsid w:val="005B7D4E"/>
    <w:rsid w:val="005C0ED0"/>
    <w:rsid w:val="005C112A"/>
    <w:rsid w:val="005C1AD6"/>
    <w:rsid w:val="005C1F00"/>
    <w:rsid w:val="005C2987"/>
    <w:rsid w:val="005C5AA8"/>
    <w:rsid w:val="005C700A"/>
    <w:rsid w:val="005D005D"/>
    <w:rsid w:val="005D15F6"/>
    <w:rsid w:val="005D19C3"/>
    <w:rsid w:val="005D298C"/>
    <w:rsid w:val="005D3C19"/>
    <w:rsid w:val="005D40A1"/>
    <w:rsid w:val="005D510A"/>
    <w:rsid w:val="005D5D03"/>
    <w:rsid w:val="005D6172"/>
    <w:rsid w:val="005D723C"/>
    <w:rsid w:val="005E0D91"/>
    <w:rsid w:val="005E1C8D"/>
    <w:rsid w:val="005E6046"/>
    <w:rsid w:val="005E72CC"/>
    <w:rsid w:val="005E755A"/>
    <w:rsid w:val="005F7AE4"/>
    <w:rsid w:val="00602CB3"/>
    <w:rsid w:val="00603EC7"/>
    <w:rsid w:val="006053B8"/>
    <w:rsid w:val="0060542C"/>
    <w:rsid w:val="006059EC"/>
    <w:rsid w:val="00606034"/>
    <w:rsid w:val="0061391A"/>
    <w:rsid w:val="006210AE"/>
    <w:rsid w:val="00621213"/>
    <w:rsid w:val="006214FD"/>
    <w:rsid w:val="00625E26"/>
    <w:rsid w:val="00626DEC"/>
    <w:rsid w:val="00627172"/>
    <w:rsid w:val="00627C0D"/>
    <w:rsid w:val="0063064A"/>
    <w:rsid w:val="006307B0"/>
    <w:rsid w:val="0063189E"/>
    <w:rsid w:val="0063474F"/>
    <w:rsid w:val="006357C1"/>
    <w:rsid w:val="00642E2D"/>
    <w:rsid w:val="0064475D"/>
    <w:rsid w:val="00644AA4"/>
    <w:rsid w:val="00644D81"/>
    <w:rsid w:val="006453A1"/>
    <w:rsid w:val="00645E41"/>
    <w:rsid w:val="006500AC"/>
    <w:rsid w:val="00650DEC"/>
    <w:rsid w:val="006516D4"/>
    <w:rsid w:val="00651C06"/>
    <w:rsid w:val="00652213"/>
    <w:rsid w:val="00653670"/>
    <w:rsid w:val="00653CC7"/>
    <w:rsid w:val="0065780C"/>
    <w:rsid w:val="00660098"/>
    <w:rsid w:val="00660409"/>
    <w:rsid w:val="00661A55"/>
    <w:rsid w:val="00663671"/>
    <w:rsid w:val="00664640"/>
    <w:rsid w:val="0066544E"/>
    <w:rsid w:val="00665E7E"/>
    <w:rsid w:val="00666E5B"/>
    <w:rsid w:val="00667180"/>
    <w:rsid w:val="00670AB8"/>
    <w:rsid w:val="00671C73"/>
    <w:rsid w:val="006720EF"/>
    <w:rsid w:val="00673038"/>
    <w:rsid w:val="00674D5B"/>
    <w:rsid w:val="00675A63"/>
    <w:rsid w:val="00675E7E"/>
    <w:rsid w:val="00676679"/>
    <w:rsid w:val="00677A56"/>
    <w:rsid w:val="00681113"/>
    <w:rsid w:val="00684BB7"/>
    <w:rsid w:val="00684F00"/>
    <w:rsid w:val="006851FA"/>
    <w:rsid w:val="006873F4"/>
    <w:rsid w:val="006916CC"/>
    <w:rsid w:val="00691EA0"/>
    <w:rsid w:val="00692878"/>
    <w:rsid w:val="00692A9F"/>
    <w:rsid w:val="0069360B"/>
    <w:rsid w:val="00693A71"/>
    <w:rsid w:val="00694D17"/>
    <w:rsid w:val="00695382"/>
    <w:rsid w:val="006961AD"/>
    <w:rsid w:val="006A0393"/>
    <w:rsid w:val="006A1E8C"/>
    <w:rsid w:val="006A21AE"/>
    <w:rsid w:val="006A3EA5"/>
    <w:rsid w:val="006A45CD"/>
    <w:rsid w:val="006A69FF"/>
    <w:rsid w:val="006A6D69"/>
    <w:rsid w:val="006B16CC"/>
    <w:rsid w:val="006B2100"/>
    <w:rsid w:val="006B2C27"/>
    <w:rsid w:val="006B2F59"/>
    <w:rsid w:val="006B3E96"/>
    <w:rsid w:val="006B3ED6"/>
    <w:rsid w:val="006C3014"/>
    <w:rsid w:val="006C7979"/>
    <w:rsid w:val="006D14A5"/>
    <w:rsid w:val="006D35BF"/>
    <w:rsid w:val="006D3CF7"/>
    <w:rsid w:val="006D406C"/>
    <w:rsid w:val="006D7152"/>
    <w:rsid w:val="006D7852"/>
    <w:rsid w:val="006D7B99"/>
    <w:rsid w:val="006E0908"/>
    <w:rsid w:val="006E0B0D"/>
    <w:rsid w:val="006E18A8"/>
    <w:rsid w:val="006E2203"/>
    <w:rsid w:val="006E2D07"/>
    <w:rsid w:val="006E3213"/>
    <w:rsid w:val="006E3B2B"/>
    <w:rsid w:val="006E42EA"/>
    <w:rsid w:val="006E55EB"/>
    <w:rsid w:val="006E6053"/>
    <w:rsid w:val="006E61A3"/>
    <w:rsid w:val="006E6BFA"/>
    <w:rsid w:val="006E6FD5"/>
    <w:rsid w:val="006F2926"/>
    <w:rsid w:val="006F3B13"/>
    <w:rsid w:val="006F4158"/>
    <w:rsid w:val="006F4E63"/>
    <w:rsid w:val="006F5692"/>
    <w:rsid w:val="006F6039"/>
    <w:rsid w:val="006F63D5"/>
    <w:rsid w:val="006F7A1C"/>
    <w:rsid w:val="0070090B"/>
    <w:rsid w:val="0070117F"/>
    <w:rsid w:val="00703540"/>
    <w:rsid w:val="0070358C"/>
    <w:rsid w:val="00704742"/>
    <w:rsid w:val="0070612B"/>
    <w:rsid w:val="00707911"/>
    <w:rsid w:val="00710502"/>
    <w:rsid w:val="00714393"/>
    <w:rsid w:val="007168EE"/>
    <w:rsid w:val="00716D9E"/>
    <w:rsid w:val="007177F8"/>
    <w:rsid w:val="00720212"/>
    <w:rsid w:val="00720AA6"/>
    <w:rsid w:val="00727142"/>
    <w:rsid w:val="007342FE"/>
    <w:rsid w:val="0073534C"/>
    <w:rsid w:val="00736763"/>
    <w:rsid w:val="00743BD8"/>
    <w:rsid w:val="00747FF8"/>
    <w:rsid w:val="00750B2D"/>
    <w:rsid w:val="0075378D"/>
    <w:rsid w:val="00753B5B"/>
    <w:rsid w:val="00755191"/>
    <w:rsid w:val="0075658F"/>
    <w:rsid w:val="007576F9"/>
    <w:rsid w:val="00765064"/>
    <w:rsid w:val="007662BC"/>
    <w:rsid w:val="007663BD"/>
    <w:rsid w:val="00766830"/>
    <w:rsid w:val="00766CDE"/>
    <w:rsid w:val="00770F1F"/>
    <w:rsid w:val="00771F04"/>
    <w:rsid w:val="00772C7F"/>
    <w:rsid w:val="00773570"/>
    <w:rsid w:val="007754D5"/>
    <w:rsid w:val="00780C5B"/>
    <w:rsid w:val="0078119D"/>
    <w:rsid w:val="007822CD"/>
    <w:rsid w:val="0078276B"/>
    <w:rsid w:val="00785473"/>
    <w:rsid w:val="00785BAD"/>
    <w:rsid w:val="007919B1"/>
    <w:rsid w:val="007928BD"/>
    <w:rsid w:val="00793FBB"/>
    <w:rsid w:val="00794540"/>
    <w:rsid w:val="00794C1D"/>
    <w:rsid w:val="00796738"/>
    <w:rsid w:val="007A060F"/>
    <w:rsid w:val="007A1800"/>
    <w:rsid w:val="007A306E"/>
    <w:rsid w:val="007A4FC5"/>
    <w:rsid w:val="007A510B"/>
    <w:rsid w:val="007A5403"/>
    <w:rsid w:val="007A6769"/>
    <w:rsid w:val="007B15AD"/>
    <w:rsid w:val="007B1884"/>
    <w:rsid w:val="007B2BEB"/>
    <w:rsid w:val="007B422F"/>
    <w:rsid w:val="007B4FE0"/>
    <w:rsid w:val="007B5144"/>
    <w:rsid w:val="007B7BC7"/>
    <w:rsid w:val="007C0897"/>
    <w:rsid w:val="007C0B89"/>
    <w:rsid w:val="007C277F"/>
    <w:rsid w:val="007C40D2"/>
    <w:rsid w:val="007C79DE"/>
    <w:rsid w:val="007D1775"/>
    <w:rsid w:val="007D354B"/>
    <w:rsid w:val="007D3B0D"/>
    <w:rsid w:val="007D3D66"/>
    <w:rsid w:val="007D41FD"/>
    <w:rsid w:val="007D6E1A"/>
    <w:rsid w:val="007E3A85"/>
    <w:rsid w:val="007E428F"/>
    <w:rsid w:val="007E566E"/>
    <w:rsid w:val="007E66B6"/>
    <w:rsid w:val="007F05AC"/>
    <w:rsid w:val="007F2104"/>
    <w:rsid w:val="007F2F22"/>
    <w:rsid w:val="007F4EA9"/>
    <w:rsid w:val="007F5797"/>
    <w:rsid w:val="00800823"/>
    <w:rsid w:val="0080215A"/>
    <w:rsid w:val="0080329B"/>
    <w:rsid w:val="00803BB1"/>
    <w:rsid w:val="00804AE8"/>
    <w:rsid w:val="008050FD"/>
    <w:rsid w:val="008056F4"/>
    <w:rsid w:val="00806BAB"/>
    <w:rsid w:val="0081085C"/>
    <w:rsid w:val="00810DBB"/>
    <w:rsid w:val="00812E6C"/>
    <w:rsid w:val="0081460E"/>
    <w:rsid w:val="00816A40"/>
    <w:rsid w:val="00816BB9"/>
    <w:rsid w:val="00821107"/>
    <w:rsid w:val="008211C3"/>
    <w:rsid w:val="00821537"/>
    <w:rsid w:val="008217FF"/>
    <w:rsid w:val="008228FA"/>
    <w:rsid w:val="008234FD"/>
    <w:rsid w:val="00824808"/>
    <w:rsid w:val="008258F0"/>
    <w:rsid w:val="00831AA2"/>
    <w:rsid w:val="008320CD"/>
    <w:rsid w:val="00832664"/>
    <w:rsid w:val="00834405"/>
    <w:rsid w:val="00834B3C"/>
    <w:rsid w:val="00834C1A"/>
    <w:rsid w:val="00834D51"/>
    <w:rsid w:val="00836AC8"/>
    <w:rsid w:val="00837B8A"/>
    <w:rsid w:val="008414AB"/>
    <w:rsid w:val="008415EA"/>
    <w:rsid w:val="00842202"/>
    <w:rsid w:val="008447DA"/>
    <w:rsid w:val="00844971"/>
    <w:rsid w:val="00846873"/>
    <w:rsid w:val="00846F2B"/>
    <w:rsid w:val="00850A37"/>
    <w:rsid w:val="00850A38"/>
    <w:rsid w:val="00852625"/>
    <w:rsid w:val="00853F49"/>
    <w:rsid w:val="00856176"/>
    <w:rsid w:val="00856BC1"/>
    <w:rsid w:val="00857362"/>
    <w:rsid w:val="00857408"/>
    <w:rsid w:val="0085750A"/>
    <w:rsid w:val="0086275B"/>
    <w:rsid w:val="00862C14"/>
    <w:rsid w:val="00862FB4"/>
    <w:rsid w:val="00864015"/>
    <w:rsid w:val="0086620B"/>
    <w:rsid w:val="00866696"/>
    <w:rsid w:val="00866992"/>
    <w:rsid w:val="00866EC7"/>
    <w:rsid w:val="00866FEA"/>
    <w:rsid w:val="00870383"/>
    <w:rsid w:val="00872FEC"/>
    <w:rsid w:val="0088223D"/>
    <w:rsid w:val="00882B50"/>
    <w:rsid w:val="00883060"/>
    <w:rsid w:val="00885DC6"/>
    <w:rsid w:val="00885F5B"/>
    <w:rsid w:val="0088784D"/>
    <w:rsid w:val="008903A0"/>
    <w:rsid w:val="0089045E"/>
    <w:rsid w:val="00891178"/>
    <w:rsid w:val="008919DB"/>
    <w:rsid w:val="00893EC4"/>
    <w:rsid w:val="008954A7"/>
    <w:rsid w:val="00895B29"/>
    <w:rsid w:val="0089674B"/>
    <w:rsid w:val="0089702F"/>
    <w:rsid w:val="0089716A"/>
    <w:rsid w:val="008A0ED4"/>
    <w:rsid w:val="008A16B6"/>
    <w:rsid w:val="008A290C"/>
    <w:rsid w:val="008A37E2"/>
    <w:rsid w:val="008B0BB7"/>
    <w:rsid w:val="008B216C"/>
    <w:rsid w:val="008B286A"/>
    <w:rsid w:val="008B2B9C"/>
    <w:rsid w:val="008B4C06"/>
    <w:rsid w:val="008B66ED"/>
    <w:rsid w:val="008B7124"/>
    <w:rsid w:val="008B7C57"/>
    <w:rsid w:val="008B7EEF"/>
    <w:rsid w:val="008C2236"/>
    <w:rsid w:val="008C27EA"/>
    <w:rsid w:val="008C4315"/>
    <w:rsid w:val="008C7311"/>
    <w:rsid w:val="008D31E1"/>
    <w:rsid w:val="008D792B"/>
    <w:rsid w:val="008E1CE5"/>
    <w:rsid w:val="008E3A9E"/>
    <w:rsid w:val="008E4344"/>
    <w:rsid w:val="008E4FAF"/>
    <w:rsid w:val="008E7740"/>
    <w:rsid w:val="008F0EAC"/>
    <w:rsid w:val="008F0F70"/>
    <w:rsid w:val="008F1585"/>
    <w:rsid w:val="008F3663"/>
    <w:rsid w:val="008F5D88"/>
    <w:rsid w:val="008F6067"/>
    <w:rsid w:val="008F6252"/>
    <w:rsid w:val="00902FB2"/>
    <w:rsid w:val="00903D45"/>
    <w:rsid w:val="00904725"/>
    <w:rsid w:val="0090598D"/>
    <w:rsid w:val="00906915"/>
    <w:rsid w:val="009106CB"/>
    <w:rsid w:val="00911046"/>
    <w:rsid w:val="0091123B"/>
    <w:rsid w:val="00912C42"/>
    <w:rsid w:val="00913138"/>
    <w:rsid w:val="00914359"/>
    <w:rsid w:val="00914491"/>
    <w:rsid w:val="00914AFD"/>
    <w:rsid w:val="0091692E"/>
    <w:rsid w:val="00924C27"/>
    <w:rsid w:val="009253DA"/>
    <w:rsid w:val="00925B97"/>
    <w:rsid w:val="00926679"/>
    <w:rsid w:val="0092688D"/>
    <w:rsid w:val="00926BBD"/>
    <w:rsid w:val="009273E7"/>
    <w:rsid w:val="00927A06"/>
    <w:rsid w:val="00931969"/>
    <w:rsid w:val="00931976"/>
    <w:rsid w:val="009341B4"/>
    <w:rsid w:val="0093631A"/>
    <w:rsid w:val="00936F1D"/>
    <w:rsid w:val="00937EFE"/>
    <w:rsid w:val="00942051"/>
    <w:rsid w:val="009420A1"/>
    <w:rsid w:val="009431D1"/>
    <w:rsid w:val="00944823"/>
    <w:rsid w:val="00944F8A"/>
    <w:rsid w:val="00945CBE"/>
    <w:rsid w:val="00946C43"/>
    <w:rsid w:val="00946CB5"/>
    <w:rsid w:val="00947404"/>
    <w:rsid w:val="00951D8F"/>
    <w:rsid w:val="009527F8"/>
    <w:rsid w:val="00955796"/>
    <w:rsid w:val="009564BC"/>
    <w:rsid w:val="009572EA"/>
    <w:rsid w:val="0096124A"/>
    <w:rsid w:val="00961DBC"/>
    <w:rsid w:val="00963232"/>
    <w:rsid w:val="0096423A"/>
    <w:rsid w:val="00965D54"/>
    <w:rsid w:val="00967815"/>
    <w:rsid w:val="00972B9F"/>
    <w:rsid w:val="00973C59"/>
    <w:rsid w:val="00973F7E"/>
    <w:rsid w:val="009777DF"/>
    <w:rsid w:val="00986C79"/>
    <w:rsid w:val="009919F8"/>
    <w:rsid w:val="00991A30"/>
    <w:rsid w:val="00992036"/>
    <w:rsid w:val="00995D93"/>
    <w:rsid w:val="00995E22"/>
    <w:rsid w:val="009A050B"/>
    <w:rsid w:val="009A6C8B"/>
    <w:rsid w:val="009A766F"/>
    <w:rsid w:val="009B0696"/>
    <w:rsid w:val="009B08F1"/>
    <w:rsid w:val="009B2731"/>
    <w:rsid w:val="009B3312"/>
    <w:rsid w:val="009B36FB"/>
    <w:rsid w:val="009B43BC"/>
    <w:rsid w:val="009B5BE0"/>
    <w:rsid w:val="009B7DDA"/>
    <w:rsid w:val="009C0D20"/>
    <w:rsid w:val="009C1E47"/>
    <w:rsid w:val="009C277A"/>
    <w:rsid w:val="009C2DA9"/>
    <w:rsid w:val="009C3106"/>
    <w:rsid w:val="009C52A2"/>
    <w:rsid w:val="009C57B6"/>
    <w:rsid w:val="009C59F0"/>
    <w:rsid w:val="009C5F20"/>
    <w:rsid w:val="009C6B34"/>
    <w:rsid w:val="009C6C95"/>
    <w:rsid w:val="009C70B7"/>
    <w:rsid w:val="009D026A"/>
    <w:rsid w:val="009D084E"/>
    <w:rsid w:val="009D1C6E"/>
    <w:rsid w:val="009D1EF7"/>
    <w:rsid w:val="009D2277"/>
    <w:rsid w:val="009D2295"/>
    <w:rsid w:val="009D3088"/>
    <w:rsid w:val="009D3445"/>
    <w:rsid w:val="009D48CC"/>
    <w:rsid w:val="009D5CF7"/>
    <w:rsid w:val="009D5EA0"/>
    <w:rsid w:val="009D68B0"/>
    <w:rsid w:val="009D6C5F"/>
    <w:rsid w:val="009D6D67"/>
    <w:rsid w:val="009D7533"/>
    <w:rsid w:val="009D7C8B"/>
    <w:rsid w:val="009D7E74"/>
    <w:rsid w:val="009E1291"/>
    <w:rsid w:val="009E17CF"/>
    <w:rsid w:val="009E24C1"/>
    <w:rsid w:val="009E24CC"/>
    <w:rsid w:val="009E2CC2"/>
    <w:rsid w:val="009E3AD1"/>
    <w:rsid w:val="009E3C78"/>
    <w:rsid w:val="009E71CA"/>
    <w:rsid w:val="009E740F"/>
    <w:rsid w:val="009E7EC6"/>
    <w:rsid w:val="009F3D05"/>
    <w:rsid w:val="009F48D2"/>
    <w:rsid w:val="009F7C6F"/>
    <w:rsid w:val="00A00F9F"/>
    <w:rsid w:val="00A01E7F"/>
    <w:rsid w:val="00A0261F"/>
    <w:rsid w:val="00A03543"/>
    <w:rsid w:val="00A05F62"/>
    <w:rsid w:val="00A07094"/>
    <w:rsid w:val="00A10466"/>
    <w:rsid w:val="00A11C4F"/>
    <w:rsid w:val="00A12555"/>
    <w:rsid w:val="00A129B8"/>
    <w:rsid w:val="00A129F7"/>
    <w:rsid w:val="00A1450E"/>
    <w:rsid w:val="00A159DF"/>
    <w:rsid w:val="00A1663A"/>
    <w:rsid w:val="00A16670"/>
    <w:rsid w:val="00A20ADA"/>
    <w:rsid w:val="00A21E9E"/>
    <w:rsid w:val="00A220E4"/>
    <w:rsid w:val="00A231A3"/>
    <w:rsid w:val="00A245EC"/>
    <w:rsid w:val="00A24AE7"/>
    <w:rsid w:val="00A24DBA"/>
    <w:rsid w:val="00A26A3C"/>
    <w:rsid w:val="00A318BE"/>
    <w:rsid w:val="00A31B1B"/>
    <w:rsid w:val="00A31FFA"/>
    <w:rsid w:val="00A35D96"/>
    <w:rsid w:val="00A36DD0"/>
    <w:rsid w:val="00A36FB5"/>
    <w:rsid w:val="00A37266"/>
    <w:rsid w:val="00A3745B"/>
    <w:rsid w:val="00A37D48"/>
    <w:rsid w:val="00A40FFF"/>
    <w:rsid w:val="00A43F86"/>
    <w:rsid w:val="00A4587D"/>
    <w:rsid w:val="00A45EEC"/>
    <w:rsid w:val="00A52E0C"/>
    <w:rsid w:val="00A53D54"/>
    <w:rsid w:val="00A546DB"/>
    <w:rsid w:val="00A548FA"/>
    <w:rsid w:val="00A54BEF"/>
    <w:rsid w:val="00A55627"/>
    <w:rsid w:val="00A55A26"/>
    <w:rsid w:val="00A56879"/>
    <w:rsid w:val="00A6252F"/>
    <w:rsid w:val="00A63AA2"/>
    <w:rsid w:val="00A641D7"/>
    <w:rsid w:val="00A65A05"/>
    <w:rsid w:val="00A665E1"/>
    <w:rsid w:val="00A66EC4"/>
    <w:rsid w:val="00A66FCD"/>
    <w:rsid w:val="00A7095F"/>
    <w:rsid w:val="00A720BE"/>
    <w:rsid w:val="00A74206"/>
    <w:rsid w:val="00A74871"/>
    <w:rsid w:val="00A7708F"/>
    <w:rsid w:val="00A7725D"/>
    <w:rsid w:val="00A7782E"/>
    <w:rsid w:val="00A82CD7"/>
    <w:rsid w:val="00A85649"/>
    <w:rsid w:val="00A90AF1"/>
    <w:rsid w:val="00A90FB5"/>
    <w:rsid w:val="00A91FF5"/>
    <w:rsid w:val="00A92962"/>
    <w:rsid w:val="00A93950"/>
    <w:rsid w:val="00A94196"/>
    <w:rsid w:val="00A95060"/>
    <w:rsid w:val="00A950E7"/>
    <w:rsid w:val="00A95D58"/>
    <w:rsid w:val="00A95D5F"/>
    <w:rsid w:val="00A97FBC"/>
    <w:rsid w:val="00AA18E8"/>
    <w:rsid w:val="00AA243F"/>
    <w:rsid w:val="00AA24AE"/>
    <w:rsid w:val="00AA2AA6"/>
    <w:rsid w:val="00AA4AB5"/>
    <w:rsid w:val="00AA703E"/>
    <w:rsid w:val="00AB5907"/>
    <w:rsid w:val="00AB6700"/>
    <w:rsid w:val="00AC0F50"/>
    <w:rsid w:val="00AC2A0E"/>
    <w:rsid w:val="00AC44AA"/>
    <w:rsid w:val="00AC56A0"/>
    <w:rsid w:val="00AC56BB"/>
    <w:rsid w:val="00AC7B9F"/>
    <w:rsid w:val="00AD2CA3"/>
    <w:rsid w:val="00AD3023"/>
    <w:rsid w:val="00AD3ACB"/>
    <w:rsid w:val="00AD4711"/>
    <w:rsid w:val="00AD5475"/>
    <w:rsid w:val="00AD5992"/>
    <w:rsid w:val="00AD5B18"/>
    <w:rsid w:val="00AD7C3C"/>
    <w:rsid w:val="00AE0F71"/>
    <w:rsid w:val="00AE1258"/>
    <w:rsid w:val="00AE21CA"/>
    <w:rsid w:val="00AE2D87"/>
    <w:rsid w:val="00AE43B2"/>
    <w:rsid w:val="00AE4B7A"/>
    <w:rsid w:val="00AF180A"/>
    <w:rsid w:val="00AF7668"/>
    <w:rsid w:val="00B00155"/>
    <w:rsid w:val="00B01930"/>
    <w:rsid w:val="00B01D02"/>
    <w:rsid w:val="00B023EF"/>
    <w:rsid w:val="00B043E3"/>
    <w:rsid w:val="00B05A6B"/>
    <w:rsid w:val="00B13814"/>
    <w:rsid w:val="00B149BF"/>
    <w:rsid w:val="00B16DF3"/>
    <w:rsid w:val="00B171DB"/>
    <w:rsid w:val="00B2054F"/>
    <w:rsid w:val="00B222C0"/>
    <w:rsid w:val="00B23492"/>
    <w:rsid w:val="00B23495"/>
    <w:rsid w:val="00B25127"/>
    <w:rsid w:val="00B25E52"/>
    <w:rsid w:val="00B313CE"/>
    <w:rsid w:val="00B32157"/>
    <w:rsid w:val="00B326DC"/>
    <w:rsid w:val="00B32A1D"/>
    <w:rsid w:val="00B3317E"/>
    <w:rsid w:val="00B3628F"/>
    <w:rsid w:val="00B3641B"/>
    <w:rsid w:val="00B41506"/>
    <w:rsid w:val="00B428D1"/>
    <w:rsid w:val="00B4436D"/>
    <w:rsid w:val="00B46B2E"/>
    <w:rsid w:val="00B5093F"/>
    <w:rsid w:val="00B50A62"/>
    <w:rsid w:val="00B50FB9"/>
    <w:rsid w:val="00B51A25"/>
    <w:rsid w:val="00B52D5E"/>
    <w:rsid w:val="00B531C9"/>
    <w:rsid w:val="00B53E23"/>
    <w:rsid w:val="00B54661"/>
    <w:rsid w:val="00B548CA"/>
    <w:rsid w:val="00B54AC7"/>
    <w:rsid w:val="00B55EC4"/>
    <w:rsid w:val="00B57550"/>
    <w:rsid w:val="00B57597"/>
    <w:rsid w:val="00B57A91"/>
    <w:rsid w:val="00B61265"/>
    <w:rsid w:val="00B62108"/>
    <w:rsid w:val="00B626D4"/>
    <w:rsid w:val="00B6545A"/>
    <w:rsid w:val="00B65F65"/>
    <w:rsid w:val="00B66CFF"/>
    <w:rsid w:val="00B6745D"/>
    <w:rsid w:val="00B67FBD"/>
    <w:rsid w:val="00B7048E"/>
    <w:rsid w:val="00B7130F"/>
    <w:rsid w:val="00B72D85"/>
    <w:rsid w:val="00B73BC5"/>
    <w:rsid w:val="00B73D26"/>
    <w:rsid w:val="00B7601C"/>
    <w:rsid w:val="00B76535"/>
    <w:rsid w:val="00B7754B"/>
    <w:rsid w:val="00B80381"/>
    <w:rsid w:val="00B805B6"/>
    <w:rsid w:val="00B8071A"/>
    <w:rsid w:val="00B8104F"/>
    <w:rsid w:val="00B84977"/>
    <w:rsid w:val="00B850B1"/>
    <w:rsid w:val="00B85EA3"/>
    <w:rsid w:val="00B871F9"/>
    <w:rsid w:val="00B878D1"/>
    <w:rsid w:val="00B879F3"/>
    <w:rsid w:val="00B87DCC"/>
    <w:rsid w:val="00B923A0"/>
    <w:rsid w:val="00B92C03"/>
    <w:rsid w:val="00B931DC"/>
    <w:rsid w:val="00B939C6"/>
    <w:rsid w:val="00B94823"/>
    <w:rsid w:val="00B94B6C"/>
    <w:rsid w:val="00B958A9"/>
    <w:rsid w:val="00B966F6"/>
    <w:rsid w:val="00BA1273"/>
    <w:rsid w:val="00BA2560"/>
    <w:rsid w:val="00BA2ADB"/>
    <w:rsid w:val="00BA3169"/>
    <w:rsid w:val="00BA3C6B"/>
    <w:rsid w:val="00BA52B5"/>
    <w:rsid w:val="00BA5CA9"/>
    <w:rsid w:val="00BA706E"/>
    <w:rsid w:val="00BA7619"/>
    <w:rsid w:val="00BA7B57"/>
    <w:rsid w:val="00BB0766"/>
    <w:rsid w:val="00BB4A0E"/>
    <w:rsid w:val="00BB59CB"/>
    <w:rsid w:val="00BB64EA"/>
    <w:rsid w:val="00BB6D38"/>
    <w:rsid w:val="00BB7FF9"/>
    <w:rsid w:val="00BC0915"/>
    <w:rsid w:val="00BC095D"/>
    <w:rsid w:val="00BC1309"/>
    <w:rsid w:val="00BC2312"/>
    <w:rsid w:val="00BC4D8D"/>
    <w:rsid w:val="00BC5B75"/>
    <w:rsid w:val="00BC5F7D"/>
    <w:rsid w:val="00BC759E"/>
    <w:rsid w:val="00BD1F9D"/>
    <w:rsid w:val="00BD388E"/>
    <w:rsid w:val="00BD402C"/>
    <w:rsid w:val="00BD64F2"/>
    <w:rsid w:val="00BD71B8"/>
    <w:rsid w:val="00BD7614"/>
    <w:rsid w:val="00BE2BBD"/>
    <w:rsid w:val="00BE50A0"/>
    <w:rsid w:val="00BE5836"/>
    <w:rsid w:val="00BE5E14"/>
    <w:rsid w:val="00BE66ED"/>
    <w:rsid w:val="00BF1581"/>
    <w:rsid w:val="00BF15A5"/>
    <w:rsid w:val="00BF2022"/>
    <w:rsid w:val="00BF3990"/>
    <w:rsid w:val="00BF60D4"/>
    <w:rsid w:val="00C00A30"/>
    <w:rsid w:val="00C013D4"/>
    <w:rsid w:val="00C10B74"/>
    <w:rsid w:val="00C10FF7"/>
    <w:rsid w:val="00C11317"/>
    <w:rsid w:val="00C159C5"/>
    <w:rsid w:val="00C167DB"/>
    <w:rsid w:val="00C177E4"/>
    <w:rsid w:val="00C206E4"/>
    <w:rsid w:val="00C217D1"/>
    <w:rsid w:val="00C24ED6"/>
    <w:rsid w:val="00C25F88"/>
    <w:rsid w:val="00C26B6F"/>
    <w:rsid w:val="00C27200"/>
    <w:rsid w:val="00C31BAB"/>
    <w:rsid w:val="00C3269E"/>
    <w:rsid w:val="00C3443D"/>
    <w:rsid w:val="00C36151"/>
    <w:rsid w:val="00C37BAF"/>
    <w:rsid w:val="00C408AE"/>
    <w:rsid w:val="00C4308C"/>
    <w:rsid w:val="00C433AD"/>
    <w:rsid w:val="00C43563"/>
    <w:rsid w:val="00C474A9"/>
    <w:rsid w:val="00C506D5"/>
    <w:rsid w:val="00C50725"/>
    <w:rsid w:val="00C507A8"/>
    <w:rsid w:val="00C53BC7"/>
    <w:rsid w:val="00C54B60"/>
    <w:rsid w:val="00C55858"/>
    <w:rsid w:val="00C5586B"/>
    <w:rsid w:val="00C56420"/>
    <w:rsid w:val="00C61244"/>
    <w:rsid w:val="00C61687"/>
    <w:rsid w:val="00C61CD4"/>
    <w:rsid w:val="00C624B8"/>
    <w:rsid w:val="00C64062"/>
    <w:rsid w:val="00C64AEB"/>
    <w:rsid w:val="00C6563E"/>
    <w:rsid w:val="00C66461"/>
    <w:rsid w:val="00C66DDA"/>
    <w:rsid w:val="00C67121"/>
    <w:rsid w:val="00C706F7"/>
    <w:rsid w:val="00C71129"/>
    <w:rsid w:val="00C71703"/>
    <w:rsid w:val="00C721C6"/>
    <w:rsid w:val="00C72D19"/>
    <w:rsid w:val="00C739EF"/>
    <w:rsid w:val="00C750B5"/>
    <w:rsid w:val="00C7595B"/>
    <w:rsid w:val="00C76C71"/>
    <w:rsid w:val="00C80C15"/>
    <w:rsid w:val="00C835F3"/>
    <w:rsid w:val="00C83D32"/>
    <w:rsid w:val="00C843EF"/>
    <w:rsid w:val="00C858AC"/>
    <w:rsid w:val="00C86DBE"/>
    <w:rsid w:val="00C87DEF"/>
    <w:rsid w:val="00C90490"/>
    <w:rsid w:val="00C92780"/>
    <w:rsid w:val="00C93894"/>
    <w:rsid w:val="00C95111"/>
    <w:rsid w:val="00C9584F"/>
    <w:rsid w:val="00CA0FE3"/>
    <w:rsid w:val="00CA15C4"/>
    <w:rsid w:val="00CA1FC4"/>
    <w:rsid w:val="00CA2539"/>
    <w:rsid w:val="00CA4346"/>
    <w:rsid w:val="00CA7980"/>
    <w:rsid w:val="00CA7F23"/>
    <w:rsid w:val="00CB209E"/>
    <w:rsid w:val="00CB2C3F"/>
    <w:rsid w:val="00CB5708"/>
    <w:rsid w:val="00CB7FE4"/>
    <w:rsid w:val="00CC0654"/>
    <w:rsid w:val="00CC1B97"/>
    <w:rsid w:val="00CC2829"/>
    <w:rsid w:val="00CC39CD"/>
    <w:rsid w:val="00CC561D"/>
    <w:rsid w:val="00CC613B"/>
    <w:rsid w:val="00CC7D4F"/>
    <w:rsid w:val="00CC7D5D"/>
    <w:rsid w:val="00CD0EA8"/>
    <w:rsid w:val="00CD1972"/>
    <w:rsid w:val="00CD19D5"/>
    <w:rsid w:val="00CD32AC"/>
    <w:rsid w:val="00CD3C3F"/>
    <w:rsid w:val="00CD513E"/>
    <w:rsid w:val="00CD56CA"/>
    <w:rsid w:val="00CD6292"/>
    <w:rsid w:val="00CD67C3"/>
    <w:rsid w:val="00CE11A9"/>
    <w:rsid w:val="00CE16EF"/>
    <w:rsid w:val="00CE183C"/>
    <w:rsid w:val="00CE353B"/>
    <w:rsid w:val="00CF03B7"/>
    <w:rsid w:val="00CF4D20"/>
    <w:rsid w:val="00CF592F"/>
    <w:rsid w:val="00CF6386"/>
    <w:rsid w:val="00D006C5"/>
    <w:rsid w:val="00D02C06"/>
    <w:rsid w:val="00D03446"/>
    <w:rsid w:val="00D055DC"/>
    <w:rsid w:val="00D05DCA"/>
    <w:rsid w:val="00D11A39"/>
    <w:rsid w:val="00D1350B"/>
    <w:rsid w:val="00D13D84"/>
    <w:rsid w:val="00D14715"/>
    <w:rsid w:val="00D16BC3"/>
    <w:rsid w:val="00D17FA2"/>
    <w:rsid w:val="00D2063D"/>
    <w:rsid w:val="00D225BD"/>
    <w:rsid w:val="00D24148"/>
    <w:rsid w:val="00D30284"/>
    <w:rsid w:val="00D3030D"/>
    <w:rsid w:val="00D31B18"/>
    <w:rsid w:val="00D31DF2"/>
    <w:rsid w:val="00D341DF"/>
    <w:rsid w:val="00D344C9"/>
    <w:rsid w:val="00D37CB8"/>
    <w:rsid w:val="00D415C9"/>
    <w:rsid w:val="00D41D4B"/>
    <w:rsid w:val="00D43801"/>
    <w:rsid w:val="00D43ABF"/>
    <w:rsid w:val="00D4496D"/>
    <w:rsid w:val="00D45B26"/>
    <w:rsid w:val="00D460D8"/>
    <w:rsid w:val="00D4762F"/>
    <w:rsid w:val="00D51783"/>
    <w:rsid w:val="00D52740"/>
    <w:rsid w:val="00D553D7"/>
    <w:rsid w:val="00D554A1"/>
    <w:rsid w:val="00D55861"/>
    <w:rsid w:val="00D55BA4"/>
    <w:rsid w:val="00D600FE"/>
    <w:rsid w:val="00D6065E"/>
    <w:rsid w:val="00D616ED"/>
    <w:rsid w:val="00D63C64"/>
    <w:rsid w:val="00D63DF4"/>
    <w:rsid w:val="00D641CB"/>
    <w:rsid w:val="00D66031"/>
    <w:rsid w:val="00D66FB1"/>
    <w:rsid w:val="00D7079F"/>
    <w:rsid w:val="00D7282B"/>
    <w:rsid w:val="00D72EC3"/>
    <w:rsid w:val="00D73A7D"/>
    <w:rsid w:val="00D743EA"/>
    <w:rsid w:val="00D75157"/>
    <w:rsid w:val="00D7577D"/>
    <w:rsid w:val="00D757F9"/>
    <w:rsid w:val="00D75D35"/>
    <w:rsid w:val="00D76F03"/>
    <w:rsid w:val="00D80078"/>
    <w:rsid w:val="00D8047A"/>
    <w:rsid w:val="00D814C4"/>
    <w:rsid w:val="00D8227B"/>
    <w:rsid w:val="00D82DA4"/>
    <w:rsid w:val="00D83CF6"/>
    <w:rsid w:val="00D849BD"/>
    <w:rsid w:val="00D85E90"/>
    <w:rsid w:val="00D86E54"/>
    <w:rsid w:val="00D87E67"/>
    <w:rsid w:val="00D87F50"/>
    <w:rsid w:val="00D900DE"/>
    <w:rsid w:val="00D9346E"/>
    <w:rsid w:val="00D95C59"/>
    <w:rsid w:val="00DA4606"/>
    <w:rsid w:val="00DA5245"/>
    <w:rsid w:val="00DA7EE9"/>
    <w:rsid w:val="00DB3296"/>
    <w:rsid w:val="00DB44C5"/>
    <w:rsid w:val="00DB56C8"/>
    <w:rsid w:val="00DB5E0A"/>
    <w:rsid w:val="00DB5FC4"/>
    <w:rsid w:val="00DB6006"/>
    <w:rsid w:val="00DB6A50"/>
    <w:rsid w:val="00DB6DDA"/>
    <w:rsid w:val="00DB7DF9"/>
    <w:rsid w:val="00DC028E"/>
    <w:rsid w:val="00DC1371"/>
    <w:rsid w:val="00DC3EE3"/>
    <w:rsid w:val="00DC514E"/>
    <w:rsid w:val="00DC5D75"/>
    <w:rsid w:val="00DC6283"/>
    <w:rsid w:val="00DC7031"/>
    <w:rsid w:val="00DD1ED6"/>
    <w:rsid w:val="00DD1EFD"/>
    <w:rsid w:val="00DD52D0"/>
    <w:rsid w:val="00DD6581"/>
    <w:rsid w:val="00DD66D4"/>
    <w:rsid w:val="00DE108E"/>
    <w:rsid w:val="00DE16C2"/>
    <w:rsid w:val="00DE24CB"/>
    <w:rsid w:val="00DE2812"/>
    <w:rsid w:val="00DE40AA"/>
    <w:rsid w:val="00DE5789"/>
    <w:rsid w:val="00DE7ED3"/>
    <w:rsid w:val="00DF20CA"/>
    <w:rsid w:val="00DF4374"/>
    <w:rsid w:val="00DF4A25"/>
    <w:rsid w:val="00DF66C0"/>
    <w:rsid w:val="00DF77C5"/>
    <w:rsid w:val="00E00272"/>
    <w:rsid w:val="00E024C6"/>
    <w:rsid w:val="00E0293A"/>
    <w:rsid w:val="00E0306C"/>
    <w:rsid w:val="00E04AC5"/>
    <w:rsid w:val="00E04D22"/>
    <w:rsid w:val="00E06517"/>
    <w:rsid w:val="00E070B0"/>
    <w:rsid w:val="00E10248"/>
    <w:rsid w:val="00E1243F"/>
    <w:rsid w:val="00E15DCA"/>
    <w:rsid w:val="00E17674"/>
    <w:rsid w:val="00E17C14"/>
    <w:rsid w:val="00E209E6"/>
    <w:rsid w:val="00E22C24"/>
    <w:rsid w:val="00E251BC"/>
    <w:rsid w:val="00E31751"/>
    <w:rsid w:val="00E354D0"/>
    <w:rsid w:val="00E40EEE"/>
    <w:rsid w:val="00E41B8C"/>
    <w:rsid w:val="00E43274"/>
    <w:rsid w:val="00E4376C"/>
    <w:rsid w:val="00E437FF"/>
    <w:rsid w:val="00E44C23"/>
    <w:rsid w:val="00E46604"/>
    <w:rsid w:val="00E474DA"/>
    <w:rsid w:val="00E50090"/>
    <w:rsid w:val="00E5050E"/>
    <w:rsid w:val="00E52C85"/>
    <w:rsid w:val="00E54407"/>
    <w:rsid w:val="00E549EA"/>
    <w:rsid w:val="00E57454"/>
    <w:rsid w:val="00E60516"/>
    <w:rsid w:val="00E62A0C"/>
    <w:rsid w:val="00E65DED"/>
    <w:rsid w:val="00E660FA"/>
    <w:rsid w:val="00E67831"/>
    <w:rsid w:val="00E70B63"/>
    <w:rsid w:val="00E76AF6"/>
    <w:rsid w:val="00E76D66"/>
    <w:rsid w:val="00E77035"/>
    <w:rsid w:val="00E77EF8"/>
    <w:rsid w:val="00E83B79"/>
    <w:rsid w:val="00E844B3"/>
    <w:rsid w:val="00E849FE"/>
    <w:rsid w:val="00E865F4"/>
    <w:rsid w:val="00E8662B"/>
    <w:rsid w:val="00E873EC"/>
    <w:rsid w:val="00E8746A"/>
    <w:rsid w:val="00E8748D"/>
    <w:rsid w:val="00E8782F"/>
    <w:rsid w:val="00E90217"/>
    <w:rsid w:val="00E90315"/>
    <w:rsid w:val="00E92014"/>
    <w:rsid w:val="00E922D9"/>
    <w:rsid w:val="00E92E8B"/>
    <w:rsid w:val="00E940DF"/>
    <w:rsid w:val="00E941C7"/>
    <w:rsid w:val="00E94F70"/>
    <w:rsid w:val="00EA1230"/>
    <w:rsid w:val="00EA31BD"/>
    <w:rsid w:val="00EA3E74"/>
    <w:rsid w:val="00EA6B43"/>
    <w:rsid w:val="00EB046F"/>
    <w:rsid w:val="00EB0AE8"/>
    <w:rsid w:val="00EB1317"/>
    <w:rsid w:val="00EB2401"/>
    <w:rsid w:val="00EB28E6"/>
    <w:rsid w:val="00EB2BA4"/>
    <w:rsid w:val="00EB3627"/>
    <w:rsid w:val="00EB36C0"/>
    <w:rsid w:val="00EB3F96"/>
    <w:rsid w:val="00EB53C4"/>
    <w:rsid w:val="00EB5CFB"/>
    <w:rsid w:val="00EC0D26"/>
    <w:rsid w:val="00EC1E49"/>
    <w:rsid w:val="00EC429A"/>
    <w:rsid w:val="00EC4B41"/>
    <w:rsid w:val="00EC4BB2"/>
    <w:rsid w:val="00EC6305"/>
    <w:rsid w:val="00EC6D9C"/>
    <w:rsid w:val="00ED24A0"/>
    <w:rsid w:val="00ED3625"/>
    <w:rsid w:val="00ED43C4"/>
    <w:rsid w:val="00ED5886"/>
    <w:rsid w:val="00EE287D"/>
    <w:rsid w:val="00EE3AD3"/>
    <w:rsid w:val="00EE428C"/>
    <w:rsid w:val="00EE4E38"/>
    <w:rsid w:val="00EE5A59"/>
    <w:rsid w:val="00EF3BC2"/>
    <w:rsid w:val="00EF5195"/>
    <w:rsid w:val="00EF5BC1"/>
    <w:rsid w:val="00F04C44"/>
    <w:rsid w:val="00F064F7"/>
    <w:rsid w:val="00F07001"/>
    <w:rsid w:val="00F07DA8"/>
    <w:rsid w:val="00F1058E"/>
    <w:rsid w:val="00F1214E"/>
    <w:rsid w:val="00F1218C"/>
    <w:rsid w:val="00F1366D"/>
    <w:rsid w:val="00F14D04"/>
    <w:rsid w:val="00F1605E"/>
    <w:rsid w:val="00F161B1"/>
    <w:rsid w:val="00F176D9"/>
    <w:rsid w:val="00F20377"/>
    <w:rsid w:val="00F20644"/>
    <w:rsid w:val="00F218E7"/>
    <w:rsid w:val="00F21D3F"/>
    <w:rsid w:val="00F232F9"/>
    <w:rsid w:val="00F2591E"/>
    <w:rsid w:val="00F27C38"/>
    <w:rsid w:val="00F31576"/>
    <w:rsid w:val="00F3311C"/>
    <w:rsid w:val="00F332F7"/>
    <w:rsid w:val="00F3500D"/>
    <w:rsid w:val="00F3792B"/>
    <w:rsid w:val="00F4052C"/>
    <w:rsid w:val="00F417DD"/>
    <w:rsid w:val="00F4273B"/>
    <w:rsid w:val="00F44356"/>
    <w:rsid w:val="00F45ABD"/>
    <w:rsid w:val="00F46B97"/>
    <w:rsid w:val="00F47DE5"/>
    <w:rsid w:val="00F524AD"/>
    <w:rsid w:val="00F53A95"/>
    <w:rsid w:val="00F53E23"/>
    <w:rsid w:val="00F53E9D"/>
    <w:rsid w:val="00F56122"/>
    <w:rsid w:val="00F6199B"/>
    <w:rsid w:val="00F62132"/>
    <w:rsid w:val="00F62891"/>
    <w:rsid w:val="00F6327C"/>
    <w:rsid w:val="00F64D71"/>
    <w:rsid w:val="00F64FDE"/>
    <w:rsid w:val="00F665BE"/>
    <w:rsid w:val="00F700D7"/>
    <w:rsid w:val="00F708BC"/>
    <w:rsid w:val="00F715A1"/>
    <w:rsid w:val="00F7432B"/>
    <w:rsid w:val="00F74CD2"/>
    <w:rsid w:val="00F75060"/>
    <w:rsid w:val="00F7541D"/>
    <w:rsid w:val="00F76C1A"/>
    <w:rsid w:val="00F778EF"/>
    <w:rsid w:val="00F80D9E"/>
    <w:rsid w:val="00F8412C"/>
    <w:rsid w:val="00F851E6"/>
    <w:rsid w:val="00F86AB9"/>
    <w:rsid w:val="00F877D4"/>
    <w:rsid w:val="00F87899"/>
    <w:rsid w:val="00F90188"/>
    <w:rsid w:val="00F90ED6"/>
    <w:rsid w:val="00F92CD6"/>
    <w:rsid w:val="00F93896"/>
    <w:rsid w:val="00F94D39"/>
    <w:rsid w:val="00F96AAA"/>
    <w:rsid w:val="00F96CE8"/>
    <w:rsid w:val="00FA03F1"/>
    <w:rsid w:val="00FA0B68"/>
    <w:rsid w:val="00FA2729"/>
    <w:rsid w:val="00FA28E2"/>
    <w:rsid w:val="00FA599A"/>
    <w:rsid w:val="00FA6400"/>
    <w:rsid w:val="00FA6999"/>
    <w:rsid w:val="00FA6CF0"/>
    <w:rsid w:val="00FA7340"/>
    <w:rsid w:val="00FA7B60"/>
    <w:rsid w:val="00FB0739"/>
    <w:rsid w:val="00FB2070"/>
    <w:rsid w:val="00FB2411"/>
    <w:rsid w:val="00FB69DC"/>
    <w:rsid w:val="00FB6D19"/>
    <w:rsid w:val="00FB7836"/>
    <w:rsid w:val="00FC15DB"/>
    <w:rsid w:val="00FC3DBC"/>
    <w:rsid w:val="00FC4990"/>
    <w:rsid w:val="00FC4BFE"/>
    <w:rsid w:val="00FC577E"/>
    <w:rsid w:val="00FC5C94"/>
    <w:rsid w:val="00FC6B1C"/>
    <w:rsid w:val="00FC72DA"/>
    <w:rsid w:val="00FD005C"/>
    <w:rsid w:val="00FD285D"/>
    <w:rsid w:val="00FD3685"/>
    <w:rsid w:val="00FD3A6D"/>
    <w:rsid w:val="00FE1417"/>
    <w:rsid w:val="00FE2C76"/>
    <w:rsid w:val="00FE3871"/>
    <w:rsid w:val="00FE4D86"/>
    <w:rsid w:val="00FE788D"/>
    <w:rsid w:val="00FE7E63"/>
    <w:rsid w:val="00FF02EF"/>
    <w:rsid w:val="00FF4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09ABC"/>
  <w15:docId w15:val="{209D4A05-F991-4441-9A5C-459324EC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020"/>
    <w:pPr>
      <w:spacing w:before="120" w:after="120"/>
    </w:pPr>
  </w:style>
  <w:style w:type="paragraph" w:styleId="Heading1">
    <w:name w:val="heading 1"/>
    <w:basedOn w:val="Normal"/>
    <w:next w:val="Normal"/>
    <w:link w:val="Heading1Char"/>
    <w:uiPriority w:val="9"/>
    <w:qFormat/>
    <w:rsid w:val="00A6252F"/>
    <w:pPr>
      <w:keepNext/>
      <w:keepLines/>
      <w:numPr>
        <w:numId w:val="1"/>
      </w:numPr>
      <w:spacing w:before="240" w:after="0"/>
      <w:ind w:left="426" w:hanging="426"/>
      <w:outlineLvl w:val="0"/>
    </w:pPr>
    <w:rPr>
      <w:rFonts w:eastAsiaTheme="majorEastAsia" w:cstheme="minorHAnsi"/>
      <w:color w:val="2E74B5" w:themeColor="accent1" w:themeShade="BF"/>
      <w:sz w:val="32"/>
      <w:szCs w:val="32"/>
    </w:rPr>
  </w:style>
  <w:style w:type="paragraph" w:styleId="Heading2">
    <w:name w:val="heading 2"/>
    <w:basedOn w:val="Normal"/>
    <w:next w:val="Normal"/>
    <w:link w:val="Heading2Char"/>
    <w:uiPriority w:val="9"/>
    <w:unhideWhenUsed/>
    <w:qFormat/>
    <w:rsid w:val="00D2063D"/>
    <w:pPr>
      <w:keepNext/>
      <w:keepLines/>
      <w:numPr>
        <w:ilvl w:val="1"/>
        <w:numId w:val="1"/>
      </w:numPr>
      <w:spacing w:after="0"/>
      <w:ind w:left="709"/>
      <w:outlineLvl w:val="1"/>
    </w:pPr>
    <w:rPr>
      <w:rFonts w:eastAsiaTheme="majorEastAsia" w:cstheme="minorHAnsi"/>
      <w:color w:val="2E74B5" w:themeColor="accent1" w:themeShade="BF"/>
      <w:sz w:val="26"/>
      <w:szCs w:val="26"/>
    </w:rPr>
  </w:style>
  <w:style w:type="paragraph" w:styleId="Heading3">
    <w:name w:val="heading 3"/>
    <w:basedOn w:val="Normal"/>
    <w:next w:val="Normal"/>
    <w:link w:val="Heading3Char"/>
    <w:uiPriority w:val="9"/>
    <w:unhideWhenUsed/>
    <w:qFormat/>
    <w:rsid w:val="00836AC8"/>
    <w:pPr>
      <w:keepNext/>
      <w:keepLines/>
      <w:numPr>
        <w:ilvl w:val="2"/>
        <w:numId w:val="1"/>
      </w:numPr>
      <w:spacing w:after="0" w:line="360" w:lineRule="auto"/>
      <w:ind w:left="709"/>
      <w:jc w:val="both"/>
      <w:outlineLvl w:val="2"/>
    </w:pPr>
    <w:rPr>
      <w:rFonts w:eastAsiaTheme="majorEastAsia" w:cstheme="minorHAnsi"/>
      <w:color w:val="2E74B5" w:themeColor="accent1" w:themeShade="BF"/>
      <w:sz w:val="24"/>
      <w:szCs w:val="24"/>
    </w:rPr>
  </w:style>
  <w:style w:type="paragraph" w:styleId="Heading4">
    <w:name w:val="heading 4"/>
    <w:basedOn w:val="Normal"/>
    <w:next w:val="Normal"/>
    <w:link w:val="Heading4Char"/>
    <w:uiPriority w:val="9"/>
    <w:unhideWhenUsed/>
    <w:qFormat/>
    <w:rsid w:val="00C86DBE"/>
    <w:pPr>
      <w:keepNext/>
      <w:keepLines/>
      <w:spacing w:before="40" w:after="0" w:line="360" w:lineRule="auto"/>
      <w:ind w:left="864" w:hanging="864"/>
      <w:jc w:val="both"/>
      <w:outlineLvl w:val="3"/>
    </w:pPr>
    <w:rPr>
      <w:rFonts w:eastAsiaTheme="majorEastAsia" w:cstheme="majorBidi"/>
      <w:i/>
      <w:iCs/>
    </w:rPr>
  </w:style>
  <w:style w:type="paragraph" w:styleId="Heading5">
    <w:name w:val="heading 5"/>
    <w:basedOn w:val="Normal"/>
    <w:next w:val="Normal"/>
    <w:link w:val="Heading5Char"/>
    <w:uiPriority w:val="9"/>
    <w:unhideWhenUsed/>
    <w:qFormat/>
    <w:rsid w:val="00C86DBE"/>
    <w:pPr>
      <w:keepNext/>
      <w:keepLines/>
      <w:spacing w:before="40" w:after="0" w:line="360" w:lineRule="auto"/>
      <w:ind w:left="1008" w:hanging="1008"/>
      <w:jc w:val="both"/>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86DBE"/>
    <w:pPr>
      <w:keepNext/>
      <w:keepLines/>
      <w:spacing w:before="40" w:after="0" w:line="360" w:lineRule="auto"/>
      <w:ind w:left="1152" w:hanging="1152"/>
      <w:jc w:val="both"/>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0D4A0E"/>
    <w:pPr>
      <w:keepNext/>
      <w:keepLines/>
      <w:numPr>
        <w:numId w:val="44"/>
      </w:numPr>
      <w:spacing w:after="0" w:line="360" w:lineRule="auto"/>
      <w:ind w:left="425" w:hanging="425"/>
      <w:jc w:val="both"/>
      <w:outlineLvl w:val="6"/>
    </w:pPr>
    <w:rPr>
      <w:rFonts w:eastAsiaTheme="majorEastAsia" w:cstheme="minorHAnsi"/>
      <w:color w:val="2E74B5" w:themeColor="accent1" w:themeShade="BF"/>
      <w:sz w:val="26"/>
      <w:szCs w:val="26"/>
    </w:rPr>
  </w:style>
  <w:style w:type="paragraph" w:styleId="Heading8">
    <w:name w:val="heading 8"/>
    <w:basedOn w:val="Heading7"/>
    <w:next w:val="Normal"/>
    <w:link w:val="Heading8Char"/>
    <w:uiPriority w:val="9"/>
    <w:unhideWhenUsed/>
    <w:qFormat/>
    <w:rsid w:val="00F778EF"/>
    <w:pPr>
      <w:numPr>
        <w:ilvl w:val="1"/>
      </w:numPr>
      <w:ind w:left="1418" w:hanging="1418"/>
      <w:outlineLvl w:val="7"/>
    </w:pPr>
  </w:style>
  <w:style w:type="paragraph" w:styleId="Heading9">
    <w:name w:val="heading 9"/>
    <w:basedOn w:val="Normal"/>
    <w:next w:val="Normal"/>
    <w:link w:val="Heading9Char"/>
    <w:uiPriority w:val="9"/>
    <w:unhideWhenUsed/>
    <w:qFormat/>
    <w:rsid w:val="00836AC8"/>
    <w:pPr>
      <w:keepNext/>
      <w:keepLines/>
      <w:spacing w:before="40" w:after="0" w:line="360" w:lineRule="auto"/>
      <w:jc w:val="both"/>
      <w:outlineLvl w:val="8"/>
    </w:pPr>
    <w:rPr>
      <w:rFonts w:eastAsiaTheme="majorEastAsia" w:cstheme="minorHAnsi"/>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52F"/>
    <w:rPr>
      <w:rFonts w:eastAsiaTheme="majorEastAsia" w:cstheme="minorHAnsi"/>
      <w:color w:val="2E74B5" w:themeColor="accent1" w:themeShade="BF"/>
      <w:sz w:val="32"/>
      <w:szCs w:val="32"/>
    </w:rPr>
  </w:style>
  <w:style w:type="character" w:customStyle="1" w:styleId="Heading2Char">
    <w:name w:val="Heading 2 Char"/>
    <w:basedOn w:val="DefaultParagraphFont"/>
    <w:link w:val="Heading2"/>
    <w:uiPriority w:val="9"/>
    <w:rsid w:val="00D2063D"/>
    <w:rPr>
      <w:rFonts w:eastAsiaTheme="majorEastAsia" w:cstheme="minorHAnsi"/>
      <w:color w:val="2E74B5" w:themeColor="accent1" w:themeShade="BF"/>
      <w:sz w:val="26"/>
      <w:szCs w:val="26"/>
    </w:rPr>
  </w:style>
  <w:style w:type="character" w:customStyle="1" w:styleId="Heading3Char">
    <w:name w:val="Heading 3 Char"/>
    <w:basedOn w:val="DefaultParagraphFont"/>
    <w:link w:val="Heading3"/>
    <w:uiPriority w:val="9"/>
    <w:rsid w:val="00836AC8"/>
    <w:rPr>
      <w:rFonts w:eastAsiaTheme="majorEastAsia" w:cstheme="minorHAnsi"/>
      <w:color w:val="2E74B5" w:themeColor="accent1" w:themeShade="BF"/>
      <w:sz w:val="24"/>
      <w:szCs w:val="24"/>
    </w:rPr>
  </w:style>
  <w:style w:type="character" w:customStyle="1" w:styleId="Heading4Char">
    <w:name w:val="Heading 4 Char"/>
    <w:basedOn w:val="DefaultParagraphFont"/>
    <w:link w:val="Heading4"/>
    <w:uiPriority w:val="9"/>
    <w:rsid w:val="00C86DBE"/>
    <w:rPr>
      <w:rFonts w:eastAsiaTheme="majorEastAsia" w:cstheme="majorBidi"/>
      <w:i/>
      <w:iCs/>
    </w:rPr>
  </w:style>
  <w:style w:type="character" w:customStyle="1" w:styleId="Heading5Char">
    <w:name w:val="Heading 5 Char"/>
    <w:basedOn w:val="DefaultParagraphFont"/>
    <w:link w:val="Heading5"/>
    <w:uiPriority w:val="9"/>
    <w:rsid w:val="00C86DB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86DB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0D4A0E"/>
    <w:rPr>
      <w:rFonts w:eastAsiaTheme="majorEastAsia" w:cstheme="minorHAnsi"/>
      <w:color w:val="2E74B5" w:themeColor="accent1" w:themeShade="BF"/>
      <w:sz w:val="26"/>
      <w:szCs w:val="26"/>
    </w:rPr>
  </w:style>
  <w:style w:type="character" w:customStyle="1" w:styleId="Heading8Char">
    <w:name w:val="Heading 8 Char"/>
    <w:basedOn w:val="DefaultParagraphFont"/>
    <w:link w:val="Heading8"/>
    <w:uiPriority w:val="9"/>
    <w:rsid w:val="00F778EF"/>
    <w:rPr>
      <w:rFonts w:eastAsiaTheme="majorEastAsia" w:cstheme="minorHAnsi"/>
      <w:color w:val="2E74B5" w:themeColor="accent1" w:themeShade="BF"/>
      <w:sz w:val="26"/>
      <w:szCs w:val="26"/>
    </w:rPr>
  </w:style>
  <w:style w:type="character" w:customStyle="1" w:styleId="Heading9Char">
    <w:name w:val="Heading 9 Char"/>
    <w:basedOn w:val="DefaultParagraphFont"/>
    <w:link w:val="Heading9"/>
    <w:uiPriority w:val="9"/>
    <w:rsid w:val="00836AC8"/>
    <w:rPr>
      <w:rFonts w:eastAsiaTheme="majorEastAsia" w:cstheme="minorHAnsi"/>
      <w:color w:val="2E74B5" w:themeColor="accent1" w:themeShade="BF"/>
      <w:sz w:val="24"/>
      <w:szCs w:val="24"/>
    </w:rPr>
  </w:style>
  <w:style w:type="paragraph" w:styleId="Title">
    <w:name w:val="Title"/>
    <w:basedOn w:val="Normal"/>
    <w:next w:val="Normal"/>
    <w:link w:val="TitleChar"/>
    <w:uiPriority w:val="10"/>
    <w:qFormat/>
    <w:rsid w:val="001030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080"/>
    <w:rPr>
      <w:rFonts w:asciiTheme="majorHAnsi" w:eastAsiaTheme="majorEastAsia" w:hAnsiTheme="majorHAnsi" w:cstheme="majorBidi"/>
      <w:spacing w:val="-10"/>
      <w:kern w:val="28"/>
      <w:sz w:val="56"/>
      <w:szCs w:val="56"/>
    </w:rPr>
  </w:style>
  <w:style w:type="paragraph" w:customStyle="1" w:styleId="NonNumbered">
    <w:name w:val="NonNumbered"/>
    <w:basedOn w:val="Heading1"/>
    <w:link w:val="NonNumberedChar"/>
    <w:qFormat/>
    <w:rsid w:val="00103080"/>
    <w:pPr>
      <w:numPr>
        <w:numId w:val="0"/>
      </w:numPr>
    </w:pPr>
  </w:style>
  <w:style w:type="character" w:customStyle="1" w:styleId="NonNumberedChar">
    <w:name w:val="NonNumbered Char"/>
    <w:basedOn w:val="Heading1Char"/>
    <w:link w:val="NonNumbered"/>
    <w:rsid w:val="00103080"/>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103080"/>
    <w:pPr>
      <w:spacing w:after="0" w:line="240" w:lineRule="auto"/>
    </w:pPr>
    <w:rPr>
      <w:rFonts w:eastAsiaTheme="minorEastAsia"/>
      <w:sz w:val="20"/>
      <w:lang w:val="en-US" w:eastAsia="ja-JP"/>
    </w:rPr>
  </w:style>
  <w:style w:type="character" w:customStyle="1" w:styleId="NoSpacingChar">
    <w:name w:val="No Spacing Char"/>
    <w:basedOn w:val="DefaultParagraphFont"/>
    <w:link w:val="NoSpacing"/>
    <w:uiPriority w:val="1"/>
    <w:rsid w:val="00103080"/>
    <w:rPr>
      <w:rFonts w:eastAsiaTheme="minorEastAsia"/>
      <w:sz w:val="20"/>
      <w:lang w:val="en-US" w:eastAsia="ja-JP"/>
    </w:rPr>
  </w:style>
  <w:style w:type="character" w:styleId="FootnoteReference">
    <w:name w:val="footnote reference"/>
    <w:basedOn w:val="DefaultParagraphFont"/>
    <w:uiPriority w:val="99"/>
    <w:semiHidden/>
    <w:unhideWhenUsed/>
    <w:rsid w:val="003D0F14"/>
    <w:rPr>
      <w:vertAlign w:val="superscript"/>
    </w:rPr>
  </w:style>
  <w:style w:type="paragraph" w:styleId="Caption">
    <w:name w:val="caption"/>
    <w:basedOn w:val="Normal"/>
    <w:next w:val="Normal"/>
    <w:uiPriority w:val="35"/>
    <w:unhideWhenUsed/>
    <w:qFormat/>
    <w:rsid w:val="00C86DBE"/>
    <w:pPr>
      <w:spacing w:after="200" w:line="240" w:lineRule="auto"/>
      <w:jc w:val="center"/>
    </w:pPr>
    <w:rPr>
      <w:i/>
      <w:iCs/>
      <w:color w:val="44546A" w:themeColor="text2"/>
      <w:sz w:val="18"/>
      <w:szCs w:val="18"/>
    </w:rPr>
  </w:style>
  <w:style w:type="table" w:customStyle="1" w:styleId="PlainTable21">
    <w:name w:val="Plain Table 21"/>
    <w:basedOn w:val="TableNormal"/>
    <w:uiPriority w:val="42"/>
    <w:rsid w:val="00C86D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CD1972"/>
    <w:rPr>
      <w:sz w:val="16"/>
      <w:szCs w:val="16"/>
    </w:rPr>
  </w:style>
  <w:style w:type="paragraph" w:styleId="ListParagraph">
    <w:name w:val="List Paragraph"/>
    <w:basedOn w:val="Normal"/>
    <w:uiPriority w:val="34"/>
    <w:qFormat/>
    <w:rsid w:val="009D3088"/>
    <w:pPr>
      <w:numPr>
        <w:numId w:val="9"/>
      </w:numPr>
      <w:spacing w:line="360" w:lineRule="auto"/>
      <w:contextualSpacing/>
      <w:jc w:val="both"/>
    </w:pPr>
  </w:style>
  <w:style w:type="table" w:styleId="TableGrid">
    <w:name w:val="Table Grid"/>
    <w:basedOn w:val="TableNormal"/>
    <w:uiPriority w:val="39"/>
    <w:rsid w:val="0041538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1538E"/>
    <w:pPr>
      <w:spacing w:line="240" w:lineRule="auto"/>
      <w:ind w:firstLine="720"/>
      <w:jc w:val="both"/>
    </w:pPr>
    <w:rPr>
      <w:sz w:val="20"/>
      <w:szCs w:val="20"/>
    </w:rPr>
  </w:style>
  <w:style w:type="character" w:customStyle="1" w:styleId="CommentTextChar">
    <w:name w:val="Comment Text Char"/>
    <w:basedOn w:val="DefaultParagraphFont"/>
    <w:link w:val="CommentText"/>
    <w:uiPriority w:val="99"/>
    <w:rsid w:val="0041538E"/>
    <w:rPr>
      <w:sz w:val="20"/>
      <w:szCs w:val="20"/>
    </w:rPr>
  </w:style>
  <w:style w:type="paragraph" w:styleId="CommentSubject">
    <w:name w:val="annotation subject"/>
    <w:basedOn w:val="CommentText"/>
    <w:next w:val="CommentText"/>
    <w:link w:val="CommentSubjectChar"/>
    <w:uiPriority w:val="99"/>
    <w:semiHidden/>
    <w:unhideWhenUsed/>
    <w:rsid w:val="0041538E"/>
    <w:rPr>
      <w:b/>
      <w:bCs/>
    </w:rPr>
  </w:style>
  <w:style w:type="character" w:customStyle="1" w:styleId="CommentSubjectChar">
    <w:name w:val="Comment Subject Char"/>
    <w:basedOn w:val="CommentTextChar"/>
    <w:link w:val="CommentSubject"/>
    <w:uiPriority w:val="99"/>
    <w:semiHidden/>
    <w:rsid w:val="0041538E"/>
    <w:rPr>
      <w:b/>
      <w:bCs/>
      <w:sz w:val="20"/>
      <w:szCs w:val="20"/>
    </w:rPr>
  </w:style>
  <w:style w:type="paragraph" w:styleId="BalloonText">
    <w:name w:val="Balloon Text"/>
    <w:basedOn w:val="Normal"/>
    <w:link w:val="BalloonTextChar"/>
    <w:uiPriority w:val="99"/>
    <w:semiHidden/>
    <w:unhideWhenUsed/>
    <w:rsid w:val="0041538E"/>
    <w:pPr>
      <w:spacing w:after="0" w:line="240" w:lineRule="auto"/>
      <w:ind w:firstLine="720"/>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38E"/>
    <w:rPr>
      <w:rFonts w:ascii="Segoe UI" w:hAnsi="Segoe UI" w:cs="Segoe UI"/>
      <w:sz w:val="18"/>
      <w:szCs w:val="18"/>
    </w:rPr>
  </w:style>
  <w:style w:type="character" w:styleId="PlaceholderText">
    <w:name w:val="Placeholder Text"/>
    <w:basedOn w:val="DefaultParagraphFont"/>
    <w:uiPriority w:val="99"/>
    <w:semiHidden/>
    <w:rsid w:val="0041538E"/>
    <w:rPr>
      <w:color w:val="808080"/>
    </w:rPr>
  </w:style>
  <w:style w:type="paragraph" w:styleId="Revision">
    <w:name w:val="Revision"/>
    <w:hidden/>
    <w:uiPriority w:val="99"/>
    <w:semiHidden/>
    <w:rsid w:val="0041538E"/>
    <w:pPr>
      <w:spacing w:after="0" w:line="240" w:lineRule="auto"/>
    </w:pPr>
    <w:rPr>
      <w:rFonts w:ascii="Arial" w:hAnsi="Arial"/>
    </w:rPr>
  </w:style>
  <w:style w:type="table" w:customStyle="1" w:styleId="TableGridLight1">
    <w:name w:val="Table Grid Light1"/>
    <w:basedOn w:val="TableNormal"/>
    <w:uiPriority w:val="40"/>
    <w:rsid w:val="004153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1538E"/>
    <w:pPr>
      <w:tabs>
        <w:tab w:val="center" w:pos="4513"/>
        <w:tab w:val="right" w:pos="9026"/>
      </w:tabs>
      <w:spacing w:after="0" w:line="240" w:lineRule="auto"/>
      <w:ind w:firstLine="720"/>
      <w:jc w:val="both"/>
    </w:pPr>
  </w:style>
  <w:style w:type="character" w:customStyle="1" w:styleId="HeaderChar">
    <w:name w:val="Header Char"/>
    <w:basedOn w:val="DefaultParagraphFont"/>
    <w:link w:val="Header"/>
    <w:uiPriority w:val="99"/>
    <w:rsid w:val="0041538E"/>
  </w:style>
  <w:style w:type="paragraph" w:styleId="Footer">
    <w:name w:val="footer"/>
    <w:basedOn w:val="Normal"/>
    <w:link w:val="FooterChar"/>
    <w:uiPriority w:val="99"/>
    <w:unhideWhenUsed/>
    <w:rsid w:val="0041538E"/>
    <w:pPr>
      <w:tabs>
        <w:tab w:val="center" w:pos="4513"/>
        <w:tab w:val="right" w:pos="9026"/>
      </w:tabs>
      <w:spacing w:after="0" w:line="240" w:lineRule="auto"/>
      <w:ind w:firstLine="720"/>
      <w:jc w:val="both"/>
    </w:pPr>
  </w:style>
  <w:style w:type="character" w:customStyle="1" w:styleId="FooterChar">
    <w:name w:val="Footer Char"/>
    <w:basedOn w:val="DefaultParagraphFont"/>
    <w:link w:val="Footer"/>
    <w:uiPriority w:val="99"/>
    <w:rsid w:val="0041538E"/>
  </w:style>
  <w:style w:type="paragraph" w:customStyle="1" w:styleId="Style1">
    <w:name w:val="Style1"/>
    <w:basedOn w:val="Normal"/>
    <w:link w:val="Style1Char"/>
    <w:qFormat/>
    <w:rsid w:val="0041538E"/>
    <w:pPr>
      <w:spacing w:after="0" w:line="360" w:lineRule="auto"/>
      <w:jc w:val="both"/>
    </w:pPr>
  </w:style>
  <w:style w:type="character" w:customStyle="1" w:styleId="Style1Char">
    <w:name w:val="Style1 Char"/>
    <w:basedOn w:val="DefaultParagraphFont"/>
    <w:link w:val="Style1"/>
    <w:rsid w:val="0041538E"/>
  </w:style>
  <w:style w:type="paragraph" w:styleId="Bibliography">
    <w:name w:val="Bibliography"/>
    <w:basedOn w:val="Normal"/>
    <w:next w:val="Normal"/>
    <w:uiPriority w:val="37"/>
    <w:unhideWhenUsed/>
    <w:rsid w:val="0041538E"/>
    <w:pPr>
      <w:spacing w:after="0" w:line="360" w:lineRule="auto"/>
      <w:ind w:firstLine="720"/>
      <w:jc w:val="both"/>
    </w:pPr>
    <w:rPr>
      <w:sz w:val="21"/>
    </w:rPr>
  </w:style>
  <w:style w:type="paragraph" w:styleId="TOCHeading">
    <w:name w:val="TOC Heading"/>
    <w:basedOn w:val="Heading1"/>
    <w:next w:val="Normal"/>
    <w:uiPriority w:val="39"/>
    <w:unhideWhenUsed/>
    <w:qFormat/>
    <w:rsid w:val="0041538E"/>
    <w:pPr>
      <w:numPr>
        <w:numId w:val="0"/>
      </w:numPr>
      <w:spacing w:line="360" w:lineRule="auto"/>
      <w:jc w:val="both"/>
      <w:outlineLvl w:val="9"/>
    </w:pPr>
    <w:rPr>
      <w:b/>
      <w:color w:val="auto"/>
      <w:lang w:val="en-US"/>
    </w:rPr>
  </w:style>
  <w:style w:type="paragraph" w:styleId="TOC1">
    <w:name w:val="toc 1"/>
    <w:basedOn w:val="Normal"/>
    <w:next w:val="Normal"/>
    <w:autoRedefine/>
    <w:uiPriority w:val="39"/>
    <w:unhideWhenUsed/>
    <w:rsid w:val="0041538E"/>
    <w:pPr>
      <w:spacing w:line="360" w:lineRule="auto"/>
      <w:ind w:firstLine="720"/>
    </w:pPr>
    <w:rPr>
      <w:rFonts w:cstheme="minorHAnsi"/>
      <w:b/>
      <w:bCs/>
      <w:caps/>
      <w:sz w:val="20"/>
      <w:szCs w:val="20"/>
    </w:rPr>
  </w:style>
  <w:style w:type="paragraph" w:styleId="TOC2">
    <w:name w:val="toc 2"/>
    <w:basedOn w:val="Normal"/>
    <w:next w:val="Normal"/>
    <w:autoRedefine/>
    <w:uiPriority w:val="39"/>
    <w:unhideWhenUsed/>
    <w:rsid w:val="0041538E"/>
    <w:pPr>
      <w:spacing w:after="0" w:line="360" w:lineRule="auto"/>
      <w:ind w:left="220" w:firstLine="720"/>
    </w:pPr>
    <w:rPr>
      <w:rFonts w:cstheme="minorHAnsi"/>
      <w:smallCaps/>
      <w:sz w:val="20"/>
      <w:szCs w:val="20"/>
    </w:rPr>
  </w:style>
  <w:style w:type="paragraph" w:styleId="TOC3">
    <w:name w:val="toc 3"/>
    <w:basedOn w:val="Normal"/>
    <w:next w:val="Normal"/>
    <w:autoRedefine/>
    <w:uiPriority w:val="39"/>
    <w:unhideWhenUsed/>
    <w:rsid w:val="0041538E"/>
    <w:pPr>
      <w:spacing w:after="0" w:line="360" w:lineRule="auto"/>
      <w:ind w:left="440" w:firstLine="720"/>
    </w:pPr>
    <w:rPr>
      <w:rFonts w:cstheme="minorHAnsi"/>
      <w:i/>
      <w:iCs/>
      <w:sz w:val="20"/>
      <w:szCs w:val="20"/>
    </w:rPr>
  </w:style>
  <w:style w:type="character" w:styleId="Hyperlink">
    <w:name w:val="Hyperlink"/>
    <w:basedOn w:val="DefaultParagraphFont"/>
    <w:uiPriority w:val="99"/>
    <w:unhideWhenUsed/>
    <w:rsid w:val="0041538E"/>
    <w:rPr>
      <w:color w:val="0563C1" w:themeColor="hyperlink"/>
      <w:u w:val="single"/>
    </w:rPr>
  </w:style>
  <w:style w:type="paragraph" w:styleId="FootnoteText">
    <w:name w:val="footnote text"/>
    <w:basedOn w:val="Normal"/>
    <w:link w:val="FootnoteTextChar"/>
    <w:uiPriority w:val="99"/>
    <w:unhideWhenUsed/>
    <w:rsid w:val="0041538E"/>
    <w:pPr>
      <w:spacing w:after="0" w:line="240" w:lineRule="auto"/>
      <w:ind w:firstLine="720"/>
      <w:jc w:val="both"/>
    </w:pPr>
    <w:rPr>
      <w:sz w:val="20"/>
      <w:szCs w:val="20"/>
    </w:rPr>
  </w:style>
  <w:style w:type="character" w:customStyle="1" w:styleId="FootnoteTextChar">
    <w:name w:val="Footnote Text Char"/>
    <w:basedOn w:val="DefaultParagraphFont"/>
    <w:link w:val="FootnoteText"/>
    <w:uiPriority w:val="99"/>
    <w:rsid w:val="0041538E"/>
    <w:rPr>
      <w:sz w:val="20"/>
      <w:szCs w:val="20"/>
    </w:rPr>
  </w:style>
  <w:style w:type="paragraph" w:customStyle="1" w:styleId="BulletPoint">
    <w:name w:val="Bullet Point"/>
    <w:basedOn w:val="NoSpacing"/>
    <w:link w:val="BulletPointChar"/>
    <w:qFormat/>
    <w:rsid w:val="0041538E"/>
    <w:pPr>
      <w:numPr>
        <w:numId w:val="14"/>
      </w:numPr>
      <w:ind w:left="159" w:hanging="159"/>
      <w:contextualSpacing/>
    </w:pPr>
    <w:rPr>
      <w:sz w:val="22"/>
    </w:rPr>
  </w:style>
  <w:style w:type="character" w:customStyle="1" w:styleId="BulletPointChar">
    <w:name w:val="Bullet Point Char"/>
    <w:basedOn w:val="NoSpacingChar"/>
    <w:link w:val="BulletPoint"/>
    <w:rsid w:val="0041538E"/>
    <w:rPr>
      <w:rFonts w:eastAsiaTheme="minorEastAsia"/>
      <w:sz w:val="20"/>
      <w:lang w:val="en-US" w:eastAsia="ja-JP"/>
    </w:rPr>
  </w:style>
  <w:style w:type="paragraph" w:styleId="TableofFigures">
    <w:name w:val="table of figures"/>
    <w:basedOn w:val="Normal"/>
    <w:next w:val="Normal"/>
    <w:uiPriority w:val="99"/>
    <w:unhideWhenUsed/>
    <w:rsid w:val="0041538E"/>
    <w:pPr>
      <w:spacing w:after="0" w:line="360" w:lineRule="auto"/>
      <w:ind w:left="440" w:hanging="440"/>
    </w:pPr>
    <w:rPr>
      <w:rFonts w:cstheme="minorHAnsi"/>
      <w:smallCaps/>
      <w:sz w:val="20"/>
      <w:szCs w:val="20"/>
    </w:rPr>
  </w:style>
  <w:style w:type="paragraph" w:styleId="NormalWeb">
    <w:name w:val="Normal (Web)"/>
    <w:basedOn w:val="Normal"/>
    <w:uiPriority w:val="99"/>
    <w:unhideWhenUsed/>
    <w:rsid w:val="0041538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PlainTable31">
    <w:name w:val="Plain Table 31"/>
    <w:basedOn w:val="TableNormal"/>
    <w:uiPriority w:val="43"/>
    <w:rsid w:val="0041538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ndnoteReference">
    <w:name w:val="endnote reference"/>
    <w:basedOn w:val="DefaultParagraphFont"/>
    <w:uiPriority w:val="99"/>
    <w:semiHidden/>
    <w:unhideWhenUsed/>
    <w:rsid w:val="0041538E"/>
    <w:rPr>
      <w:vertAlign w:val="superscript"/>
    </w:rPr>
  </w:style>
  <w:style w:type="table" w:customStyle="1" w:styleId="GridTable21">
    <w:name w:val="Grid Table 21"/>
    <w:basedOn w:val="TableNormal"/>
    <w:uiPriority w:val="47"/>
    <w:rsid w:val="0041538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1">
    <w:name w:val="Grid Table 31"/>
    <w:basedOn w:val="TableNormal"/>
    <w:uiPriority w:val="48"/>
    <w:rsid w:val="004153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1">
    <w:name w:val="Plain Table 11"/>
    <w:basedOn w:val="TableNormal"/>
    <w:uiPriority w:val="41"/>
    <w:rsid w:val="004153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41538E"/>
    <w:rPr>
      <w:color w:val="605E5C"/>
      <w:shd w:val="clear" w:color="auto" w:fill="E1DFDD"/>
    </w:rPr>
  </w:style>
  <w:style w:type="paragraph" w:styleId="TOC4">
    <w:name w:val="toc 4"/>
    <w:basedOn w:val="Normal"/>
    <w:next w:val="Normal"/>
    <w:autoRedefine/>
    <w:uiPriority w:val="39"/>
    <w:unhideWhenUsed/>
    <w:rsid w:val="0041538E"/>
    <w:pPr>
      <w:spacing w:after="0" w:line="360" w:lineRule="auto"/>
      <w:ind w:left="660" w:firstLine="720"/>
    </w:pPr>
    <w:rPr>
      <w:rFonts w:cstheme="minorHAnsi"/>
      <w:sz w:val="18"/>
      <w:szCs w:val="18"/>
    </w:rPr>
  </w:style>
  <w:style w:type="paragraph" w:styleId="TOC5">
    <w:name w:val="toc 5"/>
    <w:basedOn w:val="Normal"/>
    <w:next w:val="Normal"/>
    <w:autoRedefine/>
    <w:uiPriority w:val="39"/>
    <w:unhideWhenUsed/>
    <w:rsid w:val="0041538E"/>
    <w:pPr>
      <w:spacing w:after="0" w:line="360" w:lineRule="auto"/>
      <w:ind w:left="880" w:firstLine="720"/>
    </w:pPr>
    <w:rPr>
      <w:rFonts w:cstheme="minorHAnsi"/>
      <w:sz w:val="18"/>
      <w:szCs w:val="18"/>
    </w:rPr>
  </w:style>
  <w:style w:type="paragraph" w:styleId="TOC6">
    <w:name w:val="toc 6"/>
    <w:basedOn w:val="Normal"/>
    <w:next w:val="Normal"/>
    <w:autoRedefine/>
    <w:uiPriority w:val="39"/>
    <w:unhideWhenUsed/>
    <w:rsid w:val="0041538E"/>
    <w:pPr>
      <w:spacing w:after="0" w:line="360" w:lineRule="auto"/>
      <w:ind w:left="1100" w:firstLine="720"/>
    </w:pPr>
    <w:rPr>
      <w:rFonts w:cstheme="minorHAnsi"/>
      <w:sz w:val="18"/>
      <w:szCs w:val="18"/>
    </w:rPr>
  </w:style>
  <w:style w:type="paragraph" w:styleId="TOC7">
    <w:name w:val="toc 7"/>
    <w:basedOn w:val="Normal"/>
    <w:next w:val="Normal"/>
    <w:autoRedefine/>
    <w:uiPriority w:val="39"/>
    <w:unhideWhenUsed/>
    <w:rsid w:val="0041538E"/>
    <w:pPr>
      <w:spacing w:after="0" w:line="360" w:lineRule="auto"/>
      <w:ind w:left="1320" w:firstLine="720"/>
    </w:pPr>
    <w:rPr>
      <w:rFonts w:cstheme="minorHAnsi"/>
      <w:sz w:val="18"/>
      <w:szCs w:val="18"/>
    </w:rPr>
  </w:style>
  <w:style w:type="paragraph" w:styleId="TOC8">
    <w:name w:val="toc 8"/>
    <w:basedOn w:val="Normal"/>
    <w:next w:val="Normal"/>
    <w:autoRedefine/>
    <w:uiPriority w:val="39"/>
    <w:unhideWhenUsed/>
    <w:rsid w:val="0041538E"/>
    <w:pPr>
      <w:spacing w:after="0" w:line="360" w:lineRule="auto"/>
      <w:ind w:left="1540" w:firstLine="720"/>
    </w:pPr>
    <w:rPr>
      <w:rFonts w:cstheme="minorHAnsi"/>
      <w:sz w:val="18"/>
      <w:szCs w:val="18"/>
    </w:rPr>
  </w:style>
  <w:style w:type="paragraph" w:styleId="TOC9">
    <w:name w:val="toc 9"/>
    <w:basedOn w:val="Normal"/>
    <w:next w:val="Normal"/>
    <w:autoRedefine/>
    <w:uiPriority w:val="39"/>
    <w:unhideWhenUsed/>
    <w:rsid w:val="0041538E"/>
    <w:pPr>
      <w:spacing w:after="0" w:line="360" w:lineRule="auto"/>
      <w:ind w:left="1760" w:firstLine="720"/>
    </w:pPr>
    <w:rPr>
      <w:rFonts w:cstheme="minorHAnsi"/>
      <w:sz w:val="18"/>
      <w:szCs w:val="18"/>
    </w:rPr>
  </w:style>
  <w:style w:type="paragraph" w:customStyle="1" w:styleId="Chapter">
    <w:name w:val="Chapter"/>
    <w:basedOn w:val="Normal"/>
    <w:link w:val="ChapterChar"/>
    <w:qFormat/>
    <w:rsid w:val="0041538E"/>
    <w:pPr>
      <w:pBdr>
        <w:bottom w:val="single" w:sz="4" w:space="1" w:color="auto"/>
      </w:pBdr>
      <w:spacing w:before="720"/>
    </w:pPr>
    <w:rPr>
      <w:sz w:val="56"/>
      <w:szCs w:val="56"/>
    </w:rPr>
  </w:style>
  <w:style w:type="character" w:customStyle="1" w:styleId="ChapterChar">
    <w:name w:val="Chapter Char"/>
    <w:basedOn w:val="DefaultParagraphFont"/>
    <w:link w:val="Chapter"/>
    <w:rsid w:val="0041538E"/>
    <w:rPr>
      <w:sz w:val="56"/>
      <w:szCs w:val="56"/>
    </w:rPr>
  </w:style>
  <w:style w:type="paragraph" w:customStyle="1" w:styleId="Abstract">
    <w:name w:val="Abstract"/>
    <w:basedOn w:val="NonNumbered"/>
    <w:link w:val="AbstractChar"/>
    <w:qFormat/>
    <w:rsid w:val="001661AE"/>
  </w:style>
  <w:style w:type="character" w:customStyle="1" w:styleId="AbstractChar">
    <w:name w:val="Abstract Char"/>
    <w:basedOn w:val="ChapterChar"/>
    <w:link w:val="Abstract"/>
    <w:rsid w:val="001661AE"/>
    <w:rPr>
      <w:rFonts w:eastAsiaTheme="majorEastAsia" w:cstheme="minorHAnsi"/>
      <w:color w:val="2E74B5" w:themeColor="accent1" w:themeShade="BF"/>
      <w:sz w:val="32"/>
      <w:szCs w:val="32"/>
    </w:rPr>
  </w:style>
  <w:style w:type="character" w:styleId="FollowedHyperlink">
    <w:name w:val="FollowedHyperlink"/>
    <w:basedOn w:val="DefaultParagraphFont"/>
    <w:uiPriority w:val="99"/>
    <w:semiHidden/>
    <w:unhideWhenUsed/>
    <w:rsid w:val="0041538E"/>
    <w:rPr>
      <w:color w:val="954F72"/>
      <w:u w:val="single"/>
    </w:rPr>
  </w:style>
  <w:style w:type="paragraph" w:customStyle="1" w:styleId="msonormal0">
    <w:name w:val="msonormal"/>
    <w:basedOn w:val="Normal"/>
    <w:rsid w:val="004153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8713">
    <w:name w:val="xl38713"/>
    <w:basedOn w:val="Normal"/>
    <w:rsid w:val="004153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38714">
    <w:name w:val="xl38714"/>
    <w:basedOn w:val="Normal"/>
    <w:rsid w:val="004153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8715">
    <w:name w:val="xl38715"/>
    <w:basedOn w:val="Normal"/>
    <w:rsid w:val="004153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Appendix">
    <w:name w:val="Appendix"/>
    <w:basedOn w:val="Heading2"/>
    <w:qFormat/>
    <w:rsid w:val="00F064F7"/>
    <w:pPr>
      <w:numPr>
        <w:ilvl w:val="0"/>
        <w:numId w:val="28"/>
      </w:numPr>
    </w:pPr>
  </w:style>
  <w:style w:type="table" w:styleId="PlainTable2">
    <w:name w:val="Plain Table 2"/>
    <w:basedOn w:val="TableNormal"/>
    <w:uiPriority w:val="42"/>
    <w:rsid w:val="00EA3E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Appendix">
    <w:name w:val="SubAppendix"/>
    <w:basedOn w:val="Heading3"/>
    <w:next w:val="Appendix"/>
    <w:link w:val="SubAppendixChar"/>
    <w:qFormat/>
    <w:rsid w:val="00A31B1B"/>
    <w:pPr>
      <w:numPr>
        <w:ilvl w:val="0"/>
        <w:numId w:val="0"/>
      </w:numPr>
    </w:pPr>
  </w:style>
  <w:style w:type="character" w:customStyle="1" w:styleId="SubAppendixChar">
    <w:name w:val="SubAppendix Char"/>
    <w:basedOn w:val="Heading3Char"/>
    <w:link w:val="SubAppendix"/>
    <w:rsid w:val="00A31B1B"/>
    <w:rPr>
      <w:rFonts w:eastAsiaTheme="majorEastAsia" w:cstheme="minorHAnsi"/>
      <w:color w:val="2E74B5" w:themeColor="accent1" w:themeShade="BF"/>
      <w:sz w:val="24"/>
      <w:szCs w:val="24"/>
    </w:rPr>
  </w:style>
  <w:style w:type="numbering" w:customStyle="1" w:styleId="Appendixheadings">
    <w:name w:val="Appendix headings"/>
    <w:uiPriority w:val="99"/>
    <w:rsid w:val="00270263"/>
    <w:pPr>
      <w:numPr>
        <w:numId w:val="42"/>
      </w:numPr>
    </w:pPr>
  </w:style>
  <w:style w:type="table" w:styleId="TableGridLight">
    <w:name w:val="Grid Table Light"/>
    <w:basedOn w:val="TableNormal"/>
    <w:uiPriority w:val="40"/>
    <w:rsid w:val="004959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4959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4959A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4959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1">
    <w:name w:val="Plain Table 1"/>
    <w:basedOn w:val="TableNormal"/>
    <w:uiPriority w:val="41"/>
    <w:rsid w:val="004959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959A9"/>
    <w:rPr>
      <w:color w:val="605E5C"/>
      <w:shd w:val="clear" w:color="auto" w:fill="E1DFDD"/>
    </w:rPr>
  </w:style>
  <w:style w:type="paragraph" w:customStyle="1" w:styleId="EndNoteBibliographyTitle">
    <w:name w:val="EndNote Bibliography Title"/>
    <w:basedOn w:val="Normal"/>
    <w:link w:val="EndNoteBibliographyTitleChar"/>
    <w:rsid w:val="003757B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757B3"/>
    <w:rPr>
      <w:rFonts w:ascii="Calibri" w:hAnsi="Calibri" w:cs="Calibri"/>
      <w:noProof/>
      <w:lang w:val="en-US"/>
    </w:rPr>
  </w:style>
  <w:style w:type="paragraph" w:customStyle="1" w:styleId="EndNoteBibliography">
    <w:name w:val="EndNote Bibliography"/>
    <w:basedOn w:val="Normal"/>
    <w:link w:val="EndNoteBibliographyChar"/>
    <w:rsid w:val="003757B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757B3"/>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89395">
      <w:bodyDiv w:val="1"/>
      <w:marLeft w:val="0"/>
      <w:marRight w:val="0"/>
      <w:marTop w:val="0"/>
      <w:marBottom w:val="0"/>
      <w:divBdr>
        <w:top w:val="none" w:sz="0" w:space="0" w:color="auto"/>
        <w:left w:val="none" w:sz="0" w:space="0" w:color="auto"/>
        <w:bottom w:val="none" w:sz="0" w:space="0" w:color="auto"/>
        <w:right w:val="none" w:sz="0" w:space="0" w:color="auto"/>
      </w:divBdr>
      <w:divsChild>
        <w:div w:id="1804808459">
          <w:marLeft w:val="0"/>
          <w:marRight w:val="0"/>
          <w:marTop w:val="0"/>
          <w:marBottom w:val="0"/>
          <w:divBdr>
            <w:top w:val="none" w:sz="0" w:space="0" w:color="auto"/>
            <w:left w:val="none" w:sz="0" w:space="0" w:color="auto"/>
            <w:bottom w:val="none" w:sz="0" w:space="0" w:color="auto"/>
            <w:right w:val="none" w:sz="0" w:space="0" w:color="auto"/>
          </w:divBdr>
          <w:divsChild>
            <w:div w:id="469785115">
              <w:marLeft w:val="0"/>
              <w:marRight w:val="0"/>
              <w:marTop w:val="0"/>
              <w:marBottom w:val="0"/>
              <w:divBdr>
                <w:top w:val="none" w:sz="0" w:space="0" w:color="auto"/>
                <w:left w:val="none" w:sz="0" w:space="0" w:color="auto"/>
                <w:bottom w:val="none" w:sz="0" w:space="0" w:color="auto"/>
                <w:right w:val="none" w:sz="0" w:space="0" w:color="auto"/>
              </w:divBdr>
              <w:divsChild>
                <w:div w:id="1041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38952">
      <w:bodyDiv w:val="1"/>
      <w:marLeft w:val="0"/>
      <w:marRight w:val="0"/>
      <w:marTop w:val="0"/>
      <w:marBottom w:val="0"/>
      <w:divBdr>
        <w:top w:val="none" w:sz="0" w:space="0" w:color="auto"/>
        <w:left w:val="none" w:sz="0" w:space="0" w:color="auto"/>
        <w:bottom w:val="none" w:sz="0" w:space="0" w:color="auto"/>
        <w:right w:val="none" w:sz="0" w:space="0" w:color="auto"/>
      </w:divBdr>
      <w:divsChild>
        <w:div w:id="1562210746">
          <w:marLeft w:val="0"/>
          <w:marRight w:val="0"/>
          <w:marTop w:val="0"/>
          <w:marBottom w:val="0"/>
          <w:divBdr>
            <w:top w:val="none" w:sz="0" w:space="0" w:color="auto"/>
            <w:left w:val="none" w:sz="0" w:space="0" w:color="auto"/>
            <w:bottom w:val="none" w:sz="0" w:space="0" w:color="auto"/>
            <w:right w:val="none" w:sz="0" w:space="0" w:color="auto"/>
          </w:divBdr>
          <w:divsChild>
            <w:div w:id="1604915103">
              <w:marLeft w:val="0"/>
              <w:marRight w:val="0"/>
              <w:marTop w:val="0"/>
              <w:marBottom w:val="0"/>
              <w:divBdr>
                <w:top w:val="none" w:sz="0" w:space="0" w:color="auto"/>
                <w:left w:val="none" w:sz="0" w:space="0" w:color="auto"/>
                <w:bottom w:val="none" w:sz="0" w:space="0" w:color="auto"/>
                <w:right w:val="none" w:sz="0" w:space="0" w:color="auto"/>
              </w:divBdr>
              <w:divsChild>
                <w:div w:id="11280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3990">
      <w:bodyDiv w:val="1"/>
      <w:marLeft w:val="0"/>
      <w:marRight w:val="0"/>
      <w:marTop w:val="0"/>
      <w:marBottom w:val="0"/>
      <w:divBdr>
        <w:top w:val="none" w:sz="0" w:space="0" w:color="auto"/>
        <w:left w:val="none" w:sz="0" w:space="0" w:color="auto"/>
        <w:bottom w:val="none" w:sz="0" w:space="0" w:color="auto"/>
        <w:right w:val="none" w:sz="0" w:space="0" w:color="auto"/>
      </w:divBdr>
      <w:divsChild>
        <w:div w:id="146946704">
          <w:marLeft w:val="0"/>
          <w:marRight w:val="0"/>
          <w:marTop w:val="0"/>
          <w:marBottom w:val="0"/>
          <w:divBdr>
            <w:top w:val="none" w:sz="0" w:space="0" w:color="auto"/>
            <w:left w:val="none" w:sz="0" w:space="0" w:color="auto"/>
            <w:bottom w:val="none" w:sz="0" w:space="0" w:color="auto"/>
            <w:right w:val="none" w:sz="0" w:space="0" w:color="auto"/>
          </w:divBdr>
          <w:divsChild>
            <w:div w:id="1835409821">
              <w:marLeft w:val="0"/>
              <w:marRight w:val="0"/>
              <w:marTop w:val="0"/>
              <w:marBottom w:val="0"/>
              <w:divBdr>
                <w:top w:val="none" w:sz="0" w:space="0" w:color="auto"/>
                <w:left w:val="none" w:sz="0" w:space="0" w:color="auto"/>
                <w:bottom w:val="none" w:sz="0" w:space="0" w:color="auto"/>
                <w:right w:val="none" w:sz="0" w:space="0" w:color="auto"/>
              </w:divBdr>
              <w:divsChild>
                <w:div w:id="15705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55396">
      <w:bodyDiv w:val="1"/>
      <w:marLeft w:val="0"/>
      <w:marRight w:val="0"/>
      <w:marTop w:val="0"/>
      <w:marBottom w:val="0"/>
      <w:divBdr>
        <w:top w:val="none" w:sz="0" w:space="0" w:color="auto"/>
        <w:left w:val="none" w:sz="0" w:space="0" w:color="auto"/>
        <w:bottom w:val="none" w:sz="0" w:space="0" w:color="auto"/>
        <w:right w:val="none" w:sz="0" w:space="0" w:color="auto"/>
      </w:divBdr>
      <w:divsChild>
        <w:div w:id="1430344862">
          <w:marLeft w:val="0"/>
          <w:marRight w:val="0"/>
          <w:marTop w:val="0"/>
          <w:marBottom w:val="0"/>
          <w:divBdr>
            <w:top w:val="none" w:sz="0" w:space="0" w:color="auto"/>
            <w:left w:val="none" w:sz="0" w:space="0" w:color="auto"/>
            <w:bottom w:val="none" w:sz="0" w:space="0" w:color="auto"/>
            <w:right w:val="none" w:sz="0" w:space="0" w:color="auto"/>
          </w:divBdr>
          <w:divsChild>
            <w:div w:id="1218319197">
              <w:marLeft w:val="0"/>
              <w:marRight w:val="0"/>
              <w:marTop w:val="0"/>
              <w:marBottom w:val="0"/>
              <w:divBdr>
                <w:top w:val="none" w:sz="0" w:space="0" w:color="auto"/>
                <w:left w:val="none" w:sz="0" w:space="0" w:color="auto"/>
                <w:bottom w:val="none" w:sz="0" w:space="0" w:color="auto"/>
                <w:right w:val="none" w:sz="0" w:space="0" w:color="auto"/>
              </w:divBdr>
              <w:divsChild>
                <w:div w:id="2354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13520">
      <w:bodyDiv w:val="1"/>
      <w:marLeft w:val="0"/>
      <w:marRight w:val="0"/>
      <w:marTop w:val="0"/>
      <w:marBottom w:val="0"/>
      <w:divBdr>
        <w:top w:val="none" w:sz="0" w:space="0" w:color="auto"/>
        <w:left w:val="none" w:sz="0" w:space="0" w:color="auto"/>
        <w:bottom w:val="none" w:sz="0" w:space="0" w:color="auto"/>
        <w:right w:val="none" w:sz="0" w:space="0" w:color="auto"/>
      </w:divBdr>
      <w:divsChild>
        <w:div w:id="1555389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8214664">
              <w:marLeft w:val="0"/>
              <w:marRight w:val="0"/>
              <w:marTop w:val="0"/>
              <w:marBottom w:val="0"/>
              <w:divBdr>
                <w:top w:val="none" w:sz="0" w:space="0" w:color="auto"/>
                <w:left w:val="none" w:sz="0" w:space="0" w:color="auto"/>
                <w:bottom w:val="none" w:sz="0" w:space="0" w:color="auto"/>
                <w:right w:val="none" w:sz="0" w:space="0" w:color="auto"/>
              </w:divBdr>
              <w:divsChild>
                <w:div w:id="13676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23473">
      <w:bodyDiv w:val="1"/>
      <w:marLeft w:val="0"/>
      <w:marRight w:val="0"/>
      <w:marTop w:val="0"/>
      <w:marBottom w:val="0"/>
      <w:divBdr>
        <w:top w:val="none" w:sz="0" w:space="0" w:color="auto"/>
        <w:left w:val="none" w:sz="0" w:space="0" w:color="auto"/>
        <w:bottom w:val="none" w:sz="0" w:space="0" w:color="auto"/>
        <w:right w:val="none" w:sz="0" w:space="0" w:color="auto"/>
      </w:divBdr>
      <w:divsChild>
        <w:div w:id="1762994795">
          <w:marLeft w:val="0"/>
          <w:marRight w:val="0"/>
          <w:marTop w:val="0"/>
          <w:marBottom w:val="0"/>
          <w:divBdr>
            <w:top w:val="none" w:sz="0" w:space="0" w:color="auto"/>
            <w:left w:val="none" w:sz="0" w:space="0" w:color="auto"/>
            <w:bottom w:val="none" w:sz="0" w:space="0" w:color="auto"/>
            <w:right w:val="none" w:sz="0" w:space="0" w:color="auto"/>
          </w:divBdr>
          <w:divsChild>
            <w:div w:id="2051683634">
              <w:marLeft w:val="0"/>
              <w:marRight w:val="0"/>
              <w:marTop w:val="0"/>
              <w:marBottom w:val="0"/>
              <w:divBdr>
                <w:top w:val="none" w:sz="0" w:space="0" w:color="auto"/>
                <w:left w:val="none" w:sz="0" w:space="0" w:color="auto"/>
                <w:bottom w:val="none" w:sz="0" w:space="0" w:color="auto"/>
                <w:right w:val="none" w:sz="0" w:space="0" w:color="auto"/>
              </w:divBdr>
              <w:divsChild>
                <w:div w:id="4300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4350">
      <w:bodyDiv w:val="1"/>
      <w:marLeft w:val="0"/>
      <w:marRight w:val="0"/>
      <w:marTop w:val="0"/>
      <w:marBottom w:val="0"/>
      <w:divBdr>
        <w:top w:val="none" w:sz="0" w:space="0" w:color="auto"/>
        <w:left w:val="none" w:sz="0" w:space="0" w:color="auto"/>
        <w:bottom w:val="none" w:sz="0" w:space="0" w:color="auto"/>
        <w:right w:val="none" w:sz="0" w:space="0" w:color="auto"/>
      </w:divBdr>
    </w:div>
    <w:div w:id="1995840047">
      <w:bodyDiv w:val="1"/>
      <w:marLeft w:val="0"/>
      <w:marRight w:val="0"/>
      <w:marTop w:val="0"/>
      <w:marBottom w:val="0"/>
      <w:divBdr>
        <w:top w:val="none" w:sz="0" w:space="0" w:color="auto"/>
        <w:left w:val="none" w:sz="0" w:space="0" w:color="auto"/>
        <w:bottom w:val="none" w:sz="0" w:space="0" w:color="auto"/>
        <w:right w:val="none" w:sz="0" w:space="0" w:color="auto"/>
      </w:divBdr>
      <w:divsChild>
        <w:div w:id="461003071">
          <w:marLeft w:val="0"/>
          <w:marRight w:val="0"/>
          <w:marTop w:val="0"/>
          <w:marBottom w:val="0"/>
          <w:divBdr>
            <w:top w:val="none" w:sz="0" w:space="0" w:color="auto"/>
            <w:left w:val="none" w:sz="0" w:space="0" w:color="auto"/>
            <w:bottom w:val="none" w:sz="0" w:space="0" w:color="auto"/>
            <w:right w:val="none" w:sz="0" w:space="0" w:color="auto"/>
          </w:divBdr>
          <w:divsChild>
            <w:div w:id="671026294">
              <w:marLeft w:val="0"/>
              <w:marRight w:val="0"/>
              <w:marTop w:val="0"/>
              <w:marBottom w:val="0"/>
              <w:divBdr>
                <w:top w:val="none" w:sz="0" w:space="0" w:color="auto"/>
                <w:left w:val="none" w:sz="0" w:space="0" w:color="auto"/>
                <w:bottom w:val="none" w:sz="0" w:space="0" w:color="auto"/>
                <w:right w:val="none" w:sz="0" w:space="0" w:color="auto"/>
              </w:divBdr>
              <w:divsChild>
                <w:div w:id="10008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chart" Target="charts/chart7.xml"/><Relationship Id="rId47" Type="http://schemas.openxmlformats.org/officeDocument/2006/relationships/chart" Target="charts/chart12.xml"/><Relationship Id="rId63" Type="http://schemas.openxmlformats.org/officeDocument/2006/relationships/hyperlink" Target="https://www.gov.uk/government/statistical-data-sets/road-transport-energy-consumption-at-regional-and-local-authority-level" TargetMode="External"/><Relationship Id="rId68" Type="http://schemas.openxmlformats.org/officeDocument/2006/relationships/hyperlink" Target="https://www.gov.uk/government/publications/valuation-of-energy-use-and-greenhouse-gas-emissions-for-appraisal" TargetMode="External"/><Relationship Id="rId84" Type="http://schemas.openxmlformats.org/officeDocument/2006/relationships/chart" Target="charts/chart28.xml"/><Relationship Id="rId89" Type="http://schemas.openxmlformats.org/officeDocument/2006/relationships/chart" Target="charts/chart33.xml"/><Relationship Id="rId16" Type="http://schemas.openxmlformats.org/officeDocument/2006/relationships/image" Target="media/image6.png"/><Relationship Id="rId11" Type="http://schemas.openxmlformats.org/officeDocument/2006/relationships/chart" Target="charts/chart1.xml"/><Relationship Id="rId32" Type="http://schemas.openxmlformats.org/officeDocument/2006/relationships/chart" Target="charts/chart5.xml"/><Relationship Id="rId37" Type="http://schemas.openxmlformats.org/officeDocument/2006/relationships/image" Target="media/image24.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hyperlink" Target="https://www.statista.com/statistics/499507/average-solar-pv-cost-per-kw-installed-uk/" TargetMode="External"/><Relationship Id="rId79" Type="http://schemas.openxmlformats.org/officeDocument/2006/relationships/chart" Target="charts/chart23.xml"/><Relationship Id="rId5" Type="http://schemas.openxmlformats.org/officeDocument/2006/relationships/webSettings" Target="webSettings.xml"/><Relationship Id="rId90" Type="http://schemas.openxmlformats.org/officeDocument/2006/relationships/chart" Target="charts/chart34.xml"/><Relationship Id="rId95" Type="http://schemas.openxmlformats.org/officeDocument/2006/relationships/chart" Target="charts/chart39.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chart" Target="charts/chart8.xml"/><Relationship Id="rId48" Type="http://schemas.openxmlformats.org/officeDocument/2006/relationships/chart" Target="charts/chart13.xml"/><Relationship Id="rId64" Type="http://schemas.openxmlformats.org/officeDocument/2006/relationships/hyperlink" Target="https://www.gov.uk/government/collections/fossil-fuel-price-assumptions" TargetMode="External"/><Relationship Id="rId69" Type="http://schemas.openxmlformats.org/officeDocument/2006/relationships/hyperlink" Target="https://hydeploy.co.uk/" TargetMode="External"/><Relationship Id="rId80" Type="http://schemas.openxmlformats.org/officeDocument/2006/relationships/chart" Target="charts/chart24.xml"/><Relationship Id="rId85" Type="http://schemas.openxmlformats.org/officeDocument/2006/relationships/chart" Target="charts/chart29.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6.xml"/><Relationship Id="rId38" Type="http://schemas.openxmlformats.org/officeDocument/2006/relationships/image" Target="media/image25.png"/><Relationship Id="rId46" Type="http://schemas.openxmlformats.org/officeDocument/2006/relationships/chart" Target="charts/chart11.xml"/><Relationship Id="rId59" Type="http://schemas.openxmlformats.org/officeDocument/2006/relationships/chart" Target="charts/chart17.xml"/><Relationship Id="rId67" Type="http://schemas.openxmlformats.org/officeDocument/2006/relationships/hyperlink" Target="https://www.inbalance-energy.co.uk/articles/solar_panels_pv_calculator.html" TargetMode="Externa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31.png"/><Relationship Id="rId62" Type="http://schemas.openxmlformats.org/officeDocument/2006/relationships/chart" Target="charts/chart20.xml"/><Relationship Id="rId70" Type="http://schemas.openxmlformats.org/officeDocument/2006/relationships/hyperlink" Target="https://hynet.co.uk/" TargetMode="External"/><Relationship Id="rId75" Type="http://schemas.openxmlformats.org/officeDocument/2006/relationships/hyperlink" Target="https://hydrogeneurope.eu/hydrogen-transport-distribution" TargetMode="External"/><Relationship Id="rId83" Type="http://schemas.openxmlformats.org/officeDocument/2006/relationships/chart" Target="charts/chart27.xml"/><Relationship Id="rId88" Type="http://schemas.openxmlformats.org/officeDocument/2006/relationships/chart" Target="charts/chart32.xml"/><Relationship Id="rId91" Type="http://schemas.openxmlformats.org/officeDocument/2006/relationships/chart" Target="charts/chart35.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chart" Target="charts/chart14.xml"/><Relationship Id="rId57" Type="http://schemas.openxmlformats.org/officeDocument/2006/relationships/image" Target="media/image34.png"/><Relationship Id="rId10" Type="http://schemas.openxmlformats.org/officeDocument/2006/relationships/image" Target="media/image3.png"/><Relationship Id="rId31" Type="http://schemas.openxmlformats.org/officeDocument/2006/relationships/chart" Target="charts/chart4.xml"/><Relationship Id="rId44" Type="http://schemas.openxmlformats.org/officeDocument/2006/relationships/chart" Target="charts/chart9.xml"/><Relationship Id="rId52" Type="http://schemas.openxmlformats.org/officeDocument/2006/relationships/image" Target="media/image29.png"/><Relationship Id="rId60" Type="http://schemas.openxmlformats.org/officeDocument/2006/relationships/chart" Target="charts/chart18.xml"/><Relationship Id="rId65" Type="http://schemas.openxmlformats.org/officeDocument/2006/relationships/hyperlink" Target="https://assets.publishing.service.gov.uk/government/uploads/system/uploads/attachment_data/file/794590/updated-energy-and-emissions-projections-2018.pdf%0Ahttps://www.gov.uk/government/uploads/system/uploads/attachment_data/file/239937/uep_2013.pdf" TargetMode="External"/><Relationship Id="rId73" Type="http://schemas.openxmlformats.org/officeDocument/2006/relationships/hyperlink" Target="https://www.statista.com/statistics/971295/regional-population-wales/" TargetMode="External"/><Relationship Id="rId78" Type="http://schemas.openxmlformats.org/officeDocument/2006/relationships/chart" Target="charts/chart22.xml"/><Relationship Id="rId81" Type="http://schemas.openxmlformats.org/officeDocument/2006/relationships/chart" Target="charts/chart25.xml"/><Relationship Id="rId86" Type="http://schemas.openxmlformats.org/officeDocument/2006/relationships/chart" Target="charts/chart30.xml"/><Relationship Id="rId94" Type="http://schemas.openxmlformats.org/officeDocument/2006/relationships/chart" Target="charts/chart3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chart" Target="charts/chart15.xml"/><Relationship Id="rId55" Type="http://schemas.openxmlformats.org/officeDocument/2006/relationships/image" Target="media/image32.png"/><Relationship Id="rId76" Type="http://schemas.openxmlformats.org/officeDocument/2006/relationships/hyperlink" Target="https://www.engineeringtoolbox.com/hydrogen-H2-density-specific-weight-temperature-pressure-d_2044.html" TargetMode="External"/><Relationship Id="rId97"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s://www.statista.com/statistics/971694/county-population-england/" TargetMode="External"/><Relationship Id="rId92" Type="http://schemas.openxmlformats.org/officeDocument/2006/relationships/chart" Target="charts/chart36.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chart" Target="charts/chart10.xml"/><Relationship Id="rId66" Type="http://schemas.openxmlformats.org/officeDocument/2006/relationships/hyperlink" Target="https://www.renewables.ninja/" TargetMode="External"/><Relationship Id="rId87" Type="http://schemas.openxmlformats.org/officeDocument/2006/relationships/chart" Target="charts/chart31.xml"/><Relationship Id="rId61" Type="http://schemas.openxmlformats.org/officeDocument/2006/relationships/chart" Target="charts/chart19.xml"/><Relationship Id="rId82" Type="http://schemas.openxmlformats.org/officeDocument/2006/relationships/chart" Target="charts/chart26.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2.png"/><Relationship Id="rId56" Type="http://schemas.openxmlformats.org/officeDocument/2006/relationships/image" Target="media/image33.png"/><Relationship Id="rId77" Type="http://schemas.openxmlformats.org/officeDocument/2006/relationships/chart" Target="charts/chart21.xml"/><Relationship Id="rId8" Type="http://schemas.openxmlformats.org/officeDocument/2006/relationships/image" Target="media/image1.emf"/><Relationship Id="rId51" Type="http://schemas.openxmlformats.org/officeDocument/2006/relationships/chart" Target="charts/chart16.xml"/><Relationship Id="rId72" Type="http://schemas.openxmlformats.org/officeDocument/2006/relationships/hyperlink" Target="https://www.statista.com/statistics/865968/scottish-regional-population-estimates/" TargetMode="External"/><Relationship Id="rId93" Type="http://schemas.openxmlformats.org/officeDocument/2006/relationships/chart" Target="charts/chart37.xml"/><Relationship Id="rId9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Deman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UAI\Papers\David%20W%20paper\Figures%20Revision%202\Gas%20Price%20Variation%20Resul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UAI\Papers\David%20W%20paper\Figures%20Revision%202\Gas%20Price%20Variation%20Resul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d.docs.live.net/676545bf64024c3f/Imperial%20College/Research%20Project/Model/Data/Economic%20Data%20Collection.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avidResults\No%20CCS%20Results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UAI\Papers\David%20W%20paper\Assessments\Final%20thesis\Results_Fin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3"/>
            <c:dispRSqr val="0"/>
            <c:dispEq val="0"/>
          </c:trendline>
          <c:xVal>
            <c:numRef>
              <c:f>[Demand.xlsx]Demand!$J$126,[Demand.xlsx]Demand!$L$126,[Demand.xlsx]Demand!$N$126,[Demand.xlsx]Demand!$P$126</c:f>
              <c:numCache>
                <c:formatCode>General</c:formatCode>
                <c:ptCount val="4"/>
                <c:pt idx="0">
                  <c:v>2020</c:v>
                </c:pt>
                <c:pt idx="1">
                  <c:v>2030</c:v>
                </c:pt>
                <c:pt idx="2">
                  <c:v>2040</c:v>
                </c:pt>
                <c:pt idx="3">
                  <c:v>2050</c:v>
                </c:pt>
              </c:numCache>
            </c:numRef>
          </c:xVal>
          <c:yVal>
            <c:numRef>
              <c:f>[Demand.xlsx]Demand!$J$162,[Demand.xlsx]Demand!$L$162,[Demand.xlsx]Demand!$N$162,[Demand.xlsx]Demand!$P$162</c:f>
              <c:numCache>
                <c:formatCode>0%</c:formatCode>
                <c:ptCount val="4"/>
                <c:pt idx="0">
                  <c:v>0.02</c:v>
                </c:pt>
                <c:pt idx="1">
                  <c:v>0.15</c:v>
                </c:pt>
                <c:pt idx="2">
                  <c:v>0.35</c:v>
                </c:pt>
                <c:pt idx="3">
                  <c:v>0.5</c:v>
                </c:pt>
              </c:numCache>
            </c:numRef>
          </c:yVal>
          <c:smooth val="0"/>
          <c:extLst>
            <c:ext xmlns:c16="http://schemas.microsoft.com/office/drawing/2014/chart" uri="{C3380CC4-5D6E-409C-BE32-E72D297353CC}">
              <c16:uniqueId val="{00000001-CDFD-4B28-8534-E36CB2294F23}"/>
            </c:ext>
          </c:extLst>
        </c:ser>
        <c:ser>
          <c:idx val="1"/>
          <c:order val="1"/>
          <c:spPr>
            <a:ln w="25400" cap="rnd">
              <a:noFill/>
              <a:round/>
            </a:ln>
            <a:effectLst/>
          </c:spPr>
          <c:marker>
            <c:symbol val="circle"/>
            <c:size val="5"/>
            <c:spPr>
              <a:solidFill>
                <a:schemeClr val="accent1"/>
              </a:solidFill>
              <a:ln w="9525">
                <a:solidFill>
                  <a:schemeClr val="accent1"/>
                </a:solidFill>
              </a:ln>
              <a:effectLst/>
            </c:spPr>
          </c:marker>
          <c:xVal>
            <c:numRef>
              <c:f>[Demand.xlsx]Demand!$K$126,[Demand.xlsx]Demand!$M$126,[Demand.xlsx]Demand!$O$126</c:f>
              <c:numCache>
                <c:formatCode>General</c:formatCode>
                <c:ptCount val="3"/>
                <c:pt idx="0">
                  <c:v>2025</c:v>
                </c:pt>
                <c:pt idx="1">
                  <c:v>2035</c:v>
                </c:pt>
                <c:pt idx="2">
                  <c:v>2045</c:v>
                </c:pt>
              </c:numCache>
            </c:numRef>
          </c:xVal>
          <c:yVal>
            <c:numRef>
              <c:f>[Demand.xlsx]Demand!$K$162,[Demand.xlsx]Demand!$M$162,[Demand.xlsx]Demand!$O$162</c:f>
              <c:numCache>
                <c:formatCode>0%</c:formatCode>
                <c:ptCount val="3"/>
                <c:pt idx="0">
                  <c:v>7.0000000000000007E-2</c:v>
                </c:pt>
                <c:pt idx="1">
                  <c:v>0.25</c:v>
                </c:pt>
                <c:pt idx="2">
                  <c:v>0.44</c:v>
                </c:pt>
              </c:numCache>
            </c:numRef>
          </c:yVal>
          <c:smooth val="0"/>
          <c:extLst>
            <c:ext xmlns:c16="http://schemas.microsoft.com/office/drawing/2014/chart" uri="{C3380CC4-5D6E-409C-BE32-E72D297353CC}">
              <c16:uniqueId val="{00000002-CDFD-4B28-8534-E36CB2294F23}"/>
            </c:ext>
          </c:extLst>
        </c:ser>
        <c:dLbls>
          <c:showLegendKey val="0"/>
          <c:showVal val="0"/>
          <c:showCatName val="0"/>
          <c:showSerName val="0"/>
          <c:showPercent val="0"/>
          <c:showBubbleSize val="0"/>
        </c:dLbls>
        <c:axId val="962416736"/>
        <c:axId val="872651800"/>
      </c:scatterChart>
      <c:valAx>
        <c:axId val="9624167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72651800"/>
        <c:crosses val="autoZero"/>
        <c:crossBetween val="midCat"/>
      </c:valAx>
      <c:valAx>
        <c:axId val="872651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 Pentration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9624167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CPF_Fran!$M$203</c:f>
              <c:strCache>
                <c:ptCount val="1"/>
                <c:pt idx="0">
                  <c:v>1.1</c:v>
                </c:pt>
              </c:strCache>
            </c:strRef>
          </c:tx>
          <c:spPr>
            <a:solidFill>
              <a:schemeClr val="accent6">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CPF_Fran!$N$203:$T$203</c:f>
              <c:numCache>
                <c:formatCode>General</c:formatCode>
                <c:ptCount val="7"/>
                <c:pt idx="0">
                  <c:v>441069</c:v>
                </c:pt>
                <c:pt idx="1">
                  <c:v>1261242</c:v>
                </c:pt>
                <c:pt idx="2">
                  <c:v>2314926</c:v>
                </c:pt>
                <c:pt idx="3">
                  <c:v>2658330</c:v>
                </c:pt>
                <c:pt idx="4">
                  <c:v>3721660</c:v>
                </c:pt>
                <c:pt idx="5">
                  <c:v>4343490</c:v>
                </c:pt>
                <c:pt idx="6">
                  <c:v>3900730</c:v>
                </c:pt>
              </c:numCache>
            </c:numRef>
          </c:val>
          <c:extLst>
            <c:ext xmlns:c16="http://schemas.microsoft.com/office/drawing/2014/chart" uri="{C3380CC4-5D6E-409C-BE32-E72D297353CC}">
              <c16:uniqueId val="{00000000-04A7-46CF-A3BA-D80BD616E18D}"/>
            </c:ext>
          </c:extLst>
        </c:ser>
        <c:ser>
          <c:idx val="4"/>
          <c:order val="1"/>
          <c:tx>
            <c:strRef>
              <c:f>CPF_Fran!$M$207</c:f>
              <c:strCache>
                <c:ptCount val="1"/>
                <c:pt idx="0">
                  <c:v>1.5</c:v>
                </c:pt>
              </c:strCache>
            </c:strRef>
          </c:tx>
          <c:spPr>
            <a:solidFill>
              <a:schemeClr val="accent1">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CPF_Fran!$N$207:$T$207</c:f>
              <c:numCache>
                <c:formatCode>General</c:formatCode>
                <c:ptCount val="7"/>
                <c:pt idx="0">
                  <c:v>441069</c:v>
                </c:pt>
                <c:pt idx="1">
                  <c:v>1261242</c:v>
                </c:pt>
                <c:pt idx="2">
                  <c:v>2314926</c:v>
                </c:pt>
                <c:pt idx="3">
                  <c:v>2658330</c:v>
                </c:pt>
                <c:pt idx="4">
                  <c:v>3721660</c:v>
                </c:pt>
                <c:pt idx="5">
                  <c:v>4343490</c:v>
                </c:pt>
                <c:pt idx="6">
                  <c:v>3900730</c:v>
                </c:pt>
              </c:numCache>
            </c:numRef>
          </c:val>
          <c:extLst>
            <c:ext xmlns:c16="http://schemas.microsoft.com/office/drawing/2014/chart" uri="{C3380CC4-5D6E-409C-BE32-E72D297353CC}">
              <c16:uniqueId val="{00000001-04A7-46CF-A3BA-D80BD616E18D}"/>
            </c:ext>
          </c:extLst>
        </c:ser>
        <c:ser>
          <c:idx val="9"/>
          <c:order val="2"/>
          <c:tx>
            <c:strRef>
              <c:f>CPF_Fran!$M$212</c:f>
              <c:strCache>
                <c:ptCount val="1"/>
                <c:pt idx="0">
                  <c:v>2</c:v>
                </c:pt>
              </c:strCache>
            </c:strRef>
          </c:tx>
          <c:spPr>
            <a:solidFill>
              <a:schemeClr val="accent6">
                <a:lumMod val="50000"/>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CPF_Fran!$N$212:$T$212</c:f>
              <c:numCache>
                <c:formatCode>General</c:formatCode>
                <c:ptCount val="7"/>
                <c:pt idx="0">
                  <c:v>441069</c:v>
                </c:pt>
                <c:pt idx="1">
                  <c:v>1261242</c:v>
                </c:pt>
                <c:pt idx="2">
                  <c:v>2314926</c:v>
                </c:pt>
                <c:pt idx="3">
                  <c:v>2658330</c:v>
                </c:pt>
                <c:pt idx="4">
                  <c:v>3721660</c:v>
                </c:pt>
                <c:pt idx="5">
                  <c:v>3943400</c:v>
                </c:pt>
                <c:pt idx="6">
                  <c:v>3500650</c:v>
                </c:pt>
              </c:numCache>
            </c:numRef>
          </c:val>
          <c:extLst>
            <c:ext xmlns:c16="http://schemas.microsoft.com/office/drawing/2014/chart" uri="{C3380CC4-5D6E-409C-BE32-E72D297353CC}">
              <c16:uniqueId val="{00000002-04A7-46CF-A3BA-D80BD616E18D}"/>
            </c:ext>
          </c:extLst>
        </c:ser>
        <c:ser>
          <c:idx val="14"/>
          <c:order val="3"/>
          <c:tx>
            <c:strRef>
              <c:f>CPF_Fran!$M$217</c:f>
              <c:strCache>
                <c:ptCount val="1"/>
                <c:pt idx="0">
                  <c:v>2.5</c:v>
                </c:pt>
              </c:strCache>
            </c:strRef>
          </c:tx>
          <c:spPr>
            <a:solidFill>
              <a:schemeClr val="accent4">
                <a:lumMod val="60000"/>
                <a:lumOff val="40000"/>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CPF_Fran!$N$217:$T$217</c:f>
              <c:numCache>
                <c:formatCode>General</c:formatCode>
                <c:ptCount val="7"/>
                <c:pt idx="0">
                  <c:v>441069</c:v>
                </c:pt>
                <c:pt idx="1">
                  <c:v>1261242</c:v>
                </c:pt>
                <c:pt idx="2">
                  <c:v>2314926</c:v>
                </c:pt>
                <c:pt idx="3">
                  <c:v>2658330</c:v>
                </c:pt>
                <c:pt idx="4">
                  <c:v>3721660</c:v>
                </c:pt>
                <c:pt idx="5">
                  <c:v>3943400</c:v>
                </c:pt>
                <c:pt idx="6">
                  <c:v>3500650</c:v>
                </c:pt>
              </c:numCache>
            </c:numRef>
          </c:val>
          <c:extLst>
            <c:ext xmlns:c16="http://schemas.microsoft.com/office/drawing/2014/chart" uri="{C3380CC4-5D6E-409C-BE32-E72D297353CC}">
              <c16:uniqueId val="{00000003-04A7-46CF-A3BA-D80BD616E18D}"/>
            </c:ext>
          </c:extLst>
        </c:ser>
        <c:ser>
          <c:idx val="19"/>
          <c:order val="4"/>
          <c:tx>
            <c:strRef>
              <c:f>CPF_Fran!$M$222</c:f>
              <c:strCache>
                <c:ptCount val="1"/>
                <c:pt idx="0">
                  <c:v>3</c:v>
                </c:pt>
              </c:strCache>
            </c:strRef>
          </c:tx>
          <c:spPr>
            <a:solidFill>
              <a:schemeClr val="accent1">
                <a:lumMod val="60000"/>
                <a:lumOff val="40000"/>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CPF_Fran!$N$222:$T$222</c:f>
              <c:numCache>
                <c:formatCode>General</c:formatCode>
                <c:ptCount val="7"/>
                <c:pt idx="0">
                  <c:v>441069</c:v>
                </c:pt>
                <c:pt idx="1">
                  <c:v>1261242</c:v>
                </c:pt>
                <c:pt idx="2">
                  <c:v>2314926</c:v>
                </c:pt>
                <c:pt idx="3">
                  <c:v>2658330</c:v>
                </c:pt>
                <c:pt idx="4">
                  <c:v>3721660</c:v>
                </c:pt>
                <c:pt idx="5">
                  <c:v>3689300</c:v>
                </c:pt>
                <c:pt idx="6">
                  <c:v>3079510</c:v>
                </c:pt>
              </c:numCache>
            </c:numRef>
          </c:val>
          <c:extLst>
            <c:ext xmlns:c16="http://schemas.microsoft.com/office/drawing/2014/chart" uri="{C3380CC4-5D6E-409C-BE32-E72D297353CC}">
              <c16:uniqueId val="{00000004-04A7-46CF-A3BA-D80BD616E18D}"/>
            </c:ext>
          </c:extLst>
        </c:ser>
        <c:ser>
          <c:idx val="24"/>
          <c:order val="5"/>
          <c:tx>
            <c:strRef>
              <c:f>CPF_Fran!$M$227</c:f>
              <c:strCache>
                <c:ptCount val="1"/>
                <c:pt idx="0">
                  <c:v>3.5</c:v>
                </c:pt>
              </c:strCache>
            </c:strRef>
          </c:tx>
          <c:spPr>
            <a:solidFill>
              <a:schemeClr val="accent6">
                <a:lumMod val="60000"/>
                <a:lumOff val="40000"/>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CPF_Fran!$N$227:$T$227</c:f>
              <c:numCache>
                <c:formatCode>General</c:formatCode>
                <c:ptCount val="7"/>
                <c:pt idx="0">
                  <c:v>441069</c:v>
                </c:pt>
                <c:pt idx="1">
                  <c:v>1261242</c:v>
                </c:pt>
                <c:pt idx="2">
                  <c:v>2314926</c:v>
                </c:pt>
                <c:pt idx="3">
                  <c:v>2658330</c:v>
                </c:pt>
                <c:pt idx="4">
                  <c:v>3651700</c:v>
                </c:pt>
                <c:pt idx="5">
                  <c:v>3619350</c:v>
                </c:pt>
                <c:pt idx="6">
                  <c:v>3069760</c:v>
                </c:pt>
              </c:numCache>
            </c:numRef>
          </c:val>
          <c:extLst>
            <c:ext xmlns:c16="http://schemas.microsoft.com/office/drawing/2014/chart" uri="{C3380CC4-5D6E-409C-BE32-E72D297353CC}">
              <c16:uniqueId val="{00000005-04A7-46CF-A3BA-D80BD616E18D}"/>
            </c:ext>
          </c:extLst>
        </c:ser>
        <c:ser>
          <c:idx val="29"/>
          <c:order val="6"/>
          <c:tx>
            <c:strRef>
              <c:f>CPF_Fran!$M$232</c:f>
              <c:strCache>
                <c:ptCount val="1"/>
                <c:pt idx="0">
                  <c:v>4</c:v>
                </c:pt>
              </c:strCache>
            </c:strRef>
          </c:tx>
          <c:spPr>
            <a:solidFill>
              <a:schemeClr val="accent4">
                <a:alpha val="50000"/>
              </a:schemeClr>
            </a:solidFill>
            <a:ln>
              <a:noFill/>
            </a:ln>
            <a:effectLst/>
          </c:spPr>
          <c:invertIfNegative val="0"/>
          <c:cat>
            <c:numRef>
              <c:f>CPF_Fran!$N$201:$T$201</c:f>
              <c:numCache>
                <c:formatCode>General</c:formatCode>
                <c:ptCount val="7"/>
                <c:pt idx="0">
                  <c:v>2020</c:v>
                </c:pt>
                <c:pt idx="1">
                  <c:v>2025</c:v>
                </c:pt>
                <c:pt idx="2">
                  <c:v>2030</c:v>
                </c:pt>
                <c:pt idx="3">
                  <c:v>2035</c:v>
                </c:pt>
                <c:pt idx="4">
                  <c:v>2040</c:v>
                </c:pt>
                <c:pt idx="5">
                  <c:v>2045</c:v>
                </c:pt>
                <c:pt idx="6">
                  <c:v>2050</c:v>
                </c:pt>
              </c:numCache>
            </c:numRef>
          </c:cat>
          <c:val>
            <c:numRef>
              <c:f>CPF_Fran!$N$232:$T$232</c:f>
              <c:numCache>
                <c:formatCode>General</c:formatCode>
                <c:ptCount val="7"/>
                <c:pt idx="0">
                  <c:v>441069</c:v>
                </c:pt>
                <c:pt idx="1">
                  <c:v>1261242</c:v>
                </c:pt>
                <c:pt idx="2">
                  <c:v>2314926</c:v>
                </c:pt>
                <c:pt idx="3">
                  <c:v>2658330</c:v>
                </c:pt>
                <c:pt idx="4">
                  <c:v>3321570</c:v>
                </c:pt>
                <c:pt idx="5">
                  <c:v>3289220</c:v>
                </c:pt>
                <c:pt idx="6">
                  <c:v>2370697</c:v>
                </c:pt>
              </c:numCache>
            </c:numRef>
          </c:val>
          <c:extLst>
            <c:ext xmlns:c16="http://schemas.microsoft.com/office/drawing/2014/chart" uri="{C3380CC4-5D6E-409C-BE32-E72D297353CC}">
              <c16:uniqueId val="{00000006-04A7-46CF-A3BA-D80BD616E18D}"/>
            </c:ext>
          </c:extLst>
        </c:ser>
        <c:dLbls>
          <c:showLegendKey val="0"/>
          <c:showVal val="0"/>
          <c:showCatName val="0"/>
          <c:showSerName val="0"/>
          <c:showPercent val="0"/>
          <c:showBubbleSize val="0"/>
        </c:dLbls>
        <c:gapWidth val="150"/>
        <c:axId val="832269056"/>
        <c:axId val="832269384"/>
      </c:barChart>
      <c:catAx>
        <c:axId val="8322690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32269384"/>
        <c:crosses val="autoZero"/>
        <c:auto val="1"/>
        <c:lblAlgn val="ctr"/>
        <c:lblOffset val="100"/>
        <c:noMultiLvlLbl val="0"/>
      </c:catAx>
      <c:valAx>
        <c:axId val="832269384"/>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Annual CO2e emissions (ktonne CO2e/year)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32269056"/>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CPF_Fran!$AP$227</c:f>
              <c:strCache>
                <c:ptCount val="1"/>
                <c:pt idx="0">
                  <c:v>TDC not including carbon costs</c:v>
                </c:pt>
              </c:strCache>
            </c:strRef>
          </c:tx>
          <c:spPr>
            <a:ln w="19050" cap="rnd">
              <a:solidFill>
                <a:srgbClr val="C00000">
                  <a:alpha val="50000"/>
                </a:srgbClr>
              </a:solidFill>
              <a:round/>
            </a:ln>
            <a:effectLst/>
          </c:spPr>
          <c:marker>
            <c:symbol val="none"/>
          </c:marker>
          <c:cat>
            <c:numRef>
              <c:f>CPF_Fran!$AO$228:$AO$258</c:f>
              <c:numCache>
                <c:formatCode>General</c:formatCode>
                <c:ptCount val="31"/>
                <c:pt idx="0">
                  <c:v>1</c:v>
                </c:pt>
                <c:pt idx="1">
                  <c:v>1.1000000000000001</c:v>
                </c:pt>
                <c:pt idx="2">
                  <c:v>1.2</c:v>
                </c:pt>
                <c:pt idx="3">
                  <c:v>1.3</c:v>
                </c:pt>
                <c:pt idx="4">
                  <c:v>1.4</c:v>
                </c:pt>
                <c:pt idx="5">
                  <c:v>1.5</c:v>
                </c:pt>
                <c:pt idx="6">
                  <c:v>1.6</c:v>
                </c:pt>
                <c:pt idx="7">
                  <c:v>1.7</c:v>
                </c:pt>
                <c:pt idx="8">
                  <c:v>1.8</c:v>
                </c:pt>
                <c:pt idx="9">
                  <c:v>1.9</c:v>
                </c:pt>
                <c:pt idx="10">
                  <c:v>2</c:v>
                </c:pt>
                <c:pt idx="11">
                  <c:v>2.1</c:v>
                </c:pt>
                <c:pt idx="12">
                  <c:v>2.2000000000000002</c:v>
                </c:pt>
                <c:pt idx="13">
                  <c:v>2.2999999999999998</c:v>
                </c:pt>
                <c:pt idx="14">
                  <c:v>2.4</c:v>
                </c:pt>
                <c:pt idx="15">
                  <c:v>2.5</c:v>
                </c:pt>
                <c:pt idx="16">
                  <c:v>2.6</c:v>
                </c:pt>
                <c:pt idx="17">
                  <c:v>2.7</c:v>
                </c:pt>
                <c:pt idx="18">
                  <c:v>2.8</c:v>
                </c:pt>
                <c:pt idx="19">
                  <c:v>2.9</c:v>
                </c:pt>
                <c:pt idx="20">
                  <c:v>3</c:v>
                </c:pt>
                <c:pt idx="21">
                  <c:v>3.1</c:v>
                </c:pt>
                <c:pt idx="22">
                  <c:v>3.2</c:v>
                </c:pt>
                <c:pt idx="23">
                  <c:v>3.3</c:v>
                </c:pt>
                <c:pt idx="24">
                  <c:v>3.4</c:v>
                </c:pt>
                <c:pt idx="25">
                  <c:v>3.5</c:v>
                </c:pt>
                <c:pt idx="26">
                  <c:v>3.6</c:v>
                </c:pt>
                <c:pt idx="27">
                  <c:v>3.7</c:v>
                </c:pt>
                <c:pt idx="28">
                  <c:v>3.8</c:v>
                </c:pt>
                <c:pt idx="29">
                  <c:v>3.9</c:v>
                </c:pt>
                <c:pt idx="30">
                  <c:v>4</c:v>
                </c:pt>
              </c:numCache>
            </c:numRef>
          </c:cat>
          <c:val>
            <c:numRef>
              <c:f>CPF_Fran!$AP$228:$AP$258</c:f>
              <c:numCache>
                <c:formatCode>General</c:formatCode>
                <c:ptCount val="31"/>
                <c:pt idx="0">
                  <c:v>65.37</c:v>
                </c:pt>
                <c:pt idx="1">
                  <c:v>65.38</c:v>
                </c:pt>
                <c:pt idx="2">
                  <c:v>65.38</c:v>
                </c:pt>
                <c:pt idx="3">
                  <c:v>65.38</c:v>
                </c:pt>
                <c:pt idx="4">
                  <c:v>65.38</c:v>
                </c:pt>
                <c:pt idx="5">
                  <c:v>65.38</c:v>
                </c:pt>
                <c:pt idx="6">
                  <c:v>65.38</c:v>
                </c:pt>
                <c:pt idx="7">
                  <c:v>65.39</c:v>
                </c:pt>
                <c:pt idx="8">
                  <c:v>65.42</c:v>
                </c:pt>
                <c:pt idx="9">
                  <c:v>65.61</c:v>
                </c:pt>
                <c:pt idx="10">
                  <c:v>65.61</c:v>
                </c:pt>
                <c:pt idx="11">
                  <c:v>65.61</c:v>
                </c:pt>
                <c:pt idx="12">
                  <c:v>65.61</c:v>
                </c:pt>
                <c:pt idx="13">
                  <c:v>65.61</c:v>
                </c:pt>
                <c:pt idx="14">
                  <c:v>65.61</c:v>
                </c:pt>
                <c:pt idx="15">
                  <c:v>65.61</c:v>
                </c:pt>
                <c:pt idx="16">
                  <c:v>65.61</c:v>
                </c:pt>
                <c:pt idx="17">
                  <c:v>65.62</c:v>
                </c:pt>
                <c:pt idx="18">
                  <c:v>65.7</c:v>
                </c:pt>
                <c:pt idx="19">
                  <c:v>65.849999999999994</c:v>
                </c:pt>
                <c:pt idx="20">
                  <c:v>65.849999999999994</c:v>
                </c:pt>
                <c:pt idx="21">
                  <c:v>65.849999999999994</c:v>
                </c:pt>
                <c:pt idx="22">
                  <c:v>65.849999999999994</c:v>
                </c:pt>
                <c:pt idx="23">
                  <c:v>65.849999999999994</c:v>
                </c:pt>
                <c:pt idx="24">
                  <c:v>65.89</c:v>
                </c:pt>
                <c:pt idx="25">
                  <c:v>65.98</c:v>
                </c:pt>
                <c:pt idx="26">
                  <c:v>66.66</c:v>
                </c:pt>
                <c:pt idx="27">
                  <c:v>66.709999999999994</c:v>
                </c:pt>
                <c:pt idx="28">
                  <c:v>66.73</c:v>
                </c:pt>
                <c:pt idx="29">
                  <c:v>66.73</c:v>
                </c:pt>
                <c:pt idx="30">
                  <c:v>66.73</c:v>
                </c:pt>
              </c:numCache>
            </c:numRef>
          </c:val>
          <c:smooth val="0"/>
          <c:extLst>
            <c:ext xmlns:c16="http://schemas.microsoft.com/office/drawing/2014/chart" uri="{C3380CC4-5D6E-409C-BE32-E72D297353CC}">
              <c16:uniqueId val="{00000000-8FFB-4649-B865-835BDEED454E}"/>
            </c:ext>
          </c:extLst>
        </c:ser>
        <c:dLbls>
          <c:showLegendKey val="0"/>
          <c:showVal val="0"/>
          <c:showCatName val="0"/>
          <c:showSerName val="0"/>
          <c:showPercent val="0"/>
          <c:showBubbleSize val="0"/>
        </c:dLbls>
        <c:marker val="1"/>
        <c:smooth val="0"/>
        <c:axId val="2099512144"/>
        <c:axId val="1938079088"/>
      </c:lineChart>
      <c:lineChart>
        <c:grouping val="standard"/>
        <c:varyColors val="0"/>
        <c:ser>
          <c:idx val="1"/>
          <c:order val="1"/>
          <c:tx>
            <c:strRef>
              <c:f>CPF_Fran!$AQ$227</c:f>
              <c:strCache>
                <c:ptCount val="1"/>
                <c:pt idx="0">
                  <c:v>Hydrogen production cost</c:v>
                </c:pt>
              </c:strCache>
            </c:strRef>
          </c:tx>
          <c:spPr>
            <a:ln w="19050" cap="rnd">
              <a:solidFill>
                <a:srgbClr val="C00000">
                  <a:alpha val="0"/>
                </a:srgbClr>
              </a:solidFill>
              <a:round/>
            </a:ln>
            <a:effectLst/>
          </c:spPr>
          <c:marker>
            <c:symbol val="none"/>
          </c:marker>
          <c:cat>
            <c:numRef>
              <c:f>CPF_Fran!$AO$228:$AO$258</c:f>
              <c:numCache>
                <c:formatCode>General</c:formatCode>
                <c:ptCount val="31"/>
                <c:pt idx="0">
                  <c:v>1</c:v>
                </c:pt>
                <c:pt idx="1">
                  <c:v>1.1000000000000001</c:v>
                </c:pt>
                <c:pt idx="2">
                  <c:v>1.2</c:v>
                </c:pt>
                <c:pt idx="3">
                  <c:v>1.3</c:v>
                </c:pt>
                <c:pt idx="4">
                  <c:v>1.4</c:v>
                </c:pt>
                <c:pt idx="5">
                  <c:v>1.5</c:v>
                </c:pt>
                <c:pt idx="6">
                  <c:v>1.6</c:v>
                </c:pt>
                <c:pt idx="7">
                  <c:v>1.7</c:v>
                </c:pt>
                <c:pt idx="8">
                  <c:v>1.8</c:v>
                </c:pt>
                <c:pt idx="9">
                  <c:v>1.9</c:v>
                </c:pt>
                <c:pt idx="10">
                  <c:v>2</c:v>
                </c:pt>
                <c:pt idx="11">
                  <c:v>2.1</c:v>
                </c:pt>
                <c:pt idx="12">
                  <c:v>2.2000000000000002</c:v>
                </c:pt>
                <c:pt idx="13">
                  <c:v>2.2999999999999998</c:v>
                </c:pt>
                <c:pt idx="14">
                  <c:v>2.4</c:v>
                </c:pt>
                <c:pt idx="15">
                  <c:v>2.5</c:v>
                </c:pt>
                <c:pt idx="16">
                  <c:v>2.6</c:v>
                </c:pt>
                <c:pt idx="17">
                  <c:v>2.7</c:v>
                </c:pt>
                <c:pt idx="18">
                  <c:v>2.8</c:v>
                </c:pt>
                <c:pt idx="19">
                  <c:v>2.9</c:v>
                </c:pt>
                <c:pt idx="20">
                  <c:v>3</c:v>
                </c:pt>
                <c:pt idx="21">
                  <c:v>3.1</c:v>
                </c:pt>
                <c:pt idx="22">
                  <c:v>3.2</c:v>
                </c:pt>
                <c:pt idx="23">
                  <c:v>3.3</c:v>
                </c:pt>
                <c:pt idx="24">
                  <c:v>3.4</c:v>
                </c:pt>
                <c:pt idx="25">
                  <c:v>3.5</c:v>
                </c:pt>
                <c:pt idx="26">
                  <c:v>3.6</c:v>
                </c:pt>
                <c:pt idx="27">
                  <c:v>3.7</c:v>
                </c:pt>
                <c:pt idx="28">
                  <c:v>3.8</c:v>
                </c:pt>
                <c:pt idx="29">
                  <c:v>3.9</c:v>
                </c:pt>
                <c:pt idx="30">
                  <c:v>4</c:v>
                </c:pt>
              </c:numCache>
            </c:numRef>
          </c:cat>
          <c:val>
            <c:numRef>
              <c:f>CPF_Fran!$AQ$228:$AQ$258</c:f>
              <c:numCache>
                <c:formatCode>0.00</c:formatCode>
                <c:ptCount val="31"/>
                <c:pt idx="0">
                  <c:v>6.18</c:v>
                </c:pt>
                <c:pt idx="1">
                  <c:v>6.18</c:v>
                </c:pt>
                <c:pt idx="2">
                  <c:v>6.18</c:v>
                </c:pt>
                <c:pt idx="3">
                  <c:v>6.18</c:v>
                </c:pt>
                <c:pt idx="4">
                  <c:v>6.18</c:v>
                </c:pt>
                <c:pt idx="5">
                  <c:v>6.18</c:v>
                </c:pt>
                <c:pt idx="6">
                  <c:v>6.18</c:v>
                </c:pt>
                <c:pt idx="7">
                  <c:v>6.18</c:v>
                </c:pt>
                <c:pt idx="8">
                  <c:v>6.18</c:v>
                </c:pt>
                <c:pt idx="9">
                  <c:v>6.2</c:v>
                </c:pt>
                <c:pt idx="10">
                  <c:v>6.2</c:v>
                </c:pt>
                <c:pt idx="11">
                  <c:v>6.2</c:v>
                </c:pt>
                <c:pt idx="12">
                  <c:v>6.2</c:v>
                </c:pt>
                <c:pt idx="13">
                  <c:v>6.2</c:v>
                </c:pt>
                <c:pt idx="14">
                  <c:v>6.2</c:v>
                </c:pt>
                <c:pt idx="15">
                  <c:v>6.2</c:v>
                </c:pt>
                <c:pt idx="16">
                  <c:v>6.2</c:v>
                </c:pt>
                <c:pt idx="17">
                  <c:v>6.2</c:v>
                </c:pt>
                <c:pt idx="18">
                  <c:v>6.21</c:v>
                </c:pt>
                <c:pt idx="19">
                  <c:v>6.22</c:v>
                </c:pt>
                <c:pt idx="20">
                  <c:v>6.22</c:v>
                </c:pt>
                <c:pt idx="21">
                  <c:v>6.22</c:v>
                </c:pt>
                <c:pt idx="22">
                  <c:v>6.22</c:v>
                </c:pt>
                <c:pt idx="23">
                  <c:v>6.22</c:v>
                </c:pt>
                <c:pt idx="24">
                  <c:v>6.22</c:v>
                </c:pt>
                <c:pt idx="25">
                  <c:v>6.23</c:v>
                </c:pt>
                <c:pt idx="26">
                  <c:v>6.3</c:v>
                </c:pt>
                <c:pt idx="27">
                  <c:v>6.3</c:v>
                </c:pt>
                <c:pt idx="28">
                  <c:v>6.3</c:v>
                </c:pt>
                <c:pt idx="29">
                  <c:v>6.3</c:v>
                </c:pt>
                <c:pt idx="30">
                  <c:v>6.3</c:v>
                </c:pt>
              </c:numCache>
            </c:numRef>
          </c:val>
          <c:smooth val="0"/>
          <c:extLst>
            <c:ext xmlns:c16="http://schemas.microsoft.com/office/drawing/2014/chart" uri="{C3380CC4-5D6E-409C-BE32-E72D297353CC}">
              <c16:uniqueId val="{00000001-8FFB-4649-B865-835BDEED454E}"/>
            </c:ext>
          </c:extLst>
        </c:ser>
        <c:dLbls>
          <c:showLegendKey val="0"/>
          <c:showVal val="0"/>
          <c:showCatName val="0"/>
          <c:showSerName val="0"/>
          <c:showPercent val="0"/>
          <c:showBubbleSize val="0"/>
        </c:dLbls>
        <c:marker val="1"/>
        <c:smooth val="0"/>
        <c:axId val="1728553504"/>
        <c:axId val="1689048928"/>
      </c:lineChart>
      <c:catAx>
        <c:axId val="209951214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r>
                  <a:rPr lang="es-CL"/>
                  <a:t>CPF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crossAx val="1938079088"/>
        <c:crosses val="autoZero"/>
        <c:auto val="1"/>
        <c:lblAlgn val="ctr"/>
        <c:lblOffset val="100"/>
        <c:tickMarkSkip val="1"/>
        <c:noMultiLvlLbl val="0"/>
      </c:catAx>
      <c:valAx>
        <c:axId val="1938079088"/>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r>
                  <a:rPr lang="es-CL"/>
                  <a:t>TDC not including carbon costs [£bn]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crossAx val="2099512144"/>
        <c:crossesAt val="1"/>
        <c:crossBetween val="midCat"/>
      </c:valAx>
      <c:valAx>
        <c:axId val="1689048928"/>
        <c:scaling>
          <c:orientation val="minMax"/>
          <c:max val="6.3254907840000003"/>
          <c:min val="6.0977512619999992"/>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r>
                  <a:rPr lang="es-CL"/>
                  <a:t>Hydrogen production cost [£/kg]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title>
        <c:numFmt formatCode="0.00"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crossAx val="1728553504"/>
        <c:crosses val="max"/>
        <c:crossBetween val="between"/>
        <c:majorUnit val="4.5547904000000007E-2"/>
      </c:valAx>
      <c:catAx>
        <c:axId val="1728553504"/>
        <c:scaling>
          <c:orientation val="minMax"/>
        </c:scaling>
        <c:delete val="1"/>
        <c:axPos val="b"/>
        <c:numFmt formatCode="General" sourceLinked="1"/>
        <c:majorTickMark val="out"/>
        <c:minorTickMark val="none"/>
        <c:tickLblPos val="nextTo"/>
        <c:crossAx val="1689048928"/>
        <c:crosses val="autoZero"/>
        <c:auto val="1"/>
        <c:lblAlgn val="ctr"/>
        <c:lblOffset val="100"/>
        <c:noMultiLvlLbl val="0"/>
      </c:cat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onsolas" panose="020B0609020204030204" pitchFamily="49" charset="0"/>
        </a:defRPr>
      </a:pPr>
      <a:endParaRPr lang="es-C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CPF_Fran!$AW$122</c:f>
              <c:strCache>
                <c:ptCount val="1"/>
                <c:pt idx="0">
                  <c:v>SMR</c:v>
                </c:pt>
              </c:strCache>
            </c:strRef>
          </c:tx>
          <c:spPr>
            <a:solidFill>
              <a:schemeClr val="accent1">
                <a:alpha val="50000"/>
              </a:schemeClr>
            </a:solidFill>
            <a:ln>
              <a:noFill/>
            </a:ln>
            <a:effectLst/>
          </c:spPr>
          <c:cat>
            <c:numRef>
              <c:f>CPF_Fran!$AV$123:$AV$129</c:f>
              <c:numCache>
                <c:formatCode>General</c:formatCode>
                <c:ptCount val="7"/>
                <c:pt idx="0">
                  <c:v>2020</c:v>
                </c:pt>
                <c:pt idx="1">
                  <c:v>2025</c:v>
                </c:pt>
                <c:pt idx="2">
                  <c:v>2030</c:v>
                </c:pt>
                <c:pt idx="3">
                  <c:v>2035</c:v>
                </c:pt>
                <c:pt idx="4">
                  <c:v>2040</c:v>
                </c:pt>
                <c:pt idx="5">
                  <c:v>2045</c:v>
                </c:pt>
                <c:pt idx="6">
                  <c:v>2050</c:v>
                </c:pt>
              </c:numCache>
            </c:numRef>
          </c:cat>
          <c:val>
            <c:numRef>
              <c:f>CPF_Fran!$AW$123:$AW$129</c:f>
              <c:numCache>
                <c:formatCode>0.00E+00</c:formatCode>
                <c:ptCount val="7"/>
                <c:pt idx="0" formatCode="General">
                  <c:v>452.14299999999997</c:v>
                </c:pt>
                <c:pt idx="1">
                  <c:v>1582.5</c:v>
                </c:pt>
                <c:pt idx="2">
                  <c:v>3391.07</c:v>
                </c:pt>
                <c:pt idx="3">
                  <c:v>5651.79</c:v>
                </c:pt>
                <c:pt idx="4">
                  <c:v>5651.79</c:v>
                </c:pt>
                <c:pt idx="5">
                  <c:v>0</c:v>
                </c:pt>
                <c:pt idx="6">
                  <c:v>0</c:v>
                </c:pt>
              </c:numCache>
            </c:numRef>
          </c:val>
          <c:extLst>
            <c:ext xmlns:c16="http://schemas.microsoft.com/office/drawing/2014/chart" uri="{C3380CC4-5D6E-409C-BE32-E72D297353CC}">
              <c16:uniqueId val="{00000000-298D-4675-B7E2-2677715334EA}"/>
            </c:ext>
          </c:extLst>
        </c:ser>
        <c:ser>
          <c:idx val="1"/>
          <c:order val="1"/>
          <c:tx>
            <c:strRef>
              <c:f>CPF_Fran!$AX$122</c:f>
              <c:strCache>
                <c:ptCount val="1"/>
                <c:pt idx="0">
                  <c:v>Wind PEM</c:v>
                </c:pt>
              </c:strCache>
            </c:strRef>
          </c:tx>
          <c:spPr>
            <a:solidFill>
              <a:srgbClr val="C00000">
                <a:alpha val="50000"/>
              </a:srgbClr>
            </a:solidFill>
            <a:ln>
              <a:noFill/>
            </a:ln>
            <a:effectLst/>
          </c:spPr>
          <c:cat>
            <c:numRef>
              <c:f>CPF_Fran!$AV$123:$AV$129</c:f>
              <c:numCache>
                <c:formatCode>General</c:formatCode>
                <c:ptCount val="7"/>
                <c:pt idx="0">
                  <c:v>2020</c:v>
                </c:pt>
                <c:pt idx="1">
                  <c:v>2025</c:v>
                </c:pt>
                <c:pt idx="2">
                  <c:v>2030</c:v>
                </c:pt>
                <c:pt idx="3">
                  <c:v>2035</c:v>
                </c:pt>
                <c:pt idx="4">
                  <c:v>2040</c:v>
                </c:pt>
                <c:pt idx="5">
                  <c:v>2045</c:v>
                </c:pt>
                <c:pt idx="6">
                  <c:v>2050</c:v>
                </c:pt>
              </c:numCache>
            </c:numRef>
          </c:cat>
          <c:val>
            <c:numRef>
              <c:f>CPF_Fran!$AX$123:$AX$129</c:f>
              <c:numCache>
                <c:formatCode>General</c:formatCode>
                <c:ptCount val="7"/>
                <c:pt idx="0">
                  <c:v>0</c:v>
                </c:pt>
                <c:pt idx="1">
                  <c:v>0</c:v>
                </c:pt>
                <c:pt idx="2">
                  <c:v>0</c:v>
                </c:pt>
                <c:pt idx="3">
                  <c:v>0</c:v>
                </c:pt>
                <c:pt idx="4" formatCode="0.00E+00">
                  <c:v>4595.2299999999996</c:v>
                </c:pt>
                <c:pt idx="5" formatCode="0.00E+00">
                  <c:v>22074.9</c:v>
                </c:pt>
                <c:pt idx="6" formatCode="0.00E+00">
                  <c:v>25397.8</c:v>
                </c:pt>
              </c:numCache>
            </c:numRef>
          </c:val>
          <c:extLst>
            <c:ext xmlns:c16="http://schemas.microsoft.com/office/drawing/2014/chart" uri="{C3380CC4-5D6E-409C-BE32-E72D297353CC}">
              <c16:uniqueId val="{00000001-298D-4675-B7E2-2677715334EA}"/>
            </c:ext>
          </c:extLst>
        </c:ser>
        <c:dLbls>
          <c:showLegendKey val="0"/>
          <c:showVal val="0"/>
          <c:showCatName val="0"/>
          <c:showSerName val="0"/>
          <c:showPercent val="0"/>
          <c:showBubbleSize val="0"/>
        </c:dLbls>
        <c:axId val="758841144"/>
        <c:axId val="758839504"/>
      </c:areaChart>
      <c:catAx>
        <c:axId val="7588411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758839504"/>
        <c:crosses val="autoZero"/>
        <c:auto val="1"/>
        <c:lblAlgn val="ctr"/>
        <c:lblOffset val="100"/>
        <c:noMultiLvlLbl val="0"/>
      </c:catAx>
      <c:valAx>
        <c:axId val="758839504"/>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Installed production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758841144"/>
        <c:crosses val="autoZero"/>
        <c:crossBetween val="midCat"/>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zero"/>
    <c:showDLblsOverMax val="0"/>
  </c:chart>
  <c:spPr>
    <a:solidFill>
      <a:schemeClr val="bg1"/>
    </a:solidFill>
    <a:ln w="9525" cap="flat" cmpd="sng" algn="ctr">
      <a:noFill/>
      <a:round/>
    </a:ln>
    <a:effectLst/>
  </c:spPr>
  <c:txPr>
    <a:bodyPr/>
    <a:lstStyle/>
    <a:p>
      <a:pPr>
        <a:defRPr>
          <a:latin typeface="Consolas" panose="020B0609020204030204" pitchFamily="49" charset="0"/>
        </a:defRPr>
      </a:pPr>
      <a:endParaRPr lang="es-C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PSA_LR_Fran!$L$3</c:f>
              <c:strCache>
                <c:ptCount val="1"/>
                <c:pt idx="0">
                  <c:v>Dirty Pipeline</c:v>
                </c:pt>
              </c:strCache>
            </c:strRef>
          </c:tx>
          <c:spPr>
            <a:solidFill>
              <a:schemeClr val="accent1">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PSA_LR_Fran!$L$24:$L$38</c:f>
              <c:numCache>
                <c:formatCode>0.00E+00</c:formatCode>
                <c:ptCount val="15"/>
                <c:pt idx="0">
                  <c:v>5651.79</c:v>
                </c:pt>
                <c:pt idx="1">
                  <c:v>5651.79</c:v>
                </c:pt>
                <c:pt idx="2">
                  <c:v>5638.79</c:v>
                </c:pt>
                <c:pt idx="3">
                  <c:v>5638.79</c:v>
                </c:pt>
                <c:pt idx="4">
                  <c:v>5563.12</c:v>
                </c:pt>
                <c:pt idx="5">
                  <c:v>5563.12</c:v>
                </c:pt>
                <c:pt idx="6">
                  <c:v>5474.96</c:v>
                </c:pt>
                <c:pt idx="7">
                  <c:v>5390.55</c:v>
                </c:pt>
                <c:pt idx="8">
                  <c:v>5238.99</c:v>
                </c:pt>
                <c:pt idx="9">
                  <c:v>5198.05</c:v>
                </c:pt>
                <c:pt idx="10">
                  <c:v>4784.3100000000004</c:v>
                </c:pt>
                <c:pt idx="11">
                  <c:v>4773.91</c:v>
                </c:pt>
                <c:pt idx="12">
                  <c:v>4773.91</c:v>
                </c:pt>
                <c:pt idx="13">
                  <c:v>4622.91</c:v>
                </c:pt>
                <c:pt idx="14">
                  <c:v>4369.8100000000004</c:v>
                </c:pt>
              </c:numCache>
            </c:numRef>
          </c:val>
          <c:extLst>
            <c:ext xmlns:c16="http://schemas.microsoft.com/office/drawing/2014/chart" uri="{C3380CC4-5D6E-409C-BE32-E72D297353CC}">
              <c16:uniqueId val="{00000000-3E1A-46CC-A2F8-723524138308}"/>
            </c:ext>
          </c:extLst>
        </c:ser>
        <c:ser>
          <c:idx val="1"/>
          <c:order val="1"/>
          <c:tx>
            <c:strRef>
              <c:f>PSA_LR_Fran!$M$3</c:f>
              <c:strCache>
                <c:ptCount val="1"/>
                <c:pt idx="0">
                  <c:v>Clean Pipeline</c:v>
                </c:pt>
              </c:strCache>
            </c:strRef>
          </c:tx>
          <c:spPr>
            <a:solidFill>
              <a:srgbClr val="C00000">
                <a:alpha val="50000"/>
              </a:srgb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PSA_LR_Fran!$M$24:$M$38</c:f>
              <c:numCache>
                <c:formatCode>0.00E+00</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c:ext xmlns:c16="http://schemas.microsoft.com/office/drawing/2014/chart" uri="{C3380CC4-5D6E-409C-BE32-E72D297353CC}">
              <c16:uniqueId val="{00000001-3E1A-46CC-A2F8-723524138308}"/>
            </c:ext>
          </c:extLst>
        </c:ser>
        <c:ser>
          <c:idx val="2"/>
          <c:order val="2"/>
          <c:tx>
            <c:strRef>
              <c:f>PSA_LR_Fran!$N$3</c:f>
              <c:strCache>
                <c:ptCount val="1"/>
                <c:pt idx="0">
                  <c:v>Blending GD</c:v>
                </c:pt>
              </c:strCache>
            </c:strRef>
          </c:tx>
          <c:spPr>
            <a:solidFill>
              <a:schemeClr val="accent6">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PSA_LR_Fran!$N$24:$N$38</c:f>
              <c:numCache>
                <c:formatCode>0.00E+00</c:formatCode>
                <c:ptCount val="15"/>
                <c:pt idx="0">
                  <c:v>0</c:v>
                </c:pt>
                <c:pt idx="1">
                  <c:v>12.999799999999999</c:v>
                </c:pt>
                <c:pt idx="2">
                  <c:v>12.999799999999999</c:v>
                </c:pt>
                <c:pt idx="3">
                  <c:v>12.999799999999999</c:v>
                </c:pt>
                <c:pt idx="4">
                  <c:v>88.669899999999998</c:v>
                </c:pt>
                <c:pt idx="5">
                  <c:v>88.669899999999998</c:v>
                </c:pt>
                <c:pt idx="6">
                  <c:v>189.82900000000001</c:v>
                </c:pt>
                <c:pt idx="7">
                  <c:v>261.23200000000003</c:v>
                </c:pt>
                <c:pt idx="8">
                  <c:v>412.79199999999997</c:v>
                </c:pt>
                <c:pt idx="9">
                  <c:v>453.73899999999998</c:v>
                </c:pt>
                <c:pt idx="10">
                  <c:v>867.47500000000002</c:v>
                </c:pt>
                <c:pt idx="11">
                  <c:v>877.87400000000002</c:v>
                </c:pt>
                <c:pt idx="12">
                  <c:v>890.87400000000002</c:v>
                </c:pt>
                <c:pt idx="13">
                  <c:v>1028.8699999999999</c:v>
                </c:pt>
                <c:pt idx="14">
                  <c:v>1281.98</c:v>
                </c:pt>
              </c:numCache>
            </c:numRef>
          </c:val>
          <c:extLst>
            <c:ext xmlns:c16="http://schemas.microsoft.com/office/drawing/2014/chart" uri="{C3380CC4-5D6E-409C-BE32-E72D297353CC}">
              <c16:uniqueId val="{00000002-3E1A-46CC-A2F8-723524138308}"/>
            </c:ext>
          </c:extLst>
        </c:ser>
        <c:dLbls>
          <c:showLegendKey val="0"/>
          <c:showVal val="0"/>
          <c:showCatName val="0"/>
          <c:showSerName val="0"/>
          <c:showPercent val="0"/>
          <c:showBubbleSize val="0"/>
        </c:dLbls>
        <c:gapWidth val="100"/>
        <c:overlap val="100"/>
        <c:axId val="820499152"/>
        <c:axId val="820500464"/>
      </c:barChart>
      <c:catAx>
        <c:axId val="820499152"/>
        <c:scaling>
          <c:orientation val="minMax"/>
        </c:scaling>
        <c:delete val="0"/>
        <c:axPos val="b"/>
        <c:title>
          <c:tx>
            <c:rich>
              <a:bodyPr rot="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r>
                  <a:rPr lang="en-US"/>
                  <a:t>PSA learning rate [%]</a:t>
                </a:r>
              </a:p>
            </c:rich>
          </c:tx>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endParaRPr lang="es-CL"/>
          </a:p>
        </c:txPr>
        <c:crossAx val="820500464"/>
        <c:crosses val="autoZero"/>
        <c:auto val="1"/>
        <c:lblAlgn val="ctr"/>
        <c:lblOffset val="100"/>
        <c:noMultiLvlLbl val="0"/>
      </c:catAx>
      <c:valAx>
        <c:axId val="820500464"/>
        <c:scaling>
          <c:orientation val="minMax"/>
          <c:max val="1200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r>
                  <a:rPr lang="en-US"/>
                  <a:t>Installed local transport capacity [GW]</a:t>
                </a:r>
              </a:p>
            </c:rich>
          </c:tx>
          <c:overlay val="0"/>
          <c:spPr>
            <a:noFill/>
            <a:ln>
              <a:noFill/>
            </a:ln>
            <a:effectLst/>
          </c:spPr>
          <c:txPr>
            <a:bodyPr rot="-540000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endParaRPr lang="es-CL"/>
          </a:p>
        </c:txPr>
        <c:crossAx val="8204991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lang="en-US" sz="900" b="0" i="0" u="none" strike="noStrike" kern="1200" baseline="0">
          <a:solidFill>
            <a:schemeClr val="tx1"/>
          </a:solidFill>
          <a:latin typeface="Consolas" panose="020B0609020204030204" pitchFamily="49" charset="0"/>
          <a:ea typeface="+mn-ea"/>
          <a:cs typeface="+mn-cs"/>
        </a:defRPr>
      </a:pPr>
      <a:endParaRPr lang="es-C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PSA_LR_Fran!$O$3</c:f>
              <c:strCache>
                <c:ptCount val="1"/>
                <c:pt idx="0">
                  <c:v>Dirty Pipeline</c:v>
                </c:pt>
              </c:strCache>
            </c:strRef>
          </c:tx>
          <c:spPr>
            <a:solidFill>
              <a:schemeClr val="accent1">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PSA_LR_Fran!$O$24:$O$38</c:f>
              <c:numCache>
                <c:formatCode>0.00E+00</c:formatCode>
                <c:ptCount val="15"/>
                <c:pt idx="0">
                  <c:v>7823.83</c:v>
                </c:pt>
                <c:pt idx="1">
                  <c:v>7735.67</c:v>
                </c:pt>
                <c:pt idx="2">
                  <c:v>7555.79</c:v>
                </c:pt>
                <c:pt idx="3">
                  <c:v>7133.47</c:v>
                </c:pt>
                <c:pt idx="4">
                  <c:v>6956.35</c:v>
                </c:pt>
                <c:pt idx="5">
                  <c:v>6552.25</c:v>
                </c:pt>
                <c:pt idx="6">
                  <c:v>6338.63</c:v>
                </c:pt>
                <c:pt idx="7">
                  <c:v>6142.75</c:v>
                </c:pt>
                <c:pt idx="8">
                  <c:v>5940.12</c:v>
                </c:pt>
                <c:pt idx="9">
                  <c:v>5659.21</c:v>
                </c:pt>
                <c:pt idx="10">
                  <c:v>5163</c:v>
                </c:pt>
                <c:pt idx="11">
                  <c:v>5051.22</c:v>
                </c:pt>
                <c:pt idx="12">
                  <c:v>5051.22</c:v>
                </c:pt>
                <c:pt idx="13">
                  <c:v>4847.6899999999996</c:v>
                </c:pt>
                <c:pt idx="14">
                  <c:v>4492.34</c:v>
                </c:pt>
              </c:numCache>
            </c:numRef>
          </c:val>
          <c:extLst>
            <c:ext xmlns:c16="http://schemas.microsoft.com/office/drawing/2014/chart" uri="{C3380CC4-5D6E-409C-BE32-E72D297353CC}">
              <c16:uniqueId val="{00000000-434C-4EDD-902D-71BD32AE69CC}"/>
            </c:ext>
          </c:extLst>
        </c:ser>
        <c:ser>
          <c:idx val="1"/>
          <c:order val="1"/>
          <c:tx>
            <c:strRef>
              <c:f>PSA_LR_Fran!$P$3</c:f>
              <c:strCache>
                <c:ptCount val="1"/>
                <c:pt idx="0">
                  <c:v>Clean Pipeline</c:v>
                </c:pt>
              </c:strCache>
            </c:strRef>
          </c:tx>
          <c:spPr>
            <a:solidFill>
              <a:srgbClr val="C00000">
                <a:alpha val="50000"/>
              </a:srgb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PSA_LR_Fran!$P$24:$P$38</c:f>
              <c:numCache>
                <c:formatCode>0.00E+00</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c:ext xmlns:c16="http://schemas.microsoft.com/office/drawing/2014/chart" uri="{C3380CC4-5D6E-409C-BE32-E72D297353CC}">
              <c16:uniqueId val="{00000001-434C-4EDD-902D-71BD32AE69CC}"/>
            </c:ext>
          </c:extLst>
        </c:ser>
        <c:ser>
          <c:idx val="2"/>
          <c:order val="2"/>
          <c:tx>
            <c:strRef>
              <c:f>PSA_LR_Fran!$Q$3</c:f>
              <c:strCache>
                <c:ptCount val="1"/>
                <c:pt idx="0">
                  <c:v>Blending GD</c:v>
                </c:pt>
              </c:strCache>
            </c:strRef>
          </c:tx>
          <c:spPr>
            <a:solidFill>
              <a:schemeClr val="accent6">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PSA_LR_Fran!$Q$24:$Q$38</c:f>
              <c:numCache>
                <c:formatCode>0.00E+00</c:formatCode>
                <c:ptCount val="15"/>
                <c:pt idx="0">
                  <c:v>88.669899999999998</c:v>
                </c:pt>
                <c:pt idx="1">
                  <c:v>176.82900000000001</c:v>
                </c:pt>
                <c:pt idx="2">
                  <c:v>356.70800000000003</c:v>
                </c:pt>
                <c:pt idx="3">
                  <c:v>779.02800000000002</c:v>
                </c:pt>
                <c:pt idx="4">
                  <c:v>956.14499999999998</c:v>
                </c:pt>
                <c:pt idx="5">
                  <c:v>1360.25</c:v>
                </c:pt>
                <c:pt idx="6">
                  <c:v>1573.87</c:v>
                </c:pt>
                <c:pt idx="7">
                  <c:v>1769.75</c:v>
                </c:pt>
                <c:pt idx="8">
                  <c:v>1972.38</c:v>
                </c:pt>
                <c:pt idx="9">
                  <c:v>2253.29</c:v>
                </c:pt>
                <c:pt idx="10">
                  <c:v>2749.5</c:v>
                </c:pt>
                <c:pt idx="11">
                  <c:v>2861.28</c:v>
                </c:pt>
                <c:pt idx="12">
                  <c:v>2861.28</c:v>
                </c:pt>
                <c:pt idx="13">
                  <c:v>3064.81</c:v>
                </c:pt>
                <c:pt idx="14">
                  <c:v>3420.16</c:v>
                </c:pt>
              </c:numCache>
            </c:numRef>
          </c:val>
          <c:extLst>
            <c:ext xmlns:c16="http://schemas.microsoft.com/office/drawing/2014/chart" uri="{C3380CC4-5D6E-409C-BE32-E72D297353CC}">
              <c16:uniqueId val="{00000002-434C-4EDD-902D-71BD32AE69CC}"/>
            </c:ext>
          </c:extLst>
        </c:ser>
        <c:dLbls>
          <c:showLegendKey val="0"/>
          <c:showVal val="0"/>
          <c:showCatName val="0"/>
          <c:showSerName val="0"/>
          <c:showPercent val="0"/>
          <c:showBubbleSize val="0"/>
        </c:dLbls>
        <c:gapWidth val="100"/>
        <c:overlap val="100"/>
        <c:axId val="820499152"/>
        <c:axId val="820500464"/>
      </c:barChart>
      <c:catAx>
        <c:axId val="8204991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r>
                  <a:rPr lang="en-US" sz="900"/>
                  <a:t>PSA learning rate [%]</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20500464"/>
        <c:crosses val="autoZero"/>
        <c:auto val="1"/>
        <c:lblAlgn val="ctr"/>
        <c:lblOffset val="100"/>
        <c:noMultiLvlLbl val="0"/>
      </c:catAx>
      <c:valAx>
        <c:axId val="820500464"/>
        <c:scaling>
          <c:orientation val="minMax"/>
          <c:max val="1200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r>
                  <a:rPr lang="en-US" sz="900"/>
                  <a:t>Installed local transport capacity [GW]</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204991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PSA_LR_Fran!$R$3</c:f>
              <c:strCache>
                <c:ptCount val="1"/>
                <c:pt idx="0">
                  <c:v>Dirty Pipeline</c:v>
                </c:pt>
              </c:strCache>
            </c:strRef>
          </c:tx>
          <c:spPr>
            <a:solidFill>
              <a:schemeClr val="accent1">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PSA_LR_Fran!$R$24:$R$38</c:f>
              <c:numCache>
                <c:formatCode>0.00E+00</c:formatCode>
                <c:ptCount val="15"/>
                <c:pt idx="0">
                  <c:v>9623.36</c:v>
                </c:pt>
                <c:pt idx="1">
                  <c:v>9361.9500000000007</c:v>
                </c:pt>
                <c:pt idx="2">
                  <c:v>8809.7099999999991</c:v>
                </c:pt>
                <c:pt idx="3">
                  <c:v>7910.78</c:v>
                </c:pt>
                <c:pt idx="4">
                  <c:v>7633.33</c:v>
                </c:pt>
                <c:pt idx="5">
                  <c:v>7055.93</c:v>
                </c:pt>
                <c:pt idx="6">
                  <c:v>6679.45</c:v>
                </c:pt>
                <c:pt idx="7">
                  <c:v>6392.32</c:v>
                </c:pt>
                <c:pt idx="8">
                  <c:v>6050.41</c:v>
                </c:pt>
                <c:pt idx="9">
                  <c:v>5769.49</c:v>
                </c:pt>
                <c:pt idx="10">
                  <c:v>5226.2</c:v>
                </c:pt>
                <c:pt idx="11">
                  <c:v>5114.42</c:v>
                </c:pt>
                <c:pt idx="12">
                  <c:v>5114.42</c:v>
                </c:pt>
                <c:pt idx="13">
                  <c:v>4866.63</c:v>
                </c:pt>
                <c:pt idx="14">
                  <c:v>4511.28</c:v>
                </c:pt>
              </c:numCache>
            </c:numRef>
          </c:val>
          <c:extLst>
            <c:ext xmlns:c16="http://schemas.microsoft.com/office/drawing/2014/chart" uri="{C3380CC4-5D6E-409C-BE32-E72D297353CC}">
              <c16:uniqueId val="{00000000-A72B-4681-8452-452BF134FFD4}"/>
            </c:ext>
          </c:extLst>
        </c:ser>
        <c:ser>
          <c:idx val="1"/>
          <c:order val="1"/>
          <c:tx>
            <c:strRef>
              <c:f>PSA_LR_Fran!$S$3</c:f>
              <c:strCache>
                <c:ptCount val="1"/>
                <c:pt idx="0">
                  <c:v>Clean Pipeline</c:v>
                </c:pt>
              </c:strCache>
            </c:strRef>
          </c:tx>
          <c:spPr>
            <a:solidFill>
              <a:srgbClr val="C00000">
                <a:alpha val="50000"/>
              </a:srgb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PSA_LR_Fran!$S$24:$S$38</c:f>
              <c:numCache>
                <c:formatCode>0.00E+00</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c:ext xmlns:c16="http://schemas.microsoft.com/office/drawing/2014/chart" uri="{C3380CC4-5D6E-409C-BE32-E72D297353CC}">
              <c16:uniqueId val="{00000001-A72B-4681-8452-452BF134FFD4}"/>
            </c:ext>
          </c:extLst>
        </c:ser>
        <c:ser>
          <c:idx val="2"/>
          <c:order val="2"/>
          <c:tx>
            <c:strRef>
              <c:f>PSA_LR_Fran!$T$3</c:f>
              <c:strCache>
                <c:ptCount val="1"/>
                <c:pt idx="0">
                  <c:v>Blending GD</c:v>
                </c:pt>
              </c:strCache>
            </c:strRef>
          </c:tx>
          <c:spPr>
            <a:solidFill>
              <a:schemeClr val="accent6">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PSA_LR_Fran!$T$24:$T$38</c:f>
              <c:numCache>
                <c:formatCode>0.00E+00</c:formatCode>
                <c:ptCount val="15"/>
                <c:pt idx="0">
                  <c:v>323.779</c:v>
                </c:pt>
                <c:pt idx="1">
                  <c:v>585.19500000000005</c:v>
                </c:pt>
                <c:pt idx="2">
                  <c:v>1137.43</c:v>
                </c:pt>
                <c:pt idx="3">
                  <c:v>2036.36</c:v>
                </c:pt>
                <c:pt idx="4">
                  <c:v>2313.81</c:v>
                </c:pt>
                <c:pt idx="5">
                  <c:v>2891.21</c:v>
                </c:pt>
                <c:pt idx="6">
                  <c:v>3267.69</c:v>
                </c:pt>
                <c:pt idx="7">
                  <c:v>3554.82</c:v>
                </c:pt>
                <c:pt idx="8">
                  <c:v>3896.73</c:v>
                </c:pt>
                <c:pt idx="9">
                  <c:v>4177.6499999999996</c:v>
                </c:pt>
                <c:pt idx="10">
                  <c:v>4720.9399999999996</c:v>
                </c:pt>
                <c:pt idx="11">
                  <c:v>4832.72</c:v>
                </c:pt>
                <c:pt idx="12">
                  <c:v>4832.72</c:v>
                </c:pt>
                <c:pt idx="13">
                  <c:v>5080.51</c:v>
                </c:pt>
                <c:pt idx="14">
                  <c:v>5435.86</c:v>
                </c:pt>
              </c:numCache>
            </c:numRef>
          </c:val>
          <c:extLst>
            <c:ext xmlns:c16="http://schemas.microsoft.com/office/drawing/2014/chart" uri="{C3380CC4-5D6E-409C-BE32-E72D297353CC}">
              <c16:uniqueId val="{00000002-A72B-4681-8452-452BF134FFD4}"/>
            </c:ext>
          </c:extLst>
        </c:ser>
        <c:dLbls>
          <c:showLegendKey val="0"/>
          <c:showVal val="0"/>
          <c:showCatName val="0"/>
          <c:showSerName val="0"/>
          <c:showPercent val="0"/>
          <c:showBubbleSize val="0"/>
        </c:dLbls>
        <c:gapWidth val="100"/>
        <c:overlap val="100"/>
        <c:axId val="820499152"/>
        <c:axId val="820500464"/>
      </c:barChart>
      <c:catAx>
        <c:axId val="8204991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r>
                  <a:rPr lang="en-US" sz="900"/>
                  <a:t>PSA learning rate [%]</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20500464"/>
        <c:crosses val="autoZero"/>
        <c:auto val="1"/>
        <c:lblAlgn val="ctr"/>
        <c:lblOffset val="100"/>
        <c:noMultiLvlLbl val="0"/>
      </c:catAx>
      <c:valAx>
        <c:axId val="820500464"/>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r>
                  <a:rPr lang="en-US" sz="900"/>
                  <a:t>Installed local transport capacity [GW]</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204991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PSA_LR_Fran!$U$3</c:f>
              <c:strCache>
                <c:ptCount val="1"/>
                <c:pt idx="0">
                  <c:v>Dirty Pipeline</c:v>
                </c:pt>
              </c:strCache>
            </c:strRef>
          </c:tx>
          <c:spPr>
            <a:solidFill>
              <a:schemeClr val="accent1">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PSA_LR_Fran!$U$24:$U$38</c:f>
              <c:numCache>
                <c:formatCode>0.00E+00</c:formatCode>
                <c:ptCount val="15"/>
                <c:pt idx="0">
                  <c:v>8745.66</c:v>
                </c:pt>
                <c:pt idx="1">
                  <c:v>8605.6</c:v>
                </c:pt>
                <c:pt idx="2">
                  <c:v>7844.1</c:v>
                </c:pt>
                <c:pt idx="3">
                  <c:v>6878.31</c:v>
                </c:pt>
                <c:pt idx="4">
                  <c:v>6301.45</c:v>
                </c:pt>
                <c:pt idx="5">
                  <c:v>5199.24</c:v>
                </c:pt>
                <c:pt idx="6">
                  <c:v>4613.84</c:v>
                </c:pt>
                <c:pt idx="7">
                  <c:v>3441.84</c:v>
                </c:pt>
                <c:pt idx="8">
                  <c:v>2940.48</c:v>
                </c:pt>
                <c:pt idx="9">
                  <c:v>2210.4699999999998</c:v>
                </c:pt>
                <c:pt idx="10">
                  <c:v>1826.8</c:v>
                </c:pt>
                <c:pt idx="11">
                  <c:v>1347.7</c:v>
                </c:pt>
                <c:pt idx="12">
                  <c:v>1122.57</c:v>
                </c:pt>
                <c:pt idx="13">
                  <c:v>677.81700000000001</c:v>
                </c:pt>
                <c:pt idx="14">
                  <c:v>369.48</c:v>
                </c:pt>
              </c:numCache>
            </c:numRef>
          </c:val>
          <c:extLst>
            <c:ext xmlns:c16="http://schemas.microsoft.com/office/drawing/2014/chart" uri="{C3380CC4-5D6E-409C-BE32-E72D297353CC}">
              <c16:uniqueId val="{00000000-9D74-4CF8-B329-7B032B69B9D0}"/>
            </c:ext>
          </c:extLst>
        </c:ser>
        <c:ser>
          <c:idx val="1"/>
          <c:order val="1"/>
          <c:tx>
            <c:strRef>
              <c:f>PSA_LR_Fran!$V$3</c:f>
              <c:strCache>
                <c:ptCount val="1"/>
                <c:pt idx="0">
                  <c:v>Clean Pipeline</c:v>
                </c:pt>
              </c:strCache>
            </c:strRef>
          </c:tx>
          <c:spPr>
            <a:solidFill>
              <a:srgbClr val="C00000">
                <a:alpha val="50000"/>
              </a:srgb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PSA_LR_Fran!$V$24:$V$38</c:f>
              <c:numCache>
                <c:formatCode>0.00E+00</c:formatCode>
                <c:ptCount val="15"/>
                <c:pt idx="0">
                  <c:v>1279.9100000000001</c:v>
                </c:pt>
                <c:pt idx="1">
                  <c:v>982.06</c:v>
                </c:pt>
                <c:pt idx="2">
                  <c:v>714.35199999999998</c:v>
                </c:pt>
                <c:pt idx="3">
                  <c:v>373.65800000000002</c:v>
                </c:pt>
                <c:pt idx="4">
                  <c:v>173.72300000000001</c:v>
                </c:pt>
                <c:pt idx="5">
                  <c:v>61.257100000000001</c:v>
                </c:pt>
                <c:pt idx="6">
                  <c:v>0</c:v>
                </c:pt>
                <c:pt idx="7">
                  <c:v>0</c:v>
                </c:pt>
                <c:pt idx="8">
                  <c:v>0</c:v>
                </c:pt>
                <c:pt idx="9">
                  <c:v>0</c:v>
                </c:pt>
                <c:pt idx="10">
                  <c:v>0</c:v>
                </c:pt>
                <c:pt idx="11">
                  <c:v>0</c:v>
                </c:pt>
                <c:pt idx="12">
                  <c:v>0</c:v>
                </c:pt>
                <c:pt idx="13">
                  <c:v>0</c:v>
                </c:pt>
                <c:pt idx="14">
                  <c:v>0</c:v>
                </c:pt>
              </c:numCache>
            </c:numRef>
          </c:val>
          <c:extLst>
            <c:ext xmlns:c16="http://schemas.microsoft.com/office/drawing/2014/chart" uri="{C3380CC4-5D6E-409C-BE32-E72D297353CC}">
              <c16:uniqueId val="{00000001-9D74-4CF8-B329-7B032B69B9D0}"/>
            </c:ext>
          </c:extLst>
        </c:ser>
        <c:ser>
          <c:idx val="2"/>
          <c:order val="2"/>
          <c:tx>
            <c:strRef>
              <c:f>PSA_LR_Fran!$W$3</c:f>
              <c:strCache>
                <c:ptCount val="1"/>
                <c:pt idx="0">
                  <c:v>Blending GD</c:v>
                </c:pt>
              </c:strCache>
            </c:strRef>
          </c:tx>
          <c:spPr>
            <a:solidFill>
              <a:schemeClr val="accent6">
                <a:alpha val="50000"/>
              </a:schemeClr>
            </a:solidFill>
            <a:ln>
              <a:noFill/>
            </a:ln>
            <a:effectLst/>
          </c:spPr>
          <c:invertIfNegative val="0"/>
          <c:cat>
            <c:numRef>
              <c:f>PSA_LR_Fran!$B$24:$B$38</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PSA_LR_Fran!$W$24:$W$38</c:f>
              <c:numCache>
                <c:formatCode>0.00E+00</c:formatCode>
                <c:ptCount val="15"/>
                <c:pt idx="0">
                  <c:v>1278</c:v>
                </c:pt>
                <c:pt idx="1">
                  <c:v>1715.91</c:v>
                </c:pt>
                <c:pt idx="2">
                  <c:v>2745.11</c:v>
                </c:pt>
                <c:pt idx="3">
                  <c:v>4051.6</c:v>
                </c:pt>
                <c:pt idx="4">
                  <c:v>4828.3999999999996</c:v>
                </c:pt>
                <c:pt idx="5">
                  <c:v>6043.08</c:v>
                </c:pt>
                <c:pt idx="6">
                  <c:v>6689.73</c:v>
                </c:pt>
                <c:pt idx="7">
                  <c:v>7861.73</c:v>
                </c:pt>
                <c:pt idx="8">
                  <c:v>8363.09</c:v>
                </c:pt>
                <c:pt idx="9">
                  <c:v>9093.11</c:v>
                </c:pt>
                <c:pt idx="10">
                  <c:v>9476.77</c:v>
                </c:pt>
                <c:pt idx="11">
                  <c:v>9955.8799999999992</c:v>
                </c:pt>
                <c:pt idx="12">
                  <c:v>10181</c:v>
                </c:pt>
                <c:pt idx="13">
                  <c:v>10625.8</c:v>
                </c:pt>
                <c:pt idx="14">
                  <c:v>10934.1</c:v>
                </c:pt>
              </c:numCache>
            </c:numRef>
          </c:val>
          <c:extLst>
            <c:ext xmlns:c16="http://schemas.microsoft.com/office/drawing/2014/chart" uri="{C3380CC4-5D6E-409C-BE32-E72D297353CC}">
              <c16:uniqueId val="{00000002-9D74-4CF8-B329-7B032B69B9D0}"/>
            </c:ext>
          </c:extLst>
        </c:ser>
        <c:dLbls>
          <c:showLegendKey val="0"/>
          <c:showVal val="0"/>
          <c:showCatName val="0"/>
          <c:showSerName val="0"/>
          <c:showPercent val="0"/>
          <c:showBubbleSize val="0"/>
        </c:dLbls>
        <c:gapWidth val="100"/>
        <c:overlap val="100"/>
        <c:axId val="820499152"/>
        <c:axId val="820500464"/>
      </c:barChart>
      <c:catAx>
        <c:axId val="8204991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r>
                  <a:rPr lang="en-US" sz="900"/>
                  <a:t>PSA learning rate [%]</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20500464"/>
        <c:crosses val="autoZero"/>
        <c:auto val="1"/>
        <c:lblAlgn val="ctr"/>
        <c:lblOffset val="100"/>
        <c:noMultiLvlLbl val="0"/>
      </c:catAx>
      <c:valAx>
        <c:axId val="820500464"/>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r>
                  <a:rPr lang="en-US" sz="900"/>
                  <a:t>Installed local transport capacity [GW]</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204991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CPF_Fran!$AP$227</c:f>
              <c:strCache>
                <c:ptCount val="1"/>
                <c:pt idx="0">
                  <c:v>TDC not including carbon costs</c:v>
                </c:pt>
              </c:strCache>
            </c:strRef>
          </c:tx>
          <c:spPr>
            <a:ln w="19050" cap="rnd">
              <a:solidFill>
                <a:srgbClr val="C00000">
                  <a:alpha val="50000"/>
                </a:srgbClr>
              </a:solidFill>
              <a:round/>
            </a:ln>
            <a:effectLst/>
          </c:spPr>
          <c:marker>
            <c:symbol val="none"/>
          </c:marker>
          <c:cat>
            <c:numRef>
              <c:f>CPF_Fran!$AW$256:$AW$270</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CPF_Fran!$AX$256:$AX$270</c:f>
              <c:numCache>
                <c:formatCode>_-* #,##0.0_-;\-* #,##0.0_-;_-* "-"??_-;_-@_-</c:formatCode>
                <c:ptCount val="15"/>
                <c:pt idx="0">
                  <c:v>71.2</c:v>
                </c:pt>
                <c:pt idx="1">
                  <c:v>70.099999999999994</c:v>
                </c:pt>
                <c:pt idx="2">
                  <c:v>69.2</c:v>
                </c:pt>
                <c:pt idx="3">
                  <c:v>68.3</c:v>
                </c:pt>
                <c:pt idx="4">
                  <c:v>67.400000000000006</c:v>
                </c:pt>
                <c:pt idx="5">
                  <c:v>66.7</c:v>
                </c:pt>
                <c:pt idx="6">
                  <c:v>66</c:v>
                </c:pt>
                <c:pt idx="7">
                  <c:v>65.400000000000006</c:v>
                </c:pt>
                <c:pt idx="8">
                  <c:v>64.8</c:v>
                </c:pt>
                <c:pt idx="9">
                  <c:v>64.400000000000006</c:v>
                </c:pt>
                <c:pt idx="10">
                  <c:v>63.9</c:v>
                </c:pt>
                <c:pt idx="11">
                  <c:v>63.5</c:v>
                </c:pt>
                <c:pt idx="12">
                  <c:v>63.2</c:v>
                </c:pt>
                <c:pt idx="13">
                  <c:v>62.9</c:v>
                </c:pt>
                <c:pt idx="14">
                  <c:v>62.6</c:v>
                </c:pt>
              </c:numCache>
            </c:numRef>
          </c:val>
          <c:smooth val="0"/>
          <c:extLst>
            <c:ext xmlns:c16="http://schemas.microsoft.com/office/drawing/2014/chart" uri="{C3380CC4-5D6E-409C-BE32-E72D297353CC}">
              <c16:uniqueId val="{00000000-523E-4161-A0EA-17FF2E4ECBBD}"/>
            </c:ext>
          </c:extLst>
        </c:ser>
        <c:dLbls>
          <c:showLegendKey val="0"/>
          <c:showVal val="0"/>
          <c:showCatName val="0"/>
          <c:showSerName val="0"/>
          <c:showPercent val="0"/>
          <c:showBubbleSize val="0"/>
        </c:dLbls>
        <c:marker val="1"/>
        <c:smooth val="0"/>
        <c:axId val="2099512144"/>
        <c:axId val="1938079088"/>
      </c:lineChart>
      <c:lineChart>
        <c:grouping val="standard"/>
        <c:varyColors val="0"/>
        <c:ser>
          <c:idx val="1"/>
          <c:order val="1"/>
          <c:tx>
            <c:strRef>
              <c:f>CPF_Fran!$AQ$227</c:f>
              <c:strCache>
                <c:ptCount val="1"/>
                <c:pt idx="0">
                  <c:v>Hydrogen production cost</c:v>
                </c:pt>
              </c:strCache>
            </c:strRef>
          </c:tx>
          <c:spPr>
            <a:ln w="19050" cap="rnd">
              <a:solidFill>
                <a:sysClr val="windowText" lastClr="000000">
                  <a:alpha val="0"/>
                </a:sysClr>
              </a:solidFill>
              <a:round/>
            </a:ln>
            <a:effectLst/>
          </c:spPr>
          <c:marker>
            <c:symbol val="none"/>
          </c:marker>
          <c:cat>
            <c:numRef>
              <c:f>CPF_Fran!$AW$256:$AW$270</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CPF_Fran!$AY$256:$AY$270</c:f>
              <c:numCache>
                <c:formatCode>_(* #,##0.00_);_(* \(#,##0.00\);_(* "-"??_);_(@_)</c:formatCode>
                <c:ptCount val="15"/>
                <c:pt idx="0">
                  <c:v>6.7311610830656265</c:v>
                </c:pt>
                <c:pt idx="1">
                  <c:v>6.6271684258834318</c:v>
                </c:pt>
                <c:pt idx="2">
                  <c:v>6.542083524552547</c:v>
                </c:pt>
                <c:pt idx="3">
                  <c:v>6.4569986232216605</c:v>
                </c:pt>
                <c:pt idx="4">
                  <c:v>6.3719137218907758</c:v>
                </c:pt>
                <c:pt idx="5">
                  <c:v>6.3057365764111974</c:v>
                </c:pt>
                <c:pt idx="6">
                  <c:v>6.2395594309316191</c:v>
                </c:pt>
                <c:pt idx="7">
                  <c:v>6.1828361633776954</c:v>
                </c:pt>
                <c:pt idx="8">
                  <c:v>6.1261128958237716</c:v>
                </c:pt>
                <c:pt idx="9">
                  <c:v>6.0882973841211561</c:v>
                </c:pt>
                <c:pt idx="10">
                  <c:v>6.041027994492886</c:v>
                </c:pt>
                <c:pt idx="11">
                  <c:v>6.0032124827902704</c:v>
                </c:pt>
                <c:pt idx="12">
                  <c:v>5.9748508490133085</c:v>
                </c:pt>
                <c:pt idx="13">
                  <c:v>5.9464892152363458</c:v>
                </c:pt>
                <c:pt idx="14">
                  <c:v>5.9181275814593848</c:v>
                </c:pt>
              </c:numCache>
            </c:numRef>
          </c:val>
          <c:smooth val="0"/>
          <c:extLst>
            <c:ext xmlns:c16="http://schemas.microsoft.com/office/drawing/2014/chart" uri="{C3380CC4-5D6E-409C-BE32-E72D297353CC}">
              <c16:uniqueId val="{00000001-523E-4161-A0EA-17FF2E4ECBBD}"/>
            </c:ext>
          </c:extLst>
        </c:ser>
        <c:dLbls>
          <c:showLegendKey val="0"/>
          <c:showVal val="0"/>
          <c:showCatName val="0"/>
          <c:showSerName val="0"/>
          <c:showPercent val="0"/>
          <c:showBubbleSize val="0"/>
        </c:dLbls>
        <c:marker val="1"/>
        <c:smooth val="0"/>
        <c:axId val="1728553504"/>
        <c:axId val="1689048928"/>
      </c:lineChart>
      <c:catAx>
        <c:axId val="209951214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r>
                  <a:rPr lang="es-CL"/>
                  <a:t>PSA</a:t>
                </a:r>
                <a:r>
                  <a:rPr lang="es-CL" baseline="0"/>
                  <a:t> Learning rate (%)</a:t>
                </a:r>
                <a:endParaRPr lang="es-CL"/>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crossAx val="1938079088"/>
        <c:crosses val="autoZero"/>
        <c:auto val="1"/>
        <c:lblAlgn val="ctr"/>
        <c:lblOffset val="100"/>
        <c:tickMarkSkip val="1"/>
        <c:noMultiLvlLbl val="0"/>
      </c:catAx>
      <c:valAx>
        <c:axId val="1938079088"/>
        <c:scaling>
          <c:orientation val="minMax"/>
          <c:min val="62"/>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r>
                  <a:rPr lang="es-CL"/>
                  <a:t>TDC not including carbon costs [£bn]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title>
        <c:numFmt formatCode="#,##0" sourceLinked="0"/>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crossAx val="2099512144"/>
        <c:crossesAt val="1"/>
        <c:crossBetween val="midCat"/>
      </c:valAx>
      <c:valAx>
        <c:axId val="1689048928"/>
        <c:scaling>
          <c:orientation val="minMax"/>
          <c:max val="6.8067921060000005"/>
          <c:min val="5.8614043139999996"/>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r>
                  <a:rPr lang="es-CL"/>
                  <a:t>Hydrogen production cost [£/kg]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title>
        <c:numFmt formatCode="_(* #,##0.00_);_(* \(#,##0.00\);_(* &quot;-&quot;??_);_(@_)"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olas" panose="020B0609020204030204" pitchFamily="49" charset="0"/>
                <a:ea typeface="+mn-ea"/>
                <a:cs typeface="+mn-cs"/>
              </a:defRPr>
            </a:pPr>
            <a:endParaRPr lang="es-CL"/>
          </a:p>
        </c:txPr>
        <c:crossAx val="1728553504"/>
        <c:crosses val="max"/>
        <c:crossBetween val="between"/>
        <c:majorUnit val="9.4538779300000028E-2"/>
      </c:valAx>
      <c:catAx>
        <c:axId val="1728553504"/>
        <c:scaling>
          <c:orientation val="minMax"/>
        </c:scaling>
        <c:delete val="1"/>
        <c:axPos val="b"/>
        <c:numFmt formatCode="General" sourceLinked="1"/>
        <c:majorTickMark val="out"/>
        <c:minorTickMark val="none"/>
        <c:tickLblPos val="nextTo"/>
        <c:crossAx val="1689048928"/>
        <c:crosses val="autoZero"/>
        <c:auto val="1"/>
        <c:lblAlgn val="ctr"/>
        <c:lblOffset val="100"/>
        <c:noMultiLvlLbl val="0"/>
      </c:cat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onsolas" panose="020B0609020204030204" pitchFamily="49" charset="0"/>
        </a:defRPr>
      </a:pPr>
      <a:endParaRPr lang="es-C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Mem_LR!$S$62</c:f>
              <c:strCache>
                <c:ptCount val="1"/>
                <c:pt idx="0">
                  <c:v>12%</c:v>
                </c:pt>
              </c:strCache>
            </c:strRef>
          </c:tx>
          <c:spPr>
            <a:ln w="19050" cap="rnd">
              <a:solidFill>
                <a:schemeClr val="accent1"/>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Mem_LR!$S$63:$S$66</c:f>
              <c:numCache>
                <c:formatCode>General</c:formatCode>
                <c:ptCount val="4"/>
                <c:pt idx="0">
                  <c:v>0</c:v>
                </c:pt>
                <c:pt idx="1">
                  <c:v>3.3015094340576472E-2</c:v>
                </c:pt>
                <c:pt idx="2">
                  <c:v>0.1047497069509427</c:v>
                </c:pt>
                <c:pt idx="3">
                  <c:v>0.2290514892106672</c:v>
                </c:pt>
              </c:numCache>
            </c:numRef>
          </c:yVal>
          <c:smooth val="0"/>
          <c:extLst>
            <c:ext xmlns:c16="http://schemas.microsoft.com/office/drawing/2014/chart" uri="{C3380CC4-5D6E-409C-BE32-E72D297353CC}">
              <c16:uniqueId val="{00000000-460A-4425-9329-445ACE57EB8C}"/>
            </c:ext>
          </c:extLst>
        </c:ser>
        <c:ser>
          <c:idx val="1"/>
          <c:order val="1"/>
          <c:tx>
            <c:strRef>
              <c:f>Mem_LR!$T$62</c:f>
              <c:strCache>
                <c:ptCount val="1"/>
                <c:pt idx="0">
                  <c:v>13%</c:v>
                </c:pt>
              </c:strCache>
            </c:strRef>
          </c:tx>
          <c:spPr>
            <a:ln w="19050" cap="rnd">
              <a:solidFill>
                <a:schemeClr val="accent2"/>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Mem_LR!$T$63:$T$66</c:f>
              <c:numCache>
                <c:formatCode>General</c:formatCode>
                <c:ptCount val="4"/>
                <c:pt idx="0">
                  <c:v>0</c:v>
                </c:pt>
                <c:pt idx="1">
                  <c:v>5.2169591868665557E-2</c:v>
                </c:pt>
                <c:pt idx="2">
                  <c:v>0.13364833143161611</c:v>
                </c:pt>
                <c:pt idx="3">
                  <c:v>0.25855632184233446</c:v>
                </c:pt>
              </c:numCache>
            </c:numRef>
          </c:yVal>
          <c:smooth val="0"/>
          <c:extLst>
            <c:ext xmlns:c16="http://schemas.microsoft.com/office/drawing/2014/chart" uri="{C3380CC4-5D6E-409C-BE32-E72D297353CC}">
              <c16:uniqueId val="{00000001-460A-4425-9329-445ACE57EB8C}"/>
            </c:ext>
          </c:extLst>
        </c:ser>
        <c:ser>
          <c:idx val="2"/>
          <c:order val="2"/>
          <c:tx>
            <c:strRef>
              <c:f>Mem_LR!$U$62</c:f>
              <c:strCache>
                <c:ptCount val="1"/>
                <c:pt idx="0">
                  <c:v>14%</c:v>
                </c:pt>
              </c:strCache>
            </c:strRef>
          </c:tx>
          <c:spPr>
            <a:ln w="19050" cap="rnd">
              <a:solidFill>
                <a:schemeClr val="accent3"/>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Mem_LR!$U$63:$U$66</c:f>
              <c:numCache>
                <c:formatCode>General</c:formatCode>
                <c:ptCount val="4"/>
                <c:pt idx="0">
                  <c:v>0</c:v>
                </c:pt>
                <c:pt idx="1">
                  <c:v>5.2169591868665557E-2</c:v>
                </c:pt>
                <c:pt idx="2">
                  <c:v>0.13364833143161611</c:v>
                </c:pt>
                <c:pt idx="3">
                  <c:v>0.25855632184233446</c:v>
                </c:pt>
              </c:numCache>
            </c:numRef>
          </c:yVal>
          <c:smooth val="0"/>
          <c:extLst>
            <c:ext xmlns:c16="http://schemas.microsoft.com/office/drawing/2014/chart" uri="{C3380CC4-5D6E-409C-BE32-E72D297353CC}">
              <c16:uniqueId val="{00000002-460A-4425-9329-445ACE57EB8C}"/>
            </c:ext>
          </c:extLst>
        </c:ser>
        <c:ser>
          <c:idx val="3"/>
          <c:order val="3"/>
          <c:tx>
            <c:strRef>
              <c:f>Mem_LR!$V$62</c:f>
              <c:strCache>
                <c:ptCount val="1"/>
                <c:pt idx="0">
                  <c:v>15%</c:v>
                </c:pt>
              </c:strCache>
            </c:strRef>
          </c:tx>
          <c:spPr>
            <a:ln w="19050" cap="rnd">
              <a:solidFill>
                <a:schemeClr val="accent4"/>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Mem_LR!$V$63:$V$66</c:f>
              <c:numCache>
                <c:formatCode>General</c:formatCode>
                <c:ptCount val="4"/>
                <c:pt idx="0">
                  <c:v>0</c:v>
                </c:pt>
                <c:pt idx="1">
                  <c:v>5.8987558797795742E-2</c:v>
                </c:pt>
                <c:pt idx="2">
                  <c:v>0.14336985304318628</c:v>
                </c:pt>
                <c:pt idx="3">
                  <c:v>0.26711137604234841</c:v>
                </c:pt>
              </c:numCache>
            </c:numRef>
          </c:yVal>
          <c:smooth val="0"/>
          <c:extLst>
            <c:ext xmlns:c16="http://schemas.microsoft.com/office/drawing/2014/chart" uri="{C3380CC4-5D6E-409C-BE32-E72D297353CC}">
              <c16:uniqueId val="{00000003-460A-4425-9329-445ACE57EB8C}"/>
            </c:ext>
          </c:extLst>
        </c:ser>
        <c:ser>
          <c:idx val="4"/>
          <c:order val="4"/>
          <c:tx>
            <c:strRef>
              <c:f>Mem_LR!$W$62</c:f>
              <c:strCache>
                <c:ptCount val="1"/>
                <c:pt idx="0">
                  <c:v>16%</c:v>
                </c:pt>
              </c:strCache>
            </c:strRef>
          </c:tx>
          <c:spPr>
            <a:ln w="19050" cap="rnd">
              <a:solidFill>
                <a:schemeClr val="accent5"/>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Mem_LR!$W$63:$W$66</c:f>
              <c:numCache>
                <c:formatCode>General</c:formatCode>
                <c:ptCount val="4"/>
                <c:pt idx="0">
                  <c:v>0</c:v>
                </c:pt>
                <c:pt idx="1">
                  <c:v>5.8987558797795742E-2</c:v>
                </c:pt>
                <c:pt idx="2">
                  <c:v>0.1619721849697501</c:v>
                </c:pt>
                <c:pt idx="3">
                  <c:v>0.28348143709036144</c:v>
                </c:pt>
              </c:numCache>
            </c:numRef>
          </c:yVal>
          <c:smooth val="0"/>
          <c:extLst>
            <c:ext xmlns:c16="http://schemas.microsoft.com/office/drawing/2014/chart" uri="{C3380CC4-5D6E-409C-BE32-E72D297353CC}">
              <c16:uniqueId val="{00000004-460A-4425-9329-445ACE57EB8C}"/>
            </c:ext>
          </c:extLst>
        </c:ser>
        <c:ser>
          <c:idx val="5"/>
          <c:order val="5"/>
          <c:tx>
            <c:strRef>
              <c:f>Mem_LR!$X$62</c:f>
              <c:strCache>
                <c:ptCount val="1"/>
                <c:pt idx="0">
                  <c:v>17%</c:v>
                </c:pt>
              </c:strCache>
            </c:strRef>
          </c:tx>
          <c:spPr>
            <a:ln w="19050" cap="rnd">
              <a:solidFill>
                <a:schemeClr val="accent6"/>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Mem_LR!$X$63:$X$66</c:f>
              <c:numCache>
                <c:formatCode>General</c:formatCode>
                <c:ptCount val="4"/>
                <c:pt idx="0">
                  <c:v>0</c:v>
                </c:pt>
                <c:pt idx="1">
                  <c:v>5.8987558797795742E-2</c:v>
                </c:pt>
                <c:pt idx="2">
                  <c:v>0.1619721849697501</c:v>
                </c:pt>
                <c:pt idx="3">
                  <c:v>0.28348143709036144</c:v>
                </c:pt>
              </c:numCache>
            </c:numRef>
          </c:yVal>
          <c:smooth val="0"/>
          <c:extLst>
            <c:ext xmlns:c16="http://schemas.microsoft.com/office/drawing/2014/chart" uri="{C3380CC4-5D6E-409C-BE32-E72D297353CC}">
              <c16:uniqueId val="{00000005-460A-4425-9329-445ACE57EB8C}"/>
            </c:ext>
          </c:extLst>
        </c:ser>
        <c:ser>
          <c:idx val="6"/>
          <c:order val="6"/>
          <c:tx>
            <c:strRef>
              <c:f>Mem_LR!$Y$62</c:f>
              <c:strCache>
                <c:ptCount val="1"/>
                <c:pt idx="0">
                  <c:v>18%</c:v>
                </c:pt>
              </c:strCache>
            </c:strRef>
          </c:tx>
          <c:spPr>
            <a:ln w="19050" cap="rnd">
              <a:solidFill>
                <a:schemeClr val="accent1">
                  <a:lumMod val="6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Mem_LR!$Y$63:$Y$66</c:f>
              <c:numCache>
                <c:formatCode>General</c:formatCode>
                <c:ptCount val="4"/>
                <c:pt idx="0">
                  <c:v>0</c:v>
                </c:pt>
                <c:pt idx="1">
                  <c:v>9.8455380336273074E-2</c:v>
                </c:pt>
                <c:pt idx="2">
                  <c:v>0.19336713869514255</c:v>
                </c:pt>
                <c:pt idx="3">
                  <c:v>0.31110873624726765</c:v>
                </c:pt>
              </c:numCache>
            </c:numRef>
          </c:yVal>
          <c:smooth val="0"/>
          <c:extLst>
            <c:ext xmlns:c16="http://schemas.microsoft.com/office/drawing/2014/chart" uri="{C3380CC4-5D6E-409C-BE32-E72D297353CC}">
              <c16:uniqueId val="{00000006-460A-4425-9329-445ACE57EB8C}"/>
            </c:ext>
          </c:extLst>
        </c:ser>
        <c:ser>
          <c:idx val="7"/>
          <c:order val="7"/>
          <c:tx>
            <c:strRef>
              <c:f>Mem_LR!$Z$62</c:f>
              <c:strCache>
                <c:ptCount val="1"/>
                <c:pt idx="0">
                  <c:v>19%</c:v>
                </c:pt>
              </c:strCache>
            </c:strRef>
          </c:tx>
          <c:spPr>
            <a:ln w="19050" cap="rnd">
              <a:solidFill>
                <a:schemeClr val="accent2">
                  <a:lumMod val="6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Mem_LR!$Z$63:$Z$66</c:f>
              <c:numCache>
                <c:formatCode>General</c:formatCode>
                <c:ptCount val="4"/>
                <c:pt idx="0">
                  <c:v>0</c:v>
                </c:pt>
                <c:pt idx="1">
                  <c:v>0.11701246688963127</c:v>
                </c:pt>
                <c:pt idx="2">
                  <c:v>0.20356584549343282</c:v>
                </c:pt>
                <c:pt idx="3">
                  <c:v>0.32008377528802401</c:v>
                </c:pt>
              </c:numCache>
            </c:numRef>
          </c:yVal>
          <c:smooth val="0"/>
          <c:extLst>
            <c:ext xmlns:c16="http://schemas.microsoft.com/office/drawing/2014/chart" uri="{C3380CC4-5D6E-409C-BE32-E72D297353CC}">
              <c16:uniqueId val="{00000007-460A-4425-9329-445ACE57EB8C}"/>
            </c:ext>
          </c:extLst>
        </c:ser>
        <c:ser>
          <c:idx val="8"/>
          <c:order val="8"/>
          <c:tx>
            <c:strRef>
              <c:f>Mem_LR!$AA$62</c:f>
              <c:strCache>
                <c:ptCount val="1"/>
                <c:pt idx="0">
                  <c:v>20%</c:v>
                </c:pt>
              </c:strCache>
            </c:strRef>
          </c:tx>
          <c:spPr>
            <a:ln w="19050" cap="rnd">
              <a:solidFill>
                <a:schemeClr val="accent3">
                  <a:lumMod val="6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Mem_LR!$AA$63:$AA$66</c:f>
              <c:numCache>
                <c:formatCode>General</c:formatCode>
                <c:ptCount val="4"/>
                <c:pt idx="0">
                  <c:v>0</c:v>
                </c:pt>
                <c:pt idx="1">
                  <c:v>0.11127641929333532</c:v>
                </c:pt>
                <c:pt idx="2">
                  <c:v>0.20356584549343282</c:v>
                </c:pt>
                <c:pt idx="3">
                  <c:v>0.32008377528802401</c:v>
                </c:pt>
              </c:numCache>
            </c:numRef>
          </c:yVal>
          <c:smooth val="0"/>
          <c:extLst>
            <c:ext xmlns:c16="http://schemas.microsoft.com/office/drawing/2014/chart" uri="{C3380CC4-5D6E-409C-BE32-E72D297353CC}">
              <c16:uniqueId val="{00000008-460A-4425-9329-445ACE57EB8C}"/>
            </c:ext>
          </c:extLst>
        </c:ser>
        <c:ser>
          <c:idx val="9"/>
          <c:order val="9"/>
          <c:tx>
            <c:strRef>
              <c:f>Mem_LR!$AB$62</c:f>
              <c:strCache>
                <c:ptCount val="1"/>
                <c:pt idx="0">
                  <c:v>21%</c:v>
                </c:pt>
              </c:strCache>
            </c:strRef>
          </c:tx>
          <c:spPr>
            <a:ln w="19050" cap="rnd">
              <a:solidFill>
                <a:schemeClr val="accent4">
                  <a:lumMod val="6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Mem_LR!$AB$63:$AB$66</c:f>
              <c:numCache>
                <c:formatCode>General</c:formatCode>
                <c:ptCount val="4"/>
                <c:pt idx="0">
                  <c:v>0</c:v>
                </c:pt>
                <c:pt idx="1">
                  <c:v>0.11127641929333532</c:v>
                </c:pt>
                <c:pt idx="2">
                  <c:v>0.20356584549343282</c:v>
                </c:pt>
                <c:pt idx="3">
                  <c:v>0.32685853811736548</c:v>
                </c:pt>
              </c:numCache>
            </c:numRef>
          </c:yVal>
          <c:smooth val="0"/>
          <c:extLst>
            <c:ext xmlns:c16="http://schemas.microsoft.com/office/drawing/2014/chart" uri="{C3380CC4-5D6E-409C-BE32-E72D297353CC}">
              <c16:uniqueId val="{00000009-460A-4425-9329-445ACE57EB8C}"/>
            </c:ext>
          </c:extLst>
        </c:ser>
        <c:ser>
          <c:idx val="10"/>
          <c:order val="10"/>
          <c:tx>
            <c:strRef>
              <c:f>Mem_LR!$AC$62</c:f>
              <c:strCache>
                <c:ptCount val="1"/>
                <c:pt idx="0">
                  <c:v>22%</c:v>
                </c:pt>
              </c:strCache>
            </c:strRef>
          </c:tx>
          <c:spPr>
            <a:ln w="19050" cap="rnd">
              <a:solidFill>
                <a:schemeClr val="accent5">
                  <a:lumMod val="6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Mem_LR!$AC$63:$AC$66</c:f>
              <c:numCache>
                <c:formatCode>General</c:formatCode>
                <c:ptCount val="4"/>
                <c:pt idx="0">
                  <c:v>0</c:v>
                </c:pt>
                <c:pt idx="1">
                  <c:v>0.11127641929333532</c:v>
                </c:pt>
                <c:pt idx="2">
                  <c:v>0.20907718198396724</c:v>
                </c:pt>
                <c:pt idx="3">
                  <c:v>0.33170862466841211</c:v>
                </c:pt>
              </c:numCache>
            </c:numRef>
          </c:yVal>
          <c:smooth val="0"/>
          <c:extLst>
            <c:ext xmlns:c16="http://schemas.microsoft.com/office/drawing/2014/chart" uri="{C3380CC4-5D6E-409C-BE32-E72D297353CC}">
              <c16:uniqueId val="{0000000A-460A-4425-9329-445ACE57EB8C}"/>
            </c:ext>
          </c:extLst>
        </c:ser>
        <c:ser>
          <c:idx val="11"/>
          <c:order val="11"/>
          <c:tx>
            <c:strRef>
              <c:f>Mem_LR!$AD$62</c:f>
              <c:strCache>
                <c:ptCount val="1"/>
                <c:pt idx="0">
                  <c:v>23%</c:v>
                </c:pt>
              </c:strCache>
            </c:strRef>
          </c:tx>
          <c:spPr>
            <a:ln w="19050" cap="rnd">
              <a:solidFill>
                <a:schemeClr val="accent6">
                  <a:lumMod val="6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Mem_LR!$AD$63:$AD$66</c:f>
              <c:numCache>
                <c:formatCode>General</c:formatCode>
                <c:ptCount val="4"/>
                <c:pt idx="0">
                  <c:v>0</c:v>
                </c:pt>
                <c:pt idx="1">
                  <c:v>0.11127641929333532</c:v>
                </c:pt>
                <c:pt idx="2">
                  <c:v>0.20907718198396724</c:v>
                </c:pt>
                <c:pt idx="3">
                  <c:v>0.33170862466841211</c:v>
                </c:pt>
              </c:numCache>
            </c:numRef>
          </c:yVal>
          <c:smooth val="0"/>
          <c:extLst>
            <c:ext xmlns:c16="http://schemas.microsoft.com/office/drawing/2014/chart" uri="{C3380CC4-5D6E-409C-BE32-E72D297353CC}">
              <c16:uniqueId val="{0000000B-460A-4425-9329-445ACE57EB8C}"/>
            </c:ext>
          </c:extLst>
        </c:ser>
        <c:ser>
          <c:idx val="12"/>
          <c:order val="12"/>
          <c:tx>
            <c:strRef>
              <c:f>Mem_LR!$AE$62</c:f>
              <c:strCache>
                <c:ptCount val="1"/>
                <c:pt idx="0">
                  <c:v>24%</c:v>
                </c:pt>
              </c:strCache>
            </c:strRef>
          </c:tx>
          <c:spPr>
            <a:ln w="19050" cap="rnd">
              <a:solidFill>
                <a:schemeClr val="accent1">
                  <a:lumMod val="80000"/>
                  <a:lumOff val="2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Mem_LR!$AE$63:$AE$66</c:f>
              <c:numCache>
                <c:formatCode>General</c:formatCode>
                <c:ptCount val="4"/>
                <c:pt idx="0">
                  <c:v>0</c:v>
                </c:pt>
                <c:pt idx="1">
                  <c:v>0.11127641929333532</c:v>
                </c:pt>
                <c:pt idx="2">
                  <c:v>0.20907718198396724</c:v>
                </c:pt>
                <c:pt idx="3">
                  <c:v>0.33170862466841211</c:v>
                </c:pt>
              </c:numCache>
            </c:numRef>
          </c:yVal>
          <c:smooth val="0"/>
          <c:extLst>
            <c:ext xmlns:c16="http://schemas.microsoft.com/office/drawing/2014/chart" uri="{C3380CC4-5D6E-409C-BE32-E72D297353CC}">
              <c16:uniqueId val="{0000000C-460A-4425-9329-445ACE57EB8C}"/>
            </c:ext>
          </c:extLst>
        </c:ser>
        <c:ser>
          <c:idx val="13"/>
          <c:order val="13"/>
          <c:tx>
            <c:strRef>
              <c:f>Mem_LR!$AF$62</c:f>
              <c:strCache>
                <c:ptCount val="1"/>
                <c:pt idx="0">
                  <c:v>25%</c:v>
                </c:pt>
              </c:strCache>
            </c:strRef>
          </c:tx>
          <c:spPr>
            <a:ln w="19050" cap="rnd">
              <a:solidFill>
                <a:schemeClr val="accent2">
                  <a:lumMod val="80000"/>
                  <a:lumOff val="20000"/>
                </a:schemeClr>
              </a:solidFill>
              <a:round/>
            </a:ln>
            <a:effectLst/>
          </c:spPr>
          <c:marker>
            <c:symbol val="none"/>
          </c:marker>
          <c:xVal>
            <c:numRef>
              <c:f>Mem_LR!$R$63:$R$66</c:f>
              <c:numCache>
                <c:formatCode>General</c:formatCode>
                <c:ptCount val="4"/>
                <c:pt idx="0">
                  <c:v>2035</c:v>
                </c:pt>
                <c:pt idx="1">
                  <c:v>2040</c:v>
                </c:pt>
                <c:pt idx="2">
                  <c:v>2045</c:v>
                </c:pt>
                <c:pt idx="3">
                  <c:v>2050</c:v>
                </c:pt>
              </c:numCache>
            </c:numRef>
          </c:xVal>
          <c:yVal>
            <c:numRef>
              <c:f>Mem_LR!$AF$63:$AF$66</c:f>
              <c:numCache>
                <c:formatCode>General</c:formatCode>
                <c:ptCount val="4"/>
                <c:pt idx="0">
                  <c:v>0</c:v>
                </c:pt>
                <c:pt idx="1">
                  <c:v>0.11127641929333532</c:v>
                </c:pt>
                <c:pt idx="2">
                  <c:v>0.20907718198396724</c:v>
                </c:pt>
                <c:pt idx="3">
                  <c:v>0.33170862466841211</c:v>
                </c:pt>
              </c:numCache>
            </c:numRef>
          </c:yVal>
          <c:smooth val="0"/>
          <c:extLst>
            <c:ext xmlns:c16="http://schemas.microsoft.com/office/drawing/2014/chart" uri="{C3380CC4-5D6E-409C-BE32-E72D297353CC}">
              <c16:uniqueId val="{0000000D-460A-4425-9329-445ACE57EB8C}"/>
            </c:ext>
          </c:extLst>
        </c:ser>
        <c:dLbls>
          <c:showLegendKey val="0"/>
          <c:showVal val="0"/>
          <c:showCatName val="0"/>
          <c:showSerName val="0"/>
          <c:showPercent val="0"/>
          <c:showBubbleSize val="0"/>
        </c:dLbls>
        <c:axId val="2100243600"/>
        <c:axId val="1781717952"/>
      </c:scatterChart>
      <c:valAx>
        <c:axId val="2100243600"/>
        <c:scaling>
          <c:orientation val="minMax"/>
          <c:max val="2050"/>
          <c:min val="2035"/>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781717952"/>
        <c:crosses val="autoZero"/>
        <c:crossBetween val="midCat"/>
        <c:majorUnit val="5"/>
      </c:valAx>
      <c:valAx>
        <c:axId val="178171795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t>Total participation of blending into GD capacity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100243600"/>
        <c:crosses val="autoZero"/>
        <c:crossBetween val="midCat"/>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v>SMR</c:v>
          </c:tx>
          <c:spPr>
            <a:solidFill>
              <a:schemeClr val="accent1">
                <a:alpha val="50000"/>
              </a:schemeClr>
            </a:solidFill>
            <a:ln w="25400">
              <a:noFill/>
            </a:ln>
            <a:effectLst/>
          </c:spPr>
          <c:cat>
            <c:numRef>
              <c:f>'High Gas Price'!$H$9:$H$15</c:f>
              <c:numCache>
                <c:formatCode>General</c:formatCode>
                <c:ptCount val="7"/>
                <c:pt idx="0">
                  <c:v>2020</c:v>
                </c:pt>
                <c:pt idx="1">
                  <c:v>2025</c:v>
                </c:pt>
                <c:pt idx="2">
                  <c:v>2030</c:v>
                </c:pt>
                <c:pt idx="3">
                  <c:v>2035</c:v>
                </c:pt>
                <c:pt idx="4">
                  <c:v>2040</c:v>
                </c:pt>
                <c:pt idx="5">
                  <c:v>2045</c:v>
                </c:pt>
                <c:pt idx="6">
                  <c:v>2050</c:v>
                </c:pt>
              </c:numCache>
            </c:numRef>
          </c:cat>
          <c:val>
            <c:numRef>
              <c:f>'High Gas Price'!$I$9:$I$15</c:f>
              <c:numCache>
                <c:formatCode>_(* #,##0.00_);_(* \(#,##0.00\);_(* "-"??_);_(@_)</c:formatCode>
                <c:ptCount val="7"/>
                <c:pt idx="0">
                  <c:v>452142.4</c:v>
                </c:pt>
                <c:pt idx="1">
                  <c:v>1582499.6</c:v>
                </c:pt>
                <c:pt idx="2">
                  <c:v>3391071</c:v>
                </c:pt>
                <c:pt idx="3">
                  <c:v>5651791</c:v>
                </c:pt>
                <c:pt idx="4">
                  <c:v>7813045</c:v>
                </c:pt>
                <c:pt idx="5">
                  <c:v>9829747</c:v>
                </c:pt>
                <c:pt idx="6">
                  <c:v>6890830</c:v>
                </c:pt>
              </c:numCache>
            </c:numRef>
          </c:val>
          <c:extLst>
            <c:ext xmlns:c16="http://schemas.microsoft.com/office/drawing/2014/chart" uri="{C3380CC4-5D6E-409C-BE32-E72D297353CC}">
              <c16:uniqueId val="{00000000-8174-49C5-95EB-4A6C583E1FB6}"/>
            </c:ext>
          </c:extLst>
        </c:ser>
        <c:ser>
          <c:idx val="1"/>
          <c:order val="1"/>
          <c:tx>
            <c:v>Wind PEM</c:v>
          </c:tx>
          <c:spPr>
            <a:solidFill>
              <a:srgbClr val="C00000">
                <a:alpha val="50000"/>
              </a:srgbClr>
            </a:solidFill>
            <a:ln>
              <a:noFill/>
            </a:ln>
            <a:effectLst/>
          </c:spPr>
          <c:cat>
            <c:numRef>
              <c:f>'High Gas Price'!$H$9:$H$15</c:f>
              <c:numCache>
                <c:formatCode>General</c:formatCode>
                <c:ptCount val="7"/>
                <c:pt idx="0">
                  <c:v>2020</c:v>
                </c:pt>
                <c:pt idx="1">
                  <c:v>2025</c:v>
                </c:pt>
                <c:pt idx="2">
                  <c:v>2030</c:v>
                </c:pt>
                <c:pt idx="3">
                  <c:v>2035</c:v>
                </c:pt>
                <c:pt idx="4">
                  <c:v>2040</c:v>
                </c:pt>
                <c:pt idx="5">
                  <c:v>2045</c:v>
                </c:pt>
                <c:pt idx="6">
                  <c:v>2050</c:v>
                </c:pt>
              </c:numCache>
            </c:numRef>
          </c:cat>
          <c:val>
            <c:numRef>
              <c:f>'High Gas Price'!$I$2:$I$8</c:f>
              <c:numCache>
                <c:formatCode>_(* #,##0.00_);_(* \(#,##0.00\);_(* "-"??_);_(@_)</c:formatCode>
                <c:ptCount val="7"/>
                <c:pt idx="0">
                  <c:v>0</c:v>
                </c:pt>
                <c:pt idx="1">
                  <c:v>0</c:v>
                </c:pt>
                <c:pt idx="2">
                  <c:v>0</c:v>
                </c:pt>
                <c:pt idx="3">
                  <c:v>0</c:v>
                </c:pt>
                <c:pt idx="4">
                  <c:v>195789</c:v>
                </c:pt>
                <c:pt idx="5">
                  <c:v>231080</c:v>
                </c:pt>
                <c:pt idx="6">
                  <c:v>9253310</c:v>
                </c:pt>
              </c:numCache>
            </c:numRef>
          </c:val>
          <c:extLst>
            <c:ext xmlns:c16="http://schemas.microsoft.com/office/drawing/2014/chart" uri="{C3380CC4-5D6E-409C-BE32-E72D297353CC}">
              <c16:uniqueId val="{00000001-8174-49C5-95EB-4A6C583E1FB6}"/>
            </c:ext>
          </c:extLst>
        </c:ser>
        <c:dLbls>
          <c:showLegendKey val="0"/>
          <c:showVal val="0"/>
          <c:showCatName val="0"/>
          <c:showSerName val="0"/>
          <c:showPercent val="0"/>
          <c:showBubbleSize val="0"/>
        </c:dLbls>
        <c:axId val="1426290943"/>
        <c:axId val="1432525615"/>
      </c:areaChart>
      <c:catAx>
        <c:axId val="142629094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432525615"/>
        <c:crosses val="autoZero"/>
        <c:auto val="1"/>
        <c:lblAlgn val="ctr"/>
        <c:lblOffset val="100"/>
        <c:noMultiLvlLbl val="0"/>
      </c:catAx>
      <c:valAx>
        <c:axId val="1432525615"/>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Installed production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426290943"/>
        <c:crosses val="autoZero"/>
        <c:crossBetween val="midCat"/>
        <c:dispUnits>
          <c:builtInUnit val="million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onsolas" panose="020B0609020204030204" pitchFamily="49" charset="0"/>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'Mid CO2 Price_Fran'!$I$3</c:f>
              <c:strCache>
                <c:ptCount val="1"/>
                <c:pt idx="0">
                  <c:v>SMR</c:v>
                </c:pt>
              </c:strCache>
            </c:strRef>
          </c:tx>
          <c:spPr>
            <a:solidFill>
              <a:schemeClr val="accent1">
                <a:alpha val="50000"/>
              </a:schemeClr>
            </a:solidFill>
            <a:ln>
              <a:noFill/>
            </a:ln>
            <a:effectLst/>
          </c:spPr>
          <c:cat>
            <c:numRef>
              <c:f>'Mid CO2 Price_Fran'!$G$4:$G$10</c:f>
              <c:numCache>
                <c:formatCode>General</c:formatCode>
                <c:ptCount val="7"/>
                <c:pt idx="0">
                  <c:v>2020</c:v>
                </c:pt>
                <c:pt idx="1">
                  <c:v>2025</c:v>
                </c:pt>
                <c:pt idx="2">
                  <c:v>2030</c:v>
                </c:pt>
                <c:pt idx="3">
                  <c:v>2035</c:v>
                </c:pt>
                <c:pt idx="4">
                  <c:v>2040</c:v>
                </c:pt>
                <c:pt idx="5">
                  <c:v>2045</c:v>
                </c:pt>
                <c:pt idx="6">
                  <c:v>2050</c:v>
                </c:pt>
              </c:numCache>
            </c:numRef>
          </c:cat>
          <c:val>
            <c:numRef>
              <c:f>'Mid CO2 Price_Fran'!$I$4:$I$10</c:f>
              <c:numCache>
                <c:formatCode>General</c:formatCode>
                <c:ptCount val="7"/>
                <c:pt idx="0">
                  <c:v>452.14240000000001</c:v>
                </c:pt>
                <c:pt idx="1">
                  <c:v>1582.4996000000001</c:v>
                </c:pt>
                <c:pt idx="2" formatCode="0.00E+00">
                  <c:v>3391.0709999999999</c:v>
                </c:pt>
                <c:pt idx="3" formatCode="0.00E+00">
                  <c:v>5651.7910000000002</c:v>
                </c:pt>
                <c:pt idx="4" formatCode="0.00E+00">
                  <c:v>7912.5050000000001</c:v>
                </c:pt>
                <c:pt idx="5" formatCode="0.00E+00">
                  <c:v>9947.1370000000006</c:v>
                </c:pt>
                <c:pt idx="6" formatCode="0.00E+00">
                  <c:v>9782.7039999999997</c:v>
                </c:pt>
              </c:numCache>
            </c:numRef>
          </c:val>
          <c:extLst>
            <c:ext xmlns:c16="http://schemas.microsoft.com/office/drawing/2014/chart" uri="{C3380CC4-5D6E-409C-BE32-E72D297353CC}">
              <c16:uniqueId val="{00000000-A61E-496F-9453-8708C4B3A748}"/>
            </c:ext>
          </c:extLst>
        </c:ser>
        <c:ser>
          <c:idx val="1"/>
          <c:order val="1"/>
          <c:tx>
            <c:strRef>
              <c:f>'Mid CO2 Price_Fran'!$J$3</c:f>
              <c:strCache>
                <c:ptCount val="1"/>
                <c:pt idx="0">
                  <c:v>Wind PEM</c:v>
                </c:pt>
              </c:strCache>
            </c:strRef>
          </c:tx>
          <c:spPr>
            <a:solidFill>
              <a:srgbClr val="C00000">
                <a:alpha val="50000"/>
              </a:srgbClr>
            </a:solidFill>
            <a:ln>
              <a:noFill/>
            </a:ln>
            <a:effectLst/>
          </c:spPr>
          <c:cat>
            <c:numRef>
              <c:f>'Mid CO2 Price_Fran'!$G$4:$G$10</c:f>
              <c:numCache>
                <c:formatCode>General</c:formatCode>
                <c:ptCount val="7"/>
                <c:pt idx="0">
                  <c:v>2020</c:v>
                </c:pt>
                <c:pt idx="1">
                  <c:v>2025</c:v>
                </c:pt>
                <c:pt idx="2">
                  <c:v>2030</c:v>
                </c:pt>
                <c:pt idx="3">
                  <c:v>2035</c:v>
                </c:pt>
                <c:pt idx="4">
                  <c:v>2040</c:v>
                </c:pt>
                <c:pt idx="5">
                  <c:v>2045</c:v>
                </c:pt>
                <c:pt idx="6">
                  <c:v>2050</c:v>
                </c:pt>
              </c:numCache>
            </c:numRef>
          </c:cat>
          <c:val>
            <c:numRef>
              <c:f>'Mid CO2 Price_Fran'!$J$4:$J$10</c:f>
              <c:numCache>
                <c:formatCode>General</c:formatCode>
                <c:ptCount val="7"/>
                <c:pt idx="0">
                  <c:v>0</c:v>
                </c:pt>
                <c:pt idx="1">
                  <c:v>0</c:v>
                </c:pt>
                <c:pt idx="2">
                  <c:v>0</c:v>
                </c:pt>
                <c:pt idx="3">
                  <c:v>0</c:v>
                </c:pt>
                <c:pt idx="4">
                  <c:v>0</c:v>
                </c:pt>
                <c:pt idx="5">
                  <c:v>0</c:v>
                </c:pt>
                <c:pt idx="6" formatCode="0.00E+00">
                  <c:v>2993.83</c:v>
                </c:pt>
              </c:numCache>
            </c:numRef>
          </c:val>
          <c:extLst>
            <c:ext xmlns:c16="http://schemas.microsoft.com/office/drawing/2014/chart" uri="{C3380CC4-5D6E-409C-BE32-E72D297353CC}">
              <c16:uniqueId val="{00000001-A61E-496F-9453-8708C4B3A748}"/>
            </c:ext>
          </c:extLst>
        </c:ser>
        <c:ser>
          <c:idx val="2"/>
          <c:order val="2"/>
          <c:tx>
            <c:strRef>
              <c:f>'Mid CO2 Price_Fran'!$K$3</c:f>
              <c:strCache>
                <c:ptCount val="1"/>
                <c:pt idx="0">
                  <c:v>Wind Alkaline</c:v>
                </c:pt>
              </c:strCache>
            </c:strRef>
          </c:tx>
          <c:spPr>
            <a:solidFill>
              <a:schemeClr val="accent6">
                <a:alpha val="50000"/>
              </a:schemeClr>
            </a:solidFill>
            <a:ln>
              <a:noFill/>
            </a:ln>
            <a:effectLst/>
          </c:spPr>
          <c:cat>
            <c:numRef>
              <c:f>'Mid CO2 Price_Fran'!$G$4:$G$10</c:f>
              <c:numCache>
                <c:formatCode>General</c:formatCode>
                <c:ptCount val="7"/>
                <c:pt idx="0">
                  <c:v>2020</c:v>
                </c:pt>
                <c:pt idx="1">
                  <c:v>2025</c:v>
                </c:pt>
                <c:pt idx="2">
                  <c:v>2030</c:v>
                </c:pt>
                <c:pt idx="3">
                  <c:v>2035</c:v>
                </c:pt>
                <c:pt idx="4">
                  <c:v>2040</c:v>
                </c:pt>
                <c:pt idx="5">
                  <c:v>2045</c:v>
                </c:pt>
                <c:pt idx="6">
                  <c:v>2050</c:v>
                </c:pt>
              </c:numCache>
            </c:numRef>
          </c:cat>
          <c:val>
            <c:numRef>
              <c:f>'Mid CO2 Price_Fran'!$K$4:$K$10</c:f>
              <c:numCache>
                <c:formatCode>General</c:formatCode>
                <c:ptCount val="7"/>
                <c:pt idx="0">
                  <c:v>0</c:v>
                </c:pt>
                <c:pt idx="1">
                  <c:v>0</c:v>
                </c:pt>
                <c:pt idx="2">
                  <c:v>0</c:v>
                </c:pt>
                <c:pt idx="3">
                  <c:v>0</c:v>
                </c:pt>
                <c:pt idx="4">
                  <c:v>0</c:v>
                </c:pt>
                <c:pt idx="5">
                  <c:v>0</c:v>
                </c:pt>
                <c:pt idx="6" formatCode="0.00E+00">
                  <c:v>0</c:v>
                </c:pt>
              </c:numCache>
            </c:numRef>
          </c:val>
          <c:extLst>
            <c:ext xmlns:c16="http://schemas.microsoft.com/office/drawing/2014/chart" uri="{C3380CC4-5D6E-409C-BE32-E72D297353CC}">
              <c16:uniqueId val="{00000002-A61E-496F-9453-8708C4B3A748}"/>
            </c:ext>
          </c:extLst>
        </c:ser>
        <c:dLbls>
          <c:showLegendKey val="0"/>
          <c:showVal val="0"/>
          <c:showCatName val="0"/>
          <c:showSerName val="0"/>
          <c:showPercent val="0"/>
          <c:showBubbleSize val="0"/>
        </c:dLbls>
        <c:axId val="815891632"/>
        <c:axId val="815891960"/>
      </c:areaChart>
      <c:catAx>
        <c:axId val="81589163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15891960"/>
        <c:crosses val="autoZero"/>
        <c:auto val="1"/>
        <c:lblAlgn val="ctr"/>
        <c:lblOffset val="100"/>
        <c:noMultiLvlLbl val="0"/>
      </c:catAx>
      <c:valAx>
        <c:axId val="81589196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Installed production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815891632"/>
        <c:crosses val="autoZero"/>
        <c:crossBetween val="midCat"/>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0"/>
          <c:tx>
            <c:v>SMR</c:v>
          </c:tx>
          <c:spPr>
            <a:solidFill>
              <a:schemeClr val="accent1">
                <a:alpha val="50000"/>
              </a:schemeClr>
            </a:solidFill>
            <a:ln w="25400">
              <a:noFill/>
            </a:ln>
            <a:effectLst/>
          </c:spPr>
          <c:cat>
            <c:numRef>
              <c:f>'Low Gas Price'!$H$9:$H$15</c:f>
              <c:numCache>
                <c:formatCode>General</c:formatCode>
                <c:ptCount val="7"/>
                <c:pt idx="0">
                  <c:v>2020</c:v>
                </c:pt>
                <c:pt idx="1">
                  <c:v>2025</c:v>
                </c:pt>
                <c:pt idx="2">
                  <c:v>2030</c:v>
                </c:pt>
                <c:pt idx="3">
                  <c:v>2035</c:v>
                </c:pt>
                <c:pt idx="4">
                  <c:v>2040</c:v>
                </c:pt>
                <c:pt idx="5">
                  <c:v>2045</c:v>
                </c:pt>
                <c:pt idx="6">
                  <c:v>2050</c:v>
                </c:pt>
              </c:numCache>
            </c:numRef>
          </c:cat>
          <c:val>
            <c:numRef>
              <c:f>'Low Gas Price'!$I$9:$I$15</c:f>
              <c:numCache>
                <c:formatCode>_(* #,##0.00_);_(* \(#,##0.00\);_(* "-"??_);_(@_)</c:formatCode>
                <c:ptCount val="7"/>
                <c:pt idx="0">
                  <c:v>452142.4</c:v>
                </c:pt>
                <c:pt idx="1">
                  <c:v>1582499.6</c:v>
                </c:pt>
                <c:pt idx="2">
                  <c:v>3391071</c:v>
                </c:pt>
                <c:pt idx="3">
                  <c:v>5651791</c:v>
                </c:pt>
                <c:pt idx="4">
                  <c:v>7912505</c:v>
                </c:pt>
                <c:pt idx="5">
                  <c:v>9947137</c:v>
                </c:pt>
                <c:pt idx="6">
                  <c:v>11303564</c:v>
                </c:pt>
              </c:numCache>
            </c:numRef>
          </c:val>
          <c:extLst>
            <c:ext xmlns:c16="http://schemas.microsoft.com/office/drawing/2014/chart" uri="{C3380CC4-5D6E-409C-BE32-E72D297353CC}">
              <c16:uniqueId val="{00000000-C67C-4707-BBF2-AB48B0D78EFA}"/>
            </c:ext>
          </c:extLst>
        </c:ser>
        <c:ser>
          <c:idx val="0"/>
          <c:order val="1"/>
          <c:tx>
            <c:v>Wind PEM</c:v>
          </c:tx>
          <c:spPr>
            <a:solidFill>
              <a:srgbClr val="C00000">
                <a:alpha val="50000"/>
              </a:srgbClr>
            </a:solidFill>
            <a:ln>
              <a:noFill/>
            </a:ln>
            <a:effectLst/>
          </c:spPr>
          <c:cat>
            <c:numRef>
              <c:f>'Low Gas Price'!$H$9:$H$15</c:f>
              <c:numCache>
                <c:formatCode>General</c:formatCode>
                <c:ptCount val="7"/>
                <c:pt idx="0">
                  <c:v>2020</c:v>
                </c:pt>
                <c:pt idx="1">
                  <c:v>2025</c:v>
                </c:pt>
                <c:pt idx="2">
                  <c:v>2030</c:v>
                </c:pt>
                <c:pt idx="3">
                  <c:v>2035</c:v>
                </c:pt>
                <c:pt idx="4">
                  <c:v>2040</c:v>
                </c:pt>
                <c:pt idx="5">
                  <c:v>2045</c:v>
                </c:pt>
                <c:pt idx="6">
                  <c:v>2050</c:v>
                </c:pt>
              </c:numCache>
            </c:numRef>
          </c:cat>
          <c:val>
            <c:numRef>
              <c:f>'Low Gas Price'!$I$2:$I$8</c:f>
              <c:numCache>
                <c:formatCode>_(* #,##0.00_);_(* \(#,##0.00\);_(* "-"??_);_(@_)</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C67C-4707-BBF2-AB48B0D78EFA}"/>
            </c:ext>
          </c:extLst>
        </c:ser>
        <c:dLbls>
          <c:showLegendKey val="0"/>
          <c:showVal val="0"/>
          <c:showCatName val="0"/>
          <c:showSerName val="0"/>
          <c:showPercent val="0"/>
          <c:showBubbleSize val="0"/>
        </c:dLbls>
        <c:axId val="1426290943"/>
        <c:axId val="1432525615"/>
      </c:areaChart>
      <c:catAx>
        <c:axId val="142629094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432525615"/>
        <c:crosses val="autoZero"/>
        <c:auto val="1"/>
        <c:lblAlgn val="ctr"/>
        <c:lblOffset val="100"/>
        <c:noMultiLvlLbl val="0"/>
      </c:catAx>
      <c:valAx>
        <c:axId val="1432525615"/>
        <c:scaling>
          <c:orientation val="minMax"/>
          <c:max val="1800000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Installed production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426290943"/>
        <c:crosses val="autoZero"/>
        <c:crossBetween val="midCat"/>
        <c:dispUnits>
          <c:builtInUnit val="million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onsolas" panose="020B0609020204030204" pitchFamily="49" charset="0"/>
        </a:defRPr>
      </a:pPr>
      <a:endParaRPr lang="es-C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1800000"/>
            <c:intercept val="0"/>
            <c:dispRSqr val="0"/>
            <c:dispEq val="1"/>
            <c:trendlineLbl>
              <c:layout>
                <c:manualLayout>
                  <c:x val="4.9001317994795929E-2"/>
                  <c:y val="0.280986575085857"/>
                </c:manualLayout>
              </c:layout>
              <c:numFmt formatCode="0.000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Collection.xlsx]Pipeline Transmission'!$F$48:$F$49</c:f>
              <c:numCache>
                <c:formatCode>0.000</c:formatCode>
                <c:ptCount val="2"/>
                <c:pt idx="0">
                  <c:v>4713914.2628879156</c:v>
                </c:pt>
                <c:pt idx="1">
                  <c:v>2259331.6881297114</c:v>
                </c:pt>
              </c:numCache>
            </c:numRef>
          </c:xVal>
          <c:yVal>
            <c:numRef>
              <c:f>'[Economic Data Collection.xlsx]Pipeline Transmission'!$F$20:$F$21</c:f>
              <c:numCache>
                <c:formatCode>0.000</c:formatCode>
                <c:ptCount val="2"/>
                <c:pt idx="0">
                  <c:v>1.09728070175439</c:v>
                </c:pt>
                <c:pt idx="1">
                  <c:v>0.93421052631578905</c:v>
                </c:pt>
              </c:numCache>
            </c:numRef>
          </c:yVal>
          <c:smooth val="0"/>
          <c:extLst>
            <c:ext xmlns:c16="http://schemas.microsoft.com/office/drawing/2014/chart" uri="{C3380CC4-5D6E-409C-BE32-E72D297353CC}">
              <c16:uniqueId val="{00000001-D802-436E-9C28-F812C7FED38F}"/>
            </c:ext>
          </c:extLst>
        </c:ser>
        <c:dLbls>
          <c:showLegendKey val="0"/>
          <c:showVal val="0"/>
          <c:showCatName val="0"/>
          <c:showSerName val="0"/>
          <c:showPercent val="0"/>
          <c:showBubbleSize val="0"/>
        </c:dLbls>
        <c:axId val="735920408"/>
        <c:axId val="741142000"/>
      </c:scatterChart>
      <c:valAx>
        <c:axId val="735920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Capacity (kW)</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41142000"/>
        <c:crosses val="autoZero"/>
        <c:crossBetween val="midCat"/>
        <c:majorUnit val="2000000"/>
      </c:valAx>
      <c:valAx>
        <c:axId val="74114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CAPEX Cost (£m/km)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359204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1800000"/>
            <c:intercept val="0"/>
            <c:dispRSqr val="0"/>
            <c:dispEq val="1"/>
            <c:trendlineLbl>
              <c:layout>
                <c:manualLayout>
                  <c:x val="6.6404713914876679E-2"/>
                  <c:y val="0.280986575085857"/>
                </c:manualLayout>
              </c:layout>
              <c:numFmt formatCode="0.000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Collection.xlsx]Pipeline Transmission'!$F$48:$F$49</c:f>
              <c:numCache>
                <c:formatCode>0.000</c:formatCode>
                <c:ptCount val="2"/>
                <c:pt idx="0">
                  <c:v>4713914.2628879156</c:v>
                </c:pt>
                <c:pt idx="1">
                  <c:v>2259331.6881297114</c:v>
                </c:pt>
              </c:numCache>
            </c:numRef>
          </c:xVal>
          <c:yVal>
            <c:numRef>
              <c:f>'[Economic Data Collection.xlsx]Pipeline Transmission'!$F$24:$F$25</c:f>
              <c:numCache>
                <c:formatCode>0.00E+00</c:formatCode>
                <c:ptCount val="2"/>
                <c:pt idx="0">
                  <c:v>2.4660209945936398E-3</c:v>
                </c:pt>
                <c:pt idx="1">
                  <c:v>2.09953821987547E-3</c:v>
                </c:pt>
              </c:numCache>
            </c:numRef>
          </c:yVal>
          <c:smooth val="0"/>
          <c:extLst>
            <c:ext xmlns:c16="http://schemas.microsoft.com/office/drawing/2014/chart" uri="{C3380CC4-5D6E-409C-BE32-E72D297353CC}">
              <c16:uniqueId val="{00000001-EFEA-441E-9BB0-B0975BFE43A9}"/>
            </c:ext>
          </c:extLst>
        </c:ser>
        <c:dLbls>
          <c:showLegendKey val="0"/>
          <c:showVal val="0"/>
          <c:showCatName val="0"/>
          <c:showSerName val="0"/>
          <c:showPercent val="0"/>
          <c:showBubbleSize val="0"/>
        </c:dLbls>
        <c:axId val="735920408"/>
        <c:axId val="741142000"/>
      </c:scatterChart>
      <c:valAx>
        <c:axId val="735920408"/>
        <c:scaling>
          <c:orientation val="minMax"/>
          <c:max val="600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Capacity (kW)</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41142000"/>
        <c:crosses val="autoZero"/>
        <c:crossBetween val="midCat"/>
      </c:valAx>
      <c:valAx>
        <c:axId val="74114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OPEX Cost (£/km)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359204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Low</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forward val="155000"/>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Collection.xlsx]Repurpose GD Distribution'!$X$3:$X$5,'[Economic Data Collection.xlsx]Repurpose GD Distribution'!$X$3:$X$5</c:f>
              <c:numCache>
                <c:formatCode>General</c:formatCode>
                <c:ptCount val="6"/>
                <c:pt idx="0">
                  <c:v>250948.99608221673</c:v>
                </c:pt>
                <c:pt idx="1">
                  <c:v>10110.331176201264</c:v>
                </c:pt>
                <c:pt idx="2">
                  <c:v>1469.0030462467644</c:v>
                </c:pt>
                <c:pt idx="3">
                  <c:v>250948.99608221673</c:v>
                </c:pt>
                <c:pt idx="4">
                  <c:v>10110.331176201264</c:v>
                </c:pt>
                <c:pt idx="5">
                  <c:v>1469.0030462467644</c:v>
                </c:pt>
              </c:numCache>
            </c:numRef>
          </c:xVal>
          <c:yVal>
            <c:numRef>
              <c:f>'[Economic Data Collection.xlsx]Repurpose GD Distribution'!$Z$3:$Z$5</c:f>
              <c:numCache>
                <c:formatCode>_(* #,##0.00_);_(* \(#,##0.00\);_(* "-"??_);_(@_)</c:formatCode>
                <c:ptCount val="3"/>
                <c:pt idx="0">
                  <c:v>400000</c:v>
                </c:pt>
                <c:pt idx="1">
                  <c:v>350000</c:v>
                </c:pt>
                <c:pt idx="2">
                  <c:v>200000</c:v>
                </c:pt>
              </c:numCache>
            </c:numRef>
          </c:yVal>
          <c:smooth val="0"/>
          <c:extLst>
            <c:ext xmlns:c16="http://schemas.microsoft.com/office/drawing/2014/chart" uri="{C3380CC4-5D6E-409C-BE32-E72D297353CC}">
              <c16:uniqueId val="{00000001-4B97-47D0-84E4-14C168C400FC}"/>
            </c:ext>
          </c:extLst>
        </c:ser>
        <c:ser>
          <c:idx val="1"/>
          <c:order val="1"/>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Collection.xlsx]Repurpose GD Distribution'!$Y$3:$Y$5</c:f>
              <c:numCache>
                <c:formatCode>General</c:formatCode>
                <c:ptCount val="3"/>
                <c:pt idx="0">
                  <c:v>883972.13319125515</c:v>
                </c:pt>
                <c:pt idx="1">
                  <c:v>184370.69099917967</c:v>
                </c:pt>
                <c:pt idx="2">
                  <c:v>3120.4725852473043</c:v>
                </c:pt>
              </c:numCache>
            </c:numRef>
          </c:xVal>
          <c:yVal>
            <c:numRef>
              <c:f>'[Economic Data Collection.xlsx]Repurpose GD Distribution'!$Z$3:$Z$5</c:f>
              <c:numCache>
                <c:formatCode>_(* #,##0.00_);_(* \(#,##0.00\);_(* "-"??_);_(@_)</c:formatCode>
                <c:ptCount val="3"/>
                <c:pt idx="0">
                  <c:v>400000</c:v>
                </c:pt>
                <c:pt idx="1">
                  <c:v>350000</c:v>
                </c:pt>
                <c:pt idx="2">
                  <c:v>200000</c:v>
                </c:pt>
              </c:numCache>
            </c:numRef>
          </c:yVal>
          <c:smooth val="0"/>
          <c:extLst>
            <c:ext xmlns:c16="http://schemas.microsoft.com/office/drawing/2014/chart" uri="{C3380CC4-5D6E-409C-BE32-E72D297353CC}">
              <c16:uniqueId val="{00000003-4B97-47D0-84E4-14C168C400FC}"/>
            </c:ext>
          </c:extLst>
        </c:ser>
        <c:dLbls>
          <c:showLegendKey val="0"/>
          <c:showVal val="0"/>
          <c:showCatName val="0"/>
          <c:showSerName val="0"/>
          <c:showPercent val="0"/>
          <c:showBubbleSize val="0"/>
        </c:dLbls>
        <c:axId val="712365976"/>
        <c:axId val="712359088"/>
      </c:scatterChart>
      <c:valAx>
        <c:axId val="712365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Pipeline Capacity</a:t>
                </a:r>
                <a:r>
                  <a:rPr lang="en-GB" baseline="0"/>
                  <a:t> (kW)</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12359088"/>
        <c:crosses val="autoZero"/>
        <c:crossBetween val="midCat"/>
      </c:valAx>
      <c:valAx>
        <c:axId val="71235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Capital Cost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123659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0.000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Collection.xlsx]New Pipeline Distribution IEA'!$C$24:$D$24</c:f>
              <c:numCache>
                <c:formatCode>General</c:formatCode>
                <c:ptCount val="2"/>
                <c:pt idx="0">
                  <c:v>143855.99999999997</c:v>
                </c:pt>
                <c:pt idx="1">
                  <c:v>1387.0116</c:v>
                </c:pt>
              </c:numCache>
            </c:numRef>
          </c:xVal>
          <c:yVal>
            <c:numRef>
              <c:f>'[Economic Data Collection.xlsx]New Pipeline Distribution IEA'!$C$16:$D$16</c:f>
              <c:numCache>
                <c:formatCode>General</c:formatCode>
                <c:ptCount val="2"/>
                <c:pt idx="0">
                  <c:v>0.38</c:v>
                </c:pt>
                <c:pt idx="1">
                  <c:v>0.22799999999999998</c:v>
                </c:pt>
              </c:numCache>
            </c:numRef>
          </c:yVal>
          <c:smooth val="0"/>
          <c:extLst>
            <c:ext xmlns:c16="http://schemas.microsoft.com/office/drawing/2014/chart" uri="{C3380CC4-5D6E-409C-BE32-E72D297353CC}">
              <c16:uniqueId val="{00000001-199A-4F09-84FE-C3053D0629D8}"/>
            </c:ext>
          </c:extLst>
        </c:ser>
        <c:dLbls>
          <c:showLegendKey val="0"/>
          <c:showVal val="0"/>
          <c:showCatName val="0"/>
          <c:showSerName val="0"/>
          <c:showPercent val="0"/>
          <c:showBubbleSize val="0"/>
        </c:dLbls>
        <c:axId val="802778344"/>
        <c:axId val="802779000"/>
      </c:scatterChart>
      <c:valAx>
        <c:axId val="802778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Capacity (kW)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02779000"/>
        <c:crosses val="autoZero"/>
        <c:crossBetween val="midCat"/>
      </c:valAx>
      <c:valAx>
        <c:axId val="802779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CAPEX Cost (£m/km)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027783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manualLayout>
                  <c:x val="-5.7153131240797961E-2"/>
                  <c:y val="0"/>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Collection.xlsx]Refuelling Station '!$C$46:$E$46</c:f>
              <c:numCache>
                <c:formatCode>General</c:formatCode>
                <c:ptCount val="3"/>
                <c:pt idx="0">
                  <c:v>138.75</c:v>
                </c:pt>
                <c:pt idx="1">
                  <c:v>693.74999999999989</c:v>
                </c:pt>
                <c:pt idx="2">
                  <c:v>13875</c:v>
                </c:pt>
              </c:numCache>
            </c:numRef>
          </c:xVal>
          <c:yVal>
            <c:numRef>
              <c:f>'[Economic Data Collection.xlsx]Refuelling Station '!$C$66:$E$66</c:f>
              <c:numCache>
                <c:formatCode>General</c:formatCode>
                <c:ptCount val="3"/>
                <c:pt idx="0">
                  <c:v>617.19075599999996</c:v>
                </c:pt>
                <c:pt idx="1">
                  <c:v>2255.9635559999997</c:v>
                </c:pt>
                <c:pt idx="2">
                  <c:v>4132.438744</c:v>
                </c:pt>
              </c:numCache>
            </c:numRef>
          </c:yVal>
          <c:smooth val="0"/>
          <c:extLst>
            <c:ext xmlns:c16="http://schemas.microsoft.com/office/drawing/2014/chart" uri="{C3380CC4-5D6E-409C-BE32-E72D297353CC}">
              <c16:uniqueId val="{00000001-EA74-46C6-96F7-4B3FA1DB25E6}"/>
            </c:ext>
          </c:extLst>
        </c:ser>
        <c:dLbls>
          <c:showLegendKey val="0"/>
          <c:showVal val="0"/>
          <c:showCatName val="0"/>
          <c:showSerName val="0"/>
          <c:showPercent val="0"/>
          <c:showBubbleSize val="0"/>
        </c:dLbls>
        <c:axId val="942715040"/>
        <c:axId val="942713072"/>
      </c:scatterChart>
      <c:valAx>
        <c:axId val="942715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Refuelling Station Capecity (kW)</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942713072"/>
        <c:crosses val="autoZero"/>
        <c:crossBetween val="midCat"/>
      </c:valAx>
      <c:valAx>
        <c:axId val="942713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CAPEX (£1000's)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942715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0.000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Collection.xlsx]Refuelling Station '!$C$46:$E$46</c:f>
              <c:numCache>
                <c:formatCode>General</c:formatCode>
                <c:ptCount val="3"/>
                <c:pt idx="0">
                  <c:v>138.75</c:v>
                </c:pt>
                <c:pt idx="1">
                  <c:v>693.74999999999989</c:v>
                </c:pt>
                <c:pt idx="2">
                  <c:v>13875</c:v>
                </c:pt>
              </c:numCache>
            </c:numRef>
          </c:xVal>
          <c:yVal>
            <c:numRef>
              <c:f>'[Economic Data Collection.xlsx]Refuelling Station '!$C$76:$E$76</c:f>
              <c:numCache>
                <c:formatCode>0.0</c:formatCode>
                <c:ptCount val="3"/>
                <c:pt idx="0">
                  <c:v>55.991403999999996</c:v>
                </c:pt>
                <c:pt idx="1">
                  <c:v>264.85460399999999</c:v>
                </c:pt>
                <c:pt idx="2">
                  <c:v>526.33526400000005</c:v>
                </c:pt>
              </c:numCache>
            </c:numRef>
          </c:yVal>
          <c:smooth val="0"/>
          <c:extLst>
            <c:ext xmlns:c16="http://schemas.microsoft.com/office/drawing/2014/chart" uri="{C3380CC4-5D6E-409C-BE32-E72D297353CC}">
              <c16:uniqueId val="{00000001-BBBD-4191-97A0-0298634A2322}"/>
            </c:ext>
          </c:extLst>
        </c:ser>
        <c:dLbls>
          <c:showLegendKey val="0"/>
          <c:showVal val="0"/>
          <c:showCatName val="0"/>
          <c:showSerName val="0"/>
          <c:showPercent val="0"/>
          <c:showBubbleSize val="0"/>
        </c:dLbls>
        <c:axId val="942715040"/>
        <c:axId val="942713072"/>
      </c:scatterChart>
      <c:valAx>
        <c:axId val="942715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Refuelling Station Capacity (kW)</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942713072"/>
        <c:crosses val="autoZero"/>
        <c:crossBetween val="midCat"/>
      </c:valAx>
      <c:valAx>
        <c:axId val="942713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OPEX (£1000's)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942715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manualLayout>
                  <c:x val="-1.6271010024605501E-2"/>
                  <c:y val="-1.890803253553701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Collection.xlsx]Ref Station (N Shah)'!$E$4:$E$64</c:f>
              <c:numCache>
                <c:formatCode>General</c:formatCode>
                <c:ptCount val="61"/>
                <c:pt idx="0">
                  <c:v>0</c:v>
                </c:pt>
                <c:pt idx="1">
                  <c:v>277.49999999999994</c:v>
                </c:pt>
                <c:pt idx="2">
                  <c:v>554.99999999999989</c:v>
                </c:pt>
                <c:pt idx="3">
                  <c:v>832.5</c:v>
                </c:pt>
                <c:pt idx="4">
                  <c:v>1109.9999999999998</c:v>
                </c:pt>
                <c:pt idx="5">
                  <c:v>1387.5</c:v>
                </c:pt>
                <c:pt idx="6">
                  <c:v>1665</c:v>
                </c:pt>
                <c:pt idx="7">
                  <c:v>1942.4999999999998</c:v>
                </c:pt>
                <c:pt idx="8">
                  <c:v>2219.9999999999995</c:v>
                </c:pt>
                <c:pt idx="9">
                  <c:v>2497.4999999999995</c:v>
                </c:pt>
                <c:pt idx="10">
                  <c:v>2775</c:v>
                </c:pt>
                <c:pt idx="11">
                  <c:v>3052.5</c:v>
                </c:pt>
                <c:pt idx="12">
                  <c:v>3330</c:v>
                </c:pt>
                <c:pt idx="13">
                  <c:v>3607.4999999999995</c:v>
                </c:pt>
                <c:pt idx="14">
                  <c:v>3884.9999999999995</c:v>
                </c:pt>
                <c:pt idx="15">
                  <c:v>4162.4999999999991</c:v>
                </c:pt>
                <c:pt idx="16">
                  <c:v>4439.9999999999991</c:v>
                </c:pt>
                <c:pt idx="17">
                  <c:v>4717.4999999999991</c:v>
                </c:pt>
                <c:pt idx="18">
                  <c:v>4994.9999999999991</c:v>
                </c:pt>
                <c:pt idx="19">
                  <c:v>5272.4999999999991</c:v>
                </c:pt>
                <c:pt idx="20">
                  <c:v>5550</c:v>
                </c:pt>
                <c:pt idx="21">
                  <c:v>5827.5</c:v>
                </c:pt>
                <c:pt idx="22">
                  <c:v>6105</c:v>
                </c:pt>
                <c:pt idx="23">
                  <c:v>6382.5</c:v>
                </c:pt>
                <c:pt idx="24">
                  <c:v>6660</c:v>
                </c:pt>
                <c:pt idx="25">
                  <c:v>6937.5</c:v>
                </c:pt>
                <c:pt idx="26">
                  <c:v>7214.9999999999991</c:v>
                </c:pt>
                <c:pt idx="27">
                  <c:v>7492.4999999999991</c:v>
                </c:pt>
                <c:pt idx="28">
                  <c:v>7769.9999999999991</c:v>
                </c:pt>
                <c:pt idx="29">
                  <c:v>8047.4999999999991</c:v>
                </c:pt>
                <c:pt idx="30">
                  <c:v>8324.9999999999982</c:v>
                </c:pt>
                <c:pt idx="31">
                  <c:v>8602.4999999999982</c:v>
                </c:pt>
                <c:pt idx="32">
                  <c:v>8879.9999999999982</c:v>
                </c:pt>
                <c:pt idx="33">
                  <c:v>9157.4999999999982</c:v>
                </c:pt>
                <c:pt idx="34">
                  <c:v>9434.9999999999982</c:v>
                </c:pt>
                <c:pt idx="35">
                  <c:v>9712.4999999999982</c:v>
                </c:pt>
                <c:pt idx="36">
                  <c:v>9989.9999999999982</c:v>
                </c:pt>
                <c:pt idx="37">
                  <c:v>10267.499999999998</c:v>
                </c:pt>
                <c:pt idx="38">
                  <c:v>10544.999999999998</c:v>
                </c:pt>
                <c:pt idx="39">
                  <c:v>10822.499999999998</c:v>
                </c:pt>
                <c:pt idx="40">
                  <c:v>11100</c:v>
                </c:pt>
                <c:pt idx="41">
                  <c:v>11377.5</c:v>
                </c:pt>
                <c:pt idx="42">
                  <c:v>11655</c:v>
                </c:pt>
                <c:pt idx="43">
                  <c:v>11932.5</c:v>
                </c:pt>
                <c:pt idx="44">
                  <c:v>12210</c:v>
                </c:pt>
                <c:pt idx="45">
                  <c:v>12487.5</c:v>
                </c:pt>
                <c:pt idx="46">
                  <c:v>12765</c:v>
                </c:pt>
                <c:pt idx="47">
                  <c:v>13042.5</c:v>
                </c:pt>
                <c:pt idx="48">
                  <c:v>13320</c:v>
                </c:pt>
                <c:pt idx="49">
                  <c:v>13597.5</c:v>
                </c:pt>
                <c:pt idx="50">
                  <c:v>13875</c:v>
                </c:pt>
                <c:pt idx="51">
                  <c:v>14152.5</c:v>
                </c:pt>
                <c:pt idx="52">
                  <c:v>14429.999999999998</c:v>
                </c:pt>
                <c:pt idx="53">
                  <c:v>14707.499999999998</c:v>
                </c:pt>
                <c:pt idx="54">
                  <c:v>14984.999999999998</c:v>
                </c:pt>
                <c:pt idx="55">
                  <c:v>15262.499999999998</c:v>
                </c:pt>
                <c:pt idx="56">
                  <c:v>15539.999999999998</c:v>
                </c:pt>
                <c:pt idx="57">
                  <c:v>15817.499999999998</c:v>
                </c:pt>
                <c:pt idx="58">
                  <c:v>16094.999999999998</c:v>
                </c:pt>
                <c:pt idx="59">
                  <c:v>16372.499999999998</c:v>
                </c:pt>
                <c:pt idx="60">
                  <c:v>16649.999999999996</c:v>
                </c:pt>
              </c:numCache>
            </c:numRef>
          </c:xVal>
          <c:yVal>
            <c:numRef>
              <c:f>'[Economic Data Collection.xlsx]Ref Station (N Shah)'!$F$4:$F$64</c:f>
              <c:numCache>
                <c:formatCode>General</c:formatCode>
                <c:ptCount val="61"/>
                <c:pt idx="0">
                  <c:v>0</c:v>
                </c:pt>
                <c:pt idx="1">
                  <c:v>206.88934360219275</c:v>
                </c:pt>
                <c:pt idx="2">
                  <c:v>350.3651637458338</c:v>
                </c:pt>
                <c:pt idx="3">
                  <c:v>476.81540184110065</c:v>
                </c:pt>
                <c:pt idx="4">
                  <c:v>593.34012003382804</c:v>
                </c:pt>
                <c:pt idx="5">
                  <c:v>703</c:v>
                </c:pt>
                <c:pt idx="6">
                  <c:v>807.48241274241332</c:v>
                </c:pt>
                <c:pt idx="7">
                  <c:v>907.8469359443402</c:v>
                </c:pt>
                <c:pt idx="8">
                  <c:v>1004.8159305505261</c:v>
                </c:pt>
                <c:pt idx="9">
                  <c:v>1098.9107678259402</c:v>
                </c:pt>
                <c:pt idx="10">
                  <c:v>1190.5239091817132</c:v>
                </c:pt>
                <c:pt idx="11">
                  <c:v>1279.9604854404595</c:v>
                </c:pt>
                <c:pt idx="12">
                  <c:v>1367.4638956096439</c:v>
                </c:pt>
                <c:pt idx="13">
                  <c:v>1453.2323917304707</c:v>
                </c:pt>
                <c:pt idx="14">
                  <c:v>1537.4302747071072</c:v>
                </c:pt>
                <c:pt idx="15">
                  <c:v>1620.1957126357338</c:v>
                </c:pt>
                <c:pt idx="16">
                  <c:v>1701.6463579616975</c:v>
                </c:pt>
                <c:pt idx="17">
                  <c:v>1781.883482059754</c:v>
                </c:pt>
                <c:pt idx="18">
                  <c:v>1860.9950827226407</c:v>
                </c:pt>
                <c:pt idx="19">
                  <c:v>1939.0582625601346</c:v>
                </c:pt>
                <c:pt idx="20">
                  <c:v>2016.1410787102532</c:v>
                </c:pt>
                <c:pt idx="21">
                  <c:v>2092.3040019153741</c:v>
                </c:pt>
                <c:pt idx="22">
                  <c:v>2167.6010821119471</c:v>
                </c:pt>
                <c:pt idx="23">
                  <c:v>2242.0808902068184</c:v>
                </c:pt>
                <c:pt idx="24">
                  <c:v>2315.7872868649324</c:v>
                </c:pt>
                <c:pt idx="25">
                  <c:v>2388.7600559566085</c:v>
                </c:pt>
                <c:pt idx="26">
                  <c:v>2461.0354309423196</c:v>
                </c:pt>
                <c:pt idx="27">
                  <c:v>2532.6465357053066</c:v>
                </c:pt>
                <c:pt idx="28">
                  <c:v>2603.6237563849509</c:v>
                </c:pt>
                <c:pt idx="29">
                  <c:v>2673.9950570850324</c:v>
                </c:pt>
                <c:pt idx="30">
                  <c:v>2743.7862495683435</c:v>
                </c:pt>
                <c:pt idx="31">
                  <c:v>2813.0212249515971</c:v>
                </c:pt>
                <c:pt idx="32">
                  <c:v>2881.7221538056683</c:v>
                </c:pt>
                <c:pt idx="33">
                  <c:v>2949.9096598204615</c:v>
                </c:pt>
                <c:pt idx="34">
                  <c:v>3017.6029712206273</c:v>
                </c:pt>
                <c:pt idx="35">
                  <c:v>3084.8200533519744</c:v>
                </c:pt>
                <c:pt idx="36">
                  <c:v>3151.5777252502189</c:v>
                </c:pt>
                <c:pt idx="37">
                  <c:v>3217.8917625175482</c:v>
                </c:pt>
                <c:pt idx="38">
                  <c:v>3283.7769884412405</c:v>
                </c:pt>
                <c:pt idx="39">
                  <c:v>3349.2473549716674</c:v>
                </c:pt>
                <c:pt idx="40">
                  <c:v>3414.3160149188716</c:v>
                </c:pt>
                <c:pt idx="41">
                  <c:v>3478.9953865153548</c:v>
                </c:pt>
                <c:pt idx="42">
                  <c:v>3543.2972113183978</c:v>
                </c:pt>
                <c:pt idx="43">
                  <c:v>3607.2326062810034</c:v>
                </c:pt>
                <c:pt idx="44">
                  <c:v>3670.8121107004658</c:v>
                </c:pt>
                <c:pt idx="45">
                  <c:v>3734.0457286532201</c:v>
                </c:pt>
                <c:pt idx="46">
                  <c:v>3796.9429674404514</c:v>
                </c:pt>
                <c:pt idx="47">
                  <c:v>3859.5128724979022</c:v>
                </c:pt>
                <c:pt idx="48">
                  <c:v>3921.7640591632335</c:v>
                </c:pt>
                <c:pt idx="49">
                  <c:v>3983.7047416433111</c:v>
                </c:pt>
                <c:pt idx="50">
                  <c:v>4045.3427594802147</c:v>
                </c:pt>
                <c:pt idx="51">
                  <c:v>4106.6856017775881</c:v>
                </c:pt>
                <c:pt idx="52">
                  <c:v>4167.7404294170019</c:v>
                </c:pt>
                <c:pt idx="53">
                  <c:v>4228.514095466433</c:v>
                </c:pt>
                <c:pt idx="54">
                  <c:v>4289.0131639593246</c:v>
                </c:pt>
                <c:pt idx="55">
                  <c:v>4349.243927201991</c:v>
                </c:pt>
                <c:pt idx="56">
                  <c:v>4409.2124217493429</c:v>
                </c:pt>
                <c:pt idx="57">
                  <c:v>4468.9244431732923</c:v>
                </c:pt>
                <c:pt idx="58">
                  <c:v>4528.3855597346392</c:v>
                </c:pt>
                <c:pt idx="59">
                  <c:v>4587.6011250573274</c:v>
                </c:pt>
                <c:pt idx="60">
                  <c:v>4646.5762898935081</c:v>
                </c:pt>
              </c:numCache>
            </c:numRef>
          </c:yVal>
          <c:smooth val="0"/>
          <c:extLst>
            <c:ext xmlns:c16="http://schemas.microsoft.com/office/drawing/2014/chart" uri="{C3380CC4-5D6E-409C-BE32-E72D297353CC}">
              <c16:uniqueId val="{00000001-A712-415E-9AB5-F5E3DB4FF9C6}"/>
            </c:ext>
          </c:extLst>
        </c:ser>
        <c:dLbls>
          <c:showLegendKey val="0"/>
          <c:showVal val="0"/>
          <c:showCatName val="0"/>
          <c:showSerName val="0"/>
          <c:showPercent val="0"/>
          <c:showBubbleSize val="0"/>
        </c:dLbls>
        <c:axId val="691471704"/>
        <c:axId val="691469080"/>
      </c:scatterChart>
      <c:valAx>
        <c:axId val="691471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Capacity (kW)</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691469080"/>
        <c:crosses val="autoZero"/>
        <c:crossBetween val="midCat"/>
      </c:valAx>
      <c:valAx>
        <c:axId val="691469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sz="800"/>
                  <a:t>CAPEX </a:t>
                </a:r>
                <a:r>
                  <a:rPr lang="en-GB" sz="800" b="0" i="0" u="none" strike="noStrike" baseline="0">
                    <a:effectLst/>
                  </a:rPr>
                  <a:t>(1000£)</a:t>
                </a:r>
                <a:endParaRPr lang="en-GB" sz="800"/>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6914717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GB" sz="1050"/>
              <a:t>OPEX (10% in)</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FINAL'!$Q$37:$Q$47</c:f>
              <c:numCache>
                <c:formatCode>_(* #,##0.00_);_(* \(#,##0.00\);_(* "-"??_);_(@_)</c:formatCode>
                <c:ptCount val="11"/>
                <c:pt idx="0">
                  <c:v>30386249.999999996</c:v>
                </c:pt>
                <c:pt idx="1">
                  <c:v>45579374.999999993</c:v>
                </c:pt>
                <c:pt idx="2">
                  <c:v>68369062.5</c:v>
                </c:pt>
                <c:pt idx="3">
                  <c:v>97235999.999999985</c:v>
                </c:pt>
                <c:pt idx="4">
                  <c:v>121544999.99999999</c:v>
                </c:pt>
                <c:pt idx="5">
                  <c:v>145854000</c:v>
                </c:pt>
                <c:pt idx="6">
                  <c:v>167124375</c:v>
                </c:pt>
                <c:pt idx="7">
                  <c:v>188394749.99999997</c:v>
                </c:pt>
                <c:pt idx="8">
                  <c:v>217261687.49999997</c:v>
                </c:pt>
                <c:pt idx="9">
                  <c:v>243089999.99999997</c:v>
                </c:pt>
                <c:pt idx="10">
                  <c:v>303862500</c:v>
                </c:pt>
              </c:numCache>
            </c:numRef>
          </c:xVal>
          <c:yVal>
            <c:numRef>
              <c:f>'[Economic Data Collection.xlsx]PSA FINAL'!$X$37:$X$47</c:f>
              <c:numCache>
                <c:formatCode>_-* #,##0_-;\-* #,##0_-;_-* "-"??_-;_-@_-</c:formatCode>
                <c:ptCount val="11"/>
                <c:pt idx="0">
                  <c:v>1920563.6430000002</c:v>
                </c:pt>
                <c:pt idx="1">
                  <c:v>2151956.8530000001</c:v>
                </c:pt>
                <c:pt idx="2">
                  <c:v>2811427.5015000007</c:v>
                </c:pt>
                <c:pt idx="3">
                  <c:v>3628245.5328000002</c:v>
                </c:pt>
                <c:pt idx="4">
                  <c:v>4165077.7799999993</c:v>
                </c:pt>
                <c:pt idx="5">
                  <c:v>4720421.4840000002</c:v>
                </c:pt>
                <c:pt idx="6">
                  <c:v>5090650.620000001</c:v>
                </c:pt>
                <c:pt idx="7">
                  <c:v>5595087.8178000003</c:v>
                </c:pt>
                <c:pt idx="8">
                  <c:v>6121507.3705500001</c:v>
                </c:pt>
                <c:pt idx="9">
                  <c:v>6664124.4480000008</c:v>
                </c:pt>
                <c:pt idx="10">
                  <c:v>7635975.9299999997</c:v>
                </c:pt>
              </c:numCache>
            </c:numRef>
          </c:yVal>
          <c:smooth val="0"/>
          <c:extLst>
            <c:ext xmlns:c16="http://schemas.microsoft.com/office/drawing/2014/chart" uri="{C3380CC4-5D6E-409C-BE32-E72D297353CC}">
              <c16:uniqueId val="{00000001-1C30-476B-BE56-541717558E35}"/>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Lifetime</a:t>
                </a:r>
                <a:r>
                  <a:rPr lang="en-GB" sz="900" baseline="0"/>
                  <a:t> Throughput (kWh)</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OPEX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CAPEX (10%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FINAL'!$P$37:$P$47</c:f>
              <c:numCache>
                <c:formatCode>0</c:formatCode>
                <c:ptCount val="11"/>
                <c:pt idx="0">
                  <c:v>138.75</c:v>
                </c:pt>
                <c:pt idx="1">
                  <c:v>208.125</c:v>
                </c:pt>
                <c:pt idx="2">
                  <c:v>312.1875</c:v>
                </c:pt>
                <c:pt idx="3">
                  <c:v>444</c:v>
                </c:pt>
                <c:pt idx="4">
                  <c:v>555</c:v>
                </c:pt>
                <c:pt idx="5">
                  <c:v>666</c:v>
                </c:pt>
                <c:pt idx="6">
                  <c:v>763.125</c:v>
                </c:pt>
                <c:pt idx="7">
                  <c:v>860.25</c:v>
                </c:pt>
                <c:pt idx="8">
                  <c:v>992.0625</c:v>
                </c:pt>
                <c:pt idx="9">
                  <c:v>1110</c:v>
                </c:pt>
                <c:pt idx="10">
                  <c:v>1387.5</c:v>
                </c:pt>
              </c:numCache>
            </c:numRef>
          </c:xVal>
          <c:yVal>
            <c:numRef>
              <c:f>'[Economic Data Collection.xlsx]PSA FINAL'!$Y$37:$Y$47</c:f>
              <c:numCache>
                <c:formatCode>_-* #,##0_-;\-* #,##0_-;_-* "-"??_-;_-@_-</c:formatCode>
                <c:ptCount val="11"/>
                <c:pt idx="0">
                  <c:v>3905146.0741000003</c:v>
                </c:pt>
                <c:pt idx="1">
                  <c:v>4375645.6011000006</c:v>
                </c:pt>
                <c:pt idx="2">
                  <c:v>5716569.2530500013</c:v>
                </c:pt>
                <c:pt idx="3">
                  <c:v>7377432.5833599996</c:v>
                </c:pt>
                <c:pt idx="4">
                  <c:v>8468991.4859999996</c:v>
                </c:pt>
                <c:pt idx="5">
                  <c:v>9598190.3508000001</c:v>
                </c:pt>
                <c:pt idx="6">
                  <c:v>10350989.594000002</c:v>
                </c:pt>
                <c:pt idx="7">
                  <c:v>11376678.562860001</c:v>
                </c:pt>
                <c:pt idx="8">
                  <c:v>12447064.986785</c:v>
                </c:pt>
                <c:pt idx="9">
                  <c:v>13550386.377600001</c:v>
                </c:pt>
                <c:pt idx="10">
                  <c:v>15526484.391000001</c:v>
                </c:pt>
              </c:numCache>
            </c:numRef>
          </c:yVal>
          <c:smooth val="0"/>
          <c:extLst>
            <c:ext xmlns:c16="http://schemas.microsoft.com/office/drawing/2014/chart" uri="{C3380CC4-5D6E-409C-BE32-E72D297353CC}">
              <c16:uniqueId val="{00000001-2995-4D9E-B070-50164D476130}"/>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baseline="0"/>
                  <a:t>Capcity (kW)</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CAPEX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0"/>
          <c:tx>
            <c:strRef>
              <c:f>'High CO2 Price'!$I$3</c:f>
              <c:strCache>
                <c:ptCount val="1"/>
                <c:pt idx="0">
                  <c:v>SMR</c:v>
                </c:pt>
              </c:strCache>
            </c:strRef>
          </c:tx>
          <c:spPr>
            <a:solidFill>
              <a:schemeClr val="accent1">
                <a:alpha val="50000"/>
              </a:schemeClr>
            </a:solidFill>
            <a:ln>
              <a:noFill/>
            </a:ln>
            <a:effectLst/>
          </c:spPr>
          <c:cat>
            <c:numRef>
              <c:f>'High CO2 Price'!$G$4:$G$10</c:f>
              <c:numCache>
                <c:formatCode>General</c:formatCode>
                <c:ptCount val="7"/>
                <c:pt idx="0">
                  <c:v>2020</c:v>
                </c:pt>
                <c:pt idx="1">
                  <c:v>2025</c:v>
                </c:pt>
                <c:pt idx="2">
                  <c:v>2030</c:v>
                </c:pt>
                <c:pt idx="3">
                  <c:v>2035</c:v>
                </c:pt>
                <c:pt idx="4">
                  <c:v>2040</c:v>
                </c:pt>
                <c:pt idx="5">
                  <c:v>2045</c:v>
                </c:pt>
                <c:pt idx="6">
                  <c:v>2050</c:v>
                </c:pt>
              </c:numCache>
            </c:numRef>
          </c:cat>
          <c:val>
            <c:numRef>
              <c:f>'High CO2 Price'!$I$4:$I$10</c:f>
              <c:numCache>
                <c:formatCode>General</c:formatCode>
                <c:ptCount val="7"/>
                <c:pt idx="0" formatCode="0.00E+00">
                  <c:v>452.14240000000001</c:v>
                </c:pt>
                <c:pt idx="1">
                  <c:v>1582.4996000000001</c:v>
                </c:pt>
                <c:pt idx="2" formatCode="0.00E+00">
                  <c:v>3391.0709999999999</c:v>
                </c:pt>
                <c:pt idx="3" formatCode="0.00E+00">
                  <c:v>5651.7910000000002</c:v>
                </c:pt>
                <c:pt idx="4" formatCode="0.00E+00">
                  <c:v>7912.5050000000001</c:v>
                </c:pt>
                <c:pt idx="5" formatCode="0.00E+00">
                  <c:v>9947.1370000000006</c:v>
                </c:pt>
                <c:pt idx="6" formatCode="0.000E+00">
                  <c:v>9600.3289999999997</c:v>
                </c:pt>
              </c:numCache>
            </c:numRef>
          </c:val>
          <c:extLst>
            <c:ext xmlns:c16="http://schemas.microsoft.com/office/drawing/2014/chart" uri="{C3380CC4-5D6E-409C-BE32-E72D297353CC}">
              <c16:uniqueId val="{00000000-6495-4ECA-9334-7DD34A269EDA}"/>
            </c:ext>
          </c:extLst>
        </c:ser>
        <c:ser>
          <c:idx val="2"/>
          <c:order val="1"/>
          <c:tx>
            <c:strRef>
              <c:f>'High CO2 Price'!$J$3</c:f>
              <c:strCache>
                <c:ptCount val="1"/>
                <c:pt idx="0">
                  <c:v>Wind PEM</c:v>
                </c:pt>
              </c:strCache>
            </c:strRef>
          </c:tx>
          <c:spPr>
            <a:solidFill>
              <a:srgbClr val="C00000">
                <a:alpha val="50000"/>
              </a:srgbClr>
            </a:solidFill>
            <a:ln>
              <a:noFill/>
            </a:ln>
            <a:effectLst/>
          </c:spPr>
          <c:cat>
            <c:numRef>
              <c:f>'High CO2 Price'!$G$4:$G$10</c:f>
              <c:numCache>
                <c:formatCode>General</c:formatCode>
                <c:ptCount val="7"/>
                <c:pt idx="0">
                  <c:v>2020</c:v>
                </c:pt>
                <c:pt idx="1">
                  <c:v>2025</c:v>
                </c:pt>
                <c:pt idx="2">
                  <c:v>2030</c:v>
                </c:pt>
                <c:pt idx="3">
                  <c:v>2035</c:v>
                </c:pt>
                <c:pt idx="4">
                  <c:v>2040</c:v>
                </c:pt>
                <c:pt idx="5">
                  <c:v>2045</c:v>
                </c:pt>
                <c:pt idx="6">
                  <c:v>2050</c:v>
                </c:pt>
              </c:numCache>
            </c:numRef>
          </c:cat>
          <c:val>
            <c:numRef>
              <c:f>'High CO2 Price'!$J$4:$J$10</c:f>
              <c:numCache>
                <c:formatCode>General</c:formatCode>
                <c:ptCount val="7"/>
                <c:pt idx="0">
                  <c:v>0</c:v>
                </c:pt>
                <c:pt idx="1">
                  <c:v>0</c:v>
                </c:pt>
                <c:pt idx="2">
                  <c:v>0</c:v>
                </c:pt>
                <c:pt idx="3">
                  <c:v>0</c:v>
                </c:pt>
                <c:pt idx="4">
                  <c:v>0</c:v>
                </c:pt>
                <c:pt idx="5">
                  <c:v>0</c:v>
                </c:pt>
                <c:pt idx="6" formatCode="0.00E+00">
                  <c:v>3388.5830000000001</c:v>
                </c:pt>
              </c:numCache>
            </c:numRef>
          </c:val>
          <c:extLst>
            <c:ext xmlns:c16="http://schemas.microsoft.com/office/drawing/2014/chart" uri="{C3380CC4-5D6E-409C-BE32-E72D297353CC}">
              <c16:uniqueId val="{00000001-6495-4ECA-9334-7DD34A269EDA}"/>
            </c:ext>
          </c:extLst>
        </c:ser>
        <c:ser>
          <c:idx val="3"/>
          <c:order val="2"/>
          <c:tx>
            <c:strRef>
              <c:f>'High CO2 Price'!$K$3</c:f>
              <c:strCache>
                <c:ptCount val="1"/>
                <c:pt idx="0">
                  <c:v>Wind Alkaline</c:v>
                </c:pt>
              </c:strCache>
            </c:strRef>
          </c:tx>
          <c:spPr>
            <a:solidFill>
              <a:schemeClr val="accent6">
                <a:alpha val="50000"/>
              </a:schemeClr>
            </a:solidFill>
            <a:ln>
              <a:noFill/>
            </a:ln>
            <a:effectLst/>
          </c:spPr>
          <c:cat>
            <c:numRef>
              <c:f>'High CO2 Price'!$G$4:$G$10</c:f>
              <c:numCache>
                <c:formatCode>General</c:formatCode>
                <c:ptCount val="7"/>
                <c:pt idx="0">
                  <c:v>2020</c:v>
                </c:pt>
                <c:pt idx="1">
                  <c:v>2025</c:v>
                </c:pt>
                <c:pt idx="2">
                  <c:v>2030</c:v>
                </c:pt>
                <c:pt idx="3">
                  <c:v>2035</c:v>
                </c:pt>
                <c:pt idx="4">
                  <c:v>2040</c:v>
                </c:pt>
                <c:pt idx="5">
                  <c:v>2045</c:v>
                </c:pt>
                <c:pt idx="6">
                  <c:v>2050</c:v>
                </c:pt>
              </c:numCache>
            </c:numRef>
          </c:cat>
          <c:val>
            <c:numRef>
              <c:f>'High CO2 Price'!$K$4:$K$10</c:f>
              <c:numCache>
                <c:formatCode>General</c:formatCode>
                <c:ptCount val="7"/>
                <c:pt idx="0">
                  <c:v>0</c:v>
                </c:pt>
                <c:pt idx="1">
                  <c:v>0</c:v>
                </c:pt>
                <c:pt idx="2">
                  <c:v>0</c:v>
                </c:pt>
                <c:pt idx="3">
                  <c:v>0</c:v>
                </c:pt>
                <c:pt idx="4">
                  <c:v>0</c:v>
                </c:pt>
                <c:pt idx="5">
                  <c:v>0</c:v>
                </c:pt>
                <c:pt idx="6" formatCode="0.00E+00">
                  <c:v>0</c:v>
                </c:pt>
              </c:numCache>
            </c:numRef>
          </c:val>
          <c:extLst>
            <c:ext xmlns:c16="http://schemas.microsoft.com/office/drawing/2014/chart" uri="{C3380CC4-5D6E-409C-BE32-E72D297353CC}">
              <c16:uniqueId val="{00000002-6495-4ECA-9334-7DD34A269EDA}"/>
            </c:ext>
          </c:extLst>
        </c:ser>
        <c:dLbls>
          <c:showLegendKey val="0"/>
          <c:showVal val="0"/>
          <c:showCatName val="0"/>
          <c:showSerName val="0"/>
          <c:showPercent val="0"/>
          <c:showBubbleSize val="0"/>
        </c:dLbls>
        <c:axId val="774613008"/>
        <c:axId val="774603496"/>
      </c:areaChart>
      <c:catAx>
        <c:axId val="7746130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774603496"/>
        <c:crosses val="autoZero"/>
        <c:auto val="1"/>
        <c:lblAlgn val="ctr"/>
        <c:lblOffset val="100"/>
        <c:noMultiLvlLbl val="0"/>
      </c:catAx>
      <c:valAx>
        <c:axId val="774603496"/>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Installed production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774613008"/>
        <c:crosses val="autoZero"/>
        <c:crossBetween val="midCat"/>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OPEX (20%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FINAL'!$Q$48:$Q$58</c:f>
              <c:numCache>
                <c:formatCode>_(* #,##0.00_);_(* \(#,##0.00\);_(* "-"??_);_(@_)</c:formatCode>
                <c:ptCount val="11"/>
                <c:pt idx="0">
                  <c:v>30386249.999999996</c:v>
                </c:pt>
                <c:pt idx="1">
                  <c:v>45579374.999999993</c:v>
                </c:pt>
                <c:pt idx="2">
                  <c:v>68369062.5</c:v>
                </c:pt>
                <c:pt idx="3">
                  <c:v>97235999.999999985</c:v>
                </c:pt>
                <c:pt idx="4">
                  <c:v>121544999.99999999</c:v>
                </c:pt>
                <c:pt idx="5">
                  <c:v>145854000</c:v>
                </c:pt>
                <c:pt idx="6">
                  <c:v>167124375</c:v>
                </c:pt>
                <c:pt idx="7">
                  <c:v>188394749.99999997</c:v>
                </c:pt>
                <c:pt idx="8">
                  <c:v>217261687.49999997</c:v>
                </c:pt>
                <c:pt idx="9">
                  <c:v>243089999.99999997</c:v>
                </c:pt>
                <c:pt idx="10">
                  <c:v>303862500</c:v>
                </c:pt>
              </c:numCache>
            </c:numRef>
          </c:xVal>
          <c:yVal>
            <c:numRef>
              <c:f>'[Economic Data Collection.xlsx]PSA FINAL'!$X$48:$X$58</c:f>
              <c:numCache>
                <c:formatCode>_-* #,##0_-;\-* #,##0_-;_-* "-"??_-;_-@_-</c:formatCode>
                <c:ptCount val="11"/>
                <c:pt idx="0">
                  <c:v>1712309.7540000002</c:v>
                </c:pt>
                <c:pt idx="1">
                  <c:v>1388359.2600000002</c:v>
                </c:pt>
                <c:pt idx="2">
                  <c:v>1770158.0565000004</c:v>
                </c:pt>
                <c:pt idx="3">
                  <c:v>2221374.8160000001</c:v>
                </c:pt>
                <c:pt idx="4">
                  <c:v>2591603.952</c:v>
                </c:pt>
                <c:pt idx="5">
                  <c:v>2887787.2608000003</c:v>
                </c:pt>
                <c:pt idx="6">
                  <c:v>3181656.6375000002</c:v>
                </c:pt>
                <c:pt idx="7">
                  <c:v>3299667.1745999991</c:v>
                </c:pt>
                <c:pt idx="8">
                  <c:v>3639815.1932999999</c:v>
                </c:pt>
                <c:pt idx="9">
                  <c:v>3887405.9280000008</c:v>
                </c:pt>
                <c:pt idx="10">
                  <c:v>4627864.2000000011</c:v>
                </c:pt>
              </c:numCache>
            </c:numRef>
          </c:yVal>
          <c:smooth val="0"/>
          <c:extLst>
            <c:ext xmlns:c16="http://schemas.microsoft.com/office/drawing/2014/chart" uri="{C3380CC4-5D6E-409C-BE32-E72D297353CC}">
              <c16:uniqueId val="{00000001-5408-4C6F-95D7-85173FBEA3DF}"/>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Lifetime</a:t>
                </a:r>
                <a:r>
                  <a:rPr lang="en-GB" sz="900" baseline="0"/>
                  <a:t> Throughput (kWh)</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OPEX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CAPEX (20%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FINAL'!$P$48:$P$58</c:f>
              <c:numCache>
                <c:formatCode>0</c:formatCode>
                <c:ptCount val="11"/>
                <c:pt idx="0">
                  <c:v>138.75</c:v>
                </c:pt>
                <c:pt idx="1">
                  <c:v>208.125</c:v>
                </c:pt>
                <c:pt idx="2">
                  <c:v>312.1875</c:v>
                </c:pt>
                <c:pt idx="3">
                  <c:v>444</c:v>
                </c:pt>
                <c:pt idx="4">
                  <c:v>555</c:v>
                </c:pt>
                <c:pt idx="5">
                  <c:v>666</c:v>
                </c:pt>
                <c:pt idx="6">
                  <c:v>763.125</c:v>
                </c:pt>
                <c:pt idx="7">
                  <c:v>860.25</c:v>
                </c:pt>
                <c:pt idx="8">
                  <c:v>992.0625</c:v>
                </c:pt>
                <c:pt idx="9">
                  <c:v>1110</c:v>
                </c:pt>
                <c:pt idx="10">
                  <c:v>1387.5</c:v>
                </c:pt>
              </c:numCache>
            </c:numRef>
          </c:xVal>
          <c:yVal>
            <c:numRef>
              <c:f>'[Economic Data Collection.xlsx]PSA FINAL'!$Y$48:$Y$58</c:f>
              <c:numCache>
                <c:formatCode>_-* #,##0_-;\-* #,##0_-;_-* "-"??_-;_-@_-</c:formatCode>
                <c:ptCount val="11"/>
                <c:pt idx="0">
                  <c:v>3481696.4998000003</c:v>
                </c:pt>
                <c:pt idx="1">
                  <c:v>2822997.162</c:v>
                </c:pt>
                <c:pt idx="2">
                  <c:v>3599321.38155</c:v>
                </c:pt>
                <c:pt idx="3">
                  <c:v>4516795.4592000004</c:v>
                </c:pt>
                <c:pt idx="4">
                  <c:v>5269594.7023999998</c:v>
                </c:pt>
                <c:pt idx="5">
                  <c:v>5871834.0969600007</c:v>
                </c:pt>
                <c:pt idx="6">
                  <c:v>6469368.4962499999</c:v>
                </c:pt>
                <c:pt idx="7">
                  <c:v>6709323.25502</c:v>
                </c:pt>
                <c:pt idx="8">
                  <c:v>7400957.5597100016</c:v>
                </c:pt>
                <c:pt idx="9">
                  <c:v>7904392.0536000011</c:v>
                </c:pt>
                <c:pt idx="10">
                  <c:v>9409990.5400000028</c:v>
                </c:pt>
              </c:numCache>
            </c:numRef>
          </c:yVal>
          <c:smooth val="0"/>
          <c:extLst>
            <c:ext xmlns:c16="http://schemas.microsoft.com/office/drawing/2014/chart" uri="{C3380CC4-5D6E-409C-BE32-E72D297353CC}">
              <c16:uniqueId val="{00000001-706C-4071-992D-2914BDB5DE2E}"/>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baseline="0"/>
                  <a:t>Capacity (kW)</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CAPEX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OPEX</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layout>
                <c:manualLayout>
                  <c:x val="-5.3934679256984835E-2"/>
                  <c:y val="2.727464510700762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FINAL'!$J$61:$J$62</c:f>
              <c:numCache>
                <c:formatCode>General</c:formatCode>
                <c:ptCount val="2"/>
                <c:pt idx="0">
                  <c:v>10</c:v>
                </c:pt>
                <c:pt idx="1">
                  <c:v>20</c:v>
                </c:pt>
              </c:numCache>
            </c:numRef>
          </c:xVal>
          <c:yVal>
            <c:numRef>
              <c:f>'[Economic Data Collection.xlsx]PSA FINAL'!$K$61:$K$62</c:f>
              <c:numCache>
                <c:formatCode>General</c:formatCode>
                <c:ptCount val="2"/>
                <c:pt idx="0">
                  <c:v>2.8799999999999999E-2</c:v>
                </c:pt>
                <c:pt idx="1">
                  <c:v>1.7399999999999999E-2</c:v>
                </c:pt>
              </c:numCache>
            </c:numRef>
          </c:yVal>
          <c:smooth val="0"/>
          <c:extLst>
            <c:ext xmlns:c16="http://schemas.microsoft.com/office/drawing/2014/chart" uri="{C3380CC4-5D6E-409C-BE32-E72D297353CC}">
              <c16:uniqueId val="{00000001-9CCA-4451-A139-9DED7544D100}"/>
            </c:ext>
          </c:extLst>
        </c:ser>
        <c:dLbls>
          <c:showLegendKey val="0"/>
          <c:showVal val="0"/>
          <c:showCatName val="0"/>
          <c:showSerName val="0"/>
          <c:showPercent val="0"/>
          <c:showBubbleSize val="0"/>
        </c:dLbls>
        <c:axId val="778823944"/>
        <c:axId val="778818040"/>
      </c:scatterChart>
      <c:valAx>
        <c:axId val="778823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Inlet Hydrogen Conc (%Vol)</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18040"/>
        <c:crosses val="autoZero"/>
        <c:crossBetween val="midCat"/>
      </c:valAx>
      <c:valAx>
        <c:axId val="778818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OPEX</a:t>
                </a:r>
                <a:r>
                  <a:rPr lang="en-GB" sz="900" baseline="0"/>
                  <a:t> (£/kWh)</a:t>
                </a:r>
                <a:endParaRPr lang="en-GB"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239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CAPEX</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layout>
                <c:manualLayout>
                  <c:x val="-3.7225574835192274E-2"/>
                  <c:y val="3.898849143111039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FINAL'!$J$61:$J$62</c:f>
              <c:numCache>
                <c:formatCode>General</c:formatCode>
                <c:ptCount val="2"/>
                <c:pt idx="0">
                  <c:v>10</c:v>
                </c:pt>
                <c:pt idx="1">
                  <c:v>20</c:v>
                </c:pt>
              </c:numCache>
            </c:numRef>
          </c:xVal>
          <c:yVal>
            <c:numRef>
              <c:f>'[Economic Data Collection.xlsx]PSA FINAL'!$L$61:$L$62</c:f>
              <c:numCache>
                <c:formatCode>General</c:formatCode>
                <c:ptCount val="2"/>
                <c:pt idx="0">
                  <c:v>12814</c:v>
                </c:pt>
                <c:pt idx="1">
                  <c:v>7746.7</c:v>
                </c:pt>
              </c:numCache>
            </c:numRef>
          </c:yVal>
          <c:smooth val="0"/>
          <c:extLst>
            <c:ext xmlns:c16="http://schemas.microsoft.com/office/drawing/2014/chart" uri="{C3380CC4-5D6E-409C-BE32-E72D297353CC}">
              <c16:uniqueId val="{00000001-DCC7-48DF-8926-477F7861CCD7}"/>
            </c:ext>
          </c:extLst>
        </c:ser>
        <c:dLbls>
          <c:showLegendKey val="0"/>
          <c:showVal val="0"/>
          <c:showCatName val="0"/>
          <c:showSerName val="0"/>
          <c:showPercent val="0"/>
          <c:showBubbleSize val="0"/>
        </c:dLbls>
        <c:axId val="778823944"/>
        <c:axId val="778818040"/>
      </c:scatterChart>
      <c:valAx>
        <c:axId val="778823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Inlet Hydrogen Conc (%Vol)</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18040"/>
        <c:crosses val="autoZero"/>
        <c:crossBetween val="midCat"/>
      </c:valAx>
      <c:valAx>
        <c:axId val="778818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CAPEX</a:t>
                </a:r>
                <a:r>
                  <a:rPr lang="en-GB" sz="900" baseline="0"/>
                  <a:t> (£/kW)</a:t>
                </a:r>
                <a:endParaRPr lang="en-GB"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239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OPEX (10%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FINAL'!$Q$152:$Q$162</c:f>
              <c:numCache>
                <c:formatCode>_(* #,##0.00_);_(* \(#,##0.00\);_(* "-"??_);_(@_)</c:formatCode>
                <c:ptCount val="11"/>
                <c:pt idx="0">
                  <c:v>30386249.999999996</c:v>
                </c:pt>
                <c:pt idx="1">
                  <c:v>45579374.999999993</c:v>
                </c:pt>
                <c:pt idx="2">
                  <c:v>68369062.5</c:v>
                </c:pt>
                <c:pt idx="3">
                  <c:v>97235999.999999985</c:v>
                </c:pt>
                <c:pt idx="4">
                  <c:v>121544999.99999999</c:v>
                </c:pt>
                <c:pt idx="5">
                  <c:v>145854000</c:v>
                </c:pt>
                <c:pt idx="6">
                  <c:v>167124375</c:v>
                </c:pt>
                <c:pt idx="7">
                  <c:v>188394749.99999997</c:v>
                </c:pt>
                <c:pt idx="8">
                  <c:v>217261687.49999997</c:v>
                </c:pt>
                <c:pt idx="9">
                  <c:v>243089999.99999997</c:v>
                </c:pt>
                <c:pt idx="10">
                  <c:v>303862500</c:v>
                </c:pt>
              </c:numCache>
            </c:numRef>
          </c:xVal>
          <c:yVal>
            <c:numRef>
              <c:f>'[Economic Data Collection.xlsx]PSA FINAL'!$X$152:$X$162</c:f>
              <c:numCache>
                <c:formatCode>_-* #,##0_-;\-* #,##0_-;_-* "-"??_-;_-@_-</c:formatCode>
                <c:ptCount val="11"/>
                <c:pt idx="0">
                  <c:v>300811.17300000007</c:v>
                </c:pt>
                <c:pt idx="1">
                  <c:v>284613.64829999994</c:v>
                </c:pt>
                <c:pt idx="2">
                  <c:v>333206.22240000009</c:v>
                </c:pt>
                <c:pt idx="3">
                  <c:v>399847.46687999991</c:v>
                </c:pt>
                <c:pt idx="4">
                  <c:v>435019.23479999992</c:v>
                </c:pt>
                <c:pt idx="5">
                  <c:v>466488.71136000002</c:v>
                </c:pt>
                <c:pt idx="6">
                  <c:v>496338.43545000005</c:v>
                </c:pt>
                <c:pt idx="7">
                  <c:v>502123.26569999999</c:v>
                </c:pt>
                <c:pt idx="8">
                  <c:v>545972.27899500006</c:v>
                </c:pt>
                <c:pt idx="9">
                  <c:v>592366.6176</c:v>
                </c:pt>
                <c:pt idx="10">
                  <c:v>694179.63000000012</c:v>
                </c:pt>
              </c:numCache>
            </c:numRef>
          </c:yVal>
          <c:smooth val="0"/>
          <c:extLst>
            <c:ext xmlns:c16="http://schemas.microsoft.com/office/drawing/2014/chart" uri="{C3380CC4-5D6E-409C-BE32-E72D297353CC}">
              <c16:uniqueId val="{00000001-D7C8-4EBA-82ED-AF57355856BF}"/>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Lifetime</a:t>
                </a:r>
                <a:r>
                  <a:rPr lang="en-GB" sz="900" baseline="0"/>
                  <a:t> Throughout (kWh)</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OPEX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CAPEX (10%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FINAL'!$P$152:$P$162</c:f>
              <c:numCache>
                <c:formatCode>General</c:formatCode>
                <c:ptCount val="11"/>
                <c:pt idx="0">
                  <c:v>138.75</c:v>
                </c:pt>
                <c:pt idx="1">
                  <c:v>208.125</c:v>
                </c:pt>
                <c:pt idx="2">
                  <c:v>312.1875</c:v>
                </c:pt>
                <c:pt idx="3">
                  <c:v>444</c:v>
                </c:pt>
                <c:pt idx="4">
                  <c:v>555</c:v>
                </c:pt>
                <c:pt idx="5">
                  <c:v>666</c:v>
                </c:pt>
                <c:pt idx="6">
                  <c:v>763.125</c:v>
                </c:pt>
                <c:pt idx="7">
                  <c:v>860.25</c:v>
                </c:pt>
                <c:pt idx="8">
                  <c:v>992.0625</c:v>
                </c:pt>
                <c:pt idx="9">
                  <c:v>1110</c:v>
                </c:pt>
                <c:pt idx="10">
                  <c:v>1387.5</c:v>
                </c:pt>
              </c:numCache>
            </c:numRef>
          </c:xVal>
          <c:yVal>
            <c:numRef>
              <c:f>'[Economic Data Collection.xlsx]PSA FINAL'!$Y$152:$Y$162</c:f>
              <c:numCache>
                <c:formatCode>_-* #,##0_-;\-* #,##0_-;_-* "-"??_-;_-@_-</c:formatCode>
                <c:ptCount val="11"/>
                <c:pt idx="0">
                  <c:v>611649.38510000007</c:v>
                </c:pt>
                <c:pt idx="1">
                  <c:v>578714.41820999992</c:v>
                </c:pt>
                <c:pt idx="2">
                  <c:v>677519.31888000015</c:v>
                </c:pt>
                <c:pt idx="3">
                  <c:v>813023.1826559999</c:v>
                </c:pt>
                <c:pt idx="4">
                  <c:v>884539.11075999995</c:v>
                </c:pt>
                <c:pt idx="5">
                  <c:v>948527.04643200024</c:v>
                </c:pt>
                <c:pt idx="6">
                  <c:v>1009221.485415</c:v>
                </c:pt>
                <c:pt idx="7">
                  <c:v>1020983.97359</c:v>
                </c:pt>
                <c:pt idx="8">
                  <c:v>1110143.6339565001</c:v>
                </c:pt>
                <c:pt idx="9">
                  <c:v>1204478.7891200001</c:v>
                </c:pt>
                <c:pt idx="10">
                  <c:v>1411498.581</c:v>
                </c:pt>
              </c:numCache>
            </c:numRef>
          </c:yVal>
          <c:smooth val="0"/>
          <c:extLst>
            <c:ext xmlns:c16="http://schemas.microsoft.com/office/drawing/2014/chart" uri="{C3380CC4-5D6E-409C-BE32-E72D297353CC}">
              <c16:uniqueId val="{00000001-A2D2-48A5-9698-ADF7E85E9F7C}"/>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Capacity</a:t>
                </a:r>
                <a:r>
                  <a:rPr lang="en-GB" sz="900" baseline="0"/>
                  <a:t> (kW)</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CAPEX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OPEX (20%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FINAL'!$Q$163:$Q$173</c:f>
              <c:numCache>
                <c:formatCode>_(* #,##0.00_);_(* \(#,##0.00\);_(* "-"??_);_(@_)</c:formatCode>
                <c:ptCount val="11"/>
                <c:pt idx="0">
                  <c:v>30386249.999999996</c:v>
                </c:pt>
                <c:pt idx="1">
                  <c:v>45579374.999999993</c:v>
                </c:pt>
                <c:pt idx="2">
                  <c:v>68369062.5</c:v>
                </c:pt>
                <c:pt idx="3">
                  <c:v>97235999.999999985</c:v>
                </c:pt>
                <c:pt idx="4">
                  <c:v>121544999.99999999</c:v>
                </c:pt>
                <c:pt idx="5">
                  <c:v>145854000</c:v>
                </c:pt>
                <c:pt idx="6">
                  <c:v>167124375</c:v>
                </c:pt>
                <c:pt idx="7">
                  <c:v>188394749.99999997</c:v>
                </c:pt>
                <c:pt idx="8">
                  <c:v>217261687.49999997</c:v>
                </c:pt>
                <c:pt idx="9">
                  <c:v>243089999.99999997</c:v>
                </c:pt>
                <c:pt idx="10">
                  <c:v>303862500</c:v>
                </c:pt>
              </c:numCache>
            </c:numRef>
          </c:xVal>
          <c:yVal>
            <c:numRef>
              <c:f>'[Economic Data Collection.xlsx]PSA FINAL'!$X$163:$X$173</c:f>
              <c:numCache>
                <c:formatCode>_-* #,##0_-;\-* #,##0_-;_-* "-"??_-;_-@_-</c:formatCode>
                <c:ptCount val="11"/>
                <c:pt idx="0">
                  <c:v>261474.32730000003</c:v>
                </c:pt>
                <c:pt idx="1">
                  <c:v>249904.66679999995</c:v>
                </c:pt>
                <c:pt idx="2">
                  <c:v>301968.13905</c:v>
                </c:pt>
                <c:pt idx="3">
                  <c:v>355419.97055999999</c:v>
                </c:pt>
                <c:pt idx="4">
                  <c:v>379484.86439999996</c:v>
                </c:pt>
                <c:pt idx="5">
                  <c:v>399847.46688000002</c:v>
                </c:pt>
                <c:pt idx="6">
                  <c:v>407252.04960000009</c:v>
                </c:pt>
                <c:pt idx="7">
                  <c:v>416044.99157999997</c:v>
                </c:pt>
                <c:pt idx="8">
                  <c:v>446704.59190499998</c:v>
                </c:pt>
                <c:pt idx="9">
                  <c:v>481297.87680000003</c:v>
                </c:pt>
                <c:pt idx="10">
                  <c:v>555343.70400000003</c:v>
                </c:pt>
              </c:numCache>
            </c:numRef>
          </c:yVal>
          <c:smooth val="0"/>
          <c:extLst>
            <c:ext xmlns:c16="http://schemas.microsoft.com/office/drawing/2014/chart" uri="{C3380CC4-5D6E-409C-BE32-E72D297353CC}">
              <c16:uniqueId val="{00000001-196A-47F8-A69C-C16BCC431350}"/>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Lifetime</a:t>
                </a:r>
                <a:r>
                  <a:rPr lang="en-GB" baseline="0"/>
                  <a:t> Throughout (kWh)</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OPEX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CAPEX (20% in)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FINAL'!$P$163:$P$173</c:f>
              <c:numCache>
                <c:formatCode>General</c:formatCode>
                <c:ptCount val="11"/>
                <c:pt idx="0">
                  <c:v>138.75</c:v>
                </c:pt>
                <c:pt idx="1">
                  <c:v>208.125</c:v>
                </c:pt>
                <c:pt idx="2">
                  <c:v>312.1875</c:v>
                </c:pt>
                <c:pt idx="3">
                  <c:v>444</c:v>
                </c:pt>
                <c:pt idx="4">
                  <c:v>555</c:v>
                </c:pt>
                <c:pt idx="5">
                  <c:v>666</c:v>
                </c:pt>
                <c:pt idx="6">
                  <c:v>763.125</c:v>
                </c:pt>
                <c:pt idx="7">
                  <c:v>860.25</c:v>
                </c:pt>
                <c:pt idx="8">
                  <c:v>992.0625</c:v>
                </c:pt>
                <c:pt idx="9">
                  <c:v>1110</c:v>
                </c:pt>
                <c:pt idx="10">
                  <c:v>1387.5</c:v>
                </c:pt>
              </c:numCache>
            </c:numRef>
          </c:xVal>
          <c:yVal>
            <c:numRef>
              <c:f>'[Economic Data Collection.xlsx]PSA FINAL'!$Y$163:$Y$173</c:f>
              <c:numCache>
                <c:formatCode>_-* #,##0_-;\-* #,##0_-;_-* "-"??_-;_-@_-</c:formatCode>
                <c:ptCount val="11"/>
                <c:pt idx="0">
                  <c:v>531664.46551000001</c:v>
                </c:pt>
                <c:pt idx="1">
                  <c:v>508139.48915999994</c:v>
                </c:pt>
                <c:pt idx="2">
                  <c:v>614001.88273500011</c:v>
                </c:pt>
                <c:pt idx="3">
                  <c:v>722687.27347199991</c:v>
                </c:pt>
                <c:pt idx="4">
                  <c:v>771619.22427999997</c:v>
                </c:pt>
                <c:pt idx="5">
                  <c:v>813023.18265600014</c:v>
                </c:pt>
                <c:pt idx="6">
                  <c:v>828079.16752000013</c:v>
                </c:pt>
                <c:pt idx="7">
                  <c:v>845958.14954599994</c:v>
                </c:pt>
                <c:pt idx="8">
                  <c:v>908299.33687349979</c:v>
                </c:pt>
                <c:pt idx="9">
                  <c:v>978639.01616000012</c:v>
                </c:pt>
                <c:pt idx="10">
                  <c:v>1129198.8648000001</c:v>
                </c:pt>
              </c:numCache>
            </c:numRef>
          </c:yVal>
          <c:smooth val="0"/>
          <c:extLst>
            <c:ext xmlns:c16="http://schemas.microsoft.com/office/drawing/2014/chart" uri="{C3380CC4-5D6E-409C-BE32-E72D297353CC}">
              <c16:uniqueId val="{00000001-A96F-4BC0-ACE8-37C0D2142FA8}"/>
            </c:ext>
          </c:extLst>
        </c:ser>
        <c:dLbls>
          <c:showLegendKey val="0"/>
          <c:showVal val="0"/>
          <c:showCatName val="0"/>
          <c:showSerName val="0"/>
          <c:showPercent val="0"/>
          <c:showBubbleSize val="0"/>
        </c:dLbls>
        <c:axId val="789597520"/>
        <c:axId val="789595552"/>
      </c:scatterChart>
      <c:valAx>
        <c:axId val="789597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baseline="0"/>
                  <a:t>Capacity (kW)</a:t>
                </a:r>
                <a:endParaRPr lang="en-GB"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5552"/>
        <c:crosses val="autoZero"/>
        <c:crossBetween val="midCat"/>
      </c:valAx>
      <c:valAx>
        <c:axId val="78959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Total CAPEX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89597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OPEX</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layout>
                <c:manualLayout>
                  <c:x val="8.9202987232329292E-2"/>
                  <c:y val="-9.0219667930375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FINAL'!$J$176:$J$177</c:f>
              <c:numCache>
                <c:formatCode>General</c:formatCode>
                <c:ptCount val="2"/>
                <c:pt idx="0">
                  <c:v>10</c:v>
                </c:pt>
                <c:pt idx="1">
                  <c:v>20</c:v>
                </c:pt>
              </c:numCache>
            </c:numRef>
          </c:xVal>
          <c:yVal>
            <c:numRef>
              <c:f>'[Economic Data Collection.xlsx]PSA FINAL'!$K$176:$K$177</c:f>
              <c:numCache>
                <c:formatCode>General</c:formatCode>
                <c:ptCount val="2"/>
                <c:pt idx="0">
                  <c:v>2.7000000000000001E-3</c:v>
                </c:pt>
                <c:pt idx="1">
                  <c:v>2.2000000000000001E-3</c:v>
                </c:pt>
              </c:numCache>
            </c:numRef>
          </c:yVal>
          <c:smooth val="0"/>
          <c:extLst>
            <c:ext xmlns:c16="http://schemas.microsoft.com/office/drawing/2014/chart" uri="{C3380CC4-5D6E-409C-BE32-E72D297353CC}">
              <c16:uniqueId val="{00000001-715C-4895-B41A-79557E32E76D}"/>
            </c:ext>
          </c:extLst>
        </c:ser>
        <c:dLbls>
          <c:showLegendKey val="0"/>
          <c:showVal val="0"/>
          <c:showCatName val="0"/>
          <c:showSerName val="0"/>
          <c:showPercent val="0"/>
          <c:showBubbleSize val="0"/>
        </c:dLbls>
        <c:axId val="778823944"/>
        <c:axId val="778818040"/>
      </c:scatterChart>
      <c:valAx>
        <c:axId val="778823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Inlet Hydrogen Conc (%Vol)</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18040"/>
        <c:crosses val="autoZero"/>
        <c:crossBetween val="midCat"/>
      </c:valAx>
      <c:valAx>
        <c:axId val="778818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OPEX</a:t>
                </a:r>
                <a:r>
                  <a:rPr lang="en-GB" sz="900" baseline="0"/>
                  <a:t> (£/kWh)</a:t>
                </a:r>
                <a:endParaRPr lang="en-GB"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239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CAPEX</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layout>
                <c:manualLayout>
                  <c:x val="-3.7225574835192274E-2"/>
                  <c:y val="3.898849143111039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rendlineLbl>
          </c:trendline>
          <c:xVal>
            <c:numRef>
              <c:f>'[Economic Data Collection.xlsx]PSA FINAL'!$J$176:$J$177</c:f>
              <c:numCache>
                <c:formatCode>General</c:formatCode>
                <c:ptCount val="2"/>
                <c:pt idx="0">
                  <c:v>10</c:v>
                </c:pt>
                <c:pt idx="1">
                  <c:v>20</c:v>
                </c:pt>
              </c:numCache>
            </c:numRef>
          </c:xVal>
          <c:yVal>
            <c:numRef>
              <c:f>'[Economic Data Collection.xlsx]PSA FINAL'!$L$176:$L$177</c:f>
              <c:numCache>
                <c:formatCode>General</c:formatCode>
                <c:ptCount val="2"/>
                <c:pt idx="0">
                  <c:v>1208.9000000000001</c:v>
                </c:pt>
                <c:pt idx="1">
                  <c:v>1000.5</c:v>
                </c:pt>
              </c:numCache>
            </c:numRef>
          </c:yVal>
          <c:smooth val="0"/>
          <c:extLst>
            <c:ext xmlns:c16="http://schemas.microsoft.com/office/drawing/2014/chart" uri="{C3380CC4-5D6E-409C-BE32-E72D297353CC}">
              <c16:uniqueId val="{00000001-D10E-459A-A3F6-15DA06CFD073}"/>
            </c:ext>
          </c:extLst>
        </c:ser>
        <c:dLbls>
          <c:showLegendKey val="0"/>
          <c:showVal val="0"/>
          <c:showCatName val="0"/>
          <c:showSerName val="0"/>
          <c:showPercent val="0"/>
          <c:showBubbleSize val="0"/>
        </c:dLbls>
        <c:axId val="778823944"/>
        <c:axId val="778818040"/>
      </c:scatterChart>
      <c:valAx>
        <c:axId val="778823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Inlet Hydrogen Conc (%Vol)</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18040"/>
        <c:crosses val="autoZero"/>
        <c:crossBetween val="midCat"/>
      </c:valAx>
      <c:valAx>
        <c:axId val="778818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CAPEX</a:t>
                </a:r>
                <a:r>
                  <a:rPr lang="en-GB" sz="900" baseline="0"/>
                  <a:t> (£/kW)</a:t>
                </a:r>
                <a:endParaRPr lang="en-GB"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7788239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'Mid CO2 Price'!$AM$49</c:f>
              <c:strCache>
                <c:ptCount val="1"/>
                <c:pt idx="0">
                  <c:v>Low Carbon Price</c:v>
                </c:pt>
              </c:strCache>
            </c:strRef>
          </c:tx>
          <c:spPr>
            <a:solidFill>
              <a:schemeClr val="accent6">
                <a:alpha val="50000"/>
              </a:schemeClr>
            </a:solidFill>
            <a:ln>
              <a:noFill/>
            </a:ln>
            <a:effectLst/>
          </c:spPr>
          <c:invertIfNegative val="0"/>
          <c:cat>
            <c:numRef>
              <c:f>'Mid CO2 Price'!$AL$50:$AL$56</c:f>
              <c:numCache>
                <c:formatCode>General</c:formatCode>
                <c:ptCount val="7"/>
                <c:pt idx="0">
                  <c:v>2020</c:v>
                </c:pt>
                <c:pt idx="1">
                  <c:v>2025</c:v>
                </c:pt>
                <c:pt idx="2">
                  <c:v>2030</c:v>
                </c:pt>
                <c:pt idx="3">
                  <c:v>2035</c:v>
                </c:pt>
                <c:pt idx="4">
                  <c:v>2040</c:v>
                </c:pt>
                <c:pt idx="5">
                  <c:v>2045</c:v>
                </c:pt>
                <c:pt idx="6">
                  <c:v>2050</c:v>
                </c:pt>
              </c:numCache>
            </c:numRef>
          </c:cat>
          <c:val>
            <c:numRef>
              <c:f>'Mid CO2 Price'!$AM$50:$AM$56</c:f>
              <c:numCache>
                <c:formatCode>#,##0</c:formatCode>
                <c:ptCount val="7"/>
                <c:pt idx="0">
                  <c:v>441069</c:v>
                </c:pt>
                <c:pt idx="1">
                  <c:v>1261242</c:v>
                </c:pt>
                <c:pt idx="2">
                  <c:v>2314926</c:v>
                </c:pt>
                <c:pt idx="3">
                  <c:v>2658330</c:v>
                </c:pt>
                <c:pt idx="4">
                  <c:v>3721660</c:v>
                </c:pt>
                <c:pt idx="5">
                  <c:v>4343490</c:v>
                </c:pt>
                <c:pt idx="6">
                  <c:v>4417090</c:v>
                </c:pt>
              </c:numCache>
            </c:numRef>
          </c:val>
          <c:extLst>
            <c:ext xmlns:c16="http://schemas.microsoft.com/office/drawing/2014/chart" uri="{C3380CC4-5D6E-409C-BE32-E72D297353CC}">
              <c16:uniqueId val="{00000000-561E-425F-9F82-6046C218DD51}"/>
            </c:ext>
          </c:extLst>
        </c:ser>
        <c:ser>
          <c:idx val="1"/>
          <c:order val="1"/>
          <c:tx>
            <c:strRef>
              <c:f>'Mid CO2 Price'!$AN$49</c:f>
              <c:strCache>
                <c:ptCount val="1"/>
                <c:pt idx="0">
                  <c:v>Mid Carbon Price</c:v>
                </c:pt>
              </c:strCache>
            </c:strRef>
          </c:tx>
          <c:spPr>
            <a:solidFill>
              <a:schemeClr val="accent5">
                <a:alpha val="50000"/>
              </a:schemeClr>
            </a:solidFill>
            <a:ln>
              <a:noFill/>
            </a:ln>
            <a:effectLst/>
          </c:spPr>
          <c:invertIfNegative val="0"/>
          <c:dLbls>
            <c:dLbl>
              <c:idx val="6"/>
              <c:layout>
                <c:manualLayout>
                  <c:x val="-1.390337004552861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1E-425F-9F82-6046C218DD5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'Mid CO2 Price'!$AL$50:$AL$56</c:f>
              <c:numCache>
                <c:formatCode>General</c:formatCode>
                <c:ptCount val="7"/>
                <c:pt idx="0">
                  <c:v>2020</c:v>
                </c:pt>
                <c:pt idx="1">
                  <c:v>2025</c:v>
                </c:pt>
                <c:pt idx="2">
                  <c:v>2030</c:v>
                </c:pt>
                <c:pt idx="3">
                  <c:v>2035</c:v>
                </c:pt>
                <c:pt idx="4">
                  <c:v>2040</c:v>
                </c:pt>
                <c:pt idx="5">
                  <c:v>2045</c:v>
                </c:pt>
                <c:pt idx="6">
                  <c:v>2050</c:v>
                </c:pt>
              </c:numCache>
            </c:numRef>
          </c:cat>
          <c:val>
            <c:numRef>
              <c:f>'Mid CO2 Price'!$AN$50:$AN$56</c:f>
              <c:numCache>
                <c:formatCode>#,##0</c:formatCode>
                <c:ptCount val="7"/>
                <c:pt idx="0">
                  <c:v>441069</c:v>
                </c:pt>
                <c:pt idx="1">
                  <c:v>1261242</c:v>
                </c:pt>
                <c:pt idx="2">
                  <c:v>2314926</c:v>
                </c:pt>
                <c:pt idx="3">
                  <c:v>2658330</c:v>
                </c:pt>
                <c:pt idx="4">
                  <c:v>3721660</c:v>
                </c:pt>
                <c:pt idx="5">
                  <c:v>4343490</c:v>
                </c:pt>
                <c:pt idx="6">
                  <c:v>4417090</c:v>
                </c:pt>
              </c:numCache>
            </c:numRef>
          </c:val>
          <c:extLst>
            <c:ext xmlns:c16="http://schemas.microsoft.com/office/drawing/2014/chart" uri="{C3380CC4-5D6E-409C-BE32-E72D297353CC}">
              <c16:uniqueId val="{00000002-561E-425F-9F82-6046C218DD51}"/>
            </c:ext>
          </c:extLst>
        </c:ser>
        <c:ser>
          <c:idx val="2"/>
          <c:order val="2"/>
          <c:tx>
            <c:strRef>
              <c:f>'Mid CO2 Price'!$AO$49</c:f>
              <c:strCache>
                <c:ptCount val="1"/>
                <c:pt idx="0">
                  <c:v>High Carbon Price</c:v>
                </c:pt>
              </c:strCache>
            </c:strRef>
          </c:tx>
          <c:spPr>
            <a:solidFill>
              <a:schemeClr val="accent4">
                <a:alpha val="5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561E-425F-9F82-6046C218DD51}"/>
                </c:ext>
              </c:extLst>
            </c:dLbl>
            <c:dLbl>
              <c:idx val="1"/>
              <c:delete val="1"/>
              <c:extLst>
                <c:ext xmlns:c15="http://schemas.microsoft.com/office/drawing/2012/chart" uri="{CE6537A1-D6FC-4f65-9D91-7224C49458BB}"/>
                <c:ext xmlns:c16="http://schemas.microsoft.com/office/drawing/2014/chart" uri="{C3380CC4-5D6E-409C-BE32-E72D297353CC}">
                  <c16:uniqueId val="{00000004-561E-425F-9F82-6046C218DD51}"/>
                </c:ext>
              </c:extLst>
            </c:dLbl>
            <c:dLbl>
              <c:idx val="2"/>
              <c:delete val="1"/>
              <c:extLst>
                <c:ext xmlns:c15="http://schemas.microsoft.com/office/drawing/2012/chart" uri="{CE6537A1-D6FC-4f65-9D91-7224C49458BB}"/>
                <c:ext xmlns:c16="http://schemas.microsoft.com/office/drawing/2014/chart" uri="{C3380CC4-5D6E-409C-BE32-E72D297353CC}">
                  <c16:uniqueId val="{00000005-561E-425F-9F82-6046C218DD51}"/>
                </c:ext>
              </c:extLst>
            </c:dLbl>
            <c:dLbl>
              <c:idx val="3"/>
              <c:delete val="1"/>
              <c:extLst>
                <c:ext xmlns:c15="http://schemas.microsoft.com/office/drawing/2012/chart" uri="{CE6537A1-D6FC-4f65-9D91-7224C49458BB}"/>
                <c:ext xmlns:c16="http://schemas.microsoft.com/office/drawing/2014/chart" uri="{C3380CC4-5D6E-409C-BE32-E72D297353CC}">
                  <c16:uniqueId val="{00000006-561E-425F-9F82-6046C218DD51}"/>
                </c:ext>
              </c:extLst>
            </c:dLbl>
            <c:dLbl>
              <c:idx val="4"/>
              <c:delete val="1"/>
              <c:extLst>
                <c:ext xmlns:c15="http://schemas.microsoft.com/office/drawing/2012/chart" uri="{CE6537A1-D6FC-4f65-9D91-7224C49458BB}"/>
                <c:ext xmlns:c16="http://schemas.microsoft.com/office/drawing/2014/chart" uri="{C3380CC4-5D6E-409C-BE32-E72D297353CC}">
                  <c16:uniqueId val="{00000007-561E-425F-9F82-6046C218DD51}"/>
                </c:ext>
              </c:extLst>
            </c:dLbl>
            <c:dLbl>
              <c:idx val="5"/>
              <c:delete val="1"/>
              <c:extLst>
                <c:ext xmlns:c15="http://schemas.microsoft.com/office/drawing/2012/chart" uri="{CE6537A1-D6FC-4f65-9D91-7224C49458BB}"/>
                <c:ext xmlns:c16="http://schemas.microsoft.com/office/drawing/2014/chart" uri="{C3380CC4-5D6E-409C-BE32-E72D297353CC}">
                  <c16:uniqueId val="{00000008-561E-425F-9F82-6046C218DD51}"/>
                </c:ext>
              </c:extLst>
            </c:dLbl>
            <c:dLbl>
              <c:idx val="6"/>
              <c:layout>
                <c:manualLayout>
                  <c:x val="1.0113552216897827E-2"/>
                  <c:y val="0.10185185185185185"/>
                </c:manualLayout>
              </c:layout>
              <c:spPr>
                <a:solidFill>
                  <a:srgbClr val="FFFFFF">
                    <a:alpha val="50196"/>
                  </a:srgb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61E-425F-9F82-6046C218DD5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'Mid CO2 Price'!$AL$50:$AL$56</c:f>
              <c:numCache>
                <c:formatCode>General</c:formatCode>
                <c:ptCount val="7"/>
                <c:pt idx="0">
                  <c:v>2020</c:v>
                </c:pt>
                <c:pt idx="1">
                  <c:v>2025</c:v>
                </c:pt>
                <c:pt idx="2">
                  <c:v>2030</c:v>
                </c:pt>
                <c:pt idx="3">
                  <c:v>2035</c:v>
                </c:pt>
                <c:pt idx="4">
                  <c:v>2040</c:v>
                </c:pt>
                <c:pt idx="5">
                  <c:v>2045</c:v>
                </c:pt>
                <c:pt idx="6">
                  <c:v>2050</c:v>
                </c:pt>
              </c:numCache>
            </c:numRef>
          </c:cat>
          <c:val>
            <c:numRef>
              <c:f>'Mid CO2 Price'!$AO$50:$AO$56</c:f>
              <c:numCache>
                <c:formatCode>#,##0</c:formatCode>
                <c:ptCount val="7"/>
                <c:pt idx="0">
                  <c:v>441069</c:v>
                </c:pt>
                <c:pt idx="1">
                  <c:v>1261242</c:v>
                </c:pt>
                <c:pt idx="2">
                  <c:v>2314926</c:v>
                </c:pt>
                <c:pt idx="3">
                  <c:v>2658330</c:v>
                </c:pt>
                <c:pt idx="4">
                  <c:v>3721660</c:v>
                </c:pt>
                <c:pt idx="5">
                  <c:v>4343490</c:v>
                </c:pt>
                <c:pt idx="6">
                  <c:v>4403690</c:v>
                </c:pt>
              </c:numCache>
            </c:numRef>
          </c:val>
          <c:extLst>
            <c:ext xmlns:c16="http://schemas.microsoft.com/office/drawing/2014/chart" uri="{C3380CC4-5D6E-409C-BE32-E72D297353CC}">
              <c16:uniqueId val="{0000000A-561E-425F-9F82-6046C218DD51}"/>
            </c:ext>
          </c:extLst>
        </c:ser>
        <c:dLbls>
          <c:showLegendKey val="0"/>
          <c:showVal val="0"/>
          <c:showCatName val="0"/>
          <c:showSerName val="0"/>
          <c:showPercent val="0"/>
          <c:showBubbleSize val="0"/>
        </c:dLbls>
        <c:gapWidth val="219"/>
        <c:overlap val="-27"/>
        <c:axId val="1534662080"/>
        <c:axId val="1520377392"/>
      </c:barChart>
      <c:catAx>
        <c:axId val="1534662080"/>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520377392"/>
        <c:crosses val="autoZero"/>
        <c:auto val="1"/>
        <c:lblAlgn val="ctr"/>
        <c:lblOffset val="100"/>
        <c:noMultiLvlLbl val="0"/>
      </c:catAx>
      <c:valAx>
        <c:axId val="152037739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Annual CO2e emissions (ktonne CO2e/year)</a:t>
                </a:r>
                <a:endParaRPr lang="es-CL"/>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534662080"/>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'Mid CO2 Price'!$AM$21</c:f>
              <c:strCache>
                <c:ptCount val="1"/>
                <c:pt idx="0">
                  <c:v>AUX</c:v>
                </c:pt>
              </c:strCache>
            </c:strRef>
          </c:tx>
          <c:spPr>
            <a:solidFill>
              <a:srgbClr val="4472C4">
                <a:alpha val="0"/>
              </a:srgbClr>
            </a:solidFill>
            <a:ln>
              <a:noFill/>
            </a:ln>
            <a:effectLst/>
          </c:spPr>
          <c:invertIfNegative val="0"/>
          <c:cat>
            <c:strRef>
              <c:f>'Mid CO2 Price'!$AL$22:$AL$25</c:f>
              <c:strCache>
                <c:ptCount val="4"/>
                <c:pt idx="0">
                  <c:v>Production</c:v>
                </c:pt>
                <c:pt idx="1">
                  <c:v>Transportation</c:v>
                </c:pt>
                <c:pt idx="2">
                  <c:v>Purification</c:v>
                </c:pt>
                <c:pt idx="3">
                  <c:v>Refuelling Station</c:v>
                </c:pt>
              </c:strCache>
            </c:strRef>
          </c:cat>
          <c:val>
            <c:numRef>
              <c:f>'Mid CO2 Price'!$AM$22:$AM$25</c:f>
              <c:numCache>
                <c:formatCode>0.00E+00</c:formatCode>
                <c:ptCount val="4"/>
                <c:pt idx="0" formatCode="General">
                  <c:v>0</c:v>
                </c:pt>
                <c:pt idx="1">
                  <c:v>28886850000</c:v>
                </c:pt>
                <c:pt idx="2">
                  <c:v>36103273000</c:v>
                </c:pt>
                <c:pt idx="3">
                  <c:v>68179773000</c:v>
                </c:pt>
              </c:numCache>
            </c:numRef>
          </c:val>
          <c:extLst>
            <c:ext xmlns:c16="http://schemas.microsoft.com/office/drawing/2014/chart" uri="{C3380CC4-5D6E-409C-BE32-E72D297353CC}">
              <c16:uniqueId val="{00000000-B8EF-47DC-83AF-A8D6EE26CE6B}"/>
            </c:ext>
          </c:extLst>
        </c:ser>
        <c:ser>
          <c:idx val="1"/>
          <c:order val="1"/>
          <c:tx>
            <c:strRef>
              <c:f>'Mid CO2 Price'!$AN$21</c:f>
              <c:strCache>
                <c:ptCount val="1"/>
                <c:pt idx="0">
                  <c:v>CAPEX</c:v>
                </c:pt>
              </c:strCache>
            </c:strRef>
          </c:tx>
          <c:spPr>
            <a:solidFill>
              <a:schemeClr val="accent1">
                <a:alpha val="50000"/>
              </a:schemeClr>
            </a:solidFill>
            <a:ln>
              <a:noFill/>
            </a:ln>
            <a:effectLst/>
          </c:spPr>
          <c:invertIfNegative val="0"/>
          <c:cat>
            <c:strRef>
              <c:f>'Mid CO2 Price'!$AL$22:$AL$25</c:f>
              <c:strCache>
                <c:ptCount val="4"/>
                <c:pt idx="0">
                  <c:v>Production</c:v>
                </c:pt>
                <c:pt idx="1">
                  <c:v>Transportation</c:v>
                </c:pt>
                <c:pt idx="2">
                  <c:v>Purification</c:v>
                </c:pt>
                <c:pt idx="3">
                  <c:v>Refuelling Station</c:v>
                </c:pt>
              </c:strCache>
            </c:strRef>
          </c:cat>
          <c:val>
            <c:numRef>
              <c:f>'Mid CO2 Price'!$AN$22:$AN$25</c:f>
              <c:numCache>
                <c:formatCode>0.00E+00</c:formatCode>
                <c:ptCount val="4"/>
                <c:pt idx="0">
                  <c:v>3999550000</c:v>
                </c:pt>
                <c:pt idx="1">
                  <c:v>7013040000</c:v>
                </c:pt>
                <c:pt idx="2">
                  <c:v>10035200000</c:v>
                </c:pt>
                <c:pt idx="3">
                  <c:v>2757480000</c:v>
                </c:pt>
              </c:numCache>
            </c:numRef>
          </c:val>
          <c:extLst>
            <c:ext xmlns:c16="http://schemas.microsoft.com/office/drawing/2014/chart" uri="{C3380CC4-5D6E-409C-BE32-E72D297353CC}">
              <c16:uniqueId val="{00000001-B8EF-47DC-83AF-A8D6EE26CE6B}"/>
            </c:ext>
          </c:extLst>
        </c:ser>
        <c:ser>
          <c:idx val="2"/>
          <c:order val="2"/>
          <c:tx>
            <c:strRef>
              <c:f>'Mid CO2 Price'!$AO$21</c:f>
              <c:strCache>
                <c:ptCount val="1"/>
                <c:pt idx="0">
                  <c:v>OPEX</c:v>
                </c:pt>
              </c:strCache>
            </c:strRef>
          </c:tx>
          <c:spPr>
            <a:solidFill>
              <a:srgbClr val="C00000">
                <a:alpha val="50000"/>
              </a:srgbClr>
            </a:solidFill>
            <a:ln>
              <a:noFill/>
            </a:ln>
            <a:effectLst/>
          </c:spPr>
          <c:invertIfNegative val="0"/>
          <c:cat>
            <c:strRef>
              <c:f>'Mid CO2 Price'!$AL$22:$AL$25</c:f>
              <c:strCache>
                <c:ptCount val="4"/>
                <c:pt idx="0">
                  <c:v>Production</c:v>
                </c:pt>
                <c:pt idx="1">
                  <c:v>Transportation</c:v>
                </c:pt>
                <c:pt idx="2">
                  <c:v>Purification</c:v>
                </c:pt>
                <c:pt idx="3">
                  <c:v>Refuelling Station</c:v>
                </c:pt>
              </c:strCache>
            </c:strRef>
          </c:cat>
          <c:val>
            <c:numRef>
              <c:f>'Mid CO2 Price'!$AO$22:$AO$25</c:f>
              <c:numCache>
                <c:formatCode>0.00E+00</c:formatCode>
                <c:ptCount val="4"/>
                <c:pt idx="0">
                  <c:v>24887300000</c:v>
                </c:pt>
                <c:pt idx="1">
                  <c:v>203383000</c:v>
                </c:pt>
                <c:pt idx="2">
                  <c:v>22041300000</c:v>
                </c:pt>
                <c:pt idx="3">
                  <c:v>2292520000</c:v>
                </c:pt>
              </c:numCache>
            </c:numRef>
          </c:val>
          <c:extLst>
            <c:ext xmlns:c16="http://schemas.microsoft.com/office/drawing/2014/chart" uri="{C3380CC4-5D6E-409C-BE32-E72D297353CC}">
              <c16:uniqueId val="{00000002-B8EF-47DC-83AF-A8D6EE26CE6B}"/>
            </c:ext>
          </c:extLst>
        </c:ser>
        <c:dLbls>
          <c:showLegendKey val="0"/>
          <c:showVal val="0"/>
          <c:showCatName val="0"/>
          <c:showSerName val="0"/>
          <c:showPercent val="0"/>
          <c:showBubbleSize val="0"/>
        </c:dLbls>
        <c:gapWidth val="100"/>
        <c:overlap val="100"/>
        <c:axId val="1807476304"/>
        <c:axId val="1785698992"/>
      </c:barChart>
      <c:catAx>
        <c:axId val="180747630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785698992"/>
        <c:crosses val="autoZero"/>
        <c:auto val="1"/>
        <c:lblAlgn val="ctr"/>
        <c:lblOffset val="100"/>
        <c:noMultiLvlLbl val="0"/>
      </c:catAx>
      <c:valAx>
        <c:axId val="178569899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t>Costs [£bn]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807476304"/>
        <c:crosses val="autoZero"/>
        <c:crossBetween val="between"/>
        <c:dispUnits>
          <c:builtInUnit val="billions"/>
        </c:dispUnits>
      </c:valAx>
      <c:spPr>
        <a:noFill/>
        <a:ln>
          <a:solidFill>
            <a:schemeClr val="tx1"/>
          </a:solid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'Data to Plot'!$N$41</c:f>
              <c:strCache>
                <c:ptCount val="1"/>
                <c:pt idx="0">
                  <c:v>Alkaline electrolysis</c:v>
                </c:pt>
              </c:strCache>
            </c:strRef>
          </c:tx>
          <c:spPr>
            <a:solidFill>
              <a:schemeClr val="bg2">
                <a:lumMod val="25000"/>
                <a:alpha val="50000"/>
              </a:schemeClr>
            </a:solidFill>
            <a:ln>
              <a:noFill/>
            </a:ln>
            <a:effectLst/>
          </c:spPr>
          <c:cat>
            <c:numRef>
              <c:f>'Data to Plot'!$O$40:$U$40</c:f>
              <c:numCache>
                <c:formatCode>General</c:formatCode>
                <c:ptCount val="7"/>
                <c:pt idx="0">
                  <c:v>2020</c:v>
                </c:pt>
                <c:pt idx="1">
                  <c:v>2025</c:v>
                </c:pt>
                <c:pt idx="2">
                  <c:v>2030</c:v>
                </c:pt>
                <c:pt idx="3">
                  <c:v>2035</c:v>
                </c:pt>
                <c:pt idx="4">
                  <c:v>2040</c:v>
                </c:pt>
                <c:pt idx="5">
                  <c:v>2045</c:v>
                </c:pt>
                <c:pt idx="6">
                  <c:v>2050</c:v>
                </c:pt>
              </c:numCache>
            </c:numRef>
          </c:cat>
          <c:val>
            <c:numRef>
              <c:f>'Data to Plot'!$O$41:$U$41</c:f>
              <c:numCache>
                <c:formatCode>General</c:formatCode>
                <c:ptCount val="7"/>
                <c:pt idx="0" formatCode="_(* #,##0.00_);_(* \(#,##0.00\);_(* &quot;-&quot;??_);_(@_)">
                  <c:v>452142.63999999996</c:v>
                </c:pt>
                <c:pt idx="1">
                  <c:v>0</c:v>
                </c:pt>
                <c:pt idx="2">
                  <c:v>0</c:v>
                </c:pt>
                <c:pt idx="3">
                  <c:v>0</c:v>
                </c:pt>
                <c:pt idx="4">
                  <c:v>0</c:v>
                </c:pt>
                <c:pt idx="5">
                  <c:v>0</c:v>
                </c:pt>
                <c:pt idx="6">
                  <c:v>0</c:v>
                </c:pt>
              </c:numCache>
            </c:numRef>
          </c:val>
          <c:extLst>
            <c:ext xmlns:c16="http://schemas.microsoft.com/office/drawing/2014/chart" uri="{C3380CC4-5D6E-409C-BE32-E72D297353CC}">
              <c16:uniqueId val="{00000000-AA88-4ED7-89E1-0711F0EA6622}"/>
            </c:ext>
          </c:extLst>
        </c:ser>
        <c:ser>
          <c:idx val="1"/>
          <c:order val="1"/>
          <c:tx>
            <c:strRef>
              <c:f>'Data to Plot'!$N$42</c:f>
              <c:strCache>
                <c:ptCount val="1"/>
                <c:pt idx="0">
                  <c:v>SOEC</c:v>
                </c:pt>
              </c:strCache>
            </c:strRef>
          </c:tx>
          <c:spPr>
            <a:solidFill>
              <a:schemeClr val="accent4">
                <a:lumMod val="75000"/>
                <a:alpha val="50000"/>
              </a:schemeClr>
            </a:solidFill>
            <a:ln>
              <a:noFill/>
            </a:ln>
            <a:effectLst/>
          </c:spPr>
          <c:cat>
            <c:numRef>
              <c:f>'Data to Plot'!$O$40:$U$40</c:f>
              <c:numCache>
                <c:formatCode>General</c:formatCode>
                <c:ptCount val="7"/>
                <c:pt idx="0">
                  <c:v>2020</c:v>
                </c:pt>
                <c:pt idx="1">
                  <c:v>2025</c:v>
                </c:pt>
                <c:pt idx="2">
                  <c:v>2030</c:v>
                </c:pt>
                <c:pt idx="3">
                  <c:v>2035</c:v>
                </c:pt>
                <c:pt idx="4">
                  <c:v>2040</c:v>
                </c:pt>
                <c:pt idx="5">
                  <c:v>2045</c:v>
                </c:pt>
                <c:pt idx="6">
                  <c:v>2050</c:v>
                </c:pt>
              </c:numCache>
            </c:numRef>
          </c:cat>
          <c:val>
            <c:numRef>
              <c:f>'Data to Plot'!$O$42:$U$42</c:f>
              <c:numCache>
                <c:formatCode>_(* #,##0.00_);_(* \(#,##0.00\);_(* "-"??_);_(@_)</c:formatCode>
                <c:ptCount val="7"/>
                <c:pt idx="0" formatCode="General">
                  <c:v>0</c:v>
                </c:pt>
                <c:pt idx="1">
                  <c:v>1582499.8399999999</c:v>
                </c:pt>
                <c:pt idx="2">
                  <c:v>1870203.7000000002</c:v>
                </c:pt>
                <c:pt idx="3">
                  <c:v>4130917.4999999995</c:v>
                </c:pt>
                <c:pt idx="4" formatCode="General">
                  <c:v>0</c:v>
                </c:pt>
                <c:pt idx="5" formatCode="General">
                  <c:v>0</c:v>
                </c:pt>
                <c:pt idx="6" formatCode="General">
                  <c:v>0</c:v>
                </c:pt>
              </c:numCache>
            </c:numRef>
          </c:val>
          <c:extLst>
            <c:ext xmlns:c16="http://schemas.microsoft.com/office/drawing/2014/chart" uri="{C3380CC4-5D6E-409C-BE32-E72D297353CC}">
              <c16:uniqueId val="{00000001-AA88-4ED7-89E1-0711F0EA6622}"/>
            </c:ext>
          </c:extLst>
        </c:ser>
        <c:ser>
          <c:idx val="2"/>
          <c:order val="2"/>
          <c:tx>
            <c:strRef>
              <c:f>'Data to Plot'!$N$43</c:f>
              <c:strCache>
                <c:ptCount val="1"/>
                <c:pt idx="0">
                  <c:v>Wind PEM</c:v>
                </c:pt>
              </c:strCache>
            </c:strRef>
          </c:tx>
          <c:spPr>
            <a:solidFill>
              <a:srgbClr val="C00000">
                <a:alpha val="50000"/>
              </a:srgbClr>
            </a:solidFill>
            <a:ln>
              <a:noFill/>
            </a:ln>
            <a:effectLst/>
          </c:spPr>
          <c:cat>
            <c:numRef>
              <c:f>'Data to Plot'!$O$40:$U$40</c:f>
              <c:numCache>
                <c:formatCode>General</c:formatCode>
                <c:ptCount val="7"/>
                <c:pt idx="0">
                  <c:v>2020</c:v>
                </c:pt>
                <c:pt idx="1">
                  <c:v>2025</c:v>
                </c:pt>
                <c:pt idx="2">
                  <c:v>2030</c:v>
                </c:pt>
                <c:pt idx="3">
                  <c:v>2035</c:v>
                </c:pt>
                <c:pt idx="4">
                  <c:v>2040</c:v>
                </c:pt>
                <c:pt idx="5">
                  <c:v>2045</c:v>
                </c:pt>
                <c:pt idx="6">
                  <c:v>2050</c:v>
                </c:pt>
              </c:numCache>
            </c:numRef>
          </c:cat>
          <c:val>
            <c:numRef>
              <c:f>'Data to Plot'!$O$43:$U$43</c:f>
              <c:numCache>
                <c:formatCode>General</c:formatCode>
                <c:ptCount val="7"/>
                <c:pt idx="0">
                  <c:v>0</c:v>
                </c:pt>
                <c:pt idx="1">
                  <c:v>0</c:v>
                </c:pt>
                <c:pt idx="2" formatCode="_(* #,##0.00_);_(* \(#,##0.00\);_(* &quot;-&quot;??_);_(@_)">
                  <c:v>2993830</c:v>
                </c:pt>
                <c:pt idx="3" formatCode="_(* #,##0.00_);_(* \(#,##0.00\);_(* &quot;-&quot;??_);_(@_)">
                  <c:v>2993830</c:v>
                </c:pt>
                <c:pt idx="4" formatCode="_(* #,##0.00_);_(* \(#,##0.00\);_(* &quot;-&quot;??_);_(@_)">
                  <c:v>17251396</c:v>
                </c:pt>
                <c:pt idx="5" formatCode="_(* #,##0.00_);_(* \(#,##0.00\);_(* &quot;-&quot;??_);_(@_)">
                  <c:v>22074890</c:v>
                </c:pt>
                <c:pt idx="6" formatCode="_(* #,##0.00_);_(* \(#,##0.00\);_(* &quot;-&quot;??_);_(@_)">
                  <c:v>25397760</c:v>
                </c:pt>
              </c:numCache>
            </c:numRef>
          </c:val>
          <c:extLst>
            <c:ext xmlns:c16="http://schemas.microsoft.com/office/drawing/2014/chart" uri="{C3380CC4-5D6E-409C-BE32-E72D297353CC}">
              <c16:uniqueId val="{00000002-AA88-4ED7-89E1-0711F0EA6622}"/>
            </c:ext>
          </c:extLst>
        </c:ser>
        <c:dLbls>
          <c:showLegendKey val="0"/>
          <c:showVal val="0"/>
          <c:showCatName val="0"/>
          <c:showSerName val="0"/>
          <c:showPercent val="0"/>
          <c:showBubbleSize val="0"/>
        </c:dLbls>
        <c:axId val="1981005903"/>
        <c:axId val="1981004239"/>
      </c:areaChart>
      <c:catAx>
        <c:axId val="198100590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981004239"/>
        <c:crosses val="autoZero"/>
        <c:auto val="1"/>
        <c:lblAlgn val="ctr"/>
        <c:lblOffset val="100"/>
        <c:noMultiLvlLbl val="0"/>
      </c:catAx>
      <c:valAx>
        <c:axId val="1981004239"/>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US">
                    <a:solidFill>
                      <a:sysClr val="windowText" lastClr="000000"/>
                    </a:solidFill>
                  </a:rPr>
                  <a:t>Installed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1981005903"/>
        <c:crosses val="autoZero"/>
        <c:crossBetween val="midCat"/>
        <c:dispUnits>
          <c:builtInUnit val="million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zero"/>
    <c:showDLblsOverMax val="0"/>
  </c:chart>
  <c:spPr>
    <a:solidFill>
      <a:schemeClr val="bg1"/>
    </a:solidFill>
    <a:ln w="9525" cap="flat" cmpd="sng" algn="ctr">
      <a:noFill/>
      <a:round/>
    </a:ln>
    <a:effectLst/>
  </c:spPr>
  <c:txPr>
    <a:bodyPr/>
    <a:lstStyle/>
    <a:p>
      <a:pPr>
        <a:defRPr>
          <a:latin typeface="Consolas" panose="020B0609020204030204" pitchFamily="49" charset="0"/>
        </a:defRPr>
      </a:pPr>
      <a:endParaRPr lang="es-C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CPF_Fran!$CJ$84</c:f>
              <c:strCache>
                <c:ptCount val="1"/>
                <c:pt idx="0">
                  <c:v>SMR</c:v>
                </c:pt>
              </c:strCache>
            </c:strRef>
          </c:tx>
          <c:spPr>
            <a:solidFill>
              <a:schemeClr val="accent1">
                <a:alpha val="50000"/>
              </a:schemeClr>
            </a:solidFill>
            <a:ln>
              <a:noFill/>
            </a:ln>
            <a:effectLst/>
          </c:spPr>
          <c:invertIfNegative val="0"/>
          <c:dLbls>
            <c:delete val="1"/>
          </c:dLbls>
          <c:cat>
            <c:numRef>
              <c:f>CPF_Fran!$AM$85:$AM$114</c:f>
              <c:numCache>
                <c:formatCode>General</c:formatCode>
                <c:ptCount val="30"/>
                <c:pt idx="0">
                  <c:v>1.1000000000000001</c:v>
                </c:pt>
                <c:pt idx="1">
                  <c:v>1.2</c:v>
                </c:pt>
                <c:pt idx="2">
                  <c:v>1.3</c:v>
                </c:pt>
                <c:pt idx="3">
                  <c:v>1.4</c:v>
                </c:pt>
                <c:pt idx="4">
                  <c:v>1.5</c:v>
                </c:pt>
                <c:pt idx="5">
                  <c:v>1.6</c:v>
                </c:pt>
                <c:pt idx="6">
                  <c:v>1.7</c:v>
                </c:pt>
                <c:pt idx="7">
                  <c:v>1.8</c:v>
                </c:pt>
                <c:pt idx="8">
                  <c:v>1.9</c:v>
                </c:pt>
                <c:pt idx="9">
                  <c:v>2</c:v>
                </c:pt>
                <c:pt idx="10">
                  <c:v>2.1</c:v>
                </c:pt>
                <c:pt idx="11">
                  <c:v>2.2000000000000002</c:v>
                </c:pt>
                <c:pt idx="12">
                  <c:v>2.2999999999999998</c:v>
                </c:pt>
                <c:pt idx="13">
                  <c:v>2.4</c:v>
                </c:pt>
                <c:pt idx="14">
                  <c:v>2.5</c:v>
                </c:pt>
                <c:pt idx="15">
                  <c:v>2.6</c:v>
                </c:pt>
                <c:pt idx="16">
                  <c:v>2.7</c:v>
                </c:pt>
                <c:pt idx="17">
                  <c:v>2.8</c:v>
                </c:pt>
                <c:pt idx="18">
                  <c:v>2.9</c:v>
                </c:pt>
                <c:pt idx="19">
                  <c:v>3</c:v>
                </c:pt>
                <c:pt idx="20">
                  <c:v>3.1</c:v>
                </c:pt>
                <c:pt idx="21">
                  <c:v>3.2</c:v>
                </c:pt>
                <c:pt idx="22">
                  <c:v>3.3</c:v>
                </c:pt>
                <c:pt idx="23">
                  <c:v>3.4</c:v>
                </c:pt>
                <c:pt idx="24">
                  <c:v>3.5</c:v>
                </c:pt>
                <c:pt idx="25">
                  <c:v>3.6</c:v>
                </c:pt>
                <c:pt idx="26">
                  <c:v>3.7</c:v>
                </c:pt>
                <c:pt idx="27">
                  <c:v>3.8</c:v>
                </c:pt>
                <c:pt idx="28">
                  <c:v>3.9</c:v>
                </c:pt>
                <c:pt idx="29">
                  <c:v>4</c:v>
                </c:pt>
              </c:numCache>
            </c:numRef>
          </c:cat>
          <c:val>
            <c:numRef>
              <c:f>CPF_Fran!$CJ$85:$CJ$114</c:f>
              <c:numCache>
                <c:formatCode>General</c:formatCode>
                <c:ptCount val="30"/>
                <c:pt idx="0">
                  <c:v>7912.5050000000001</c:v>
                </c:pt>
                <c:pt idx="1">
                  <c:v>7912.5050000000001</c:v>
                </c:pt>
                <c:pt idx="2">
                  <c:v>7912.5050000000001</c:v>
                </c:pt>
                <c:pt idx="3">
                  <c:v>7912.5050000000001</c:v>
                </c:pt>
                <c:pt idx="4">
                  <c:v>7912.5050000000001</c:v>
                </c:pt>
                <c:pt idx="5">
                  <c:v>7912.5050000000001</c:v>
                </c:pt>
                <c:pt idx="6">
                  <c:v>7912.5050000000001</c:v>
                </c:pt>
                <c:pt idx="7">
                  <c:v>7912.4949999999999</c:v>
                </c:pt>
                <c:pt idx="8">
                  <c:v>7912.5020000000004</c:v>
                </c:pt>
                <c:pt idx="9">
                  <c:v>7912.5020000000004</c:v>
                </c:pt>
                <c:pt idx="10">
                  <c:v>7912.5020000000004</c:v>
                </c:pt>
                <c:pt idx="11">
                  <c:v>7912.5020000000004</c:v>
                </c:pt>
                <c:pt idx="12">
                  <c:v>7912.5020000000004</c:v>
                </c:pt>
                <c:pt idx="13">
                  <c:v>7912.5020000000004</c:v>
                </c:pt>
                <c:pt idx="14">
                  <c:v>7912.5020000000004</c:v>
                </c:pt>
                <c:pt idx="15">
                  <c:v>7912.5020000000004</c:v>
                </c:pt>
                <c:pt idx="16">
                  <c:v>7912.5020000000004</c:v>
                </c:pt>
                <c:pt idx="17">
                  <c:v>7912.4989999999998</c:v>
                </c:pt>
                <c:pt idx="18">
                  <c:v>7912.4989999999998</c:v>
                </c:pt>
                <c:pt idx="19">
                  <c:v>7912.4989999999998</c:v>
                </c:pt>
                <c:pt idx="20">
                  <c:v>7912.4989999999998</c:v>
                </c:pt>
                <c:pt idx="21">
                  <c:v>7912.4989999999998</c:v>
                </c:pt>
                <c:pt idx="22">
                  <c:v>7912.4989999999998</c:v>
                </c:pt>
                <c:pt idx="23">
                  <c:v>7842.7790000000005</c:v>
                </c:pt>
                <c:pt idx="24">
                  <c:v>7646.5739999999996</c:v>
                </c:pt>
                <c:pt idx="25">
                  <c:v>6423.3239999999996</c:v>
                </c:pt>
                <c:pt idx="26">
                  <c:v>6391.6239999999998</c:v>
                </c:pt>
                <c:pt idx="27">
                  <c:v>6391.634</c:v>
                </c:pt>
                <c:pt idx="28">
                  <c:v>6391.634</c:v>
                </c:pt>
                <c:pt idx="29">
                  <c:v>6391.634</c:v>
                </c:pt>
              </c:numCache>
            </c:numRef>
          </c:val>
          <c:extLst>
            <c:ext xmlns:c16="http://schemas.microsoft.com/office/drawing/2014/chart" uri="{C3380CC4-5D6E-409C-BE32-E72D297353CC}">
              <c16:uniqueId val="{00000000-08C9-456F-8097-F68B12DC318B}"/>
            </c:ext>
          </c:extLst>
        </c:ser>
        <c:ser>
          <c:idx val="1"/>
          <c:order val="1"/>
          <c:tx>
            <c:strRef>
              <c:f>CPF_Fran!$CK$84</c:f>
              <c:strCache>
                <c:ptCount val="1"/>
                <c:pt idx="0">
                  <c:v>Wind PEM</c:v>
                </c:pt>
              </c:strCache>
            </c:strRef>
          </c:tx>
          <c:spPr>
            <a:solidFill>
              <a:srgbClr val="C00000">
                <a:alpha val="50000"/>
              </a:srgbClr>
            </a:solidFill>
            <a:ln>
              <a:noFill/>
            </a:ln>
            <a:effectLst/>
          </c:spPr>
          <c:invertIfNegative val="0"/>
          <c:dLbls>
            <c:delete val="1"/>
          </c:dLbls>
          <c:cat>
            <c:numRef>
              <c:f>CPF_Fran!$AM$85:$AM$114</c:f>
              <c:numCache>
                <c:formatCode>General</c:formatCode>
                <c:ptCount val="30"/>
                <c:pt idx="0">
                  <c:v>1.1000000000000001</c:v>
                </c:pt>
                <c:pt idx="1">
                  <c:v>1.2</c:v>
                </c:pt>
                <c:pt idx="2">
                  <c:v>1.3</c:v>
                </c:pt>
                <c:pt idx="3">
                  <c:v>1.4</c:v>
                </c:pt>
                <c:pt idx="4">
                  <c:v>1.5</c:v>
                </c:pt>
                <c:pt idx="5">
                  <c:v>1.6</c:v>
                </c:pt>
                <c:pt idx="6">
                  <c:v>1.7</c:v>
                </c:pt>
                <c:pt idx="7">
                  <c:v>1.8</c:v>
                </c:pt>
                <c:pt idx="8">
                  <c:v>1.9</c:v>
                </c:pt>
                <c:pt idx="9">
                  <c:v>2</c:v>
                </c:pt>
                <c:pt idx="10">
                  <c:v>2.1</c:v>
                </c:pt>
                <c:pt idx="11">
                  <c:v>2.2000000000000002</c:v>
                </c:pt>
                <c:pt idx="12">
                  <c:v>2.2999999999999998</c:v>
                </c:pt>
                <c:pt idx="13">
                  <c:v>2.4</c:v>
                </c:pt>
                <c:pt idx="14">
                  <c:v>2.5</c:v>
                </c:pt>
                <c:pt idx="15">
                  <c:v>2.6</c:v>
                </c:pt>
                <c:pt idx="16">
                  <c:v>2.7</c:v>
                </c:pt>
                <c:pt idx="17">
                  <c:v>2.8</c:v>
                </c:pt>
                <c:pt idx="18">
                  <c:v>2.9</c:v>
                </c:pt>
                <c:pt idx="19">
                  <c:v>3</c:v>
                </c:pt>
                <c:pt idx="20">
                  <c:v>3.1</c:v>
                </c:pt>
                <c:pt idx="21">
                  <c:v>3.2</c:v>
                </c:pt>
                <c:pt idx="22">
                  <c:v>3.3</c:v>
                </c:pt>
                <c:pt idx="23">
                  <c:v>3.4</c:v>
                </c:pt>
                <c:pt idx="24">
                  <c:v>3.5</c:v>
                </c:pt>
                <c:pt idx="25">
                  <c:v>3.6</c:v>
                </c:pt>
                <c:pt idx="26">
                  <c:v>3.7</c:v>
                </c:pt>
                <c:pt idx="27">
                  <c:v>3.8</c:v>
                </c:pt>
                <c:pt idx="28">
                  <c:v>3.9</c:v>
                </c:pt>
                <c:pt idx="29">
                  <c:v>4</c:v>
                </c:pt>
              </c:numCache>
            </c:numRef>
          </c:cat>
          <c:val>
            <c:numRef>
              <c:f>CPF_Fran!$CK$85:$CK$114</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137.24199999999999</c:v>
                </c:pt>
                <c:pt idx="24">
                  <c:v>523.47400000000005</c:v>
                </c:pt>
                <c:pt idx="25">
                  <c:v>2931.45</c:v>
                </c:pt>
                <c:pt idx="26">
                  <c:v>2993.83</c:v>
                </c:pt>
                <c:pt idx="27">
                  <c:v>2993.83</c:v>
                </c:pt>
                <c:pt idx="28">
                  <c:v>2993.83</c:v>
                </c:pt>
                <c:pt idx="29">
                  <c:v>2993.83</c:v>
                </c:pt>
              </c:numCache>
            </c:numRef>
          </c:val>
          <c:extLst>
            <c:ext xmlns:c16="http://schemas.microsoft.com/office/drawing/2014/chart" uri="{C3380CC4-5D6E-409C-BE32-E72D297353CC}">
              <c16:uniqueId val="{00000001-08C9-456F-8097-F68B12DC318B}"/>
            </c:ext>
          </c:extLst>
        </c:ser>
        <c:dLbls>
          <c:dLblPos val="ctr"/>
          <c:showLegendKey val="0"/>
          <c:showVal val="1"/>
          <c:showCatName val="0"/>
          <c:showSerName val="0"/>
          <c:showPercent val="0"/>
          <c:showBubbleSize val="0"/>
        </c:dLbls>
        <c:gapWidth val="100"/>
        <c:overlap val="100"/>
        <c:axId val="279767752"/>
        <c:axId val="279762832"/>
      </c:barChart>
      <c:catAx>
        <c:axId val="279767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Carbon Price Factor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79762832"/>
        <c:crosses val="autoZero"/>
        <c:auto val="1"/>
        <c:lblAlgn val="ctr"/>
        <c:lblOffset val="100"/>
        <c:tickLblSkip val="2"/>
        <c:tickMarkSkip val="1"/>
        <c:noMultiLvlLbl val="0"/>
      </c:catAx>
      <c:valAx>
        <c:axId val="279762832"/>
        <c:scaling>
          <c:orientation val="minMax"/>
          <c:max val="2500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Installed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solidFill>
              <a:sysClr val="windowText" lastClr="000000">
                <a:alpha val="95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797677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CPF_Fran!$BO$84</c:f>
              <c:strCache>
                <c:ptCount val="1"/>
                <c:pt idx="0">
                  <c:v>SMR</c:v>
                </c:pt>
              </c:strCache>
            </c:strRef>
          </c:tx>
          <c:spPr>
            <a:solidFill>
              <a:schemeClr val="accent1">
                <a:alpha val="50000"/>
              </a:schemeClr>
            </a:solidFill>
            <a:ln>
              <a:noFill/>
            </a:ln>
            <a:effectLst/>
          </c:spPr>
          <c:invertIfNegative val="0"/>
          <c:dLbls>
            <c:delete val="1"/>
          </c:dLbls>
          <c:cat>
            <c:numRef>
              <c:f>CPF_Fran!$AM$85:$AM$114</c:f>
              <c:numCache>
                <c:formatCode>General</c:formatCode>
                <c:ptCount val="30"/>
                <c:pt idx="0">
                  <c:v>1.1000000000000001</c:v>
                </c:pt>
                <c:pt idx="1">
                  <c:v>1.2</c:v>
                </c:pt>
                <c:pt idx="2">
                  <c:v>1.3</c:v>
                </c:pt>
                <c:pt idx="3">
                  <c:v>1.4</c:v>
                </c:pt>
                <c:pt idx="4">
                  <c:v>1.5</c:v>
                </c:pt>
                <c:pt idx="5">
                  <c:v>1.6</c:v>
                </c:pt>
                <c:pt idx="6">
                  <c:v>1.7</c:v>
                </c:pt>
                <c:pt idx="7">
                  <c:v>1.8</c:v>
                </c:pt>
                <c:pt idx="8">
                  <c:v>1.9</c:v>
                </c:pt>
                <c:pt idx="9">
                  <c:v>2</c:v>
                </c:pt>
                <c:pt idx="10">
                  <c:v>2.1</c:v>
                </c:pt>
                <c:pt idx="11">
                  <c:v>2.2000000000000002</c:v>
                </c:pt>
                <c:pt idx="12">
                  <c:v>2.2999999999999998</c:v>
                </c:pt>
                <c:pt idx="13">
                  <c:v>2.4</c:v>
                </c:pt>
                <c:pt idx="14">
                  <c:v>2.5</c:v>
                </c:pt>
                <c:pt idx="15">
                  <c:v>2.6</c:v>
                </c:pt>
                <c:pt idx="16">
                  <c:v>2.7</c:v>
                </c:pt>
                <c:pt idx="17">
                  <c:v>2.8</c:v>
                </c:pt>
                <c:pt idx="18">
                  <c:v>2.9</c:v>
                </c:pt>
                <c:pt idx="19">
                  <c:v>3</c:v>
                </c:pt>
                <c:pt idx="20">
                  <c:v>3.1</c:v>
                </c:pt>
                <c:pt idx="21">
                  <c:v>3.2</c:v>
                </c:pt>
                <c:pt idx="22">
                  <c:v>3.3</c:v>
                </c:pt>
                <c:pt idx="23">
                  <c:v>3.4</c:v>
                </c:pt>
                <c:pt idx="24">
                  <c:v>3.5</c:v>
                </c:pt>
                <c:pt idx="25">
                  <c:v>3.6</c:v>
                </c:pt>
                <c:pt idx="26">
                  <c:v>3.7</c:v>
                </c:pt>
                <c:pt idx="27">
                  <c:v>3.8</c:v>
                </c:pt>
                <c:pt idx="28">
                  <c:v>3.9</c:v>
                </c:pt>
                <c:pt idx="29">
                  <c:v>4</c:v>
                </c:pt>
              </c:numCache>
            </c:numRef>
          </c:cat>
          <c:val>
            <c:numRef>
              <c:f>CPF_Fran!$BO$85:$BO$114</c:f>
              <c:numCache>
                <c:formatCode>General</c:formatCode>
                <c:ptCount val="30"/>
                <c:pt idx="0">
                  <c:v>9947.1370000000006</c:v>
                </c:pt>
                <c:pt idx="1">
                  <c:v>9947.1370000000006</c:v>
                </c:pt>
                <c:pt idx="2">
                  <c:v>9947.1370000000006</c:v>
                </c:pt>
                <c:pt idx="3">
                  <c:v>9947.1370000000006</c:v>
                </c:pt>
                <c:pt idx="4">
                  <c:v>9947.1370000000006</c:v>
                </c:pt>
                <c:pt idx="5">
                  <c:v>9947.1370000000006</c:v>
                </c:pt>
                <c:pt idx="6">
                  <c:v>9859.4869999999992</c:v>
                </c:pt>
                <c:pt idx="7">
                  <c:v>9631.8469999999998</c:v>
                </c:pt>
                <c:pt idx="8">
                  <c:v>8426.277</c:v>
                </c:pt>
                <c:pt idx="9">
                  <c:v>8426.277</c:v>
                </c:pt>
                <c:pt idx="10">
                  <c:v>8426.277</c:v>
                </c:pt>
                <c:pt idx="11">
                  <c:v>8426.277</c:v>
                </c:pt>
                <c:pt idx="12">
                  <c:v>8426.277</c:v>
                </c:pt>
                <c:pt idx="13">
                  <c:v>8426.277</c:v>
                </c:pt>
                <c:pt idx="14">
                  <c:v>8426.277</c:v>
                </c:pt>
                <c:pt idx="15">
                  <c:v>8426.277</c:v>
                </c:pt>
                <c:pt idx="16">
                  <c:v>8358.1740000000009</c:v>
                </c:pt>
                <c:pt idx="17">
                  <c:v>8026.0839999999998</c:v>
                </c:pt>
                <c:pt idx="18">
                  <c:v>7460.3670000000002</c:v>
                </c:pt>
                <c:pt idx="19">
                  <c:v>7460.3670000000002</c:v>
                </c:pt>
                <c:pt idx="20">
                  <c:v>7460.3670000000002</c:v>
                </c:pt>
                <c:pt idx="21">
                  <c:v>7460.3670000000002</c:v>
                </c:pt>
                <c:pt idx="22">
                  <c:v>7460.3670000000002</c:v>
                </c:pt>
                <c:pt idx="23">
                  <c:v>7390.6469999999999</c:v>
                </c:pt>
                <c:pt idx="24">
                  <c:v>7194.4210000000003</c:v>
                </c:pt>
                <c:pt idx="25">
                  <c:v>5971.1809999999996</c:v>
                </c:pt>
                <c:pt idx="26">
                  <c:v>5939.491</c:v>
                </c:pt>
                <c:pt idx="27">
                  <c:v>5939.491</c:v>
                </c:pt>
                <c:pt idx="28">
                  <c:v>5939.491</c:v>
                </c:pt>
                <c:pt idx="29">
                  <c:v>5939.491</c:v>
                </c:pt>
              </c:numCache>
            </c:numRef>
          </c:val>
          <c:extLst>
            <c:ext xmlns:c16="http://schemas.microsoft.com/office/drawing/2014/chart" uri="{C3380CC4-5D6E-409C-BE32-E72D297353CC}">
              <c16:uniqueId val="{00000000-E974-4D50-9FC5-57CC57214FFF}"/>
            </c:ext>
          </c:extLst>
        </c:ser>
        <c:ser>
          <c:idx val="1"/>
          <c:order val="1"/>
          <c:tx>
            <c:strRef>
              <c:f>CPF_Fran!$BP$84</c:f>
              <c:strCache>
                <c:ptCount val="1"/>
                <c:pt idx="0">
                  <c:v>Wind PEM</c:v>
                </c:pt>
              </c:strCache>
            </c:strRef>
          </c:tx>
          <c:spPr>
            <a:solidFill>
              <a:srgbClr val="C00000">
                <a:alpha val="50000"/>
              </a:srgbClr>
            </a:solidFill>
            <a:ln>
              <a:noFill/>
            </a:ln>
            <a:effectLst/>
          </c:spPr>
          <c:invertIfNegative val="0"/>
          <c:dLbls>
            <c:delete val="1"/>
          </c:dLbls>
          <c:cat>
            <c:numRef>
              <c:f>CPF_Fran!$AM$85:$AM$114</c:f>
              <c:numCache>
                <c:formatCode>General</c:formatCode>
                <c:ptCount val="30"/>
                <c:pt idx="0">
                  <c:v>1.1000000000000001</c:v>
                </c:pt>
                <c:pt idx="1">
                  <c:v>1.2</c:v>
                </c:pt>
                <c:pt idx="2">
                  <c:v>1.3</c:v>
                </c:pt>
                <c:pt idx="3">
                  <c:v>1.4</c:v>
                </c:pt>
                <c:pt idx="4">
                  <c:v>1.5</c:v>
                </c:pt>
                <c:pt idx="5">
                  <c:v>1.6</c:v>
                </c:pt>
                <c:pt idx="6">
                  <c:v>1.7</c:v>
                </c:pt>
                <c:pt idx="7">
                  <c:v>1.8</c:v>
                </c:pt>
                <c:pt idx="8">
                  <c:v>1.9</c:v>
                </c:pt>
                <c:pt idx="9">
                  <c:v>2</c:v>
                </c:pt>
                <c:pt idx="10">
                  <c:v>2.1</c:v>
                </c:pt>
                <c:pt idx="11">
                  <c:v>2.2000000000000002</c:v>
                </c:pt>
                <c:pt idx="12">
                  <c:v>2.2999999999999998</c:v>
                </c:pt>
                <c:pt idx="13">
                  <c:v>2.4</c:v>
                </c:pt>
                <c:pt idx="14">
                  <c:v>2.5</c:v>
                </c:pt>
                <c:pt idx="15">
                  <c:v>2.6</c:v>
                </c:pt>
                <c:pt idx="16">
                  <c:v>2.7</c:v>
                </c:pt>
                <c:pt idx="17">
                  <c:v>2.8</c:v>
                </c:pt>
                <c:pt idx="18">
                  <c:v>2.9</c:v>
                </c:pt>
                <c:pt idx="19">
                  <c:v>3</c:v>
                </c:pt>
                <c:pt idx="20">
                  <c:v>3.1</c:v>
                </c:pt>
                <c:pt idx="21">
                  <c:v>3.2</c:v>
                </c:pt>
                <c:pt idx="22">
                  <c:v>3.3</c:v>
                </c:pt>
                <c:pt idx="23">
                  <c:v>3.4</c:v>
                </c:pt>
                <c:pt idx="24">
                  <c:v>3.5</c:v>
                </c:pt>
                <c:pt idx="25">
                  <c:v>3.6</c:v>
                </c:pt>
                <c:pt idx="26">
                  <c:v>3.7</c:v>
                </c:pt>
                <c:pt idx="27">
                  <c:v>3.8</c:v>
                </c:pt>
                <c:pt idx="28">
                  <c:v>3.9</c:v>
                </c:pt>
                <c:pt idx="29">
                  <c:v>4</c:v>
                </c:pt>
              </c:numCache>
            </c:numRef>
          </c:cat>
          <c:val>
            <c:numRef>
              <c:f>CPF_Fran!$BP$85:$BP$114</c:f>
              <c:numCache>
                <c:formatCode>General</c:formatCode>
                <c:ptCount val="30"/>
                <c:pt idx="0">
                  <c:v>0</c:v>
                </c:pt>
                <c:pt idx="1">
                  <c:v>0</c:v>
                </c:pt>
                <c:pt idx="2">
                  <c:v>0</c:v>
                </c:pt>
                <c:pt idx="3">
                  <c:v>0</c:v>
                </c:pt>
                <c:pt idx="4">
                  <c:v>0</c:v>
                </c:pt>
                <c:pt idx="5">
                  <c:v>0</c:v>
                </c:pt>
                <c:pt idx="6">
                  <c:v>172.53200000000001</c:v>
                </c:pt>
                <c:pt idx="7">
                  <c:v>620.65800000000002</c:v>
                </c:pt>
                <c:pt idx="8">
                  <c:v>2993.83</c:v>
                </c:pt>
                <c:pt idx="9">
                  <c:v>2993.83</c:v>
                </c:pt>
                <c:pt idx="10">
                  <c:v>2993.83</c:v>
                </c:pt>
                <c:pt idx="11">
                  <c:v>2993.83</c:v>
                </c:pt>
                <c:pt idx="12">
                  <c:v>2993.83</c:v>
                </c:pt>
                <c:pt idx="13">
                  <c:v>2993.83</c:v>
                </c:pt>
                <c:pt idx="14">
                  <c:v>2993.83</c:v>
                </c:pt>
                <c:pt idx="15">
                  <c:v>2993.83</c:v>
                </c:pt>
                <c:pt idx="16">
                  <c:v>3141.239</c:v>
                </c:pt>
                <c:pt idx="17">
                  <c:v>3860.0479999999998</c:v>
                </c:pt>
                <c:pt idx="18">
                  <c:v>5084.5600000000004</c:v>
                </c:pt>
                <c:pt idx="19">
                  <c:v>5084.5600000000004</c:v>
                </c:pt>
                <c:pt idx="20">
                  <c:v>5084.5600000000004</c:v>
                </c:pt>
                <c:pt idx="21">
                  <c:v>5084.5600000000004</c:v>
                </c:pt>
                <c:pt idx="22">
                  <c:v>5084.5600000000004</c:v>
                </c:pt>
                <c:pt idx="23">
                  <c:v>5235.47</c:v>
                </c:pt>
                <c:pt idx="24">
                  <c:v>5660.16</c:v>
                </c:pt>
                <c:pt idx="25">
                  <c:v>8307.89</c:v>
                </c:pt>
                <c:pt idx="26">
                  <c:v>8376.48</c:v>
                </c:pt>
                <c:pt idx="27">
                  <c:v>8376.48</c:v>
                </c:pt>
                <c:pt idx="28">
                  <c:v>8376.48</c:v>
                </c:pt>
                <c:pt idx="29">
                  <c:v>8376.48</c:v>
                </c:pt>
              </c:numCache>
            </c:numRef>
          </c:val>
          <c:extLst>
            <c:ext xmlns:c16="http://schemas.microsoft.com/office/drawing/2014/chart" uri="{C3380CC4-5D6E-409C-BE32-E72D297353CC}">
              <c16:uniqueId val="{00000001-E974-4D50-9FC5-57CC57214FFF}"/>
            </c:ext>
          </c:extLst>
        </c:ser>
        <c:dLbls>
          <c:dLblPos val="ctr"/>
          <c:showLegendKey val="0"/>
          <c:showVal val="1"/>
          <c:showCatName val="0"/>
          <c:showSerName val="0"/>
          <c:showPercent val="0"/>
          <c:showBubbleSize val="0"/>
        </c:dLbls>
        <c:gapWidth val="100"/>
        <c:overlap val="100"/>
        <c:axId val="279767752"/>
        <c:axId val="279762832"/>
      </c:barChart>
      <c:catAx>
        <c:axId val="279767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Carbon Price Factor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79762832"/>
        <c:crosses val="autoZero"/>
        <c:auto val="1"/>
        <c:lblAlgn val="ctr"/>
        <c:lblOffset val="100"/>
        <c:tickLblSkip val="2"/>
        <c:tickMarkSkip val="1"/>
        <c:noMultiLvlLbl val="0"/>
      </c:catAx>
      <c:valAx>
        <c:axId val="279762832"/>
        <c:scaling>
          <c:orientation val="minMax"/>
          <c:max val="2500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Installed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797677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CPF_Fran!$AP$84</c:f>
              <c:strCache>
                <c:ptCount val="1"/>
                <c:pt idx="0">
                  <c:v>SMR</c:v>
                </c:pt>
              </c:strCache>
            </c:strRef>
          </c:tx>
          <c:spPr>
            <a:solidFill>
              <a:schemeClr val="accent1">
                <a:alpha val="50000"/>
              </a:schemeClr>
            </a:solidFill>
            <a:ln>
              <a:noFill/>
            </a:ln>
            <a:effectLst/>
          </c:spPr>
          <c:invertIfNegative val="0"/>
          <c:dLbls>
            <c:delete val="1"/>
          </c:dLbls>
          <c:cat>
            <c:numRef>
              <c:f>CPF_Fran!$AM$85:$AM$114</c:f>
              <c:numCache>
                <c:formatCode>General</c:formatCode>
                <c:ptCount val="30"/>
                <c:pt idx="0">
                  <c:v>1.1000000000000001</c:v>
                </c:pt>
                <c:pt idx="1">
                  <c:v>1.2</c:v>
                </c:pt>
                <c:pt idx="2">
                  <c:v>1.3</c:v>
                </c:pt>
                <c:pt idx="3">
                  <c:v>1.4</c:v>
                </c:pt>
                <c:pt idx="4">
                  <c:v>1.5</c:v>
                </c:pt>
                <c:pt idx="5">
                  <c:v>1.6</c:v>
                </c:pt>
                <c:pt idx="6">
                  <c:v>1.7</c:v>
                </c:pt>
                <c:pt idx="7">
                  <c:v>1.8</c:v>
                </c:pt>
                <c:pt idx="8">
                  <c:v>1.9</c:v>
                </c:pt>
                <c:pt idx="9">
                  <c:v>2</c:v>
                </c:pt>
                <c:pt idx="10">
                  <c:v>2.1</c:v>
                </c:pt>
                <c:pt idx="11">
                  <c:v>2.2000000000000002</c:v>
                </c:pt>
                <c:pt idx="12">
                  <c:v>2.2999999999999998</c:v>
                </c:pt>
                <c:pt idx="13">
                  <c:v>2.4</c:v>
                </c:pt>
                <c:pt idx="14">
                  <c:v>2.5</c:v>
                </c:pt>
                <c:pt idx="15">
                  <c:v>2.6</c:v>
                </c:pt>
                <c:pt idx="16">
                  <c:v>2.7</c:v>
                </c:pt>
                <c:pt idx="17">
                  <c:v>2.8</c:v>
                </c:pt>
                <c:pt idx="18">
                  <c:v>2.9</c:v>
                </c:pt>
                <c:pt idx="19">
                  <c:v>3</c:v>
                </c:pt>
                <c:pt idx="20">
                  <c:v>3.1</c:v>
                </c:pt>
                <c:pt idx="21">
                  <c:v>3.2</c:v>
                </c:pt>
                <c:pt idx="22">
                  <c:v>3.3</c:v>
                </c:pt>
                <c:pt idx="23">
                  <c:v>3.4</c:v>
                </c:pt>
                <c:pt idx="24">
                  <c:v>3.5</c:v>
                </c:pt>
                <c:pt idx="25">
                  <c:v>3.6</c:v>
                </c:pt>
                <c:pt idx="26">
                  <c:v>3.7</c:v>
                </c:pt>
                <c:pt idx="27">
                  <c:v>3.8</c:v>
                </c:pt>
                <c:pt idx="28">
                  <c:v>3.9</c:v>
                </c:pt>
                <c:pt idx="29">
                  <c:v>4</c:v>
                </c:pt>
              </c:numCache>
            </c:numRef>
          </c:cat>
          <c:val>
            <c:numRef>
              <c:f>CPF_Fran!$AP$85:$AP$114</c:f>
              <c:numCache>
                <c:formatCode>General</c:formatCode>
                <c:ptCount val="30"/>
                <c:pt idx="0">
                  <c:v>8816.7800000000007</c:v>
                </c:pt>
                <c:pt idx="1">
                  <c:v>8816.7800000000007</c:v>
                </c:pt>
                <c:pt idx="2">
                  <c:v>8816.7800000000007</c:v>
                </c:pt>
                <c:pt idx="3">
                  <c:v>8816.7800000000007</c:v>
                </c:pt>
                <c:pt idx="4">
                  <c:v>8816.7800000000007</c:v>
                </c:pt>
                <c:pt idx="5">
                  <c:v>8816.7800000000007</c:v>
                </c:pt>
                <c:pt idx="6">
                  <c:v>8729.1299999999992</c:v>
                </c:pt>
                <c:pt idx="7">
                  <c:v>8501.49</c:v>
                </c:pt>
                <c:pt idx="8">
                  <c:v>7295.92</c:v>
                </c:pt>
                <c:pt idx="9">
                  <c:v>7295.92</c:v>
                </c:pt>
                <c:pt idx="10">
                  <c:v>7295.92</c:v>
                </c:pt>
                <c:pt idx="11">
                  <c:v>7295.92</c:v>
                </c:pt>
                <c:pt idx="12">
                  <c:v>7295.92</c:v>
                </c:pt>
                <c:pt idx="13">
                  <c:v>7295.92</c:v>
                </c:pt>
                <c:pt idx="14">
                  <c:v>7295.92</c:v>
                </c:pt>
                <c:pt idx="15">
                  <c:v>7295.92</c:v>
                </c:pt>
                <c:pt idx="16">
                  <c:v>7227.817</c:v>
                </c:pt>
                <c:pt idx="17">
                  <c:v>6886.3220000000001</c:v>
                </c:pt>
                <c:pt idx="18">
                  <c:v>5695.0281999999997</c:v>
                </c:pt>
                <c:pt idx="19">
                  <c:v>5695.0281999999997</c:v>
                </c:pt>
                <c:pt idx="20">
                  <c:v>5695.0281999999997</c:v>
                </c:pt>
                <c:pt idx="21">
                  <c:v>5695.0281999999997</c:v>
                </c:pt>
                <c:pt idx="22">
                  <c:v>5695.0281999999997</c:v>
                </c:pt>
                <c:pt idx="23">
                  <c:v>5695.0302000000001</c:v>
                </c:pt>
                <c:pt idx="24">
                  <c:v>5657.9552000000003</c:v>
                </c:pt>
                <c:pt idx="25">
                  <c:v>4122.7182000000003</c:v>
                </c:pt>
                <c:pt idx="26">
                  <c:v>3470.8662000000004</c:v>
                </c:pt>
                <c:pt idx="27">
                  <c:v>3000.5582000000004</c:v>
                </c:pt>
                <c:pt idx="28">
                  <c:v>3000.5582000000004</c:v>
                </c:pt>
                <c:pt idx="29">
                  <c:v>3000.5582000000004</c:v>
                </c:pt>
              </c:numCache>
            </c:numRef>
          </c:val>
          <c:extLst>
            <c:ext xmlns:c16="http://schemas.microsoft.com/office/drawing/2014/chart" uri="{C3380CC4-5D6E-409C-BE32-E72D297353CC}">
              <c16:uniqueId val="{00000000-2DBC-4CFA-88D4-BE0129FA6B15}"/>
            </c:ext>
          </c:extLst>
        </c:ser>
        <c:ser>
          <c:idx val="1"/>
          <c:order val="1"/>
          <c:tx>
            <c:strRef>
              <c:f>CPF_Fran!$AQ$84</c:f>
              <c:strCache>
                <c:ptCount val="1"/>
                <c:pt idx="0">
                  <c:v>Wind PEM</c:v>
                </c:pt>
              </c:strCache>
            </c:strRef>
          </c:tx>
          <c:spPr>
            <a:solidFill>
              <a:srgbClr val="C00000">
                <a:alpha val="50000"/>
              </a:srgbClr>
            </a:solidFill>
            <a:ln>
              <a:noFill/>
            </a:ln>
            <a:effectLst/>
          </c:spPr>
          <c:invertIfNegative val="0"/>
          <c:dLbls>
            <c:delete val="1"/>
          </c:dLbls>
          <c:cat>
            <c:numRef>
              <c:f>CPF_Fran!$AM$85:$AM$114</c:f>
              <c:numCache>
                <c:formatCode>General</c:formatCode>
                <c:ptCount val="30"/>
                <c:pt idx="0">
                  <c:v>1.1000000000000001</c:v>
                </c:pt>
                <c:pt idx="1">
                  <c:v>1.2</c:v>
                </c:pt>
                <c:pt idx="2">
                  <c:v>1.3</c:v>
                </c:pt>
                <c:pt idx="3">
                  <c:v>1.4</c:v>
                </c:pt>
                <c:pt idx="4">
                  <c:v>1.5</c:v>
                </c:pt>
                <c:pt idx="5">
                  <c:v>1.6</c:v>
                </c:pt>
                <c:pt idx="6">
                  <c:v>1.7</c:v>
                </c:pt>
                <c:pt idx="7">
                  <c:v>1.8</c:v>
                </c:pt>
                <c:pt idx="8">
                  <c:v>1.9</c:v>
                </c:pt>
                <c:pt idx="9">
                  <c:v>2</c:v>
                </c:pt>
                <c:pt idx="10">
                  <c:v>2.1</c:v>
                </c:pt>
                <c:pt idx="11">
                  <c:v>2.2000000000000002</c:v>
                </c:pt>
                <c:pt idx="12">
                  <c:v>2.2999999999999998</c:v>
                </c:pt>
                <c:pt idx="13">
                  <c:v>2.4</c:v>
                </c:pt>
                <c:pt idx="14">
                  <c:v>2.5</c:v>
                </c:pt>
                <c:pt idx="15">
                  <c:v>2.6</c:v>
                </c:pt>
                <c:pt idx="16">
                  <c:v>2.7</c:v>
                </c:pt>
                <c:pt idx="17">
                  <c:v>2.8</c:v>
                </c:pt>
                <c:pt idx="18">
                  <c:v>2.9</c:v>
                </c:pt>
                <c:pt idx="19">
                  <c:v>3</c:v>
                </c:pt>
                <c:pt idx="20">
                  <c:v>3.1</c:v>
                </c:pt>
                <c:pt idx="21">
                  <c:v>3.2</c:v>
                </c:pt>
                <c:pt idx="22">
                  <c:v>3.3</c:v>
                </c:pt>
                <c:pt idx="23">
                  <c:v>3.4</c:v>
                </c:pt>
                <c:pt idx="24">
                  <c:v>3.5</c:v>
                </c:pt>
                <c:pt idx="25">
                  <c:v>3.6</c:v>
                </c:pt>
                <c:pt idx="26">
                  <c:v>3.7</c:v>
                </c:pt>
                <c:pt idx="27">
                  <c:v>3.8</c:v>
                </c:pt>
                <c:pt idx="28">
                  <c:v>3.9</c:v>
                </c:pt>
                <c:pt idx="29">
                  <c:v>4</c:v>
                </c:pt>
              </c:numCache>
            </c:numRef>
          </c:cat>
          <c:val>
            <c:numRef>
              <c:f>CPF_Fran!$AQ$85:$AQ$114</c:f>
              <c:numCache>
                <c:formatCode>General</c:formatCode>
                <c:ptCount val="30"/>
                <c:pt idx="0">
                  <c:v>5084.5600000000004</c:v>
                </c:pt>
                <c:pt idx="1">
                  <c:v>5084.5600000000004</c:v>
                </c:pt>
                <c:pt idx="2">
                  <c:v>5084.5600000000004</c:v>
                </c:pt>
                <c:pt idx="3">
                  <c:v>5084.5600000000004</c:v>
                </c:pt>
                <c:pt idx="4">
                  <c:v>5084.5600000000004</c:v>
                </c:pt>
                <c:pt idx="5">
                  <c:v>5084.5600000000004</c:v>
                </c:pt>
                <c:pt idx="6">
                  <c:v>5274.27</c:v>
                </c:pt>
                <c:pt idx="7">
                  <c:v>5767.02</c:v>
                </c:pt>
                <c:pt idx="8">
                  <c:v>8376.48</c:v>
                </c:pt>
                <c:pt idx="9">
                  <c:v>8376.48</c:v>
                </c:pt>
                <c:pt idx="10">
                  <c:v>8376.48</c:v>
                </c:pt>
                <c:pt idx="11">
                  <c:v>8376.48</c:v>
                </c:pt>
                <c:pt idx="12">
                  <c:v>8376.48</c:v>
                </c:pt>
                <c:pt idx="13">
                  <c:v>8376.48</c:v>
                </c:pt>
                <c:pt idx="14">
                  <c:v>8376.48</c:v>
                </c:pt>
                <c:pt idx="15">
                  <c:v>8376.48</c:v>
                </c:pt>
                <c:pt idx="16">
                  <c:v>8523.89</c:v>
                </c:pt>
                <c:pt idx="17">
                  <c:v>9263.06</c:v>
                </c:pt>
                <c:pt idx="18">
                  <c:v>11841.6</c:v>
                </c:pt>
                <c:pt idx="19">
                  <c:v>11841.6</c:v>
                </c:pt>
                <c:pt idx="20">
                  <c:v>11841.6</c:v>
                </c:pt>
                <c:pt idx="21">
                  <c:v>11841.6</c:v>
                </c:pt>
                <c:pt idx="22">
                  <c:v>11841.6</c:v>
                </c:pt>
                <c:pt idx="23">
                  <c:v>11841.6</c:v>
                </c:pt>
                <c:pt idx="24">
                  <c:v>11928.415199999999</c:v>
                </c:pt>
                <c:pt idx="25">
                  <c:v>15523.8413</c:v>
                </c:pt>
                <c:pt idx="26">
                  <c:v>17066.134999999998</c:v>
                </c:pt>
                <c:pt idx="27">
                  <c:v>18167.55</c:v>
                </c:pt>
                <c:pt idx="28">
                  <c:v>18167.55</c:v>
                </c:pt>
                <c:pt idx="29">
                  <c:v>18167.55</c:v>
                </c:pt>
              </c:numCache>
            </c:numRef>
          </c:val>
          <c:extLst>
            <c:ext xmlns:c16="http://schemas.microsoft.com/office/drawing/2014/chart" uri="{C3380CC4-5D6E-409C-BE32-E72D297353CC}">
              <c16:uniqueId val="{00000001-2DBC-4CFA-88D4-BE0129FA6B15}"/>
            </c:ext>
          </c:extLst>
        </c:ser>
        <c:dLbls>
          <c:dLblPos val="ctr"/>
          <c:showLegendKey val="0"/>
          <c:showVal val="1"/>
          <c:showCatName val="0"/>
          <c:showSerName val="0"/>
          <c:showPercent val="0"/>
          <c:showBubbleSize val="0"/>
        </c:dLbls>
        <c:gapWidth val="100"/>
        <c:overlap val="100"/>
        <c:axId val="279767752"/>
        <c:axId val="279762832"/>
      </c:barChart>
      <c:catAx>
        <c:axId val="279767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Carbon Price Factor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79762832"/>
        <c:crosses val="autoZero"/>
        <c:auto val="1"/>
        <c:lblAlgn val="ctr"/>
        <c:lblOffset val="100"/>
        <c:tickLblSkip val="2"/>
        <c:tickMarkSkip val="1"/>
        <c:noMultiLvlLbl val="0"/>
      </c:catAx>
      <c:valAx>
        <c:axId val="27976283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r>
                  <a:rPr lang="en-GB"/>
                  <a:t>Installed Capacity (GW)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onsolas" panose="020B0609020204030204" pitchFamily="49" charset="0"/>
                  <a:ea typeface="+mn-ea"/>
                  <a:cs typeface="+mn-cs"/>
                </a:defRPr>
              </a:pPr>
              <a:endParaRPr lang="es-C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crossAx val="279767752"/>
        <c:crosses val="autoZero"/>
        <c:crossBetween val="between"/>
        <c:dispUnits>
          <c:builtInUnit val="thousands"/>
        </c:dispUnits>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onsolas" panose="020B0609020204030204" pitchFamily="49" charset="0"/>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onsolas" panose="020B0609020204030204" pitchFamily="49" charset="0"/>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A525754143452EB832BEB0F9ACB0BA"/>
        <w:category>
          <w:name w:val="General"/>
          <w:gallery w:val="placeholder"/>
        </w:category>
        <w:types>
          <w:type w:val="bbPlcHdr"/>
        </w:types>
        <w:behaviors>
          <w:behavior w:val="content"/>
        </w:behaviors>
        <w:guid w:val="{61264987-1FA8-4572-B9E5-648481B79767}"/>
      </w:docPartPr>
      <w:docPartBody>
        <w:p w:rsidR="005448B3" w:rsidRDefault="0060436B" w:rsidP="0060436B">
          <w:pPr>
            <w:pStyle w:val="4FA525754143452EB832BEB0F9ACB0BA"/>
          </w:pPr>
          <w:r w:rsidRPr="003F10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6B"/>
    <w:rsid w:val="00043BD9"/>
    <w:rsid w:val="00172E1E"/>
    <w:rsid w:val="001757E7"/>
    <w:rsid w:val="001C2660"/>
    <w:rsid w:val="00285168"/>
    <w:rsid w:val="003A3D1C"/>
    <w:rsid w:val="004C0AB9"/>
    <w:rsid w:val="00505228"/>
    <w:rsid w:val="005448B3"/>
    <w:rsid w:val="00556E86"/>
    <w:rsid w:val="005859BC"/>
    <w:rsid w:val="005D1F91"/>
    <w:rsid w:val="005D7A8E"/>
    <w:rsid w:val="0060436B"/>
    <w:rsid w:val="006847CD"/>
    <w:rsid w:val="007539B9"/>
    <w:rsid w:val="007F4CDC"/>
    <w:rsid w:val="00866C02"/>
    <w:rsid w:val="008C11D3"/>
    <w:rsid w:val="009A4EF1"/>
    <w:rsid w:val="00A3070E"/>
    <w:rsid w:val="00AB505C"/>
    <w:rsid w:val="00B018A0"/>
    <w:rsid w:val="00BA79A7"/>
    <w:rsid w:val="00BC76ED"/>
    <w:rsid w:val="00C86CD5"/>
    <w:rsid w:val="00D46DA3"/>
    <w:rsid w:val="00D54D5E"/>
    <w:rsid w:val="00D92D8D"/>
    <w:rsid w:val="00E10CAE"/>
    <w:rsid w:val="00E56DC2"/>
    <w:rsid w:val="00F0562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436B"/>
    <w:rPr>
      <w:color w:val="808080"/>
    </w:rPr>
  </w:style>
  <w:style w:type="paragraph" w:customStyle="1" w:styleId="4FA525754143452EB832BEB0F9ACB0BA">
    <w:name w:val="4FA525754143452EB832BEB0F9ACB0BA"/>
    <w:rsid w:val="00604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38794355-5088-D54F-80E6-64B26001F48A}">
  <we:reference id="wa104382081" version="1.16.0.0" store="en-001" storeType="OMEX"/>
  <we:alternateReferences>
    <we:reference id="wa104382081" version="1.16.0.0" store="en-001"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29AE4DC0-5FDE-2045-B66B-64D3DAF8496E}">
  <we:reference id="wa104381648" version="1.0.0.2" store="en-US" storeType="OMEX"/>
  <we:alternateReferences>
    <we:reference id="WA104381648" version="1.0.0.2" store=""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8ECCAD30-9C5B-ED49-A669-327DF08EAE59}">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dodds-mcdowall-2012-a-review-of-hydrogen-delivery-technologies-for-energy-system-models:-ukshec-working-paper-no.7</b:Tag>
    <b:SourceType>JournalArticle</b:SourceType>
    <b:Title>A review of hydrogen delivery technologies for energy system models: UKSHEC Working Paper No.7</b:Title>
    <b:Year>2012</b:Year>
    <b:Author>
      <b:Author>
        <b:NameList>
          <b:Person>
            <b:First>Paul E</b:First>
            <b:Last>Dodds</b:Last>
          </b:Person>
          <b:Person>
            <b:First>Will</b:First>
            <b:Last>Mcdowall</b:Last>
          </b:Person>
        </b:NameList>
      </b:Author>
    </b:Author>
    <b:JournalName>UCL Energy Institute, University College London</b:JournalName>
    <b:RefOrder>1</b:RefOrder>
  </b:Source>
  <b:Source>
    <b:Tag>edlund-2009-hydrogen-membrane-technologies-and-application-in-fuel-processing</b:Tag>
    <b:SourceType>BookSection</b:SourceType>
    <b:Title>Hydrogen Membrane Technologies and Application in Fuel Processing</b:Title>
    <b:Year>2009</b:Year>
    <b:Author>
      <b:Author>
        <b:NameList>
          <b:Person>
            <b:First>David</b:First>
            <b:Last>Edlund</b:Last>
          </b:Person>
        </b:NameList>
      </b:Author>
      <b:BookAuthor>
        <b:NameList>
          <b:Person>
            <b:First>David</b:First>
            <b:Last>Edlund</b:Last>
          </b:Person>
        </b:NameList>
      </b:BookAuthor>
    </b:Author>
    <b:BookTitle>Hydrogen and Syngas Production and Purification Technologies</b:BookTitle>
    <b:Pages>357-384</b:Pages>
    <b:StandardNumber>10.1002/9780470561256.ch8</b:StandardNumber>
    <b:Publisher>John Wiley &amp; Sons, Inc.</b:Publisher>
    <b:City>Hoboken, NJ, USA</b:City>
    <b:RefOrder>10</b:RefOrder>
  </b:Source>
</b:Sources>
</file>

<file path=customXml/itemProps1.xml><?xml version="1.0" encoding="utf-8"?>
<ds:datastoreItem xmlns:ds="http://schemas.openxmlformats.org/officeDocument/2006/customXml" ds:itemID="{4315DDEA-E3A6-413C-B534-ECA8E853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68095</Words>
  <Characters>374523</Characters>
  <Application>Microsoft Office Word</Application>
  <DocSecurity>0</DocSecurity>
  <Lines>3121</Lines>
  <Paragraphs>883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dc:creator>
  <cp:keywords/>
  <dc:description/>
  <cp:lastModifiedBy>Francisca Jalil</cp:lastModifiedBy>
  <cp:revision>5</cp:revision>
  <dcterms:created xsi:type="dcterms:W3CDTF">2021-07-26T16:40:00Z</dcterms:created>
  <dcterms:modified xsi:type="dcterms:W3CDTF">2021-10-15T11:14:00Z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14dd800c-303d-3cee-bd92-6a23cde2180f</vt:lpwstr>
  </property>
  <property fmtid="{D5CDD505-2E9C-101B-9397-08002B2CF9AE}" pid="24" name="Mendeley Citation Style_1">
    <vt:lpwstr>http://www.zotero.org/styles/ieee</vt:lpwstr>
  </property>
</Properties>
</file>