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B3FC4" w14:textId="220A96EB" w:rsidR="00EE2639" w:rsidRPr="00CB6C7C" w:rsidRDefault="00E20356">
      <w:pPr>
        <w:rPr>
          <w:rFonts w:cstheme="minorHAnsi"/>
          <w:b/>
          <w:bCs/>
        </w:rPr>
      </w:pPr>
      <w:bookmarkStart w:id="0" w:name="_GoBack"/>
      <w:bookmarkEnd w:id="0"/>
      <w:r>
        <w:rPr>
          <w:rFonts w:cstheme="minorHAnsi"/>
          <w:b/>
          <w:bCs/>
        </w:rPr>
        <w:t>Convalescent d</w:t>
      </w:r>
      <w:r w:rsidR="00D57F23" w:rsidRPr="006B618D">
        <w:rPr>
          <w:rFonts w:cstheme="minorHAnsi"/>
          <w:b/>
          <w:bCs/>
        </w:rPr>
        <w:t xml:space="preserve">onor </w:t>
      </w:r>
      <w:r w:rsidR="006B618D" w:rsidRPr="006B618D">
        <w:rPr>
          <w:rFonts w:cstheme="minorHAnsi"/>
          <w:b/>
          <w:bCs/>
        </w:rPr>
        <w:t>SARS-COV-2-specifi</w:t>
      </w:r>
      <w:r w:rsidR="00BA39F2">
        <w:rPr>
          <w:rFonts w:cstheme="minorHAnsi"/>
          <w:b/>
          <w:bCs/>
        </w:rPr>
        <w:t>c</w:t>
      </w:r>
      <w:r w:rsidR="006B618D" w:rsidRPr="006B618D">
        <w:rPr>
          <w:rFonts w:cstheme="minorHAnsi"/>
          <w:b/>
          <w:bCs/>
        </w:rPr>
        <w:t xml:space="preserve"> </w:t>
      </w:r>
      <w:r w:rsidR="00D57F23" w:rsidRPr="006B618D">
        <w:rPr>
          <w:rFonts w:cstheme="minorHAnsi"/>
          <w:b/>
          <w:bCs/>
        </w:rPr>
        <w:t>cytotoxic</w:t>
      </w:r>
      <w:r w:rsidR="00D57F23" w:rsidRPr="00CB6C7C">
        <w:rPr>
          <w:rFonts w:cstheme="minorHAnsi"/>
          <w:b/>
          <w:bCs/>
        </w:rPr>
        <w:t xml:space="preserve"> T lymphocyte infusion as a possible treatment option for COVID-19 patients with severe disease</w:t>
      </w:r>
      <w:r w:rsidR="00510843" w:rsidRPr="00CB6C7C">
        <w:rPr>
          <w:rFonts w:cstheme="minorHAnsi"/>
          <w:b/>
          <w:bCs/>
        </w:rPr>
        <w:t xml:space="preserve"> – </w:t>
      </w:r>
      <w:r>
        <w:rPr>
          <w:rFonts w:cstheme="minorHAnsi"/>
          <w:b/>
          <w:bCs/>
        </w:rPr>
        <w:t>has not received enough attention till date</w:t>
      </w:r>
    </w:p>
    <w:p w14:paraId="0CDF4BD2" w14:textId="470C0846" w:rsidR="002B4FCB" w:rsidRDefault="00035775" w:rsidP="00D57F23">
      <w:pPr>
        <w:spacing w:after="120" w:line="276" w:lineRule="auto"/>
        <w:rPr>
          <w:rFonts w:cstheme="minorHAnsi"/>
        </w:rPr>
      </w:pPr>
      <w:r>
        <w:rPr>
          <w:rFonts w:cstheme="minorHAnsi"/>
        </w:rPr>
        <w:t xml:space="preserve">Brian Hanley, </w:t>
      </w:r>
      <w:r w:rsidR="002B4FCB">
        <w:rPr>
          <w:rFonts w:cstheme="minorHAnsi"/>
        </w:rPr>
        <w:t xml:space="preserve">Candice </w:t>
      </w:r>
      <w:r w:rsidR="00D32FDE">
        <w:rPr>
          <w:rFonts w:cstheme="minorHAnsi"/>
        </w:rPr>
        <w:t xml:space="preserve">A </w:t>
      </w:r>
      <w:r w:rsidR="002B4FCB">
        <w:rPr>
          <w:rFonts w:cstheme="minorHAnsi"/>
        </w:rPr>
        <w:t xml:space="preserve">Roufosse, </w:t>
      </w:r>
      <w:r w:rsidR="00D82F5B">
        <w:rPr>
          <w:rFonts w:cstheme="minorHAnsi"/>
        </w:rPr>
        <w:t xml:space="preserve">Michael Osborn, </w:t>
      </w:r>
      <w:r w:rsidR="002B4FCB">
        <w:rPr>
          <w:rFonts w:cstheme="minorHAnsi"/>
        </w:rPr>
        <w:t>Kikkeri N Naresh</w:t>
      </w:r>
    </w:p>
    <w:p w14:paraId="40BC632A" w14:textId="22361447" w:rsidR="008D6140" w:rsidRDefault="002B4FCB" w:rsidP="00D57F23">
      <w:pPr>
        <w:spacing w:after="120" w:line="276" w:lineRule="auto"/>
        <w:rPr>
          <w:rFonts w:cstheme="minorHAnsi"/>
        </w:rPr>
      </w:pPr>
      <w:r>
        <w:rPr>
          <w:rFonts w:cstheme="minorHAnsi"/>
        </w:rPr>
        <w:t>Department of Cellular &amp; Molecular Pathology</w:t>
      </w:r>
      <w:r w:rsidR="001F463B">
        <w:rPr>
          <w:rFonts w:cstheme="minorHAnsi"/>
        </w:rPr>
        <w:t xml:space="preserve">, Northwest London Pathology, Imperial College Healthcare NHS Trust &amp; </w:t>
      </w:r>
      <w:r w:rsidR="004321DB">
        <w:rPr>
          <w:rFonts w:cstheme="minorHAnsi"/>
        </w:rPr>
        <w:t xml:space="preserve">Department of Immunology &amp; Inflammation, </w:t>
      </w:r>
      <w:r w:rsidR="008D6140">
        <w:rPr>
          <w:rFonts w:cstheme="minorHAnsi"/>
        </w:rPr>
        <w:t>Imperial College London.</w:t>
      </w:r>
    </w:p>
    <w:p w14:paraId="0F52B372" w14:textId="77777777" w:rsidR="008D6140" w:rsidRDefault="008D6140" w:rsidP="00D57F23">
      <w:pPr>
        <w:spacing w:after="120" w:line="276" w:lineRule="auto"/>
        <w:rPr>
          <w:rFonts w:cstheme="minorHAnsi"/>
        </w:rPr>
      </w:pPr>
    </w:p>
    <w:p w14:paraId="7BA89303" w14:textId="77777777" w:rsidR="008D6140" w:rsidRDefault="008D6140" w:rsidP="00D57F23">
      <w:pPr>
        <w:spacing w:after="120" w:line="276" w:lineRule="auto"/>
        <w:rPr>
          <w:rFonts w:cstheme="minorHAnsi"/>
        </w:rPr>
      </w:pPr>
      <w:r w:rsidRPr="00D62276">
        <w:rPr>
          <w:rFonts w:cstheme="minorHAnsi"/>
          <w:u w:val="single"/>
        </w:rPr>
        <w:t>Address for correspondence</w:t>
      </w:r>
      <w:r>
        <w:rPr>
          <w:rFonts w:cstheme="minorHAnsi"/>
        </w:rPr>
        <w:t>:</w:t>
      </w:r>
    </w:p>
    <w:p w14:paraId="24870644" w14:textId="7780A135" w:rsidR="008D6140" w:rsidRDefault="008D6140" w:rsidP="00D62276">
      <w:pPr>
        <w:spacing w:after="0" w:line="240" w:lineRule="auto"/>
        <w:rPr>
          <w:rFonts w:cstheme="minorHAnsi"/>
        </w:rPr>
      </w:pPr>
      <w:r>
        <w:rPr>
          <w:rFonts w:cstheme="minorHAnsi"/>
        </w:rPr>
        <w:t>Professor Kikkeri N Naresh</w:t>
      </w:r>
    </w:p>
    <w:p w14:paraId="3B4FA3D1" w14:textId="77777777" w:rsidR="00297CE5" w:rsidRDefault="00297CE5" w:rsidP="00D62276">
      <w:pPr>
        <w:spacing w:after="0" w:line="240" w:lineRule="auto"/>
        <w:rPr>
          <w:rFonts w:cstheme="minorHAnsi"/>
        </w:rPr>
      </w:pPr>
      <w:r>
        <w:rPr>
          <w:rFonts w:cstheme="minorHAnsi"/>
        </w:rPr>
        <w:t xml:space="preserve">Department of Cellular &amp; Molecular Pathology, </w:t>
      </w:r>
    </w:p>
    <w:p w14:paraId="0216EF26" w14:textId="77777777" w:rsidR="00297CE5" w:rsidRDefault="00297CE5" w:rsidP="00D62276">
      <w:pPr>
        <w:spacing w:after="0" w:line="240" w:lineRule="auto"/>
        <w:rPr>
          <w:rFonts w:cstheme="minorHAnsi"/>
        </w:rPr>
      </w:pPr>
      <w:r>
        <w:rPr>
          <w:rFonts w:cstheme="minorHAnsi"/>
        </w:rPr>
        <w:t xml:space="preserve">Northwest London Pathology, </w:t>
      </w:r>
    </w:p>
    <w:p w14:paraId="1CB55E33" w14:textId="384622C2" w:rsidR="00297CE5" w:rsidRDefault="00297CE5" w:rsidP="00D62276">
      <w:pPr>
        <w:spacing w:after="0" w:line="240" w:lineRule="auto"/>
        <w:rPr>
          <w:rFonts w:cstheme="minorHAnsi"/>
        </w:rPr>
      </w:pPr>
      <w:r>
        <w:rPr>
          <w:rFonts w:cstheme="minorHAnsi"/>
        </w:rPr>
        <w:t xml:space="preserve">Charing </w:t>
      </w:r>
      <w:r w:rsidR="00D62276">
        <w:rPr>
          <w:rFonts w:cstheme="minorHAnsi"/>
        </w:rPr>
        <w:t>Cross Hospital campus</w:t>
      </w:r>
    </w:p>
    <w:p w14:paraId="75B03860" w14:textId="774E3583" w:rsidR="00D62276" w:rsidRDefault="00D62276" w:rsidP="00D62276">
      <w:pPr>
        <w:spacing w:after="0" w:line="240" w:lineRule="auto"/>
        <w:rPr>
          <w:rFonts w:cstheme="minorHAnsi"/>
        </w:rPr>
      </w:pPr>
      <w:r>
        <w:rPr>
          <w:rFonts w:cstheme="minorHAnsi"/>
        </w:rPr>
        <w:t>Fulham Palace Road</w:t>
      </w:r>
    </w:p>
    <w:p w14:paraId="0E67DB87" w14:textId="65158BBD" w:rsidR="00D62276" w:rsidRDefault="00D62276" w:rsidP="00D62276">
      <w:pPr>
        <w:spacing w:after="0" w:line="240" w:lineRule="auto"/>
        <w:rPr>
          <w:rFonts w:cstheme="minorHAnsi"/>
        </w:rPr>
      </w:pPr>
      <w:r>
        <w:rPr>
          <w:rFonts w:cstheme="minorHAnsi"/>
        </w:rPr>
        <w:t xml:space="preserve">Hammersmith </w:t>
      </w:r>
    </w:p>
    <w:p w14:paraId="056A0F86" w14:textId="12C3E10B" w:rsidR="00D62276" w:rsidRDefault="00D62276" w:rsidP="00D62276">
      <w:pPr>
        <w:spacing w:after="0" w:line="240" w:lineRule="auto"/>
        <w:rPr>
          <w:rFonts w:cstheme="minorHAnsi"/>
        </w:rPr>
      </w:pPr>
      <w:r>
        <w:rPr>
          <w:rFonts w:cstheme="minorHAnsi"/>
        </w:rPr>
        <w:t>London</w:t>
      </w:r>
      <w:r w:rsidRPr="00D62276">
        <w:rPr>
          <w:rFonts w:cstheme="minorHAnsi"/>
        </w:rPr>
        <w:t xml:space="preserve"> </w:t>
      </w:r>
      <w:r>
        <w:rPr>
          <w:rFonts w:cstheme="minorHAnsi"/>
        </w:rPr>
        <w:t>W6 8NA</w:t>
      </w:r>
    </w:p>
    <w:p w14:paraId="4352B7FF" w14:textId="77777777" w:rsidR="00D62276" w:rsidRDefault="00D62276">
      <w:pPr>
        <w:rPr>
          <w:rFonts w:cstheme="minorHAnsi"/>
        </w:rPr>
      </w:pPr>
      <w:r>
        <w:rPr>
          <w:rFonts w:cstheme="minorHAnsi"/>
        </w:rPr>
        <w:br w:type="page"/>
      </w:r>
    </w:p>
    <w:p w14:paraId="6EDB1C57" w14:textId="63C6A5C5" w:rsidR="00BA39F2" w:rsidRDefault="00BA39F2" w:rsidP="00D57F23">
      <w:pPr>
        <w:spacing w:after="120" w:line="276" w:lineRule="auto"/>
        <w:rPr>
          <w:rFonts w:cstheme="minorHAnsi"/>
        </w:rPr>
      </w:pPr>
      <w:r w:rsidRPr="00123F9E">
        <w:rPr>
          <w:rFonts w:cstheme="minorHAnsi"/>
          <w:b/>
          <w:bCs/>
        </w:rPr>
        <w:lastRenderedPageBreak/>
        <w:t>Abstract</w:t>
      </w:r>
      <w:r>
        <w:rPr>
          <w:rFonts w:cstheme="minorHAnsi"/>
        </w:rPr>
        <w:t xml:space="preserve">: </w:t>
      </w:r>
      <w:r w:rsidRPr="00CB6C7C">
        <w:rPr>
          <w:rFonts w:cstheme="minorHAnsi"/>
        </w:rPr>
        <w:t xml:space="preserve">One of the hallmarks of COVID-19 is a reduction in lymphocyte counts, and the degree of reduction correlates with disease severity. Studies have shown a linear negative correlation between peripheral </w:t>
      </w:r>
      <w:r>
        <w:rPr>
          <w:rFonts w:cstheme="minorHAnsi"/>
        </w:rPr>
        <w:t xml:space="preserve">blood </w:t>
      </w:r>
      <w:r w:rsidRPr="00CB6C7C">
        <w:rPr>
          <w:rFonts w:cstheme="minorHAnsi"/>
        </w:rPr>
        <w:t>CD8+ T cells</w:t>
      </w:r>
      <w:r>
        <w:rPr>
          <w:rFonts w:cstheme="minorHAnsi"/>
        </w:rPr>
        <w:t xml:space="preserve"> counts</w:t>
      </w:r>
      <w:r w:rsidRPr="00CB6C7C">
        <w:rPr>
          <w:rFonts w:cstheme="minorHAnsi"/>
        </w:rPr>
        <w:t xml:space="preserve"> and viral copy numbers in nasopharynx and disease severity</w:t>
      </w:r>
      <w:r>
        <w:rPr>
          <w:rFonts w:cstheme="minorHAnsi"/>
        </w:rPr>
        <w:t xml:space="preserve">. In addition, CD8+ T cells are reported to be functionally ‘exhausted’. </w:t>
      </w:r>
      <w:r w:rsidRPr="00CB6C7C">
        <w:rPr>
          <w:rFonts w:cstheme="minorHAnsi"/>
        </w:rPr>
        <w:t xml:space="preserve">Currently, there is no proven treatment for </w:t>
      </w:r>
      <w:r>
        <w:rPr>
          <w:rFonts w:cstheme="minorHAnsi"/>
        </w:rPr>
        <w:t>COVID-19</w:t>
      </w:r>
      <w:r w:rsidRPr="00CB6C7C">
        <w:rPr>
          <w:rFonts w:cstheme="minorHAnsi"/>
        </w:rPr>
        <w:t>.</w:t>
      </w:r>
      <w:r>
        <w:rPr>
          <w:rFonts w:cstheme="minorHAnsi"/>
        </w:rPr>
        <w:t xml:space="preserve"> Cytotoxic T cells are key to fighting intracellular viruses. In the context of haematopoietic stem cell transplantation, a variety of viral infections have been successfully treated using off-the-shelf HLA-matched virus-specific cytotoxic T cells. </w:t>
      </w:r>
      <w:r w:rsidR="00E20356">
        <w:rPr>
          <w:rFonts w:cstheme="minorHAnsi"/>
        </w:rPr>
        <w:t xml:space="preserve">A similar </w:t>
      </w:r>
      <w:r>
        <w:rPr>
          <w:rFonts w:cstheme="minorHAnsi"/>
        </w:rPr>
        <w:t xml:space="preserve">strategy </w:t>
      </w:r>
      <w:r w:rsidR="00E20356">
        <w:rPr>
          <w:rFonts w:cstheme="minorHAnsi"/>
        </w:rPr>
        <w:t xml:space="preserve">using convalescent donor CD8+ T cells </w:t>
      </w:r>
      <w:r>
        <w:rPr>
          <w:rFonts w:cstheme="minorHAnsi"/>
        </w:rPr>
        <w:t xml:space="preserve">appears to be the need of the hour and </w:t>
      </w:r>
      <w:r w:rsidR="00E20356">
        <w:rPr>
          <w:rFonts w:cstheme="minorHAnsi"/>
        </w:rPr>
        <w:t>has not received enough attention till date</w:t>
      </w:r>
      <w:r>
        <w:rPr>
          <w:rFonts w:cstheme="minorHAnsi"/>
        </w:rPr>
        <w:t>.</w:t>
      </w:r>
    </w:p>
    <w:p w14:paraId="3E5ADB60" w14:textId="77777777" w:rsidR="00123F9E" w:rsidRDefault="00123F9E">
      <w:pPr>
        <w:rPr>
          <w:rFonts w:cstheme="minorHAnsi"/>
        </w:rPr>
      </w:pPr>
      <w:r>
        <w:rPr>
          <w:rFonts w:cstheme="minorHAnsi"/>
        </w:rPr>
        <w:br w:type="page"/>
      </w:r>
    </w:p>
    <w:p w14:paraId="67695300" w14:textId="3005CF5A" w:rsidR="00D57F23" w:rsidRPr="00CB6C7C" w:rsidRDefault="00D57F23" w:rsidP="00D57F23">
      <w:pPr>
        <w:spacing w:after="120" w:line="276" w:lineRule="auto"/>
        <w:rPr>
          <w:rFonts w:cstheme="minorHAnsi"/>
        </w:rPr>
      </w:pPr>
      <w:r w:rsidRPr="00CB6C7C">
        <w:rPr>
          <w:rFonts w:cstheme="minorHAnsi"/>
        </w:rPr>
        <w:lastRenderedPageBreak/>
        <w:t xml:space="preserve">A new fatal illness </w:t>
      </w:r>
      <w:r w:rsidR="00FB2E48">
        <w:rPr>
          <w:rFonts w:cstheme="minorHAnsi"/>
        </w:rPr>
        <w:t xml:space="preserve">causing pneumonia, cytokine storm and disseminated intravascular </w:t>
      </w:r>
      <w:r w:rsidR="00BA39F2">
        <w:rPr>
          <w:rFonts w:cstheme="minorHAnsi"/>
        </w:rPr>
        <w:t xml:space="preserve">coagulation </w:t>
      </w:r>
      <w:r w:rsidR="00BA39F2" w:rsidRPr="00CB6C7C">
        <w:rPr>
          <w:rFonts w:cstheme="minorHAnsi"/>
        </w:rPr>
        <w:t>was</w:t>
      </w:r>
      <w:r w:rsidRPr="00CB6C7C">
        <w:rPr>
          <w:rFonts w:cstheme="minorHAnsi"/>
        </w:rPr>
        <w:t xml:space="preserve"> encountered in Wuhan (China) in November 2019. This event was followed by a worldwide pandemic and this disease is currently under intense investigation. In highly symptomatic patients, the disease often presents with fever, dry cough, fatigue, extreme myalgia and breathing difficulty. World Health Organization termed the disease as Corona Virus Disease 19 (COVID-19) </w:t>
      </w:r>
      <w:r w:rsidR="00352FE8" w:rsidRPr="00CB6C7C">
        <w:rPr>
          <w:rFonts w:cstheme="minorHAnsi"/>
        </w:rPr>
        <w:t xml:space="preserve">and the causative agent </w:t>
      </w:r>
      <w:r w:rsidR="00352FE8">
        <w:rPr>
          <w:rFonts w:cstheme="minorHAnsi"/>
        </w:rPr>
        <w:t xml:space="preserve">as </w:t>
      </w:r>
      <w:r w:rsidR="009F6AEE">
        <w:rPr>
          <w:rFonts w:cstheme="minorHAnsi"/>
        </w:rPr>
        <w:t xml:space="preserve">SARS-COV-2. </w:t>
      </w:r>
      <w:r w:rsidRPr="00CB6C7C">
        <w:rPr>
          <w:rFonts w:cstheme="minorHAnsi"/>
        </w:rPr>
        <w:t xml:space="preserve">The RNA virus was isolated and identified in bronchioalveolar lavage samples using genomic technologies, and the viral particles were also visualized under electron microscopy in </w:t>
      </w:r>
      <w:r w:rsidR="009F6AEE">
        <w:rPr>
          <w:rFonts w:cstheme="minorHAnsi"/>
        </w:rPr>
        <w:t xml:space="preserve">SARS-COV-2 </w:t>
      </w:r>
      <w:r w:rsidRPr="00CB6C7C">
        <w:rPr>
          <w:rFonts w:cstheme="minorHAnsi"/>
        </w:rPr>
        <w:t>infected epithelial cell cultures.</w:t>
      </w:r>
      <w:r w:rsidR="00FB0545" w:rsidRPr="00FB0545">
        <w:rPr>
          <w:rFonts w:cstheme="minorHAnsi"/>
          <w:vertAlign w:val="superscript"/>
        </w:rPr>
        <w:t>1</w:t>
      </w:r>
      <w:r w:rsidRPr="00CB6C7C">
        <w:rPr>
          <w:rFonts w:cstheme="minorHAnsi"/>
        </w:rPr>
        <w:t xml:space="preserve"> </w:t>
      </w:r>
      <w:r w:rsidR="00A9147C">
        <w:rPr>
          <w:rFonts w:cstheme="minorHAnsi"/>
        </w:rPr>
        <w:t xml:space="preserve">SARS-COV-2 </w:t>
      </w:r>
      <w:r w:rsidRPr="00CB6C7C">
        <w:rPr>
          <w:rFonts w:cstheme="minorHAnsi"/>
        </w:rPr>
        <w:t>receptors have been identified in transient secretory cells of subsegmental bronchial branches, epithelial cells of the tongue, cornea and in the central nervous system.</w:t>
      </w:r>
      <w:r w:rsidR="00FB0545" w:rsidRPr="00FB0545">
        <w:rPr>
          <w:rFonts w:cstheme="minorHAnsi"/>
          <w:vertAlign w:val="superscript"/>
        </w:rPr>
        <w:t>2</w:t>
      </w:r>
    </w:p>
    <w:p w14:paraId="61574B29" w14:textId="654D5D71" w:rsidR="00D57F23" w:rsidRPr="00CB6C7C" w:rsidRDefault="00D57F23" w:rsidP="00FD7B42">
      <w:pPr>
        <w:spacing w:after="120" w:line="276" w:lineRule="auto"/>
        <w:rPr>
          <w:rFonts w:cstheme="minorHAnsi"/>
        </w:rPr>
      </w:pPr>
      <w:r w:rsidRPr="00CB6C7C">
        <w:rPr>
          <w:rFonts w:cstheme="minorHAnsi"/>
        </w:rPr>
        <w:t xml:space="preserve">One of the hallmarks of COVID-19 is a reduction in lymphocyte counts, and the degree of reduction correlates with disease severity. </w:t>
      </w:r>
      <w:r w:rsidR="003709FE">
        <w:rPr>
          <w:rFonts w:cstheme="minorHAnsi"/>
        </w:rPr>
        <w:t>S</w:t>
      </w:r>
      <w:r w:rsidR="00592AAE" w:rsidRPr="00CB6C7C">
        <w:rPr>
          <w:rFonts w:cstheme="minorHAnsi"/>
        </w:rPr>
        <w:t>everal studies have shown that patients with severe disease have a high neutrophil to lymphocyte ratio (NLR), and NLR can be used as a disease stratifier.</w:t>
      </w:r>
      <w:r w:rsidR="00DA4E9A" w:rsidRPr="00DA4E9A">
        <w:rPr>
          <w:rFonts w:cstheme="minorHAnsi"/>
          <w:vertAlign w:val="superscript"/>
        </w:rPr>
        <w:t>3,4</w:t>
      </w:r>
      <w:r w:rsidR="00592AAE" w:rsidRPr="00CB6C7C">
        <w:rPr>
          <w:rFonts w:cstheme="minorHAnsi"/>
        </w:rPr>
        <w:t xml:space="preserve"> </w:t>
      </w:r>
      <w:r w:rsidRPr="00CB6C7C">
        <w:rPr>
          <w:rFonts w:cstheme="minorHAnsi"/>
        </w:rPr>
        <w:t>Studies have shown a linear negative correlation between peripheral blood T cell counts (both CD4+ and CD8+ T cells) and viral copy numbers in nasopharynx and disease severity.</w:t>
      </w:r>
      <w:r w:rsidR="00DA4E9A" w:rsidRPr="00DA4E9A">
        <w:rPr>
          <w:rFonts w:cstheme="minorHAnsi"/>
          <w:vertAlign w:val="superscript"/>
        </w:rPr>
        <w:t>5</w:t>
      </w:r>
      <w:r w:rsidRPr="00CB6C7C">
        <w:rPr>
          <w:rFonts w:cstheme="minorHAnsi"/>
        </w:rPr>
        <w:t xml:space="preserve"> Low levels of B cells and NK cells, and increased CD4:CD8 ratio has also been reported in severe disease.  Post-treatment reduction in CD8+ T cells and B cells and an increase in CD4:CD8 ratio have been associated with poor outcome.</w:t>
      </w:r>
      <w:r w:rsidR="00DA4E9A" w:rsidRPr="00DA4E9A">
        <w:rPr>
          <w:rFonts w:cstheme="minorHAnsi"/>
          <w:vertAlign w:val="superscript"/>
        </w:rPr>
        <w:t>6</w:t>
      </w:r>
      <w:r w:rsidRPr="00CB6C7C">
        <w:rPr>
          <w:rFonts w:cstheme="minorHAnsi"/>
        </w:rPr>
        <w:t xml:space="preserve"> Overall, the exhaustion of cytotoxic cells (CD8+ T cells and NK cells) have been associated with poor outcomes</w:t>
      </w:r>
      <w:r w:rsidR="00FD7B42" w:rsidRPr="00CB6C7C">
        <w:rPr>
          <w:rFonts w:cstheme="minorHAnsi"/>
        </w:rPr>
        <w:t>.</w:t>
      </w:r>
      <w:r w:rsidR="00E44123" w:rsidRPr="00CB6C7C">
        <w:rPr>
          <w:rFonts w:cstheme="minorHAnsi"/>
        </w:rPr>
        <w:t xml:space="preserve"> </w:t>
      </w:r>
      <w:r w:rsidR="00FD7B42" w:rsidRPr="00CB6C7C">
        <w:rPr>
          <w:rFonts w:cstheme="minorHAnsi"/>
        </w:rPr>
        <w:t>The</w:t>
      </w:r>
      <w:r w:rsidR="00E44123" w:rsidRPr="00CB6C7C">
        <w:rPr>
          <w:rFonts w:cstheme="minorHAnsi"/>
        </w:rPr>
        <w:t xml:space="preserve"> impaired </w:t>
      </w:r>
      <w:r w:rsidR="00FD7B42" w:rsidRPr="00CB6C7C">
        <w:rPr>
          <w:rFonts w:cstheme="minorHAnsi"/>
        </w:rPr>
        <w:t>function of NK</w:t>
      </w:r>
      <w:r w:rsidR="00E44123" w:rsidRPr="00CB6C7C">
        <w:rPr>
          <w:rFonts w:cstheme="minorHAnsi"/>
        </w:rPr>
        <w:t xml:space="preserve"> cells</w:t>
      </w:r>
      <w:r w:rsidR="00FD7B42" w:rsidRPr="00CB6C7C">
        <w:rPr>
          <w:rFonts w:cstheme="minorHAnsi"/>
        </w:rPr>
        <w:t xml:space="preserve"> and CD8+ T cells </w:t>
      </w:r>
      <w:r w:rsidR="00334C2F">
        <w:rPr>
          <w:rFonts w:cstheme="minorHAnsi"/>
        </w:rPr>
        <w:t xml:space="preserve">is </w:t>
      </w:r>
      <w:r w:rsidR="00E44123" w:rsidRPr="00CB6C7C">
        <w:rPr>
          <w:rFonts w:cstheme="minorHAnsi"/>
        </w:rPr>
        <w:t xml:space="preserve">accompanied by </w:t>
      </w:r>
      <w:r w:rsidR="00FD7B42" w:rsidRPr="00CB6C7C">
        <w:rPr>
          <w:rFonts w:cstheme="minorHAnsi"/>
        </w:rPr>
        <w:t>increased</w:t>
      </w:r>
      <w:r w:rsidR="00E44123" w:rsidRPr="00CB6C7C">
        <w:rPr>
          <w:rFonts w:cstheme="minorHAnsi"/>
        </w:rPr>
        <w:t xml:space="preserve"> </w:t>
      </w:r>
      <w:r w:rsidR="00FD7B42" w:rsidRPr="00CB6C7C">
        <w:rPr>
          <w:rFonts w:cstheme="minorHAnsi"/>
        </w:rPr>
        <w:t xml:space="preserve">expression of NKG2A </w:t>
      </w:r>
      <w:r w:rsidR="00304675">
        <w:rPr>
          <w:rFonts w:cstheme="minorHAnsi"/>
        </w:rPr>
        <w:t>on the cytotoxic cells</w:t>
      </w:r>
      <w:r w:rsidR="00FD7B42" w:rsidRPr="00CB6C7C">
        <w:rPr>
          <w:rFonts w:cstheme="minorHAnsi"/>
        </w:rPr>
        <w:t>.</w:t>
      </w:r>
      <w:r w:rsidR="009F7EF1" w:rsidRPr="00CB6C7C">
        <w:rPr>
          <w:rFonts w:cstheme="minorHAnsi"/>
        </w:rPr>
        <w:t xml:space="preserve"> NKG2A and NKG2B receptors transmit inhibitory signal</w:t>
      </w:r>
      <w:r w:rsidR="004E64DB" w:rsidRPr="00CB6C7C">
        <w:rPr>
          <w:rFonts w:cstheme="minorHAnsi"/>
        </w:rPr>
        <w:t>s and reduce the cytotoxic activity of these cells</w:t>
      </w:r>
      <w:r w:rsidR="009F7EF1" w:rsidRPr="00CB6C7C">
        <w:rPr>
          <w:rFonts w:cstheme="minorHAnsi"/>
        </w:rPr>
        <w:t>.</w:t>
      </w:r>
      <w:r w:rsidR="00FD7B42" w:rsidRPr="00CB6C7C">
        <w:rPr>
          <w:rFonts w:cstheme="minorHAnsi"/>
        </w:rPr>
        <w:t xml:space="preserve"> </w:t>
      </w:r>
      <w:r w:rsidR="0048729B" w:rsidRPr="00CB6C7C">
        <w:rPr>
          <w:rFonts w:cstheme="minorHAnsi"/>
        </w:rPr>
        <w:t xml:space="preserve">Patients recovering from COVID-19 </w:t>
      </w:r>
      <w:r w:rsidR="000E4F62" w:rsidRPr="00CB6C7C">
        <w:rPr>
          <w:rFonts w:cstheme="minorHAnsi"/>
        </w:rPr>
        <w:t xml:space="preserve">show restoration </w:t>
      </w:r>
      <w:r w:rsidR="00BA39F2" w:rsidRPr="00CB6C7C">
        <w:rPr>
          <w:rFonts w:cstheme="minorHAnsi"/>
        </w:rPr>
        <w:t>of NK</w:t>
      </w:r>
      <w:r w:rsidR="00FD7B42" w:rsidRPr="00CB6C7C">
        <w:rPr>
          <w:rFonts w:cstheme="minorHAnsi"/>
        </w:rPr>
        <w:t xml:space="preserve"> and CD8+ T cell</w:t>
      </w:r>
      <w:r w:rsidR="00F9283C">
        <w:rPr>
          <w:rFonts w:cstheme="minorHAnsi"/>
        </w:rPr>
        <w:t xml:space="preserve"> counts</w:t>
      </w:r>
      <w:r w:rsidR="000E4F62" w:rsidRPr="00CB6C7C">
        <w:rPr>
          <w:rFonts w:cstheme="minorHAnsi"/>
        </w:rPr>
        <w:t xml:space="preserve">, </w:t>
      </w:r>
      <w:r w:rsidR="00F9283C">
        <w:rPr>
          <w:rFonts w:cstheme="minorHAnsi"/>
        </w:rPr>
        <w:t>with</w:t>
      </w:r>
      <w:r w:rsidR="000E4F62" w:rsidRPr="00CB6C7C">
        <w:rPr>
          <w:rFonts w:cstheme="minorHAnsi"/>
        </w:rPr>
        <w:t xml:space="preserve"> </w:t>
      </w:r>
      <w:r w:rsidR="00502C19" w:rsidRPr="00CB6C7C">
        <w:rPr>
          <w:rFonts w:cstheme="minorHAnsi"/>
        </w:rPr>
        <w:t>an accompanying</w:t>
      </w:r>
      <w:r w:rsidR="00FD7B42" w:rsidRPr="00CB6C7C">
        <w:rPr>
          <w:rFonts w:cstheme="minorHAnsi"/>
        </w:rPr>
        <w:t xml:space="preserve"> reduc</w:t>
      </w:r>
      <w:r w:rsidR="00502C19" w:rsidRPr="00CB6C7C">
        <w:rPr>
          <w:rFonts w:cstheme="minorHAnsi"/>
        </w:rPr>
        <w:t>tion in</w:t>
      </w:r>
      <w:r w:rsidR="00EE2977">
        <w:rPr>
          <w:rFonts w:cstheme="minorHAnsi"/>
        </w:rPr>
        <w:t xml:space="preserve"> </w:t>
      </w:r>
      <w:r w:rsidR="00F9283C">
        <w:rPr>
          <w:rFonts w:cstheme="minorHAnsi"/>
        </w:rPr>
        <w:t>NKG2A</w:t>
      </w:r>
      <w:r w:rsidR="00FD7B42" w:rsidRPr="00CB6C7C">
        <w:rPr>
          <w:rFonts w:cstheme="minorHAnsi"/>
        </w:rPr>
        <w:t xml:space="preserve"> expression</w:t>
      </w:r>
      <w:r w:rsidR="00C26FC8">
        <w:rPr>
          <w:rFonts w:cstheme="minorHAnsi"/>
        </w:rPr>
        <w:t>.7</w:t>
      </w:r>
      <w:r w:rsidRPr="00CB6C7C">
        <w:rPr>
          <w:rFonts w:cstheme="minorHAnsi"/>
        </w:rPr>
        <w:t xml:space="preserve"> </w:t>
      </w:r>
      <w:r w:rsidR="00ED5DA8">
        <w:rPr>
          <w:rFonts w:cstheme="minorHAnsi"/>
        </w:rPr>
        <w:t>In addition, a</w:t>
      </w:r>
      <w:r w:rsidR="009F2BBB">
        <w:rPr>
          <w:rFonts w:cstheme="minorHAnsi"/>
        </w:rPr>
        <w:t xml:space="preserve"> reduction in regulatory T cells (</w:t>
      </w:r>
      <w:proofErr w:type="spellStart"/>
      <w:r w:rsidR="009F2BBB">
        <w:rPr>
          <w:rFonts w:cstheme="minorHAnsi"/>
        </w:rPr>
        <w:t>Tregs</w:t>
      </w:r>
      <w:proofErr w:type="spellEnd"/>
      <w:r w:rsidR="009F2BBB">
        <w:rPr>
          <w:rFonts w:cstheme="minorHAnsi"/>
        </w:rPr>
        <w:t>) ha</w:t>
      </w:r>
      <w:r w:rsidR="00EE2977">
        <w:rPr>
          <w:rFonts w:cstheme="minorHAnsi"/>
        </w:rPr>
        <w:t>s</w:t>
      </w:r>
      <w:r w:rsidR="009F2BBB">
        <w:rPr>
          <w:rFonts w:cstheme="minorHAnsi"/>
        </w:rPr>
        <w:t xml:space="preserve"> also been noted.</w:t>
      </w:r>
      <w:r w:rsidR="00C26FC8" w:rsidRPr="00C26FC8">
        <w:rPr>
          <w:rFonts w:cstheme="minorHAnsi"/>
          <w:vertAlign w:val="superscript"/>
        </w:rPr>
        <w:t>8</w:t>
      </w:r>
      <w:r w:rsidR="009F2BBB">
        <w:rPr>
          <w:rFonts w:cstheme="minorHAnsi"/>
        </w:rPr>
        <w:t xml:space="preserve"> </w:t>
      </w:r>
      <w:r w:rsidR="00C256B1">
        <w:rPr>
          <w:rFonts w:cstheme="minorHAnsi"/>
        </w:rPr>
        <w:t xml:space="preserve">Both COVID-19 and </w:t>
      </w:r>
      <w:r w:rsidR="00F95DB3">
        <w:rPr>
          <w:rFonts w:cstheme="minorHAnsi"/>
        </w:rPr>
        <w:t xml:space="preserve">SARS (severe acute respiratory syndrome) are </w:t>
      </w:r>
      <w:r w:rsidR="00F9283C">
        <w:rPr>
          <w:rFonts w:cstheme="minorHAnsi"/>
        </w:rPr>
        <w:t>notable for their association with a marked</w:t>
      </w:r>
      <w:r w:rsidR="005F1E41">
        <w:rPr>
          <w:rFonts w:cstheme="minorHAnsi"/>
        </w:rPr>
        <w:t xml:space="preserve"> reduction in CD8+ T cells. In contrast, other infections such as </w:t>
      </w:r>
      <w:r w:rsidR="00220F22">
        <w:rPr>
          <w:rFonts w:cstheme="minorHAnsi"/>
        </w:rPr>
        <w:t xml:space="preserve">Epstein Barr virus (EBV), cytomegalovirus (CMV) and </w:t>
      </w:r>
      <w:r w:rsidR="00B079F1">
        <w:rPr>
          <w:rFonts w:cstheme="minorHAnsi"/>
        </w:rPr>
        <w:t>human immunodeficiency virus (HIV)</w:t>
      </w:r>
      <w:r w:rsidR="00220F22">
        <w:rPr>
          <w:rFonts w:cstheme="minorHAnsi"/>
        </w:rPr>
        <w:t xml:space="preserve"> </w:t>
      </w:r>
      <w:r w:rsidR="00B079F1">
        <w:rPr>
          <w:rFonts w:cstheme="minorHAnsi"/>
        </w:rPr>
        <w:t xml:space="preserve">are accompanied </w:t>
      </w:r>
      <w:r w:rsidR="00381F9B">
        <w:rPr>
          <w:rFonts w:cstheme="minorHAnsi"/>
        </w:rPr>
        <w:t>by elevated levels of CD8+ T cells.</w:t>
      </w:r>
      <w:r w:rsidR="00C26FC8" w:rsidRPr="00C26FC8">
        <w:rPr>
          <w:rFonts w:cstheme="minorHAnsi"/>
          <w:vertAlign w:val="superscript"/>
        </w:rPr>
        <w:t>9</w:t>
      </w:r>
      <w:r w:rsidR="00381F9B">
        <w:rPr>
          <w:rFonts w:cstheme="minorHAnsi"/>
        </w:rPr>
        <w:t xml:space="preserve"> </w:t>
      </w:r>
      <w:r w:rsidR="00F9283C">
        <w:rPr>
          <w:rFonts w:cstheme="minorHAnsi"/>
        </w:rPr>
        <w:t xml:space="preserve">It is currently unknown </w:t>
      </w:r>
      <w:r w:rsidR="00AF7533" w:rsidRPr="00CB6C7C">
        <w:rPr>
          <w:rFonts w:cstheme="minorHAnsi"/>
        </w:rPr>
        <w:t xml:space="preserve">why </w:t>
      </w:r>
      <w:r w:rsidR="00FF6748">
        <w:rPr>
          <w:rFonts w:cstheme="minorHAnsi"/>
        </w:rPr>
        <w:t>SARS-COV-2</w:t>
      </w:r>
      <w:r w:rsidR="00AF7533" w:rsidRPr="00CB6C7C">
        <w:rPr>
          <w:rFonts w:cstheme="minorHAnsi"/>
        </w:rPr>
        <w:t xml:space="preserve"> infected patients suffer from lymphocytopenia. </w:t>
      </w:r>
      <w:r w:rsidR="0026602A">
        <w:rPr>
          <w:rFonts w:cstheme="minorHAnsi"/>
        </w:rPr>
        <w:t>Do</w:t>
      </w:r>
      <w:r w:rsidR="00AF7533" w:rsidRPr="00CB6C7C">
        <w:rPr>
          <w:rFonts w:cstheme="minorHAnsi"/>
        </w:rPr>
        <w:t xml:space="preserve"> specific lymphocyte subsets </w:t>
      </w:r>
      <w:r w:rsidR="00F9283C">
        <w:rPr>
          <w:rFonts w:cstheme="minorHAnsi"/>
        </w:rPr>
        <w:t>become</w:t>
      </w:r>
      <w:r w:rsidR="00AF7533" w:rsidRPr="00CB6C7C">
        <w:rPr>
          <w:rFonts w:cstheme="minorHAnsi"/>
        </w:rPr>
        <w:t xml:space="preserve"> infected </w:t>
      </w:r>
      <w:r w:rsidR="00054C19" w:rsidRPr="00CB6C7C">
        <w:rPr>
          <w:rFonts w:cstheme="minorHAnsi"/>
        </w:rPr>
        <w:t>and</w:t>
      </w:r>
      <w:r w:rsidR="0026602A">
        <w:rPr>
          <w:rFonts w:cstheme="minorHAnsi"/>
        </w:rPr>
        <w:t xml:space="preserve"> are they</w:t>
      </w:r>
      <w:r w:rsidR="00054C19" w:rsidRPr="00CB6C7C">
        <w:rPr>
          <w:rFonts w:cstheme="minorHAnsi"/>
        </w:rPr>
        <w:t xml:space="preserve"> destroyed </w:t>
      </w:r>
      <w:r w:rsidR="00AF7533" w:rsidRPr="00CB6C7C">
        <w:rPr>
          <w:rFonts w:cstheme="minorHAnsi"/>
        </w:rPr>
        <w:t>by the virus</w:t>
      </w:r>
      <w:r w:rsidR="00054C19" w:rsidRPr="00CB6C7C">
        <w:rPr>
          <w:rFonts w:cstheme="minorHAnsi"/>
        </w:rPr>
        <w:t>?</w:t>
      </w:r>
      <w:r w:rsidR="00AF7533" w:rsidRPr="00CB6C7C">
        <w:rPr>
          <w:rFonts w:cstheme="minorHAnsi"/>
        </w:rPr>
        <w:t xml:space="preserve"> </w:t>
      </w:r>
      <w:r w:rsidR="003B1AE6" w:rsidRPr="00CB6C7C">
        <w:rPr>
          <w:rFonts w:cstheme="minorHAnsi"/>
        </w:rPr>
        <w:t xml:space="preserve">If lymphoid cells get infected with </w:t>
      </w:r>
      <w:r w:rsidR="00FF6748">
        <w:rPr>
          <w:rFonts w:cstheme="minorHAnsi"/>
        </w:rPr>
        <w:t>SARS-COV-2</w:t>
      </w:r>
      <w:r w:rsidR="003B1AE6" w:rsidRPr="00CB6C7C">
        <w:rPr>
          <w:rFonts w:cstheme="minorHAnsi"/>
        </w:rPr>
        <w:t xml:space="preserve">, what are </w:t>
      </w:r>
      <w:r w:rsidR="00AF7533" w:rsidRPr="00CB6C7C">
        <w:rPr>
          <w:rFonts w:cstheme="minorHAnsi"/>
        </w:rPr>
        <w:t xml:space="preserve">immediate and </w:t>
      </w:r>
      <w:r w:rsidR="0026602A">
        <w:rPr>
          <w:rFonts w:cstheme="minorHAnsi"/>
        </w:rPr>
        <w:t xml:space="preserve">subsequent </w:t>
      </w:r>
      <w:r w:rsidR="00AF7533" w:rsidRPr="00CB6C7C">
        <w:rPr>
          <w:rFonts w:cstheme="minorHAnsi"/>
        </w:rPr>
        <w:t xml:space="preserve">knock-on effects </w:t>
      </w:r>
      <w:r w:rsidR="00652B0D">
        <w:rPr>
          <w:rFonts w:cstheme="minorHAnsi"/>
        </w:rPr>
        <w:t>on</w:t>
      </w:r>
      <w:r w:rsidR="00AF7533" w:rsidRPr="00CB6C7C">
        <w:rPr>
          <w:rFonts w:cstheme="minorHAnsi"/>
        </w:rPr>
        <w:t xml:space="preserve"> the infection</w:t>
      </w:r>
      <w:r w:rsidR="003C04F5" w:rsidRPr="00CB6C7C">
        <w:rPr>
          <w:rFonts w:cstheme="minorHAnsi"/>
        </w:rPr>
        <w:t>?</w:t>
      </w:r>
      <w:r w:rsidR="0026602A">
        <w:rPr>
          <w:rFonts w:cstheme="minorHAnsi"/>
        </w:rPr>
        <w:t xml:space="preserve"> Or is lymphocytopenia a consequence of infection occurring in other cells? Furthermore, why are depleted cytotoxic population</w:t>
      </w:r>
      <w:r w:rsidR="00F9283C">
        <w:rPr>
          <w:rFonts w:cstheme="minorHAnsi"/>
        </w:rPr>
        <w:t>s</w:t>
      </w:r>
      <w:r w:rsidR="0026602A">
        <w:rPr>
          <w:rFonts w:cstheme="minorHAnsi"/>
        </w:rPr>
        <w:t xml:space="preserve"> also functionally impaired?</w:t>
      </w:r>
    </w:p>
    <w:p w14:paraId="688D0EC7" w14:textId="35686798" w:rsidR="004C67FA" w:rsidRPr="00CB6C7C" w:rsidRDefault="00BB0246" w:rsidP="004C67FA">
      <w:pPr>
        <w:spacing w:after="120" w:line="276" w:lineRule="auto"/>
        <w:rPr>
          <w:rFonts w:cstheme="minorHAnsi"/>
        </w:rPr>
      </w:pPr>
      <w:r w:rsidRPr="00CB6C7C">
        <w:rPr>
          <w:rFonts w:cstheme="minorHAnsi"/>
        </w:rPr>
        <w:t xml:space="preserve">Currently, there is no proven treatment for </w:t>
      </w:r>
      <w:r w:rsidR="00F9283C">
        <w:rPr>
          <w:rFonts w:cstheme="minorHAnsi"/>
        </w:rPr>
        <w:t>COVID-19</w:t>
      </w:r>
      <w:r w:rsidRPr="00CB6C7C">
        <w:rPr>
          <w:rFonts w:cstheme="minorHAnsi"/>
        </w:rPr>
        <w:t xml:space="preserve">. </w:t>
      </w:r>
      <w:r w:rsidR="0088248C" w:rsidRPr="00CB6C7C">
        <w:rPr>
          <w:rFonts w:cstheme="minorHAnsi"/>
        </w:rPr>
        <w:t>Treatments</w:t>
      </w:r>
      <w:r w:rsidR="00F9283C">
        <w:rPr>
          <w:rFonts w:cstheme="minorHAnsi"/>
        </w:rPr>
        <w:t xml:space="preserve"> under investigation</w:t>
      </w:r>
      <w:r w:rsidR="00A968DC" w:rsidRPr="00CB6C7C">
        <w:rPr>
          <w:rFonts w:cstheme="minorHAnsi"/>
        </w:rPr>
        <w:t xml:space="preserve"> </w:t>
      </w:r>
      <w:r w:rsidR="0088248C" w:rsidRPr="00CB6C7C">
        <w:rPr>
          <w:rFonts w:cstheme="minorHAnsi"/>
        </w:rPr>
        <w:t xml:space="preserve">include chloroquine or </w:t>
      </w:r>
      <w:r w:rsidR="00675E31" w:rsidRPr="00CB6C7C">
        <w:rPr>
          <w:rFonts w:cstheme="minorHAnsi"/>
        </w:rPr>
        <w:t>hydroxychloroquine, antiviral</w:t>
      </w:r>
      <w:r w:rsidR="0088248C" w:rsidRPr="00CB6C7C">
        <w:rPr>
          <w:rFonts w:cstheme="minorHAnsi"/>
        </w:rPr>
        <w:t xml:space="preserve"> agents (such as </w:t>
      </w:r>
      <w:proofErr w:type="spellStart"/>
      <w:r w:rsidR="0088248C" w:rsidRPr="00CB6C7C">
        <w:rPr>
          <w:rFonts w:cstheme="minorHAnsi"/>
        </w:rPr>
        <w:t>remdesivir</w:t>
      </w:r>
      <w:proofErr w:type="spellEnd"/>
      <w:r w:rsidR="0088248C" w:rsidRPr="00CB6C7C">
        <w:rPr>
          <w:rFonts w:cstheme="minorHAnsi"/>
        </w:rPr>
        <w:t>), convalescent plasma or hyperimmune immunoglobulin</w:t>
      </w:r>
      <w:r w:rsidR="00005D0E" w:rsidRPr="00CB6C7C">
        <w:rPr>
          <w:rFonts w:cstheme="minorHAnsi"/>
        </w:rPr>
        <w:t xml:space="preserve">, Interleukin-6 </w:t>
      </w:r>
      <w:r w:rsidR="00652B0D">
        <w:rPr>
          <w:rFonts w:cstheme="minorHAnsi"/>
        </w:rPr>
        <w:t>and</w:t>
      </w:r>
      <w:r w:rsidR="00005D0E" w:rsidRPr="00CB6C7C">
        <w:rPr>
          <w:rFonts w:cstheme="minorHAnsi"/>
        </w:rPr>
        <w:t xml:space="preserve"> Interleukin-1 inhibitors, </w:t>
      </w:r>
      <w:r w:rsidR="0088248C" w:rsidRPr="00CB6C7C">
        <w:rPr>
          <w:rFonts w:cstheme="minorHAnsi"/>
        </w:rPr>
        <w:t>breathing support</w:t>
      </w:r>
      <w:r w:rsidR="00005D0E" w:rsidRPr="00CB6C7C">
        <w:rPr>
          <w:rFonts w:cstheme="minorHAnsi"/>
        </w:rPr>
        <w:t xml:space="preserve"> (</w:t>
      </w:r>
      <w:r w:rsidR="004C67FA" w:rsidRPr="00CB6C7C">
        <w:rPr>
          <w:rFonts w:cstheme="minorHAnsi"/>
        </w:rPr>
        <w:t>s</w:t>
      </w:r>
      <w:r w:rsidR="0088248C" w:rsidRPr="00CB6C7C">
        <w:rPr>
          <w:rFonts w:cstheme="minorHAnsi"/>
        </w:rPr>
        <w:t>uch as mechanical ventilation</w:t>
      </w:r>
      <w:r w:rsidR="004C67FA" w:rsidRPr="00CB6C7C">
        <w:rPr>
          <w:rFonts w:cstheme="minorHAnsi"/>
        </w:rPr>
        <w:t>) and concomitant use of systemic corticosteroids in critically ill patients</w:t>
      </w:r>
      <w:r w:rsidR="00675E31" w:rsidRPr="00CB6C7C">
        <w:rPr>
          <w:rFonts w:cstheme="minorHAnsi"/>
        </w:rPr>
        <w:t>.</w:t>
      </w:r>
      <w:r w:rsidR="00C26FC8" w:rsidRPr="00C26FC8">
        <w:rPr>
          <w:rFonts w:cstheme="minorHAnsi"/>
          <w:vertAlign w:val="superscript"/>
        </w:rPr>
        <w:t>10</w:t>
      </w:r>
      <w:r w:rsidR="00675E31" w:rsidRPr="00CB6C7C">
        <w:rPr>
          <w:rFonts w:cstheme="minorHAnsi"/>
        </w:rPr>
        <w:t xml:space="preserve"> Most of these are being used in a clinical trial setting.</w:t>
      </w:r>
      <w:r w:rsidR="005C4775">
        <w:rPr>
          <w:rFonts w:cstheme="minorHAnsi"/>
        </w:rPr>
        <w:t xml:space="preserve"> </w:t>
      </w:r>
      <w:r w:rsidR="0053074E">
        <w:rPr>
          <w:rFonts w:cstheme="minorHAnsi"/>
        </w:rPr>
        <w:t>It should be noted however, the most important elements to fight</w:t>
      </w:r>
      <w:r w:rsidR="001C757C">
        <w:rPr>
          <w:rFonts w:cstheme="minorHAnsi"/>
        </w:rPr>
        <w:t xml:space="preserve"> intracellular viruses are </w:t>
      </w:r>
      <w:r w:rsidR="00187EA5">
        <w:rPr>
          <w:rFonts w:cstheme="minorHAnsi"/>
        </w:rPr>
        <w:t xml:space="preserve">cytotoxic T cells and NK cells. Antibodies to viruses </w:t>
      </w:r>
      <w:r w:rsidR="005F05F6">
        <w:rPr>
          <w:rFonts w:cstheme="minorHAnsi"/>
        </w:rPr>
        <w:t xml:space="preserve">can act </w:t>
      </w:r>
      <w:r w:rsidR="002E56EA">
        <w:rPr>
          <w:rFonts w:cstheme="minorHAnsi"/>
        </w:rPr>
        <w:t xml:space="preserve">to </w:t>
      </w:r>
      <w:r w:rsidR="005F05F6">
        <w:rPr>
          <w:rFonts w:cstheme="minorHAnsi"/>
        </w:rPr>
        <w:t xml:space="preserve">counter </w:t>
      </w:r>
      <w:r w:rsidR="00C97366">
        <w:rPr>
          <w:rFonts w:cstheme="minorHAnsi"/>
        </w:rPr>
        <w:t>extracellular</w:t>
      </w:r>
      <w:r w:rsidR="005F05F6">
        <w:rPr>
          <w:rFonts w:cstheme="minorHAnsi"/>
        </w:rPr>
        <w:t xml:space="preserve"> viruses</w:t>
      </w:r>
      <w:r w:rsidR="00B667B8">
        <w:rPr>
          <w:rFonts w:cstheme="minorHAnsi"/>
        </w:rPr>
        <w:t>, which</w:t>
      </w:r>
      <w:r w:rsidR="00E85409">
        <w:rPr>
          <w:rFonts w:cstheme="minorHAnsi"/>
        </w:rPr>
        <w:t xml:space="preserve"> are</w:t>
      </w:r>
      <w:r w:rsidR="00B667B8">
        <w:rPr>
          <w:rFonts w:cstheme="minorHAnsi"/>
        </w:rPr>
        <w:t xml:space="preserve"> further</w:t>
      </w:r>
      <w:r w:rsidR="00E85409">
        <w:rPr>
          <w:rFonts w:cstheme="minorHAnsi"/>
        </w:rPr>
        <w:t xml:space="preserve"> eliminated by the </w:t>
      </w:r>
      <w:r w:rsidR="00DA5381">
        <w:rPr>
          <w:rFonts w:cstheme="minorHAnsi"/>
        </w:rPr>
        <w:t xml:space="preserve">complement system and by histiocytes; however, antibodies are not effective on viruses that have entered </w:t>
      </w:r>
      <w:r w:rsidR="003E44DF">
        <w:rPr>
          <w:rFonts w:cstheme="minorHAnsi"/>
        </w:rPr>
        <w:t>the host cells.</w:t>
      </w:r>
    </w:p>
    <w:p w14:paraId="1DA48470" w14:textId="26203F1C" w:rsidR="00A968DC" w:rsidRPr="00CB6C7C" w:rsidRDefault="008B431A" w:rsidP="004C67FA">
      <w:pPr>
        <w:spacing w:after="120" w:line="276" w:lineRule="auto"/>
        <w:rPr>
          <w:rFonts w:cstheme="minorHAnsi"/>
        </w:rPr>
      </w:pPr>
      <w:r w:rsidRPr="00CB6C7C">
        <w:rPr>
          <w:rFonts w:cstheme="minorHAnsi"/>
        </w:rPr>
        <w:t xml:space="preserve">In this background, it is crucial to consider </w:t>
      </w:r>
      <w:r w:rsidR="00B8165F" w:rsidRPr="00CB6C7C">
        <w:rPr>
          <w:rFonts w:cstheme="minorHAnsi"/>
        </w:rPr>
        <w:t xml:space="preserve">all </w:t>
      </w:r>
      <w:r w:rsidRPr="00CB6C7C">
        <w:rPr>
          <w:rFonts w:cstheme="minorHAnsi"/>
        </w:rPr>
        <w:t xml:space="preserve">treatment options that have proven efficacious in </w:t>
      </w:r>
      <w:r w:rsidR="00B8165F" w:rsidRPr="00CB6C7C">
        <w:rPr>
          <w:rFonts w:cstheme="minorHAnsi"/>
        </w:rPr>
        <w:t>other viral infections</w:t>
      </w:r>
      <w:r w:rsidR="0091235E">
        <w:rPr>
          <w:rFonts w:cstheme="minorHAnsi"/>
        </w:rPr>
        <w:t xml:space="preserve"> and related disorders</w:t>
      </w:r>
      <w:r w:rsidR="00E10BCF" w:rsidRPr="00CB6C7C">
        <w:rPr>
          <w:rFonts w:cstheme="minorHAnsi"/>
        </w:rPr>
        <w:t>. As patients with severe</w:t>
      </w:r>
      <w:r w:rsidR="00145B17">
        <w:rPr>
          <w:rFonts w:cstheme="minorHAnsi"/>
        </w:rPr>
        <w:t xml:space="preserve"> SARS-CoV-2 infection</w:t>
      </w:r>
      <w:r w:rsidR="003D72DE" w:rsidRPr="00CB6C7C">
        <w:rPr>
          <w:rFonts w:cstheme="minorHAnsi"/>
        </w:rPr>
        <w:t xml:space="preserve"> show marked reduction in functional cytotoxic CD8+ T and NK cells, i</w:t>
      </w:r>
      <w:r w:rsidR="00E10BCF" w:rsidRPr="00CB6C7C">
        <w:rPr>
          <w:rFonts w:cstheme="minorHAnsi"/>
        </w:rPr>
        <w:t xml:space="preserve">t would be particularly important to look </w:t>
      </w:r>
      <w:r w:rsidR="00CA020A" w:rsidRPr="00CB6C7C">
        <w:rPr>
          <w:rFonts w:cstheme="minorHAnsi"/>
        </w:rPr>
        <w:t xml:space="preserve">at infections that have been successfully treated with cellular therapies. </w:t>
      </w:r>
    </w:p>
    <w:p w14:paraId="49588C9E" w14:textId="357F0E54" w:rsidR="0088248C" w:rsidRDefault="004E47AF" w:rsidP="0088248C">
      <w:pPr>
        <w:spacing w:after="120" w:line="276" w:lineRule="auto"/>
        <w:rPr>
          <w:rFonts w:cstheme="minorHAnsi"/>
        </w:rPr>
      </w:pPr>
      <w:r>
        <w:rPr>
          <w:rFonts w:cstheme="minorHAnsi"/>
        </w:rPr>
        <w:lastRenderedPageBreak/>
        <w:t xml:space="preserve">In the context of haematopoietic stem cell transplantation, a variety of viral infections </w:t>
      </w:r>
      <w:r w:rsidR="00F81215">
        <w:rPr>
          <w:rFonts w:cstheme="minorHAnsi"/>
        </w:rPr>
        <w:t xml:space="preserve">- </w:t>
      </w:r>
      <w:r w:rsidR="00890C6B">
        <w:rPr>
          <w:rFonts w:cstheme="minorHAnsi"/>
        </w:rPr>
        <w:t>Epstein Barr virus (EBV)</w:t>
      </w:r>
      <w:r w:rsidR="00F81215">
        <w:rPr>
          <w:rFonts w:cstheme="minorHAnsi"/>
        </w:rPr>
        <w:t>, cytomegalovirus</w:t>
      </w:r>
      <w:r w:rsidR="007261E2">
        <w:rPr>
          <w:rFonts w:cstheme="minorHAnsi"/>
        </w:rPr>
        <w:t xml:space="preserve"> (CMV), human herpesvirus 6 (HHV6) and adenovirus infections have been treated with</w:t>
      </w:r>
      <w:r w:rsidR="00890C6B">
        <w:rPr>
          <w:rFonts w:cstheme="minorHAnsi"/>
        </w:rPr>
        <w:t xml:space="preserve"> </w:t>
      </w:r>
      <w:r w:rsidR="009F7B69">
        <w:rPr>
          <w:rFonts w:cstheme="minorHAnsi"/>
        </w:rPr>
        <w:t xml:space="preserve">infusions of lymphocytes from corresponding donors (donor lymphocyte infusion - </w:t>
      </w:r>
      <w:r w:rsidR="009F7B69" w:rsidRPr="007F6563">
        <w:rPr>
          <w:rFonts w:cstheme="minorHAnsi"/>
        </w:rPr>
        <w:t>DLI)</w:t>
      </w:r>
      <w:r w:rsidR="00B435AE">
        <w:rPr>
          <w:rFonts w:cstheme="minorHAnsi"/>
        </w:rPr>
        <w:t xml:space="preserve"> in the past</w:t>
      </w:r>
      <w:r w:rsidR="009F7B69">
        <w:rPr>
          <w:rFonts w:cstheme="minorHAnsi"/>
        </w:rPr>
        <w:t>.</w:t>
      </w:r>
      <w:r w:rsidR="00B74E54" w:rsidRPr="00B74E54">
        <w:rPr>
          <w:rFonts w:cstheme="minorHAnsi"/>
          <w:vertAlign w:val="superscript"/>
        </w:rPr>
        <w:t>11</w:t>
      </w:r>
      <w:r w:rsidR="009F7B69">
        <w:rPr>
          <w:rFonts w:cstheme="minorHAnsi"/>
        </w:rPr>
        <w:t xml:space="preserve"> </w:t>
      </w:r>
      <w:r w:rsidR="00050073">
        <w:rPr>
          <w:rFonts w:cstheme="minorHAnsi"/>
        </w:rPr>
        <w:t xml:space="preserve">Among </w:t>
      </w:r>
      <w:r w:rsidR="00145B17">
        <w:rPr>
          <w:rFonts w:cstheme="minorHAnsi"/>
        </w:rPr>
        <w:t>these</w:t>
      </w:r>
      <w:r w:rsidR="00050073">
        <w:rPr>
          <w:rFonts w:cstheme="minorHAnsi"/>
        </w:rPr>
        <w:t xml:space="preserve">, </w:t>
      </w:r>
      <w:r w:rsidR="00FC7940">
        <w:rPr>
          <w:rFonts w:cstheme="minorHAnsi"/>
        </w:rPr>
        <w:t xml:space="preserve">the approach has been </w:t>
      </w:r>
      <w:r w:rsidR="00680ABA">
        <w:rPr>
          <w:rFonts w:cstheme="minorHAnsi"/>
        </w:rPr>
        <w:t xml:space="preserve">most extensively </w:t>
      </w:r>
      <w:r w:rsidR="00FC7940">
        <w:rPr>
          <w:rFonts w:cstheme="minorHAnsi"/>
        </w:rPr>
        <w:t xml:space="preserve">explored </w:t>
      </w:r>
      <w:r w:rsidR="00680ABA">
        <w:rPr>
          <w:rFonts w:cstheme="minorHAnsi"/>
        </w:rPr>
        <w:t>in</w:t>
      </w:r>
      <w:r w:rsidR="00FC7940">
        <w:rPr>
          <w:rFonts w:cstheme="minorHAnsi"/>
        </w:rPr>
        <w:t xml:space="preserve"> EBV</w:t>
      </w:r>
      <w:r w:rsidR="00680ABA">
        <w:rPr>
          <w:rFonts w:cstheme="minorHAnsi"/>
        </w:rPr>
        <w:t>-</w:t>
      </w:r>
      <w:r w:rsidR="00FC7940">
        <w:rPr>
          <w:rFonts w:cstheme="minorHAnsi"/>
        </w:rPr>
        <w:t xml:space="preserve">related </w:t>
      </w:r>
      <w:r w:rsidR="006F5E8B">
        <w:rPr>
          <w:rFonts w:cstheme="minorHAnsi"/>
        </w:rPr>
        <w:t>patholog</w:t>
      </w:r>
      <w:r w:rsidR="00680ABA">
        <w:rPr>
          <w:rFonts w:cstheme="minorHAnsi"/>
        </w:rPr>
        <w:t>y</w:t>
      </w:r>
      <w:r w:rsidR="006F5E8B">
        <w:rPr>
          <w:rFonts w:cstheme="minorHAnsi"/>
        </w:rPr>
        <w:t>.</w:t>
      </w:r>
      <w:r w:rsidR="00050073">
        <w:rPr>
          <w:rFonts w:cstheme="minorHAnsi"/>
        </w:rPr>
        <w:t xml:space="preserve"> </w:t>
      </w:r>
      <w:r w:rsidR="00F81215">
        <w:rPr>
          <w:rFonts w:cstheme="minorHAnsi"/>
        </w:rPr>
        <w:t xml:space="preserve">EBV </w:t>
      </w:r>
      <w:r w:rsidR="00890C6B">
        <w:rPr>
          <w:rFonts w:cstheme="minorHAnsi"/>
        </w:rPr>
        <w:t>infects</w:t>
      </w:r>
      <w:r w:rsidR="000E683C">
        <w:rPr>
          <w:rFonts w:cstheme="minorHAnsi"/>
        </w:rPr>
        <w:t xml:space="preserve"> over</w:t>
      </w:r>
      <w:r w:rsidR="00890C6B">
        <w:rPr>
          <w:rFonts w:cstheme="minorHAnsi"/>
        </w:rPr>
        <w:t xml:space="preserve"> 90% of </w:t>
      </w:r>
      <w:r w:rsidR="00410AB6">
        <w:rPr>
          <w:rFonts w:cstheme="minorHAnsi"/>
        </w:rPr>
        <w:t>the world’s population</w:t>
      </w:r>
      <w:r w:rsidR="001A7D7A">
        <w:rPr>
          <w:rFonts w:cstheme="minorHAnsi"/>
        </w:rPr>
        <w:t xml:space="preserve">. </w:t>
      </w:r>
      <w:r w:rsidR="00067A14">
        <w:rPr>
          <w:rFonts w:cstheme="minorHAnsi"/>
        </w:rPr>
        <w:t>Considering that most humans carry the infection, EBV’s</w:t>
      </w:r>
      <w:r w:rsidR="00410AB6">
        <w:rPr>
          <w:rFonts w:cstheme="minorHAnsi"/>
        </w:rPr>
        <w:t xml:space="preserve"> association with disease </w:t>
      </w:r>
      <w:r w:rsidR="008F20F2">
        <w:rPr>
          <w:rFonts w:cstheme="minorHAnsi"/>
        </w:rPr>
        <w:t xml:space="preserve">is </w:t>
      </w:r>
      <w:r w:rsidR="00FE3B48">
        <w:rPr>
          <w:rFonts w:cstheme="minorHAnsi"/>
        </w:rPr>
        <w:t>uncommon and</w:t>
      </w:r>
      <w:r w:rsidR="00067A14">
        <w:rPr>
          <w:rFonts w:cstheme="minorHAnsi"/>
        </w:rPr>
        <w:t xml:space="preserve"> </w:t>
      </w:r>
      <w:r w:rsidR="00FE3B48">
        <w:rPr>
          <w:rFonts w:cstheme="minorHAnsi"/>
        </w:rPr>
        <w:t>f</w:t>
      </w:r>
      <w:r w:rsidR="00CE25F8">
        <w:rPr>
          <w:rFonts w:cstheme="minorHAnsi"/>
        </w:rPr>
        <w:t>ulminant EBV infection is extremely rare</w:t>
      </w:r>
      <w:r w:rsidR="002416BD">
        <w:rPr>
          <w:rFonts w:cstheme="minorHAnsi"/>
        </w:rPr>
        <w:t>. In</w:t>
      </w:r>
      <w:r w:rsidR="00116AEB">
        <w:rPr>
          <w:rFonts w:cstheme="minorHAnsi"/>
        </w:rPr>
        <w:t xml:space="preserve"> immunocompromised</w:t>
      </w:r>
      <w:r w:rsidR="002416BD">
        <w:rPr>
          <w:rFonts w:cstheme="minorHAnsi"/>
        </w:rPr>
        <w:t xml:space="preserve"> people (</w:t>
      </w:r>
      <w:r w:rsidR="00F3425A">
        <w:rPr>
          <w:rFonts w:cstheme="minorHAnsi"/>
        </w:rPr>
        <w:t xml:space="preserve">congenital, age-associated, iatrogenic, or other </w:t>
      </w:r>
      <w:r w:rsidR="00A36ED9">
        <w:rPr>
          <w:rFonts w:cstheme="minorHAnsi"/>
        </w:rPr>
        <w:t xml:space="preserve">acquired causes), EBV+ B cells divide </w:t>
      </w:r>
      <w:r w:rsidR="00502409">
        <w:rPr>
          <w:rFonts w:cstheme="minorHAnsi"/>
        </w:rPr>
        <w:t xml:space="preserve">and expand causing EBV+ lymphomas or lymphoproliferative disorders. </w:t>
      </w:r>
      <w:r w:rsidR="007F6563">
        <w:rPr>
          <w:rFonts w:cstheme="minorHAnsi"/>
        </w:rPr>
        <w:t xml:space="preserve">During the last 25 years some of the EBV+ lymphomas, particularly those occurring in the context of haematopoietic stem cell or solid organ transplants have been treated using </w:t>
      </w:r>
      <w:r w:rsidR="00767414">
        <w:rPr>
          <w:rFonts w:cstheme="minorHAnsi"/>
        </w:rPr>
        <w:t xml:space="preserve">EBV-specific </w:t>
      </w:r>
      <w:r w:rsidR="007F6563">
        <w:rPr>
          <w:rFonts w:cstheme="minorHAnsi"/>
        </w:rPr>
        <w:t>cytotoxic T cells.</w:t>
      </w:r>
      <w:r w:rsidR="00B74E54" w:rsidRPr="00B74E54">
        <w:rPr>
          <w:rFonts w:cstheme="minorHAnsi"/>
          <w:vertAlign w:val="superscript"/>
        </w:rPr>
        <w:t>12</w:t>
      </w:r>
      <w:r w:rsidR="007F6563">
        <w:rPr>
          <w:rFonts w:cstheme="minorHAnsi"/>
        </w:rPr>
        <w:t xml:space="preserve"> </w:t>
      </w:r>
    </w:p>
    <w:p w14:paraId="7A877235" w14:textId="5485BF19" w:rsidR="007F6563" w:rsidRDefault="00543628" w:rsidP="007F6563">
      <w:pPr>
        <w:spacing w:after="120" w:line="276" w:lineRule="auto"/>
        <w:rPr>
          <w:rFonts w:cstheme="minorHAnsi"/>
        </w:rPr>
      </w:pPr>
      <w:r>
        <w:rPr>
          <w:rFonts w:cstheme="minorHAnsi"/>
        </w:rPr>
        <w:t>This approach started in</w:t>
      </w:r>
      <w:r w:rsidR="007F6563" w:rsidRPr="007F6563">
        <w:rPr>
          <w:rFonts w:cstheme="minorHAnsi"/>
        </w:rPr>
        <w:t xml:space="preserve"> 1994 </w:t>
      </w:r>
      <w:r>
        <w:rPr>
          <w:rFonts w:cstheme="minorHAnsi"/>
        </w:rPr>
        <w:t>when</w:t>
      </w:r>
      <w:r w:rsidR="007F6563" w:rsidRPr="007F6563">
        <w:rPr>
          <w:rFonts w:cstheme="minorHAnsi"/>
        </w:rPr>
        <w:t xml:space="preserve"> </w:t>
      </w:r>
      <w:r>
        <w:rPr>
          <w:rFonts w:cstheme="minorHAnsi"/>
        </w:rPr>
        <w:t xml:space="preserve">five patients with EBV+ lymphomas following haematopoietic stem cell transplantation infused with </w:t>
      </w:r>
      <w:r w:rsidR="00B435AE">
        <w:rPr>
          <w:rFonts w:cstheme="minorHAnsi"/>
        </w:rPr>
        <w:t>DLI</w:t>
      </w:r>
      <w:r>
        <w:rPr>
          <w:rFonts w:cstheme="minorHAnsi"/>
        </w:rPr>
        <w:t xml:space="preserve"> </w:t>
      </w:r>
      <w:r w:rsidR="007F6563" w:rsidRPr="007F6563">
        <w:rPr>
          <w:rFonts w:cstheme="minorHAnsi"/>
        </w:rPr>
        <w:t>a</w:t>
      </w:r>
      <w:r>
        <w:rPr>
          <w:rFonts w:cstheme="minorHAnsi"/>
        </w:rPr>
        <w:t xml:space="preserve">chieved complete remission. In these patients, donors were seropositive for EBV and the responses were attributable to </w:t>
      </w:r>
      <w:r w:rsidR="005E7C56">
        <w:rPr>
          <w:rFonts w:cstheme="minorHAnsi"/>
        </w:rPr>
        <w:t xml:space="preserve">the </w:t>
      </w:r>
      <w:r w:rsidR="007F6563" w:rsidRPr="007F6563">
        <w:rPr>
          <w:rFonts w:cstheme="minorHAnsi"/>
        </w:rPr>
        <w:t xml:space="preserve">emergence of donor-derived </w:t>
      </w:r>
      <w:r>
        <w:rPr>
          <w:rFonts w:cstheme="minorHAnsi"/>
        </w:rPr>
        <w:t xml:space="preserve">cytotoxic T cells that </w:t>
      </w:r>
      <w:r w:rsidR="00206BC2">
        <w:rPr>
          <w:rFonts w:cstheme="minorHAnsi"/>
        </w:rPr>
        <w:t>could destroy</w:t>
      </w:r>
      <w:r>
        <w:rPr>
          <w:rFonts w:cstheme="minorHAnsi"/>
        </w:rPr>
        <w:t xml:space="preserve"> EBV+ lymphoma cells.</w:t>
      </w:r>
      <w:r w:rsidR="00B74E54" w:rsidRPr="00B74E54">
        <w:rPr>
          <w:rFonts w:cstheme="minorHAnsi"/>
          <w:vertAlign w:val="superscript"/>
        </w:rPr>
        <w:t>13</w:t>
      </w:r>
      <w:r>
        <w:rPr>
          <w:rFonts w:cstheme="minorHAnsi"/>
        </w:rPr>
        <w:t xml:space="preserve"> During the subsequent year,</w:t>
      </w:r>
      <w:r w:rsidR="007F6563" w:rsidRPr="007F6563">
        <w:rPr>
          <w:rFonts w:cstheme="minorHAnsi"/>
        </w:rPr>
        <w:t xml:space="preserve"> </w:t>
      </w:r>
      <w:r>
        <w:rPr>
          <w:rFonts w:cstheme="minorHAnsi"/>
        </w:rPr>
        <w:t>th</w:t>
      </w:r>
      <w:r w:rsidR="00145B17">
        <w:rPr>
          <w:rFonts w:cstheme="minorHAnsi"/>
        </w:rPr>
        <w:t>is</w:t>
      </w:r>
      <w:r>
        <w:rPr>
          <w:rFonts w:cstheme="minorHAnsi"/>
        </w:rPr>
        <w:t xml:space="preserve"> approach was further refined by </w:t>
      </w:r>
      <w:r w:rsidR="00145B17">
        <w:rPr>
          <w:rFonts w:cstheme="minorHAnsi"/>
        </w:rPr>
        <w:t xml:space="preserve">in-vitro </w:t>
      </w:r>
      <w:r>
        <w:rPr>
          <w:rFonts w:cstheme="minorHAnsi"/>
        </w:rPr>
        <w:t xml:space="preserve">generation of </w:t>
      </w:r>
      <w:r w:rsidRPr="007F6563">
        <w:rPr>
          <w:rFonts w:cstheme="minorHAnsi"/>
        </w:rPr>
        <w:t>donor</w:t>
      </w:r>
      <w:r w:rsidR="004940B5">
        <w:rPr>
          <w:rFonts w:cstheme="minorHAnsi"/>
        </w:rPr>
        <w:t>-</w:t>
      </w:r>
      <w:r w:rsidRPr="007F6563">
        <w:rPr>
          <w:rFonts w:cstheme="minorHAnsi"/>
        </w:rPr>
        <w:t xml:space="preserve">derived EBV-specific cytotoxic T </w:t>
      </w:r>
      <w:r>
        <w:rPr>
          <w:rFonts w:cstheme="minorHAnsi"/>
        </w:rPr>
        <w:t>cells.</w:t>
      </w:r>
      <w:r w:rsidR="00B74E54" w:rsidRPr="00B74E54">
        <w:rPr>
          <w:rFonts w:cstheme="minorHAnsi"/>
          <w:vertAlign w:val="superscript"/>
        </w:rPr>
        <w:t>14</w:t>
      </w:r>
      <w:r>
        <w:rPr>
          <w:rFonts w:cstheme="minorHAnsi"/>
        </w:rPr>
        <w:t xml:space="preserve"> </w:t>
      </w:r>
      <w:r w:rsidR="00206BC2">
        <w:rPr>
          <w:rFonts w:cstheme="minorHAnsi"/>
        </w:rPr>
        <w:t>As t</w:t>
      </w:r>
      <w:r>
        <w:rPr>
          <w:rFonts w:cstheme="minorHAnsi"/>
        </w:rPr>
        <w:t>hese approaches are time</w:t>
      </w:r>
      <w:r w:rsidR="00C76BEE">
        <w:rPr>
          <w:rFonts w:cstheme="minorHAnsi"/>
        </w:rPr>
        <w:t>-</w:t>
      </w:r>
      <w:r>
        <w:rPr>
          <w:rFonts w:cstheme="minorHAnsi"/>
        </w:rPr>
        <w:t>consuming</w:t>
      </w:r>
      <w:r w:rsidR="00206BC2">
        <w:rPr>
          <w:rFonts w:cstheme="minorHAnsi"/>
        </w:rPr>
        <w:t>, further refinement followed</w:t>
      </w:r>
      <w:r>
        <w:rPr>
          <w:rFonts w:cstheme="minorHAnsi"/>
        </w:rPr>
        <w:t xml:space="preserve">. </w:t>
      </w:r>
      <w:r w:rsidR="00056D64">
        <w:rPr>
          <w:rFonts w:cstheme="minorHAnsi"/>
        </w:rPr>
        <w:t xml:space="preserve">Transfusion of </w:t>
      </w:r>
      <w:r w:rsidR="00A071B8">
        <w:rPr>
          <w:rFonts w:cstheme="minorHAnsi"/>
        </w:rPr>
        <w:t>HLA-matched/restricted</w:t>
      </w:r>
      <w:r w:rsidR="005F06F8">
        <w:rPr>
          <w:rFonts w:cstheme="minorHAnsi"/>
        </w:rPr>
        <w:t xml:space="preserve"> ‘t</w:t>
      </w:r>
      <w:r w:rsidR="005F06F8" w:rsidRPr="005F06F8">
        <w:rPr>
          <w:rFonts w:cstheme="minorHAnsi"/>
        </w:rPr>
        <w:t>hird-party</w:t>
      </w:r>
      <w:r w:rsidR="005F06F8">
        <w:rPr>
          <w:rFonts w:cstheme="minorHAnsi"/>
        </w:rPr>
        <w:t>’</w:t>
      </w:r>
      <w:r w:rsidR="005F06F8" w:rsidRPr="005F06F8">
        <w:rPr>
          <w:rFonts w:cstheme="minorHAnsi"/>
        </w:rPr>
        <w:t xml:space="preserve"> </w:t>
      </w:r>
      <w:r w:rsidR="0061673D">
        <w:rPr>
          <w:rFonts w:cstheme="minorHAnsi"/>
        </w:rPr>
        <w:t>(</w:t>
      </w:r>
      <w:r w:rsidR="003B7084">
        <w:rPr>
          <w:rFonts w:cstheme="minorHAnsi"/>
        </w:rPr>
        <w:t xml:space="preserve">cells </w:t>
      </w:r>
      <w:r w:rsidR="003B7084" w:rsidRPr="007F6563">
        <w:rPr>
          <w:rFonts w:cstheme="minorHAnsi"/>
        </w:rPr>
        <w:t xml:space="preserve">derived from healthy </w:t>
      </w:r>
      <w:r w:rsidR="003B7084">
        <w:rPr>
          <w:rFonts w:cstheme="minorHAnsi"/>
        </w:rPr>
        <w:t>individual</w:t>
      </w:r>
      <w:r w:rsidR="003B7084" w:rsidRPr="007F6563">
        <w:rPr>
          <w:rFonts w:cstheme="minorHAnsi"/>
        </w:rPr>
        <w:t xml:space="preserve"> other than the </w:t>
      </w:r>
      <w:r w:rsidR="003B7084">
        <w:rPr>
          <w:rFonts w:cstheme="minorHAnsi"/>
        </w:rPr>
        <w:t xml:space="preserve">corresponding haematopoietic stem cell </w:t>
      </w:r>
      <w:r w:rsidR="00586F30" w:rsidRPr="007F6563">
        <w:rPr>
          <w:rFonts w:cstheme="minorHAnsi"/>
        </w:rPr>
        <w:t>donor</w:t>
      </w:r>
      <w:r w:rsidR="00586F30">
        <w:rPr>
          <w:rFonts w:cstheme="minorHAnsi"/>
        </w:rPr>
        <w:t>s</w:t>
      </w:r>
      <w:r w:rsidR="00586F30" w:rsidRPr="005F06F8">
        <w:rPr>
          <w:rFonts w:cstheme="minorHAnsi"/>
        </w:rPr>
        <w:t>)</w:t>
      </w:r>
      <w:r w:rsidR="003B7084">
        <w:rPr>
          <w:rFonts w:cstheme="minorHAnsi"/>
        </w:rPr>
        <w:t xml:space="preserve"> </w:t>
      </w:r>
      <w:r w:rsidR="005F06F8" w:rsidRPr="005F06F8">
        <w:rPr>
          <w:rFonts w:cstheme="minorHAnsi"/>
        </w:rPr>
        <w:t>EBV-</w:t>
      </w:r>
      <w:r w:rsidR="005F06F8">
        <w:rPr>
          <w:rFonts w:cstheme="minorHAnsi"/>
        </w:rPr>
        <w:t xml:space="preserve">specific </w:t>
      </w:r>
      <w:r w:rsidR="00A071B8">
        <w:rPr>
          <w:rFonts w:cstheme="minorHAnsi"/>
        </w:rPr>
        <w:t>cytotoxic T cells</w:t>
      </w:r>
      <w:r w:rsidR="005F06F8" w:rsidRPr="005F06F8">
        <w:rPr>
          <w:rFonts w:cstheme="minorHAnsi"/>
        </w:rPr>
        <w:t xml:space="preserve"> </w:t>
      </w:r>
      <w:r w:rsidR="00586F30">
        <w:rPr>
          <w:rFonts w:cstheme="minorHAnsi"/>
        </w:rPr>
        <w:t>were shown to</w:t>
      </w:r>
      <w:r w:rsidR="00A071B8">
        <w:rPr>
          <w:rFonts w:cstheme="minorHAnsi"/>
        </w:rPr>
        <w:t xml:space="preserve"> induce durable responses in </w:t>
      </w:r>
      <w:r w:rsidR="005F06F8" w:rsidRPr="005F06F8">
        <w:rPr>
          <w:rFonts w:cstheme="minorHAnsi"/>
        </w:rPr>
        <w:t>EBV</w:t>
      </w:r>
      <w:r w:rsidR="00A071B8">
        <w:rPr>
          <w:rFonts w:cstheme="minorHAnsi"/>
        </w:rPr>
        <w:t>+</w:t>
      </w:r>
      <w:r w:rsidR="005F06F8" w:rsidRPr="005F06F8">
        <w:rPr>
          <w:rFonts w:cstheme="minorHAnsi"/>
        </w:rPr>
        <w:t xml:space="preserve"> lymphomas wi</w:t>
      </w:r>
      <w:r w:rsidR="00A071B8">
        <w:rPr>
          <w:rFonts w:cstheme="minorHAnsi"/>
        </w:rPr>
        <w:t>thout undue</w:t>
      </w:r>
      <w:r w:rsidR="005F06F8" w:rsidRPr="005F06F8">
        <w:rPr>
          <w:rFonts w:cstheme="minorHAnsi"/>
        </w:rPr>
        <w:t xml:space="preserve"> toxicity</w:t>
      </w:r>
      <w:r w:rsidR="00A071B8">
        <w:rPr>
          <w:rFonts w:cstheme="minorHAnsi"/>
        </w:rPr>
        <w:t>.</w:t>
      </w:r>
      <w:r w:rsidR="00EE005C" w:rsidRPr="00EE005C">
        <w:rPr>
          <w:rFonts w:cstheme="minorHAnsi"/>
          <w:vertAlign w:val="superscript"/>
        </w:rPr>
        <w:t>12</w:t>
      </w:r>
      <w:r w:rsidR="00981FA7">
        <w:rPr>
          <w:rFonts w:cstheme="minorHAnsi"/>
        </w:rPr>
        <w:t xml:space="preserve"> Off-the-shelf virus</w:t>
      </w:r>
      <w:r w:rsidR="00C76BEE">
        <w:rPr>
          <w:rFonts w:cstheme="minorHAnsi"/>
        </w:rPr>
        <w:t>-</w:t>
      </w:r>
      <w:r w:rsidR="00981FA7">
        <w:rPr>
          <w:rFonts w:cstheme="minorHAnsi"/>
        </w:rPr>
        <w:t>specific T cells</w:t>
      </w:r>
      <w:r w:rsidR="00E93FC3">
        <w:rPr>
          <w:rFonts w:cstheme="minorHAnsi"/>
        </w:rPr>
        <w:t xml:space="preserve"> </w:t>
      </w:r>
      <w:r w:rsidR="003D60F3">
        <w:rPr>
          <w:rFonts w:cstheme="minorHAnsi"/>
        </w:rPr>
        <w:t xml:space="preserve">have also been </w:t>
      </w:r>
      <w:r w:rsidR="00660AA3">
        <w:rPr>
          <w:rFonts w:cstheme="minorHAnsi"/>
        </w:rPr>
        <w:t xml:space="preserve">investigated in other viral infections such as CMV, HHV6, adenovirus and </w:t>
      </w:r>
      <w:r w:rsidR="00193143">
        <w:rPr>
          <w:rFonts w:cstheme="minorHAnsi"/>
        </w:rPr>
        <w:t>BK virus.</w:t>
      </w:r>
      <w:r w:rsidR="00EE005C" w:rsidRPr="00EE005C">
        <w:rPr>
          <w:rFonts w:cstheme="minorHAnsi"/>
          <w:vertAlign w:val="superscript"/>
        </w:rPr>
        <w:t>15</w:t>
      </w:r>
    </w:p>
    <w:p w14:paraId="27F49C02" w14:textId="712EBF50" w:rsidR="001D6628" w:rsidRDefault="00217E72" w:rsidP="001D6628">
      <w:pPr>
        <w:spacing w:after="120" w:line="276" w:lineRule="auto"/>
        <w:rPr>
          <w:rFonts w:cstheme="minorHAnsi"/>
        </w:rPr>
      </w:pPr>
      <w:r>
        <w:rPr>
          <w:rFonts w:cstheme="minorHAnsi"/>
        </w:rPr>
        <w:t xml:space="preserve">Many clinical trials </w:t>
      </w:r>
      <w:r w:rsidR="00B16112">
        <w:rPr>
          <w:rFonts w:cstheme="minorHAnsi"/>
        </w:rPr>
        <w:t xml:space="preserve">for the treatment of COVID-19 </w:t>
      </w:r>
      <w:r>
        <w:rPr>
          <w:rFonts w:cstheme="minorHAnsi"/>
        </w:rPr>
        <w:t xml:space="preserve">are </w:t>
      </w:r>
      <w:r w:rsidR="00F709E0">
        <w:rPr>
          <w:rFonts w:cstheme="minorHAnsi"/>
        </w:rPr>
        <w:t xml:space="preserve">currently </w:t>
      </w:r>
      <w:r>
        <w:rPr>
          <w:rFonts w:cstheme="minorHAnsi"/>
        </w:rPr>
        <w:t xml:space="preserve">underway. </w:t>
      </w:r>
      <w:r w:rsidR="0098333C">
        <w:rPr>
          <w:rFonts w:cstheme="minorHAnsi"/>
        </w:rPr>
        <w:t>As of 29</w:t>
      </w:r>
      <w:r w:rsidR="0098333C" w:rsidRPr="009D56D8">
        <w:rPr>
          <w:rFonts w:cstheme="minorHAnsi"/>
          <w:vertAlign w:val="superscript"/>
        </w:rPr>
        <w:t>th</w:t>
      </w:r>
      <w:r w:rsidR="0098333C">
        <w:rPr>
          <w:rFonts w:cstheme="minorHAnsi"/>
        </w:rPr>
        <w:t xml:space="preserve"> April 2020, t</w:t>
      </w:r>
      <w:r>
        <w:rPr>
          <w:rFonts w:cstheme="minorHAnsi"/>
        </w:rPr>
        <w:t xml:space="preserve">his </w:t>
      </w:r>
      <w:r w:rsidR="0098333C">
        <w:rPr>
          <w:rFonts w:cstheme="minorHAnsi"/>
        </w:rPr>
        <w:t xml:space="preserve">included </w:t>
      </w:r>
      <w:r>
        <w:rPr>
          <w:rFonts w:cstheme="minorHAnsi"/>
        </w:rPr>
        <w:t xml:space="preserve">945 trials </w:t>
      </w:r>
      <w:r w:rsidR="00F60266">
        <w:rPr>
          <w:rFonts w:cstheme="minorHAnsi"/>
        </w:rPr>
        <w:t>registered</w:t>
      </w:r>
      <w:r w:rsidR="00721204">
        <w:rPr>
          <w:rFonts w:cstheme="minorHAnsi"/>
        </w:rPr>
        <w:t xml:space="preserve"> on </w:t>
      </w:r>
      <w:r w:rsidR="00905AAC">
        <w:rPr>
          <w:rFonts w:cstheme="minorHAnsi"/>
        </w:rPr>
        <w:t xml:space="preserve">the </w:t>
      </w:r>
      <w:r w:rsidR="00721204">
        <w:rPr>
          <w:rFonts w:cstheme="minorHAnsi"/>
        </w:rPr>
        <w:t>NIH</w:t>
      </w:r>
      <w:r w:rsidR="00910721">
        <w:rPr>
          <w:rFonts w:cstheme="minorHAnsi"/>
        </w:rPr>
        <w:t xml:space="preserve"> website</w:t>
      </w:r>
      <w:r w:rsidR="00F96BAE">
        <w:rPr>
          <w:rFonts w:cstheme="minorHAnsi"/>
        </w:rPr>
        <w:t>,</w:t>
      </w:r>
      <w:r w:rsidR="0002503C">
        <w:rPr>
          <w:rFonts w:cstheme="minorHAnsi"/>
        </w:rPr>
        <w:t xml:space="preserve"> 13</w:t>
      </w:r>
      <w:r w:rsidR="00A5365C">
        <w:rPr>
          <w:rFonts w:cstheme="minorHAnsi"/>
        </w:rPr>
        <w:t>1 on the EU clinical trials register</w:t>
      </w:r>
      <w:r w:rsidR="00F96BAE">
        <w:rPr>
          <w:rFonts w:cstheme="minorHAnsi"/>
        </w:rPr>
        <w:t xml:space="preserve"> and 27 on </w:t>
      </w:r>
      <w:r w:rsidR="00905AAC">
        <w:rPr>
          <w:rFonts w:cstheme="minorHAnsi"/>
        </w:rPr>
        <w:t xml:space="preserve">the </w:t>
      </w:r>
      <w:r w:rsidR="00F96BAE">
        <w:rPr>
          <w:rFonts w:cstheme="minorHAnsi"/>
        </w:rPr>
        <w:t>NIHR</w:t>
      </w:r>
      <w:r w:rsidR="001138F4">
        <w:rPr>
          <w:rFonts w:cstheme="minorHAnsi"/>
        </w:rPr>
        <w:t xml:space="preserve"> website</w:t>
      </w:r>
      <w:r w:rsidR="00910721">
        <w:rPr>
          <w:rFonts w:cstheme="minorHAnsi"/>
        </w:rPr>
        <w:t xml:space="preserve">. </w:t>
      </w:r>
      <w:r w:rsidR="00DC6BED">
        <w:rPr>
          <w:rFonts w:cstheme="minorHAnsi"/>
        </w:rPr>
        <w:t xml:space="preserve">While many trials </w:t>
      </w:r>
      <w:r w:rsidR="00F709E0">
        <w:rPr>
          <w:rFonts w:cstheme="minorHAnsi"/>
        </w:rPr>
        <w:t xml:space="preserve">are </w:t>
      </w:r>
      <w:r w:rsidR="00DC6BED">
        <w:rPr>
          <w:rFonts w:cstheme="minorHAnsi"/>
        </w:rPr>
        <w:t xml:space="preserve">investigating donor serum/plasma </w:t>
      </w:r>
      <w:r w:rsidR="009338AE">
        <w:rPr>
          <w:rFonts w:cstheme="minorHAnsi"/>
        </w:rPr>
        <w:t>(source of antibodies)</w:t>
      </w:r>
      <w:r w:rsidR="00BA39F2">
        <w:rPr>
          <w:rFonts w:cstheme="minorHAnsi"/>
        </w:rPr>
        <w:t xml:space="preserve"> and some are exploring NK cell therapy</w:t>
      </w:r>
      <w:r w:rsidR="009338AE">
        <w:rPr>
          <w:rFonts w:cstheme="minorHAnsi"/>
        </w:rPr>
        <w:t>, only one investigates donor T cells. A clinical tr</w:t>
      </w:r>
      <w:r w:rsidR="007068D7">
        <w:rPr>
          <w:rFonts w:cstheme="minorHAnsi"/>
        </w:rPr>
        <w:t>ial</w:t>
      </w:r>
      <w:r w:rsidR="00910721">
        <w:rPr>
          <w:rFonts w:cstheme="minorHAnsi"/>
        </w:rPr>
        <w:t xml:space="preserve"> </w:t>
      </w:r>
      <w:r w:rsidR="00EF53C2">
        <w:rPr>
          <w:rFonts w:cstheme="minorHAnsi"/>
        </w:rPr>
        <w:t>registered from Singapore</w:t>
      </w:r>
      <w:r w:rsidR="00540360">
        <w:rPr>
          <w:rFonts w:cstheme="minorHAnsi"/>
        </w:rPr>
        <w:t xml:space="preserve"> </w:t>
      </w:r>
      <w:r w:rsidR="00EF53C2">
        <w:rPr>
          <w:rFonts w:cstheme="minorHAnsi"/>
        </w:rPr>
        <w:t>(</w:t>
      </w:r>
      <w:r w:rsidR="001D6628" w:rsidRPr="001D6628">
        <w:rPr>
          <w:rFonts w:cstheme="minorHAnsi"/>
        </w:rPr>
        <w:t>NCT04351659</w:t>
      </w:r>
      <w:r w:rsidR="001D6628">
        <w:rPr>
          <w:rFonts w:cstheme="minorHAnsi"/>
        </w:rPr>
        <w:t xml:space="preserve">; </w:t>
      </w:r>
      <w:r w:rsidR="001D6628" w:rsidRPr="001D6628">
        <w:rPr>
          <w:rFonts w:cstheme="minorHAnsi"/>
        </w:rPr>
        <w:t xml:space="preserve">Novel Adoptive Cellular Therapy With SARS-CoV-2 Specific T Cells in Patients </w:t>
      </w:r>
      <w:proofErr w:type="gramStart"/>
      <w:r w:rsidR="001D6628" w:rsidRPr="001D6628">
        <w:rPr>
          <w:rFonts w:cstheme="minorHAnsi"/>
        </w:rPr>
        <w:t>With</w:t>
      </w:r>
      <w:proofErr w:type="gramEnd"/>
      <w:r w:rsidR="001D6628" w:rsidRPr="001D6628">
        <w:rPr>
          <w:rFonts w:cstheme="minorHAnsi"/>
        </w:rPr>
        <w:t xml:space="preserve"> Severe COVID-19</w:t>
      </w:r>
      <w:r w:rsidR="00EF53C2">
        <w:rPr>
          <w:rFonts w:cstheme="minorHAnsi"/>
        </w:rPr>
        <w:t xml:space="preserve">) </w:t>
      </w:r>
      <w:r w:rsidR="00737F16">
        <w:rPr>
          <w:rFonts w:cstheme="minorHAnsi"/>
        </w:rPr>
        <w:t>investigating b</w:t>
      </w:r>
      <w:r w:rsidR="001D6628" w:rsidRPr="001D6628">
        <w:rPr>
          <w:rFonts w:cstheme="minorHAnsi"/>
        </w:rPr>
        <w:t>lood donation from convalescent donor</w:t>
      </w:r>
      <w:r w:rsidR="00737F16">
        <w:rPr>
          <w:rFonts w:cstheme="minorHAnsi"/>
        </w:rPr>
        <w:t>s</w:t>
      </w:r>
      <w:r w:rsidR="007068D7">
        <w:rPr>
          <w:rFonts w:cstheme="minorHAnsi"/>
        </w:rPr>
        <w:t xml:space="preserve"> appears to be the lone exception</w:t>
      </w:r>
      <w:r w:rsidR="00737F16">
        <w:rPr>
          <w:rFonts w:cstheme="minorHAnsi"/>
        </w:rPr>
        <w:t>.</w:t>
      </w:r>
      <w:r w:rsidR="00105458">
        <w:rPr>
          <w:rFonts w:cstheme="minorHAnsi"/>
        </w:rPr>
        <w:t xml:space="preserve"> </w:t>
      </w:r>
    </w:p>
    <w:p w14:paraId="7A4B3387" w14:textId="06AC53EB" w:rsidR="00675E31" w:rsidRDefault="0016067D" w:rsidP="0088248C">
      <w:pPr>
        <w:spacing w:after="120" w:line="276" w:lineRule="auto"/>
        <w:rPr>
          <w:rFonts w:cstheme="minorHAnsi"/>
        </w:rPr>
      </w:pPr>
      <w:r>
        <w:rPr>
          <w:rFonts w:cstheme="minorHAnsi"/>
        </w:rPr>
        <w:t xml:space="preserve">Although vaccination </w:t>
      </w:r>
      <w:r w:rsidR="00B16112">
        <w:rPr>
          <w:rFonts w:cstheme="minorHAnsi"/>
        </w:rPr>
        <w:t xml:space="preserve">may </w:t>
      </w:r>
      <w:r>
        <w:rPr>
          <w:rFonts w:cstheme="minorHAnsi"/>
        </w:rPr>
        <w:t xml:space="preserve">provide </w:t>
      </w:r>
      <w:r w:rsidR="00C6017F">
        <w:rPr>
          <w:rFonts w:cstheme="minorHAnsi"/>
        </w:rPr>
        <w:t xml:space="preserve">a T </w:t>
      </w:r>
      <w:r w:rsidR="00905AAC">
        <w:rPr>
          <w:rFonts w:cstheme="minorHAnsi"/>
        </w:rPr>
        <w:t>cell-based</w:t>
      </w:r>
      <w:r w:rsidR="00C6017F">
        <w:rPr>
          <w:rFonts w:cstheme="minorHAnsi"/>
        </w:rPr>
        <w:t xml:space="preserve"> virus-specific immunity in the long run</w:t>
      </w:r>
      <w:r w:rsidR="00E66399">
        <w:rPr>
          <w:rFonts w:cstheme="minorHAnsi"/>
        </w:rPr>
        <w:t xml:space="preserve"> and assist in disease prevention</w:t>
      </w:r>
      <w:r w:rsidR="008F19BC">
        <w:rPr>
          <w:rFonts w:cstheme="minorHAnsi"/>
        </w:rPr>
        <w:t xml:space="preserve">, </w:t>
      </w:r>
      <w:r w:rsidR="00ED6984">
        <w:rPr>
          <w:rFonts w:cstheme="minorHAnsi"/>
        </w:rPr>
        <w:t xml:space="preserve">therapeutic </w:t>
      </w:r>
      <w:r w:rsidR="008F19BC">
        <w:rPr>
          <w:rFonts w:cstheme="minorHAnsi"/>
        </w:rPr>
        <w:t xml:space="preserve">off-the-shelf </w:t>
      </w:r>
      <w:r w:rsidR="008527C5">
        <w:rPr>
          <w:rFonts w:cstheme="minorHAnsi"/>
        </w:rPr>
        <w:t>SARS-COV-2</w:t>
      </w:r>
      <w:r w:rsidR="008F19BC">
        <w:rPr>
          <w:rFonts w:cstheme="minorHAnsi"/>
        </w:rPr>
        <w:t xml:space="preserve">-specific HLA-matched </w:t>
      </w:r>
      <w:r w:rsidR="00046036">
        <w:rPr>
          <w:rFonts w:cstheme="minorHAnsi"/>
        </w:rPr>
        <w:t xml:space="preserve">cytotoxic T cells </w:t>
      </w:r>
      <w:r w:rsidR="00E65CFE">
        <w:rPr>
          <w:rFonts w:cstheme="minorHAnsi"/>
        </w:rPr>
        <w:t xml:space="preserve">prepared from convalescent COVID-19 patients </w:t>
      </w:r>
      <w:r w:rsidR="00046036">
        <w:rPr>
          <w:rFonts w:cstheme="minorHAnsi"/>
        </w:rPr>
        <w:t>is the need of the hour.</w:t>
      </w:r>
    </w:p>
    <w:p w14:paraId="0DCDD024" w14:textId="61DB8577" w:rsidR="00F709E0" w:rsidRDefault="00F709E0">
      <w:pPr>
        <w:rPr>
          <w:rFonts w:cstheme="minorHAnsi"/>
        </w:rPr>
      </w:pPr>
      <w:r>
        <w:rPr>
          <w:rFonts w:cstheme="minorHAnsi"/>
        </w:rPr>
        <w:br w:type="page"/>
      </w:r>
    </w:p>
    <w:p w14:paraId="3D9C13DA" w14:textId="1907BB93" w:rsidR="001138F4" w:rsidRPr="00CB6C7C" w:rsidRDefault="00F709E0" w:rsidP="0088248C">
      <w:pPr>
        <w:spacing w:after="120" w:line="276" w:lineRule="auto"/>
        <w:rPr>
          <w:rFonts w:cstheme="minorHAnsi"/>
        </w:rPr>
      </w:pPr>
      <w:r w:rsidRPr="00F709E0">
        <w:rPr>
          <w:rFonts w:cstheme="minorHAnsi"/>
          <w:b/>
          <w:bCs/>
        </w:rPr>
        <w:lastRenderedPageBreak/>
        <w:t>References</w:t>
      </w:r>
      <w:r>
        <w:rPr>
          <w:rFonts w:cstheme="minorHAnsi"/>
        </w:rPr>
        <w:t>:</w:t>
      </w:r>
    </w:p>
    <w:p w14:paraId="19EF5314" w14:textId="77777777" w:rsidR="001A2115" w:rsidRDefault="001A2115" w:rsidP="007A313A">
      <w:pPr>
        <w:pStyle w:val="ListParagraph"/>
        <w:numPr>
          <w:ilvl w:val="0"/>
          <w:numId w:val="1"/>
        </w:numPr>
        <w:spacing w:line="276" w:lineRule="auto"/>
        <w:rPr>
          <w:rFonts w:asciiTheme="minorHAnsi" w:eastAsiaTheme="minorEastAsia" w:hAnsiTheme="minorHAnsi" w:cstheme="minorHAnsi"/>
          <w:sz w:val="22"/>
          <w:szCs w:val="22"/>
        </w:rPr>
      </w:pPr>
      <w:r w:rsidRPr="001A2115">
        <w:rPr>
          <w:rFonts w:asciiTheme="minorHAnsi" w:eastAsiaTheme="minorEastAsia" w:hAnsiTheme="minorHAnsi" w:cstheme="minorHAnsi"/>
          <w:sz w:val="22"/>
          <w:szCs w:val="22"/>
        </w:rPr>
        <w:t xml:space="preserve">Zhu N, Zhang D, Wang W, et al. A Novel Coronavirus from Patients with Pneumonia in China, 2019. N </w:t>
      </w:r>
      <w:proofErr w:type="spellStart"/>
      <w:r w:rsidRPr="001A2115">
        <w:rPr>
          <w:rFonts w:asciiTheme="minorHAnsi" w:eastAsiaTheme="minorEastAsia" w:hAnsiTheme="minorHAnsi" w:cstheme="minorHAnsi"/>
          <w:sz w:val="22"/>
          <w:szCs w:val="22"/>
        </w:rPr>
        <w:t>Engl</w:t>
      </w:r>
      <w:proofErr w:type="spellEnd"/>
      <w:r w:rsidRPr="001A2115">
        <w:rPr>
          <w:rFonts w:asciiTheme="minorHAnsi" w:eastAsiaTheme="minorEastAsia" w:hAnsiTheme="minorHAnsi" w:cstheme="minorHAnsi"/>
          <w:sz w:val="22"/>
          <w:szCs w:val="22"/>
        </w:rPr>
        <w:t xml:space="preserve"> J Med. 2020;382(8):727–733. doi:10.1056/NEJMoa2001017</w:t>
      </w:r>
    </w:p>
    <w:p w14:paraId="66AD88D3" w14:textId="77777777" w:rsidR="00D8249B" w:rsidRDefault="00D8249B" w:rsidP="007A313A">
      <w:pPr>
        <w:pStyle w:val="ListParagraph"/>
        <w:numPr>
          <w:ilvl w:val="0"/>
          <w:numId w:val="1"/>
        </w:numPr>
        <w:spacing w:line="276" w:lineRule="auto"/>
        <w:rPr>
          <w:rFonts w:asciiTheme="minorHAnsi" w:eastAsiaTheme="minorEastAsia" w:hAnsiTheme="minorHAnsi" w:cstheme="minorHAnsi"/>
          <w:sz w:val="22"/>
          <w:szCs w:val="22"/>
        </w:rPr>
      </w:pPr>
      <w:proofErr w:type="spellStart"/>
      <w:r w:rsidRPr="00D8249B">
        <w:rPr>
          <w:rFonts w:asciiTheme="minorHAnsi" w:eastAsiaTheme="minorEastAsia" w:hAnsiTheme="minorHAnsi" w:cstheme="minorHAnsi"/>
          <w:sz w:val="22"/>
          <w:szCs w:val="22"/>
        </w:rPr>
        <w:t>Lukassen</w:t>
      </w:r>
      <w:proofErr w:type="spellEnd"/>
      <w:r w:rsidRPr="00D8249B">
        <w:rPr>
          <w:rFonts w:asciiTheme="minorHAnsi" w:eastAsiaTheme="minorEastAsia" w:hAnsiTheme="minorHAnsi" w:cstheme="minorHAnsi"/>
          <w:sz w:val="22"/>
          <w:szCs w:val="22"/>
        </w:rPr>
        <w:t xml:space="preserve"> S, Chua RL, </w:t>
      </w:r>
      <w:proofErr w:type="spellStart"/>
      <w:r w:rsidRPr="00D8249B">
        <w:rPr>
          <w:rFonts w:asciiTheme="minorHAnsi" w:eastAsiaTheme="minorEastAsia" w:hAnsiTheme="minorHAnsi" w:cstheme="minorHAnsi"/>
          <w:sz w:val="22"/>
          <w:szCs w:val="22"/>
        </w:rPr>
        <w:t>Trefzer</w:t>
      </w:r>
      <w:proofErr w:type="spellEnd"/>
      <w:r w:rsidRPr="00D8249B">
        <w:rPr>
          <w:rFonts w:asciiTheme="minorHAnsi" w:eastAsiaTheme="minorEastAsia" w:hAnsiTheme="minorHAnsi" w:cstheme="minorHAnsi"/>
          <w:sz w:val="22"/>
          <w:szCs w:val="22"/>
        </w:rPr>
        <w:t xml:space="preserve"> T, et al. SARS-CoV-2 receptor ACE2 and TMPRSS2 are primarily expressed in bronchial transient secretory cells [published online ahead of print, 2020 Apr 4]. EMBO J. </w:t>
      </w:r>
      <w:proofErr w:type="gramStart"/>
      <w:r w:rsidRPr="00D8249B">
        <w:rPr>
          <w:rFonts w:asciiTheme="minorHAnsi" w:eastAsiaTheme="minorEastAsia" w:hAnsiTheme="minorHAnsi" w:cstheme="minorHAnsi"/>
          <w:sz w:val="22"/>
          <w:szCs w:val="22"/>
        </w:rPr>
        <w:t>2020;e</w:t>
      </w:r>
      <w:proofErr w:type="gramEnd"/>
      <w:r w:rsidRPr="00D8249B">
        <w:rPr>
          <w:rFonts w:asciiTheme="minorHAnsi" w:eastAsiaTheme="minorEastAsia" w:hAnsiTheme="minorHAnsi" w:cstheme="minorHAnsi"/>
          <w:sz w:val="22"/>
          <w:szCs w:val="22"/>
        </w:rPr>
        <w:t xml:space="preserve">105114. doi:10.15252/embj.20105114 </w:t>
      </w:r>
    </w:p>
    <w:p w14:paraId="39F29125" w14:textId="77777777" w:rsidR="00B23C57" w:rsidRPr="00B23C57" w:rsidRDefault="00B23C57" w:rsidP="008E6B46">
      <w:pPr>
        <w:pStyle w:val="ListParagraph"/>
        <w:numPr>
          <w:ilvl w:val="0"/>
          <w:numId w:val="1"/>
        </w:numPr>
        <w:spacing w:line="276" w:lineRule="auto"/>
        <w:rPr>
          <w:rFonts w:asciiTheme="minorHAnsi" w:eastAsiaTheme="minorEastAsia" w:hAnsiTheme="minorHAnsi" w:cstheme="minorHAnsi"/>
          <w:sz w:val="22"/>
          <w:szCs w:val="22"/>
        </w:rPr>
      </w:pPr>
      <w:r w:rsidRPr="00B23C57">
        <w:rPr>
          <w:rFonts w:asciiTheme="minorHAnsi" w:hAnsiTheme="minorHAnsi" w:cstheme="minorHAnsi"/>
          <w:sz w:val="22"/>
          <w:szCs w:val="22"/>
        </w:rPr>
        <w:t xml:space="preserve">Lagunas-Rangel FA. Neutrophil-to-lymphocyte ratio and lymphocyte-to-C-reactive protein ratio in patients with severe coronavirus disease 2019 (COVID-19): A meta-analysis [published online ahead of print, 2020 Apr 3]. J Med </w:t>
      </w:r>
      <w:proofErr w:type="spellStart"/>
      <w:r w:rsidRPr="00B23C57">
        <w:rPr>
          <w:rFonts w:asciiTheme="minorHAnsi" w:hAnsiTheme="minorHAnsi" w:cstheme="minorHAnsi"/>
          <w:sz w:val="22"/>
          <w:szCs w:val="22"/>
        </w:rPr>
        <w:t>Virol</w:t>
      </w:r>
      <w:proofErr w:type="spellEnd"/>
      <w:r w:rsidRPr="00B23C57">
        <w:rPr>
          <w:rFonts w:asciiTheme="minorHAnsi" w:hAnsiTheme="minorHAnsi" w:cstheme="minorHAnsi"/>
          <w:sz w:val="22"/>
          <w:szCs w:val="22"/>
        </w:rPr>
        <w:t xml:space="preserve">. 2020;10.1002/jmv.25819. doi:10.1002/jmv.25819 </w:t>
      </w:r>
    </w:p>
    <w:p w14:paraId="0C77F066" w14:textId="77777777" w:rsidR="002709A9" w:rsidRDefault="002709A9" w:rsidP="007A313A">
      <w:pPr>
        <w:pStyle w:val="ListParagraph"/>
        <w:numPr>
          <w:ilvl w:val="0"/>
          <w:numId w:val="1"/>
        </w:numPr>
        <w:spacing w:line="276" w:lineRule="auto"/>
        <w:rPr>
          <w:rFonts w:asciiTheme="minorHAnsi" w:hAnsiTheme="minorHAnsi" w:cstheme="minorHAnsi"/>
          <w:sz w:val="22"/>
          <w:szCs w:val="22"/>
        </w:rPr>
      </w:pPr>
      <w:r w:rsidRPr="002709A9">
        <w:rPr>
          <w:rFonts w:asciiTheme="minorHAnsi" w:hAnsiTheme="minorHAnsi" w:cstheme="minorHAnsi"/>
          <w:sz w:val="22"/>
          <w:szCs w:val="22"/>
        </w:rPr>
        <w:t xml:space="preserve">Liu Y, Du X, Chen J, et al. Neutrophil-to-lymphocyte ratio as an independent risk factor for mortality in hospitalized patients with COVID-19 [published online ahead of print, 2020 Apr 10]. J Infect. </w:t>
      </w:r>
      <w:proofErr w:type="gramStart"/>
      <w:r w:rsidRPr="002709A9">
        <w:rPr>
          <w:rFonts w:asciiTheme="minorHAnsi" w:hAnsiTheme="minorHAnsi" w:cstheme="minorHAnsi"/>
          <w:sz w:val="22"/>
          <w:szCs w:val="22"/>
        </w:rPr>
        <w:t>2020;S</w:t>
      </w:r>
      <w:proofErr w:type="gramEnd"/>
      <w:r w:rsidRPr="002709A9">
        <w:rPr>
          <w:rFonts w:asciiTheme="minorHAnsi" w:hAnsiTheme="minorHAnsi" w:cstheme="minorHAnsi"/>
          <w:sz w:val="22"/>
          <w:szCs w:val="22"/>
        </w:rPr>
        <w:t xml:space="preserve">0163-4453(20)30208-5. </w:t>
      </w:r>
      <w:proofErr w:type="gramStart"/>
      <w:r w:rsidRPr="002709A9">
        <w:rPr>
          <w:rFonts w:asciiTheme="minorHAnsi" w:hAnsiTheme="minorHAnsi" w:cstheme="minorHAnsi"/>
          <w:sz w:val="22"/>
          <w:szCs w:val="22"/>
        </w:rPr>
        <w:t>doi:10.1016/j.jinf</w:t>
      </w:r>
      <w:proofErr w:type="gramEnd"/>
      <w:r w:rsidRPr="002709A9">
        <w:rPr>
          <w:rFonts w:asciiTheme="minorHAnsi" w:hAnsiTheme="minorHAnsi" w:cstheme="minorHAnsi"/>
          <w:sz w:val="22"/>
          <w:szCs w:val="22"/>
        </w:rPr>
        <w:t>.2020.04.002</w:t>
      </w:r>
    </w:p>
    <w:p w14:paraId="588ADF79" w14:textId="77777777" w:rsidR="00BD4679" w:rsidRDefault="00BD4679" w:rsidP="007A313A">
      <w:pPr>
        <w:pStyle w:val="ListParagraph"/>
        <w:numPr>
          <w:ilvl w:val="0"/>
          <w:numId w:val="1"/>
        </w:numPr>
        <w:spacing w:line="276" w:lineRule="auto"/>
        <w:rPr>
          <w:rFonts w:asciiTheme="minorHAnsi" w:hAnsiTheme="minorHAnsi" w:cstheme="minorHAnsi"/>
          <w:sz w:val="22"/>
          <w:szCs w:val="22"/>
        </w:rPr>
      </w:pPr>
      <w:r w:rsidRPr="00BD4679">
        <w:rPr>
          <w:rFonts w:asciiTheme="minorHAnsi" w:hAnsiTheme="minorHAnsi" w:cstheme="minorHAnsi"/>
          <w:sz w:val="22"/>
          <w:szCs w:val="22"/>
        </w:rPr>
        <w:t>Liu Y, Liao W, Wan L, Xiang T, Zhang W. Correlation Between Relative Nasopharyngeal Virus RNA Load and Lymphocyte Count Disease Severity in Patients with COVID-19 [published online ahead of print, 2020 Apr 10]. Viral Immunol. 2020;10.1089/vim.2020.0062. doi:10.1089/vim.2020.0062</w:t>
      </w:r>
    </w:p>
    <w:p w14:paraId="12C1EB99" w14:textId="030100DD" w:rsidR="007A313A" w:rsidRPr="00CB6C7C" w:rsidRDefault="007A313A" w:rsidP="007A313A">
      <w:pPr>
        <w:pStyle w:val="ListParagraph"/>
        <w:numPr>
          <w:ilvl w:val="0"/>
          <w:numId w:val="1"/>
        </w:numPr>
        <w:spacing w:line="276" w:lineRule="auto"/>
        <w:rPr>
          <w:rFonts w:asciiTheme="minorHAnsi" w:hAnsiTheme="minorHAnsi" w:cstheme="minorHAnsi"/>
          <w:sz w:val="22"/>
          <w:szCs w:val="22"/>
        </w:rPr>
      </w:pPr>
      <w:r w:rsidRPr="00CB6C7C">
        <w:rPr>
          <w:rFonts w:asciiTheme="minorHAnsi" w:hAnsiTheme="minorHAnsi" w:cstheme="minorHAnsi"/>
          <w:sz w:val="22"/>
          <w:szCs w:val="22"/>
        </w:rPr>
        <w:t xml:space="preserve">Wang F, </w:t>
      </w:r>
      <w:proofErr w:type="spellStart"/>
      <w:r w:rsidRPr="00CB6C7C">
        <w:rPr>
          <w:rFonts w:asciiTheme="minorHAnsi" w:hAnsiTheme="minorHAnsi" w:cstheme="minorHAnsi"/>
          <w:sz w:val="22"/>
          <w:szCs w:val="22"/>
        </w:rPr>
        <w:t>Nie</w:t>
      </w:r>
      <w:proofErr w:type="spellEnd"/>
      <w:r w:rsidRPr="00CB6C7C">
        <w:rPr>
          <w:rFonts w:asciiTheme="minorHAnsi" w:hAnsiTheme="minorHAnsi" w:cstheme="minorHAnsi"/>
          <w:sz w:val="22"/>
          <w:szCs w:val="22"/>
        </w:rPr>
        <w:t xml:space="preserve"> J, Wang H, et al. Characteristics of peripheral lymphocyte subset alteration in COVID-19 pneumonia [published online ahead of print, 2020 Mar 30]. J Infect Dis. </w:t>
      </w:r>
      <w:proofErr w:type="gramStart"/>
      <w:r w:rsidRPr="00CB6C7C">
        <w:rPr>
          <w:rFonts w:asciiTheme="minorHAnsi" w:hAnsiTheme="minorHAnsi" w:cstheme="minorHAnsi"/>
          <w:sz w:val="22"/>
          <w:szCs w:val="22"/>
        </w:rPr>
        <w:t>2020;jiaa</w:t>
      </w:r>
      <w:proofErr w:type="gramEnd"/>
      <w:r w:rsidRPr="00CB6C7C">
        <w:rPr>
          <w:rFonts w:asciiTheme="minorHAnsi" w:hAnsiTheme="minorHAnsi" w:cstheme="minorHAnsi"/>
          <w:sz w:val="22"/>
          <w:szCs w:val="22"/>
        </w:rPr>
        <w:t>150. doi:10.1093/</w:t>
      </w:r>
      <w:proofErr w:type="spellStart"/>
      <w:r w:rsidRPr="00CB6C7C">
        <w:rPr>
          <w:rFonts w:asciiTheme="minorHAnsi" w:hAnsiTheme="minorHAnsi" w:cstheme="minorHAnsi"/>
          <w:sz w:val="22"/>
          <w:szCs w:val="22"/>
        </w:rPr>
        <w:t>infdis</w:t>
      </w:r>
      <w:proofErr w:type="spellEnd"/>
      <w:r w:rsidRPr="00CB6C7C">
        <w:rPr>
          <w:rFonts w:asciiTheme="minorHAnsi" w:hAnsiTheme="minorHAnsi" w:cstheme="minorHAnsi"/>
          <w:sz w:val="22"/>
          <w:szCs w:val="22"/>
        </w:rPr>
        <w:t>/jiaa150</w:t>
      </w:r>
    </w:p>
    <w:p w14:paraId="576F0F09" w14:textId="77777777" w:rsidR="00650044" w:rsidRDefault="00650044" w:rsidP="0088248C">
      <w:pPr>
        <w:pStyle w:val="ListParagraph"/>
        <w:numPr>
          <w:ilvl w:val="0"/>
          <w:numId w:val="1"/>
        </w:numPr>
        <w:spacing w:after="120" w:line="276" w:lineRule="auto"/>
        <w:rPr>
          <w:rFonts w:asciiTheme="minorHAnsi" w:hAnsiTheme="minorHAnsi" w:cstheme="minorHAnsi"/>
          <w:sz w:val="22"/>
          <w:szCs w:val="22"/>
        </w:rPr>
      </w:pPr>
      <w:r w:rsidRPr="00650044">
        <w:rPr>
          <w:rFonts w:asciiTheme="minorHAnsi" w:hAnsiTheme="minorHAnsi" w:cstheme="minorHAnsi"/>
          <w:sz w:val="22"/>
          <w:szCs w:val="22"/>
        </w:rPr>
        <w:t xml:space="preserve">Zheng M, Gao Y, Wang G, et al. Functional exhaustion of antiviral lymphocytes in COVID-19 patients [published online ahead of print, 2020 Mar 19]. Cell Mol Immunol. 2020;10.1038/s41423-020-0402-2. doi:10.1038/s41423-020-0402-2 </w:t>
      </w:r>
    </w:p>
    <w:p w14:paraId="0BCC4FD5" w14:textId="5E2F4B77" w:rsidR="00F36965" w:rsidRDefault="00F36965" w:rsidP="0088248C">
      <w:pPr>
        <w:pStyle w:val="ListParagraph"/>
        <w:numPr>
          <w:ilvl w:val="0"/>
          <w:numId w:val="1"/>
        </w:numPr>
        <w:spacing w:after="120" w:line="276" w:lineRule="auto"/>
        <w:rPr>
          <w:rFonts w:asciiTheme="minorHAnsi" w:hAnsiTheme="minorHAnsi" w:cstheme="minorHAnsi"/>
          <w:sz w:val="22"/>
          <w:szCs w:val="22"/>
        </w:rPr>
      </w:pPr>
      <w:r w:rsidRPr="00F36965">
        <w:rPr>
          <w:rFonts w:asciiTheme="minorHAnsi" w:hAnsiTheme="minorHAnsi" w:cstheme="minorHAnsi"/>
          <w:sz w:val="22"/>
          <w:szCs w:val="22"/>
        </w:rPr>
        <w:t>Chen G, Wu D, Guo W, et al. Clinical and immunological features of severe and moderate coronavirus disease 2019 [published online ahead of print, 2020 Apr 13]. J Clin Invest. 2020;137244. doi:10.1172/JCI137244</w:t>
      </w:r>
    </w:p>
    <w:p w14:paraId="4941E892" w14:textId="18BC5317" w:rsidR="00AB4AC6" w:rsidRPr="00CB6C7C" w:rsidRDefault="00AB4AC6" w:rsidP="0088248C">
      <w:pPr>
        <w:pStyle w:val="ListParagraph"/>
        <w:numPr>
          <w:ilvl w:val="0"/>
          <w:numId w:val="1"/>
        </w:numPr>
        <w:spacing w:after="120" w:line="276" w:lineRule="auto"/>
        <w:rPr>
          <w:rFonts w:asciiTheme="minorHAnsi" w:hAnsiTheme="minorHAnsi" w:cstheme="minorHAnsi"/>
          <w:sz w:val="22"/>
          <w:szCs w:val="22"/>
        </w:rPr>
      </w:pPr>
      <w:r w:rsidRPr="00AB4AC6">
        <w:rPr>
          <w:rFonts w:asciiTheme="minorHAnsi" w:hAnsiTheme="minorHAnsi" w:cstheme="minorHAnsi"/>
          <w:sz w:val="22"/>
          <w:szCs w:val="22"/>
        </w:rPr>
        <w:t>Li T, Qiu Z, Zhang L, et al. Significant changes of peripheral T lymphocyte subsets in patients with severe acute respiratory syndrome. J Infect Dis. 2004;189(4):648–651. doi:10.1086/381535</w:t>
      </w:r>
    </w:p>
    <w:p w14:paraId="6D1AE1E6" w14:textId="77777777" w:rsidR="00CB6C7C" w:rsidRPr="00CB6C7C" w:rsidRDefault="000A351B" w:rsidP="009F1228">
      <w:pPr>
        <w:pStyle w:val="ListParagraph"/>
        <w:numPr>
          <w:ilvl w:val="0"/>
          <w:numId w:val="1"/>
        </w:numPr>
        <w:spacing w:after="120" w:line="276" w:lineRule="auto"/>
        <w:rPr>
          <w:rFonts w:asciiTheme="minorHAnsi" w:hAnsiTheme="minorHAnsi" w:cstheme="minorHAnsi"/>
          <w:sz w:val="22"/>
          <w:szCs w:val="22"/>
        </w:rPr>
      </w:pPr>
      <w:hyperlink r:id="rId11" w:history="1">
        <w:r w:rsidR="008E6B46" w:rsidRPr="00CB6C7C">
          <w:rPr>
            <w:rStyle w:val="Hyperlink"/>
            <w:rFonts w:asciiTheme="minorHAnsi" w:hAnsiTheme="minorHAnsi" w:cstheme="minorHAnsi"/>
            <w:sz w:val="22"/>
            <w:szCs w:val="22"/>
          </w:rPr>
          <w:t>https://www.covid19treatmentguidelines.nih.gov/therapeutic-options-under-investigation/</w:t>
        </w:r>
      </w:hyperlink>
    </w:p>
    <w:p w14:paraId="255D556C" w14:textId="77777777" w:rsidR="00392699" w:rsidRDefault="00392699" w:rsidP="009F1228">
      <w:pPr>
        <w:pStyle w:val="ListParagraph"/>
        <w:numPr>
          <w:ilvl w:val="0"/>
          <w:numId w:val="1"/>
        </w:numPr>
        <w:spacing w:after="120" w:line="276" w:lineRule="auto"/>
        <w:rPr>
          <w:rFonts w:asciiTheme="minorHAnsi" w:hAnsiTheme="minorHAnsi" w:cstheme="minorHAnsi"/>
          <w:sz w:val="22"/>
          <w:szCs w:val="22"/>
        </w:rPr>
      </w:pPr>
      <w:r w:rsidRPr="00392699">
        <w:rPr>
          <w:rFonts w:asciiTheme="minorHAnsi" w:hAnsiTheme="minorHAnsi" w:cstheme="minorHAnsi"/>
          <w:sz w:val="22"/>
          <w:szCs w:val="22"/>
        </w:rPr>
        <w:t xml:space="preserve">Baugh KA, </w:t>
      </w:r>
      <w:proofErr w:type="spellStart"/>
      <w:r w:rsidRPr="00392699">
        <w:rPr>
          <w:rFonts w:asciiTheme="minorHAnsi" w:hAnsiTheme="minorHAnsi" w:cstheme="minorHAnsi"/>
          <w:sz w:val="22"/>
          <w:szCs w:val="22"/>
        </w:rPr>
        <w:t>Tzannou</w:t>
      </w:r>
      <w:proofErr w:type="spellEnd"/>
      <w:r w:rsidRPr="00392699">
        <w:rPr>
          <w:rFonts w:asciiTheme="minorHAnsi" w:hAnsiTheme="minorHAnsi" w:cstheme="minorHAnsi"/>
          <w:sz w:val="22"/>
          <w:szCs w:val="22"/>
        </w:rPr>
        <w:t xml:space="preserve"> I, Leen AM. Infusion of cytotoxic T lymphocytes for the treatment of viral infections in </w:t>
      </w:r>
      <w:proofErr w:type="spellStart"/>
      <w:r w:rsidRPr="00392699">
        <w:rPr>
          <w:rFonts w:asciiTheme="minorHAnsi" w:hAnsiTheme="minorHAnsi" w:cstheme="minorHAnsi"/>
          <w:sz w:val="22"/>
          <w:szCs w:val="22"/>
        </w:rPr>
        <w:t>hematopoetic</w:t>
      </w:r>
      <w:proofErr w:type="spellEnd"/>
      <w:r w:rsidRPr="00392699">
        <w:rPr>
          <w:rFonts w:asciiTheme="minorHAnsi" w:hAnsiTheme="minorHAnsi" w:cstheme="minorHAnsi"/>
          <w:sz w:val="22"/>
          <w:szCs w:val="22"/>
        </w:rPr>
        <w:t xml:space="preserve"> stem cell transplant patients. </w:t>
      </w:r>
      <w:proofErr w:type="spellStart"/>
      <w:r w:rsidRPr="00392699">
        <w:rPr>
          <w:rFonts w:asciiTheme="minorHAnsi" w:hAnsiTheme="minorHAnsi" w:cstheme="minorHAnsi"/>
          <w:sz w:val="22"/>
          <w:szCs w:val="22"/>
        </w:rPr>
        <w:t>Curr</w:t>
      </w:r>
      <w:proofErr w:type="spellEnd"/>
      <w:r w:rsidRPr="00392699">
        <w:rPr>
          <w:rFonts w:asciiTheme="minorHAnsi" w:hAnsiTheme="minorHAnsi" w:cstheme="minorHAnsi"/>
          <w:sz w:val="22"/>
          <w:szCs w:val="22"/>
        </w:rPr>
        <w:t xml:space="preserve"> </w:t>
      </w:r>
      <w:proofErr w:type="spellStart"/>
      <w:r w:rsidRPr="00392699">
        <w:rPr>
          <w:rFonts w:asciiTheme="minorHAnsi" w:hAnsiTheme="minorHAnsi" w:cstheme="minorHAnsi"/>
          <w:sz w:val="22"/>
          <w:szCs w:val="22"/>
        </w:rPr>
        <w:t>Opin</w:t>
      </w:r>
      <w:proofErr w:type="spellEnd"/>
      <w:r w:rsidRPr="00392699">
        <w:rPr>
          <w:rFonts w:asciiTheme="minorHAnsi" w:hAnsiTheme="minorHAnsi" w:cstheme="minorHAnsi"/>
          <w:sz w:val="22"/>
          <w:szCs w:val="22"/>
        </w:rPr>
        <w:t xml:space="preserve"> Infect Dis. 2018;31(4):292–300. doi:10.1097/QCO.0000000000000456</w:t>
      </w:r>
    </w:p>
    <w:p w14:paraId="012EC61E" w14:textId="0DA5FACE" w:rsidR="009F1228" w:rsidRDefault="009F1228" w:rsidP="009F1228">
      <w:pPr>
        <w:pStyle w:val="ListParagraph"/>
        <w:numPr>
          <w:ilvl w:val="0"/>
          <w:numId w:val="1"/>
        </w:numPr>
        <w:spacing w:after="120" w:line="276" w:lineRule="auto"/>
        <w:rPr>
          <w:rFonts w:asciiTheme="minorHAnsi" w:hAnsiTheme="minorHAnsi" w:cstheme="minorHAnsi"/>
          <w:sz w:val="22"/>
          <w:szCs w:val="22"/>
        </w:rPr>
      </w:pPr>
      <w:proofErr w:type="spellStart"/>
      <w:r w:rsidRPr="00CB6C7C">
        <w:rPr>
          <w:rFonts w:asciiTheme="minorHAnsi" w:hAnsiTheme="minorHAnsi" w:cstheme="minorHAnsi"/>
          <w:sz w:val="22"/>
          <w:szCs w:val="22"/>
        </w:rPr>
        <w:t>Prockop</w:t>
      </w:r>
      <w:proofErr w:type="spellEnd"/>
      <w:r w:rsidRPr="00CB6C7C">
        <w:rPr>
          <w:rFonts w:asciiTheme="minorHAnsi" w:hAnsiTheme="minorHAnsi" w:cstheme="minorHAnsi"/>
          <w:sz w:val="22"/>
          <w:szCs w:val="22"/>
        </w:rPr>
        <w:t xml:space="preserve"> S, </w:t>
      </w:r>
      <w:proofErr w:type="spellStart"/>
      <w:r w:rsidRPr="00CB6C7C">
        <w:rPr>
          <w:rFonts w:asciiTheme="minorHAnsi" w:hAnsiTheme="minorHAnsi" w:cstheme="minorHAnsi"/>
          <w:sz w:val="22"/>
          <w:szCs w:val="22"/>
        </w:rPr>
        <w:t>Doubrovina</w:t>
      </w:r>
      <w:proofErr w:type="spellEnd"/>
      <w:r w:rsidRPr="00CB6C7C">
        <w:rPr>
          <w:rFonts w:asciiTheme="minorHAnsi" w:hAnsiTheme="minorHAnsi" w:cstheme="minorHAnsi"/>
          <w:sz w:val="22"/>
          <w:szCs w:val="22"/>
        </w:rPr>
        <w:t xml:space="preserve"> E, </w:t>
      </w:r>
      <w:proofErr w:type="spellStart"/>
      <w:r w:rsidRPr="00CB6C7C">
        <w:rPr>
          <w:rFonts w:asciiTheme="minorHAnsi" w:hAnsiTheme="minorHAnsi" w:cstheme="minorHAnsi"/>
          <w:sz w:val="22"/>
          <w:szCs w:val="22"/>
        </w:rPr>
        <w:t>Suser</w:t>
      </w:r>
      <w:proofErr w:type="spellEnd"/>
      <w:r w:rsidRPr="00CB6C7C">
        <w:rPr>
          <w:rFonts w:asciiTheme="minorHAnsi" w:hAnsiTheme="minorHAnsi" w:cstheme="minorHAnsi"/>
          <w:sz w:val="22"/>
          <w:szCs w:val="22"/>
        </w:rPr>
        <w:t xml:space="preserve"> S, et al. Off-the-shelf EBV-specific T cell immunotherapy for rituximab-refractory EBV-associated lymphoma following transplantation. J Clin Invest. 2020;130(2):733–747. doi:10.1172/JCI121127</w:t>
      </w:r>
    </w:p>
    <w:p w14:paraId="33937206" w14:textId="66CEA465" w:rsidR="00D6340D" w:rsidRDefault="00D6340D" w:rsidP="009F1228">
      <w:pPr>
        <w:pStyle w:val="ListParagraph"/>
        <w:numPr>
          <w:ilvl w:val="0"/>
          <w:numId w:val="1"/>
        </w:numPr>
        <w:spacing w:after="120" w:line="276" w:lineRule="auto"/>
        <w:rPr>
          <w:rFonts w:asciiTheme="minorHAnsi" w:hAnsiTheme="minorHAnsi" w:cstheme="minorHAnsi"/>
          <w:sz w:val="22"/>
          <w:szCs w:val="22"/>
        </w:rPr>
      </w:pPr>
      <w:r w:rsidRPr="00D6340D">
        <w:rPr>
          <w:rFonts w:asciiTheme="minorHAnsi" w:hAnsiTheme="minorHAnsi" w:cstheme="minorHAnsi"/>
          <w:sz w:val="22"/>
          <w:szCs w:val="22"/>
        </w:rPr>
        <w:t xml:space="preserve">Papadopoulos EB, </w:t>
      </w:r>
      <w:proofErr w:type="spellStart"/>
      <w:r w:rsidRPr="00D6340D">
        <w:rPr>
          <w:rFonts w:asciiTheme="minorHAnsi" w:hAnsiTheme="minorHAnsi" w:cstheme="minorHAnsi"/>
          <w:sz w:val="22"/>
          <w:szCs w:val="22"/>
        </w:rPr>
        <w:t>Ladanyi</w:t>
      </w:r>
      <w:proofErr w:type="spellEnd"/>
      <w:r w:rsidRPr="00D6340D">
        <w:rPr>
          <w:rFonts w:asciiTheme="minorHAnsi" w:hAnsiTheme="minorHAnsi" w:cstheme="minorHAnsi"/>
          <w:sz w:val="22"/>
          <w:szCs w:val="22"/>
        </w:rPr>
        <w:t xml:space="preserve"> M, Emanuel D, et al. Infusions of donor leukocytes to treat Epstein-Barr virus-associated lymphoproliferative disorders after allogeneic bone marrow transplantation. N </w:t>
      </w:r>
      <w:proofErr w:type="spellStart"/>
      <w:r w:rsidRPr="00D6340D">
        <w:rPr>
          <w:rFonts w:asciiTheme="minorHAnsi" w:hAnsiTheme="minorHAnsi" w:cstheme="minorHAnsi"/>
          <w:sz w:val="22"/>
          <w:szCs w:val="22"/>
        </w:rPr>
        <w:t>Engl</w:t>
      </w:r>
      <w:proofErr w:type="spellEnd"/>
      <w:r w:rsidRPr="00D6340D">
        <w:rPr>
          <w:rFonts w:asciiTheme="minorHAnsi" w:hAnsiTheme="minorHAnsi" w:cstheme="minorHAnsi"/>
          <w:sz w:val="22"/>
          <w:szCs w:val="22"/>
        </w:rPr>
        <w:t xml:space="preserve"> J Med. 1994;330(17):1185–1191. doi:10.1056/NEJM199404283301703</w:t>
      </w:r>
    </w:p>
    <w:p w14:paraId="3BBD6559" w14:textId="77777777" w:rsidR="00A0003A" w:rsidRDefault="00DE44D5" w:rsidP="00D57F23">
      <w:pPr>
        <w:pStyle w:val="ListParagraph"/>
        <w:numPr>
          <w:ilvl w:val="0"/>
          <w:numId w:val="1"/>
        </w:numPr>
        <w:spacing w:after="120" w:line="276" w:lineRule="auto"/>
        <w:rPr>
          <w:rFonts w:asciiTheme="minorHAnsi" w:hAnsiTheme="minorHAnsi" w:cstheme="minorHAnsi"/>
          <w:sz w:val="22"/>
          <w:szCs w:val="22"/>
        </w:rPr>
      </w:pPr>
      <w:r w:rsidRPr="00DE44D5">
        <w:rPr>
          <w:rFonts w:asciiTheme="minorHAnsi" w:hAnsiTheme="minorHAnsi" w:cstheme="minorHAnsi"/>
          <w:sz w:val="22"/>
          <w:szCs w:val="22"/>
        </w:rPr>
        <w:t>Rooney CM, Smith CA, Ng CY, et al. Use of gene-modified virus-specific T lymphocytes to control Epstein-Barr-virus-related lymphoproliferation. Lancet. 1995;345(8941):9–13. doi:10.1016/s0140-6736(95)91150-2</w:t>
      </w:r>
    </w:p>
    <w:p w14:paraId="0866B3ED" w14:textId="34AC86B0" w:rsidR="00063684" w:rsidRPr="00063684" w:rsidRDefault="00193143" w:rsidP="00063684">
      <w:pPr>
        <w:pStyle w:val="ListParagraph"/>
        <w:numPr>
          <w:ilvl w:val="0"/>
          <w:numId w:val="1"/>
        </w:numPr>
        <w:spacing w:after="120" w:line="276" w:lineRule="auto"/>
        <w:rPr>
          <w:rFonts w:asciiTheme="minorHAnsi" w:hAnsiTheme="minorHAnsi" w:cstheme="minorHAnsi"/>
          <w:sz w:val="22"/>
          <w:szCs w:val="22"/>
        </w:rPr>
      </w:pPr>
      <w:proofErr w:type="spellStart"/>
      <w:r w:rsidRPr="00A0003A">
        <w:rPr>
          <w:rFonts w:cstheme="minorHAnsi"/>
        </w:rPr>
        <w:lastRenderedPageBreak/>
        <w:t>Tzannou</w:t>
      </w:r>
      <w:proofErr w:type="spellEnd"/>
      <w:r w:rsidRPr="00A0003A">
        <w:rPr>
          <w:rFonts w:cstheme="minorHAnsi"/>
        </w:rPr>
        <w:t xml:space="preserve"> I, </w:t>
      </w:r>
      <w:proofErr w:type="spellStart"/>
      <w:r w:rsidRPr="00A0003A">
        <w:rPr>
          <w:rFonts w:cstheme="minorHAnsi"/>
        </w:rPr>
        <w:t>Papadopoulou</w:t>
      </w:r>
      <w:proofErr w:type="spellEnd"/>
      <w:r w:rsidRPr="00A0003A">
        <w:rPr>
          <w:rFonts w:cstheme="minorHAnsi"/>
        </w:rPr>
        <w:t xml:space="preserve"> A, Naik S, et al. Off-the-Shelf Virus-Specific T Cells to Treat BK Virus, Human Herpesvirus 6, Cytomegalovirus, Epstein-Barr Virus, and Adenovirus Infections After Allogeneic Hematopoietic Stem-Cell Transplantation. J Clin Oncol. 2017;35(31):3547–3557. doi:10.1200/JCO.2017.73.0655</w:t>
      </w:r>
    </w:p>
    <w:p w14:paraId="59B7E620" w14:textId="05E14740" w:rsidR="00063684" w:rsidRDefault="00063684">
      <w:pPr>
        <w:rPr>
          <w:rFonts w:cstheme="minorHAnsi"/>
        </w:rPr>
      </w:pPr>
      <w:r>
        <w:rPr>
          <w:rFonts w:cstheme="minorHAnsi"/>
        </w:rPr>
        <w:br w:type="page"/>
      </w:r>
    </w:p>
    <w:p w14:paraId="2E7710EF" w14:textId="3B7A08A9" w:rsidR="00063684" w:rsidRDefault="00063684" w:rsidP="00063684">
      <w:pPr>
        <w:spacing w:after="120" w:line="276" w:lineRule="auto"/>
        <w:rPr>
          <w:rFonts w:cstheme="minorHAnsi"/>
        </w:rPr>
      </w:pPr>
      <w:r w:rsidRPr="00063684">
        <w:rPr>
          <w:rFonts w:cstheme="minorHAnsi"/>
          <w:u w:val="single"/>
        </w:rPr>
        <w:lastRenderedPageBreak/>
        <w:t>Acknowledgement</w:t>
      </w:r>
      <w:r>
        <w:rPr>
          <w:rFonts w:cstheme="minorHAnsi"/>
        </w:rPr>
        <w:t xml:space="preserve">: </w:t>
      </w:r>
    </w:p>
    <w:p w14:paraId="2D2B27F9" w14:textId="6F77FC99" w:rsidR="00063684" w:rsidRDefault="00063684" w:rsidP="00063684">
      <w:pPr>
        <w:spacing w:after="120" w:line="276" w:lineRule="auto"/>
        <w:rPr>
          <w:rFonts w:cstheme="minorHAnsi"/>
        </w:rPr>
      </w:pPr>
      <w:r>
        <w:rPr>
          <w:rFonts w:cstheme="minorHAnsi"/>
        </w:rPr>
        <w:t xml:space="preserve">Brian Hanley: </w:t>
      </w:r>
      <w:r w:rsidR="000C1BAD">
        <w:rPr>
          <w:rFonts w:cstheme="minorHAnsi"/>
        </w:rPr>
        <w:t>Critical inputs &amp; wrote the paper</w:t>
      </w:r>
    </w:p>
    <w:p w14:paraId="27167DD4" w14:textId="5D4F51A8" w:rsidR="00063684" w:rsidRDefault="00063684" w:rsidP="00063684">
      <w:pPr>
        <w:spacing w:after="120" w:line="276" w:lineRule="auto"/>
        <w:rPr>
          <w:rFonts w:cstheme="minorHAnsi"/>
        </w:rPr>
      </w:pPr>
      <w:r>
        <w:rPr>
          <w:rFonts w:cstheme="minorHAnsi"/>
        </w:rPr>
        <w:t>Candice A Roufosse:</w:t>
      </w:r>
      <w:r w:rsidR="000C1BAD">
        <w:rPr>
          <w:rFonts w:cstheme="minorHAnsi"/>
        </w:rPr>
        <w:t xml:space="preserve"> Critical inputs</w:t>
      </w:r>
    </w:p>
    <w:p w14:paraId="1B27C61B" w14:textId="5E40C052" w:rsidR="00063684" w:rsidRDefault="00063684" w:rsidP="00063684">
      <w:pPr>
        <w:spacing w:after="120" w:line="276" w:lineRule="auto"/>
        <w:rPr>
          <w:rFonts w:cstheme="minorHAnsi"/>
        </w:rPr>
      </w:pPr>
      <w:r>
        <w:rPr>
          <w:rFonts w:cstheme="minorHAnsi"/>
        </w:rPr>
        <w:t>Michael Osborn:</w:t>
      </w:r>
      <w:r w:rsidR="000C1BAD">
        <w:rPr>
          <w:rFonts w:cstheme="minorHAnsi"/>
        </w:rPr>
        <w:t xml:space="preserve"> Critical inputs</w:t>
      </w:r>
    </w:p>
    <w:p w14:paraId="6457BC1B" w14:textId="352589C3" w:rsidR="00063684" w:rsidRDefault="00063684" w:rsidP="00063684">
      <w:pPr>
        <w:spacing w:after="120" w:line="276" w:lineRule="auto"/>
        <w:rPr>
          <w:rFonts w:cstheme="minorHAnsi"/>
        </w:rPr>
      </w:pPr>
      <w:r>
        <w:rPr>
          <w:rFonts w:cstheme="minorHAnsi"/>
        </w:rPr>
        <w:t>Kikkeri N Naresh:</w:t>
      </w:r>
      <w:r w:rsidR="000C1BAD">
        <w:rPr>
          <w:rFonts w:cstheme="minorHAnsi"/>
        </w:rPr>
        <w:t xml:space="preserve"> Critical inputs &amp; wrote the paper</w:t>
      </w:r>
    </w:p>
    <w:p w14:paraId="53AB0E7D" w14:textId="77777777" w:rsidR="00063684" w:rsidRPr="00063684" w:rsidRDefault="00063684" w:rsidP="00063684">
      <w:pPr>
        <w:spacing w:after="120" w:line="276" w:lineRule="auto"/>
        <w:rPr>
          <w:rFonts w:cstheme="minorHAnsi"/>
        </w:rPr>
      </w:pPr>
    </w:p>
    <w:sectPr w:rsidR="00063684" w:rsidRPr="0006368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D94565" w14:textId="77777777" w:rsidR="000A351B" w:rsidRDefault="000A351B" w:rsidP="00651669">
      <w:pPr>
        <w:spacing w:after="0" w:line="240" w:lineRule="auto"/>
      </w:pPr>
      <w:r>
        <w:separator/>
      </w:r>
    </w:p>
  </w:endnote>
  <w:endnote w:type="continuationSeparator" w:id="0">
    <w:p w14:paraId="1CEEA698" w14:textId="77777777" w:rsidR="000A351B" w:rsidRDefault="000A351B" w:rsidP="00651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7436684"/>
      <w:docPartObj>
        <w:docPartGallery w:val="Page Numbers (Bottom of Page)"/>
        <w:docPartUnique/>
      </w:docPartObj>
    </w:sdtPr>
    <w:sdtEndPr>
      <w:rPr>
        <w:noProof/>
      </w:rPr>
    </w:sdtEndPr>
    <w:sdtContent>
      <w:p w14:paraId="6B372CA5" w14:textId="7DAF0971" w:rsidR="00651669" w:rsidRDefault="006516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0DA4DF" w14:textId="77777777" w:rsidR="00651669" w:rsidRDefault="00651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8D68E7" w14:textId="77777777" w:rsidR="000A351B" w:rsidRDefault="000A351B" w:rsidP="00651669">
      <w:pPr>
        <w:spacing w:after="0" w:line="240" w:lineRule="auto"/>
      </w:pPr>
      <w:r>
        <w:separator/>
      </w:r>
    </w:p>
  </w:footnote>
  <w:footnote w:type="continuationSeparator" w:id="0">
    <w:p w14:paraId="226631C6" w14:textId="77777777" w:rsidR="000A351B" w:rsidRDefault="000A351B" w:rsidP="006516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021C8"/>
    <w:multiLevelType w:val="hybridMultilevel"/>
    <w:tmpl w:val="4822B76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F23"/>
    <w:rsid w:val="00005D0E"/>
    <w:rsid w:val="00006277"/>
    <w:rsid w:val="00017D97"/>
    <w:rsid w:val="0002503C"/>
    <w:rsid w:val="00035775"/>
    <w:rsid w:val="00046036"/>
    <w:rsid w:val="00050073"/>
    <w:rsid w:val="00054C19"/>
    <w:rsid w:val="00056D64"/>
    <w:rsid w:val="00063684"/>
    <w:rsid w:val="00067A14"/>
    <w:rsid w:val="000A351B"/>
    <w:rsid w:val="000C1BAD"/>
    <w:rsid w:val="000E4F62"/>
    <w:rsid w:val="000E683C"/>
    <w:rsid w:val="00105458"/>
    <w:rsid w:val="001138F4"/>
    <w:rsid w:val="00116AEB"/>
    <w:rsid w:val="00123F9E"/>
    <w:rsid w:val="001331CB"/>
    <w:rsid w:val="00145B17"/>
    <w:rsid w:val="001501A6"/>
    <w:rsid w:val="0016067D"/>
    <w:rsid w:val="00187EA5"/>
    <w:rsid w:val="00193143"/>
    <w:rsid w:val="001A2115"/>
    <w:rsid w:val="001A7D7A"/>
    <w:rsid w:val="001B1E01"/>
    <w:rsid w:val="001C757C"/>
    <w:rsid w:val="001D3133"/>
    <w:rsid w:val="001D6628"/>
    <w:rsid w:val="001F463B"/>
    <w:rsid w:val="00206BC2"/>
    <w:rsid w:val="00217E72"/>
    <w:rsid w:val="00220F22"/>
    <w:rsid w:val="002416BD"/>
    <w:rsid w:val="00263FF1"/>
    <w:rsid w:val="0026602A"/>
    <w:rsid w:val="002709A9"/>
    <w:rsid w:val="00297CE5"/>
    <w:rsid w:val="002B4FCB"/>
    <w:rsid w:val="002E56EA"/>
    <w:rsid w:val="00304675"/>
    <w:rsid w:val="00334C2F"/>
    <w:rsid w:val="00352FE8"/>
    <w:rsid w:val="003709FE"/>
    <w:rsid w:val="00381F9B"/>
    <w:rsid w:val="0038757A"/>
    <w:rsid w:val="00392699"/>
    <w:rsid w:val="003B1AE6"/>
    <w:rsid w:val="003B7084"/>
    <w:rsid w:val="003C04F5"/>
    <w:rsid w:val="003D60F3"/>
    <w:rsid w:val="003D72DE"/>
    <w:rsid w:val="003E44DF"/>
    <w:rsid w:val="003F0287"/>
    <w:rsid w:val="00410AB6"/>
    <w:rsid w:val="004321DB"/>
    <w:rsid w:val="004843E4"/>
    <w:rsid w:val="0048729B"/>
    <w:rsid w:val="004940B5"/>
    <w:rsid w:val="004C67FA"/>
    <w:rsid w:val="004C6B10"/>
    <w:rsid w:val="004E47AF"/>
    <w:rsid w:val="004E560F"/>
    <w:rsid w:val="004E64DB"/>
    <w:rsid w:val="004E7599"/>
    <w:rsid w:val="00502409"/>
    <w:rsid w:val="00502C19"/>
    <w:rsid w:val="00510843"/>
    <w:rsid w:val="00514E58"/>
    <w:rsid w:val="0053074E"/>
    <w:rsid w:val="00540360"/>
    <w:rsid w:val="00543628"/>
    <w:rsid w:val="00584CF8"/>
    <w:rsid w:val="00586F30"/>
    <w:rsid w:val="00587BF7"/>
    <w:rsid w:val="00592AAE"/>
    <w:rsid w:val="005A3EAA"/>
    <w:rsid w:val="005C4775"/>
    <w:rsid w:val="005E7C56"/>
    <w:rsid w:val="005F05F6"/>
    <w:rsid w:val="005F06F8"/>
    <w:rsid w:val="005F1E41"/>
    <w:rsid w:val="0061673D"/>
    <w:rsid w:val="00650044"/>
    <w:rsid w:val="00651669"/>
    <w:rsid w:val="00652B0D"/>
    <w:rsid w:val="00660AA3"/>
    <w:rsid w:val="00675E31"/>
    <w:rsid w:val="00680ABA"/>
    <w:rsid w:val="006B618D"/>
    <w:rsid w:val="006F5E8B"/>
    <w:rsid w:val="006F71FC"/>
    <w:rsid w:val="007068D7"/>
    <w:rsid w:val="00721204"/>
    <w:rsid w:val="007261E2"/>
    <w:rsid w:val="00737F16"/>
    <w:rsid w:val="0076664B"/>
    <w:rsid w:val="00767414"/>
    <w:rsid w:val="007820F5"/>
    <w:rsid w:val="007A313A"/>
    <w:rsid w:val="007A3F51"/>
    <w:rsid w:val="007C37B7"/>
    <w:rsid w:val="007F6563"/>
    <w:rsid w:val="0083494B"/>
    <w:rsid w:val="0083650D"/>
    <w:rsid w:val="008527C5"/>
    <w:rsid w:val="00864D4B"/>
    <w:rsid w:val="0088248C"/>
    <w:rsid w:val="00890C6B"/>
    <w:rsid w:val="008B2DF2"/>
    <w:rsid w:val="008B431A"/>
    <w:rsid w:val="008B6B62"/>
    <w:rsid w:val="008D6140"/>
    <w:rsid w:val="008E6B46"/>
    <w:rsid w:val="008F19BC"/>
    <w:rsid w:val="008F20F2"/>
    <w:rsid w:val="00905AAC"/>
    <w:rsid w:val="00906D37"/>
    <w:rsid w:val="00910721"/>
    <w:rsid w:val="0091235E"/>
    <w:rsid w:val="009338AE"/>
    <w:rsid w:val="00981FA7"/>
    <w:rsid w:val="0098333C"/>
    <w:rsid w:val="00993B52"/>
    <w:rsid w:val="009B3A2F"/>
    <w:rsid w:val="009D56D8"/>
    <w:rsid w:val="009F1228"/>
    <w:rsid w:val="009F2BBB"/>
    <w:rsid w:val="009F6AEE"/>
    <w:rsid w:val="009F7B69"/>
    <w:rsid w:val="009F7EF1"/>
    <w:rsid w:val="00A0003A"/>
    <w:rsid w:val="00A06B9F"/>
    <w:rsid w:val="00A071B8"/>
    <w:rsid w:val="00A11218"/>
    <w:rsid w:val="00A3082F"/>
    <w:rsid w:val="00A36ED9"/>
    <w:rsid w:val="00A40107"/>
    <w:rsid w:val="00A47A6D"/>
    <w:rsid w:val="00A5365C"/>
    <w:rsid w:val="00A75BD8"/>
    <w:rsid w:val="00A9147C"/>
    <w:rsid w:val="00A968DC"/>
    <w:rsid w:val="00A97893"/>
    <w:rsid w:val="00AA79E7"/>
    <w:rsid w:val="00AB4AC6"/>
    <w:rsid w:val="00AD7F93"/>
    <w:rsid w:val="00AE71F1"/>
    <w:rsid w:val="00AF7533"/>
    <w:rsid w:val="00B079F1"/>
    <w:rsid w:val="00B16112"/>
    <w:rsid w:val="00B2275E"/>
    <w:rsid w:val="00B23C57"/>
    <w:rsid w:val="00B435AE"/>
    <w:rsid w:val="00B438FE"/>
    <w:rsid w:val="00B46DE3"/>
    <w:rsid w:val="00B667B8"/>
    <w:rsid w:val="00B74E54"/>
    <w:rsid w:val="00B8165F"/>
    <w:rsid w:val="00BA39F2"/>
    <w:rsid w:val="00BB0246"/>
    <w:rsid w:val="00BB5FDF"/>
    <w:rsid w:val="00BD4679"/>
    <w:rsid w:val="00C11B0F"/>
    <w:rsid w:val="00C135C9"/>
    <w:rsid w:val="00C256B1"/>
    <w:rsid w:val="00C26FC8"/>
    <w:rsid w:val="00C6017F"/>
    <w:rsid w:val="00C667BF"/>
    <w:rsid w:val="00C76BEE"/>
    <w:rsid w:val="00C97366"/>
    <w:rsid w:val="00CA020A"/>
    <w:rsid w:val="00CB6C7C"/>
    <w:rsid w:val="00CC4C0F"/>
    <w:rsid w:val="00CD4B39"/>
    <w:rsid w:val="00CE25F8"/>
    <w:rsid w:val="00D3098E"/>
    <w:rsid w:val="00D32FDE"/>
    <w:rsid w:val="00D57F23"/>
    <w:rsid w:val="00D60E79"/>
    <w:rsid w:val="00D62276"/>
    <w:rsid w:val="00D6340D"/>
    <w:rsid w:val="00D81956"/>
    <w:rsid w:val="00D8249B"/>
    <w:rsid w:val="00D82F5B"/>
    <w:rsid w:val="00DA4E9A"/>
    <w:rsid w:val="00DA5381"/>
    <w:rsid w:val="00DA777B"/>
    <w:rsid w:val="00DC6BED"/>
    <w:rsid w:val="00DE44D5"/>
    <w:rsid w:val="00E10BCF"/>
    <w:rsid w:val="00E17034"/>
    <w:rsid w:val="00E20356"/>
    <w:rsid w:val="00E23146"/>
    <w:rsid w:val="00E351E5"/>
    <w:rsid w:val="00E36A4E"/>
    <w:rsid w:val="00E44123"/>
    <w:rsid w:val="00E65CFE"/>
    <w:rsid w:val="00E66399"/>
    <w:rsid w:val="00E66DEC"/>
    <w:rsid w:val="00E85409"/>
    <w:rsid w:val="00E93FC3"/>
    <w:rsid w:val="00EA4A2C"/>
    <w:rsid w:val="00ED5DA8"/>
    <w:rsid w:val="00ED6984"/>
    <w:rsid w:val="00EE005C"/>
    <w:rsid w:val="00EE2639"/>
    <w:rsid w:val="00EE2977"/>
    <w:rsid w:val="00EF53C2"/>
    <w:rsid w:val="00F137CE"/>
    <w:rsid w:val="00F3425A"/>
    <w:rsid w:val="00F36965"/>
    <w:rsid w:val="00F60266"/>
    <w:rsid w:val="00F709E0"/>
    <w:rsid w:val="00F717BB"/>
    <w:rsid w:val="00F81215"/>
    <w:rsid w:val="00F85D57"/>
    <w:rsid w:val="00F9283C"/>
    <w:rsid w:val="00F95DB3"/>
    <w:rsid w:val="00F96BAE"/>
    <w:rsid w:val="00FB0545"/>
    <w:rsid w:val="00FB2E48"/>
    <w:rsid w:val="00FC7940"/>
    <w:rsid w:val="00FD2656"/>
    <w:rsid w:val="00FD7B42"/>
    <w:rsid w:val="00FE3B48"/>
    <w:rsid w:val="00FF6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0A19A"/>
  <w15:chartTrackingRefBased/>
  <w15:docId w15:val="{4B1EE583-A7C6-4507-AA73-1CC181DDF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1228"/>
    <w:rPr>
      <w:color w:val="0563C1" w:themeColor="hyperlink"/>
      <w:u w:val="single"/>
    </w:rPr>
  </w:style>
  <w:style w:type="character" w:customStyle="1" w:styleId="UnresolvedMention1">
    <w:name w:val="Unresolved Mention1"/>
    <w:basedOn w:val="DefaultParagraphFont"/>
    <w:uiPriority w:val="99"/>
    <w:semiHidden/>
    <w:unhideWhenUsed/>
    <w:rsid w:val="009F1228"/>
    <w:rPr>
      <w:color w:val="605E5C"/>
      <w:shd w:val="clear" w:color="auto" w:fill="E1DFDD"/>
    </w:rPr>
  </w:style>
  <w:style w:type="paragraph" w:styleId="ListParagraph">
    <w:name w:val="List Paragraph"/>
    <w:basedOn w:val="Normal"/>
    <w:uiPriority w:val="34"/>
    <w:qFormat/>
    <w:rsid w:val="007A313A"/>
    <w:pPr>
      <w:spacing w:after="0" w:line="240" w:lineRule="auto"/>
      <w:ind w:left="720"/>
      <w:contextualSpacing/>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516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669"/>
  </w:style>
  <w:style w:type="paragraph" w:styleId="Footer">
    <w:name w:val="footer"/>
    <w:basedOn w:val="Normal"/>
    <w:link w:val="FooterChar"/>
    <w:uiPriority w:val="99"/>
    <w:unhideWhenUsed/>
    <w:rsid w:val="006516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669"/>
  </w:style>
  <w:style w:type="paragraph" w:styleId="BalloonText">
    <w:name w:val="Balloon Text"/>
    <w:basedOn w:val="Normal"/>
    <w:link w:val="BalloonTextChar"/>
    <w:uiPriority w:val="99"/>
    <w:semiHidden/>
    <w:unhideWhenUsed/>
    <w:rsid w:val="00FB2E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2E48"/>
    <w:rPr>
      <w:rFonts w:ascii="Segoe UI" w:hAnsi="Segoe UI" w:cs="Segoe UI"/>
      <w:sz w:val="18"/>
      <w:szCs w:val="18"/>
    </w:rPr>
  </w:style>
  <w:style w:type="character" w:styleId="CommentReference">
    <w:name w:val="annotation reference"/>
    <w:basedOn w:val="DefaultParagraphFont"/>
    <w:uiPriority w:val="99"/>
    <w:semiHidden/>
    <w:unhideWhenUsed/>
    <w:rsid w:val="00F9283C"/>
    <w:rPr>
      <w:sz w:val="16"/>
      <w:szCs w:val="16"/>
    </w:rPr>
  </w:style>
  <w:style w:type="paragraph" w:styleId="CommentText">
    <w:name w:val="annotation text"/>
    <w:basedOn w:val="Normal"/>
    <w:link w:val="CommentTextChar"/>
    <w:uiPriority w:val="99"/>
    <w:semiHidden/>
    <w:unhideWhenUsed/>
    <w:rsid w:val="00F9283C"/>
    <w:pPr>
      <w:spacing w:line="240" w:lineRule="auto"/>
    </w:pPr>
    <w:rPr>
      <w:sz w:val="20"/>
      <w:szCs w:val="20"/>
    </w:rPr>
  </w:style>
  <w:style w:type="character" w:customStyle="1" w:styleId="CommentTextChar">
    <w:name w:val="Comment Text Char"/>
    <w:basedOn w:val="DefaultParagraphFont"/>
    <w:link w:val="CommentText"/>
    <w:uiPriority w:val="99"/>
    <w:semiHidden/>
    <w:rsid w:val="00F9283C"/>
    <w:rPr>
      <w:sz w:val="20"/>
      <w:szCs w:val="20"/>
    </w:rPr>
  </w:style>
  <w:style w:type="paragraph" w:styleId="CommentSubject">
    <w:name w:val="annotation subject"/>
    <w:basedOn w:val="CommentText"/>
    <w:next w:val="CommentText"/>
    <w:link w:val="CommentSubjectChar"/>
    <w:uiPriority w:val="99"/>
    <w:semiHidden/>
    <w:unhideWhenUsed/>
    <w:rsid w:val="00F9283C"/>
    <w:rPr>
      <w:b/>
      <w:bCs/>
    </w:rPr>
  </w:style>
  <w:style w:type="character" w:customStyle="1" w:styleId="CommentSubjectChar">
    <w:name w:val="Comment Subject Char"/>
    <w:basedOn w:val="CommentTextChar"/>
    <w:link w:val="CommentSubject"/>
    <w:uiPriority w:val="99"/>
    <w:semiHidden/>
    <w:rsid w:val="00F9283C"/>
    <w:rPr>
      <w:b/>
      <w:bCs/>
      <w:sz w:val="20"/>
      <w:szCs w:val="20"/>
    </w:rPr>
  </w:style>
  <w:style w:type="character" w:styleId="UnresolvedMention">
    <w:name w:val="Unresolved Mention"/>
    <w:basedOn w:val="DefaultParagraphFont"/>
    <w:uiPriority w:val="99"/>
    <w:semiHidden/>
    <w:unhideWhenUsed/>
    <w:rsid w:val="004E7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52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vid19treatmentguidelines.nih.gov/therapeutic-options-under-investigation/"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CAC81A7054D940920F9B60845AA62E" ma:contentTypeVersion="10" ma:contentTypeDescription="Create a new document." ma:contentTypeScope="" ma:versionID="52813d1495dce0ece265bc2f486cf05f">
  <xsd:schema xmlns:xsd="http://www.w3.org/2001/XMLSchema" xmlns:xs="http://www.w3.org/2001/XMLSchema" xmlns:p="http://schemas.microsoft.com/office/2006/metadata/properties" xmlns:ns3="a880f6b7-14ae-4326-b4ca-599fa48d4fe8" targetNamespace="http://schemas.microsoft.com/office/2006/metadata/properties" ma:root="true" ma:fieldsID="efa7dc14bb58722e30038a34192e5301" ns3:_="">
    <xsd:import namespace="a880f6b7-14ae-4326-b4ca-599fa48d4fe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80f6b7-14ae-4326-b4ca-599fa48d4f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Wan20</b:Tag>
    <b:SourceType>JournalArticle</b:SourceType>
    <b:Guid>{BE3CD31A-4499-4019-AA09-00AB33986D06}</b:Guid>
    <b:Author>
      <b:Author>
        <b:NameList>
          <b:Person>
            <b:Last>Wang</b:Last>
            <b:First>Dawei</b:First>
          </b:Person>
          <b:Person>
            <b:Last>Hu</b:Last>
            <b:First>Bo</b:First>
          </b:Person>
          <b:Person>
            <b:Last>Hu</b:Last>
            <b:First>Chang</b:First>
          </b:Person>
        </b:NameList>
      </b:Author>
    </b:Author>
    <b:Title>Clinical characteristics of 138 hospitalized patients with 2019 novel coronavirus–infected pneumonia in Wuhan, China</b:Title>
    <b:Year>2020</b:Year>
    <b:JournalName>JAMA</b:JournalName>
    <b:RefOrder>1</b:RefOrder>
  </b:Source>
</b:Sources>
</file>

<file path=customXml/itemProps1.xml><?xml version="1.0" encoding="utf-8"?>
<ds:datastoreItem xmlns:ds="http://schemas.openxmlformats.org/officeDocument/2006/customXml" ds:itemID="{0D25E089-80B2-4A55-AE7D-D92E18BD4E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134E0E-1243-46A6-9460-29A6B7538326}">
  <ds:schemaRefs>
    <ds:schemaRef ds:uri="http://schemas.microsoft.com/sharepoint/v3/contenttype/forms"/>
  </ds:schemaRefs>
</ds:datastoreItem>
</file>

<file path=customXml/itemProps3.xml><?xml version="1.0" encoding="utf-8"?>
<ds:datastoreItem xmlns:ds="http://schemas.openxmlformats.org/officeDocument/2006/customXml" ds:itemID="{1619DA96-D07C-4EC1-88EB-0200F9FD8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80f6b7-14ae-4326-b4ca-599fa48d4f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731967-B4F6-4E4A-9DE6-416D73FDF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1799</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Naresh, Kikkeri</dc:creator>
  <cp:keywords/>
  <dc:description/>
  <cp:lastModifiedBy>Naresh, Kikkeri</cp:lastModifiedBy>
  <cp:revision>20</cp:revision>
  <dcterms:created xsi:type="dcterms:W3CDTF">2020-05-03T11:31:00Z</dcterms:created>
  <dcterms:modified xsi:type="dcterms:W3CDTF">2020-05-06T06:50:00Z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0x010100C0CAC81A7054D940920F9B60845AA62E</vt:lpwstr>
  </property>
</Properties>
</file>