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4FBB31" w14:textId="031CAEAF" w:rsidR="005A615C" w:rsidRPr="00D8107F" w:rsidRDefault="00D8107F" w:rsidP="00D8107F">
      <w:pPr>
        <w:spacing w:line="480" w:lineRule="auto"/>
        <w:contextualSpacing/>
        <w:rPr>
          <w:rStyle w:val="Strong"/>
          <w:color w:val="000000" w:themeColor="text1"/>
        </w:rPr>
      </w:pPr>
      <w:bookmarkStart w:id="0" w:name="_GoBack"/>
      <w:bookmarkEnd w:id="0"/>
      <w:r w:rsidRPr="00BB53C4">
        <w:rPr>
          <w:rStyle w:val="Strong"/>
          <w:rFonts w:asciiTheme="majorHAnsi" w:eastAsiaTheme="majorEastAsia" w:hAnsiTheme="majorHAnsi" w:cstheme="majorBidi"/>
          <w:bCs w:val="0"/>
          <w:color w:val="000000" w:themeColor="text1"/>
          <w:sz w:val="28"/>
          <w:szCs w:val="28"/>
          <w:highlight w:val="yellow"/>
        </w:rPr>
        <w:t xml:space="preserve">The inflammation-based index </w:t>
      </w:r>
      <w:r w:rsidR="00286F10" w:rsidRPr="00BB53C4">
        <w:rPr>
          <w:rStyle w:val="Strong"/>
          <w:rFonts w:asciiTheme="majorHAnsi" w:eastAsiaTheme="majorEastAsia" w:hAnsiTheme="majorHAnsi" w:cstheme="majorBidi"/>
          <w:bCs w:val="0"/>
          <w:color w:val="000000" w:themeColor="text1"/>
          <w:sz w:val="28"/>
          <w:szCs w:val="28"/>
          <w:highlight w:val="yellow"/>
        </w:rPr>
        <w:t>can</w:t>
      </w:r>
      <w:r w:rsidR="001B5D3D" w:rsidRPr="00BB53C4">
        <w:rPr>
          <w:rStyle w:val="Strong"/>
          <w:rFonts w:asciiTheme="majorHAnsi" w:eastAsiaTheme="majorEastAsia" w:hAnsiTheme="majorHAnsi" w:cstheme="majorBidi"/>
          <w:bCs w:val="0"/>
          <w:color w:val="000000" w:themeColor="text1"/>
          <w:sz w:val="28"/>
          <w:szCs w:val="28"/>
          <w:highlight w:val="yellow"/>
        </w:rPr>
        <w:t xml:space="preserve"> predict</w:t>
      </w:r>
      <w:r w:rsidRPr="00BB53C4">
        <w:rPr>
          <w:rStyle w:val="Strong"/>
          <w:rFonts w:asciiTheme="majorHAnsi" w:eastAsiaTheme="majorEastAsia" w:hAnsiTheme="majorHAnsi" w:cstheme="majorBidi"/>
          <w:bCs w:val="0"/>
          <w:color w:val="000000" w:themeColor="text1"/>
          <w:sz w:val="28"/>
          <w:szCs w:val="28"/>
          <w:highlight w:val="yellow"/>
        </w:rPr>
        <w:t xml:space="preserve"> response</w:t>
      </w:r>
      <w:r w:rsidR="001B5D3D" w:rsidRPr="00BB53C4">
        <w:rPr>
          <w:rStyle w:val="Strong"/>
          <w:rFonts w:asciiTheme="majorHAnsi" w:eastAsiaTheme="majorEastAsia" w:hAnsiTheme="majorHAnsi" w:cstheme="majorBidi"/>
          <w:bCs w:val="0"/>
          <w:color w:val="000000" w:themeColor="text1"/>
          <w:sz w:val="28"/>
          <w:szCs w:val="28"/>
          <w:highlight w:val="yellow"/>
        </w:rPr>
        <w:t xml:space="preserve"> and improve patient selection in </w:t>
      </w:r>
      <w:r w:rsidR="00226E30" w:rsidRPr="00BB53C4">
        <w:rPr>
          <w:rStyle w:val="Strong"/>
          <w:rFonts w:asciiTheme="majorHAnsi" w:eastAsiaTheme="majorEastAsia" w:hAnsiTheme="majorHAnsi" w:cstheme="majorBidi"/>
          <w:bCs w:val="0"/>
          <w:color w:val="000000" w:themeColor="text1"/>
          <w:sz w:val="28"/>
          <w:szCs w:val="28"/>
          <w:highlight w:val="yellow"/>
        </w:rPr>
        <w:t>NETs</w:t>
      </w:r>
      <w:r w:rsidRPr="00BB53C4">
        <w:rPr>
          <w:rStyle w:val="Strong"/>
          <w:rFonts w:asciiTheme="majorHAnsi" w:eastAsiaTheme="majorEastAsia" w:hAnsiTheme="majorHAnsi" w:cstheme="majorBidi"/>
          <w:bCs w:val="0"/>
          <w:color w:val="000000" w:themeColor="text1"/>
          <w:sz w:val="28"/>
          <w:szCs w:val="28"/>
          <w:highlight w:val="yellow"/>
        </w:rPr>
        <w:t xml:space="preserve"> treated with </w:t>
      </w:r>
      <w:r w:rsidR="00226E30" w:rsidRPr="00BB53C4">
        <w:rPr>
          <w:rStyle w:val="Strong"/>
          <w:rFonts w:asciiTheme="majorHAnsi" w:eastAsiaTheme="majorEastAsia" w:hAnsiTheme="majorHAnsi" w:cstheme="majorBidi"/>
          <w:bCs w:val="0"/>
          <w:color w:val="000000" w:themeColor="text1"/>
          <w:sz w:val="28"/>
          <w:szCs w:val="28"/>
          <w:highlight w:val="yellow"/>
        </w:rPr>
        <w:t>PRRT</w:t>
      </w:r>
      <w:r w:rsidR="00286F10" w:rsidRPr="00BB53C4">
        <w:rPr>
          <w:rStyle w:val="Strong"/>
          <w:rFonts w:asciiTheme="majorHAnsi" w:eastAsiaTheme="majorEastAsia" w:hAnsiTheme="majorHAnsi" w:cstheme="majorBidi"/>
          <w:bCs w:val="0"/>
          <w:color w:val="000000" w:themeColor="text1"/>
          <w:sz w:val="28"/>
          <w:szCs w:val="28"/>
          <w:highlight w:val="yellow"/>
        </w:rPr>
        <w:t>: a pilot study</w:t>
      </w:r>
    </w:p>
    <w:p w14:paraId="16BAE0F7" w14:textId="14E06079" w:rsidR="00605A61" w:rsidRPr="00D8107F" w:rsidRDefault="00605A61" w:rsidP="00D8107F">
      <w:pPr>
        <w:spacing w:line="480" w:lineRule="auto"/>
        <w:contextualSpacing/>
        <w:outlineLvl w:val="0"/>
        <w:rPr>
          <w:rStyle w:val="Strong"/>
          <w:b w:val="0"/>
          <w:color w:val="000000" w:themeColor="text1"/>
        </w:rPr>
      </w:pPr>
      <w:r w:rsidRPr="00D8107F">
        <w:rPr>
          <w:rStyle w:val="Strong"/>
          <w:b w:val="0"/>
          <w:color w:val="000000" w:themeColor="text1"/>
        </w:rPr>
        <w:t>Running title: IBI predicts response to PRRT</w:t>
      </w:r>
    </w:p>
    <w:p w14:paraId="2031DB66" w14:textId="77777777" w:rsidR="00605A61" w:rsidRPr="00D8107F" w:rsidRDefault="00605A61" w:rsidP="00D8107F">
      <w:pPr>
        <w:spacing w:line="480" w:lineRule="auto"/>
        <w:contextualSpacing/>
        <w:rPr>
          <w:rStyle w:val="Strong"/>
          <w:b w:val="0"/>
          <w:color w:val="000000" w:themeColor="text1"/>
        </w:rPr>
      </w:pPr>
    </w:p>
    <w:p w14:paraId="40226B97" w14:textId="7F0D7D33" w:rsidR="00605A61" w:rsidRPr="00D8107F" w:rsidRDefault="00605A61" w:rsidP="00D8107F">
      <w:pPr>
        <w:spacing w:line="480" w:lineRule="auto"/>
        <w:contextualSpacing/>
        <w:outlineLvl w:val="0"/>
        <w:rPr>
          <w:rStyle w:val="Strong"/>
          <w:b w:val="0"/>
          <w:color w:val="000000" w:themeColor="text1"/>
          <w:vertAlign w:val="superscript"/>
        </w:rPr>
      </w:pPr>
      <w:r w:rsidRPr="00D8107F">
        <w:rPr>
          <w:rStyle w:val="Strong"/>
          <w:b w:val="0"/>
          <w:color w:val="000000" w:themeColor="text1"/>
        </w:rPr>
        <w:t>J</w:t>
      </w:r>
      <w:r w:rsidR="00286F10">
        <w:rPr>
          <w:rStyle w:val="Strong"/>
          <w:b w:val="0"/>
          <w:color w:val="000000" w:themeColor="text1"/>
        </w:rPr>
        <w:t xml:space="preserve">ames </w:t>
      </w:r>
      <w:r w:rsidRPr="00D8107F">
        <w:rPr>
          <w:rStyle w:val="Strong"/>
          <w:b w:val="0"/>
          <w:color w:val="000000" w:themeColor="text1"/>
        </w:rPr>
        <w:t>R</w:t>
      </w:r>
      <w:r w:rsidR="00A94E61" w:rsidRPr="00D8107F">
        <w:rPr>
          <w:rStyle w:val="Strong"/>
          <w:b w:val="0"/>
          <w:color w:val="000000" w:themeColor="text1"/>
        </w:rPr>
        <w:t>.</w:t>
      </w:r>
      <w:r w:rsidRPr="00D8107F">
        <w:rPr>
          <w:rStyle w:val="Strong"/>
          <w:b w:val="0"/>
          <w:color w:val="000000" w:themeColor="text1"/>
        </w:rPr>
        <w:t>M</w:t>
      </w:r>
      <w:r w:rsidR="00A94E61" w:rsidRPr="00D8107F">
        <w:rPr>
          <w:rStyle w:val="Strong"/>
          <w:b w:val="0"/>
          <w:color w:val="000000" w:themeColor="text1"/>
        </w:rPr>
        <w:t>.</w:t>
      </w:r>
      <w:r w:rsidRPr="00D8107F">
        <w:rPr>
          <w:rStyle w:val="Strong"/>
          <w:b w:val="0"/>
          <w:color w:val="000000" w:themeColor="text1"/>
        </w:rPr>
        <w:t xml:space="preserve"> Black</w:t>
      </w:r>
      <w:r w:rsidRPr="00D8107F">
        <w:rPr>
          <w:rStyle w:val="Strong"/>
          <w:b w:val="0"/>
          <w:color w:val="000000" w:themeColor="text1"/>
          <w:vertAlign w:val="superscript"/>
        </w:rPr>
        <w:t>1</w:t>
      </w:r>
      <w:r w:rsidRPr="00D8107F">
        <w:rPr>
          <w:rStyle w:val="Strong"/>
          <w:b w:val="0"/>
          <w:color w:val="000000" w:themeColor="text1"/>
        </w:rPr>
        <w:t>,</w:t>
      </w:r>
      <w:r w:rsidR="00F32595" w:rsidRPr="00D8107F">
        <w:rPr>
          <w:rStyle w:val="Strong"/>
          <w:b w:val="0"/>
          <w:color w:val="000000" w:themeColor="text1"/>
        </w:rPr>
        <w:t xml:space="preserve"> S</w:t>
      </w:r>
      <w:r w:rsidR="00286F10">
        <w:rPr>
          <w:rStyle w:val="Strong"/>
          <w:b w:val="0"/>
          <w:color w:val="000000" w:themeColor="text1"/>
        </w:rPr>
        <w:t>tephen</w:t>
      </w:r>
      <w:r w:rsidR="00F32595" w:rsidRPr="00D8107F">
        <w:rPr>
          <w:rStyle w:val="Strong"/>
          <w:b w:val="0"/>
          <w:color w:val="000000" w:themeColor="text1"/>
        </w:rPr>
        <w:t xml:space="preserve"> R. Atkinson</w:t>
      </w:r>
      <w:r w:rsidR="00ED1D78">
        <w:rPr>
          <w:rStyle w:val="Strong"/>
          <w:b w:val="0"/>
          <w:color w:val="000000" w:themeColor="text1"/>
          <w:vertAlign w:val="superscript"/>
        </w:rPr>
        <w:t>1</w:t>
      </w:r>
      <w:r w:rsidR="00F32595" w:rsidRPr="00D8107F">
        <w:rPr>
          <w:rStyle w:val="Strong"/>
          <w:b w:val="0"/>
          <w:color w:val="000000" w:themeColor="text1"/>
        </w:rPr>
        <w:t>,</w:t>
      </w:r>
      <w:r w:rsidRPr="00D8107F">
        <w:rPr>
          <w:rStyle w:val="Strong"/>
          <w:b w:val="0"/>
          <w:color w:val="000000" w:themeColor="text1"/>
        </w:rPr>
        <w:t xml:space="preserve"> A</w:t>
      </w:r>
      <w:r w:rsidR="00286F10">
        <w:rPr>
          <w:rStyle w:val="Strong"/>
          <w:b w:val="0"/>
          <w:color w:val="000000" w:themeColor="text1"/>
        </w:rPr>
        <w:t>mal</w:t>
      </w:r>
      <w:r w:rsidRPr="00D8107F">
        <w:rPr>
          <w:rStyle w:val="Strong"/>
          <w:b w:val="0"/>
          <w:color w:val="000000" w:themeColor="text1"/>
        </w:rPr>
        <w:t xml:space="preserve"> Singh</w:t>
      </w:r>
      <w:r w:rsidRPr="00D8107F">
        <w:rPr>
          <w:rStyle w:val="Strong"/>
          <w:b w:val="0"/>
          <w:color w:val="000000" w:themeColor="text1"/>
          <w:vertAlign w:val="superscript"/>
        </w:rPr>
        <w:t>1</w:t>
      </w:r>
      <w:r w:rsidR="00286F10">
        <w:rPr>
          <w:rStyle w:val="Strong"/>
          <w:b w:val="0"/>
          <w:color w:val="000000" w:themeColor="text1"/>
        </w:rPr>
        <w:t>, Joanne</w:t>
      </w:r>
      <w:r w:rsidR="00F77EAE" w:rsidRPr="00D8107F">
        <w:rPr>
          <w:rStyle w:val="Strong"/>
          <w:b w:val="0"/>
          <w:color w:val="000000" w:themeColor="text1"/>
        </w:rPr>
        <w:t xml:space="preserve"> Evans</w:t>
      </w:r>
      <w:r w:rsidR="003E7308" w:rsidRPr="00D8107F">
        <w:rPr>
          <w:rStyle w:val="Strong"/>
          <w:b w:val="0"/>
          <w:color w:val="000000" w:themeColor="text1"/>
          <w:vertAlign w:val="superscript"/>
        </w:rPr>
        <w:t>1</w:t>
      </w:r>
      <w:r w:rsidR="00F77EAE" w:rsidRPr="00D8107F">
        <w:rPr>
          <w:rStyle w:val="Strong"/>
          <w:b w:val="0"/>
          <w:color w:val="000000" w:themeColor="text1"/>
        </w:rPr>
        <w:t xml:space="preserve"> </w:t>
      </w:r>
      <w:r w:rsidRPr="00D8107F">
        <w:rPr>
          <w:rStyle w:val="Strong"/>
          <w:b w:val="0"/>
          <w:color w:val="000000" w:themeColor="text1"/>
        </w:rPr>
        <w:t>and R</w:t>
      </w:r>
      <w:r w:rsidR="00286F10">
        <w:rPr>
          <w:rStyle w:val="Strong"/>
          <w:b w:val="0"/>
          <w:color w:val="000000" w:themeColor="text1"/>
        </w:rPr>
        <w:t>ohini</w:t>
      </w:r>
      <w:r w:rsidRPr="00D8107F">
        <w:rPr>
          <w:rStyle w:val="Strong"/>
          <w:b w:val="0"/>
          <w:color w:val="000000" w:themeColor="text1"/>
        </w:rPr>
        <w:t xml:space="preserve"> Sharma</w:t>
      </w:r>
      <w:r w:rsidRPr="00D8107F">
        <w:rPr>
          <w:rStyle w:val="Strong"/>
          <w:b w:val="0"/>
          <w:color w:val="000000" w:themeColor="text1"/>
          <w:vertAlign w:val="superscript"/>
        </w:rPr>
        <w:t>1</w:t>
      </w:r>
    </w:p>
    <w:p w14:paraId="74F5EDF3" w14:textId="72B89928" w:rsidR="00605A61" w:rsidRPr="00D8107F" w:rsidRDefault="00605A61" w:rsidP="00D8107F">
      <w:pPr>
        <w:pStyle w:val="NormalWeb"/>
        <w:spacing w:line="480" w:lineRule="auto"/>
        <w:outlineLvl w:val="0"/>
        <w:rPr>
          <w:rFonts w:asciiTheme="minorHAnsi" w:hAnsiTheme="minorHAnsi"/>
          <w:color w:val="000000" w:themeColor="text1"/>
          <w:sz w:val="18"/>
          <w:szCs w:val="18"/>
        </w:rPr>
      </w:pPr>
      <w:r w:rsidRPr="00D8107F">
        <w:rPr>
          <w:rFonts w:asciiTheme="minorHAnsi" w:hAnsiTheme="minorHAnsi"/>
          <w:color w:val="000000" w:themeColor="text1"/>
          <w:sz w:val="18"/>
          <w:szCs w:val="18"/>
          <w:vertAlign w:val="superscript"/>
        </w:rPr>
        <w:t>1</w:t>
      </w:r>
      <w:r w:rsidRPr="00D8107F">
        <w:rPr>
          <w:rFonts w:asciiTheme="minorHAnsi" w:hAnsiTheme="minorHAnsi"/>
          <w:color w:val="000000" w:themeColor="text1"/>
          <w:sz w:val="18"/>
          <w:szCs w:val="18"/>
        </w:rPr>
        <w:t>Department of Surgery and Cancer, Imperial College London, Hammersmith Hospital, Du Cane Road, W120HS London, UK</w:t>
      </w:r>
    </w:p>
    <w:p w14:paraId="7EE1CA56" w14:textId="50BFE8C3" w:rsidR="00605A61" w:rsidRDefault="00605A61" w:rsidP="00D8107F">
      <w:pPr>
        <w:pStyle w:val="NormalWeb"/>
        <w:spacing w:line="480" w:lineRule="auto"/>
        <w:outlineLvl w:val="0"/>
        <w:rPr>
          <w:rFonts w:asciiTheme="minorHAnsi" w:hAnsiTheme="minorHAnsi"/>
          <w:color w:val="000000" w:themeColor="text1"/>
          <w:sz w:val="18"/>
          <w:szCs w:val="18"/>
        </w:rPr>
      </w:pPr>
      <w:r w:rsidRPr="00D8107F">
        <w:rPr>
          <w:rFonts w:asciiTheme="minorHAnsi" w:hAnsiTheme="minorHAnsi"/>
          <w:color w:val="000000" w:themeColor="text1"/>
          <w:sz w:val="18"/>
          <w:szCs w:val="18"/>
        </w:rPr>
        <w:t>Correspondence: Dr Rohini Sharma (</w:t>
      </w:r>
      <w:hyperlink r:id="rId8" w:history="1">
        <w:r w:rsidR="00A94053" w:rsidRPr="004725A4">
          <w:rPr>
            <w:rStyle w:val="Hyperlink"/>
            <w:rFonts w:asciiTheme="minorHAnsi" w:hAnsiTheme="minorHAnsi"/>
            <w:sz w:val="18"/>
            <w:szCs w:val="18"/>
          </w:rPr>
          <w:t>r.sharma@imperial.ac.uk</w:t>
        </w:r>
      </w:hyperlink>
      <w:r w:rsidRPr="00D8107F">
        <w:rPr>
          <w:rFonts w:asciiTheme="minorHAnsi" w:hAnsiTheme="minorHAnsi"/>
          <w:color w:val="000000" w:themeColor="text1"/>
          <w:sz w:val="18"/>
          <w:szCs w:val="18"/>
        </w:rPr>
        <w:t>)</w:t>
      </w:r>
    </w:p>
    <w:p w14:paraId="19B48250" w14:textId="273A600E" w:rsidR="00A94053" w:rsidRDefault="00A94053" w:rsidP="00A94053">
      <w:pPr>
        <w:spacing w:line="480" w:lineRule="auto"/>
        <w:contextualSpacing/>
        <w:outlineLvl w:val="0"/>
        <w:rPr>
          <w:rStyle w:val="Strong"/>
          <w:b w:val="0"/>
          <w:color w:val="000000" w:themeColor="text1"/>
        </w:rPr>
      </w:pPr>
      <w:r>
        <w:rPr>
          <w:rStyle w:val="Strong"/>
          <w:b w:val="0"/>
          <w:color w:val="000000" w:themeColor="text1"/>
        </w:rPr>
        <w:t>Disclosure statement</w:t>
      </w:r>
      <w:r w:rsidRPr="00D8107F">
        <w:rPr>
          <w:rStyle w:val="Strong"/>
          <w:b w:val="0"/>
          <w:color w:val="000000" w:themeColor="text1"/>
        </w:rPr>
        <w:t>:</w:t>
      </w:r>
      <w:r>
        <w:rPr>
          <w:rStyle w:val="Strong"/>
          <w:b w:val="0"/>
          <w:color w:val="000000" w:themeColor="text1"/>
        </w:rPr>
        <w:t xml:space="preserve"> all of</w:t>
      </w:r>
      <w:r w:rsidRPr="00D8107F">
        <w:rPr>
          <w:rStyle w:val="Strong"/>
          <w:b w:val="0"/>
          <w:color w:val="000000" w:themeColor="text1"/>
        </w:rPr>
        <w:t xml:space="preserve"> the authors declare no conflict of interest.</w:t>
      </w:r>
    </w:p>
    <w:p w14:paraId="1943888F" w14:textId="60B9C589" w:rsidR="00A94053" w:rsidRPr="00D8107F" w:rsidRDefault="00E5732E" w:rsidP="00E5732E">
      <w:pPr>
        <w:spacing w:line="480" w:lineRule="auto"/>
        <w:contextualSpacing/>
        <w:outlineLvl w:val="0"/>
        <w:rPr>
          <w:color w:val="000000" w:themeColor="text1"/>
        </w:rPr>
      </w:pPr>
      <w:r w:rsidRPr="00E5732E">
        <w:rPr>
          <w:rStyle w:val="Strong"/>
          <w:b w:val="0"/>
          <w:color w:val="000000" w:themeColor="text1"/>
          <w:highlight w:val="yellow"/>
        </w:rPr>
        <w:t>Word coun</w:t>
      </w:r>
      <w:r w:rsidRPr="00EB139B">
        <w:rPr>
          <w:rStyle w:val="Strong"/>
          <w:b w:val="0"/>
          <w:color w:val="000000" w:themeColor="text1"/>
          <w:highlight w:val="yellow"/>
        </w:rPr>
        <w:t>t:</w:t>
      </w:r>
      <w:r w:rsidR="00286F10">
        <w:rPr>
          <w:rStyle w:val="Strong"/>
          <w:b w:val="0"/>
          <w:color w:val="000000" w:themeColor="text1"/>
          <w:highlight w:val="yellow"/>
        </w:rPr>
        <w:t xml:space="preserve"> 3,869</w:t>
      </w:r>
      <w:r w:rsidR="00EB139B" w:rsidRPr="00EB139B">
        <w:rPr>
          <w:rStyle w:val="Strong"/>
          <w:b w:val="0"/>
          <w:color w:val="000000" w:themeColor="text1"/>
          <w:highlight w:val="yellow"/>
        </w:rPr>
        <w:t xml:space="preserve"> words</w:t>
      </w:r>
    </w:p>
    <w:p w14:paraId="258DA932" w14:textId="77777777" w:rsidR="00C20617" w:rsidRPr="00D8107F" w:rsidRDefault="00C20617" w:rsidP="00D8107F">
      <w:pPr>
        <w:spacing w:line="480" w:lineRule="auto"/>
        <w:rPr>
          <w:rStyle w:val="Strong"/>
          <w:b w:val="0"/>
          <w:color w:val="000000" w:themeColor="text1"/>
        </w:rPr>
      </w:pPr>
      <w:r w:rsidRPr="00D8107F">
        <w:rPr>
          <w:rStyle w:val="Strong"/>
          <w:b w:val="0"/>
          <w:color w:val="000000" w:themeColor="text1"/>
        </w:rPr>
        <w:br w:type="page"/>
      </w:r>
    </w:p>
    <w:p w14:paraId="46A0A986" w14:textId="1C9442AA" w:rsidR="00C20617" w:rsidRPr="00D8107F" w:rsidRDefault="00C20617" w:rsidP="00D8107F">
      <w:pPr>
        <w:pStyle w:val="Heading2"/>
        <w:spacing w:line="480" w:lineRule="auto"/>
        <w:rPr>
          <w:rStyle w:val="Strong"/>
          <w:bCs w:val="0"/>
          <w:color w:val="000000" w:themeColor="text1"/>
        </w:rPr>
      </w:pPr>
      <w:r w:rsidRPr="00D8107F">
        <w:rPr>
          <w:rStyle w:val="Strong"/>
          <w:bCs w:val="0"/>
          <w:color w:val="000000" w:themeColor="text1"/>
        </w:rPr>
        <w:lastRenderedPageBreak/>
        <w:t>Abstract</w:t>
      </w:r>
    </w:p>
    <w:p w14:paraId="7ECE2415" w14:textId="77777777" w:rsidR="00C20617" w:rsidRPr="00D8107F" w:rsidRDefault="00C20617" w:rsidP="00D8107F">
      <w:pPr>
        <w:spacing w:line="480" w:lineRule="auto"/>
        <w:rPr>
          <w:color w:val="000000" w:themeColor="text1"/>
        </w:rPr>
      </w:pPr>
    </w:p>
    <w:p w14:paraId="36A51557" w14:textId="77777777" w:rsidR="000954C8" w:rsidRDefault="000954C8" w:rsidP="000954C8">
      <w:pPr>
        <w:snapToGrid w:val="0"/>
        <w:spacing w:after="240" w:line="480" w:lineRule="auto"/>
        <w:jc w:val="both"/>
        <w:rPr>
          <w:rStyle w:val="Strong"/>
          <w:b w:val="0"/>
          <w:color w:val="000000" w:themeColor="text1"/>
        </w:rPr>
      </w:pPr>
      <w:r>
        <w:rPr>
          <w:rStyle w:val="Strong"/>
          <w:b w:val="0"/>
          <w:color w:val="000000" w:themeColor="text1"/>
        </w:rPr>
        <w:t xml:space="preserve">Background: </w:t>
      </w:r>
      <w:r w:rsidRPr="00D8107F">
        <w:rPr>
          <w:rStyle w:val="Strong"/>
          <w:b w:val="0"/>
          <w:color w:val="000000" w:themeColor="text1"/>
        </w:rPr>
        <w:t xml:space="preserve">Peptide Receptor Radionuclide Therapy (PRRT) is an effective treatment for certain patients with metastatic neuroendocrine tumours (NETs). Tumour response is highly variable; no biomarker in clinical practice has been demonstrated to reliably predict outcome. The Inflammation-Based Index (IBI), derived from serum C-reactive protein and albumin levels, predicts survival and response to treatment in patients in a number of cancer types and was therefore explored in this setting. </w:t>
      </w:r>
    </w:p>
    <w:p w14:paraId="763085F1" w14:textId="77777777" w:rsidR="000954C8" w:rsidRDefault="000954C8" w:rsidP="000954C8">
      <w:pPr>
        <w:snapToGrid w:val="0"/>
        <w:spacing w:after="240" w:line="480" w:lineRule="auto"/>
        <w:jc w:val="both"/>
        <w:rPr>
          <w:rStyle w:val="Strong"/>
          <w:b w:val="0"/>
          <w:color w:val="000000" w:themeColor="text1"/>
        </w:rPr>
      </w:pPr>
      <w:r>
        <w:rPr>
          <w:rStyle w:val="Strong"/>
          <w:b w:val="0"/>
          <w:color w:val="000000" w:themeColor="text1"/>
        </w:rPr>
        <w:t xml:space="preserve">Materials and Methods: </w:t>
      </w:r>
      <w:r w:rsidRPr="00D8107F">
        <w:rPr>
          <w:rStyle w:val="Strong"/>
          <w:b w:val="0"/>
          <w:color w:val="000000" w:themeColor="text1"/>
        </w:rPr>
        <w:t xml:space="preserve">Clinico-pathological data from patients undergoing PRRT for metastatic NETs were collected at baseline and during treatment. The primary endpoint was progression free survival (PFS) with a secondary endpoint of overall survival (OS). Cox regression analysis tested associations between baseline variables and their dynamic changes, and PFS and OS. Decision curve analysis (DCA) was used to determine the net benefit associated with a treatment strategy determined by the baseline IBI and non-response to PRRT. </w:t>
      </w:r>
    </w:p>
    <w:p w14:paraId="3E8F5880" w14:textId="77777777" w:rsidR="000954C8" w:rsidRDefault="000954C8" w:rsidP="000954C8">
      <w:pPr>
        <w:snapToGrid w:val="0"/>
        <w:spacing w:after="240" w:line="480" w:lineRule="auto"/>
        <w:jc w:val="both"/>
        <w:rPr>
          <w:rStyle w:val="Strong"/>
          <w:b w:val="0"/>
          <w:color w:val="000000" w:themeColor="text1"/>
        </w:rPr>
      </w:pPr>
      <w:r>
        <w:rPr>
          <w:rStyle w:val="Strong"/>
          <w:b w:val="0"/>
          <w:color w:val="000000" w:themeColor="text1"/>
        </w:rPr>
        <w:t xml:space="preserve">Results: </w:t>
      </w:r>
      <w:r w:rsidRPr="00D8107F">
        <w:rPr>
          <w:rStyle w:val="Strong"/>
          <w:b w:val="0"/>
          <w:color w:val="000000" w:themeColor="text1"/>
        </w:rPr>
        <w:t>Fifty-five patients were recruited. Baseline IBI &gt;0 was associated with inferior PFS (</w:t>
      </w:r>
      <w:r w:rsidRPr="00D8107F">
        <w:rPr>
          <w:rFonts w:eastAsia="Times New Roman" w:cs="Times New Roman"/>
          <w:color w:val="000000" w:themeColor="text1"/>
          <w:lang w:eastAsia="en-GB"/>
        </w:rPr>
        <w:t>HR 14.2 (95% CI 5.25-38.5), p&lt;0.001</w:t>
      </w:r>
      <w:r w:rsidRPr="00D8107F">
        <w:rPr>
          <w:rStyle w:val="Strong"/>
          <w:b w:val="0"/>
          <w:color w:val="000000" w:themeColor="text1"/>
        </w:rPr>
        <w:t xml:space="preserve">) and OS (p&lt;0.001). Multivariate analysis confirmed an independent association between IBI and PFS (p=0.001). DCA indicated a net clinical benefit at risk thresholds between 0.03 and 0.58. </w:t>
      </w:r>
    </w:p>
    <w:p w14:paraId="1C42FA59" w14:textId="2363E07D" w:rsidR="000954C8" w:rsidRPr="00D8107F" w:rsidRDefault="000954C8" w:rsidP="000954C8">
      <w:pPr>
        <w:snapToGrid w:val="0"/>
        <w:spacing w:after="240" w:line="480" w:lineRule="auto"/>
        <w:jc w:val="both"/>
        <w:rPr>
          <w:rStyle w:val="Strong"/>
          <w:b w:val="0"/>
          <w:color w:val="000000" w:themeColor="text1"/>
        </w:rPr>
      </w:pPr>
      <w:r>
        <w:rPr>
          <w:rStyle w:val="Strong"/>
          <w:b w:val="0"/>
          <w:color w:val="000000" w:themeColor="text1"/>
        </w:rPr>
        <w:t xml:space="preserve">Conclusion: </w:t>
      </w:r>
      <w:r w:rsidRPr="00D8107F">
        <w:rPr>
          <w:rStyle w:val="Strong"/>
          <w:b w:val="0"/>
          <w:color w:val="000000" w:themeColor="text1"/>
        </w:rPr>
        <w:t>Baseline IBI score and its dynamic change through treatment are associated with both PFS and OS. At a risk threshold equivalent to the currently accepted rate of non-response to therapy, implementation of this easily derived score could avoid a significant number of futile treatments.</w:t>
      </w:r>
      <w:r w:rsidR="00286F10">
        <w:rPr>
          <w:rStyle w:val="Strong"/>
          <w:b w:val="0"/>
          <w:color w:val="000000" w:themeColor="text1"/>
        </w:rPr>
        <w:t xml:space="preserve"> </w:t>
      </w:r>
      <w:r w:rsidR="00286F10" w:rsidRPr="00286F10">
        <w:rPr>
          <w:rStyle w:val="Strong"/>
          <w:b w:val="0"/>
          <w:color w:val="000000" w:themeColor="text1"/>
          <w:highlight w:val="yellow"/>
        </w:rPr>
        <w:t>These findings should be validated in additional independent cohorts.</w:t>
      </w:r>
    </w:p>
    <w:p w14:paraId="00C93E6F" w14:textId="0F0E9A25" w:rsidR="00D0727E" w:rsidRPr="00D8107F" w:rsidRDefault="00D0727E" w:rsidP="00D8107F">
      <w:pPr>
        <w:spacing w:line="480" w:lineRule="auto"/>
        <w:contextualSpacing/>
        <w:rPr>
          <w:rStyle w:val="Strong"/>
          <w:b w:val="0"/>
          <w:color w:val="000000" w:themeColor="text1"/>
        </w:rPr>
      </w:pPr>
    </w:p>
    <w:p w14:paraId="49D20DF5" w14:textId="77777777" w:rsidR="005A615C" w:rsidRPr="00D8107F" w:rsidRDefault="005A615C" w:rsidP="00D8107F">
      <w:pPr>
        <w:spacing w:line="480" w:lineRule="auto"/>
        <w:contextualSpacing/>
        <w:rPr>
          <w:rStyle w:val="Strong"/>
          <w:b w:val="0"/>
          <w:color w:val="000000" w:themeColor="text1"/>
        </w:rPr>
      </w:pPr>
    </w:p>
    <w:p w14:paraId="7DC32FB1" w14:textId="55238C13" w:rsidR="004D1AF2" w:rsidRPr="00D8107F" w:rsidRDefault="004D1AF2" w:rsidP="00D8107F">
      <w:pPr>
        <w:spacing w:line="480" w:lineRule="auto"/>
        <w:contextualSpacing/>
        <w:rPr>
          <w:rStyle w:val="Strong"/>
          <w:b w:val="0"/>
          <w:color w:val="000000" w:themeColor="text1"/>
        </w:rPr>
      </w:pPr>
    </w:p>
    <w:p w14:paraId="7D4AFFA2" w14:textId="77777777" w:rsidR="002525C6" w:rsidRPr="002525C6" w:rsidRDefault="004D1AF2" w:rsidP="00D8107F">
      <w:pPr>
        <w:spacing w:line="480" w:lineRule="auto"/>
        <w:contextualSpacing/>
        <w:rPr>
          <w:rStyle w:val="Strong"/>
          <w:rFonts w:cstheme="minorHAnsi"/>
          <w:b w:val="0"/>
          <w:color w:val="000000" w:themeColor="text1"/>
        </w:rPr>
      </w:pPr>
      <w:r w:rsidRPr="002525C6">
        <w:rPr>
          <w:rStyle w:val="Strong"/>
          <w:rFonts w:cstheme="minorHAnsi"/>
          <w:b w:val="0"/>
          <w:color w:val="000000" w:themeColor="text1"/>
        </w:rPr>
        <w:t>Keywords: neuroendocrine tumour, PRRT, prognosis, inflammation, biomarker</w:t>
      </w:r>
      <w:r w:rsidR="00A94E61" w:rsidRPr="002525C6">
        <w:rPr>
          <w:rStyle w:val="Strong"/>
          <w:rFonts w:cstheme="minorHAnsi"/>
          <w:b w:val="0"/>
          <w:color w:val="000000" w:themeColor="text1"/>
        </w:rPr>
        <w:t>, response, IBI, somatostatin</w:t>
      </w:r>
    </w:p>
    <w:p w14:paraId="1CB73991" w14:textId="77777777" w:rsidR="002525C6" w:rsidRPr="002525C6" w:rsidRDefault="002525C6" w:rsidP="00D8107F">
      <w:pPr>
        <w:spacing w:line="480" w:lineRule="auto"/>
        <w:contextualSpacing/>
        <w:rPr>
          <w:rStyle w:val="Strong"/>
          <w:rFonts w:cstheme="minorHAnsi"/>
          <w:b w:val="0"/>
          <w:color w:val="000000" w:themeColor="text1"/>
        </w:rPr>
      </w:pPr>
    </w:p>
    <w:p w14:paraId="15012EBF" w14:textId="22637C0B" w:rsidR="002525C6" w:rsidRDefault="002525C6" w:rsidP="002525C6">
      <w:pPr>
        <w:rPr>
          <w:color w:val="000000"/>
        </w:rPr>
      </w:pPr>
      <w:r w:rsidRPr="002525C6">
        <w:rPr>
          <w:rStyle w:val="Strong"/>
          <w:rFonts w:cstheme="minorHAnsi"/>
          <w:b w:val="0"/>
          <w:color w:val="000000" w:themeColor="text1"/>
        </w:rPr>
        <w:t>Pré</w:t>
      </w:r>
      <w:r>
        <w:rPr>
          <w:rStyle w:val="Strong"/>
          <w:rFonts w:cstheme="minorHAnsi"/>
          <w:b w:val="0"/>
          <w:color w:val="000000" w:themeColor="text1"/>
        </w:rPr>
        <w:t xml:space="preserve">cis: </w:t>
      </w:r>
      <w:r>
        <w:rPr>
          <w:color w:val="000000"/>
        </w:rPr>
        <w:t xml:space="preserve">We define </w:t>
      </w:r>
      <w:r w:rsidRPr="008D41DF">
        <w:rPr>
          <w:color w:val="000000"/>
        </w:rPr>
        <w:t>a</w:t>
      </w:r>
      <w:r>
        <w:rPr>
          <w:color w:val="000000"/>
        </w:rPr>
        <w:t>n</w:t>
      </w:r>
      <w:r w:rsidRPr="002525C6">
        <w:rPr>
          <w:color w:val="000000"/>
        </w:rPr>
        <w:t xml:space="preserve"> </w:t>
      </w:r>
      <w:r w:rsidRPr="008D41DF">
        <w:rPr>
          <w:color w:val="000000"/>
        </w:rPr>
        <w:t xml:space="preserve">inexpensive and easily calculable </w:t>
      </w:r>
      <w:r>
        <w:rPr>
          <w:color w:val="000000"/>
        </w:rPr>
        <w:t>biomarker -</w:t>
      </w:r>
      <w:r w:rsidRPr="008D41DF">
        <w:rPr>
          <w:color w:val="000000"/>
        </w:rPr>
        <w:t xml:space="preserve"> </w:t>
      </w:r>
      <w:r>
        <w:rPr>
          <w:color w:val="000000"/>
        </w:rPr>
        <w:t xml:space="preserve">the ‘Inflammatory-Based Index’ - </w:t>
      </w:r>
      <w:r w:rsidRPr="008D41DF">
        <w:rPr>
          <w:color w:val="000000"/>
        </w:rPr>
        <w:t xml:space="preserve">for response </w:t>
      </w:r>
      <w:r>
        <w:rPr>
          <w:color w:val="000000"/>
        </w:rPr>
        <w:t>in Neuroendocrine Tumours treated with PRRT which could bring significant clinical benefit.</w:t>
      </w:r>
    </w:p>
    <w:p w14:paraId="4151DA57" w14:textId="3ED57807" w:rsidR="00C20617" w:rsidRPr="00D8107F" w:rsidRDefault="00C20617" w:rsidP="00D8107F">
      <w:pPr>
        <w:spacing w:line="480" w:lineRule="auto"/>
        <w:contextualSpacing/>
        <w:rPr>
          <w:rStyle w:val="Strong"/>
          <w:b w:val="0"/>
          <w:color w:val="000000" w:themeColor="text1"/>
        </w:rPr>
      </w:pPr>
      <w:r w:rsidRPr="00D8107F">
        <w:rPr>
          <w:rStyle w:val="Strong"/>
          <w:b w:val="0"/>
          <w:color w:val="000000" w:themeColor="text1"/>
        </w:rPr>
        <w:br w:type="page"/>
      </w:r>
    </w:p>
    <w:p w14:paraId="15188A9D" w14:textId="70E2A145" w:rsidR="001C1554" w:rsidRPr="00D8107F" w:rsidRDefault="001C1554" w:rsidP="00D8107F">
      <w:pPr>
        <w:pStyle w:val="Heading2"/>
        <w:spacing w:line="480" w:lineRule="auto"/>
        <w:rPr>
          <w:rStyle w:val="Strong"/>
          <w:color w:val="000000" w:themeColor="text1"/>
        </w:rPr>
      </w:pPr>
      <w:r w:rsidRPr="00D8107F">
        <w:rPr>
          <w:rStyle w:val="Strong"/>
          <w:color w:val="000000" w:themeColor="text1"/>
        </w:rPr>
        <w:lastRenderedPageBreak/>
        <w:t>Introduction</w:t>
      </w:r>
    </w:p>
    <w:p w14:paraId="7C78E94A" w14:textId="77777777" w:rsidR="00C20617" w:rsidRPr="00D8107F" w:rsidRDefault="00C20617" w:rsidP="00D8107F">
      <w:pPr>
        <w:spacing w:line="480" w:lineRule="auto"/>
        <w:rPr>
          <w:color w:val="000000" w:themeColor="text1"/>
        </w:rPr>
      </w:pPr>
    </w:p>
    <w:p w14:paraId="3447B95C" w14:textId="66FBAD6A" w:rsidR="00C16973" w:rsidRPr="00D8107F" w:rsidRDefault="00BC3295" w:rsidP="00D8107F">
      <w:pPr>
        <w:widowControl w:val="0"/>
        <w:autoSpaceDE w:val="0"/>
        <w:autoSpaceDN w:val="0"/>
        <w:adjustRightInd w:val="0"/>
        <w:snapToGrid w:val="0"/>
        <w:spacing w:after="240" w:line="480" w:lineRule="auto"/>
        <w:jc w:val="both"/>
        <w:rPr>
          <w:color w:val="000000" w:themeColor="text1"/>
        </w:rPr>
      </w:pPr>
      <w:r w:rsidRPr="00D8107F">
        <w:rPr>
          <w:color w:val="000000" w:themeColor="text1"/>
        </w:rPr>
        <w:t xml:space="preserve">Neuroendocrine tumours (NETs) are </w:t>
      </w:r>
      <w:r w:rsidR="00EA3DBE" w:rsidRPr="00D8107F">
        <w:rPr>
          <w:color w:val="000000" w:themeColor="text1"/>
        </w:rPr>
        <w:t>a</w:t>
      </w:r>
      <w:r w:rsidRPr="00D8107F">
        <w:rPr>
          <w:color w:val="000000" w:themeColor="text1"/>
        </w:rPr>
        <w:t xml:space="preserve"> heterogeneous group of neoplasms with varied tumour biology and</w:t>
      </w:r>
      <w:r w:rsidR="00EA3DBE" w:rsidRPr="00D8107F">
        <w:rPr>
          <w:color w:val="000000" w:themeColor="text1"/>
        </w:rPr>
        <w:t xml:space="preserve"> </w:t>
      </w:r>
      <w:r w:rsidR="00E770FD" w:rsidRPr="00D8107F">
        <w:rPr>
          <w:color w:val="000000" w:themeColor="text1"/>
        </w:rPr>
        <w:t>clinic</w:t>
      </w:r>
      <w:r w:rsidR="00F92CA9" w:rsidRPr="00D8107F">
        <w:rPr>
          <w:color w:val="000000" w:themeColor="text1"/>
        </w:rPr>
        <w:t>o</w:t>
      </w:r>
      <w:r w:rsidR="00E770FD" w:rsidRPr="00D8107F">
        <w:rPr>
          <w:color w:val="000000" w:themeColor="text1"/>
        </w:rPr>
        <w:t>-pathological</w:t>
      </w:r>
      <w:r w:rsidRPr="00D8107F">
        <w:rPr>
          <w:color w:val="000000" w:themeColor="text1"/>
        </w:rPr>
        <w:t xml:space="preserve"> characteristics</w:t>
      </w:r>
      <w:r w:rsidR="008A690B" w:rsidRPr="00D8107F">
        <w:rPr>
          <w:color w:val="000000" w:themeColor="text1"/>
        </w:rPr>
        <w:t xml:space="preserve"> that may</w:t>
      </w:r>
      <w:r w:rsidR="00517343" w:rsidRPr="00D8107F">
        <w:rPr>
          <w:color w:val="000000" w:themeColor="text1"/>
        </w:rPr>
        <w:t xml:space="preserve"> be either benign or malignant, </w:t>
      </w:r>
      <w:r w:rsidR="008A690B" w:rsidRPr="00D8107F">
        <w:rPr>
          <w:color w:val="000000" w:themeColor="text1"/>
        </w:rPr>
        <w:t xml:space="preserve">with </w:t>
      </w:r>
      <w:r w:rsidR="00517343" w:rsidRPr="00D8107F">
        <w:rPr>
          <w:color w:val="000000" w:themeColor="text1"/>
        </w:rPr>
        <w:t xml:space="preserve">the latter </w:t>
      </w:r>
      <w:r w:rsidR="00B46AB5" w:rsidRPr="00D8107F">
        <w:rPr>
          <w:color w:val="000000" w:themeColor="text1"/>
        </w:rPr>
        <w:t>invariably carry</w:t>
      </w:r>
      <w:r w:rsidR="00517343" w:rsidRPr="00D8107F">
        <w:rPr>
          <w:color w:val="000000" w:themeColor="text1"/>
        </w:rPr>
        <w:t>ing</w:t>
      </w:r>
      <w:r w:rsidR="00B46AB5" w:rsidRPr="00D8107F">
        <w:rPr>
          <w:color w:val="000000" w:themeColor="text1"/>
        </w:rPr>
        <w:t xml:space="preserve"> a worse</w:t>
      </w:r>
      <w:r w:rsidR="00D0157A" w:rsidRPr="00D8107F">
        <w:rPr>
          <w:color w:val="000000" w:themeColor="text1"/>
        </w:rPr>
        <w:t xml:space="preserve"> prognosis.</w:t>
      </w:r>
      <w:r w:rsidR="00344489" w:rsidRPr="00D8107F">
        <w:rPr>
          <w:color w:val="000000" w:themeColor="text1"/>
        </w:rPr>
        <w:t xml:space="preserve"> </w:t>
      </w:r>
      <w:r w:rsidR="00DF3DFB" w:rsidRPr="00D8107F">
        <w:rPr>
          <w:color w:val="000000" w:themeColor="text1"/>
        </w:rPr>
        <w:t>S</w:t>
      </w:r>
      <w:r w:rsidR="00843A0E" w:rsidRPr="00D8107F">
        <w:rPr>
          <w:color w:val="000000" w:themeColor="text1"/>
        </w:rPr>
        <w:t>urgical</w:t>
      </w:r>
      <w:r w:rsidR="00C16973" w:rsidRPr="00D8107F">
        <w:rPr>
          <w:color w:val="000000" w:themeColor="text1"/>
        </w:rPr>
        <w:t xml:space="preserve"> </w:t>
      </w:r>
      <w:r w:rsidR="00843A0E" w:rsidRPr="00D8107F">
        <w:rPr>
          <w:color w:val="000000" w:themeColor="text1"/>
        </w:rPr>
        <w:t xml:space="preserve">resection </w:t>
      </w:r>
      <w:r w:rsidR="00DF3DFB" w:rsidRPr="00D8107F">
        <w:rPr>
          <w:color w:val="000000" w:themeColor="text1"/>
        </w:rPr>
        <w:t xml:space="preserve">is the only curative intervention </w:t>
      </w:r>
      <w:r w:rsidR="00C16973" w:rsidRPr="00D8107F">
        <w:rPr>
          <w:color w:val="000000" w:themeColor="text1"/>
        </w:rPr>
        <w:t>for NETs</w:t>
      </w:r>
      <w:r w:rsidR="00DF3DFB" w:rsidRPr="00D8107F">
        <w:rPr>
          <w:color w:val="000000" w:themeColor="text1"/>
        </w:rPr>
        <w:t>. However</w:t>
      </w:r>
      <w:r w:rsidR="008A690B" w:rsidRPr="00D8107F">
        <w:rPr>
          <w:color w:val="000000" w:themeColor="text1"/>
        </w:rPr>
        <w:t>,</w:t>
      </w:r>
      <w:r w:rsidR="00EA2C1C" w:rsidRPr="00D8107F">
        <w:rPr>
          <w:color w:val="000000" w:themeColor="text1"/>
        </w:rPr>
        <w:t xml:space="preserve"> </w:t>
      </w:r>
      <w:r w:rsidR="00AB0B70" w:rsidRPr="00D8107F">
        <w:rPr>
          <w:color w:val="000000" w:themeColor="text1"/>
        </w:rPr>
        <w:t xml:space="preserve">the </w:t>
      </w:r>
      <w:r w:rsidR="00DF3DFB" w:rsidRPr="00D8107F">
        <w:rPr>
          <w:color w:val="000000" w:themeColor="text1"/>
        </w:rPr>
        <w:t xml:space="preserve">majority of patients have </w:t>
      </w:r>
      <w:r w:rsidR="00EA2C1C" w:rsidRPr="00D8107F">
        <w:rPr>
          <w:color w:val="000000" w:themeColor="text1"/>
        </w:rPr>
        <w:t>metastatic disease</w:t>
      </w:r>
      <w:r w:rsidR="00AB0B70" w:rsidRPr="00D8107F">
        <w:rPr>
          <w:color w:val="000000" w:themeColor="text1"/>
        </w:rPr>
        <w:t xml:space="preserve"> </w:t>
      </w:r>
      <w:r w:rsidR="00DF3DFB" w:rsidRPr="00D8107F">
        <w:rPr>
          <w:color w:val="000000" w:themeColor="text1"/>
        </w:rPr>
        <w:t>at presentation requiring</w:t>
      </w:r>
      <w:r w:rsidR="00AB0B70" w:rsidRPr="00D8107F">
        <w:rPr>
          <w:color w:val="000000" w:themeColor="text1"/>
        </w:rPr>
        <w:t xml:space="preserve"> systemic therapy wit</w:t>
      </w:r>
      <w:r w:rsidR="00771E79" w:rsidRPr="00D8107F">
        <w:rPr>
          <w:color w:val="000000" w:themeColor="text1"/>
        </w:rPr>
        <w:t>h somatostatin analogue</w:t>
      </w:r>
      <w:r w:rsidR="00AB0B70" w:rsidRPr="00D8107F">
        <w:rPr>
          <w:color w:val="000000" w:themeColor="text1"/>
        </w:rPr>
        <w:t>s</w:t>
      </w:r>
      <w:r w:rsidR="00771E79" w:rsidRPr="00D8107F">
        <w:rPr>
          <w:color w:val="000000" w:themeColor="text1"/>
        </w:rPr>
        <w:t xml:space="preserve"> (SSAs)</w:t>
      </w:r>
      <w:r w:rsidR="00AB0B70" w:rsidRPr="00D8107F">
        <w:rPr>
          <w:color w:val="000000" w:themeColor="text1"/>
        </w:rPr>
        <w:t>, targeted agents or chemotherapy.</w:t>
      </w:r>
      <w:r w:rsidR="00DF3DFB" w:rsidRPr="00D8107F">
        <w:rPr>
          <w:rFonts w:cs="MinionPro-Regular"/>
          <w:color w:val="000000" w:themeColor="text1"/>
        </w:rPr>
        <w:t xml:space="preserve"> Despite </w:t>
      </w:r>
      <w:r w:rsidR="008A690B" w:rsidRPr="00D8107F">
        <w:rPr>
          <w:rFonts w:cs="MinionPro-Regular"/>
          <w:color w:val="000000" w:themeColor="text1"/>
        </w:rPr>
        <w:t>such interventions,</w:t>
      </w:r>
      <w:r w:rsidR="00517343" w:rsidRPr="00D8107F">
        <w:rPr>
          <w:rFonts w:cs="MinionPro-Regular"/>
          <w:color w:val="000000" w:themeColor="text1"/>
        </w:rPr>
        <w:t xml:space="preserve"> </w:t>
      </w:r>
      <w:r w:rsidR="00771E79" w:rsidRPr="00D8107F">
        <w:rPr>
          <w:rFonts w:cs="MinionPro-Regular"/>
          <w:color w:val="000000" w:themeColor="text1"/>
        </w:rPr>
        <w:t xml:space="preserve">the </w:t>
      </w:r>
      <w:r w:rsidR="00517343" w:rsidRPr="00D8107F">
        <w:rPr>
          <w:rFonts w:cs="MinionPro-Regular"/>
          <w:color w:val="000000" w:themeColor="text1"/>
        </w:rPr>
        <w:t xml:space="preserve">prognosis for metastatic NETs remains poor: </w:t>
      </w:r>
      <w:r w:rsidR="00517343" w:rsidRPr="00D8107F">
        <w:rPr>
          <w:color w:val="000000" w:themeColor="text1"/>
        </w:rPr>
        <w:t>gastroenteropancreatic (GEP) NETs</w:t>
      </w:r>
      <w:r w:rsidR="00DF3DFB" w:rsidRPr="00D8107F">
        <w:rPr>
          <w:color w:val="000000" w:themeColor="text1"/>
        </w:rPr>
        <w:t xml:space="preserve"> are </w:t>
      </w:r>
      <w:r w:rsidR="00517343" w:rsidRPr="00D8107F">
        <w:rPr>
          <w:color w:val="000000" w:themeColor="text1"/>
        </w:rPr>
        <w:t>associated with 5-year survival &lt;50% and treatment is given with palliative intent</w:t>
      </w:r>
      <w:r w:rsidR="001B5756" w:rsidRPr="00D8107F">
        <w:rPr>
          <w:color w:val="000000" w:themeColor="text1"/>
        </w:rPr>
        <w:fldChar w:fldCharType="begin" w:fldLock="1"/>
      </w:r>
      <w:r w:rsidR="00B162A4" w:rsidRPr="00D8107F">
        <w:rPr>
          <w:color w:val="000000" w:themeColor="text1"/>
        </w:rPr>
        <w:instrText>ADDIN CSL_CITATION { "citationItems" : [ { "id" : "ITEM-1", "itemData" : { "DOI" : "10.1200/JCO.2007.15.4377", "ISBN" : "1527-7755 (Electronic)\\r0732-183X (Linking)", "ISSN" : "0732183X", "PMID" : "18565894", "abstract" : "PURPOSE Neuroendocrine tumors (NETs) are considered rare tumors and can produce a variety of hormones. In this study, we examined the epidemiology of and prognostic factors for NETs, because a thorough examination of neither had previously been performed. METHODS The Surveillance, Epidemiology, and End Results (SEER) Program registries were searched to identify NET cases from 1973 to 2004. Associated population data were used for incidence and prevalence analyses. Results We identified 35,618 patients with NETs. We observed a significant increase in the reported annual age-adjusted incidence of NETs from 1973 (1.09/100,000) to 2004 (5.25/100,000). Using the SEER 9 registry data, we estimated the 29-year limited-duration prevalence of NETs on January 1, 2004, to be 9,263. Also, the estimated 29-year limited-duration prevalence in the United States on that date was 103,312 cases (35/100,000). The most common primary tumor site varied by race, with the lung being the most common in white patients, and the rectum being the most common in Asian/Pacific Islander, American Indian/Alaskan Native, and African American patients. Additionally, survival duration varied by histologic grade. In multivariate analysis of patients with well-differentiated to moderately differentiated NETs, disease stage, primary tumor site, histologic grade, sex, race, age, and year of diagnosis were predictors of outcome (P &lt; .001). CONCLUSION We observed increased reported incidence of NETs and increased survival durations over time, suggesting that NETs are more prevalent than previously reported. Clinicians need to be become familiar with the natural history and patterns of disease progression, which are characteristic of these tumors.", "author" : [ { "dropping-particle" : "", "family" : "Yao", "given" : "James C.", "non-dropping-particle" : "", "parse-names" : false, "suffix" : "" }, { "dropping-particle" : "", "family" : "Hassan", "given" : "Manal", "non-dropping-particle" : "", "parse-names" : false, "suffix" : "" }, { "dropping-particle" : "", "family" : "Phan", "given" : "Alexandria", "non-dropping-particle" : "", "parse-names" : false, "suffix" : "" }, { "dropping-particle" : "", "family" : "Dagohoy", "given" : "Cecile", "non-dropping-particle" : "", "parse-names" : false, "suffix" : "" }, { "dropping-particle" : "", "family" : "Leary", "given" : "Colleen", "non-dropping-particle" : "", "parse-names" : false, "suffix" : "" }, { "dropping-particle" : "", "family" : "Mares", "given" : "Jeannette E.", "non-dropping-particle" : "", "parse-names" : false, "suffix" : "" }, { "dropping-particle" : "", "family" : "Abdalla", "given" : "Eddie K.", "non-dropping-particle" : "", "parse-names" : false, "suffix" : "" }, { "dropping-particle" : "", "family" : "Fleming", "given" : "Jason B.", "non-dropping-particle" : "", "parse-names" : false, "suffix" : "" }, { "dropping-particle" : "", "family" : "Vauthey", "given" : "Jean Nicolas", "non-dropping-particle" : "", "parse-names" : false, "suffix" : "" }, { "dropping-particle" : "", "family" : "Rashid", "given" : "Asif", "non-dropping-particle" : "", "parse-names" : false, "suffix" : "" }, { "dropping-particle" : "", "family" : "Evans", "given" : "Douglas B.", "non-dropping-particle" : "", "parse-names" : false, "suffix" : "" } ], "container-title" : "Journal of Clinical Oncology", "id" : "ITEM-1", "issue" : "18", "issued" : { "date-parts" : [ [ "2008" ] ] }, "page" : "3063-3072", "title" : "One hundred years after \"carcinoid\": Epidemiology of and prognostic factors for neuroendocrine tumors in 35,825 cases in the United States", "type" : "article-journal", "volume" : "26" }, "uris" : [ "http://www.mendeley.com/documents/?uuid=e6d82510-7cd6-40ff-87f2-92ed3a001122" ] } ], "mendeley" : { "formattedCitation" : "&lt;sup&gt;1&lt;/sup&gt;", "plainTextFormattedCitation" : "1", "previouslyFormattedCitation" : "&lt;sup&gt;1&lt;/sup&gt;" }, "properties" : { "noteIndex" : 0 }, "schema" : "https://github.com/citation-style-language/schema/raw/master/csl-citation.json" }</w:instrText>
      </w:r>
      <w:r w:rsidR="001B5756" w:rsidRPr="00D8107F">
        <w:rPr>
          <w:color w:val="000000" w:themeColor="text1"/>
        </w:rPr>
        <w:fldChar w:fldCharType="separate"/>
      </w:r>
      <w:r w:rsidR="002230F2" w:rsidRPr="00D8107F">
        <w:rPr>
          <w:noProof/>
          <w:color w:val="000000" w:themeColor="text1"/>
          <w:vertAlign w:val="superscript"/>
        </w:rPr>
        <w:t>1</w:t>
      </w:r>
      <w:r w:rsidR="001B5756" w:rsidRPr="00D8107F">
        <w:rPr>
          <w:color w:val="000000" w:themeColor="text1"/>
        </w:rPr>
        <w:fldChar w:fldCharType="end"/>
      </w:r>
      <w:r w:rsidR="00517343" w:rsidRPr="00D8107F">
        <w:rPr>
          <w:color w:val="000000" w:themeColor="text1"/>
        </w:rPr>
        <w:t xml:space="preserve">. </w:t>
      </w:r>
    </w:p>
    <w:p w14:paraId="4A5A0219" w14:textId="4A570BA4" w:rsidR="00447323" w:rsidRPr="00D8107F" w:rsidRDefault="00DF3DFB" w:rsidP="00D8107F">
      <w:pPr>
        <w:autoSpaceDE w:val="0"/>
        <w:autoSpaceDN w:val="0"/>
        <w:adjustRightInd w:val="0"/>
        <w:snapToGrid w:val="0"/>
        <w:spacing w:after="240" w:line="480" w:lineRule="auto"/>
        <w:jc w:val="both"/>
        <w:rPr>
          <w:rFonts w:cs="AdvPSA183"/>
          <w:color w:val="000000" w:themeColor="text1"/>
        </w:rPr>
      </w:pPr>
      <w:r w:rsidRPr="00D8107F">
        <w:rPr>
          <w:rFonts w:cs="MinionPro-Regular"/>
          <w:color w:val="000000" w:themeColor="text1"/>
        </w:rPr>
        <w:t>P</w:t>
      </w:r>
      <w:r w:rsidR="006852FB" w:rsidRPr="00D8107F">
        <w:rPr>
          <w:rFonts w:cs="MinionPro-Regular"/>
          <w:color w:val="000000" w:themeColor="text1"/>
        </w:rPr>
        <w:t>eptide receptor radionuclide therapy (PRRT) has emerged as a</w:t>
      </w:r>
      <w:r w:rsidR="006F6FA6" w:rsidRPr="00D8107F">
        <w:rPr>
          <w:rFonts w:cs="MinionPro-Regular"/>
          <w:color w:val="000000" w:themeColor="text1"/>
        </w:rPr>
        <w:t xml:space="preserve">n effective </w:t>
      </w:r>
      <w:r w:rsidR="006852FB" w:rsidRPr="00D8107F">
        <w:rPr>
          <w:rFonts w:cs="MinionPro-Regular"/>
          <w:color w:val="000000" w:themeColor="text1"/>
        </w:rPr>
        <w:t xml:space="preserve">treatment </w:t>
      </w:r>
      <w:r w:rsidRPr="00D8107F">
        <w:rPr>
          <w:rFonts w:cs="MinionPro-Regular"/>
          <w:color w:val="000000" w:themeColor="text1"/>
        </w:rPr>
        <w:t xml:space="preserve">for </w:t>
      </w:r>
      <w:r w:rsidR="006852FB" w:rsidRPr="00D8107F">
        <w:rPr>
          <w:rFonts w:cs="MinionPro-Regular"/>
          <w:color w:val="000000" w:themeColor="text1"/>
        </w:rPr>
        <w:t>metastatic NETs</w:t>
      </w:r>
      <w:r w:rsidR="00771E79" w:rsidRPr="00D8107F">
        <w:rPr>
          <w:rFonts w:cs="MinionPro-Regular"/>
          <w:color w:val="000000" w:themeColor="text1"/>
        </w:rPr>
        <w:fldChar w:fldCharType="begin" w:fldLock="1"/>
      </w:r>
      <w:r w:rsidR="001D710C" w:rsidRPr="00D8107F">
        <w:rPr>
          <w:rFonts w:cs="MinionPro-Regular"/>
          <w:color w:val="000000" w:themeColor="text1"/>
        </w:rPr>
        <w:instrText>ADDIN CSL_CITATION { "citationItems" : [ { "id" : "ITEM-1", "itemData" : { "DOI" : "10.1016/j.hoc.2015.09.009", "ISSN" : "1558-1977 (Electronic)", "PMID" : "26614376", "abstract" : "Peptide receptor radionuclide therapy (PRRT) is a promising new treatment modality for inoperable or metastasized gastroenteropancreatic neuroendocrine tumors patients. Most studies report objective response rates in 15% to 35% of patients. Progression-free (PFS) and overall survival (OS) compare favorably with that for somatostatin analogues, chemotherapy, or newer, \"targeted\" therapies. Prospective, randomized data regarding the potential PFS and OS benefit of PRRT compared with standard therapies is anticipated.", "author" : [ { "dropping-particle" : "", "family" : "Kwekkeboom", "given" : "Dik J", "non-dropping-particle" : "", "parse-names" : false, "suffix" : "" }, { "dropping-particle" : "", "family" : "Krenning", "given" : "Eric P", "non-dropping-particle" : "", "parse-names" : false, "suffix" : "" } ], "container-title" : "Hematology/oncology clinics of North America", "id" : "ITEM-1", "issue" : "1", "issued" : { "date-parts" : [ [ "2016", "2" ] ] }, "language" : "eng", "page" : "179-191", "publisher-place" : "United States", "title" : "Peptide Receptor Radionuclide Therapy in the Treatment of Neuroendocrine Tumors.", "type" : "article-journal", "volume" : "30" }, "uris" : [ "http://www.mendeley.com/documents/?uuid=bd7bc482-80ad-4487-bbcb-b57d7e408afc" ] } ], "mendeley" : { "formattedCitation" : "&lt;sup&gt;2&lt;/sup&gt;", "plainTextFormattedCitation" : "2", "previouslyFormattedCitation" : "&lt;sup&gt;2&lt;/sup&gt;" }, "properties" : { "noteIndex" : 0 }, "schema" : "https://github.com/citation-style-language/schema/raw/master/csl-citation.json" }</w:instrText>
      </w:r>
      <w:r w:rsidR="00771E79" w:rsidRPr="00D8107F">
        <w:rPr>
          <w:rFonts w:cs="MinionPro-Regular"/>
          <w:color w:val="000000" w:themeColor="text1"/>
        </w:rPr>
        <w:fldChar w:fldCharType="separate"/>
      </w:r>
      <w:r w:rsidR="00771E79" w:rsidRPr="00D8107F">
        <w:rPr>
          <w:rFonts w:cs="MinionPro-Regular"/>
          <w:noProof/>
          <w:color w:val="000000" w:themeColor="text1"/>
          <w:vertAlign w:val="superscript"/>
        </w:rPr>
        <w:t>2</w:t>
      </w:r>
      <w:r w:rsidR="00771E79" w:rsidRPr="00D8107F">
        <w:rPr>
          <w:rFonts w:cs="MinionPro-Regular"/>
          <w:color w:val="000000" w:themeColor="text1"/>
        </w:rPr>
        <w:fldChar w:fldCharType="end"/>
      </w:r>
      <w:r w:rsidR="006852FB" w:rsidRPr="00D8107F">
        <w:rPr>
          <w:rFonts w:cs="MinionPro-Regular"/>
          <w:color w:val="000000" w:themeColor="text1"/>
        </w:rPr>
        <w:t xml:space="preserve">. </w:t>
      </w:r>
      <w:r w:rsidR="0035312E" w:rsidRPr="00D8107F">
        <w:rPr>
          <w:rFonts w:cs="MinionPro-Regular"/>
          <w:color w:val="000000" w:themeColor="text1"/>
        </w:rPr>
        <w:t>PRRT involves administering r</w:t>
      </w:r>
      <w:r w:rsidR="006852FB" w:rsidRPr="00D8107F">
        <w:rPr>
          <w:rFonts w:cs="MinionPro-Regular"/>
          <w:color w:val="000000" w:themeColor="text1"/>
        </w:rPr>
        <w:t>adiolabelled SSAs</w:t>
      </w:r>
      <w:r w:rsidR="004353EE" w:rsidRPr="00D8107F">
        <w:rPr>
          <w:rFonts w:cs="MinionPro-Regular"/>
          <w:color w:val="000000" w:themeColor="text1"/>
        </w:rPr>
        <w:t>, commonly</w:t>
      </w:r>
      <w:r w:rsidR="006852FB" w:rsidRPr="00D8107F">
        <w:rPr>
          <w:rFonts w:cs="MinionPro-Regular"/>
          <w:color w:val="000000" w:themeColor="text1"/>
        </w:rPr>
        <w:t xml:space="preserve"> </w:t>
      </w:r>
      <w:r w:rsidR="004353EE" w:rsidRPr="00D8107F">
        <w:rPr>
          <w:rFonts w:cs="AdvPSA183"/>
          <w:color w:val="000000" w:themeColor="text1"/>
        </w:rPr>
        <w:t>yttrium Y-90-DOTA-octreotate or lutetium (</w:t>
      </w:r>
      <w:r w:rsidR="004353EE" w:rsidRPr="00D8107F">
        <w:rPr>
          <w:rFonts w:eastAsia="Times New Roman" w:cs="Arial"/>
          <w:color w:val="000000" w:themeColor="text1"/>
          <w:shd w:val="clear" w:color="auto" w:fill="FFFFFF"/>
          <w:lang w:eastAsia="en-GB"/>
        </w:rPr>
        <w:t>177)Lu-DOTATATE,</w:t>
      </w:r>
      <w:r w:rsidR="004353EE" w:rsidRPr="00D8107F" w:rsidDel="0035312E">
        <w:rPr>
          <w:rFonts w:cs="MinionPro-Regular"/>
          <w:color w:val="000000" w:themeColor="text1"/>
        </w:rPr>
        <w:t xml:space="preserve"> </w:t>
      </w:r>
      <w:r w:rsidRPr="00D8107F">
        <w:rPr>
          <w:rFonts w:cs="MinionPro-Regular"/>
          <w:color w:val="000000" w:themeColor="text1"/>
        </w:rPr>
        <w:t xml:space="preserve">which subsequently </w:t>
      </w:r>
      <w:r w:rsidR="006852FB" w:rsidRPr="00D8107F">
        <w:rPr>
          <w:rFonts w:cs="MinionPro-Regular"/>
          <w:color w:val="000000" w:themeColor="text1"/>
        </w:rPr>
        <w:t>bind to somatostatin receptors (SSTR)</w:t>
      </w:r>
      <w:r w:rsidR="006225FE" w:rsidRPr="00D8107F">
        <w:rPr>
          <w:rFonts w:cs="MinionPro-Regular"/>
          <w:color w:val="000000" w:themeColor="text1"/>
        </w:rPr>
        <w:t>.</w:t>
      </w:r>
      <w:r w:rsidR="006852FB" w:rsidRPr="00D8107F">
        <w:rPr>
          <w:rFonts w:cs="MinionPro-Regular"/>
          <w:color w:val="000000" w:themeColor="text1"/>
        </w:rPr>
        <w:t xml:space="preserve"> </w:t>
      </w:r>
      <w:r w:rsidR="001C0E2F" w:rsidRPr="00D8107F">
        <w:rPr>
          <w:rFonts w:cs="MinionPro-Regular"/>
          <w:color w:val="000000" w:themeColor="text1"/>
        </w:rPr>
        <w:t xml:space="preserve">The </w:t>
      </w:r>
      <w:r w:rsidR="0035312E" w:rsidRPr="00D8107F">
        <w:rPr>
          <w:rFonts w:cs="MinionPro-Regular"/>
          <w:color w:val="000000" w:themeColor="text1"/>
        </w:rPr>
        <w:t>r</w:t>
      </w:r>
      <w:r w:rsidR="006225FE" w:rsidRPr="00D8107F">
        <w:rPr>
          <w:rFonts w:cs="MinionPro-Regular"/>
          <w:color w:val="000000" w:themeColor="text1"/>
        </w:rPr>
        <w:t>eceptor and ligand</w:t>
      </w:r>
      <w:r w:rsidR="00771E79" w:rsidRPr="00D8107F">
        <w:rPr>
          <w:rFonts w:cs="MinionPro-Regular"/>
          <w:color w:val="000000" w:themeColor="text1"/>
        </w:rPr>
        <w:t xml:space="preserve"> </w:t>
      </w:r>
      <w:r w:rsidR="00843A0E" w:rsidRPr="00D8107F">
        <w:rPr>
          <w:rFonts w:cs="MinionPro-Regular"/>
          <w:color w:val="000000" w:themeColor="text1"/>
        </w:rPr>
        <w:t>are then</w:t>
      </w:r>
      <w:r w:rsidR="006852FB" w:rsidRPr="00D8107F">
        <w:rPr>
          <w:rFonts w:cs="MinionPro-Regular"/>
          <w:color w:val="000000" w:themeColor="text1"/>
        </w:rPr>
        <w:t xml:space="preserve"> internalised</w:t>
      </w:r>
      <w:r w:rsidR="002F594E" w:rsidRPr="00D8107F">
        <w:rPr>
          <w:rFonts w:cs="MinionPro-Regular"/>
          <w:color w:val="000000" w:themeColor="text1"/>
        </w:rPr>
        <w:t>, inducing</w:t>
      </w:r>
      <w:r w:rsidR="006852FB" w:rsidRPr="00D8107F">
        <w:rPr>
          <w:rFonts w:cs="MinionPro-Regular"/>
          <w:color w:val="000000" w:themeColor="text1"/>
        </w:rPr>
        <w:t xml:space="preserve"> radiation-induced cell death</w:t>
      </w:r>
      <w:r w:rsidR="006852FB" w:rsidRPr="00D8107F">
        <w:rPr>
          <w:rFonts w:cs="MinionPro-Regular"/>
          <w:color w:val="000000" w:themeColor="text1"/>
        </w:rPr>
        <w:fldChar w:fldCharType="begin" w:fldLock="1"/>
      </w:r>
      <w:r w:rsidR="00771E79" w:rsidRPr="00D8107F">
        <w:rPr>
          <w:rFonts w:cs="MinionPro-Regular"/>
          <w:color w:val="000000" w:themeColor="text1"/>
        </w:rPr>
        <w:instrText>ADDIN CSL_CITATION { "citationItems" : [ { "id" : "ITEM-1", "itemData" : { "DOI" : "10.1053/j.semnuclmed.2009.10.004", "ISBN" : "1558-4623 (Electronic) 0001-2998 (Linking)", "ISSN" : "00012998", "PMID" : "20113677", "abstract" : "Somatostatin receptor imaging with [111In-DTPA0)octreotide has proven its role in the diagnosis and staging of gastroenteropancreatic neuroendocrine tumors. Treatment with radiolabeled somatostatin analogues is a promising new tool in the management of patients with inoperable or metastasized, well-differentiated neuroendocrine tumors. Symptomatic improvement may occur with all 111In, 90Y, or 177Lu-labeled somatostatin analogues that have been used for peptide receptor radionuclide therapy. The results that were obtained with [90Y-DOTA0, Tyr3]octreotide and [177Lu-DOTA0, Tyr3]octreotate are very encouraging in terms of tumor regression. Also, if kidney protective agents are used, the side effects of this therapy are few and mild, and the median duration of the therapy response for these radiopharmaceuticals is 30 and 40 months, respectively. The patients' self-assessed quality of life increases significantly after treatment with [177Lu-DOTA0, Tyr3]octreotate. Finally, compared with historical controls, there is a benefit in overall survival of several years from time of diagnosis in patients treated with [177Lu-DOTA0, Tyr3]octreotate. These data compare favorably with the limited number of alternative treatment approaches. If more widespread use of peptide receptor radionuclide therapy can be guaranteed, such therapy may well become the therapy of first choice in patients with metastasized or inoperable gastroenteropancreatic neuroendocrine tumors. \u00a9 2010 Elsevier Inc. All rights reserved.", "author" : [ { "dropping-particle" : "", "family" : "Kwekkeboom", "given" : "Dik J.", "non-dropping-particle" : "", "parse-names" : false, "suffix" : "" }, { "dropping-particle" : "", "family" : "Herder", "given" : "Wouter W.", "non-dropping-particle" : "de", "parse-names" : false, "suffix" : "" }, { "dropping-particle" : "", "family" : "Eijck", "given" : "Casper H.J.", "non-dropping-particle" : "van", "parse-names" : false, "suffix" : "" }, { "dropping-particle" : "", "family" : "Kam", "given" : "Boen L.", "non-dropping-particle" : "", "parse-names" : false, "suffix" : "" }, { "dropping-particle" : "", "family" : "Essen", "given" : "Martijn", "non-dropping-particle" : "van", "parse-names" : false, "suffix" : "" }, { "dropping-particle" : "", "family" : "Teunissen", "given" : "Jaap J.M.", "non-dropping-particle" : "", "parse-names" : false, "suffix" : "" }, { "dropping-particle" : "", "family" : "Krenning", "given" : "Eric P.", "non-dropping-particle" : "", "parse-names" : false, "suffix" : "" } ], "container-title" : "Seminars in Nuclear Medicine", "id" : "ITEM-1", "issue" : "2", "issued" : { "date-parts" : [ [ "2010" ] ] }, "page" : "78-88", "title" : "Peptide Receptor Radionuclide Therapy in Patients With Gastroenteropancreatic Neuroendocrine Tumors", "type" : "article", "volume" : "40" }, "uris" : [ "http://www.mendeley.com/documents/?uuid=0ec36fdc-425e-4b11-af79-75d82f5511f7", "http://www.mendeley.com/documents/?uuid=e40ae5ba-b38d-4521-8665-47c691b3bab9" ] } ], "mendeley" : { "formattedCitation" : "&lt;sup&gt;3&lt;/sup&gt;", "plainTextFormattedCitation" : "3", "previouslyFormattedCitation" : "&lt;sup&gt;3&lt;/sup&gt;" }, "properties" : { "noteIndex" : 1 }, "schema" : "https://github.com/citation-style-language/schema/raw/master/csl-citation.json" }</w:instrText>
      </w:r>
      <w:r w:rsidR="006852FB" w:rsidRPr="00D8107F">
        <w:rPr>
          <w:rFonts w:cs="MinionPro-Regular"/>
          <w:color w:val="000000" w:themeColor="text1"/>
        </w:rPr>
        <w:fldChar w:fldCharType="separate"/>
      </w:r>
      <w:r w:rsidR="00771E79" w:rsidRPr="00D8107F">
        <w:rPr>
          <w:rFonts w:cs="MinionPro-Regular"/>
          <w:noProof/>
          <w:color w:val="000000" w:themeColor="text1"/>
          <w:vertAlign w:val="superscript"/>
        </w:rPr>
        <w:t>3</w:t>
      </w:r>
      <w:r w:rsidR="006852FB" w:rsidRPr="00D8107F">
        <w:rPr>
          <w:rFonts w:cs="MinionPro-Regular"/>
          <w:color w:val="000000" w:themeColor="text1"/>
        </w:rPr>
        <w:fldChar w:fldCharType="end"/>
      </w:r>
      <w:r w:rsidR="006852FB" w:rsidRPr="00D8107F">
        <w:rPr>
          <w:rFonts w:cs="MinionPro-Regular"/>
          <w:color w:val="000000" w:themeColor="text1"/>
        </w:rPr>
        <w:t>.</w:t>
      </w:r>
      <w:r w:rsidR="006225FE" w:rsidRPr="00D8107F">
        <w:rPr>
          <w:rFonts w:cs="MinionPro-Regular"/>
          <w:color w:val="000000" w:themeColor="text1"/>
        </w:rPr>
        <w:t xml:space="preserve"> </w:t>
      </w:r>
      <w:r w:rsidR="004353EE" w:rsidRPr="00D8107F">
        <w:rPr>
          <w:rFonts w:cs="MinionPro-Regular"/>
          <w:color w:val="000000" w:themeColor="text1"/>
        </w:rPr>
        <w:t xml:space="preserve"> </w:t>
      </w:r>
      <w:r w:rsidR="006852FB" w:rsidRPr="00D8107F">
        <w:rPr>
          <w:rFonts w:cs="AdvPSA183"/>
          <w:color w:val="000000" w:themeColor="text1"/>
        </w:rPr>
        <w:t xml:space="preserve">A recent phase III randomised controlled trial showed improved survival benefit of </w:t>
      </w:r>
      <w:r w:rsidR="005B463A" w:rsidRPr="00D8107F">
        <w:rPr>
          <w:rFonts w:cs="AdvPSA183"/>
          <w:color w:val="000000" w:themeColor="text1"/>
        </w:rPr>
        <w:t>PRRT</w:t>
      </w:r>
      <w:r w:rsidR="006852FB" w:rsidRPr="00D8107F">
        <w:rPr>
          <w:rFonts w:cs="AdvPSA183"/>
          <w:color w:val="000000" w:themeColor="text1"/>
        </w:rPr>
        <w:t xml:space="preserve"> over long-acting octreotide in </w:t>
      </w:r>
      <w:r w:rsidR="006F6FA6" w:rsidRPr="00D8107F">
        <w:rPr>
          <w:rFonts w:cs="AdvPSA183"/>
          <w:color w:val="000000" w:themeColor="text1"/>
        </w:rPr>
        <w:t>midgut</w:t>
      </w:r>
      <w:r w:rsidR="006852FB" w:rsidRPr="00D8107F">
        <w:rPr>
          <w:rFonts w:cs="AdvPSA183"/>
          <w:color w:val="000000" w:themeColor="text1"/>
        </w:rPr>
        <w:t xml:space="preserve"> NET</w:t>
      </w:r>
      <w:r w:rsidR="006852FB" w:rsidRPr="00D8107F">
        <w:rPr>
          <w:rFonts w:cs="AdvPSA183"/>
          <w:color w:val="000000" w:themeColor="text1"/>
        </w:rPr>
        <w:fldChar w:fldCharType="begin" w:fldLock="1"/>
      </w:r>
      <w:r w:rsidR="00771E79" w:rsidRPr="00D8107F">
        <w:rPr>
          <w:rFonts w:cs="AdvPSA183"/>
          <w:color w:val="000000" w:themeColor="text1"/>
        </w:rPr>
        <w:instrText>ADDIN CSL_CITATION { "citationItems" : [ { "id" : "ITEM-1", "itemData" : { "ISSN" : "15430790", "abstract" : "Background: Currently, there are limited therapeutic options for patients with advanced midgut neuroendocrine tumors progressing on first-line somatostatin analog therapy. Methods: NETTER-1 is the first Phase III multicentric, randomized, controlled trial evaluating 177Lu-DOTA0-Tyr3-Octreotate (Lutathera) in patients with inoperable, progressive, somatostatin receptor positive midgut NETs. 230 patients with Grade 1-2 metastatic midgut NETs were randomized to receive Lutathera 7.4 GBq every 8 weeks (x4 administrations) versus Octreotide LAR 60 mg every 4-weeks. The primary endpoint was PFS per RECIST 1.1 criteria, with objective tumor assessment performed by an independent reading center every 12 weeks. Secondary objectives included objective response rate, overall survival, toxicity, and health-related quality of life. Results: Enrolment was completed in February 2015, with a target of 230 patients randomized (1:1) in 36 European and 15 sites in the United States. At the time of statistical analysis, the number of centrally confirmed disease progressions or deaths was 23 in the Lutathera group and 67 in the Octreotide LAR 60 mg group. The median PFS was not reached for Lutathera and was 8.4 months with 60 mg Octreotide LAR [95% CI: 5.8-11.0 months], p &lt; 0.0001, with a hazard ratio of 0.21 [95% CI: 0.13-0.34]. Within the current evaluable patient dataset for tumor responses (n = 201), the number of CR+PR was 19 (18.8%) in the Lutathera group and 3 (3.0%) in the Octreotide LAR 60 mg group (p &lt; 0.0004). Although the OS data were not mature enough for a definitive analysis, the number of deaths was 13 in the Lutathera group and 22 in the Octreotide LAR 60 mg group (p &lt; 0.019 at interim analysis) which suggests an improvement in overall survival. Conclusions: The Phase III NETTER-1 trial provides evidence for a clinically meaningful and statistically significant increase in PFS and ORR, and also suggests a survival benefit in patients with advanced midgut NETs treated with Lutathera. Clinical trial information: NCT01578239", "container-title" : "Clinical Advances in Hematology and Oncology", "id" : "ITEM-1", "issue" : "3", "issued" : { "date-parts" : [ [ "2016" ] ] }, "page" : "13-14", "title" : "NETTER-1 phase III: Progression-free survival, radiographic response, and preliminary overall survival results in patients with midgut neuroendocrine tumors treated with 177Lu-dotatate", "type" : "article", "volume" : "14" }, "uris" : [ "http://www.mendeley.com/documents/?uuid=0a54c2fd-47c2-4553-b255-f8693445009e", "http://www.mendeley.com/documents/?uuid=ce9e28b7-a982-44dd-b35a-e394d8499169" ] } ], "mendeley" : { "formattedCitation" : "&lt;sup&gt;4&lt;/sup&gt;", "plainTextFormattedCitation" : "4", "previouslyFormattedCitation" : "&lt;sup&gt;4&lt;/sup&gt;" }, "properties" : { "noteIndex" : 1 }, "schema" : "https://github.com/citation-style-language/schema/raw/master/csl-citation.json" }</w:instrText>
      </w:r>
      <w:r w:rsidR="006852FB" w:rsidRPr="00D8107F">
        <w:rPr>
          <w:rFonts w:cs="AdvPSA183"/>
          <w:color w:val="000000" w:themeColor="text1"/>
        </w:rPr>
        <w:fldChar w:fldCharType="separate"/>
      </w:r>
      <w:r w:rsidR="00771E79" w:rsidRPr="00D8107F">
        <w:rPr>
          <w:rFonts w:cs="AdvPSA183"/>
          <w:noProof/>
          <w:color w:val="000000" w:themeColor="text1"/>
          <w:vertAlign w:val="superscript"/>
        </w:rPr>
        <w:t>4</w:t>
      </w:r>
      <w:r w:rsidR="006852FB" w:rsidRPr="00D8107F">
        <w:rPr>
          <w:rFonts w:cs="AdvPSA183"/>
          <w:color w:val="000000" w:themeColor="text1"/>
        </w:rPr>
        <w:fldChar w:fldCharType="end"/>
      </w:r>
      <w:r w:rsidR="006852FB" w:rsidRPr="00D8107F">
        <w:rPr>
          <w:rFonts w:cs="AdvPSA183"/>
          <w:color w:val="000000" w:themeColor="text1"/>
        </w:rPr>
        <w:t xml:space="preserve">. </w:t>
      </w:r>
      <w:r w:rsidR="006F6FA6" w:rsidRPr="00D8107F">
        <w:rPr>
          <w:rFonts w:cs="AdvPSA183"/>
          <w:color w:val="000000" w:themeColor="text1"/>
        </w:rPr>
        <w:t xml:space="preserve">Other non-randomised reports also highlight the </w:t>
      </w:r>
      <w:r w:rsidR="00447323" w:rsidRPr="00D8107F">
        <w:rPr>
          <w:rFonts w:cs="AdvPSA183"/>
          <w:color w:val="000000" w:themeColor="text1"/>
        </w:rPr>
        <w:t>success</w:t>
      </w:r>
      <w:r w:rsidR="006F6FA6" w:rsidRPr="00D8107F">
        <w:rPr>
          <w:rFonts w:cs="AdvPSA183"/>
          <w:color w:val="000000" w:themeColor="text1"/>
        </w:rPr>
        <w:t xml:space="preserve"> of PRRT</w:t>
      </w:r>
      <w:r w:rsidR="00447323" w:rsidRPr="00D8107F">
        <w:rPr>
          <w:rFonts w:cs="AdvPSA183"/>
          <w:color w:val="000000" w:themeColor="text1"/>
        </w:rPr>
        <w:t xml:space="preserve"> in treating a variety of NET subtypes, including lung carcinoid, thymic NET and metastatic paraganglioma</w:t>
      </w:r>
      <w:r w:rsidR="00447323" w:rsidRPr="00D8107F">
        <w:rPr>
          <w:rFonts w:cs="AdvPSA183"/>
          <w:color w:val="000000" w:themeColor="text1"/>
        </w:rPr>
        <w:fldChar w:fldCharType="begin" w:fldLock="1"/>
      </w:r>
      <w:r w:rsidR="00771E79" w:rsidRPr="00D8107F">
        <w:rPr>
          <w:rFonts w:cs="AdvPSA183"/>
          <w:color w:val="000000" w:themeColor="text1"/>
        </w:rPr>
        <w:instrText>ADDIN CSL_CITATION { "citationItems" : [ { "id" : "ITEM-1", "itemData" : { "DOI" : "10.1007/s00259-006-0355-4", "ISBN" : "1619-7070 (Print)\\n1619-7070 (Linking)", "ISSN" : "16197070", "PMID" : "17260141", "abstract" : "Foregut carcinoid tumours have a different embryological origin than other gastroenteropancreatic neuroendocrine tumours (GEP NETs). In the total group of GEP NETs (n = 131), treatment with (177)Lu-octreotate resulted in tumour remission in 47% of patients, with a median time to progression (TTP) of &gt;36 months. As patients with foregut carcinoids may respond differently, we here present the effects of this treatment in a subgroup of patients with foregut carcinoids of bronchial, gastric or thymic origin.", "author" : [ { "dropping-particle" : "", "family" : "Essen", "given" : "Martijn", "non-dropping-particle" : "Van", "parse-names" : false, "suffix" : "" }, { "dropping-particle" : "", "family" : "Krenning", "given" : "Eric P.", "non-dropping-particle" : "", "parse-names" : false, "suffix" : "" }, { "dropping-particle" : "", "family" : "Bakker", "given" : "Willem H.", "non-dropping-particle" : "", "parse-names" : false, "suffix" : "" }, { "dropping-particle" : "", "family" : "Herder", "given" : "Wouter W.", "non-dropping-particle" : "De", "parse-names" : false, "suffix" : "" }, { "dropping-particle" : "", "family" : "Aken", "given" : "Maarten O.", "non-dropping-particle" : "Van", "parse-names" : false, "suffix" : "" }, { "dropping-particle" : "", "family" : "Kwekkeboom", "given" : "Dik J.", "non-dropping-particle" : "", "parse-names" : false, "suffix" : "" } ], "container-title" : "European Journal of Nuclear Medicine and Molecular Imaging", "id" : "ITEM-1", "issue" : "8", "issued" : { "date-parts" : [ [ "2007" ] ] }, "page" : "1219-1227", "title" : "Peptide receptor radionuclide therapy with 177Lu-octreotate in patients with foregut carcinoid tumours of bronchial, gastric and thymic origin", "type" : "article-journal", "volume" : "34" }, "uris" : [ "http://www.mendeley.com/documents/?uuid=24e2226d-30cf-4b8d-adf7-59a8c6428f16" ] }, { "id" : "ITEM-2", "itemData" : { "DOI" : "10.1007/s12032-016-0737-9", "ISSN" : "1357-0560", "author" : [ { "dropping-particle" : "", "family" : "Pinato", "given" : "David J.", "non-dropping-particle" : "", "parse-names" : false, "suffix" : "" }, { "dropping-particle" : "", "family" : "Black", "given" : "James R. M.", "non-dropping-particle" : "", "parse-names" : false, "suffix" : "" }, { "dropping-particle" : "", "family" : "Ramaswami", "given" : "Ramya", "non-dropping-particle" : "", "parse-names" : false, "suffix" : "" }, { "dropping-particle" : "", "family" : "Tan", "given" : "Tricia M.", "non-dropping-particle" : "", "parse-names" : false, "suffix" : "" }, { "dropping-particle" : "", "family" : "Adjogatse", "given" : "Delali", "non-dropping-particle" : "", "parse-names" : false, "suffix" : "" }, { "dropping-particle" : "", "family" : "Sharma", "given" : "Rohini", "non-dropping-particle" : "", "parse-names" : false, "suffix" : "" } ], "container-title" : "Medical Oncology", "id" : "ITEM-2", "issue" : "5", "issued" : { "date-parts" : [ [ "2016", "5", "8" ] ] }, "page" : "47", "publisher" : "Springer US", "title" : "Peptide receptor radionuclide therapy for metastatic paragangliomas", "type" : "article-journal", "volume" : "33" }, "uris" : [ "http://www.mendeley.com/documents/?uuid=50138a62-8da1-3c15-97b0-4ee76e71fc79" ] } ], "mendeley" : { "formattedCitation" : "&lt;sup&gt;5,6&lt;/sup&gt;", "plainTextFormattedCitation" : "5,6", "previouslyFormattedCitation" : "&lt;sup&gt;5,6&lt;/sup&gt;" }, "properties" : { "noteIndex" : 0 }, "schema" : "https://github.com/citation-style-language/schema/raw/master/csl-citation.json" }</w:instrText>
      </w:r>
      <w:r w:rsidR="00447323" w:rsidRPr="00D8107F">
        <w:rPr>
          <w:rFonts w:cs="AdvPSA183"/>
          <w:color w:val="000000" w:themeColor="text1"/>
        </w:rPr>
        <w:fldChar w:fldCharType="separate"/>
      </w:r>
      <w:r w:rsidR="00771E79" w:rsidRPr="00D8107F">
        <w:rPr>
          <w:rFonts w:cs="AdvPSA183"/>
          <w:noProof/>
          <w:color w:val="000000" w:themeColor="text1"/>
          <w:vertAlign w:val="superscript"/>
        </w:rPr>
        <w:t>5,6</w:t>
      </w:r>
      <w:r w:rsidR="00447323" w:rsidRPr="00D8107F">
        <w:rPr>
          <w:rFonts w:cs="AdvPSA183"/>
          <w:color w:val="000000" w:themeColor="text1"/>
        </w:rPr>
        <w:fldChar w:fldCharType="end"/>
      </w:r>
      <w:r w:rsidR="00447323" w:rsidRPr="00D8107F">
        <w:rPr>
          <w:rFonts w:cs="AdvPSA183"/>
          <w:color w:val="000000" w:themeColor="text1"/>
        </w:rPr>
        <w:t xml:space="preserve">. </w:t>
      </w:r>
    </w:p>
    <w:p w14:paraId="2FF6CF8A" w14:textId="44736BEC" w:rsidR="002F4EE1" w:rsidRPr="00D8107F" w:rsidRDefault="006F6FA6" w:rsidP="00D8107F">
      <w:pPr>
        <w:autoSpaceDE w:val="0"/>
        <w:autoSpaceDN w:val="0"/>
        <w:adjustRightInd w:val="0"/>
        <w:snapToGrid w:val="0"/>
        <w:spacing w:after="240" w:line="480" w:lineRule="auto"/>
        <w:jc w:val="both"/>
        <w:rPr>
          <w:rFonts w:cs="AdvPSA183"/>
          <w:color w:val="000000" w:themeColor="text1"/>
        </w:rPr>
      </w:pPr>
      <w:r w:rsidRPr="00D8107F">
        <w:rPr>
          <w:rFonts w:cs="AdvPSA183"/>
          <w:color w:val="000000" w:themeColor="text1"/>
        </w:rPr>
        <w:t xml:space="preserve">Whilst PRRT is relatively </w:t>
      </w:r>
      <w:r w:rsidR="00F92CA9" w:rsidRPr="00D8107F">
        <w:rPr>
          <w:rFonts w:cs="AdvPSA183"/>
          <w:color w:val="000000" w:themeColor="text1"/>
        </w:rPr>
        <w:t>successful</w:t>
      </w:r>
      <w:r w:rsidRPr="00D8107F">
        <w:rPr>
          <w:rFonts w:cs="AdvPSA183"/>
          <w:color w:val="000000" w:themeColor="text1"/>
        </w:rPr>
        <w:t xml:space="preserve">, </w:t>
      </w:r>
      <w:r w:rsidR="002876F6" w:rsidRPr="00D8107F">
        <w:rPr>
          <w:rFonts w:cs="AdvPSA183"/>
          <w:color w:val="000000" w:themeColor="text1"/>
        </w:rPr>
        <w:t xml:space="preserve">approximately </w:t>
      </w:r>
      <w:r w:rsidRPr="00D8107F">
        <w:rPr>
          <w:rFonts w:cs="AdvPSA183"/>
          <w:color w:val="000000" w:themeColor="text1"/>
        </w:rPr>
        <w:t xml:space="preserve">20% of patients will not respond to </w:t>
      </w:r>
      <w:r w:rsidR="00FC6C40" w:rsidRPr="00D8107F">
        <w:rPr>
          <w:rFonts w:cs="AdvPSA183"/>
          <w:color w:val="000000" w:themeColor="text1"/>
        </w:rPr>
        <w:t>treatment</w:t>
      </w:r>
      <w:r w:rsidR="004353EE" w:rsidRPr="00D8107F">
        <w:rPr>
          <w:rFonts w:cs="AdvPSA183"/>
          <w:color w:val="000000" w:themeColor="text1"/>
        </w:rPr>
        <w:t>.</w:t>
      </w:r>
      <w:r w:rsidR="00FC6C40" w:rsidRPr="00D8107F">
        <w:rPr>
          <w:rFonts w:cs="AdvPSA183"/>
          <w:color w:val="000000" w:themeColor="text1"/>
        </w:rPr>
        <w:t xml:space="preserve"> </w:t>
      </w:r>
      <w:r w:rsidR="006225FE" w:rsidRPr="00D8107F">
        <w:rPr>
          <w:rFonts w:cs="AdvPSA183"/>
          <w:color w:val="000000" w:themeColor="text1"/>
        </w:rPr>
        <w:t xml:space="preserve">An inability to identify these patients prior to commencing therapy exposes them to significant side effects, prohibits their participation in </w:t>
      </w:r>
      <w:r w:rsidR="002876F6" w:rsidRPr="00D8107F">
        <w:rPr>
          <w:rFonts w:cs="AdvPSA183"/>
          <w:color w:val="000000" w:themeColor="text1"/>
        </w:rPr>
        <w:t>clinical trials</w:t>
      </w:r>
      <w:r w:rsidR="006225FE" w:rsidRPr="00D8107F">
        <w:rPr>
          <w:rFonts w:cs="AdvPSA183"/>
          <w:color w:val="000000" w:themeColor="text1"/>
        </w:rPr>
        <w:t xml:space="preserve"> </w:t>
      </w:r>
      <w:r w:rsidR="00977960" w:rsidRPr="00D8107F">
        <w:rPr>
          <w:rFonts w:cs="AdvPSA183"/>
          <w:color w:val="000000" w:themeColor="text1"/>
        </w:rPr>
        <w:t xml:space="preserve">of other potentially valuable therapeutic modalities </w:t>
      </w:r>
      <w:r w:rsidR="006225FE" w:rsidRPr="00D8107F">
        <w:rPr>
          <w:rFonts w:cs="AdvPSA183"/>
          <w:color w:val="000000" w:themeColor="text1"/>
        </w:rPr>
        <w:t>and has significant resource implications</w:t>
      </w:r>
      <w:r w:rsidR="002876F6" w:rsidRPr="00D8107F">
        <w:rPr>
          <w:rFonts w:cs="AdvPSA183"/>
          <w:color w:val="000000" w:themeColor="text1"/>
        </w:rPr>
        <w:t xml:space="preserve">. </w:t>
      </w:r>
      <w:r w:rsidR="006225FE" w:rsidRPr="00D8107F">
        <w:rPr>
          <w:rFonts w:cs="AdvPSA183"/>
          <w:color w:val="000000" w:themeColor="text1"/>
        </w:rPr>
        <w:t>PRRT is associated with</w:t>
      </w:r>
      <w:r w:rsidR="002876F6" w:rsidRPr="00D8107F">
        <w:rPr>
          <w:rFonts w:cs="AdvPSA183"/>
          <w:color w:val="000000" w:themeColor="text1"/>
        </w:rPr>
        <w:t xml:space="preserve"> </w:t>
      </w:r>
      <w:r w:rsidR="006225FE" w:rsidRPr="00D8107F">
        <w:rPr>
          <w:rFonts w:cs="AdvPSA183"/>
          <w:color w:val="000000" w:themeColor="text1"/>
        </w:rPr>
        <w:t>myelosuppression, haematological malignancy</w:t>
      </w:r>
      <w:r w:rsidR="002876F6" w:rsidRPr="00D8107F">
        <w:rPr>
          <w:rFonts w:cs="AdvPSA183"/>
          <w:color w:val="000000" w:themeColor="text1"/>
        </w:rPr>
        <w:t xml:space="preserve"> and </w:t>
      </w:r>
      <w:r w:rsidR="006225FE" w:rsidRPr="00D8107F">
        <w:rPr>
          <w:rFonts w:cs="AdvPSA183"/>
          <w:color w:val="000000" w:themeColor="text1"/>
        </w:rPr>
        <w:t>nephrotoxicity</w:t>
      </w:r>
      <w:r w:rsidR="002876F6" w:rsidRPr="00D8107F">
        <w:rPr>
          <w:rFonts w:cs="AdvPSA183"/>
          <w:color w:val="000000" w:themeColor="text1"/>
        </w:rPr>
        <w:t>. Subacute haematological toxicity is seen in approximately 10% of patients and 1-2% experience</w:t>
      </w:r>
      <w:r w:rsidR="00FC6C40" w:rsidRPr="00D8107F">
        <w:rPr>
          <w:rFonts w:cs="AdvPSA183"/>
          <w:color w:val="000000" w:themeColor="text1"/>
        </w:rPr>
        <w:t xml:space="preserve"> </w:t>
      </w:r>
      <w:r w:rsidRPr="00D8107F">
        <w:rPr>
          <w:rFonts w:cs="AdvPSA183"/>
          <w:color w:val="000000" w:themeColor="text1"/>
        </w:rPr>
        <w:t>myelodysplas</w:t>
      </w:r>
      <w:r w:rsidR="002876F6" w:rsidRPr="00D8107F">
        <w:rPr>
          <w:rFonts w:cs="AdvPSA183"/>
          <w:color w:val="000000" w:themeColor="text1"/>
        </w:rPr>
        <w:t>t</w:t>
      </w:r>
      <w:r w:rsidRPr="00D8107F">
        <w:rPr>
          <w:rFonts w:cs="AdvPSA183"/>
          <w:color w:val="000000" w:themeColor="text1"/>
        </w:rPr>
        <w:t>i</w:t>
      </w:r>
      <w:r w:rsidR="002876F6" w:rsidRPr="00D8107F">
        <w:rPr>
          <w:rFonts w:cs="AdvPSA183"/>
          <w:color w:val="000000" w:themeColor="text1"/>
        </w:rPr>
        <w:t>c syndrome or acute leukaemia. R</w:t>
      </w:r>
      <w:r w:rsidR="006852FB" w:rsidRPr="00D8107F">
        <w:rPr>
          <w:rFonts w:cs="AdvPSA183"/>
          <w:color w:val="000000" w:themeColor="text1"/>
        </w:rPr>
        <w:t>enal impairment</w:t>
      </w:r>
      <w:r w:rsidR="002876F6" w:rsidRPr="00D8107F">
        <w:rPr>
          <w:rFonts w:cs="AdvPSA183"/>
          <w:color w:val="000000" w:themeColor="text1"/>
        </w:rPr>
        <w:t xml:space="preserve"> occurs as a result of proximal tubular reabsorption of the radio-labelled peptide and 3-4% of patients experience grade 3-4 toxicity</w:t>
      </w:r>
      <w:r w:rsidR="00732312" w:rsidRPr="00D8107F">
        <w:rPr>
          <w:rFonts w:cs="AdvPSA183"/>
          <w:color w:val="000000" w:themeColor="text1"/>
        </w:rPr>
        <w:t xml:space="preserve">. </w:t>
      </w:r>
      <w:r w:rsidR="000113B6" w:rsidRPr="00D8107F">
        <w:rPr>
          <w:rFonts w:cs="AdvPSA183"/>
          <w:color w:val="000000" w:themeColor="text1"/>
        </w:rPr>
        <w:t xml:space="preserve">Determination of non-response to therapy requires treatment for </w:t>
      </w:r>
      <w:r w:rsidR="00080E1D" w:rsidRPr="00D8107F">
        <w:rPr>
          <w:rFonts w:cs="AdvPSA183"/>
          <w:color w:val="000000" w:themeColor="text1"/>
        </w:rPr>
        <w:t>up to 12 months</w:t>
      </w:r>
      <w:r w:rsidR="000113B6" w:rsidRPr="00D8107F">
        <w:rPr>
          <w:rFonts w:cs="AdvPSA183"/>
          <w:color w:val="000000" w:themeColor="text1"/>
        </w:rPr>
        <w:t xml:space="preserve"> at an approximate cost of </w:t>
      </w:r>
      <w:r w:rsidR="004353EE" w:rsidRPr="00D8107F">
        <w:rPr>
          <w:rFonts w:cs="AdvPSA183"/>
          <w:color w:val="000000" w:themeColor="text1"/>
        </w:rPr>
        <w:t>£</w:t>
      </w:r>
      <w:r w:rsidR="00080E1D" w:rsidRPr="00D8107F">
        <w:rPr>
          <w:rFonts w:cs="AdvPSA183"/>
          <w:color w:val="000000" w:themeColor="text1"/>
        </w:rPr>
        <w:t>40</w:t>
      </w:r>
      <w:r w:rsidR="004353EE" w:rsidRPr="00D8107F">
        <w:rPr>
          <w:rFonts w:cs="AdvPSA183"/>
          <w:color w:val="000000" w:themeColor="text1"/>
        </w:rPr>
        <w:t>,000</w:t>
      </w:r>
      <w:r w:rsidR="00F75A76" w:rsidRPr="00D8107F">
        <w:rPr>
          <w:rFonts w:cs="AdvPSA183"/>
          <w:color w:val="000000" w:themeColor="text1"/>
        </w:rPr>
        <w:fldChar w:fldCharType="begin" w:fldLock="1"/>
      </w:r>
      <w:r w:rsidR="00420780">
        <w:rPr>
          <w:rFonts w:cs="AdvPSA183"/>
          <w:color w:val="000000" w:themeColor="text1"/>
        </w:rPr>
        <w:instrText>ADDIN CSL_CITATION { "citationItems" : [ { "id" : "ITEM-1", "itemData" : { "abstract" : "For inoperable well-differentiated neuroendocrine tumours (NETs) with progressive disease including pancreatic and foregut NETs after systemic anticancer therapy, mid-gut NETs after cold somatostatin analogue therapy, hindgut NETs after somatostatin analogue or systemic therapy.", "author" : [ { "dropping-particle" : "", "family" : "London Cancer New Drugs Group", "given" : "", "non-dropping-particle" : "", "parse-names" : false, "suffix" : "" } ], "id" : "ITEM-1", "issued" : { "date-parts" : [ [ "2012" ] ] }, "title" : "London Cancer Drugs Fund", "type" : "article" }, "uris" : [ "http://www.mendeley.com/documents/?uuid=015c39d1-7d70-4221-8017-dcec72005df9" ] } ], "mendeley" : { "formattedCitation" : "&lt;sup&gt;7&lt;/sup&gt;", "plainTextFormattedCitation" : "7", "previouslyFormattedCitation" : "&lt;sup&gt;7&lt;/sup&gt;" }, "properties" : { "noteIndex" : 0 }, "schema" : "https://github.com/citation-style-language/schema/raw/master/csl-citation.json" }</w:instrText>
      </w:r>
      <w:r w:rsidR="00F75A76" w:rsidRPr="00D8107F">
        <w:rPr>
          <w:rFonts w:cs="AdvPSA183"/>
          <w:color w:val="000000" w:themeColor="text1"/>
        </w:rPr>
        <w:fldChar w:fldCharType="separate"/>
      </w:r>
      <w:r w:rsidR="00F75A76" w:rsidRPr="00D8107F">
        <w:rPr>
          <w:rFonts w:cs="AdvPSA183"/>
          <w:noProof/>
          <w:color w:val="000000" w:themeColor="text1"/>
          <w:vertAlign w:val="superscript"/>
        </w:rPr>
        <w:t>7</w:t>
      </w:r>
      <w:r w:rsidR="00F75A76" w:rsidRPr="00D8107F">
        <w:rPr>
          <w:rFonts w:cs="AdvPSA183"/>
          <w:color w:val="000000" w:themeColor="text1"/>
        </w:rPr>
        <w:fldChar w:fldCharType="end"/>
      </w:r>
      <w:r w:rsidR="00182E8B" w:rsidRPr="00D8107F">
        <w:rPr>
          <w:rFonts w:cs="AdvPSA183"/>
          <w:color w:val="000000" w:themeColor="text1"/>
        </w:rPr>
        <w:t xml:space="preserve">. </w:t>
      </w:r>
    </w:p>
    <w:p w14:paraId="4D4ACDA3" w14:textId="70E6CD09" w:rsidR="00447323" w:rsidRPr="00D8107F" w:rsidRDefault="000113B6" w:rsidP="00D8107F">
      <w:pPr>
        <w:autoSpaceDE w:val="0"/>
        <w:autoSpaceDN w:val="0"/>
        <w:adjustRightInd w:val="0"/>
        <w:snapToGrid w:val="0"/>
        <w:spacing w:after="240" w:line="480" w:lineRule="auto"/>
        <w:jc w:val="both"/>
        <w:rPr>
          <w:rFonts w:cs="AdvPSA183"/>
          <w:color w:val="000000" w:themeColor="text1"/>
        </w:rPr>
      </w:pPr>
      <w:r w:rsidRPr="00D8107F">
        <w:rPr>
          <w:rFonts w:cs="AdvPSA183"/>
          <w:color w:val="000000" w:themeColor="text1"/>
        </w:rPr>
        <w:lastRenderedPageBreak/>
        <w:t>In light of these issues</w:t>
      </w:r>
      <w:r w:rsidR="00AF02A9" w:rsidRPr="00D8107F">
        <w:rPr>
          <w:rFonts w:cs="AdvPSA183"/>
          <w:color w:val="000000" w:themeColor="text1"/>
        </w:rPr>
        <w:t>,</w:t>
      </w:r>
      <w:r w:rsidRPr="00D8107F">
        <w:rPr>
          <w:rFonts w:cs="AdvPSA183"/>
          <w:color w:val="000000" w:themeColor="text1"/>
        </w:rPr>
        <w:t xml:space="preserve"> research efforts have focussed on identifying a </w:t>
      </w:r>
      <w:r w:rsidR="00973A84" w:rsidRPr="00D8107F">
        <w:rPr>
          <w:rFonts w:cs="AdvPSA183"/>
          <w:color w:val="000000" w:themeColor="text1"/>
        </w:rPr>
        <w:t xml:space="preserve">predictor of </w:t>
      </w:r>
      <w:r w:rsidRPr="00D8107F">
        <w:rPr>
          <w:rFonts w:cs="AdvPSA183"/>
          <w:color w:val="000000" w:themeColor="text1"/>
        </w:rPr>
        <w:t xml:space="preserve">response to PRRT. </w:t>
      </w:r>
      <w:r w:rsidR="00E22A3B" w:rsidRPr="00D8107F">
        <w:rPr>
          <w:rFonts w:cs="AdvPSA183"/>
          <w:color w:val="000000" w:themeColor="text1"/>
        </w:rPr>
        <w:t>An initial study</w:t>
      </w:r>
      <w:r w:rsidRPr="00D8107F">
        <w:rPr>
          <w:rFonts w:cs="AdvPSA183"/>
          <w:color w:val="000000" w:themeColor="text1"/>
        </w:rPr>
        <w:t xml:space="preserve"> suggested</w:t>
      </w:r>
      <w:r w:rsidR="00656298" w:rsidRPr="00D8107F">
        <w:rPr>
          <w:rFonts w:cs="Arial"/>
          <w:bCs/>
          <w:color w:val="000000" w:themeColor="text1"/>
          <w:kern w:val="36"/>
        </w:rPr>
        <w:t xml:space="preserve"> </w:t>
      </w:r>
      <w:r w:rsidR="00080E1D" w:rsidRPr="00D8107F">
        <w:rPr>
          <w:rFonts w:cs="Arial"/>
          <w:bCs/>
          <w:color w:val="000000" w:themeColor="text1"/>
          <w:kern w:val="36"/>
        </w:rPr>
        <w:t xml:space="preserve">that </w:t>
      </w:r>
      <w:r w:rsidR="00977960" w:rsidRPr="00D8107F">
        <w:rPr>
          <w:rFonts w:cs="Arial"/>
          <w:bCs/>
          <w:color w:val="000000" w:themeColor="text1"/>
          <w:kern w:val="36"/>
        </w:rPr>
        <w:t xml:space="preserve">uptake of radiolabelled SSA </w:t>
      </w:r>
      <w:r w:rsidR="00080E1D" w:rsidRPr="00D8107F">
        <w:rPr>
          <w:rFonts w:cs="Arial"/>
          <w:bCs/>
          <w:color w:val="000000" w:themeColor="text1"/>
          <w:kern w:val="36"/>
        </w:rPr>
        <w:t>[</w:t>
      </w:r>
      <w:r w:rsidR="00256A6D" w:rsidRPr="00D8107F">
        <w:rPr>
          <w:rFonts w:cs="Arial"/>
          <w:bCs/>
          <w:color w:val="000000" w:themeColor="text1"/>
          <w:kern w:val="36"/>
        </w:rPr>
        <w:t>68Ga</w:t>
      </w:r>
      <w:r w:rsidR="00080E1D" w:rsidRPr="00D8107F">
        <w:rPr>
          <w:rFonts w:cs="Arial"/>
          <w:bCs/>
          <w:color w:val="000000" w:themeColor="text1"/>
          <w:kern w:val="36"/>
        </w:rPr>
        <w:t>]</w:t>
      </w:r>
      <w:r w:rsidR="00256A6D" w:rsidRPr="00D8107F">
        <w:rPr>
          <w:rFonts w:cs="Arial"/>
          <w:bCs/>
          <w:color w:val="000000" w:themeColor="text1"/>
          <w:kern w:val="36"/>
        </w:rPr>
        <w:t xml:space="preserve">-DOTATOC  on </w:t>
      </w:r>
      <w:r w:rsidR="00977960" w:rsidRPr="00D8107F">
        <w:rPr>
          <w:rFonts w:cs="Arial"/>
          <w:bCs/>
          <w:color w:val="000000" w:themeColor="text1"/>
          <w:kern w:val="36"/>
        </w:rPr>
        <w:t>Positron Emission Tomography/Computed Tomography (</w:t>
      </w:r>
      <w:r w:rsidR="00256A6D" w:rsidRPr="00D8107F">
        <w:rPr>
          <w:rFonts w:cs="Arial"/>
          <w:bCs/>
          <w:color w:val="000000" w:themeColor="text1"/>
          <w:kern w:val="36"/>
        </w:rPr>
        <w:t>PET/CT</w:t>
      </w:r>
      <w:r w:rsidR="00977960" w:rsidRPr="00D8107F">
        <w:rPr>
          <w:rFonts w:cs="Arial"/>
          <w:bCs/>
          <w:color w:val="000000" w:themeColor="text1"/>
          <w:kern w:val="36"/>
        </w:rPr>
        <w:t>)</w:t>
      </w:r>
      <w:r w:rsidR="00256A6D" w:rsidRPr="00D8107F">
        <w:rPr>
          <w:rFonts w:cs="Arial"/>
          <w:bCs/>
          <w:color w:val="000000" w:themeColor="text1"/>
          <w:kern w:val="36"/>
        </w:rPr>
        <w:t xml:space="preserve"> was correlated with time to progression</w:t>
      </w:r>
      <w:r w:rsidR="00E22A3B" w:rsidRPr="00D8107F">
        <w:rPr>
          <w:rFonts w:cs="Arial"/>
          <w:bCs/>
          <w:noProof/>
          <w:color w:val="000000" w:themeColor="text1"/>
          <w:kern w:val="36"/>
          <w:vertAlign w:val="superscript"/>
        </w:rPr>
        <w:t>8</w:t>
      </w:r>
      <w:r w:rsidR="00AF02A9" w:rsidRPr="00D8107F">
        <w:rPr>
          <w:rFonts w:cs="Arial"/>
          <w:bCs/>
          <w:color w:val="000000" w:themeColor="text1"/>
          <w:kern w:val="36"/>
        </w:rPr>
        <w:t>, a</w:t>
      </w:r>
      <w:r w:rsidR="00FA23F7" w:rsidRPr="00D8107F">
        <w:rPr>
          <w:rFonts w:cs="Arial"/>
          <w:bCs/>
          <w:color w:val="000000" w:themeColor="text1"/>
          <w:kern w:val="36"/>
        </w:rPr>
        <w:t xml:space="preserve"> relationship </w:t>
      </w:r>
      <w:r w:rsidR="00AF02A9" w:rsidRPr="00D8107F">
        <w:rPr>
          <w:rFonts w:cs="Arial"/>
          <w:bCs/>
          <w:color w:val="000000" w:themeColor="text1"/>
          <w:kern w:val="36"/>
        </w:rPr>
        <w:t xml:space="preserve">that </w:t>
      </w:r>
      <w:r w:rsidR="00E22A3B" w:rsidRPr="00D8107F">
        <w:rPr>
          <w:rFonts w:cs="Arial"/>
          <w:bCs/>
          <w:color w:val="000000" w:themeColor="text1"/>
          <w:kern w:val="36"/>
        </w:rPr>
        <w:t xml:space="preserve">was </w:t>
      </w:r>
      <w:r w:rsidR="00FA23F7" w:rsidRPr="00D8107F">
        <w:rPr>
          <w:rFonts w:cs="Arial"/>
          <w:bCs/>
          <w:color w:val="000000" w:themeColor="text1"/>
          <w:kern w:val="36"/>
        </w:rPr>
        <w:t xml:space="preserve">not </w:t>
      </w:r>
      <w:r w:rsidR="00E22A3B" w:rsidRPr="00D8107F">
        <w:rPr>
          <w:rFonts w:cs="Arial"/>
          <w:bCs/>
          <w:color w:val="000000" w:themeColor="text1"/>
          <w:kern w:val="36"/>
        </w:rPr>
        <w:t xml:space="preserve">successfully </w:t>
      </w:r>
      <w:r w:rsidR="00FA23F7" w:rsidRPr="00D8107F">
        <w:rPr>
          <w:rFonts w:cs="Arial"/>
          <w:bCs/>
          <w:color w:val="000000" w:themeColor="text1"/>
          <w:kern w:val="36"/>
        </w:rPr>
        <w:t xml:space="preserve">validated </w:t>
      </w:r>
      <w:r w:rsidR="00E22A3B" w:rsidRPr="00D8107F">
        <w:rPr>
          <w:rFonts w:cs="Arial"/>
          <w:bCs/>
          <w:color w:val="000000" w:themeColor="text1"/>
          <w:kern w:val="36"/>
        </w:rPr>
        <w:t>in a subsequent patient cohort</w:t>
      </w:r>
      <w:r w:rsidR="00FA23F7" w:rsidRPr="00D8107F">
        <w:rPr>
          <w:rFonts w:cs="Arial"/>
          <w:bCs/>
          <w:color w:val="000000" w:themeColor="text1"/>
          <w:kern w:val="36"/>
        </w:rPr>
        <w:fldChar w:fldCharType="begin" w:fldLock="1"/>
      </w:r>
      <w:r w:rsidR="00420780">
        <w:rPr>
          <w:rFonts w:cs="Arial"/>
          <w:bCs/>
          <w:color w:val="000000" w:themeColor="text1"/>
          <w:kern w:val="36"/>
        </w:rPr>
        <w:instrText>ADDIN CSL_CITATION { "citationItems" : [ { "id" : "ITEM-1", "itemData" : { "DOI" : "10.2967/jnumed.110.075002", "ISSN" : "1535-5667 (Electronic)", "PMID" : "20720050", "abstract" : "UNLABELLED: We aimed to evaluate (68)Ga-DOTATATE PET/CT for the early prediction  of time to progression and clinical outcome after a first cycle of peptide receptor radionuclide treatment (PRRT) in a cohort of patients with well-differentiated neuroendocrine tumors. METHODS: Thirty-three consecutive patients (22 men and 11 women; mean age +/- SD, 57.8 +/- 12.1 y) were investigated at baseline and again 3 mo after initiation of the first cycle of PRRT. (68)Ga-DOTATATE receptor expression was assessed using 2 measures of standardized uptake value (SUV): maximum SUV (SUV(max)) and tumor-to-spleen SUV ratio (SUV(T/S)). Percentage change in SUV scores after PRRT relative to baseline (DeltaSUV) was calculated. After completing 1-3 cycles of PRRT, patients entered the follow-up study, for estimation of time to progression. According to the Response Evaluation Criteria in Solid Tumors, progression was defined on the basis of contrast-enhanced CT. Clinical symptoms, as well as the tumor markers chromogranin A and neuron-specific enolase, were also recorded during regular follow-up visits. RESULTS: The 23 of 31 patients with decreased SUV(T/S) after the first PRRT cycle had longer progression-free survival than did the 8 of 31 patients with stable or increased scores (median survival not reached vs. 6 mo, P = 0.002). For the 18 of 33 patients showing a reduction in SUV(max), there was no significant difference in progression-free survival (median survival not reached vs. 14 mo, P = 0.22). Multivariate regression analysis identified SUV(T/S) as the only independent predictor for tumor progression during follow-up. In the 17 of 33 patients with clinical symptoms before PRRT, DeltaSUV(T/S) correlated with clinical improvement (r = 0.52, P &lt; 0.05), whereas DeltaSUV(max) did not (r = 0.42, P = 0.10). Changes in the tumor markers (chromogranin A and neuron-specific enolase) did not predict DeltaSUV scores, clinical improvement, or time to progression. CONCLUSION: Decreased (68)Ga-DOTATATE uptake in tumors after the first cycle of PRRT predicted time to progression and correlated with an improvement in clinical symptoms among patients with well-differentiated neuroendocrine tumors; DeltaSUV(T/S) was superior to DeltaSUV(max) for prediction of outcome.", "author" : [ { "dropping-particle" : "", "family" : "Haug", "given" : "Alexander R", "non-dropping-particle" : "", "parse-names" : false, "suffix" : "" }, { "dropping-particle" : "", "family" : "Auernhammer", "given" : "Christoph J", "non-dropping-particle" : "", "parse-names" : false, "suffix" : "" }, { "dropping-particle" : "", "family" : "Wangler", "given" : "Bjorn", "non-dropping-particle" : "", "parse-names" : false, "suffix" : "" }, { "dropping-particle" : "", "family" : "Schmidt", "given" : "Gerwin P", "non-dropping-particle" : "", "parse-names" : false, "suffix" : "" }, { "dropping-particle" : "", "family" : "Uebleis", "given" : "Christopher", "non-dropping-particle" : "", "parse-names" : false, "suffix" : "" }, { "dropping-particle" : "", "family" : "Goke", "given" : "Burkhard", "non-dropping-particle" : "", "parse-names" : false, "suffix" : "" }, { "dropping-particle" : "", "family" : "Cumming", "given" : "Paul", "non-dropping-particle" : "", "parse-names" : false, "suffix" : "" }, { "dropping-particle" : "", "family" : "Bartenstein", "given" : "Peter", "non-dropping-particle" : "", "parse-names" : false, "suffix" : "" }, { "dropping-particle" : "", "family" : "Tiling", "given" : "Reinhold", "non-dropping-particle" : "", "parse-names" : false, "suffix" : "" }, { "dropping-particle" : "", "family" : "Hacker", "given" : "Marcus", "non-dropping-particle" : "", "parse-names" : false, "suffix" : "" } ], "container-title" : "Journal of nuclear medicine : official publication, Society of Nuclear Medicine", "id" : "ITEM-1", "issue" : "9", "issued" : { "date-parts" : [ [ "2010", "9" ] ] }, "language" : "eng", "page" : "1349-1356", "publisher-place" : "United States", "title" : "68Ga-DOTATATE PET/CT for the early prediction of response to somatostatin receptor-mediated radionuclide therapy in patients with well-differentiated neuroendocrine tumors.", "type" : "article-journal", "volume" : "51" }, "uris" : [ "http://www.mendeley.com/documents/?uuid=e4583361-46cf-4886-ad48-e202e07e4cc0" ] }, { "id" : "ITEM-2", "itemData" : { "DOI" : "10.3906/sag-1412-11", "ISSN" : "1300-0144 (Print)", "PMID" : "27511504", "abstract" : "BACKGROUND/AIM: To describe the role of baseline gallium (Ga)-68 DOTATATE positron emission tomography (PET)/computed tomography (CT) in the prediction of the response to peptide receptor radionuclide therapy (PRRT) using lutetium (Lu)-177 DOTATATE. MATERIALS AND METHODS: Analysis was made of baseline Ga-68 DOTATATE PET/CT images of 29 patients (17 females and 12 males; mean age: 50.7 +/- 14.6 years) with metastatic neuroendocrine tumors who received PRRT with Lu-177 DOTATATE. Maximum standardized uptake values (SUVmax) of reference lesions and their ratios to physiological uptake organs were calculated. The relationship between these values and the radiological response was analyzed. RESULTS: Partial response was observed in 8 (28%) patients, stable disease in 18 (62%) patients, and progressive disease in 3 (10%) patients. Mean SUVmax of reference lesions was calculated as 23.8 +/- 20.5 (min-max: 5.1-87.3). There was no significant correlation between radiological responses and SUVmax of reference lesions and their ratios to other organs. CONCLUSION: Baseline Ga-68 DOTATATE PET/CT helps to show somatostatin receptor expression status and disease stage in patients who are candidates for PRRT. However, SUVs do not have a role in the prediction of treatment response.", "author" : [ { "dropping-particle" : "", "family" : "Soydal", "given" : "Cigdem", "non-dropping-particle" : "", "parse-names" : false, "suffix" : "" }, { "dropping-particle" : "", "family" : "Peker", "given" : "Ahmet", "non-dropping-particle" : "", "parse-names" : false, "suffix" : "" }, { "dropping-particle" : "", "family" : "Ozkan", "given" : "Elgin", "non-dropping-particle" : "", "parse-names" : false, "suffix" : "" }, { "dropping-particle" : "", "family" : "Kucuk", "given" : "Ozlem Nuriye", "non-dropping-particle" : "", "parse-names" : false, "suffix" : "" }, { "dropping-particle" : "", "family" : "Kir", "given" : "Metin Kemal", "non-dropping-particle" : "", "parse-names" : false, "suffix" : "" } ], "container-title" : "Turkish journal of medical sciences", "id" : "ITEM-2", "issue" : "2", "issued" : { "date-parts" : [ [ "2016", "2" ] ] }, "language" : "eng", "page" : "409-413", "publisher-place" : "Turkey", "title" : "The role of baseline Ga-68 DOTATATE positron emission tomography/computed tomography in the prediction of response to fixed-dose peptide receptor radionuclide therapy with Lu-177 DOTATATE.", "type" : "article-journal", "volume" : "46" }, "uris" : [ "http://www.mendeley.com/documents/?uuid=03cad41b-6878-4e32-be3a-f77a1d4ff9e5" ] } ], "mendeley" : { "formattedCitation" : "&lt;sup&gt;8,9&lt;/sup&gt;", "manualFormatting" : "9", "plainTextFormattedCitation" : "8,9", "previouslyFormattedCitation" : "&lt;sup&gt;8,9&lt;/sup&gt;" }, "properties" : { "noteIndex" : 0 }, "schema" : "https://github.com/citation-style-language/schema/raw/master/csl-citation.json" }</w:instrText>
      </w:r>
      <w:r w:rsidR="00FA23F7" w:rsidRPr="00D8107F">
        <w:rPr>
          <w:rFonts w:cs="Arial"/>
          <w:bCs/>
          <w:color w:val="000000" w:themeColor="text1"/>
          <w:kern w:val="36"/>
        </w:rPr>
        <w:fldChar w:fldCharType="separate"/>
      </w:r>
      <w:r w:rsidR="004B6BFB" w:rsidRPr="00D8107F">
        <w:rPr>
          <w:rFonts w:cs="Arial"/>
          <w:bCs/>
          <w:noProof/>
          <w:color w:val="000000" w:themeColor="text1"/>
          <w:kern w:val="36"/>
          <w:vertAlign w:val="superscript"/>
        </w:rPr>
        <w:t>9</w:t>
      </w:r>
      <w:r w:rsidR="00FA23F7" w:rsidRPr="00D8107F">
        <w:rPr>
          <w:rFonts w:cs="Arial"/>
          <w:bCs/>
          <w:color w:val="000000" w:themeColor="text1"/>
          <w:kern w:val="36"/>
        </w:rPr>
        <w:fldChar w:fldCharType="end"/>
      </w:r>
      <w:r w:rsidR="00FA23F7" w:rsidRPr="00D8107F">
        <w:rPr>
          <w:rFonts w:cs="Arial"/>
          <w:bCs/>
          <w:color w:val="000000" w:themeColor="text1"/>
          <w:kern w:val="36"/>
        </w:rPr>
        <w:t xml:space="preserve">. </w:t>
      </w:r>
      <w:r w:rsidR="00F1323D" w:rsidRPr="00D8107F">
        <w:rPr>
          <w:rFonts w:cs="Arial"/>
          <w:bCs/>
          <w:color w:val="000000" w:themeColor="text1"/>
          <w:kern w:val="36"/>
        </w:rPr>
        <w:t xml:space="preserve">Dual PET imaging (incorporating both SSTR imaging </w:t>
      </w:r>
      <w:r w:rsidR="003D496F" w:rsidRPr="00D8107F">
        <w:rPr>
          <w:rFonts w:cs="Arial"/>
          <w:bCs/>
          <w:color w:val="000000" w:themeColor="text1"/>
          <w:kern w:val="36"/>
        </w:rPr>
        <w:t>and 18 F-FDG</w:t>
      </w:r>
      <w:r w:rsidR="00F1323D" w:rsidRPr="00D8107F">
        <w:rPr>
          <w:rFonts w:cs="Arial"/>
          <w:bCs/>
          <w:color w:val="000000" w:themeColor="text1"/>
          <w:kern w:val="36"/>
        </w:rPr>
        <w:t xml:space="preserve"> imaging of tumour metabolic activity) </w:t>
      </w:r>
      <w:r w:rsidR="004B6BFB" w:rsidRPr="00D8107F">
        <w:rPr>
          <w:rFonts w:cs="Arial"/>
          <w:bCs/>
          <w:color w:val="000000" w:themeColor="text1"/>
          <w:kern w:val="36"/>
        </w:rPr>
        <w:t xml:space="preserve">is </w:t>
      </w:r>
      <w:r w:rsidR="009E2B06" w:rsidRPr="00D8107F">
        <w:rPr>
          <w:rFonts w:cs="Arial"/>
          <w:bCs/>
          <w:color w:val="000000" w:themeColor="text1"/>
          <w:kern w:val="36"/>
        </w:rPr>
        <w:t xml:space="preserve">suggested to </w:t>
      </w:r>
      <w:r w:rsidR="00F1323D" w:rsidRPr="00D8107F">
        <w:rPr>
          <w:rFonts w:cs="Arial"/>
          <w:bCs/>
          <w:color w:val="000000" w:themeColor="text1"/>
          <w:kern w:val="36"/>
        </w:rPr>
        <w:t xml:space="preserve">have some prognostic significance, but </w:t>
      </w:r>
      <w:r w:rsidR="00FA23F7" w:rsidRPr="00D8107F">
        <w:rPr>
          <w:rFonts w:cs="Arial"/>
          <w:bCs/>
          <w:color w:val="000000" w:themeColor="text1"/>
          <w:kern w:val="36"/>
        </w:rPr>
        <w:t>this</w:t>
      </w:r>
      <w:r w:rsidR="00F1323D" w:rsidRPr="00D8107F">
        <w:rPr>
          <w:rFonts w:cs="Arial"/>
          <w:bCs/>
          <w:color w:val="000000" w:themeColor="text1"/>
          <w:kern w:val="36"/>
        </w:rPr>
        <w:t xml:space="preserve"> is uncertain in the context of PRRT</w:t>
      </w:r>
      <w:r w:rsidR="00256A6D" w:rsidRPr="00D8107F">
        <w:rPr>
          <w:rFonts w:cs="Arial"/>
          <w:bCs/>
          <w:color w:val="000000" w:themeColor="text1"/>
          <w:kern w:val="36"/>
        </w:rPr>
        <w:fldChar w:fldCharType="begin" w:fldLock="1"/>
      </w:r>
      <w:r w:rsidR="00420780">
        <w:rPr>
          <w:rFonts w:cs="Arial"/>
          <w:bCs/>
          <w:color w:val="000000" w:themeColor="text1"/>
          <w:kern w:val="36"/>
        </w:rPr>
        <w:instrText>ADDIN CSL_CITATION { "citationItems" : [ { "id" : "ITEM-1", "itemData" : { "DOI" : "10.7150/thno.18068", "ISSN" : "1838-7640", "abstract" : "Background: PET scans using FDG and somatostatin receptor imaging agents have both been used to study neuroendocrine tumours. Most reports have documented the sensitivity and specificity of each radiopharmaceutical independently, and even suggested the superiority of one over the other for different grades of disease. Aim: The aim of this work was to develop a grading scheme that describes the joint results of both the FDG and somatostatin receptor imaging PET scans in staging subjects with neuroendocrine tumours in a single combined parameter. The grading scheme that has been developed is referred to as the NETPET grade. Methods: This is a retrospective study which assessed subjects who had both FDG and somatostatin receptor PET imaging at our institution within 31 days of each other. The NETPET grade was assigned by experienced nuclear medicine physicians and compared with other clinical data such as WHO grade and overall survival. Results: In the period 2011-2015 we were able to recruit 62 subjects with histologically proven metastatic neuroendocrine tumour for review. The NETPET grade incorporating both the FDG and somatostatin receptor imaging results was significantly correlated with overall survival by univariate analysis (p=0.0018), whereas in this cohort the WHO grade at the time of diagnosis did not correlate with survival. Conclusions: The NETPET grade has promise as a prognostic imaging biomarker in neuroendocrine tumours. It permits the capturing of the complexity of dual radiotracer imaging in a single parameter which describes the subjects' disease and is readily amenable to use in patient management and further research. ", "author" : [ { "dropping-particle" : "", "family" : "Chan", "given" : "David L H", "non-dropping-particle" : "", "parse-names" : false, "suffix" : "" }, { "dropping-particle" : "", "family" : "Pavlakis", "given" : "Nick", "non-dropping-particle" : "", "parse-names" : false, "suffix" : "" }, { "dropping-particle" : "", "family" : "Schembri", "given" : "Geoffrey P", "non-dropping-particle" : "", "parse-names" : false, "suffix" : "" }, { "dropping-particle" : "", "family" : "Bernard", "given" : "Elizabeth J", "non-dropping-particle" : "", "parse-names" : false, "suffix" : "" }, { "dropping-particle" : "", "family" : "Hsiao", "given" : "Edward", "non-dropping-particle" : "", "parse-names" : false, "suffix" : "" }, { "dropping-particle" : "", "family" : "Hayes", "given" : "Aimee", "non-dropping-particle" : "", "parse-names" : false, "suffix" : "" }, { "dropping-particle" : "", "family" : "Barnes", "given" : "Tristan", "non-dropping-particle" : "", "parse-names" : false, "suffix" : "" }, { "dropping-particle" : "", "family" : "Diakos", "given" : "Connie", "non-dropping-particle" : "", "parse-names" : false, "suffix" : "" }, { "dropping-particle" : "", "family" : "Khasraw", "given" : "Mustafa", "non-dropping-particle" : "", "parse-names" : false, "suffix" : "" }, { "dropping-particle" : "", "family" : "Samra", "given" : "Jaswinder", "non-dropping-particle" : "", "parse-names" : false, "suffix" : "" }, { "dropping-particle" : "", "family" : "Eslick", "given" : "Enid", "non-dropping-particle" : "", "parse-names" : false, "suffix" : "" }, { "dropping-particle" : "", "family" : "Roach", "given" : "Paul J", "non-dropping-particle" : "", "parse-names" : false, "suffix" : "" }, { "dropping-particle" : "", "family" : "Engel", "given" : "Alexander", "non-dropping-particle" : "", "parse-names" : false, "suffix" : "" }, { "dropping-particle" : "", "family" : "Clarke", "given" : "Stephen J", "non-dropping-particle" : "", "parse-names" : false, "suffix" : "" }, { "dropping-particle" : "", "family" : "Bailey", "given" : "Dale L", "non-dropping-particle" : "", "parse-names" : false, "suffix" : "" } ], "container-title" : "Theranostics", "id" : "ITEM-1", "issue" : "5", "issued" : { "date-parts" : [ [ "2017", "3", "1" ] ] }, "page" : "1149-1158", "publisher" : "Ivyspring International Publisher", "publisher-place" : "Sydney", "title" : "Dual Somatostatin Receptor/FDG PET/CT Imaging in Metastatic Neuroendocrine Tumours: Proposal for a Novel Grading Scheme with Prognostic Significance", "type" : "article-journal", "volume" : "7" }, "uris" : [ "http://www.mendeley.com/documents/?uuid=80a85925-6b53-4db6-84b1-9d332b6b773a" ] } ], "mendeley" : { "formattedCitation" : "&lt;sup&gt;10&lt;/sup&gt;", "plainTextFormattedCitation" : "10", "previouslyFormattedCitation" : "&lt;sup&gt;10&lt;/sup&gt;" }, "properties" : { "noteIndex" : 0 }, "schema" : "https://github.com/citation-style-language/schema/raw/master/csl-citation.json" }</w:instrText>
      </w:r>
      <w:r w:rsidR="00256A6D" w:rsidRPr="00D8107F">
        <w:rPr>
          <w:rFonts w:cs="Arial"/>
          <w:bCs/>
          <w:color w:val="000000" w:themeColor="text1"/>
          <w:kern w:val="36"/>
        </w:rPr>
        <w:fldChar w:fldCharType="separate"/>
      </w:r>
      <w:r w:rsidR="00F75A76" w:rsidRPr="00D8107F">
        <w:rPr>
          <w:rFonts w:cs="Arial"/>
          <w:bCs/>
          <w:noProof/>
          <w:color w:val="000000" w:themeColor="text1"/>
          <w:kern w:val="36"/>
          <w:vertAlign w:val="superscript"/>
        </w:rPr>
        <w:t>10</w:t>
      </w:r>
      <w:r w:rsidR="00256A6D" w:rsidRPr="00D8107F">
        <w:rPr>
          <w:rFonts w:cs="Arial"/>
          <w:bCs/>
          <w:color w:val="000000" w:themeColor="text1"/>
          <w:kern w:val="36"/>
        </w:rPr>
        <w:fldChar w:fldCharType="end"/>
      </w:r>
      <w:r w:rsidR="00F1323D" w:rsidRPr="00D8107F">
        <w:rPr>
          <w:rFonts w:cs="Arial"/>
          <w:bCs/>
          <w:color w:val="000000" w:themeColor="text1"/>
          <w:kern w:val="36"/>
        </w:rPr>
        <w:t xml:space="preserve">. </w:t>
      </w:r>
      <w:r w:rsidR="00E22A3B" w:rsidRPr="00D8107F">
        <w:rPr>
          <w:rFonts w:cs="Arial"/>
          <w:bCs/>
          <w:color w:val="000000" w:themeColor="text1"/>
          <w:kern w:val="36"/>
        </w:rPr>
        <w:t xml:space="preserve"> Very recently</w:t>
      </w:r>
      <w:r w:rsidR="009E2B06" w:rsidRPr="00D8107F">
        <w:rPr>
          <w:rFonts w:cs="Arial"/>
          <w:bCs/>
          <w:color w:val="000000" w:themeColor="text1"/>
          <w:kern w:val="36"/>
        </w:rPr>
        <w:t>,</w:t>
      </w:r>
      <w:r w:rsidR="00F330C4" w:rsidRPr="00D8107F">
        <w:rPr>
          <w:rFonts w:cs="Arial"/>
          <w:bCs/>
          <w:color w:val="000000" w:themeColor="text1"/>
          <w:kern w:val="36"/>
        </w:rPr>
        <w:t xml:space="preserve"> Bodei </w:t>
      </w:r>
      <w:r w:rsidR="00E22A3B" w:rsidRPr="00D8107F">
        <w:rPr>
          <w:rFonts w:cs="Arial"/>
          <w:bCs/>
          <w:color w:val="000000" w:themeColor="text1"/>
          <w:kern w:val="36"/>
        </w:rPr>
        <w:t>and colleagues</w:t>
      </w:r>
      <w:r w:rsidR="00F330C4" w:rsidRPr="00D8107F">
        <w:rPr>
          <w:rFonts w:cs="Arial"/>
          <w:bCs/>
          <w:color w:val="000000" w:themeColor="text1"/>
          <w:kern w:val="36"/>
        </w:rPr>
        <w:t xml:space="preserve"> identified a ‘PRRT predictive quotient’, derived from </w:t>
      </w:r>
      <w:r w:rsidR="00E22A3B" w:rsidRPr="00D8107F">
        <w:rPr>
          <w:rFonts w:cs="Arial"/>
          <w:bCs/>
          <w:color w:val="000000" w:themeColor="text1"/>
          <w:kern w:val="36"/>
        </w:rPr>
        <w:t xml:space="preserve">a combination of </w:t>
      </w:r>
      <w:r w:rsidR="00BF45AF" w:rsidRPr="00D8107F">
        <w:rPr>
          <w:rFonts w:cs="Arial"/>
          <w:bCs/>
          <w:color w:val="000000" w:themeColor="text1"/>
          <w:kern w:val="36"/>
        </w:rPr>
        <w:t>pre-treatment</w:t>
      </w:r>
      <w:r w:rsidR="00E22A3B" w:rsidRPr="00D8107F">
        <w:rPr>
          <w:rFonts w:cs="Arial"/>
          <w:bCs/>
          <w:color w:val="000000" w:themeColor="text1"/>
          <w:kern w:val="36"/>
        </w:rPr>
        <w:t>, whole blood gene</w:t>
      </w:r>
      <w:r w:rsidR="00BF45AF" w:rsidRPr="00D8107F">
        <w:rPr>
          <w:rFonts w:cs="Arial"/>
          <w:bCs/>
          <w:color w:val="000000" w:themeColor="text1"/>
          <w:kern w:val="36"/>
        </w:rPr>
        <w:t xml:space="preserve"> </w:t>
      </w:r>
      <w:r w:rsidR="00F330C4" w:rsidRPr="00D8107F">
        <w:rPr>
          <w:rFonts w:cs="Arial"/>
          <w:bCs/>
          <w:color w:val="000000" w:themeColor="text1"/>
          <w:kern w:val="36"/>
        </w:rPr>
        <w:t xml:space="preserve">expression </w:t>
      </w:r>
      <w:r w:rsidR="00E22A3B" w:rsidRPr="00D8107F">
        <w:rPr>
          <w:rFonts w:cs="Arial"/>
          <w:bCs/>
          <w:color w:val="000000" w:themeColor="text1"/>
          <w:kern w:val="36"/>
        </w:rPr>
        <w:t>profiling,</w:t>
      </w:r>
      <w:r w:rsidR="00F330C4" w:rsidRPr="00D8107F">
        <w:rPr>
          <w:rFonts w:cs="Arial"/>
          <w:bCs/>
          <w:color w:val="000000" w:themeColor="text1"/>
          <w:kern w:val="36"/>
        </w:rPr>
        <w:t xml:space="preserve"> tumour grade</w:t>
      </w:r>
      <w:r w:rsidR="00624726" w:rsidRPr="00D8107F">
        <w:rPr>
          <w:rFonts w:cs="Arial"/>
          <w:bCs/>
          <w:color w:val="000000" w:themeColor="text1"/>
          <w:kern w:val="36"/>
        </w:rPr>
        <w:t xml:space="preserve"> and circulating Chromogranin A (CgA) levels</w:t>
      </w:r>
      <w:r w:rsidR="00C716D9" w:rsidRPr="00D8107F">
        <w:rPr>
          <w:rFonts w:cs="Arial"/>
          <w:bCs/>
          <w:color w:val="000000" w:themeColor="text1"/>
          <w:kern w:val="36"/>
        </w:rPr>
        <w:fldChar w:fldCharType="begin" w:fldLock="1"/>
      </w:r>
      <w:r w:rsidR="00420780">
        <w:rPr>
          <w:rFonts w:cs="Arial"/>
          <w:bCs/>
          <w:color w:val="000000" w:themeColor="text1"/>
          <w:kern w:val="36"/>
        </w:rPr>
        <w:instrText>ADDIN CSL_CITATION { "citationItems" : [ { "id" : "ITEM-1", "itemData" : { "DOI" : "10.1007/s00259-018-3967-6", "ISSN" : "1619-7089", "abstract" : "Peptide receptor radionuclide therapy (PRRT) utilizes somatostatin receptor (SSR) overexpression on neuroendocrine tumors (NET) to deliver targeted radiotherapy. Intensity of uptake at imaging is considered related to efficacy but has low sensitivity. A pretreatment strategy to determine individual PRRT response remains a key unmet need. NET transcript expression in blood integrated with tumor grade provides a PRRT predictive quotient (PPQ) which stratifies PRRT ``responders'' from ``non-responders''. This study clinically validates the utility of the PPQ in NETs.", "author" : [ { "dropping-particle" : "", "family" : "Bodei", "given" : "Lisa", "non-dropping-particle" : "", "parse-names" : false, "suffix" : "" }, { "dropping-particle" : "", "family" : "Kidd", "given" : "Mark S", "non-dropping-particle" : "", "parse-names" : false, "suffix" : "" }, { "dropping-particle" : "", "family" : "Singh", "given" : "Aviral", "non-dropping-particle" : "", "parse-names" : false, "suffix" : "" }, { "dropping-particle" : "", "family" : "Zwan", "given" : "Wouter A", "non-dropping-particle" : "van der", "parse-names" : false, "suffix" : "" }, { "dropping-particle" : "", "family" : "Severi", "given" : "Stefano", "non-dropping-particle" : "", "parse-names" : false, "suffix" : "" }, { "dropping-particle" : "", "family" : "Drozdov", "given" : "Ignat A", "non-dropping-particle" : "", "parse-names" : false, "suffix" : "" }, { "dropping-particle" : "", "family" : "Cwikla", "given" : "Jaroslaw", "non-dropping-particle" : "", "parse-names" : false, "suffix" : "" }, { "dropping-particle" : "", "family" : "Baum", "given" : "Richard P", "non-dropping-particle" : "", "parse-names" : false, "suffix" : "" }, { "dropping-particle" : "", "family" : "Kwekkeboom", "given" : "Dik J", "non-dropping-particle" : "", "parse-names" : false, "suffix" : "" }, { "dropping-particle" : "", "family" : "Paganelli", "given" : "Giovanni", "non-dropping-particle" : "", "parse-names" : false, "suffix" : "" }, { "dropping-particle" : "", "family" : "Krenning", "given" : "Eric P", "non-dropping-particle" : "", "parse-names" : false, "suffix" : "" }, { "dropping-particle" : "", "family" : "Modlin", "given" : "Irvin M", "non-dropping-particle" : "", "parse-names" : false, "suffix" : "" } ], "container-title" : "European Journal of Nuclear Medicine and Molecular Imaging", "id" : "ITEM-1", "issued" : { "date-parts" : [ [ "2018", "2" ] ] }, "title" : "PRRT genomic signature in blood for prediction of 177Lu-octreotate efficacy", "type" : "article-journal" }, "uris" : [ "http://www.mendeley.com/documents/?uuid=803ffdeb-2715-423f-93bc-39763bef001d" ] } ], "mendeley" : { "formattedCitation" : "&lt;sup&gt;11&lt;/sup&gt;", "plainTextFormattedCitation" : "11", "previouslyFormattedCitation" : "&lt;sup&gt;11&lt;/sup&gt;" }, "properties" : { "noteIndex" : 0 }, "schema" : "https://github.com/citation-style-language/schema/raw/master/csl-citation.json" }</w:instrText>
      </w:r>
      <w:r w:rsidR="00C716D9" w:rsidRPr="00D8107F">
        <w:rPr>
          <w:rFonts w:cs="Arial"/>
          <w:bCs/>
          <w:color w:val="000000" w:themeColor="text1"/>
          <w:kern w:val="36"/>
        </w:rPr>
        <w:fldChar w:fldCharType="separate"/>
      </w:r>
      <w:r w:rsidR="00F75A76" w:rsidRPr="00D8107F">
        <w:rPr>
          <w:rFonts w:cs="Arial"/>
          <w:bCs/>
          <w:noProof/>
          <w:color w:val="000000" w:themeColor="text1"/>
          <w:kern w:val="36"/>
          <w:vertAlign w:val="superscript"/>
        </w:rPr>
        <w:t>11</w:t>
      </w:r>
      <w:r w:rsidR="00C716D9" w:rsidRPr="00D8107F">
        <w:rPr>
          <w:rFonts w:cs="Arial"/>
          <w:bCs/>
          <w:color w:val="000000" w:themeColor="text1"/>
          <w:kern w:val="36"/>
        </w:rPr>
        <w:fldChar w:fldCharType="end"/>
      </w:r>
      <w:r w:rsidR="00F330C4" w:rsidRPr="00D8107F">
        <w:rPr>
          <w:rFonts w:cs="Arial"/>
          <w:bCs/>
          <w:color w:val="000000" w:themeColor="text1"/>
          <w:kern w:val="36"/>
        </w:rPr>
        <w:t xml:space="preserve">. </w:t>
      </w:r>
      <w:r w:rsidR="00E22A3B" w:rsidRPr="00D8107F">
        <w:rPr>
          <w:rFonts w:cs="Arial"/>
          <w:bCs/>
          <w:color w:val="000000" w:themeColor="text1"/>
          <w:kern w:val="36"/>
        </w:rPr>
        <w:t>The PRRT predictive quotient was reported to have a</w:t>
      </w:r>
      <w:r w:rsidR="00C716D9" w:rsidRPr="00D8107F">
        <w:rPr>
          <w:rFonts w:cs="Arial"/>
          <w:bCs/>
          <w:color w:val="000000" w:themeColor="text1"/>
          <w:kern w:val="36"/>
        </w:rPr>
        <w:t xml:space="preserve"> high specificity </w:t>
      </w:r>
      <w:r w:rsidR="00E22A3B" w:rsidRPr="00D8107F">
        <w:rPr>
          <w:rFonts w:cs="Arial"/>
          <w:bCs/>
          <w:color w:val="000000" w:themeColor="text1"/>
          <w:kern w:val="36"/>
        </w:rPr>
        <w:t xml:space="preserve">and </w:t>
      </w:r>
      <w:r w:rsidR="00AF02A9" w:rsidRPr="00D8107F">
        <w:rPr>
          <w:rFonts w:cs="Arial"/>
          <w:bCs/>
          <w:color w:val="000000" w:themeColor="text1"/>
          <w:kern w:val="36"/>
        </w:rPr>
        <w:t>sensitivity</w:t>
      </w:r>
      <w:r w:rsidR="00E22A3B" w:rsidRPr="00D8107F">
        <w:rPr>
          <w:rFonts w:cs="Arial"/>
          <w:bCs/>
          <w:color w:val="000000" w:themeColor="text1"/>
          <w:kern w:val="36"/>
        </w:rPr>
        <w:t xml:space="preserve"> for predicting the</w:t>
      </w:r>
      <w:r w:rsidR="00BF45AF" w:rsidRPr="00D8107F">
        <w:rPr>
          <w:rFonts w:cs="Arial"/>
          <w:bCs/>
          <w:color w:val="000000" w:themeColor="text1"/>
          <w:kern w:val="36"/>
        </w:rPr>
        <w:t xml:space="preserve"> efficacy of PRRT</w:t>
      </w:r>
      <w:r w:rsidR="009040F0" w:rsidRPr="00D8107F">
        <w:rPr>
          <w:rFonts w:cs="Arial"/>
          <w:bCs/>
          <w:color w:val="000000" w:themeColor="text1"/>
          <w:kern w:val="36"/>
        </w:rPr>
        <w:t>.</w:t>
      </w:r>
      <w:r w:rsidR="00BF45AF" w:rsidRPr="00D8107F">
        <w:rPr>
          <w:rFonts w:cs="Arial"/>
          <w:bCs/>
          <w:color w:val="000000" w:themeColor="text1"/>
          <w:kern w:val="36"/>
        </w:rPr>
        <w:t xml:space="preserve"> </w:t>
      </w:r>
      <w:r w:rsidR="009040F0" w:rsidRPr="00D8107F">
        <w:rPr>
          <w:rFonts w:cs="Arial"/>
          <w:bCs/>
          <w:color w:val="000000" w:themeColor="text1"/>
          <w:kern w:val="36"/>
        </w:rPr>
        <w:t xml:space="preserve">These data indicate </w:t>
      </w:r>
      <w:r w:rsidR="00BF45AF" w:rsidRPr="00D8107F">
        <w:rPr>
          <w:rFonts w:cs="Arial"/>
          <w:bCs/>
          <w:color w:val="000000" w:themeColor="text1"/>
          <w:kern w:val="36"/>
        </w:rPr>
        <w:t>circulating biomarker</w:t>
      </w:r>
      <w:r w:rsidR="009040F0" w:rsidRPr="00D8107F">
        <w:rPr>
          <w:rFonts w:cs="Arial"/>
          <w:bCs/>
          <w:color w:val="000000" w:themeColor="text1"/>
          <w:kern w:val="36"/>
        </w:rPr>
        <w:t>s, some of which are likely to reflect circulating white blood cell activation,</w:t>
      </w:r>
      <w:r w:rsidR="00BF45AF" w:rsidRPr="00D8107F">
        <w:rPr>
          <w:rFonts w:cs="Arial"/>
          <w:bCs/>
          <w:color w:val="000000" w:themeColor="text1"/>
          <w:kern w:val="36"/>
        </w:rPr>
        <w:t xml:space="preserve"> can </w:t>
      </w:r>
      <w:r w:rsidR="009E2B06" w:rsidRPr="00D8107F">
        <w:rPr>
          <w:rFonts w:cs="Arial"/>
          <w:bCs/>
          <w:color w:val="000000" w:themeColor="text1"/>
          <w:kern w:val="36"/>
        </w:rPr>
        <w:t>identify PRRT-responsive patients</w:t>
      </w:r>
      <w:r w:rsidR="00BF45AF" w:rsidRPr="00D8107F">
        <w:rPr>
          <w:rFonts w:cs="Arial"/>
          <w:bCs/>
          <w:color w:val="000000" w:themeColor="text1"/>
          <w:kern w:val="36"/>
        </w:rPr>
        <w:t>.</w:t>
      </w:r>
      <w:r w:rsidR="001F7487" w:rsidRPr="00D8107F">
        <w:rPr>
          <w:rFonts w:cs="Arial"/>
          <w:bCs/>
          <w:color w:val="000000" w:themeColor="text1"/>
          <w:kern w:val="36"/>
        </w:rPr>
        <w:t xml:space="preserve"> </w:t>
      </w:r>
      <w:r w:rsidR="00C716D9" w:rsidRPr="00D8107F">
        <w:rPr>
          <w:rFonts w:cs="Arial"/>
          <w:bCs/>
          <w:color w:val="000000" w:themeColor="text1"/>
          <w:kern w:val="36"/>
        </w:rPr>
        <w:t>However</w:t>
      </w:r>
      <w:r w:rsidR="009E2B06" w:rsidRPr="00D8107F">
        <w:rPr>
          <w:rFonts w:cs="Arial"/>
          <w:bCs/>
          <w:color w:val="000000" w:themeColor="text1"/>
          <w:kern w:val="36"/>
        </w:rPr>
        <w:t>,</w:t>
      </w:r>
      <w:r w:rsidR="009040F0" w:rsidRPr="00D8107F">
        <w:rPr>
          <w:rFonts w:cs="Arial"/>
          <w:bCs/>
          <w:color w:val="000000" w:themeColor="text1"/>
          <w:kern w:val="36"/>
        </w:rPr>
        <w:t xml:space="preserve"> the requirement for RNA profiling</w:t>
      </w:r>
      <w:r w:rsidR="00BF45AF" w:rsidRPr="00D8107F">
        <w:rPr>
          <w:rFonts w:cs="Arial"/>
          <w:bCs/>
          <w:color w:val="000000" w:themeColor="text1"/>
          <w:kern w:val="36"/>
        </w:rPr>
        <w:t xml:space="preserve"> </w:t>
      </w:r>
      <w:r w:rsidR="009040F0" w:rsidRPr="00D8107F">
        <w:rPr>
          <w:rFonts w:cs="Arial"/>
          <w:bCs/>
          <w:color w:val="000000" w:themeColor="text1"/>
          <w:kern w:val="36"/>
        </w:rPr>
        <w:t xml:space="preserve">in order to </w:t>
      </w:r>
      <w:r w:rsidR="00C710E5" w:rsidRPr="00D8107F">
        <w:rPr>
          <w:rFonts w:cs="Arial"/>
          <w:bCs/>
          <w:color w:val="000000" w:themeColor="text1"/>
          <w:kern w:val="36"/>
        </w:rPr>
        <w:t>derive</w:t>
      </w:r>
      <w:r w:rsidR="009040F0" w:rsidRPr="00D8107F">
        <w:rPr>
          <w:rFonts w:cs="Arial"/>
          <w:bCs/>
          <w:color w:val="000000" w:themeColor="text1"/>
          <w:kern w:val="36"/>
        </w:rPr>
        <w:t xml:space="preserve"> the PRRT quotient presents technical and financial barriers to its rapid and widespread adoption in clinical practice</w:t>
      </w:r>
      <w:r w:rsidR="00BF45AF" w:rsidRPr="00D8107F">
        <w:rPr>
          <w:rFonts w:cs="Arial"/>
          <w:bCs/>
          <w:color w:val="000000" w:themeColor="text1"/>
          <w:kern w:val="36"/>
        </w:rPr>
        <w:t>.</w:t>
      </w:r>
    </w:p>
    <w:p w14:paraId="0EA3FB44" w14:textId="7F8EC244" w:rsidR="009D275E" w:rsidRPr="00D8107F" w:rsidRDefault="001D710C" w:rsidP="00D8107F">
      <w:pPr>
        <w:autoSpaceDE w:val="0"/>
        <w:autoSpaceDN w:val="0"/>
        <w:adjustRightInd w:val="0"/>
        <w:snapToGrid w:val="0"/>
        <w:spacing w:after="240" w:line="480" w:lineRule="auto"/>
        <w:jc w:val="both"/>
        <w:rPr>
          <w:rFonts w:cs="AdvPSA183"/>
          <w:color w:val="000000" w:themeColor="text1"/>
        </w:rPr>
      </w:pPr>
      <w:r w:rsidRPr="00D8107F">
        <w:rPr>
          <w:rFonts w:cs="AdvPSA183"/>
          <w:color w:val="000000" w:themeColor="text1"/>
        </w:rPr>
        <w:t xml:space="preserve">The systemic inflammatory response is known to </w:t>
      </w:r>
      <w:r w:rsidR="00C31F8A" w:rsidRPr="00D8107F">
        <w:rPr>
          <w:rFonts w:cs="AdvPSA183"/>
          <w:color w:val="000000" w:themeColor="text1"/>
        </w:rPr>
        <w:t xml:space="preserve">be associated with </w:t>
      </w:r>
      <w:r w:rsidRPr="00D8107F">
        <w:rPr>
          <w:rFonts w:cs="AdvPSA183"/>
          <w:color w:val="000000" w:themeColor="text1"/>
        </w:rPr>
        <w:t xml:space="preserve">the development and progression of cancer. </w:t>
      </w:r>
      <w:r w:rsidR="005C6623" w:rsidRPr="00D8107F">
        <w:rPr>
          <w:rFonts w:cs="AdvPSA183"/>
          <w:color w:val="000000" w:themeColor="text1"/>
        </w:rPr>
        <w:t xml:space="preserve">The </w:t>
      </w:r>
      <w:r w:rsidR="00062185" w:rsidRPr="00D8107F">
        <w:rPr>
          <w:rFonts w:cs="AdvPSA183"/>
          <w:color w:val="000000" w:themeColor="text1"/>
        </w:rPr>
        <w:t xml:space="preserve">immune response to a solid tumour generates a </w:t>
      </w:r>
      <w:r w:rsidRPr="00D8107F">
        <w:rPr>
          <w:rFonts w:cs="AdvPSA183"/>
          <w:color w:val="000000" w:themeColor="text1"/>
        </w:rPr>
        <w:t xml:space="preserve">pro-inflammatory tumour microenvironment </w:t>
      </w:r>
      <w:r w:rsidR="00062185" w:rsidRPr="00D8107F">
        <w:rPr>
          <w:rFonts w:cs="AdvPSA183"/>
          <w:color w:val="000000" w:themeColor="text1"/>
        </w:rPr>
        <w:t xml:space="preserve">that </w:t>
      </w:r>
      <w:r w:rsidRPr="00D8107F">
        <w:rPr>
          <w:rFonts w:cs="AdvPSA183"/>
          <w:color w:val="000000" w:themeColor="text1"/>
        </w:rPr>
        <w:t xml:space="preserve">triggers angiogenesis and invasion and </w:t>
      </w:r>
      <w:r w:rsidR="00062185" w:rsidRPr="00D8107F">
        <w:rPr>
          <w:rFonts w:cs="AdvPSA183"/>
          <w:color w:val="000000" w:themeColor="text1"/>
        </w:rPr>
        <w:t>underpins metastasis</w:t>
      </w:r>
      <w:r w:rsidR="00062185" w:rsidRPr="00D8107F">
        <w:rPr>
          <w:rFonts w:cs="AdvPSA183"/>
          <w:color w:val="000000" w:themeColor="text1"/>
        </w:rPr>
        <w:fldChar w:fldCharType="begin" w:fldLock="1"/>
      </w:r>
      <w:r w:rsidR="00420780">
        <w:rPr>
          <w:rFonts w:cs="AdvPSA183"/>
          <w:color w:val="000000" w:themeColor="text1"/>
        </w:rPr>
        <w:instrText>ADDIN CSL_CITATION { "citationItems" : [ { "id" : "ITEM-1", "itemData" : { "DOI" : "10.1016/j.cell.2010.01.025", "ISSN" : "1097-4172 (Electronic)", "PMID" : "20303878", "abstract" : "Inflammatory responses play decisive roles at different stages of tumor development, including initiation, promotion, malignant conversion, invasion, and metastasis. Inflammation also affects immune surveillance and responses to therapy. Immune cells that infiltrate tumors engage in an extensive and dynamic crosstalk with cancer cells, and some of the molecular events that mediate this dialog have been revealed. This review outlines the principal mechanisms that govern the effects of inflammation and immunity on tumor development and discusses attractive new targets for cancer therapy and prevention.", "author" : [ { "dropping-particle" : "", "family" : "Grivennikov", "given" : "Sergei I", "non-dropping-particle" : "", "parse-names" : false, "suffix" : "" }, { "dropping-particle" : "", "family" : "Greten", "given" : "Florian R", "non-dropping-particle" : "", "parse-names" : false, "suffix" : "" }, { "dropping-particle" : "", "family" : "Karin", "given" : "Michael", "non-dropping-particle" : "", "parse-names" : false, "suffix" : "" } ], "container-title" : "Cell", "id" : "ITEM-1", "issue" : "6", "issued" : { "date-parts" : [ [ "2010", "3" ] ] }, "language" : "eng", "page" : "883-899", "publisher-place" : "United States", "title" : "Immunity, inflammation, and cancer.", "type" : "article-journal", "volume" : "140" }, "uris" : [ "http://www.mendeley.com/documents/?uuid=8dd1ec38-a59b-4206-8ca7-913aa7c1fe19" ] } ], "mendeley" : { "formattedCitation" : "&lt;sup&gt;12&lt;/sup&gt;", "plainTextFormattedCitation" : "12", "previouslyFormattedCitation" : "&lt;sup&gt;12&lt;/sup&gt;" }, "properties" : { "noteIndex" : 0 }, "schema" : "https://github.com/citation-style-language/schema/raw/master/csl-citation.json" }</w:instrText>
      </w:r>
      <w:r w:rsidR="00062185" w:rsidRPr="00D8107F">
        <w:rPr>
          <w:rFonts w:cs="AdvPSA183"/>
          <w:color w:val="000000" w:themeColor="text1"/>
        </w:rPr>
        <w:fldChar w:fldCharType="separate"/>
      </w:r>
      <w:r w:rsidR="00F75A76" w:rsidRPr="00D8107F">
        <w:rPr>
          <w:rFonts w:cs="AdvPSA183"/>
          <w:noProof/>
          <w:color w:val="000000" w:themeColor="text1"/>
          <w:vertAlign w:val="superscript"/>
        </w:rPr>
        <w:t>12</w:t>
      </w:r>
      <w:r w:rsidR="00062185" w:rsidRPr="00D8107F">
        <w:rPr>
          <w:rFonts w:cs="AdvPSA183"/>
          <w:color w:val="000000" w:themeColor="text1"/>
        </w:rPr>
        <w:fldChar w:fldCharType="end"/>
      </w:r>
      <w:r w:rsidR="00062185" w:rsidRPr="00D8107F">
        <w:rPr>
          <w:rFonts w:cs="AdvPSA183"/>
          <w:color w:val="000000" w:themeColor="text1"/>
        </w:rPr>
        <w:t xml:space="preserve">. </w:t>
      </w:r>
      <w:r w:rsidR="005C6623" w:rsidRPr="00D8107F">
        <w:rPr>
          <w:rFonts w:cs="AdvPSA183"/>
          <w:color w:val="000000" w:themeColor="text1"/>
        </w:rPr>
        <w:t xml:space="preserve">Derangements in </w:t>
      </w:r>
      <w:r w:rsidR="009D275E" w:rsidRPr="00D8107F">
        <w:rPr>
          <w:color w:val="000000" w:themeColor="text1"/>
        </w:rPr>
        <w:t xml:space="preserve">markers of </w:t>
      </w:r>
      <w:r w:rsidR="009649F0" w:rsidRPr="00D8107F">
        <w:rPr>
          <w:color w:val="000000" w:themeColor="text1"/>
        </w:rPr>
        <w:t>systemic inflammation</w:t>
      </w:r>
      <w:r w:rsidR="009D275E" w:rsidRPr="00D8107F">
        <w:rPr>
          <w:color w:val="000000" w:themeColor="text1"/>
        </w:rPr>
        <w:t xml:space="preserve">, including </w:t>
      </w:r>
      <w:r w:rsidR="005C6623" w:rsidRPr="00D8107F">
        <w:rPr>
          <w:color w:val="000000" w:themeColor="text1"/>
        </w:rPr>
        <w:t xml:space="preserve">an elevated neutrophil to lymphocyte ratio </w:t>
      </w:r>
      <w:r w:rsidR="009A3A6C" w:rsidRPr="009A3A6C">
        <w:rPr>
          <w:color w:val="000000" w:themeColor="text1"/>
          <w:highlight w:val="yellow"/>
        </w:rPr>
        <w:t>(NLR)</w:t>
      </w:r>
      <w:r w:rsidR="009A3A6C">
        <w:rPr>
          <w:color w:val="000000" w:themeColor="text1"/>
        </w:rPr>
        <w:t xml:space="preserve"> </w:t>
      </w:r>
      <w:r w:rsidR="005C6623" w:rsidRPr="00D8107F">
        <w:rPr>
          <w:color w:val="000000" w:themeColor="text1"/>
        </w:rPr>
        <w:t xml:space="preserve">and decreased serum albumin levels </w:t>
      </w:r>
      <w:r w:rsidR="009649F0" w:rsidRPr="00D8107F">
        <w:rPr>
          <w:color w:val="000000" w:themeColor="text1"/>
        </w:rPr>
        <w:t xml:space="preserve">have been shown to </w:t>
      </w:r>
      <w:r w:rsidR="009D275E" w:rsidRPr="00D8107F">
        <w:rPr>
          <w:color w:val="000000" w:themeColor="text1"/>
        </w:rPr>
        <w:t xml:space="preserve">confer </w:t>
      </w:r>
      <w:r w:rsidR="009649F0" w:rsidRPr="00D8107F">
        <w:rPr>
          <w:color w:val="000000" w:themeColor="text1"/>
        </w:rPr>
        <w:t>a poorer prognosis in multiple mal</w:t>
      </w:r>
      <w:r w:rsidR="00447323" w:rsidRPr="00D8107F">
        <w:rPr>
          <w:color w:val="000000" w:themeColor="text1"/>
        </w:rPr>
        <w:t>ignancies</w:t>
      </w:r>
      <w:r w:rsidR="006F48E8" w:rsidRPr="00D8107F">
        <w:rPr>
          <w:color w:val="000000" w:themeColor="text1"/>
        </w:rPr>
        <w:fldChar w:fldCharType="begin" w:fldLock="1"/>
      </w:r>
      <w:r w:rsidR="00420780">
        <w:rPr>
          <w:color w:val="000000" w:themeColor="text1"/>
        </w:rPr>
        <w:instrText>ADDIN CSL_CITATION { "citationItems" : [ { "id" : "ITEM-1", "itemData" : { "DOI" : "10.1007/s00262-012-1347-9", "ISSN" : "1432-0851 (Electronic)", "PMID" : "22986452", "abstract" : "BACKGROUND: Neutrophil to lymphocyte ratio (NLR) has been shown to be a prognosis indicator in different types of cancer. We aimed to investigate the association between NLR and therapy response, progression free survival (PFS) and overall survival (OS) in advanced non-small cell lung cancer (NSCLC) patients treated with first-line platinum-based chemotherapy. METHODS: Patients who were hospitalized between January 2007 and December 2010 were enrolled and eliminated according to the inclusion and exclusion criteria. The NLR was defined as the absolute neutrophil count divided by the absolute lymphocyte count. Logistic regression analysis was applied for response rate and Cox regression analysis was adopted for PFS and OS. A P value of &lt;/=0.05 was considered to be statistically significant. RESULTS: A total of 182 patients were enrolled in the current study. The median PFS was 164.5 days and median OS was 439.5 days. The statistical analysis data indicated that low pretreatment NLR (&lt;/= 2.63) (OR = 2.043, P = 0.043), decreased posttreatment NLR (OR = 2.368, P = 0.013), well and moderate differentiation (OR = 2.773, P = 0.021) and normal CEA level (&lt;/= 9.6 ng/ml) (OR = 2.090, P = 0.046) were associated with response to first-line platinum-based chemotherapy. A high pretreatment NLR (HR = 1.807, P = 0.018 for PFS, HR = 1.761, P = 0.020 for OS) and distant metastasis (HR = 2.118, P = 0.008 for PFS, HR = 2.753, P = 0.000 for OS) were independent prognostic factors for PFS and OS. CONCLUSION: Elevated pretreatment NLR might be a potential biomarker of worse response to first-line platinum-based chemotherapy and shorter PFS and OS for advanced NSCLC patients. To confirm these findings, larger, prospective and randomized studies are needed.", "author" : [ { "dropping-particle" : "", "family" : "Yao", "given" : "Yanwen", "non-dropping-particle" : "", "parse-names" : false, "suffix" : "" }, { "dropping-particle" : "", "family" : "Yuan", "given" : "Dongmei", "non-dropping-particle" : "", "parse-names" : false, "suffix" : "" }, { "dropping-particle" : "", "family" : "Liu", "given" : "Hongbing", "non-dropping-particle" : "", "parse-names" : false, "suffix" : "" }, { "dropping-particle" : "", "family" : "Gu", "given" : "Xiaoling", "non-dropping-particle" : "", "parse-names" : false, "suffix" : "" }, { "dropping-particle" : "", "family" : "Song", "given" : "Yong", "non-dropping-particle" : "", "parse-names" : false, "suffix" : "" } ], "container-title" : "Cancer immunology, immunotherapy : CII", "id" : "ITEM-1", "issue" : "3", "issued" : { "date-parts" : [ [ "2013", "3" ] ] }, "language" : "eng", "page" : "471-479", "publisher-place" : "Germany", "title" : "Pretreatment neutrophil to lymphocyte ratio is associated with response to therapy and prognosis of advanced non-small cell lung cancer patients treated with first-line platinum-based chemotherapy.", "type" : "article-journal", "volume" : "62" }, "uris" : [ "http://www.mendeley.com/documents/?uuid=f403abe2-028e-4d95-8643-a98cdeddac06" ] }, { "id" : "ITEM-2", "itemData" : { "DOI" : "10.1038/bjc.2011.100", "ISSN" : "1532-1827 (Electronic)", "PMID" : "21448173", "abstract" : "BACKGROUND: Advances in the treatment of metastatic colorectal cancer (mCRC) in the last decade have significantly improved survival; however, simple biomarkers to predict response or toxicity have not been identified, which are applicable to all community oncology settings worldwide. The use of inflammatory markers based on differential white-cell counts, such as the neutrophil/lymphocyte ratio (NLR), may be simple and readily available biomarkers. METHODS: Clinical information and baseline laboratory parameters were available for 349 patients, from two independent cohorts, with unresectable mCRC receiving first-line palliative chemotherapy. Associations between baseline prognostic variables, including inflammatory markers such as the NLR and tumour response, progression and survival were investigated. RESULTS: In the training cohort, combination-agent chemotherapy (P=0.001) and NLR &lt;/= 5 (P=0.003) were associated with improved clinical benefit. The ECOG performance status &gt;/=1 (P=0.002), NLR&gt;5 (P=0.01), hypoalbuminaemia (P=0.03) and single-agent chemotherapy (P&lt;0.0001) were associated with increased risk of progression. The ECOG performance status &gt;/= 1 (P=0.004) and NLR&gt;5 (P=0.002) predicted worse overall survival (OS). The NLR was confirmed to independently predict OS in the validation cohort (P&lt;0.0001). Normalisation of the NLR after one cycle of chemotherapy in a subset of patients resulted in improved progression-free survival (P=0.012). CONCLUSION: These results have highlighted NLR as a potentially useful clinical biomarker of systemic inflammatory response in predicting clinically meaningful outcomes in two independent cohorts. Results of this study have also confirmed the importance of a chronic systemic inflammatory response influencing clinical outcomes in patients with mCRC.", "author" : [ { "dropping-particle" : "", "family" : "Chua", "given" : "W", "non-dropping-particle" : "", "parse-names" : false, "suffix" : "" }, { "dropping-particle" : "", "family" : "Charles", "given" : "K A", "non-dropping-particle" : "", "parse-names" : false, "suffix" : "" }, { "dropping-particle" : "", "family" : "Baracos", "given" : "V E", "non-dropping-particle" : "", "parse-names" : false, "suffix" : "" }, { "dropping-particle" : "", "family" : "Clarke", "given" : "S J", "non-dropping-particle" : "", "parse-names" : false, "suffix" : "" } ], "container-title" : "British journal of cancer", "id" : "ITEM-2", "issue" : "8", "issued" : { "date-parts" : [ [ "2011", "4" ] ] }, "language" : "eng", "page" : "1288-1295", "publisher-place" : "England", "title" : "Neutrophil/lymphocyte ratio predicts chemotherapy outcomes in patients with advanced colorectal cancer.", "type" : "article-journal", "volume" : "104" }, "uris" : [ "http://www.mendeley.com/documents/?uuid=b0bf56df-84be-45ec-b2cf-6751e21e04de" ] }, { "id" : "ITEM-3", "itemData" : { "DOI" : "10.1177/014860710302700110", "ISSN" : "0148-6071 (Print)", "PMID" : "12549592", "abstract" : "BACKGROUND: The medical literature shows several examples of an inverse relationship between serum albumin levels and survival in patients with advanced cancer. METHODS: We investigated the effect of baseline serum levels on 180 consecutively treated patients who were diagnosed with breast cancer from March 1993 to December 1999 at our institution. We investigated the effect of low levels of serum albumin (&lt;3.5 g/dL) using univariate and the multivariate Cox regression model. RESULTS: Demographically, the median age of these patients was 51 years of age, with a range of 28 to 88 years. In this series, 28 patients have died and 9 have developed a recurrence of tumor. The patient distribution by tumor stage was 53, stage 1; 47, stage 2A; 29, stage 2B; 11, stage 3; 13, stage 4A; and 21, stage 4B. In this cohort, the overall 5-year survival was 69%. The Cox regression analysis found that normal levels of albumin (&gt;3.5 g/dL) reduced the risk of death by 72% (p = .0033). Only tumor stage had a larger impact on survival (p &lt; .0000). Other factors achieving statistical significance were overexpression of the HER2/Neu antigen (p = .0167) and breast antigen (p = .0116). CONCLUSION: Univariate statistical analysis found that low levels of serum albumin adversely affected survival by a statistically significant level for all stages of breast cancer. We found that a baseline serum albumin level was a powerful prognostic variable, which accounted for 7.35% of the variation in patient survival time.", "author" : [ { "dropping-particle" : "", "family" : "Lis", "given" : "Christopher G", "non-dropping-particle" : "", "parse-names" : false, "suffix" : "" }, { "dropping-particle" : "", "family" : "Grutsch", "given" : "James F", "non-dropping-particle" : "", "parse-names" : false, "suffix" : "" }, { "dropping-particle" : "", "family" : "Vashi", "given" : "Pankaj G", "non-dropping-particle" : "", "parse-names" : false, "suffix" : "" }, { "dropping-particle" : "", "family" : "Lammersfeld", "given" : "Carolyn A", "non-dropping-particle" : "", "parse-names" : false, "suffix" : "" } ], "container-title" : "JPEN. Journal of parenteral and enteral nutrition", "id" : "ITEM-3", "issue" : "1", "issued" : { "date-parts" : [ [ "2003" ] ] }, "language" : "eng", "page" : "10-15", "publisher-place" : "United States", "title" : "Is serum albumin an independent predictor of survival in patients with breast cancer?", "type" : "article-journal", "volume" : "27" }, "uris" : [ "http://www.mendeley.com/documents/?uuid=f00306f4-80e7-473e-b8bb-578d56473062" ] } ], "mendeley" : { "formattedCitation" : "&lt;sup&gt;13\u201315&lt;/sup&gt;", "plainTextFormattedCitation" : "13\u201315", "previouslyFormattedCitation" : "&lt;sup&gt;13\u201315&lt;/sup&gt;" }, "properties" : { "noteIndex" : 0 }, "schema" : "https://github.com/citation-style-language/schema/raw/master/csl-citation.json" }</w:instrText>
      </w:r>
      <w:r w:rsidR="006F48E8" w:rsidRPr="00D8107F">
        <w:rPr>
          <w:color w:val="000000" w:themeColor="text1"/>
        </w:rPr>
        <w:fldChar w:fldCharType="separate"/>
      </w:r>
      <w:r w:rsidR="00F75A76" w:rsidRPr="00D8107F">
        <w:rPr>
          <w:noProof/>
          <w:color w:val="000000" w:themeColor="text1"/>
          <w:vertAlign w:val="superscript"/>
        </w:rPr>
        <w:t>13–15</w:t>
      </w:r>
      <w:r w:rsidR="006F48E8" w:rsidRPr="00D8107F">
        <w:rPr>
          <w:color w:val="000000" w:themeColor="text1"/>
        </w:rPr>
        <w:fldChar w:fldCharType="end"/>
      </w:r>
      <w:r w:rsidR="009D275E" w:rsidRPr="00D8107F">
        <w:rPr>
          <w:color w:val="000000" w:themeColor="text1"/>
        </w:rPr>
        <w:t>.</w:t>
      </w:r>
      <w:r w:rsidR="00D664FE" w:rsidRPr="00D8107F">
        <w:rPr>
          <w:color w:val="000000" w:themeColor="text1"/>
        </w:rPr>
        <w:t xml:space="preserve"> </w:t>
      </w:r>
      <w:r w:rsidR="009D275E" w:rsidRPr="00D8107F">
        <w:rPr>
          <w:color w:val="000000" w:themeColor="text1"/>
        </w:rPr>
        <w:t xml:space="preserve">Elevated </w:t>
      </w:r>
      <w:r w:rsidR="005C6623" w:rsidRPr="00D8107F">
        <w:rPr>
          <w:color w:val="000000" w:themeColor="text1"/>
        </w:rPr>
        <w:t>platelet to lymphocyte ratio</w:t>
      </w:r>
      <w:r w:rsidR="009A3A6C">
        <w:rPr>
          <w:color w:val="000000" w:themeColor="text1"/>
        </w:rPr>
        <w:t xml:space="preserve"> </w:t>
      </w:r>
      <w:r w:rsidR="009A3A6C" w:rsidRPr="009A3A6C">
        <w:rPr>
          <w:color w:val="000000" w:themeColor="text1"/>
          <w:highlight w:val="yellow"/>
        </w:rPr>
        <w:t>(PLR)</w:t>
      </w:r>
      <w:r w:rsidR="005C6623" w:rsidRPr="00D8107F">
        <w:rPr>
          <w:color w:val="000000" w:themeColor="text1"/>
        </w:rPr>
        <w:t xml:space="preserve"> and mean platelet volume </w:t>
      </w:r>
      <w:r w:rsidR="009D275E" w:rsidRPr="00D8107F">
        <w:rPr>
          <w:color w:val="000000" w:themeColor="text1"/>
        </w:rPr>
        <w:t>have also been</w:t>
      </w:r>
      <w:r w:rsidR="00D664FE" w:rsidRPr="00D8107F">
        <w:rPr>
          <w:color w:val="000000" w:themeColor="text1"/>
        </w:rPr>
        <w:t xml:space="preserve"> linked to </w:t>
      </w:r>
      <w:r w:rsidR="009D275E" w:rsidRPr="00D8107F">
        <w:rPr>
          <w:color w:val="000000" w:themeColor="text1"/>
        </w:rPr>
        <w:t xml:space="preserve">more rapid </w:t>
      </w:r>
      <w:r w:rsidR="00D664FE" w:rsidRPr="00D8107F">
        <w:rPr>
          <w:color w:val="000000" w:themeColor="text1"/>
        </w:rPr>
        <w:t xml:space="preserve">disease progression </w:t>
      </w:r>
      <w:r w:rsidR="009D275E" w:rsidRPr="00D8107F">
        <w:rPr>
          <w:color w:val="000000" w:themeColor="text1"/>
        </w:rPr>
        <w:t xml:space="preserve">of </w:t>
      </w:r>
      <w:r w:rsidR="00D664FE" w:rsidRPr="00D8107F">
        <w:rPr>
          <w:rFonts w:cs="AdvPSA183"/>
          <w:color w:val="000000" w:themeColor="text1"/>
        </w:rPr>
        <w:t>GEPNETs</w:t>
      </w:r>
      <w:r w:rsidR="006F48E8" w:rsidRPr="00D8107F">
        <w:rPr>
          <w:color w:val="000000" w:themeColor="text1"/>
        </w:rPr>
        <w:fldChar w:fldCharType="begin" w:fldLock="1"/>
      </w:r>
      <w:r w:rsidR="00420780">
        <w:rPr>
          <w:color w:val="000000" w:themeColor="text1"/>
        </w:rPr>
        <w:instrText>ADDIN CSL_CITATION { "citationItems" : [ { "id" : "ITEM-1", "itemData" : { "DOI" : "10.1245/s10434-017-6241-4", "ISSN" : "1534-4681", "abstract" : "The prognosis and behavior of pancreatic neuroendocrine tumors (PNETs) vary and may be divergent even at the same stage or tumor grade. Markers of systemic inflammatory response are readily available and are inexpensive, and have been shown to be prognostic factors in several cancers.", "author" : [ { "dropping-particle" : "", "family" : "Gaitanidis", "given" : "Apostolos", "non-dropping-particle" : "", "parse-names" : false, "suffix" : "" }, { "dropping-particle" : "", "family" : "Patel", "given" : "Dhaval", "non-dropping-particle" : "", "parse-names" : false, "suffix" : "" }, { "dropping-particle" : "", "family" : "Nilubol", "given" : "Naris", "non-dropping-particle" : "", "parse-names" : false, "suffix" : "" }, { "dropping-particle" : "", "family" : "Tirosh", "given" : "Amit", "non-dropping-particle" : "", "parse-names" : false, "suffix" : "" }, { "dropping-particle" : "", "family" : "Sadowski", "given" : "Samira", "non-dropping-particle" : "", "parse-names" : false, "suffix" : "" }, { "dropping-particle" : "", "family" : "Kebebew", "given" : "Electron", "non-dropping-particle" : "", "parse-names" : false, "suffix" : "" } ], "container-title" : "Annals of Surgical Oncology", "id" : "ITEM-1", "issue" : "1", "issued" : { "date-parts" : [ [ "2018", "1" ] ] }, "page" : "122-130", "title" : "Markers of Systemic Inflammatory Response are Prognostic Factors in Patients with Pancreatic Neuroendocrine Tumors (PNETs): A Prospective Analysis", "type" : "article-journal", "volume" : "25" }, "uris" : [ "http://www.mendeley.com/documents/?uuid=77bc36c2-6128-4c54-a874-7ef6c6dc6c50" ] } ], "mendeley" : { "formattedCitation" : "&lt;sup&gt;16&lt;/sup&gt;", "plainTextFormattedCitation" : "16", "previouslyFormattedCitation" : "&lt;sup&gt;16&lt;/sup&gt;" }, "properties" : { "noteIndex" : 0 }, "schema" : "https://github.com/citation-style-language/schema/raw/master/csl-citation.json" }</w:instrText>
      </w:r>
      <w:r w:rsidR="006F48E8" w:rsidRPr="00D8107F">
        <w:rPr>
          <w:color w:val="000000" w:themeColor="text1"/>
        </w:rPr>
        <w:fldChar w:fldCharType="separate"/>
      </w:r>
      <w:r w:rsidR="00F75A76" w:rsidRPr="00D8107F">
        <w:rPr>
          <w:noProof/>
          <w:color w:val="000000" w:themeColor="text1"/>
          <w:vertAlign w:val="superscript"/>
        </w:rPr>
        <w:t>16</w:t>
      </w:r>
      <w:r w:rsidR="006F48E8" w:rsidRPr="00D8107F">
        <w:rPr>
          <w:color w:val="000000" w:themeColor="text1"/>
        </w:rPr>
        <w:fldChar w:fldCharType="end"/>
      </w:r>
      <w:r w:rsidR="00420780">
        <w:rPr>
          <w:color w:val="000000" w:themeColor="text1"/>
        </w:rPr>
        <w:t xml:space="preserve">, whilst Wiese </w:t>
      </w:r>
      <w:r w:rsidR="00420780">
        <w:rPr>
          <w:i/>
          <w:color w:val="000000" w:themeColor="text1"/>
        </w:rPr>
        <w:t xml:space="preserve">et al. </w:t>
      </w:r>
      <w:r w:rsidR="00420780">
        <w:rPr>
          <w:color w:val="000000" w:themeColor="text1"/>
        </w:rPr>
        <w:t xml:space="preserve">showed a statistically significant correlation between </w:t>
      </w:r>
      <w:r w:rsidR="00152CA3">
        <w:rPr>
          <w:color w:val="000000" w:themeColor="text1"/>
        </w:rPr>
        <w:t xml:space="preserve">C- reactive protein levels </w:t>
      </w:r>
      <w:r w:rsidR="00420780">
        <w:rPr>
          <w:color w:val="000000" w:themeColor="text1"/>
        </w:rPr>
        <w:t>and overall survival within pancreatic NETs</w:t>
      </w:r>
      <w:r w:rsidR="00420780">
        <w:rPr>
          <w:color w:val="000000" w:themeColor="text1"/>
        </w:rPr>
        <w:fldChar w:fldCharType="begin" w:fldLock="1"/>
      </w:r>
      <w:r w:rsidR="009914C5">
        <w:rPr>
          <w:color w:val="000000" w:themeColor="text1"/>
        </w:rPr>
        <w:instrText>ADDIN CSL_CITATION { "citationItems" : [ { "id" : "ITEM-1", "itemData" : { "ISSN" : "0021-972X", "abstract" : "Context:Patients with pancreatic neuroendocrine neoplasia (pNEN) show great variability in prognosis and treatment response. Additional prognostic markers might help in individual therapeutic decision making.Objective:The objective of the study was to investigate the association between preoperative plasma levels of C-reactive protein (CRP) and overall survival (OS) in pNEN.Design:This was a single-center, retrospective analysis of long-term prospective patient-database.Setting:The study was conducted at a tertiary referral center.Patients:All 149 patients with sporadic pNENs were eligible for retrospective analysis.Main Outcome Measure:Cumulative overall survival, compared between patients with elevated and normal CRP levels, was measured.Results:Median OS for patients with elevated CRP levels was 1093 days (SE 1261, 95% confidence interval [CI] 0\u20133565), compared with 6859 days (SE 1252, 95% CI 4405\u20139313) for patients with normal CRP levels. Log rank test showed a significant correlation between CRP and OS (P &amp;lt; .001). In univariate Cox regression, patients with elevated CRP levels had a significantly higher hazard ratio for death (3.27; 95%-CI 1.74\u20136.16; P &amp;lt; .001). This finding persisted after multivariable adjustment. Furthermore, OS was associated with the presence of liver metastases (hazard ratio 3.17; 95% CI 1.88\u20135.35; P &amp;lt; .001), incomplete resection (R1/R2 status; hazard ratio 3.99; 95% CI 2.16\u20137.35; P &amp;lt; .001) and Ki-67 percentage (hazard ratio 5.05; 95% CI 2.17\u201311.76; P &amp;lt; .001).Conclusion:CRP is an independent prognostic marker in patients with pNEN. Pretreatment CRP measurements should be considered for incorporation into prospective studies of outcome in patients with pNENs and clinical trials of systemic therapies for these tumors.", "author" : [ { "dropping-particle" : "", "family" : "Wiese", "given" : "Dominik", "non-dropping-particle" : "", "parse-names" : false, "suffix" : "" }, { "dropping-particle" : "", "family" : "Kampe", "given" : "Katharina", "non-dropping-particle" : "", "parse-names" : false, "suffix" : "" }, { "dropping-particle" : "", "family" : "Waldmann", "given" : "Jens", "non-dropping-particle" : "", "parse-names" : false, "suffix" : "" }, { "dropping-particle" : "", "family" : "Heverhagen", "given" : "Anna E", "non-dropping-particle" : "", "parse-names" : false, "suffix" : "" }, { "dropping-particle" : "", "family" : "Bartsch", "given" : "Detlef K", "non-dropping-particle" : "", "parse-names" : false, "suffix" : "" }, { "dropping-particle" : "", "family" : "Fendrich", "given" : "Volker", "non-dropping-particle" : "", "parse-names" : false, "suffix" : "" } ], "container-title" : "The Journal of Clinical Endocrinology &amp; Metabolism", "id" : "ITEM-1", "issue" : "3", "issued" : { "date-parts" : [ [ "2016", "3", "1" ] ] }, "note" : "10.1210/jc.2015-3114", "page" : "937-944", "title" : "C-Reactive Protein as a New Prognostic Factor for Survival in Patients With Pancreatic Neuroendocrine Neoplasia", "type" : "article-journal", "volume" : "101" }, "uris" : [ "http://www.mendeley.com/documents/?uuid=0bac31c8-3f49-444a-9bca-31499cb7e56f" ] } ], "mendeley" : { "formattedCitation" : "&lt;sup&gt;17&lt;/sup&gt;", "plainTextFormattedCitation" : "17", "previouslyFormattedCitation" : "&lt;sup&gt;17&lt;/sup&gt;" }, "properties" : { "noteIndex" : 0 }, "schema" : "https://github.com/citation-style-language/schema/raw/master/csl-citation.json" }</w:instrText>
      </w:r>
      <w:r w:rsidR="00420780">
        <w:rPr>
          <w:color w:val="000000" w:themeColor="text1"/>
        </w:rPr>
        <w:fldChar w:fldCharType="separate"/>
      </w:r>
      <w:r w:rsidR="00420780" w:rsidRPr="00420780">
        <w:rPr>
          <w:noProof/>
          <w:color w:val="000000" w:themeColor="text1"/>
          <w:vertAlign w:val="superscript"/>
        </w:rPr>
        <w:t>17</w:t>
      </w:r>
      <w:r w:rsidR="00420780">
        <w:rPr>
          <w:color w:val="000000" w:themeColor="text1"/>
        </w:rPr>
        <w:fldChar w:fldCharType="end"/>
      </w:r>
      <w:r w:rsidR="00420780">
        <w:rPr>
          <w:color w:val="000000" w:themeColor="text1"/>
        </w:rPr>
        <w:t xml:space="preserve">. </w:t>
      </w:r>
      <w:r w:rsidR="009D275E" w:rsidRPr="00D8107F">
        <w:rPr>
          <w:color w:val="000000" w:themeColor="text1"/>
        </w:rPr>
        <w:t xml:space="preserve">Wu </w:t>
      </w:r>
      <w:r w:rsidR="009D275E" w:rsidRPr="00D8107F">
        <w:rPr>
          <w:i/>
          <w:color w:val="000000" w:themeColor="text1"/>
        </w:rPr>
        <w:t xml:space="preserve">et </w:t>
      </w:r>
      <w:r w:rsidR="009D275E" w:rsidRPr="00D8107F">
        <w:rPr>
          <w:color w:val="000000" w:themeColor="text1"/>
        </w:rPr>
        <w:t>al previously demonstrated</w:t>
      </w:r>
      <w:r w:rsidR="002F4EE1" w:rsidRPr="00D8107F">
        <w:rPr>
          <w:color w:val="000000" w:themeColor="text1"/>
        </w:rPr>
        <w:t>,</w:t>
      </w:r>
      <w:r w:rsidR="009D275E" w:rsidRPr="00D8107F">
        <w:rPr>
          <w:color w:val="000000" w:themeColor="text1"/>
        </w:rPr>
        <w:t xml:space="preserve"> within a murine NET xenograft, </w:t>
      </w:r>
      <w:r w:rsidR="002F4EE1" w:rsidRPr="00D8107F">
        <w:rPr>
          <w:color w:val="000000" w:themeColor="text1"/>
        </w:rPr>
        <w:t xml:space="preserve">that </w:t>
      </w:r>
      <w:r w:rsidR="009D275E" w:rsidRPr="00D8107F">
        <w:rPr>
          <w:color w:val="000000" w:themeColor="text1"/>
        </w:rPr>
        <w:t>PRRT lead</w:t>
      </w:r>
      <w:r w:rsidR="002F4EE1" w:rsidRPr="00D8107F">
        <w:rPr>
          <w:color w:val="000000" w:themeColor="text1"/>
        </w:rPr>
        <w:t>s</w:t>
      </w:r>
      <w:r w:rsidR="009D275E" w:rsidRPr="00D8107F">
        <w:rPr>
          <w:color w:val="000000" w:themeColor="text1"/>
        </w:rPr>
        <w:t xml:space="preserve"> to increased infiltration of antigen-presenting cells and NK cells into tumours, suggesting </w:t>
      </w:r>
      <w:r w:rsidR="00B40899" w:rsidRPr="00D8107F">
        <w:rPr>
          <w:color w:val="000000" w:themeColor="text1"/>
        </w:rPr>
        <w:t xml:space="preserve">a </w:t>
      </w:r>
      <w:r w:rsidR="009D275E" w:rsidRPr="00D8107F">
        <w:rPr>
          <w:color w:val="000000" w:themeColor="text1"/>
        </w:rPr>
        <w:t>mechanistic role for the inflammatory response in the action of PRRT</w:t>
      </w:r>
      <w:r w:rsidR="009D275E" w:rsidRPr="00D8107F">
        <w:rPr>
          <w:color w:val="000000" w:themeColor="text1"/>
        </w:rPr>
        <w:fldChar w:fldCharType="begin" w:fldLock="1"/>
      </w:r>
      <w:r w:rsidR="009914C5">
        <w:rPr>
          <w:color w:val="000000" w:themeColor="text1"/>
        </w:rPr>
        <w:instrText>ADDIN CSL_CITATION { "citationItems" : [ { "id" : "ITEM-1", "itemData" : { "DOI" : "10.3390/diagnostics3040344", "ISSN" : "2075-4418", "abstract" : "Peptide receptor radionuclide therapy (PRRT) is a relatively new mode of internally targeted radiotherapy currently in clinical trials. In PRRT, ionizing radioisotopes conjugated to somatostatin analogues are targeted to neuroendocrine tumors (NETs) via somatostatin receptors. Despite promising clinical results, very little is known about the mechanism of tumor control. By using NCI-H727 cells in an in vivo murine xenograft model of human NETs, we showed that (177)Lu-DOTATATE PRRT led to increased infiltration of CD86+ antigen presenting cells into tumor tissue. We also found that following treatment with PRRT, there was significantly increased tumor infiltration by CD49b+/FasL+ NK cells potentially capable of tumor killing. Further investigation into the immunomodulatory effects of PRRT will be essential in improving treatment efficacy. ", "author" : [ { "dropping-particle" : "", "family" : "Wu", "given" : "Yin", "non-dropping-particle" : "", "parse-names" : false, "suffix" : "" }, { "dropping-particle" : "", "family" : "Pfeifer", "given" : "Andreas Klaus", "non-dropping-particle" : "", "parse-names" : false, "suffix" : "" }, { "dropping-particle" : "", "family" : "Myschetzky", "given" : "Rebecca", "non-dropping-particle" : "", "parse-names" : false, "suffix" : "" }, { "dropping-particle" : "", "family" : "Garbyal", "given" : "Rajendra Singh", "non-dropping-particle" : "", "parse-names" : false, "suffix" : "" }, { "dropping-particle" : "", "family" : "Rasmussen", "given" : "Palle", "non-dropping-particle" : "", "parse-names" : false, "suffix" : "" }, { "dropping-particle" : "", "family" : "Knigge", "given" : "Ulrich", "non-dropping-particle" : "", "parse-names" : false, "suffix" : "" }, { "dropping-particle" : "", "family" : "Bzorek", "given" : "Michael", "non-dropping-particle" : "", "parse-names" : false, "suffix" : "" }, { "dropping-particle" : "", "family" : "Kristensen", "given" : "Michael Holmsgaard", "non-dropping-particle" : "", "parse-names" : false, "suffix" : "" }, { "dropping-particle" : "", "family" : "Kjaer", "given" : "Andreas", "non-dropping-particle" : "", "parse-names" : false, "suffix" : "" } ], "container-title" : "Diagnostics", "id" : "ITEM-1", "issue" : "4", "issued" : { "date-parts" : [ [ "2013", "12", "2" ] ] }, "page" : "344-355", "publisher" : "MDPI", "title" : "Induction of Anti-Tumor Immune Responses by Peptide Receptor Radionuclide Therapy with (177)Lu-DOTATATE in a Murine Model of a Human Neuroendocrine Tumor", "type" : "article-journal", "volume" : "3" }, "uris" : [ "http://www.mendeley.com/documents/?uuid=ba850ebc-017e-40ed-a658-29107cd8ab1b" ] } ], "mendeley" : { "formattedCitation" : "&lt;sup&gt;18&lt;/sup&gt;", "plainTextFormattedCitation" : "18", "previouslyFormattedCitation" : "&lt;sup&gt;18&lt;/sup&gt;" }, "properties" : { "noteIndex" : 0 }, "schema" : "https://github.com/citation-style-language/schema/raw/master/csl-citation.json" }</w:instrText>
      </w:r>
      <w:r w:rsidR="009D275E" w:rsidRPr="00D8107F">
        <w:rPr>
          <w:color w:val="000000" w:themeColor="text1"/>
        </w:rPr>
        <w:fldChar w:fldCharType="separate"/>
      </w:r>
      <w:r w:rsidR="00420780" w:rsidRPr="00420780">
        <w:rPr>
          <w:noProof/>
          <w:color w:val="000000" w:themeColor="text1"/>
          <w:vertAlign w:val="superscript"/>
        </w:rPr>
        <w:t>18</w:t>
      </w:r>
      <w:r w:rsidR="009D275E" w:rsidRPr="00D8107F">
        <w:rPr>
          <w:color w:val="000000" w:themeColor="text1"/>
        </w:rPr>
        <w:fldChar w:fldCharType="end"/>
      </w:r>
      <w:r w:rsidR="009D275E" w:rsidRPr="00D8107F">
        <w:rPr>
          <w:color w:val="000000" w:themeColor="text1"/>
        </w:rPr>
        <w:t xml:space="preserve">. </w:t>
      </w:r>
    </w:p>
    <w:p w14:paraId="5BDEE968" w14:textId="3FAED1F6" w:rsidR="00B91B66" w:rsidRPr="00D8107F" w:rsidRDefault="009D275E" w:rsidP="00D8107F">
      <w:pPr>
        <w:autoSpaceDE w:val="0"/>
        <w:autoSpaceDN w:val="0"/>
        <w:adjustRightInd w:val="0"/>
        <w:snapToGrid w:val="0"/>
        <w:spacing w:after="240" w:line="480" w:lineRule="auto"/>
        <w:jc w:val="both"/>
        <w:rPr>
          <w:color w:val="000000" w:themeColor="text1"/>
        </w:rPr>
      </w:pPr>
      <w:r w:rsidRPr="00D8107F">
        <w:rPr>
          <w:color w:val="000000" w:themeColor="text1"/>
        </w:rPr>
        <w:lastRenderedPageBreak/>
        <w:t>T</w:t>
      </w:r>
      <w:r w:rsidR="00FF5B8B" w:rsidRPr="00D8107F">
        <w:rPr>
          <w:color w:val="000000" w:themeColor="text1"/>
        </w:rPr>
        <w:t xml:space="preserve">he inflammation-based index (IBI) </w:t>
      </w:r>
      <w:r w:rsidRPr="00D8107F">
        <w:rPr>
          <w:color w:val="000000" w:themeColor="text1"/>
        </w:rPr>
        <w:t>is derived from the serum</w:t>
      </w:r>
      <w:r w:rsidR="005C71E7" w:rsidRPr="00D8107F">
        <w:rPr>
          <w:color w:val="000000" w:themeColor="text1"/>
        </w:rPr>
        <w:t xml:space="preserve"> </w:t>
      </w:r>
      <w:r w:rsidR="009649F0" w:rsidRPr="00D8107F">
        <w:rPr>
          <w:color w:val="000000" w:themeColor="text1"/>
        </w:rPr>
        <w:t>C-reactive protein and albumin</w:t>
      </w:r>
      <w:r w:rsidR="00351847" w:rsidRPr="00D8107F">
        <w:rPr>
          <w:color w:val="000000" w:themeColor="text1"/>
        </w:rPr>
        <w:t xml:space="preserve"> </w:t>
      </w:r>
      <w:r w:rsidRPr="00D8107F">
        <w:rPr>
          <w:color w:val="000000" w:themeColor="text1"/>
        </w:rPr>
        <w:t>levels – both markers of systemic inflammation. It is</w:t>
      </w:r>
      <w:r w:rsidR="00351847" w:rsidRPr="00D8107F">
        <w:rPr>
          <w:color w:val="000000" w:themeColor="text1"/>
        </w:rPr>
        <w:t xml:space="preserve"> prognostic in</w:t>
      </w:r>
      <w:r w:rsidR="00FF5B8B" w:rsidRPr="00D8107F">
        <w:rPr>
          <w:color w:val="000000" w:themeColor="text1"/>
        </w:rPr>
        <w:t xml:space="preserve"> hepatocellular carcinom</w:t>
      </w:r>
      <w:r w:rsidR="00FA7CF6" w:rsidRPr="00D8107F">
        <w:rPr>
          <w:color w:val="000000" w:themeColor="text1"/>
        </w:rPr>
        <w:t>a</w:t>
      </w:r>
      <w:r w:rsidRPr="00D8107F">
        <w:rPr>
          <w:color w:val="000000" w:themeColor="text1"/>
        </w:rPr>
        <w:t>;</w:t>
      </w:r>
      <w:r w:rsidR="00FA7CF6" w:rsidRPr="00D8107F">
        <w:rPr>
          <w:color w:val="000000" w:themeColor="text1"/>
        </w:rPr>
        <w:t xml:space="preserve"> </w:t>
      </w:r>
      <w:r w:rsidR="00A84F63" w:rsidRPr="00D8107F">
        <w:rPr>
          <w:color w:val="000000" w:themeColor="text1"/>
        </w:rPr>
        <w:t>predict</w:t>
      </w:r>
      <w:r w:rsidR="00062185" w:rsidRPr="00D8107F">
        <w:rPr>
          <w:color w:val="000000" w:themeColor="text1"/>
        </w:rPr>
        <w:t xml:space="preserve">ing </w:t>
      </w:r>
      <w:r w:rsidRPr="00D8107F">
        <w:rPr>
          <w:color w:val="000000" w:themeColor="text1"/>
        </w:rPr>
        <w:t xml:space="preserve">both </w:t>
      </w:r>
      <w:r w:rsidR="00A84F63" w:rsidRPr="00D8107F">
        <w:rPr>
          <w:color w:val="000000" w:themeColor="text1"/>
        </w:rPr>
        <w:t>overall survival (OS)</w:t>
      </w:r>
      <w:r w:rsidR="00025018" w:rsidRPr="00D8107F">
        <w:rPr>
          <w:color w:val="000000" w:themeColor="text1"/>
        </w:rPr>
        <w:t xml:space="preserve"> </w:t>
      </w:r>
      <w:r w:rsidRPr="00D8107F">
        <w:rPr>
          <w:color w:val="000000" w:themeColor="text1"/>
        </w:rPr>
        <w:t>and</w:t>
      </w:r>
      <w:r w:rsidR="00FA7CF6" w:rsidRPr="00D8107F">
        <w:rPr>
          <w:color w:val="000000" w:themeColor="text1"/>
        </w:rPr>
        <w:t xml:space="preserve"> </w:t>
      </w:r>
      <w:r w:rsidR="008D0749" w:rsidRPr="00D8107F">
        <w:rPr>
          <w:color w:val="000000" w:themeColor="text1"/>
        </w:rPr>
        <w:t>response to chemoembolisation therapy</w:t>
      </w:r>
      <w:r w:rsidR="00B162A4" w:rsidRPr="00D8107F">
        <w:rPr>
          <w:color w:val="000000" w:themeColor="text1"/>
        </w:rPr>
        <w:fldChar w:fldCharType="begin" w:fldLock="1"/>
      </w:r>
      <w:r w:rsidR="009914C5">
        <w:rPr>
          <w:color w:val="000000" w:themeColor="text1"/>
        </w:rPr>
        <w:instrText>ADDIN CSL_CITATION { "citationItems" : [ { "id" : "ITEM-1", "itemData" : { "DOI" : "10.1016/j.jhep.2012.06.022", "ISSN" : "1600-0641 (Electronic)", "PMID" : "22732513", "abstract" : "BACKGROUND &amp; AIMS: Outcome prediction is uniquely different in hepatocellular carcinoma (HCC) as the progressive functional impairment of the liver impacts patient survival independently of tumour stage. As chronic inflammation is associated with the pathogenesis of HCC, we explored the prognostic impact of a panel of inflammatory based scores, including the modified Glasgow Prognostic Score (mGPS), neutrophil to lymphocyte ratio (NLR) and platelet to lymphocyte ratio (PLR), in independent cohorts. METHODS: Inflammatory markers, Barcelona Clinic Liver Cancer (BCLC) and Cancer of the Liver Italian Program (CLIP) scores were studied in a training set of 112 patients with predominantly unresectable HCC (75%). Independent predictors of survival identified in multivariate analysis were validated in an independent cohort of 466 patients with an overall lower tumour burden (BCLC-A, 56%). RESULTS: In both training and validation sets, mGPS and CLIP scores emerged as independent predictors of overall survival. The predictive accuracy of the combined mGPS and CLIP score (c score 0.7, 95% CI 0.6-0.8) appeared superior to that of the CLIP score alone (c score 0.6, 95% CI 0.5-0.7). CONCLUSIONS: Systemic inflammation as measured by the mGPS, independently predicts overall survival in HCC. We have validated a novel, easy to use inflammatory score that can be used to stratify individuals. These data enable formulation of a new prognostic system, the inflammation based index in HCC (IBI). Further validation of the IBI considering treatment allocation and survival is warranted in an independent patient cohort.", "author" : [ { "dropping-particle" : "", "family" : "Pinato", "given" : "David J", "non-dropping-particle" : "", "parse-names" : false, "suffix" : "" }, { "dropping-particle" : "", "family" : "Stebbing", "given" : "Justin", "non-dropping-particle" : "", "parse-names" : false, "suffix" : "" }, { "dropping-particle" : "", "family" : "Ishizuka", "given" : "Mitsuru", "non-dropping-particle" : "", "parse-names" : false, "suffix" : "" }, { "dropping-particle" : "", "family" : "Khan", "given" : "Shahid A", "non-dropping-particle" : "", "parse-names" : false, "suffix" : "" }, { "dropping-particle" : "", "family" : "Wasan", "given" : "Harpreet S", "non-dropping-particle" : "", "parse-names" : false, "suffix" : "" }, { "dropping-particle" : "V", "family" : "North", "given" : "Bernard", "non-dropping-particle" : "", "parse-names" : false, "suffix" : "" }, { "dropping-particle" : "", "family" : "Kubota", "given" : "Keiichi", "non-dropping-particle" : "", "parse-names" : false, "suffix" : "" }, { "dropping-particle" : "", "family" : "Sharma", "given" : "Rohini", "non-dropping-particle" : "", "parse-names" : false, "suffix" : "" } ], "container-title" : "Journal of hepatology", "id" : "ITEM-1", "issue" : "5", "issued" : { "date-parts" : [ [ "2012", "11" ] ] }, "language" : "eng", "page" : "1013-1020", "publisher-place" : "Netherlands", "title" : "A novel and validated prognostic index in hepatocellular carcinoma: the inflammation based index (IBI).", "type" : "article-journal", "volume" : "57" }, "uris" : [ "http://www.mendeley.com/documents/?uuid=0567f130-f5eb-4929-8485-f2eff087c471" ] }, { "id" : "ITEM-2", "itemData" : { "DOI" : "10.1111/apt.12992", "ISBN" : "0269-2813\\n1365-2036", "ISSN" : "13652036", "PMID" : "25327965", "abstract" : "Background: Transarterial chemoembolisation (TACE) is a standard treatment for unresectable, intermediate stage hepatocellular carcinoma (HCC). Survival after TACE, however, can be highly variable, with no suitable biomarker predicting therapeutic outcome. The infl ammation-based index (IBI) has previously been shown to independently predict overall survival (OS) in all stages of HCC. Aim: To explore the prognostic ability of IBI as a predictor of survival after TACE. Methods: Baseline staging, biochemical and clinicopathological features including IBI were studied in a derivation set of 64 patients undergoing TACE for intermediate stage HCC. Dynamic changes in IBI before and after TACE were studied as predictors of survival using both a univariate and multivariate Cox regression model and further validated in two independent patient cohorts from Korea (n = 76) and Japan (n = 577). Results: Pre-treatment IBI predicted for OS in the derivation set (P = 0.001). Other univariate predictors of OS included radiological response to TACE (P &lt; 0.001), pre-TACE CLIP score (P &lt; 0.01), tumour diameter &gt;5 cm (P = 0.05) and AFP \u2265400 (P &lt; 0.001). Normalisation of IBI post-TACE was associated with radiological response by mRECIST criteria and improved OS (P &lt; 0.001). Normalisation of IBI remained a significant multivariate predictor of OS in both the derivation and validation sets (P &lt; 0.001). Conclusions: Normalisation of IBI after TACE is shown to be an independent predictor of survival and may be integrated into the retreatment criteria for repeat TACE in intermediate stage HCC. IBI and its dynamic changes after treatment are validated as a biomarker allowing the stratifi cation of patients with a significant survival advantage following initial TACE. \u00a9 2014 John Wiley &amp; Sons Ltd.", "author" : [ { "dropping-particle" : "", "family" : "Pinato", "given" : "D. J.", "non-dropping-particle" : "", "parse-names" : false, "suffix" : "" }, { "dropping-particle" : "", "family" : "Karamanakos", "given" : "G.", "non-dropping-particle" : "", "parse-names" : false, "suffix" : "" }, { "dropping-particle" : "", "family" : "Arizumi", "given" : "T.", "non-dropping-particle" : "", "parse-names" : false, "suffix" : "" }, { "dropping-particle" : "", "family" : "Adjogatse", "given" : "D.", "non-dropping-particle" : "", "parse-names" : false, "suffix" : "" }, { "dropping-particle" : "", "family" : "Kim", "given" : "Y. W.", "non-dropping-particle" : "", "parse-names" : false, "suffix" : "" }, { "dropping-particle" : "", "family" : "Stebbing", "given" : "J.", "non-dropping-particle" : "", "parse-names" : false, "suffix" : "" }, { "dropping-particle" : "", "family" : "Kudo", "given" : "M.", "non-dropping-particle" : "", "parse-names" : false, "suffix" : "" }, { "dropping-particle" : "", "family" : "Jang", "given" : "J. W.", "non-dropping-particle" : "", "parse-names" : false, "suffix" : "" }, { "dropping-particle" : "", "family" : "Sharma", "given" : "R.", "non-dropping-particle" : "", "parse-names" : false, "suffix" : "" } ], "container-title" : "Alimentary Pharmacology and Therapeutics", "id" : "ITEM-2", "issue" : "11-12", "issued" : { "date-parts" : [ [ "2014" ] ] }, "page" : "1270-1281", "title" : "Dynamic changes of the inflammation-based index predict mortality following chemoembolisation for hepatocellular carcinoma: A prospective study", "type" : "article-journal", "volume" : "40" }, "uris" : [ "http://www.mendeley.com/documents/?uuid=6b08249f-5d8d-48ac-8374-bbf7be788276" ] } ], "mendeley" : { "formattedCitation" : "&lt;sup&gt;19,20&lt;/sup&gt;", "plainTextFormattedCitation" : "19,20", "previouslyFormattedCitation" : "&lt;sup&gt;19,20&lt;/sup&gt;" }, "properties" : { "noteIndex" : 0 }, "schema" : "https://github.com/citation-style-language/schema/raw/master/csl-citation.json" }</w:instrText>
      </w:r>
      <w:r w:rsidR="00B162A4" w:rsidRPr="00D8107F">
        <w:rPr>
          <w:color w:val="000000" w:themeColor="text1"/>
        </w:rPr>
        <w:fldChar w:fldCharType="separate"/>
      </w:r>
      <w:r w:rsidR="00420780" w:rsidRPr="00420780">
        <w:rPr>
          <w:noProof/>
          <w:color w:val="000000" w:themeColor="text1"/>
          <w:vertAlign w:val="superscript"/>
        </w:rPr>
        <w:t>19,20</w:t>
      </w:r>
      <w:r w:rsidR="00B162A4" w:rsidRPr="00D8107F">
        <w:rPr>
          <w:color w:val="000000" w:themeColor="text1"/>
        </w:rPr>
        <w:fldChar w:fldCharType="end"/>
      </w:r>
      <w:r w:rsidR="00084D16" w:rsidRPr="00D8107F">
        <w:rPr>
          <w:color w:val="000000" w:themeColor="text1"/>
        </w:rPr>
        <w:t xml:space="preserve">. </w:t>
      </w:r>
      <w:r w:rsidR="00B40899" w:rsidRPr="00D8107F">
        <w:rPr>
          <w:color w:val="000000" w:themeColor="text1"/>
        </w:rPr>
        <w:t xml:space="preserve"> In light of the potential association between systemic inflammation and both NET progression and PRRT response, w</w:t>
      </w:r>
      <w:r w:rsidR="00FA7CF6" w:rsidRPr="00D8107F">
        <w:rPr>
          <w:color w:val="000000" w:themeColor="text1"/>
        </w:rPr>
        <w:t>e hypothesised that</w:t>
      </w:r>
      <w:r w:rsidR="009D7CFD" w:rsidRPr="00D8107F">
        <w:rPr>
          <w:color w:val="000000" w:themeColor="text1"/>
        </w:rPr>
        <w:t xml:space="preserve"> </w:t>
      </w:r>
      <w:r w:rsidR="00420780">
        <w:rPr>
          <w:color w:val="000000" w:themeColor="text1"/>
        </w:rPr>
        <w:t>th</w:t>
      </w:r>
      <w:r w:rsidR="009914C5">
        <w:rPr>
          <w:color w:val="000000" w:themeColor="text1"/>
        </w:rPr>
        <w:t>e</w:t>
      </w:r>
      <w:r w:rsidR="00420780">
        <w:rPr>
          <w:color w:val="000000" w:themeColor="text1"/>
        </w:rPr>
        <w:t xml:space="preserve"> combination </w:t>
      </w:r>
      <w:r w:rsidR="009914C5">
        <w:rPr>
          <w:color w:val="000000" w:themeColor="text1"/>
        </w:rPr>
        <w:t>of positive (CRP) and negative (albumin) acute phase reactants within the IBI score</w:t>
      </w:r>
      <w:r w:rsidR="009D7CFD" w:rsidRPr="00D8107F">
        <w:rPr>
          <w:color w:val="000000" w:themeColor="text1"/>
        </w:rPr>
        <w:t xml:space="preserve"> might </w:t>
      </w:r>
      <w:r w:rsidR="00B40899" w:rsidRPr="00D8107F">
        <w:rPr>
          <w:color w:val="000000" w:themeColor="text1"/>
        </w:rPr>
        <w:t xml:space="preserve">have a </w:t>
      </w:r>
      <w:r w:rsidR="00025EE5" w:rsidRPr="00D8107F">
        <w:rPr>
          <w:color w:val="000000" w:themeColor="text1"/>
        </w:rPr>
        <w:t>prognostic role in patients with NETs undergoing PRRT.</w:t>
      </w:r>
    </w:p>
    <w:p w14:paraId="41120EE4" w14:textId="2D2A0604" w:rsidR="0097443E" w:rsidRPr="00D8107F" w:rsidRDefault="00B91B66" w:rsidP="00D8107F">
      <w:pPr>
        <w:autoSpaceDE w:val="0"/>
        <w:autoSpaceDN w:val="0"/>
        <w:adjustRightInd w:val="0"/>
        <w:snapToGrid w:val="0"/>
        <w:spacing w:after="240" w:line="480" w:lineRule="auto"/>
        <w:jc w:val="both"/>
        <w:rPr>
          <w:color w:val="000000" w:themeColor="text1"/>
        </w:rPr>
      </w:pPr>
      <w:r w:rsidRPr="00D8107F">
        <w:rPr>
          <w:color w:val="000000" w:themeColor="text1"/>
        </w:rPr>
        <w:t xml:space="preserve">An association between a biomarker and outcome does not necessarily immediately translate into clinical utility. </w:t>
      </w:r>
      <w:r w:rsidR="005D6F49" w:rsidRPr="00D8107F">
        <w:rPr>
          <w:color w:val="000000" w:themeColor="text1"/>
        </w:rPr>
        <w:t xml:space="preserve">The predictive accuracy is important and is assessed using parameters such as sensitivity, specificity and positive and negative predictive values.  </w:t>
      </w:r>
      <w:r w:rsidR="0097443E" w:rsidRPr="00D8107F">
        <w:rPr>
          <w:color w:val="000000" w:themeColor="text1"/>
        </w:rPr>
        <w:t>However,</w:t>
      </w:r>
      <w:r w:rsidR="005D6F49" w:rsidRPr="00D8107F">
        <w:rPr>
          <w:color w:val="000000" w:themeColor="text1"/>
        </w:rPr>
        <w:t xml:space="preserve"> these do not incorporate any sense of clinical consequences which may </w:t>
      </w:r>
      <w:r w:rsidR="0097443E" w:rsidRPr="00D8107F">
        <w:rPr>
          <w:color w:val="000000" w:themeColor="text1"/>
        </w:rPr>
        <w:t xml:space="preserve">perhaps </w:t>
      </w:r>
      <w:r w:rsidR="005D6F49" w:rsidRPr="00D8107F">
        <w:rPr>
          <w:color w:val="000000" w:themeColor="text1"/>
        </w:rPr>
        <w:t>be viewed as the relative harms of a false-positive and a false-negative prediction</w:t>
      </w:r>
      <w:r w:rsidR="00EA1F27" w:rsidRPr="00D8107F">
        <w:rPr>
          <w:color w:val="000000" w:themeColor="text1"/>
        </w:rPr>
        <w:fldChar w:fldCharType="begin" w:fldLock="1"/>
      </w:r>
      <w:r w:rsidR="009914C5">
        <w:rPr>
          <w:color w:val="000000" w:themeColor="text1"/>
        </w:rPr>
        <w:instrText>ADDIN CSL_CITATION { "citationItems" : [ { "id" : "ITEM-1", "itemData" : { "DOI" : "10.1177/0272989X06295361", "ISSN" : "0272-989X (Print)", "PMID" : "17099194", "abstract" : "BACKGROUND: Diagnostic and prognostic models are typically evaluated with measures of accuracy that do not address clinical consequences. Decision-analytic techniques allow assessment of clinical outcomes but often require collection of additional information and may be cumbersome to apply to models that yield a continuous result. The authors sought a method for evaluating and comparing prediction models that incorporates clinical consequences,requires only the data set on which the models are tested,and can be applied to models that have either continuous or dichotomous results. METHOD: The authors describe decision curve analysis, a simple, novel method of evaluating predictive models. They start by assuming that the threshold probability of a disease or event at which a patient would opt for treatment is informative of how the patient weighs the relative harms of a false-positive and a false-negative prediction. This theoretical relationship is then used to derive the net benefit of the model across different threshold probabilities. Plotting net benefit against threshold probability yields the \"decision curve.\" The authors apply the method to models for the prediction of seminal vesicle invasion in prostate cancer patients. Decision curve analysis identified the range of threshold probabilities in which a model was of value, the magnitude of benefit, and which of several models was optimal. CONCLUSION: Decision curve analysis is a suitable method for evaluating alternative diagnostic and prognostic strategies that has advantages over other commonly used measures and techniques.", "author" : [ { "dropping-particle" : "", "family" : "Vickers", "given" : "Andrew J", "non-dropping-particle" : "", "parse-names" : false, "suffix" : "" }, { "dropping-particle" : "", "family" : "Elkin", "given" : "Elena B", "non-dropping-particle" : "", "parse-names" : false, "suffix" : "" } ], "container-title" : "Medical decision making : an international journal of the Society for Medical Decision Making", "id" : "ITEM-1", "issue" : "6", "issued" : { "date-parts" : [ [ "2006" ] ] }, "language" : "eng", "page" : "565-574", "publisher-place" : "United States", "title" : "Decision curve analysis: a novel method for evaluating prediction models.", "type" : "article-journal", "volume" : "26" }, "uris" : [ "http://www.mendeley.com/documents/?uuid=5faec7a8-dc7d-434a-aa7d-df261c166e8d" ] } ], "mendeley" : { "formattedCitation" : "&lt;sup&gt;21&lt;/sup&gt;", "plainTextFormattedCitation" : "21", "previouslyFormattedCitation" : "&lt;sup&gt;21&lt;/sup&gt;" }, "properties" : { "noteIndex" : 0 }, "schema" : "https://github.com/citation-style-language/schema/raw/master/csl-citation.json" }</w:instrText>
      </w:r>
      <w:r w:rsidR="00EA1F27" w:rsidRPr="00D8107F">
        <w:rPr>
          <w:color w:val="000000" w:themeColor="text1"/>
        </w:rPr>
        <w:fldChar w:fldCharType="separate"/>
      </w:r>
      <w:r w:rsidR="00420780" w:rsidRPr="00420780">
        <w:rPr>
          <w:noProof/>
          <w:color w:val="000000" w:themeColor="text1"/>
          <w:vertAlign w:val="superscript"/>
        </w:rPr>
        <w:t>21</w:t>
      </w:r>
      <w:r w:rsidR="00EA1F27" w:rsidRPr="00D8107F">
        <w:rPr>
          <w:color w:val="000000" w:themeColor="text1"/>
        </w:rPr>
        <w:fldChar w:fldCharType="end"/>
      </w:r>
      <w:r w:rsidR="005D6F49" w:rsidRPr="00D8107F">
        <w:rPr>
          <w:color w:val="000000" w:themeColor="text1"/>
        </w:rPr>
        <w:t>.</w:t>
      </w:r>
      <w:r w:rsidR="0097443E" w:rsidRPr="00D8107F">
        <w:rPr>
          <w:color w:val="000000" w:themeColor="text1"/>
        </w:rPr>
        <w:t xml:space="preserve"> Decision curve analysis provides a means to evaluate alternative diagnostic and prognostic strategies over a range of risk thresholds (i.e. differing relative weightings of false-positive and false-negative predictions).</w:t>
      </w:r>
    </w:p>
    <w:p w14:paraId="2B2A86D7" w14:textId="642BB03E" w:rsidR="001C1554" w:rsidRPr="00D8107F" w:rsidRDefault="00E27A57" w:rsidP="00D8107F">
      <w:pPr>
        <w:spacing w:line="480" w:lineRule="auto"/>
        <w:rPr>
          <w:color w:val="000000" w:themeColor="text1"/>
        </w:rPr>
      </w:pPr>
      <w:r w:rsidRPr="00D8107F">
        <w:rPr>
          <w:color w:val="000000" w:themeColor="text1"/>
        </w:rPr>
        <w:t>The aims of this study were to establish</w:t>
      </w:r>
      <w:r w:rsidR="0097443E" w:rsidRPr="00D8107F">
        <w:rPr>
          <w:color w:val="000000" w:themeColor="text1"/>
        </w:rPr>
        <w:t xml:space="preserve"> whether IBI was associate</w:t>
      </w:r>
      <w:r w:rsidR="009E16BC" w:rsidRPr="00D8107F">
        <w:rPr>
          <w:color w:val="000000" w:themeColor="text1"/>
        </w:rPr>
        <w:t>d</w:t>
      </w:r>
      <w:r w:rsidR="0097443E" w:rsidRPr="00D8107F">
        <w:rPr>
          <w:color w:val="000000" w:themeColor="text1"/>
        </w:rPr>
        <w:t xml:space="preserve"> with PFS and OS in NETs</w:t>
      </w:r>
      <w:r w:rsidRPr="00D8107F">
        <w:rPr>
          <w:color w:val="000000" w:themeColor="text1"/>
        </w:rPr>
        <w:t>, and to a</w:t>
      </w:r>
      <w:r w:rsidR="0097443E" w:rsidRPr="00D8107F">
        <w:rPr>
          <w:color w:val="000000" w:themeColor="text1"/>
        </w:rPr>
        <w:t xml:space="preserve">ssess </w:t>
      </w:r>
      <w:r w:rsidRPr="00D8107F">
        <w:rPr>
          <w:color w:val="000000" w:themeColor="text1"/>
        </w:rPr>
        <w:t xml:space="preserve">using decision curve analysis </w:t>
      </w:r>
      <w:r w:rsidR="0097443E" w:rsidRPr="00D8107F">
        <w:rPr>
          <w:color w:val="000000" w:themeColor="text1"/>
        </w:rPr>
        <w:t>the clinical utility of a treatment strategy using the baseline IBI to determine treatment with PRRT</w:t>
      </w:r>
      <w:r w:rsidRPr="00D8107F">
        <w:rPr>
          <w:color w:val="000000" w:themeColor="text1"/>
        </w:rPr>
        <w:t>.</w:t>
      </w:r>
    </w:p>
    <w:p w14:paraId="1983AC9E" w14:textId="77777777" w:rsidR="001C1554" w:rsidRPr="00D8107F" w:rsidRDefault="001C1554" w:rsidP="00D8107F">
      <w:pPr>
        <w:autoSpaceDE w:val="0"/>
        <w:autoSpaceDN w:val="0"/>
        <w:adjustRightInd w:val="0"/>
        <w:spacing w:after="0" w:line="480" w:lineRule="auto"/>
        <w:contextualSpacing/>
        <w:rPr>
          <w:color w:val="000000" w:themeColor="text1"/>
        </w:rPr>
      </w:pPr>
    </w:p>
    <w:p w14:paraId="6B81D9F3" w14:textId="4D684494" w:rsidR="001C1554" w:rsidRPr="00D8107F" w:rsidRDefault="00C0487B" w:rsidP="00D8107F">
      <w:pPr>
        <w:pStyle w:val="Heading2"/>
        <w:spacing w:line="480" w:lineRule="auto"/>
        <w:rPr>
          <w:rStyle w:val="Strong"/>
          <w:color w:val="000000" w:themeColor="text1"/>
        </w:rPr>
      </w:pPr>
      <w:r w:rsidRPr="00D8107F">
        <w:rPr>
          <w:rStyle w:val="Strong"/>
          <w:color w:val="000000" w:themeColor="text1"/>
        </w:rPr>
        <w:t xml:space="preserve">Materials and </w:t>
      </w:r>
      <w:r w:rsidR="001C1554" w:rsidRPr="00D8107F">
        <w:rPr>
          <w:rStyle w:val="Strong"/>
          <w:color w:val="000000" w:themeColor="text1"/>
        </w:rPr>
        <w:t>Methods</w:t>
      </w:r>
    </w:p>
    <w:p w14:paraId="57C5038D" w14:textId="77777777" w:rsidR="0006239A" w:rsidRPr="00D8107F" w:rsidRDefault="0006239A" w:rsidP="00D8107F">
      <w:pPr>
        <w:autoSpaceDE w:val="0"/>
        <w:autoSpaceDN w:val="0"/>
        <w:adjustRightInd w:val="0"/>
        <w:spacing w:after="0" w:line="480" w:lineRule="auto"/>
        <w:contextualSpacing/>
        <w:rPr>
          <w:rStyle w:val="Strong"/>
          <w:color w:val="000000" w:themeColor="text1"/>
        </w:rPr>
      </w:pPr>
    </w:p>
    <w:p w14:paraId="300E25EF" w14:textId="1544F528" w:rsidR="00D8107F" w:rsidRPr="00D8107F" w:rsidRDefault="00892CAF" w:rsidP="00D8107F">
      <w:pPr>
        <w:autoSpaceDE w:val="0"/>
        <w:autoSpaceDN w:val="0"/>
        <w:adjustRightInd w:val="0"/>
        <w:spacing w:after="0" w:line="480" w:lineRule="auto"/>
        <w:contextualSpacing/>
        <w:outlineLvl w:val="0"/>
        <w:rPr>
          <w:rStyle w:val="Strong"/>
          <w:color w:val="000000" w:themeColor="text1"/>
        </w:rPr>
      </w:pPr>
      <w:r w:rsidRPr="00D8107F">
        <w:rPr>
          <w:rStyle w:val="Strong"/>
          <w:color w:val="000000" w:themeColor="text1"/>
        </w:rPr>
        <w:t xml:space="preserve">Patient </w:t>
      </w:r>
      <w:r w:rsidR="00893217" w:rsidRPr="00D8107F">
        <w:rPr>
          <w:rStyle w:val="Strong"/>
          <w:color w:val="000000" w:themeColor="text1"/>
        </w:rPr>
        <w:t>cohort and clinical data collection</w:t>
      </w:r>
    </w:p>
    <w:p w14:paraId="2E0782AA" w14:textId="63ECFD72" w:rsidR="002A2A46" w:rsidRPr="00D8107F" w:rsidRDefault="00893217" w:rsidP="00D8107F">
      <w:pPr>
        <w:spacing w:line="480" w:lineRule="auto"/>
        <w:rPr>
          <w:rFonts w:cs="AdvPSA183"/>
          <w:color w:val="000000" w:themeColor="text1"/>
        </w:rPr>
      </w:pPr>
      <w:r w:rsidRPr="00D8107F">
        <w:rPr>
          <w:rStyle w:val="Strong"/>
          <w:b w:val="0"/>
          <w:color w:val="000000" w:themeColor="text1"/>
        </w:rPr>
        <w:t xml:space="preserve">Patients undergoing </w:t>
      </w:r>
      <w:r w:rsidR="002D06D2" w:rsidRPr="00D8107F">
        <w:rPr>
          <w:rStyle w:val="Strong"/>
          <w:b w:val="0"/>
          <w:color w:val="000000" w:themeColor="text1"/>
        </w:rPr>
        <w:t>(</w:t>
      </w:r>
      <w:r w:rsidR="002D06D2" w:rsidRPr="00D8107F">
        <w:rPr>
          <w:rFonts w:eastAsia="Times New Roman" w:cs="Arial"/>
          <w:color w:val="000000" w:themeColor="text1"/>
          <w:shd w:val="clear" w:color="auto" w:fill="FFFFFF"/>
          <w:lang w:eastAsia="en-GB"/>
        </w:rPr>
        <w:t>177)Lu-DOTATATE PRRT</w:t>
      </w:r>
      <w:r w:rsidR="002D06D2" w:rsidRPr="00D8107F">
        <w:rPr>
          <w:rFonts w:cs="AdvPSA183"/>
          <w:color w:val="000000" w:themeColor="text1"/>
        </w:rPr>
        <w:t xml:space="preserve"> </w:t>
      </w:r>
      <w:r w:rsidR="000F3759" w:rsidRPr="00D8107F">
        <w:rPr>
          <w:rFonts w:cs="AdvPSA183"/>
          <w:color w:val="000000" w:themeColor="text1"/>
        </w:rPr>
        <w:t xml:space="preserve">for </w:t>
      </w:r>
      <w:r w:rsidR="00300B47" w:rsidRPr="00D8107F">
        <w:rPr>
          <w:rFonts w:cs="AdvPSA183"/>
          <w:color w:val="000000" w:themeColor="text1"/>
        </w:rPr>
        <w:t xml:space="preserve">metastatic </w:t>
      </w:r>
      <w:r w:rsidR="000F3759" w:rsidRPr="00D8107F">
        <w:rPr>
          <w:rFonts w:cs="AdvPSA183"/>
          <w:color w:val="000000" w:themeColor="text1"/>
        </w:rPr>
        <w:t>NET</w:t>
      </w:r>
      <w:r w:rsidR="00300B47" w:rsidRPr="00D8107F">
        <w:rPr>
          <w:rFonts w:cs="AdvPSA183"/>
          <w:color w:val="000000" w:themeColor="text1"/>
        </w:rPr>
        <w:t>s</w:t>
      </w:r>
      <w:r w:rsidR="000F3759" w:rsidRPr="00D8107F">
        <w:rPr>
          <w:rFonts w:cs="AdvPSA183"/>
          <w:color w:val="000000" w:themeColor="text1"/>
        </w:rPr>
        <w:t xml:space="preserve"> at Imperial College Healthcare NHS Trust </w:t>
      </w:r>
      <w:r w:rsidRPr="00D8107F">
        <w:rPr>
          <w:rFonts w:cs="AdvPSA183"/>
          <w:color w:val="000000" w:themeColor="text1"/>
        </w:rPr>
        <w:t xml:space="preserve">between </w:t>
      </w:r>
      <w:r w:rsidR="000F3759" w:rsidRPr="00D8107F">
        <w:rPr>
          <w:rFonts w:cs="AdvPSA183"/>
          <w:color w:val="000000" w:themeColor="text1"/>
        </w:rPr>
        <w:t>2008 to 201</w:t>
      </w:r>
      <w:r w:rsidR="006C3948" w:rsidRPr="00D8107F">
        <w:rPr>
          <w:rFonts w:cs="AdvPSA183"/>
          <w:color w:val="000000" w:themeColor="text1"/>
        </w:rPr>
        <w:t>7</w:t>
      </w:r>
      <w:r w:rsidR="002D06D2" w:rsidRPr="00D8107F">
        <w:rPr>
          <w:rFonts w:cs="AdvPSA183"/>
          <w:color w:val="000000" w:themeColor="text1"/>
        </w:rPr>
        <w:t xml:space="preserve"> </w:t>
      </w:r>
      <w:r w:rsidR="006F6FA6" w:rsidRPr="00D8107F">
        <w:rPr>
          <w:rFonts w:cs="AdvPSA183"/>
          <w:color w:val="000000" w:themeColor="text1"/>
        </w:rPr>
        <w:t>were</w:t>
      </w:r>
      <w:r w:rsidRPr="00D8107F">
        <w:rPr>
          <w:rFonts w:cs="AdvPSA183"/>
          <w:color w:val="000000" w:themeColor="text1"/>
        </w:rPr>
        <w:t xml:space="preserve"> </w:t>
      </w:r>
      <w:r w:rsidR="006F6FA6" w:rsidRPr="00D8107F">
        <w:rPr>
          <w:rFonts w:cs="AdvPSA183"/>
          <w:color w:val="000000" w:themeColor="text1"/>
        </w:rPr>
        <w:t xml:space="preserve">enrolled </w:t>
      </w:r>
      <w:r w:rsidR="002D06D2" w:rsidRPr="00D8107F">
        <w:rPr>
          <w:rFonts w:cs="AdvPSA183"/>
          <w:color w:val="000000" w:themeColor="text1"/>
        </w:rPr>
        <w:t>in</w:t>
      </w:r>
      <w:r w:rsidRPr="00D8107F">
        <w:rPr>
          <w:rFonts w:cs="AdvPSA183"/>
          <w:color w:val="000000" w:themeColor="text1"/>
        </w:rPr>
        <w:t>to</w:t>
      </w:r>
      <w:r w:rsidR="002D06D2" w:rsidRPr="00D8107F">
        <w:rPr>
          <w:rFonts w:cs="AdvPSA183"/>
          <w:color w:val="000000" w:themeColor="text1"/>
        </w:rPr>
        <w:t xml:space="preserve"> this </w:t>
      </w:r>
      <w:r w:rsidR="00784F75" w:rsidRPr="00D8107F">
        <w:rPr>
          <w:rFonts w:cs="AdvPSA183"/>
          <w:color w:val="000000" w:themeColor="text1"/>
        </w:rPr>
        <w:t>s</w:t>
      </w:r>
      <w:r w:rsidR="002D06D2" w:rsidRPr="00D8107F">
        <w:rPr>
          <w:rFonts w:cs="AdvPSA183"/>
          <w:color w:val="000000" w:themeColor="text1"/>
        </w:rPr>
        <w:t>tudy</w:t>
      </w:r>
      <w:r w:rsidR="000F3759" w:rsidRPr="00D8107F">
        <w:rPr>
          <w:rFonts w:cs="AdvPSA183"/>
          <w:color w:val="000000" w:themeColor="text1"/>
        </w:rPr>
        <w:t xml:space="preserve">. </w:t>
      </w:r>
      <w:r w:rsidR="00820ECA" w:rsidRPr="00D8107F">
        <w:rPr>
          <w:rStyle w:val="Strong"/>
          <w:b w:val="0"/>
          <w:color w:val="000000" w:themeColor="text1"/>
        </w:rPr>
        <w:t xml:space="preserve">Eligibility for </w:t>
      </w:r>
      <w:r w:rsidR="00820ECA" w:rsidRPr="00D8107F">
        <w:rPr>
          <w:rFonts w:eastAsia="Times New Roman" w:cs="Arial"/>
          <w:color w:val="000000" w:themeColor="text1"/>
          <w:shd w:val="clear" w:color="auto" w:fill="FFFFFF"/>
          <w:lang w:eastAsia="en-GB"/>
        </w:rPr>
        <w:t>PRRT</w:t>
      </w:r>
      <w:r w:rsidR="00820ECA" w:rsidRPr="00D8107F">
        <w:rPr>
          <w:rFonts w:cs="AdvPSA183"/>
          <w:color w:val="000000" w:themeColor="text1"/>
        </w:rPr>
        <w:t xml:space="preserve"> was decided following multi-disciplinary review in accordanc</w:t>
      </w:r>
      <w:r w:rsidR="00E73005">
        <w:rPr>
          <w:rFonts w:cs="AdvPSA183"/>
          <w:color w:val="000000" w:themeColor="text1"/>
        </w:rPr>
        <w:t xml:space="preserve">e with usual clinical practice, and consent was obtained from each patient after full explanation of the purpose and nature of the treatment. </w:t>
      </w:r>
      <w:r w:rsidR="00CA4A29" w:rsidRPr="00D8107F">
        <w:rPr>
          <w:rFonts w:cs="AdvPSA183"/>
          <w:color w:val="000000" w:themeColor="text1"/>
        </w:rPr>
        <w:t>Demographic</w:t>
      </w:r>
      <w:r w:rsidR="00820ECA" w:rsidRPr="00D8107F">
        <w:rPr>
          <w:rFonts w:cs="AdvPSA183"/>
          <w:color w:val="000000" w:themeColor="text1"/>
        </w:rPr>
        <w:t xml:space="preserve"> </w:t>
      </w:r>
      <w:r w:rsidR="00D65053" w:rsidRPr="00D8107F">
        <w:rPr>
          <w:rFonts w:cs="AdvPSA183"/>
          <w:color w:val="000000" w:themeColor="text1"/>
        </w:rPr>
        <w:t xml:space="preserve">data </w:t>
      </w:r>
      <w:r w:rsidR="00A71AE9" w:rsidRPr="00D8107F">
        <w:rPr>
          <w:rFonts w:cs="AdvPSA183"/>
          <w:color w:val="000000" w:themeColor="text1"/>
        </w:rPr>
        <w:t>including</w:t>
      </w:r>
      <w:r w:rsidR="000F3759" w:rsidRPr="00D8107F">
        <w:rPr>
          <w:rFonts w:cs="AdvPSA183"/>
          <w:color w:val="000000" w:themeColor="text1"/>
        </w:rPr>
        <w:t xml:space="preserve"> </w:t>
      </w:r>
      <w:r w:rsidR="00820ECA" w:rsidRPr="00D8107F">
        <w:rPr>
          <w:rFonts w:cs="AdvPSA183"/>
          <w:color w:val="000000" w:themeColor="text1"/>
        </w:rPr>
        <w:t xml:space="preserve">age and </w:t>
      </w:r>
      <w:r w:rsidR="00D65053" w:rsidRPr="00D8107F">
        <w:rPr>
          <w:rFonts w:cs="AdvPSA183"/>
          <w:color w:val="000000" w:themeColor="text1"/>
        </w:rPr>
        <w:t>sex</w:t>
      </w:r>
      <w:r w:rsidR="00820ECA" w:rsidRPr="00D8107F">
        <w:rPr>
          <w:rFonts w:cs="AdvPSA183"/>
          <w:color w:val="000000" w:themeColor="text1"/>
        </w:rPr>
        <w:t>,</w:t>
      </w:r>
      <w:r w:rsidR="00D65053" w:rsidRPr="00D8107F">
        <w:rPr>
          <w:rFonts w:cs="AdvPSA183"/>
          <w:color w:val="000000" w:themeColor="text1"/>
        </w:rPr>
        <w:t xml:space="preserve"> </w:t>
      </w:r>
      <w:r w:rsidR="00820ECA" w:rsidRPr="00D8107F">
        <w:rPr>
          <w:rFonts w:cs="AdvPSA183"/>
          <w:color w:val="000000" w:themeColor="text1"/>
        </w:rPr>
        <w:t>alongside</w:t>
      </w:r>
      <w:r w:rsidR="002A2A46" w:rsidRPr="00D8107F">
        <w:rPr>
          <w:rFonts w:cs="AdvPSA183"/>
          <w:color w:val="000000" w:themeColor="text1"/>
        </w:rPr>
        <w:t xml:space="preserve"> primary tumour site</w:t>
      </w:r>
      <w:r w:rsidR="00C710E5" w:rsidRPr="00D8107F">
        <w:rPr>
          <w:rFonts w:cs="AdvPSA183"/>
          <w:color w:val="000000" w:themeColor="text1"/>
        </w:rPr>
        <w:t>,</w:t>
      </w:r>
      <w:r w:rsidR="002A2A46" w:rsidRPr="00D8107F">
        <w:rPr>
          <w:rFonts w:cs="AdvPSA183"/>
          <w:color w:val="000000" w:themeColor="text1"/>
        </w:rPr>
        <w:t xml:space="preserve"> </w:t>
      </w:r>
      <w:r w:rsidR="00C710E5" w:rsidRPr="00D8107F">
        <w:rPr>
          <w:rFonts w:cs="AdvPSA183"/>
          <w:color w:val="000000" w:themeColor="text1"/>
        </w:rPr>
        <w:t>was</w:t>
      </w:r>
      <w:r w:rsidR="00D65053" w:rsidRPr="00D8107F">
        <w:rPr>
          <w:rFonts w:cs="AdvPSA183"/>
          <w:color w:val="000000" w:themeColor="text1"/>
        </w:rPr>
        <w:t xml:space="preserve"> collected</w:t>
      </w:r>
      <w:r w:rsidR="00E7770C" w:rsidRPr="00D8107F">
        <w:rPr>
          <w:rFonts w:eastAsia="Times New Roman" w:cs="Arial"/>
          <w:color w:val="000000" w:themeColor="text1"/>
          <w:shd w:val="clear" w:color="auto" w:fill="FFFFFF"/>
          <w:lang w:eastAsia="en-GB"/>
        </w:rPr>
        <w:t xml:space="preserve">. </w:t>
      </w:r>
      <w:r w:rsidR="00D65053" w:rsidRPr="00D8107F">
        <w:rPr>
          <w:rFonts w:eastAsia="Times New Roman" w:cs="Arial"/>
          <w:color w:val="000000" w:themeColor="text1"/>
          <w:shd w:val="clear" w:color="auto" w:fill="FFFFFF"/>
          <w:lang w:eastAsia="en-GB"/>
        </w:rPr>
        <w:lastRenderedPageBreak/>
        <w:t>Haematological data including</w:t>
      </w:r>
      <w:r w:rsidR="0038057D" w:rsidRPr="00D8107F">
        <w:rPr>
          <w:rFonts w:cs="AdvPSA183"/>
          <w:color w:val="000000" w:themeColor="text1"/>
        </w:rPr>
        <w:t xml:space="preserve"> C-reactive protein (</w:t>
      </w:r>
      <w:r w:rsidR="006C3948" w:rsidRPr="00D8107F">
        <w:rPr>
          <w:rFonts w:cs="AdvPSA183"/>
          <w:color w:val="000000" w:themeColor="text1"/>
        </w:rPr>
        <w:t>CRP</w:t>
      </w:r>
      <w:r w:rsidR="0038057D" w:rsidRPr="00D8107F">
        <w:rPr>
          <w:rFonts w:cs="AdvPSA183"/>
          <w:color w:val="000000" w:themeColor="text1"/>
        </w:rPr>
        <w:t>)</w:t>
      </w:r>
      <w:r w:rsidR="006C3948" w:rsidRPr="00D8107F">
        <w:rPr>
          <w:rFonts w:cs="AdvPSA183"/>
          <w:color w:val="000000" w:themeColor="text1"/>
        </w:rPr>
        <w:t xml:space="preserve">, albumin, neutrophil </w:t>
      </w:r>
      <w:r w:rsidR="00A71AE9" w:rsidRPr="00D8107F">
        <w:rPr>
          <w:rFonts w:cs="AdvPSA183"/>
          <w:color w:val="000000" w:themeColor="text1"/>
        </w:rPr>
        <w:t xml:space="preserve">and </w:t>
      </w:r>
      <w:r w:rsidR="006C3948" w:rsidRPr="00D8107F">
        <w:rPr>
          <w:rFonts w:cs="AdvPSA183"/>
          <w:color w:val="000000" w:themeColor="text1"/>
        </w:rPr>
        <w:t>lymphocyte count</w:t>
      </w:r>
      <w:r w:rsidR="00D65053" w:rsidRPr="00D8107F">
        <w:rPr>
          <w:rFonts w:cs="AdvPSA183"/>
          <w:color w:val="000000" w:themeColor="text1"/>
        </w:rPr>
        <w:t xml:space="preserve"> and </w:t>
      </w:r>
      <w:r w:rsidR="006F6FA6" w:rsidRPr="00D8107F">
        <w:rPr>
          <w:rFonts w:cs="AdvPSA183"/>
          <w:color w:val="000000" w:themeColor="text1"/>
        </w:rPr>
        <w:t>gut</w:t>
      </w:r>
      <w:r w:rsidR="002D06D2" w:rsidRPr="00D8107F">
        <w:rPr>
          <w:rFonts w:cs="AdvPSA183"/>
          <w:color w:val="000000" w:themeColor="text1"/>
        </w:rPr>
        <w:t xml:space="preserve"> </w:t>
      </w:r>
      <w:r w:rsidR="002A2A46" w:rsidRPr="00D8107F">
        <w:rPr>
          <w:rFonts w:cs="AdvPSA183"/>
          <w:color w:val="000000" w:themeColor="text1"/>
        </w:rPr>
        <w:t>hormone</w:t>
      </w:r>
      <w:r w:rsidR="00D65053" w:rsidRPr="00D8107F">
        <w:rPr>
          <w:rFonts w:cs="AdvPSA183"/>
          <w:color w:val="000000" w:themeColor="text1"/>
        </w:rPr>
        <w:t xml:space="preserve"> profile were recorded. The gut hormone profile</w:t>
      </w:r>
      <w:r w:rsidR="002A2A46" w:rsidRPr="00D8107F">
        <w:rPr>
          <w:rFonts w:cs="AdvPSA183"/>
          <w:color w:val="000000" w:themeColor="text1"/>
        </w:rPr>
        <w:t xml:space="preserve"> </w:t>
      </w:r>
      <w:r w:rsidR="00D65053" w:rsidRPr="00D8107F">
        <w:rPr>
          <w:rFonts w:cs="AdvPSA183"/>
          <w:color w:val="000000" w:themeColor="text1"/>
        </w:rPr>
        <w:t xml:space="preserve">comprised </w:t>
      </w:r>
      <w:r w:rsidR="00080E1D" w:rsidRPr="00D8107F">
        <w:rPr>
          <w:rFonts w:cs="AdvPSA183"/>
          <w:color w:val="000000" w:themeColor="text1"/>
        </w:rPr>
        <w:t xml:space="preserve">of </w:t>
      </w:r>
      <w:r w:rsidR="002A2A46" w:rsidRPr="00D8107F">
        <w:rPr>
          <w:rFonts w:cs="AdvPSA183"/>
          <w:color w:val="000000" w:themeColor="text1"/>
        </w:rPr>
        <w:t xml:space="preserve">somatostatin, Chromogranin A and B, gastrin, glucagon, pancreatic polypeptide, vasoactive intestinal peptide </w:t>
      </w:r>
      <w:r w:rsidR="00E7770C" w:rsidRPr="00D8107F">
        <w:rPr>
          <w:rFonts w:cs="AdvPSA183"/>
          <w:color w:val="000000" w:themeColor="text1"/>
        </w:rPr>
        <w:t xml:space="preserve">(VIP) </w:t>
      </w:r>
      <w:r w:rsidR="002A2A46" w:rsidRPr="00D8107F">
        <w:rPr>
          <w:rFonts w:cs="AdvPSA183"/>
          <w:color w:val="000000" w:themeColor="text1"/>
        </w:rPr>
        <w:t xml:space="preserve">and </w:t>
      </w:r>
      <w:r w:rsidR="002A2A46" w:rsidRPr="00D8107F">
        <w:rPr>
          <w:rFonts w:eastAsia="Times New Roman" w:cs="Times New Roman"/>
          <w:color w:val="000000" w:themeColor="text1"/>
          <w:lang w:eastAsia="en-GB"/>
        </w:rPr>
        <w:t>5-HIAA (5-Hydroxyindoleacetic acid</w:t>
      </w:r>
      <w:r w:rsidR="00E7770C" w:rsidRPr="00D8107F">
        <w:rPr>
          <w:rFonts w:eastAsia="Times New Roman" w:cs="Times New Roman"/>
          <w:color w:val="000000" w:themeColor="text1"/>
          <w:lang w:eastAsia="en-GB"/>
        </w:rPr>
        <w:t>)</w:t>
      </w:r>
      <w:r w:rsidR="00A71AE9" w:rsidRPr="00D8107F">
        <w:rPr>
          <w:rFonts w:cs="AdvPSA183"/>
          <w:color w:val="000000" w:themeColor="text1"/>
        </w:rPr>
        <w:t>.</w:t>
      </w:r>
      <w:r w:rsidR="00D65053" w:rsidRPr="00D8107F">
        <w:rPr>
          <w:rFonts w:cs="AdvPSA183"/>
          <w:color w:val="000000" w:themeColor="text1"/>
        </w:rPr>
        <w:t xml:space="preserve"> </w:t>
      </w:r>
      <w:r w:rsidR="001D66EB" w:rsidRPr="00D8107F">
        <w:rPr>
          <w:rFonts w:cs="AdvPSA183"/>
          <w:color w:val="000000" w:themeColor="text1"/>
        </w:rPr>
        <w:t xml:space="preserve">All haematological and biochemical assays were performed in a certified NHS laboratory using standardised laboratory protocols as part of routine clinical care. </w:t>
      </w:r>
      <w:r w:rsidR="00E73005">
        <w:rPr>
          <w:rFonts w:cs="AdvPSA183"/>
          <w:color w:val="000000" w:themeColor="text1"/>
        </w:rPr>
        <w:t xml:space="preserve">Ethical approval was granted by the Imperial College Tissue Bank (Ref. R14066-3A). </w:t>
      </w:r>
      <w:r w:rsidR="00D65053" w:rsidRPr="00D8107F">
        <w:rPr>
          <w:rFonts w:cs="AdvPSA183"/>
          <w:color w:val="000000" w:themeColor="text1"/>
        </w:rPr>
        <w:t>Data were</w:t>
      </w:r>
      <w:r w:rsidR="00A71AE9" w:rsidRPr="00D8107F">
        <w:rPr>
          <w:rFonts w:cs="AdvPSA183"/>
          <w:color w:val="000000" w:themeColor="text1"/>
        </w:rPr>
        <w:t xml:space="preserve"> </w:t>
      </w:r>
      <w:r w:rsidR="00D65053" w:rsidRPr="00D8107F">
        <w:rPr>
          <w:rFonts w:cs="AdvPSA183"/>
          <w:color w:val="000000" w:themeColor="text1"/>
        </w:rPr>
        <w:t xml:space="preserve">collected prior to commencing treatment (baseline) and </w:t>
      </w:r>
      <w:r w:rsidR="00415F01" w:rsidRPr="00D8107F">
        <w:rPr>
          <w:rFonts w:eastAsia="Times New Roman" w:cs="Arial"/>
          <w:color w:val="000000" w:themeColor="text1"/>
          <w:shd w:val="clear" w:color="auto" w:fill="FFFFFF"/>
          <w:lang w:eastAsia="en-GB"/>
        </w:rPr>
        <w:t xml:space="preserve">after </w:t>
      </w:r>
      <w:r w:rsidR="00621E0A" w:rsidRPr="00D8107F">
        <w:rPr>
          <w:rFonts w:eastAsia="Times New Roman" w:cs="Arial"/>
          <w:color w:val="000000" w:themeColor="text1"/>
          <w:shd w:val="clear" w:color="auto" w:fill="FFFFFF"/>
          <w:lang w:eastAsia="en-GB"/>
        </w:rPr>
        <w:t>each</w:t>
      </w:r>
      <w:r w:rsidR="00415F01" w:rsidRPr="00D8107F">
        <w:rPr>
          <w:rFonts w:eastAsia="Times New Roman" w:cs="Arial"/>
          <w:color w:val="000000" w:themeColor="text1"/>
          <w:shd w:val="clear" w:color="auto" w:fill="FFFFFF"/>
          <w:lang w:eastAsia="en-GB"/>
        </w:rPr>
        <w:t xml:space="preserve"> cycle of PRRT</w:t>
      </w:r>
      <w:r w:rsidR="00D65053" w:rsidRPr="00D8107F">
        <w:rPr>
          <w:rFonts w:eastAsia="Times New Roman" w:cs="Arial"/>
          <w:color w:val="000000" w:themeColor="text1"/>
          <w:shd w:val="clear" w:color="auto" w:fill="FFFFFF"/>
          <w:lang w:eastAsia="en-GB"/>
        </w:rPr>
        <w:t>.</w:t>
      </w:r>
      <w:r w:rsidR="00621E0A" w:rsidRPr="00D8107F">
        <w:rPr>
          <w:rFonts w:eastAsia="Times New Roman" w:cs="Arial"/>
          <w:color w:val="000000" w:themeColor="text1"/>
          <w:shd w:val="clear" w:color="auto" w:fill="FFFFFF"/>
          <w:lang w:eastAsia="en-GB"/>
        </w:rPr>
        <w:t xml:space="preserve"> </w:t>
      </w:r>
    </w:p>
    <w:p w14:paraId="22DDF930" w14:textId="79D5EAC9" w:rsidR="001D66EB" w:rsidRPr="00D8107F" w:rsidRDefault="00820ECA" w:rsidP="00D8107F">
      <w:pPr>
        <w:spacing w:line="480" w:lineRule="auto"/>
        <w:rPr>
          <w:bCs/>
          <w:color w:val="000000" w:themeColor="text1"/>
        </w:rPr>
      </w:pPr>
      <w:r w:rsidRPr="00D8107F">
        <w:rPr>
          <w:rStyle w:val="Strong"/>
          <w:b w:val="0"/>
          <w:color w:val="000000" w:themeColor="text1"/>
        </w:rPr>
        <w:t xml:space="preserve">PRRT </w:t>
      </w:r>
      <w:r w:rsidRPr="00D8107F">
        <w:rPr>
          <w:rFonts w:cs="AdvPSA183"/>
          <w:color w:val="000000" w:themeColor="text1"/>
        </w:rPr>
        <w:t>t</w:t>
      </w:r>
      <w:r w:rsidR="00BB2091" w:rsidRPr="00D8107F">
        <w:rPr>
          <w:rFonts w:cs="AdvPSA183"/>
          <w:color w:val="000000" w:themeColor="text1"/>
        </w:rPr>
        <w:t>reatment was</w:t>
      </w:r>
      <w:r w:rsidR="00E37D8C" w:rsidRPr="00D8107F">
        <w:rPr>
          <w:rFonts w:cs="AdvPSA183"/>
          <w:color w:val="000000" w:themeColor="text1"/>
        </w:rPr>
        <w:t xml:space="preserve"> </w:t>
      </w:r>
      <w:r w:rsidRPr="00D8107F">
        <w:rPr>
          <w:rFonts w:cs="AdvPSA183"/>
          <w:color w:val="000000" w:themeColor="text1"/>
        </w:rPr>
        <w:t xml:space="preserve">delivered </w:t>
      </w:r>
      <w:r w:rsidR="00BB2091" w:rsidRPr="00D8107F">
        <w:rPr>
          <w:rFonts w:cs="AdvPSA183"/>
          <w:color w:val="000000" w:themeColor="text1"/>
        </w:rPr>
        <w:t>according to standard practice</w:t>
      </w:r>
      <w:r w:rsidRPr="00D8107F">
        <w:rPr>
          <w:rFonts w:cs="AdvPSA183"/>
          <w:color w:val="000000" w:themeColor="text1"/>
        </w:rPr>
        <w:t xml:space="preserve">. </w:t>
      </w:r>
      <w:r w:rsidR="00BB2091" w:rsidRPr="00D8107F">
        <w:rPr>
          <w:rFonts w:cs="AdvPSA183"/>
          <w:color w:val="000000" w:themeColor="text1"/>
        </w:rPr>
        <w:t>Patients received between 5.3 and 8.1 GBq per session</w:t>
      </w:r>
      <w:r w:rsidRPr="00D8107F">
        <w:rPr>
          <w:rFonts w:cs="AdvPSA183"/>
          <w:color w:val="000000" w:themeColor="text1"/>
        </w:rPr>
        <w:t>; t</w:t>
      </w:r>
      <w:r w:rsidR="00BB2091" w:rsidRPr="00D8107F">
        <w:rPr>
          <w:rFonts w:cs="AdvPSA183"/>
          <w:color w:val="000000" w:themeColor="text1"/>
        </w:rPr>
        <w:t>reatment cycles were 12-week</w:t>
      </w:r>
      <w:r w:rsidR="006334C6" w:rsidRPr="00D8107F">
        <w:rPr>
          <w:rFonts w:cs="AdvPSA183"/>
          <w:color w:val="000000" w:themeColor="text1"/>
        </w:rPr>
        <w:t>ly</w:t>
      </w:r>
      <w:r w:rsidRPr="00D8107F">
        <w:rPr>
          <w:rFonts w:cs="AdvPSA183"/>
          <w:color w:val="000000" w:themeColor="text1"/>
        </w:rPr>
        <w:t xml:space="preserve"> to</w:t>
      </w:r>
      <w:r w:rsidR="00BB2091" w:rsidRPr="00D8107F">
        <w:rPr>
          <w:rFonts w:cs="AdvPSA183"/>
          <w:color w:val="000000" w:themeColor="text1"/>
        </w:rPr>
        <w:t xml:space="preserve"> a maximum of 4 cycles. </w:t>
      </w:r>
      <w:r w:rsidR="009A3A6C" w:rsidRPr="009A3A6C">
        <w:rPr>
          <w:rFonts w:cs="AdvPSA183"/>
          <w:color w:val="000000" w:themeColor="text1"/>
          <w:highlight w:val="yellow"/>
        </w:rPr>
        <w:t>The maximum Standardised Uptake Value (SUVmax) of the radiolabelled tracer prior to treatment was noted.</w:t>
      </w:r>
      <w:r w:rsidR="009A3A6C">
        <w:rPr>
          <w:rFonts w:cs="AdvPSA183"/>
          <w:color w:val="000000" w:themeColor="text1"/>
        </w:rPr>
        <w:t xml:space="preserve"> </w:t>
      </w:r>
      <w:r w:rsidR="00F839A5" w:rsidRPr="00D8107F">
        <w:rPr>
          <w:rFonts w:cs="AdvPSA183"/>
          <w:color w:val="000000" w:themeColor="text1"/>
        </w:rPr>
        <w:t>Response</w:t>
      </w:r>
      <w:r w:rsidR="009865D5" w:rsidRPr="00D8107F">
        <w:rPr>
          <w:rFonts w:cs="AdvPSA183"/>
          <w:color w:val="000000" w:themeColor="text1"/>
        </w:rPr>
        <w:t xml:space="preserve"> was assessed </w:t>
      </w:r>
      <w:r w:rsidRPr="00D8107F">
        <w:rPr>
          <w:rFonts w:cs="AdvPSA183"/>
          <w:color w:val="000000" w:themeColor="text1"/>
        </w:rPr>
        <w:t>radiologically</w:t>
      </w:r>
      <w:r w:rsidR="00D762AB" w:rsidRPr="00D8107F">
        <w:rPr>
          <w:rFonts w:cs="AdvPSA183"/>
          <w:color w:val="000000" w:themeColor="text1"/>
        </w:rPr>
        <w:t xml:space="preserve"> after the </w:t>
      </w:r>
      <w:r w:rsidR="00B1347C" w:rsidRPr="00D8107F">
        <w:rPr>
          <w:rFonts w:cs="AdvPSA183"/>
          <w:color w:val="000000" w:themeColor="text1"/>
        </w:rPr>
        <w:t>second and fourth</w:t>
      </w:r>
      <w:r w:rsidR="00BE3E80" w:rsidRPr="00D8107F">
        <w:rPr>
          <w:rFonts w:cs="AdvPSA183"/>
          <w:color w:val="000000" w:themeColor="text1"/>
        </w:rPr>
        <w:t xml:space="preserve"> </w:t>
      </w:r>
      <w:r w:rsidR="00326FFD" w:rsidRPr="00D8107F">
        <w:rPr>
          <w:rFonts w:cs="AdvPSA183"/>
          <w:color w:val="000000" w:themeColor="text1"/>
        </w:rPr>
        <w:t xml:space="preserve">cycles </w:t>
      </w:r>
      <w:r w:rsidRPr="00D8107F">
        <w:rPr>
          <w:rFonts w:cs="AdvPSA183"/>
          <w:color w:val="000000" w:themeColor="text1"/>
        </w:rPr>
        <w:t>using</w:t>
      </w:r>
      <w:r w:rsidR="006334C6" w:rsidRPr="00D8107F">
        <w:rPr>
          <w:rFonts w:cs="AdvPSA183"/>
          <w:color w:val="000000" w:themeColor="text1"/>
        </w:rPr>
        <w:t xml:space="preserve"> </w:t>
      </w:r>
      <w:r w:rsidR="009865D5" w:rsidRPr="00D8107F">
        <w:rPr>
          <w:rFonts w:cs="AdvPSA183"/>
          <w:color w:val="000000" w:themeColor="text1"/>
        </w:rPr>
        <w:t xml:space="preserve">RECIST </w:t>
      </w:r>
      <w:r w:rsidR="006334C6" w:rsidRPr="00D8107F">
        <w:rPr>
          <w:rFonts w:cs="AdvPSA183"/>
          <w:color w:val="000000" w:themeColor="text1"/>
        </w:rPr>
        <w:t>1.1</w:t>
      </w:r>
      <w:r w:rsidRPr="00D8107F">
        <w:rPr>
          <w:rFonts w:cs="AdvPSA183"/>
          <w:color w:val="000000" w:themeColor="text1"/>
        </w:rPr>
        <w:t xml:space="preserve"> </w:t>
      </w:r>
      <w:r w:rsidR="009865D5" w:rsidRPr="00D8107F">
        <w:rPr>
          <w:rFonts w:cs="AdvPSA183"/>
          <w:color w:val="000000" w:themeColor="text1"/>
        </w:rPr>
        <w:t>criteria</w:t>
      </w:r>
      <w:r w:rsidR="00F839A5" w:rsidRPr="00D8107F">
        <w:rPr>
          <w:rFonts w:cs="AdvPSA183"/>
          <w:color w:val="000000" w:themeColor="text1"/>
        </w:rPr>
        <w:fldChar w:fldCharType="begin" w:fldLock="1"/>
      </w:r>
      <w:r w:rsidR="009914C5">
        <w:rPr>
          <w:rFonts w:cs="AdvPSA183"/>
          <w:color w:val="000000" w:themeColor="text1"/>
        </w:rPr>
        <w:instrText>ADDIN CSL_CITATION { "citationItems" : [ { "id" : "ITEM-1", "itemData" : { "DOI" : "10.1016/j.ejca.2008.10.026", "ISSN" : "1879-0852 (Electronic)", "PMID" : "19097774", "abstract" : "BACKGROUND: Assessment of the change in tumour burden is an important feature of  the clinical evaluation of cancer therapeutics: both tumour shrinkage (objective response) and disease progression are useful endpoints in clinical trials. Since RECIST was published in 2000, many investigators, cooperative groups, industry and government authorities have adopted these criteria in the assessment of treatment outcomes. However, a number of questions and issues have arisen which have led to the development of a revised RECIST guideline (version 1.1). Evidence for changes, summarised in separate papers in this special issue, has come from assessment of a large data warehouse (&gt;6500 patients), simulation studies and literature reviews. HIGHLIGHTS OF REVISED RECIST 1.1: Major changes include: Number of lesions to be assessed: based on evidence from numerous trial databases merged into a data warehouse for analysis purposes, the number of lesions required to assess tumour burden for response determination has been reduced from a maximum of 10 to a maximum of five total (and from five to two per organ, maximum). Assessment of pathological lymph nodes is now incorporated: nodes with a short axis of 15 mm are considered measurable and assessable as target lesions. The short axis measurement should be included in the sum of lesions in calculation of tumour response. Nodes that shrink to &lt;10mm short axis are considered normal. Confirmation of response is required for trials with response primary endpoint but is no longer required in randomised studies since the control arm serves as appropriate means of interpretation of data. Disease progression is clarified in several aspects: in addition to the previous definition of progression in target disease of 20% increase in sum, a 5mm absolute increase is now required as well to guard against over calling PD when the total sum is very small. Furthermore, there is guidance offered on what constitutes 'unequivocal progression' of non-measurable/non-target disease, a source of confusion in the original RECIST guideline. Finally, a section on detection of new lesions, including the interpretation of FDG-PET scan assessment is included. Imaging guidance: the revised RECIST includes a new imaging appendix with updated recommendations on the optimal anatomical assessment of lesions. FUTURE WORK: A key question considered by the RECIST Working Group in developing RECIST 1.1 was whether it was appropriate to move from anatomic unid\u2026", "author" : [ { "dropping-particle" : "", "family" : "Eisenhauer", "given" : "E A", "non-dropping-particle" : "", "parse-names" : false, "suffix" : "" }, { "dropping-particle" : "", "family" : "Therasse", "given" : "P", "non-dropping-particle" : "", "parse-names" : false, "suffix" : "" }, { "dropping-particle" : "", "family" : "Bogaerts", "given" : "J", "non-dropping-particle" : "", "parse-names" : false, "suffix" : "" }, { "dropping-particle" : "", "family" : "Schwartz", "given" : "L H", "non-dropping-particle" : "", "parse-names" : false, "suffix" : "" }, { "dropping-particle" : "", "family" : "Sargent", "given" : "D", "non-dropping-particle" : "", "parse-names" : false, "suffix" : "" }, { "dropping-particle" : "", "family" : "Ford", "given" : "R", "non-dropping-particle" : "", "parse-names" : false, "suffix" : "" }, { "dropping-particle" : "", "family" : "Dancey", "given" : "J", "non-dropping-particle" : "", "parse-names" : false, "suffix" : "" }, { "dropping-particle" : "", "family" : "Arbuck", "given" : "S", "non-dropping-particle" : "", "parse-names" : false, "suffix" : "" }, { "dropping-particle" : "", "family" : "Gwyther", "given" : "S", "non-dropping-particle" : "", "parse-names" : false, "suffix" : "" }, { "dropping-particle" : "", "family" : "Mooney", "given" : "M", "non-dropping-particle" : "", "parse-names" : false, "suffix" : "" }, { "dropping-particle" : "", "family" : "Rubinstein", "given" : "L", "non-dropping-particle" : "", "parse-names" : false, "suffix" : "" }, { "dropping-particle" : "", "family" : "Shankar", "given" : "L", "non-dropping-particle" : "", "parse-names" : false, "suffix" : "" }, { "dropping-particle" : "", "family" : "Dodd", "given" : "L", "non-dropping-particle" : "", "parse-names" : false, "suffix" : "" }, { "dropping-particle" : "", "family" : "Kaplan", "given" : "R", "non-dropping-particle" : "", "parse-names" : false, "suffix" : "" }, { "dropping-particle" : "", "family" : "Lacombe", "given" : "D", "non-dropping-particle" : "", "parse-names" : false, "suffix" : "" }, { "dropping-particle" : "", "family" : "Verweij", "given" : "J", "non-dropping-particle" : "", "parse-names" : false, "suffix" : "" } ], "container-title" : "European journal of cancer (Oxford, England : 1990)", "id" : "ITEM-1", "issue" : "2", "issued" : { "date-parts" : [ [ "2009", "1" ] ] }, "language" : "eng", "page" : "228-247", "publisher-place" : "England", "title" : "New response evaluation criteria in solid tumours: revised RECIST guideline (version 1.1).", "type" : "article-journal", "volume" : "45" }, "uris" : [ "http://www.mendeley.com/documents/?uuid=f2384572-8ae0-419e-b828-936cdbeb40bc" ] } ], "mendeley" : { "formattedCitation" : "&lt;sup&gt;22&lt;/sup&gt;", "plainTextFormattedCitation" : "22", "previouslyFormattedCitation" : "&lt;sup&gt;22&lt;/sup&gt;" }, "properties" : { "noteIndex" : 0 }, "schema" : "https://github.com/citation-style-language/schema/raw/master/csl-citation.json" }</w:instrText>
      </w:r>
      <w:r w:rsidR="00F839A5" w:rsidRPr="00D8107F">
        <w:rPr>
          <w:rFonts w:cs="AdvPSA183"/>
          <w:color w:val="000000" w:themeColor="text1"/>
        </w:rPr>
        <w:fldChar w:fldCharType="separate"/>
      </w:r>
      <w:r w:rsidR="00420780" w:rsidRPr="00420780">
        <w:rPr>
          <w:rFonts w:cs="AdvPSA183"/>
          <w:noProof/>
          <w:color w:val="000000" w:themeColor="text1"/>
          <w:vertAlign w:val="superscript"/>
        </w:rPr>
        <w:t>22</w:t>
      </w:r>
      <w:r w:rsidR="00F839A5" w:rsidRPr="00D8107F">
        <w:rPr>
          <w:rFonts w:cs="AdvPSA183"/>
          <w:color w:val="000000" w:themeColor="text1"/>
        </w:rPr>
        <w:fldChar w:fldCharType="end"/>
      </w:r>
      <w:r w:rsidR="009865D5" w:rsidRPr="00D8107F">
        <w:rPr>
          <w:rFonts w:cs="AdvPSA183"/>
          <w:color w:val="000000" w:themeColor="text1"/>
        </w:rPr>
        <w:t xml:space="preserve">. </w:t>
      </w:r>
      <w:r w:rsidR="00155692" w:rsidRPr="00D8107F">
        <w:rPr>
          <w:rFonts w:cs="AdvPSA183"/>
          <w:color w:val="000000" w:themeColor="text1"/>
        </w:rPr>
        <w:t>PRRT</w:t>
      </w:r>
      <w:r w:rsidR="0075578E" w:rsidRPr="00D8107F">
        <w:rPr>
          <w:rFonts w:cs="AdvPSA183"/>
          <w:color w:val="000000" w:themeColor="text1"/>
        </w:rPr>
        <w:t xml:space="preserve"> was </w:t>
      </w:r>
      <w:r w:rsidR="00155692" w:rsidRPr="00D8107F">
        <w:rPr>
          <w:rFonts w:cs="AdvPSA183"/>
          <w:color w:val="000000" w:themeColor="text1"/>
        </w:rPr>
        <w:t>halted</w:t>
      </w:r>
      <w:r w:rsidR="00347883" w:rsidRPr="00D8107F">
        <w:rPr>
          <w:rFonts w:cs="AdvPSA183"/>
          <w:color w:val="000000" w:themeColor="text1"/>
        </w:rPr>
        <w:t xml:space="preserve"> </w:t>
      </w:r>
      <w:r w:rsidR="00BE3E80" w:rsidRPr="00D8107F">
        <w:rPr>
          <w:rFonts w:cs="AdvPSA183"/>
          <w:color w:val="000000" w:themeColor="text1"/>
        </w:rPr>
        <w:t>after the 2</w:t>
      </w:r>
      <w:r w:rsidR="00BE3E80" w:rsidRPr="00D8107F">
        <w:rPr>
          <w:rFonts w:cs="AdvPSA183"/>
          <w:color w:val="000000" w:themeColor="text1"/>
          <w:vertAlign w:val="superscript"/>
        </w:rPr>
        <w:t>nd</w:t>
      </w:r>
      <w:r w:rsidR="00BE3E80" w:rsidRPr="00D8107F">
        <w:rPr>
          <w:rFonts w:cs="AdvPSA183"/>
          <w:color w:val="000000" w:themeColor="text1"/>
        </w:rPr>
        <w:t xml:space="preserve"> cycle </w:t>
      </w:r>
      <w:r w:rsidR="00155692" w:rsidRPr="00D8107F">
        <w:rPr>
          <w:rFonts w:cs="AdvPSA183"/>
          <w:color w:val="000000" w:themeColor="text1"/>
        </w:rPr>
        <w:t xml:space="preserve">if patients’ disease </w:t>
      </w:r>
      <w:r w:rsidR="00347883" w:rsidRPr="00D8107F">
        <w:rPr>
          <w:rFonts w:cs="AdvPSA183"/>
          <w:color w:val="000000" w:themeColor="text1"/>
        </w:rPr>
        <w:t xml:space="preserve">progressed through treatment or </w:t>
      </w:r>
      <w:r w:rsidR="00155692" w:rsidRPr="00D8107F">
        <w:rPr>
          <w:rFonts w:cs="AdvPSA183"/>
          <w:color w:val="000000" w:themeColor="text1"/>
        </w:rPr>
        <w:t>if SSTR</w:t>
      </w:r>
      <w:r w:rsidR="001A58B8" w:rsidRPr="00D8107F">
        <w:rPr>
          <w:rFonts w:cs="AdvPSA183"/>
          <w:color w:val="000000" w:themeColor="text1"/>
        </w:rPr>
        <w:t xml:space="preserve"> tracer</w:t>
      </w:r>
      <w:r w:rsidR="00155692" w:rsidRPr="00D8107F">
        <w:rPr>
          <w:rFonts w:cs="AdvPSA183"/>
          <w:color w:val="000000" w:themeColor="text1"/>
        </w:rPr>
        <w:t xml:space="preserve"> uptake intensity was less than that of normal liver parenchyma as assessed by the Krenning score</w:t>
      </w:r>
      <w:r w:rsidR="002230F2" w:rsidRPr="00D8107F">
        <w:rPr>
          <w:rFonts w:cs="AdvPSA183"/>
          <w:color w:val="000000" w:themeColor="text1"/>
        </w:rPr>
        <w:fldChar w:fldCharType="begin" w:fldLock="1"/>
      </w:r>
      <w:r w:rsidR="009914C5">
        <w:rPr>
          <w:rFonts w:cs="AdvPSA183"/>
          <w:color w:val="000000" w:themeColor="text1"/>
        </w:rPr>
        <w:instrText>ADDIN CSL_CITATION { "citationItems" : [ { "id" : "ITEM-1", "itemData" : { "DOI" : "10.1053/snuc.2002.31022", "ISSN" : "0001-2998", "author" : [ { "dropping-particle" : "", "family" : "Kwekkeboom", "given" : "Dik J", "non-dropping-particle" : "", "parse-names" : false, "suffix" : "" }, { "dropping-particle" : "", "family" : "Krenning", "given" : "Eric P", "non-dropping-particle" : "", "parse-names" : false, "suffix" : "" } ], "container-title" : "Seminars in Nuclear Medicine", "id" : "ITEM-1", "issue" : "2", "issued" : { "date-parts" : [ [ "2018", "3", "6" ] ] }, "note" : "doi: 10.1053/snuc.2002.31022", "page" : "84-91", "publisher" : "Elsevier", "title" : "Somatostatin receptor imaging", "type" : "article-journal", "volume" : "32" }, "uris" : [ "http://www.mendeley.com/documents/?uuid=fb31a60d-d33b-4a3e-9118-b0c454149e73" ] } ], "mendeley" : { "formattedCitation" : "&lt;sup&gt;23&lt;/sup&gt;", "plainTextFormattedCitation" : "23", "previouslyFormattedCitation" : "&lt;sup&gt;23&lt;/sup&gt;" }, "properties" : { "noteIndex" : 0 }, "schema" : "https://github.com/citation-style-language/schema/raw/master/csl-citation.json" }</w:instrText>
      </w:r>
      <w:r w:rsidR="002230F2" w:rsidRPr="00D8107F">
        <w:rPr>
          <w:rFonts w:cs="AdvPSA183"/>
          <w:color w:val="000000" w:themeColor="text1"/>
        </w:rPr>
        <w:fldChar w:fldCharType="separate"/>
      </w:r>
      <w:r w:rsidR="00420780" w:rsidRPr="00420780">
        <w:rPr>
          <w:rFonts w:cs="AdvPSA183"/>
          <w:noProof/>
          <w:color w:val="000000" w:themeColor="text1"/>
          <w:vertAlign w:val="superscript"/>
        </w:rPr>
        <w:t>23</w:t>
      </w:r>
      <w:r w:rsidR="002230F2" w:rsidRPr="00D8107F">
        <w:rPr>
          <w:rFonts w:cs="AdvPSA183"/>
          <w:color w:val="000000" w:themeColor="text1"/>
        </w:rPr>
        <w:fldChar w:fldCharType="end"/>
      </w:r>
      <w:r w:rsidR="00155692" w:rsidRPr="00D8107F">
        <w:rPr>
          <w:rFonts w:cs="AdvPSA183"/>
          <w:color w:val="000000" w:themeColor="text1"/>
        </w:rPr>
        <w:t xml:space="preserve">. </w:t>
      </w:r>
      <w:r w:rsidR="00F839A5" w:rsidRPr="00D8107F">
        <w:rPr>
          <w:rFonts w:cs="AdvPSA183"/>
          <w:color w:val="000000" w:themeColor="text1"/>
        </w:rPr>
        <w:t>Patients were reviewed at baseline and t</w:t>
      </w:r>
      <w:r w:rsidR="009C0A8A" w:rsidRPr="00D8107F">
        <w:rPr>
          <w:rFonts w:cs="AdvPSA183"/>
          <w:color w:val="000000" w:themeColor="text1"/>
        </w:rPr>
        <w:t>hen within two weeks</w:t>
      </w:r>
      <w:r w:rsidR="00F839A5" w:rsidRPr="00D8107F">
        <w:rPr>
          <w:rFonts w:cs="AdvPSA183"/>
          <w:color w:val="000000" w:themeColor="text1"/>
        </w:rPr>
        <w:t xml:space="preserve"> </w:t>
      </w:r>
      <w:r w:rsidR="009C0A8A" w:rsidRPr="00D8107F">
        <w:rPr>
          <w:rFonts w:cs="AdvPSA183"/>
          <w:color w:val="000000" w:themeColor="text1"/>
        </w:rPr>
        <w:t>of completion of</w:t>
      </w:r>
      <w:r w:rsidR="00F839A5" w:rsidRPr="00D8107F">
        <w:rPr>
          <w:rFonts w:cs="AdvPSA183"/>
          <w:color w:val="000000" w:themeColor="text1"/>
        </w:rPr>
        <w:t xml:space="preserve"> the second and fourth treatment cycles.</w:t>
      </w:r>
    </w:p>
    <w:p w14:paraId="0FEED48C" w14:textId="3EDA549E" w:rsidR="001D66EB" w:rsidRPr="00D8107F" w:rsidRDefault="00CE1EDC" w:rsidP="00D8107F">
      <w:pPr>
        <w:spacing w:line="480" w:lineRule="auto"/>
        <w:outlineLvl w:val="0"/>
        <w:rPr>
          <w:rFonts w:cs="AdvPSA183"/>
          <w:b/>
          <w:color w:val="000000" w:themeColor="text1"/>
        </w:rPr>
      </w:pPr>
      <w:r w:rsidRPr="00D8107F">
        <w:rPr>
          <w:rStyle w:val="Strong"/>
          <w:color w:val="000000" w:themeColor="text1"/>
        </w:rPr>
        <w:t>Derivation of IBI</w:t>
      </w:r>
      <w:r w:rsidR="007754DC" w:rsidRPr="00D8107F">
        <w:rPr>
          <w:rStyle w:val="Strong"/>
          <w:color w:val="000000" w:themeColor="text1"/>
        </w:rPr>
        <w:t xml:space="preserve"> and definition of dynamic changes</w:t>
      </w:r>
    </w:p>
    <w:p w14:paraId="7B9DCF39" w14:textId="5C294092" w:rsidR="00C54D0D" w:rsidRPr="009A3A6C" w:rsidRDefault="0076350B" w:rsidP="00D8107F">
      <w:pPr>
        <w:spacing w:line="480" w:lineRule="auto"/>
        <w:rPr>
          <w:rFonts w:cstheme="minorHAnsi"/>
          <w:color w:val="000000" w:themeColor="text1"/>
          <w:highlight w:val="yellow"/>
        </w:rPr>
      </w:pPr>
      <w:r w:rsidRPr="00740C74">
        <w:rPr>
          <w:color w:val="000000" w:themeColor="text1"/>
          <w:highlight w:val="yellow"/>
        </w:rPr>
        <w:t>The IBI was calculated as previously described</w:t>
      </w:r>
      <w:r w:rsidR="00C2022F" w:rsidRPr="00740C74">
        <w:rPr>
          <w:color w:val="000000" w:themeColor="text1"/>
          <w:highlight w:val="yellow"/>
        </w:rPr>
        <w:fldChar w:fldCharType="begin" w:fldLock="1"/>
      </w:r>
      <w:r w:rsidR="009914C5" w:rsidRPr="00740C74">
        <w:rPr>
          <w:color w:val="000000" w:themeColor="text1"/>
          <w:highlight w:val="yellow"/>
        </w:rPr>
        <w:instrText>ADDIN CSL_CITATION { "citationItems" : [ { "id" : "ITEM-1", "itemData" : { "DOI" : "10.1016/j.jhep.2012.06.022", "ISSN" : "1600-0641 (Electronic)", "PMID" : "22732513", "abstract" : "BACKGROUND &amp; AIMS: Outcome prediction is uniquely different in hepatocellular carcinoma (HCC) as the progressive functional impairment of the liver impacts patient survival independently of tumour stage. As chronic inflammation is associated with the pathogenesis of HCC, we explored the prognostic impact of a panel of inflammatory based scores, including the modified Glasgow Prognostic Score (mGPS), neutrophil to lymphocyte ratio (NLR) and platelet to lymphocyte ratio (PLR), in independent cohorts. METHODS: Inflammatory markers, Barcelona Clinic Liver Cancer (BCLC) and Cancer of the Liver Italian Program (CLIP) scores were studied in a training set of 112 patients with predominantly unresectable HCC (75%). Independent predictors of survival identified in multivariate analysis were validated in an independent cohort of 466 patients with an overall lower tumour burden (BCLC-A, 56%). RESULTS: In both training and validation sets, mGPS and CLIP scores emerged as independent predictors of overall survival. The predictive accuracy of the combined mGPS and CLIP score (c score 0.7, 95% CI 0.6-0.8) appeared superior to that of the CLIP score alone (c score 0.6, 95% CI 0.5-0.7). CONCLUSIONS: Systemic inflammation as measured by the mGPS, independently predicts overall survival in HCC. We have validated a novel, easy to use inflammatory score that can be used to stratify individuals. These data enable formulation of a new prognostic system, the inflammation based index in HCC (IBI). Further validation of the IBI considering treatment allocation and survival is warranted in an independent patient cohort.", "author" : [ { "dropping-particle" : "", "family" : "Pinato", "given" : "David J", "non-dropping-particle" : "", "parse-names" : false, "suffix" : "" }, { "dropping-particle" : "", "family" : "Stebbing", "given" : "Justin", "non-dropping-particle" : "", "parse-names" : false, "suffix" : "" }, { "dropping-particle" : "", "family" : "Ishizuka", "given" : "Mitsuru", "non-dropping-particle" : "", "parse-names" : false, "suffix" : "" }, { "dropping-particle" : "", "family" : "Khan", "given" : "Shahid A", "non-dropping-particle" : "", "parse-names" : false, "suffix" : "" }, { "dropping-particle" : "", "family" : "Wasan", "given" : "Harpreet S", "non-dropping-particle" : "", "parse-names" : false, "suffix" : "" }, { "dropping-particle" : "V", "family" : "North", "given" : "Bernard", "non-dropping-particle" : "", "parse-names" : false, "suffix" : "" }, { "dropping-particle" : "", "family" : "Kubota", "given" : "Keiichi", "non-dropping-particle" : "", "parse-names" : false, "suffix" : "" }, { "dropping-particle" : "", "family" : "Sharma", "given" : "Rohini", "non-dropping-particle" : "", "parse-names" : false, "suffix" : "" } ], "container-title" : "Journal of hepatology", "id" : "ITEM-1", "issue" : "5", "issued" : { "date-parts" : [ [ "2012", "11" ] ] }, "language" : "eng", "page" : "1013-1020", "publisher-place" : "Netherlands", "title" : "A novel and validated prognostic index in hepatocellular carcinoma: the inflammation based index (IBI).", "type" : "article-journal", "volume" : "57" }, "uris" : [ "http://www.mendeley.com/documents/?uuid=0567f130-f5eb-4929-8485-f2eff087c471" ] } ], "mendeley" : { "formattedCitation" : "&lt;sup&gt;19&lt;/sup&gt;", "plainTextFormattedCitation" : "19", "previouslyFormattedCitation" : "&lt;sup&gt;19&lt;/sup&gt;" }, "properties" : { "noteIndex" : 0 }, "schema" : "https://github.com/citation-style-language/schema/raw/master/csl-citation.json" }</w:instrText>
      </w:r>
      <w:r w:rsidR="00C2022F" w:rsidRPr="00740C74">
        <w:rPr>
          <w:color w:val="000000" w:themeColor="text1"/>
          <w:highlight w:val="yellow"/>
        </w:rPr>
        <w:fldChar w:fldCharType="separate"/>
      </w:r>
      <w:r w:rsidR="00420780" w:rsidRPr="00740C74">
        <w:rPr>
          <w:noProof/>
          <w:color w:val="000000" w:themeColor="text1"/>
          <w:highlight w:val="yellow"/>
          <w:vertAlign w:val="superscript"/>
        </w:rPr>
        <w:t>19</w:t>
      </w:r>
      <w:r w:rsidR="00C2022F" w:rsidRPr="00740C74">
        <w:rPr>
          <w:color w:val="000000" w:themeColor="text1"/>
          <w:highlight w:val="yellow"/>
        </w:rPr>
        <w:fldChar w:fldCharType="end"/>
      </w:r>
      <w:r w:rsidRPr="00740C74">
        <w:rPr>
          <w:color w:val="000000" w:themeColor="text1"/>
          <w:highlight w:val="yellow"/>
        </w:rPr>
        <w:t xml:space="preserve">. </w:t>
      </w:r>
      <w:r w:rsidR="00CE1EDC" w:rsidRPr="00740C74">
        <w:rPr>
          <w:color w:val="000000" w:themeColor="text1"/>
          <w:highlight w:val="yellow"/>
        </w:rPr>
        <w:t>A</w:t>
      </w:r>
      <w:r w:rsidR="00740C74" w:rsidRPr="00740C74">
        <w:rPr>
          <w:color w:val="000000" w:themeColor="text1"/>
          <w:highlight w:val="yellow"/>
        </w:rPr>
        <w:t>ccording to pre-defined thresholds, a</w:t>
      </w:r>
      <w:r w:rsidR="00812274" w:rsidRPr="00740C74">
        <w:rPr>
          <w:color w:val="000000" w:themeColor="text1"/>
          <w:highlight w:val="yellow"/>
        </w:rPr>
        <w:t xml:space="preserve"> </w:t>
      </w:r>
      <w:r w:rsidR="00CE1EDC" w:rsidRPr="00740C74">
        <w:rPr>
          <w:color w:val="000000" w:themeColor="text1"/>
          <w:highlight w:val="yellow"/>
        </w:rPr>
        <w:t xml:space="preserve">single point was awarded </w:t>
      </w:r>
      <w:r w:rsidR="00740C74" w:rsidRPr="00740C74">
        <w:rPr>
          <w:color w:val="000000" w:themeColor="text1"/>
          <w:highlight w:val="yellow"/>
        </w:rPr>
        <w:t xml:space="preserve">for </w:t>
      </w:r>
      <w:r w:rsidR="00CE1EDC" w:rsidRPr="00740C74">
        <w:rPr>
          <w:color w:val="000000" w:themeColor="text1"/>
          <w:highlight w:val="yellow"/>
        </w:rPr>
        <w:t>either a</w:t>
      </w:r>
      <w:r w:rsidR="00740C74" w:rsidRPr="00740C74">
        <w:rPr>
          <w:color w:val="000000" w:themeColor="text1"/>
          <w:highlight w:val="yellow"/>
        </w:rPr>
        <w:t>n elevated</w:t>
      </w:r>
      <w:r w:rsidR="00CE1EDC" w:rsidRPr="00740C74">
        <w:rPr>
          <w:color w:val="000000" w:themeColor="text1"/>
          <w:highlight w:val="yellow"/>
        </w:rPr>
        <w:t xml:space="preserve"> </w:t>
      </w:r>
      <w:r w:rsidR="00812274" w:rsidRPr="00740C74">
        <w:rPr>
          <w:color w:val="000000" w:themeColor="text1"/>
          <w:highlight w:val="yellow"/>
        </w:rPr>
        <w:t>CRP</w:t>
      </w:r>
      <w:r w:rsidR="00740C74" w:rsidRPr="00740C74">
        <w:rPr>
          <w:color w:val="000000" w:themeColor="text1"/>
          <w:highlight w:val="yellow"/>
        </w:rPr>
        <w:t xml:space="preserve"> level</w:t>
      </w:r>
      <w:r w:rsidR="00812274" w:rsidRPr="00740C74">
        <w:rPr>
          <w:color w:val="000000" w:themeColor="text1"/>
          <w:highlight w:val="yellow"/>
        </w:rPr>
        <w:t xml:space="preserve"> </w:t>
      </w:r>
      <w:r w:rsidR="00740C74" w:rsidRPr="00740C74">
        <w:rPr>
          <w:color w:val="000000" w:themeColor="text1"/>
          <w:highlight w:val="yellow"/>
        </w:rPr>
        <w:t>(</w:t>
      </w:r>
      <w:r w:rsidR="00CE1EDC" w:rsidRPr="00740C74">
        <w:rPr>
          <w:color w:val="000000" w:themeColor="text1"/>
          <w:highlight w:val="yellow"/>
        </w:rPr>
        <w:t>&gt;</w:t>
      </w:r>
      <w:r w:rsidRPr="00740C74">
        <w:rPr>
          <w:color w:val="000000" w:themeColor="text1"/>
          <w:highlight w:val="yellow"/>
        </w:rPr>
        <w:t>10 mg/L</w:t>
      </w:r>
      <w:r w:rsidR="00740C74" w:rsidRPr="00740C74">
        <w:rPr>
          <w:color w:val="000000" w:themeColor="text1"/>
          <w:highlight w:val="yellow"/>
        </w:rPr>
        <w:t>)</w:t>
      </w:r>
      <w:r w:rsidRPr="00740C74">
        <w:rPr>
          <w:color w:val="000000" w:themeColor="text1"/>
          <w:highlight w:val="yellow"/>
        </w:rPr>
        <w:t xml:space="preserve"> </w:t>
      </w:r>
      <w:r w:rsidR="00740C74" w:rsidRPr="00740C74">
        <w:rPr>
          <w:color w:val="000000" w:themeColor="text1"/>
          <w:highlight w:val="yellow"/>
        </w:rPr>
        <w:t>or hypo</w:t>
      </w:r>
      <w:r w:rsidRPr="00740C74">
        <w:rPr>
          <w:color w:val="000000" w:themeColor="text1"/>
          <w:highlight w:val="yellow"/>
        </w:rPr>
        <w:t>albumin</w:t>
      </w:r>
      <w:r w:rsidR="00740C74" w:rsidRPr="00740C74">
        <w:rPr>
          <w:color w:val="000000" w:themeColor="text1"/>
          <w:highlight w:val="yellow"/>
        </w:rPr>
        <w:t>aemia</w:t>
      </w:r>
      <w:r w:rsidR="00812274" w:rsidRPr="00740C74">
        <w:rPr>
          <w:color w:val="000000" w:themeColor="text1"/>
          <w:highlight w:val="yellow"/>
        </w:rPr>
        <w:t xml:space="preserve"> </w:t>
      </w:r>
      <w:r w:rsidR="00740C74" w:rsidRPr="00740C74">
        <w:rPr>
          <w:color w:val="000000" w:themeColor="text1"/>
          <w:highlight w:val="yellow"/>
        </w:rPr>
        <w:t>(</w:t>
      </w:r>
      <w:r w:rsidR="00CE1EDC" w:rsidRPr="00740C74">
        <w:rPr>
          <w:color w:val="000000" w:themeColor="text1"/>
          <w:highlight w:val="yellow"/>
        </w:rPr>
        <w:t>&lt;</w:t>
      </w:r>
      <w:r w:rsidRPr="00740C74">
        <w:rPr>
          <w:color w:val="000000" w:themeColor="text1"/>
          <w:highlight w:val="yellow"/>
        </w:rPr>
        <w:t>35 g/L</w:t>
      </w:r>
      <w:r w:rsidR="00740C74" w:rsidRPr="00740C74">
        <w:rPr>
          <w:color w:val="000000" w:themeColor="text1"/>
          <w:highlight w:val="yellow"/>
        </w:rPr>
        <w:t>)</w:t>
      </w:r>
      <w:r w:rsidRPr="00740C74">
        <w:rPr>
          <w:color w:val="000000" w:themeColor="text1"/>
          <w:highlight w:val="yellow"/>
        </w:rPr>
        <w:t xml:space="preserve">. </w:t>
      </w:r>
      <w:r w:rsidR="00740C74" w:rsidRPr="00740C74">
        <w:rPr>
          <w:color w:val="000000" w:themeColor="text1"/>
          <w:highlight w:val="yellow"/>
        </w:rPr>
        <w:t>Thus patients with both abnormalities were</w:t>
      </w:r>
      <w:r w:rsidR="00CE1EDC" w:rsidRPr="00740C74">
        <w:rPr>
          <w:color w:val="000000" w:themeColor="text1"/>
          <w:highlight w:val="yellow"/>
        </w:rPr>
        <w:t xml:space="preserve"> ascribed a score</w:t>
      </w:r>
      <w:r w:rsidR="00740C74" w:rsidRPr="00740C74">
        <w:rPr>
          <w:color w:val="000000" w:themeColor="text1"/>
          <w:highlight w:val="yellow"/>
        </w:rPr>
        <w:t xml:space="preserve"> of 2; patients with one abnormality allocated a score of 1; patients with normal levels of CRP and albumin allocated a score of 0</w:t>
      </w:r>
      <w:r w:rsidRPr="00740C74">
        <w:rPr>
          <w:color w:val="000000" w:themeColor="text1"/>
          <w:highlight w:val="yellow"/>
        </w:rPr>
        <w:t>.</w:t>
      </w:r>
      <w:r w:rsidR="00CE1EDC" w:rsidRPr="00D8107F">
        <w:rPr>
          <w:color w:val="000000" w:themeColor="text1"/>
        </w:rPr>
        <w:t xml:space="preserve"> </w:t>
      </w:r>
      <w:r w:rsidR="00F839A5" w:rsidRPr="00D8107F">
        <w:rPr>
          <w:color w:val="000000" w:themeColor="text1"/>
        </w:rPr>
        <w:t xml:space="preserve">IBI was calculated at baseline, </w:t>
      </w:r>
      <w:r w:rsidR="004756B2" w:rsidRPr="00D8107F">
        <w:rPr>
          <w:color w:val="000000" w:themeColor="text1"/>
        </w:rPr>
        <w:t xml:space="preserve">and </w:t>
      </w:r>
      <w:r w:rsidR="00F839A5" w:rsidRPr="00D8107F">
        <w:rPr>
          <w:color w:val="000000" w:themeColor="text1"/>
        </w:rPr>
        <w:t xml:space="preserve">after </w:t>
      </w:r>
      <w:r w:rsidR="004756B2" w:rsidRPr="00D8107F">
        <w:rPr>
          <w:color w:val="000000" w:themeColor="text1"/>
        </w:rPr>
        <w:t>the second and fourth</w:t>
      </w:r>
      <w:r w:rsidR="00F839A5" w:rsidRPr="00D8107F">
        <w:rPr>
          <w:color w:val="000000" w:themeColor="text1"/>
        </w:rPr>
        <w:t xml:space="preserve"> cycles of PRRT. </w:t>
      </w:r>
      <w:r w:rsidR="00CE1EDC" w:rsidRPr="00D8107F">
        <w:rPr>
          <w:color w:val="000000" w:themeColor="text1"/>
        </w:rPr>
        <w:t>D</w:t>
      </w:r>
      <w:r w:rsidR="00C2022F" w:rsidRPr="00D8107F">
        <w:rPr>
          <w:rFonts w:cstheme="minorHAnsi"/>
          <w:color w:val="000000" w:themeColor="text1"/>
        </w:rPr>
        <w:t xml:space="preserve">ynamic changes in IBI </w:t>
      </w:r>
      <w:r w:rsidR="00CE1EDC" w:rsidRPr="00D8107F">
        <w:rPr>
          <w:rFonts w:cstheme="minorHAnsi"/>
          <w:color w:val="000000" w:themeColor="text1"/>
        </w:rPr>
        <w:t xml:space="preserve">were also assessed as </w:t>
      </w:r>
      <w:r w:rsidR="00EA2D98" w:rsidRPr="00D8107F">
        <w:rPr>
          <w:rFonts w:cstheme="minorHAnsi"/>
          <w:color w:val="000000" w:themeColor="text1"/>
        </w:rPr>
        <w:t>previously</w:t>
      </w:r>
      <w:r w:rsidR="00CE1EDC" w:rsidRPr="00D8107F">
        <w:rPr>
          <w:rFonts w:cstheme="minorHAnsi"/>
          <w:color w:val="000000" w:themeColor="text1"/>
        </w:rPr>
        <w:t xml:space="preserve"> descri</w:t>
      </w:r>
      <w:r w:rsidR="004633A1" w:rsidRPr="00D8107F">
        <w:rPr>
          <w:rFonts w:cstheme="minorHAnsi"/>
          <w:color w:val="000000" w:themeColor="text1"/>
        </w:rPr>
        <w:t>b</w:t>
      </w:r>
      <w:r w:rsidR="00CE1EDC" w:rsidRPr="00D8107F">
        <w:rPr>
          <w:rFonts w:cstheme="minorHAnsi"/>
          <w:color w:val="000000" w:themeColor="text1"/>
        </w:rPr>
        <w:t>ed</w:t>
      </w:r>
      <w:r w:rsidR="00FB2D2E" w:rsidRPr="00D8107F">
        <w:rPr>
          <w:rFonts w:cstheme="minorHAnsi"/>
          <w:color w:val="000000" w:themeColor="text1"/>
        </w:rPr>
        <w:fldChar w:fldCharType="begin" w:fldLock="1"/>
      </w:r>
      <w:r w:rsidR="009914C5">
        <w:rPr>
          <w:rFonts w:cstheme="minorHAnsi"/>
          <w:color w:val="000000" w:themeColor="text1"/>
        </w:rPr>
        <w:instrText>ADDIN CSL_CITATION { "citationItems" : [ { "id" : "ITEM-1", "itemData" : { "DOI" : "10.1111/apt.12992", "ISBN" : "0269-2813\\n1365-2036", "ISSN" : "13652036", "PMID" : "25327965", "abstract" : "Background: Transarterial chemoembolisation (TACE) is a standard treatment for unresectable, intermediate stage hepatocellular carcinoma (HCC). Survival after TACE, however, can be highly variable, with no suitable biomarker predicting therapeutic outcome. The infl ammation-based index (IBI) has previously been shown to independently predict overall survival (OS) in all stages of HCC. Aim: To explore the prognostic ability of IBI as a predictor of survival after TACE. Methods: Baseline staging, biochemical and clinicopathological features including IBI were studied in a derivation set of 64 patients undergoing TACE for intermediate stage HCC. Dynamic changes in IBI before and after TACE were studied as predictors of survival using both a univariate and multivariate Cox regression model and further validated in two independent patient cohorts from Korea (n = 76) and Japan (n = 577). Results: Pre-treatment IBI predicted for OS in the derivation set (P = 0.001). Other univariate predictors of OS included radiological response to TACE (P &lt; 0.001), pre-TACE CLIP score (P &lt; 0.01), tumour diameter &gt;5 cm (P = 0.05) and AFP \u2265400 (P &lt; 0.001). Normalisation of IBI post-TACE was associated with radiological response by mRECIST criteria and improved OS (P &lt; 0.001). Normalisation of IBI remained a significant multivariate predictor of OS in both the derivation and validation sets (P &lt; 0.001). Conclusions: Normalisation of IBI after TACE is shown to be an independent predictor of survival and may be integrated into the retreatment criteria for repeat TACE in intermediate stage HCC. IBI and its dynamic changes after treatment are validated as a biomarker allowing the stratifi cation of patients with a significant survival advantage following initial TACE. \u00a9 2014 John Wiley &amp; Sons Ltd.", "author" : [ { "dropping-particle" : "", "family" : "Pinato", "given" : "D. J.", "non-dropping-particle" : "", "parse-names" : false, "suffix" : "" }, { "dropping-particle" : "", "family" : "Karamanakos", "given" : "G.", "non-dropping-particle" : "", "parse-names" : false, "suffix" : "" }, { "dropping-particle" : "", "family" : "Arizumi", "given" : "T.", "non-dropping-particle" : "", "parse-names" : false, "suffix" : "" }, { "dropping-particle" : "", "family" : "Adjogatse", "given" : "D.", "non-dropping-particle" : "", "parse-names" : false, "suffix" : "" }, { "dropping-particle" : "", "family" : "Kim", "given" : "Y. W.", "non-dropping-particle" : "", "parse-names" : false, "suffix" : "" }, { "dropping-particle" : "", "family" : "Stebbing", "given" : "J.", "non-dropping-particle" : "", "parse-names" : false, "suffix" : "" }, { "dropping-particle" : "", "family" : "Kudo", "given" : "M.", "non-dropping-particle" : "", "parse-names" : false, "suffix" : "" }, { "dropping-particle" : "", "family" : "Jang", "given" : "J. W.", "non-dropping-particle" : "", "parse-names" : false, "suffix" : "" }, { "dropping-particle" : "", "family" : "Sharma", "given" : "R.", "non-dropping-particle" : "", "parse-names" : false, "suffix" : "" } ], "container-title" : "Alimentary Pharmacology and Therapeutics", "id" : "ITEM-1", "issue" : "11-12", "issued" : { "date-parts" : [ [ "2014" ] ] }, "page" : "1270-1281", "title" : "Dynamic changes of the inflammation-based index predict mortality following chemoembolisation for hepatocellular carcinoma: A prospective study", "type" : "article-journal", "volume" : "40" }, "uris" : [ "http://www.mendeley.com/documents/?uuid=6b08249f-5d8d-48ac-8374-bbf7be788276" ] } ], "mendeley" : { "formattedCitation" : "&lt;sup&gt;20&lt;/sup&gt;", "plainTextFormattedCitation" : "20", "previouslyFormattedCitation" : "&lt;sup&gt;20&lt;/sup&gt;" }, "properties" : { "noteIndex" : 0 }, "schema" : "https://github.com/citation-style-language/schema/raw/master/csl-citation.json" }</w:instrText>
      </w:r>
      <w:r w:rsidR="00FB2D2E" w:rsidRPr="00D8107F">
        <w:rPr>
          <w:rFonts w:cstheme="minorHAnsi"/>
          <w:color w:val="000000" w:themeColor="text1"/>
        </w:rPr>
        <w:fldChar w:fldCharType="separate"/>
      </w:r>
      <w:r w:rsidR="00420780" w:rsidRPr="00420780">
        <w:rPr>
          <w:rFonts w:cstheme="minorHAnsi"/>
          <w:noProof/>
          <w:color w:val="000000" w:themeColor="text1"/>
          <w:vertAlign w:val="superscript"/>
        </w:rPr>
        <w:t>20</w:t>
      </w:r>
      <w:r w:rsidR="00FB2D2E" w:rsidRPr="00D8107F">
        <w:rPr>
          <w:rFonts w:cstheme="minorHAnsi"/>
          <w:color w:val="000000" w:themeColor="text1"/>
        </w:rPr>
        <w:fldChar w:fldCharType="end"/>
      </w:r>
      <w:r w:rsidR="00FB2D2E" w:rsidRPr="00D8107F">
        <w:rPr>
          <w:rFonts w:cstheme="minorHAnsi"/>
          <w:color w:val="000000" w:themeColor="text1"/>
        </w:rPr>
        <w:t>.</w:t>
      </w:r>
      <w:r w:rsidR="00EA2D98" w:rsidRPr="00D8107F">
        <w:rPr>
          <w:rFonts w:cstheme="minorHAnsi"/>
          <w:color w:val="000000" w:themeColor="text1"/>
        </w:rPr>
        <w:t xml:space="preserve"> </w:t>
      </w:r>
      <w:r w:rsidR="00CE1EDC" w:rsidRPr="0055790F">
        <w:rPr>
          <w:rFonts w:cstheme="minorHAnsi"/>
          <w:color w:val="000000" w:themeColor="text1"/>
          <w:highlight w:val="yellow"/>
        </w:rPr>
        <w:t>T</w:t>
      </w:r>
      <w:r w:rsidR="00D22D2E" w:rsidRPr="0055790F">
        <w:rPr>
          <w:rFonts w:cstheme="minorHAnsi"/>
          <w:color w:val="000000" w:themeColor="text1"/>
          <w:highlight w:val="yellow"/>
        </w:rPr>
        <w:t>wo groups</w:t>
      </w:r>
      <w:r w:rsidR="00CE1EDC" w:rsidRPr="0055790F">
        <w:rPr>
          <w:rFonts w:cstheme="minorHAnsi"/>
          <w:color w:val="000000" w:themeColor="text1"/>
          <w:highlight w:val="yellow"/>
        </w:rPr>
        <w:t xml:space="preserve"> were defi</w:t>
      </w:r>
      <w:r w:rsidR="004633A1" w:rsidRPr="0055790F">
        <w:rPr>
          <w:rFonts w:cstheme="minorHAnsi"/>
          <w:color w:val="000000" w:themeColor="text1"/>
          <w:highlight w:val="yellow"/>
        </w:rPr>
        <w:t>n</w:t>
      </w:r>
      <w:r w:rsidR="00CE1EDC" w:rsidRPr="0055790F">
        <w:rPr>
          <w:rFonts w:cstheme="minorHAnsi"/>
          <w:color w:val="000000" w:themeColor="text1"/>
          <w:highlight w:val="yellow"/>
        </w:rPr>
        <w:t>ed</w:t>
      </w:r>
      <w:r w:rsidR="0055790F" w:rsidRPr="0055790F">
        <w:rPr>
          <w:rFonts w:cstheme="minorHAnsi"/>
          <w:color w:val="000000" w:themeColor="text1"/>
          <w:highlight w:val="yellow"/>
        </w:rPr>
        <w:t xml:space="preserve">. The first </w:t>
      </w:r>
      <w:r w:rsidR="0055790F">
        <w:rPr>
          <w:rFonts w:cstheme="minorHAnsi"/>
          <w:color w:val="000000" w:themeColor="text1"/>
          <w:highlight w:val="yellow"/>
        </w:rPr>
        <w:t xml:space="preserve">group comprised </w:t>
      </w:r>
      <w:r w:rsidR="00D22D2E" w:rsidRPr="0055790F">
        <w:rPr>
          <w:rFonts w:cstheme="minorHAnsi"/>
          <w:color w:val="000000" w:themeColor="text1"/>
          <w:highlight w:val="yellow"/>
        </w:rPr>
        <w:t>patients with an improvement of IBI score through treatment</w:t>
      </w:r>
      <w:r w:rsidR="0055790F" w:rsidRPr="0055790F">
        <w:rPr>
          <w:rFonts w:cstheme="minorHAnsi"/>
          <w:color w:val="000000" w:themeColor="text1"/>
          <w:highlight w:val="yellow"/>
        </w:rPr>
        <w:t xml:space="preserve"> (i.e. score decreased from 2 to 1; from 1 to 0; or 2 to 0)</w:t>
      </w:r>
      <w:r w:rsidR="00D22D2E" w:rsidRPr="0055790F">
        <w:rPr>
          <w:rFonts w:cstheme="minorHAnsi"/>
          <w:color w:val="000000" w:themeColor="text1"/>
          <w:highlight w:val="yellow"/>
        </w:rPr>
        <w:t xml:space="preserve"> and those retaining a score of 0 </w:t>
      </w:r>
      <w:r w:rsidR="0055790F">
        <w:rPr>
          <w:rFonts w:cstheme="minorHAnsi"/>
          <w:color w:val="000000" w:themeColor="text1"/>
          <w:highlight w:val="yellow"/>
        </w:rPr>
        <w:t>both before and after</w:t>
      </w:r>
      <w:r w:rsidR="00D22D2E" w:rsidRPr="0055790F">
        <w:rPr>
          <w:rFonts w:cstheme="minorHAnsi"/>
          <w:color w:val="000000" w:themeColor="text1"/>
          <w:highlight w:val="yellow"/>
        </w:rPr>
        <w:t xml:space="preserve"> treatment</w:t>
      </w:r>
      <w:r w:rsidR="0055790F">
        <w:rPr>
          <w:rFonts w:cstheme="minorHAnsi"/>
          <w:color w:val="000000" w:themeColor="text1"/>
          <w:highlight w:val="yellow"/>
        </w:rPr>
        <w:t>. These patients were defined as having a ‘Normalised’ IBI score. Patients in the second group, with a</w:t>
      </w:r>
      <w:r w:rsidR="00D22D2E" w:rsidRPr="0055790F">
        <w:rPr>
          <w:rFonts w:cstheme="minorHAnsi"/>
          <w:color w:val="000000" w:themeColor="text1"/>
          <w:highlight w:val="yellow"/>
        </w:rPr>
        <w:t xml:space="preserve"> </w:t>
      </w:r>
      <w:r w:rsidR="0055790F">
        <w:rPr>
          <w:rFonts w:cstheme="minorHAnsi"/>
          <w:color w:val="000000" w:themeColor="text1"/>
          <w:highlight w:val="yellow"/>
        </w:rPr>
        <w:t>‘</w:t>
      </w:r>
      <w:r w:rsidR="007754DC" w:rsidRPr="0055790F">
        <w:rPr>
          <w:rFonts w:cstheme="minorHAnsi"/>
          <w:color w:val="000000" w:themeColor="text1"/>
          <w:highlight w:val="yellow"/>
        </w:rPr>
        <w:t>P</w:t>
      </w:r>
      <w:r w:rsidR="00D22D2E" w:rsidRPr="0055790F">
        <w:rPr>
          <w:rFonts w:cstheme="minorHAnsi"/>
          <w:color w:val="000000" w:themeColor="text1"/>
          <w:highlight w:val="yellow"/>
        </w:rPr>
        <w:t xml:space="preserve">ersistently </w:t>
      </w:r>
      <w:r w:rsidR="00D22D2E" w:rsidRPr="0055790F">
        <w:rPr>
          <w:rFonts w:cstheme="minorHAnsi"/>
          <w:color w:val="000000" w:themeColor="text1"/>
          <w:highlight w:val="yellow"/>
        </w:rPr>
        <w:lastRenderedPageBreak/>
        <w:t>abnormal</w:t>
      </w:r>
      <w:r w:rsidR="0055790F">
        <w:rPr>
          <w:rFonts w:cstheme="minorHAnsi"/>
          <w:color w:val="000000" w:themeColor="text1"/>
          <w:highlight w:val="yellow"/>
        </w:rPr>
        <w:t>’</w:t>
      </w:r>
      <w:r w:rsidR="00D22D2E" w:rsidRPr="0055790F">
        <w:rPr>
          <w:rFonts w:cstheme="minorHAnsi"/>
          <w:color w:val="000000" w:themeColor="text1"/>
          <w:highlight w:val="yellow"/>
        </w:rPr>
        <w:t xml:space="preserve"> </w:t>
      </w:r>
      <w:r w:rsidR="00B61E4A" w:rsidRPr="0055790F">
        <w:rPr>
          <w:rFonts w:cstheme="minorHAnsi"/>
          <w:color w:val="000000" w:themeColor="text1"/>
          <w:highlight w:val="yellow"/>
        </w:rPr>
        <w:t>IBI</w:t>
      </w:r>
      <w:r w:rsidR="00D22D2E" w:rsidRPr="0055790F">
        <w:rPr>
          <w:rFonts w:cstheme="minorHAnsi"/>
          <w:color w:val="000000" w:themeColor="text1"/>
          <w:highlight w:val="yellow"/>
        </w:rPr>
        <w:t xml:space="preserve"> </w:t>
      </w:r>
      <w:r w:rsidR="00B61E4A" w:rsidRPr="0055790F">
        <w:rPr>
          <w:rFonts w:cstheme="minorHAnsi"/>
          <w:color w:val="000000" w:themeColor="text1"/>
          <w:highlight w:val="yellow"/>
        </w:rPr>
        <w:t>score</w:t>
      </w:r>
      <w:r w:rsidR="0055790F">
        <w:rPr>
          <w:rFonts w:cstheme="minorHAnsi"/>
          <w:color w:val="000000" w:themeColor="text1"/>
          <w:highlight w:val="yellow"/>
        </w:rPr>
        <w:t xml:space="preserve">, were seen to have an increase in IBI score through treatment; or a score of 1 or </w:t>
      </w:r>
      <w:r w:rsidR="0055790F" w:rsidRPr="009A3A6C">
        <w:rPr>
          <w:rFonts w:cstheme="minorHAnsi"/>
          <w:color w:val="000000" w:themeColor="text1"/>
          <w:highlight w:val="yellow"/>
        </w:rPr>
        <w:t>2 both before and after treatment.</w:t>
      </w:r>
      <w:r w:rsidR="007754DC" w:rsidRPr="009A3A6C">
        <w:rPr>
          <w:rFonts w:cstheme="minorHAnsi"/>
          <w:color w:val="000000" w:themeColor="text1"/>
          <w:highlight w:val="yellow"/>
        </w:rPr>
        <w:t xml:space="preserve"> </w:t>
      </w:r>
    </w:p>
    <w:p w14:paraId="359F0B97" w14:textId="5E2D6969" w:rsidR="001D4363" w:rsidRPr="00D8107F" w:rsidRDefault="009A3A6C" w:rsidP="00D8107F">
      <w:pPr>
        <w:spacing w:line="480" w:lineRule="auto"/>
        <w:rPr>
          <w:rFonts w:cstheme="minorHAnsi"/>
          <w:color w:val="000000" w:themeColor="text1"/>
        </w:rPr>
      </w:pPr>
      <w:r w:rsidRPr="009A3A6C">
        <w:rPr>
          <w:rFonts w:cstheme="minorHAnsi"/>
          <w:color w:val="000000" w:themeColor="text1"/>
          <w:highlight w:val="yellow"/>
        </w:rPr>
        <w:t xml:space="preserve">NLR was calculated by dividing the absolute neutrophil count by the </w:t>
      </w:r>
      <w:r w:rsidRPr="00CC0C64">
        <w:rPr>
          <w:rFonts w:cstheme="minorHAnsi"/>
          <w:color w:val="000000" w:themeColor="text1"/>
          <w:highlight w:val="yellow"/>
        </w:rPr>
        <w:t xml:space="preserve">absolute lymphocyte count; PLR calculated by dividing the absolute platelet count by the absolute lymphocyte count. </w:t>
      </w:r>
    </w:p>
    <w:p w14:paraId="5A4CCFD1" w14:textId="00E56D49" w:rsidR="006334C6" w:rsidRPr="00D8107F" w:rsidRDefault="006334C6" w:rsidP="00D8107F">
      <w:pPr>
        <w:spacing w:line="480" w:lineRule="auto"/>
        <w:contextualSpacing/>
        <w:rPr>
          <w:rFonts w:cstheme="minorHAnsi"/>
          <w:color w:val="000000" w:themeColor="text1"/>
        </w:rPr>
      </w:pPr>
    </w:p>
    <w:p w14:paraId="3C9A25FC" w14:textId="00B00433" w:rsidR="00C54D0D" w:rsidRPr="00D8107F" w:rsidRDefault="00492DE0" w:rsidP="00D8107F">
      <w:pPr>
        <w:spacing w:line="480" w:lineRule="auto"/>
        <w:contextualSpacing/>
        <w:outlineLvl w:val="0"/>
        <w:rPr>
          <w:rFonts w:cstheme="minorHAnsi"/>
          <w:b/>
          <w:color w:val="000000" w:themeColor="text1"/>
        </w:rPr>
      </w:pPr>
      <w:r w:rsidRPr="00D8107F">
        <w:rPr>
          <w:rFonts w:cstheme="minorHAnsi"/>
          <w:b/>
          <w:color w:val="000000" w:themeColor="text1"/>
        </w:rPr>
        <w:t>Statistical analysis</w:t>
      </w:r>
    </w:p>
    <w:p w14:paraId="36819872" w14:textId="5E936B85" w:rsidR="001D66EB" w:rsidRPr="00D8107F" w:rsidRDefault="001D66EB" w:rsidP="00D8107F">
      <w:pPr>
        <w:autoSpaceDE w:val="0"/>
        <w:autoSpaceDN w:val="0"/>
        <w:adjustRightInd w:val="0"/>
        <w:spacing w:after="0" w:line="480" w:lineRule="auto"/>
        <w:contextualSpacing/>
        <w:outlineLvl w:val="0"/>
        <w:rPr>
          <w:rStyle w:val="Strong"/>
          <w:color w:val="000000" w:themeColor="text1"/>
        </w:rPr>
      </w:pPr>
      <w:r w:rsidRPr="00D8107F">
        <w:rPr>
          <w:rStyle w:val="Strong"/>
          <w:color w:val="000000" w:themeColor="text1"/>
        </w:rPr>
        <w:t>Time-to-event analyses</w:t>
      </w:r>
    </w:p>
    <w:p w14:paraId="40336D24" w14:textId="1E1619BE" w:rsidR="001D66EB" w:rsidRPr="00D8107F" w:rsidRDefault="007754DC" w:rsidP="00D8107F">
      <w:pPr>
        <w:spacing w:line="480" w:lineRule="auto"/>
        <w:rPr>
          <w:rFonts w:cs="AdvPSA183"/>
          <w:color w:val="000000" w:themeColor="text1"/>
        </w:rPr>
      </w:pPr>
      <w:r w:rsidRPr="00D8107F">
        <w:rPr>
          <w:rFonts w:cs="AdvPSA183"/>
          <w:color w:val="000000" w:themeColor="text1"/>
        </w:rPr>
        <w:t xml:space="preserve">Survival times </w:t>
      </w:r>
      <w:r w:rsidR="00226763" w:rsidRPr="00D8107F">
        <w:rPr>
          <w:rFonts w:cs="AdvPSA183"/>
          <w:color w:val="000000" w:themeColor="text1"/>
        </w:rPr>
        <w:t xml:space="preserve">and progression and mortality endpoints </w:t>
      </w:r>
      <w:r w:rsidRPr="00D8107F">
        <w:rPr>
          <w:rFonts w:cs="AdvPSA183"/>
          <w:color w:val="000000" w:themeColor="text1"/>
        </w:rPr>
        <w:t xml:space="preserve">were calculated with respect to the commencement of PRRT therapy. </w:t>
      </w:r>
      <w:r w:rsidR="00226763" w:rsidRPr="00D8107F">
        <w:rPr>
          <w:rFonts w:cs="AdvPSA183"/>
          <w:color w:val="000000" w:themeColor="text1"/>
        </w:rPr>
        <w:t xml:space="preserve">Progression was defined </w:t>
      </w:r>
      <w:r w:rsidR="000551DD" w:rsidRPr="00D8107F">
        <w:rPr>
          <w:rFonts w:cs="AdvPSA183"/>
          <w:color w:val="000000" w:themeColor="text1"/>
        </w:rPr>
        <w:t>by</w:t>
      </w:r>
      <w:r w:rsidR="00226763" w:rsidRPr="00D8107F">
        <w:rPr>
          <w:rFonts w:cs="AdvPSA183"/>
          <w:color w:val="000000" w:themeColor="text1"/>
        </w:rPr>
        <w:t xml:space="preserve"> the date of confirmation of radiological progression</w:t>
      </w:r>
      <w:r w:rsidR="00F839A5" w:rsidRPr="00D8107F">
        <w:rPr>
          <w:rFonts w:cs="AdvPSA183"/>
          <w:color w:val="000000" w:themeColor="text1"/>
        </w:rPr>
        <w:t xml:space="preserve"> </w:t>
      </w:r>
      <w:r w:rsidR="00F42E55" w:rsidRPr="00D8107F">
        <w:rPr>
          <w:rFonts w:cs="AdvPSA183"/>
          <w:color w:val="000000" w:themeColor="text1"/>
        </w:rPr>
        <w:t>or cancer-related death</w:t>
      </w:r>
      <w:r w:rsidR="00226763" w:rsidRPr="00D8107F">
        <w:rPr>
          <w:rFonts w:cs="AdvPSA183"/>
          <w:color w:val="000000" w:themeColor="text1"/>
        </w:rPr>
        <w:t xml:space="preserve">; overall survival (OS) </w:t>
      </w:r>
      <w:r w:rsidR="000551DD" w:rsidRPr="00D8107F">
        <w:rPr>
          <w:rFonts w:cs="AdvPSA183"/>
          <w:color w:val="000000" w:themeColor="text1"/>
        </w:rPr>
        <w:t xml:space="preserve">was defined by the date of death. </w:t>
      </w:r>
      <w:r w:rsidRPr="00D8107F">
        <w:rPr>
          <w:rFonts w:cs="AdvPSA183"/>
          <w:color w:val="000000" w:themeColor="text1"/>
        </w:rPr>
        <w:t xml:space="preserve">Cases were censored at the </w:t>
      </w:r>
      <w:r w:rsidR="00226763" w:rsidRPr="00D8107F">
        <w:rPr>
          <w:rFonts w:cs="AdvPSA183"/>
          <w:color w:val="000000" w:themeColor="text1"/>
        </w:rPr>
        <w:t>limit of follow-up.</w:t>
      </w:r>
    </w:p>
    <w:p w14:paraId="484FBFE5" w14:textId="77777777" w:rsidR="001D66EB" w:rsidRPr="00D8107F" w:rsidRDefault="001D66EB" w:rsidP="00D8107F">
      <w:pPr>
        <w:spacing w:line="480" w:lineRule="auto"/>
        <w:contextualSpacing/>
        <w:outlineLvl w:val="0"/>
        <w:rPr>
          <w:rFonts w:cstheme="minorHAnsi"/>
          <w:color w:val="000000" w:themeColor="text1"/>
        </w:rPr>
      </w:pPr>
    </w:p>
    <w:p w14:paraId="5060E84B" w14:textId="0B3A193C" w:rsidR="00E53169" w:rsidRPr="00D8107F" w:rsidRDefault="000551DD" w:rsidP="00D8107F">
      <w:pPr>
        <w:autoSpaceDE w:val="0"/>
        <w:autoSpaceDN w:val="0"/>
        <w:adjustRightInd w:val="0"/>
        <w:spacing w:after="0" w:line="480" w:lineRule="auto"/>
        <w:jc w:val="both"/>
        <w:rPr>
          <w:rFonts w:cstheme="minorHAnsi"/>
          <w:color w:val="000000" w:themeColor="text1"/>
        </w:rPr>
      </w:pPr>
      <w:r w:rsidRPr="00D8107F">
        <w:rPr>
          <w:rFonts w:cstheme="minorHAnsi"/>
          <w:color w:val="000000" w:themeColor="text1"/>
        </w:rPr>
        <w:t>Associations between demographics, haematological and biochemical values and survival were tested using</w:t>
      </w:r>
      <w:r w:rsidR="00EB5B10" w:rsidRPr="00D8107F">
        <w:rPr>
          <w:rFonts w:cstheme="minorHAnsi"/>
          <w:color w:val="000000" w:themeColor="text1"/>
        </w:rPr>
        <w:t xml:space="preserve"> Cox regression </w:t>
      </w:r>
      <w:r w:rsidR="00571B8F" w:rsidRPr="00D8107F">
        <w:rPr>
          <w:rFonts w:cstheme="minorHAnsi"/>
          <w:color w:val="000000" w:themeColor="text1"/>
        </w:rPr>
        <w:t>analysis</w:t>
      </w:r>
      <w:r w:rsidR="00EB5B10" w:rsidRPr="00D8107F">
        <w:rPr>
          <w:rFonts w:cstheme="minorHAnsi"/>
          <w:color w:val="000000" w:themeColor="text1"/>
        </w:rPr>
        <w:t xml:space="preserve">. </w:t>
      </w:r>
      <w:r w:rsidR="00571B8F" w:rsidRPr="00D8107F">
        <w:rPr>
          <w:rFonts w:cstheme="minorHAnsi"/>
          <w:color w:val="000000" w:themeColor="text1"/>
        </w:rPr>
        <w:t xml:space="preserve">For the purposes of statistical analysis </w:t>
      </w:r>
      <w:r w:rsidR="008D3B76" w:rsidRPr="00D8107F">
        <w:rPr>
          <w:rFonts w:cstheme="minorHAnsi"/>
          <w:color w:val="000000" w:themeColor="text1"/>
        </w:rPr>
        <w:t>continuous variables were dichotomised by division into two populations defined by the median value.</w:t>
      </w:r>
      <w:r w:rsidR="00571B8F" w:rsidRPr="00D8107F">
        <w:rPr>
          <w:rFonts w:cstheme="minorHAnsi"/>
          <w:color w:val="000000" w:themeColor="text1"/>
        </w:rPr>
        <w:t xml:space="preserve"> </w:t>
      </w:r>
      <w:r w:rsidR="008D3B76" w:rsidRPr="00D8107F">
        <w:rPr>
          <w:rFonts w:cstheme="minorHAnsi"/>
          <w:color w:val="000000" w:themeColor="text1"/>
        </w:rPr>
        <w:t>U</w:t>
      </w:r>
      <w:r w:rsidR="003D341A" w:rsidRPr="00D8107F">
        <w:rPr>
          <w:rFonts w:cstheme="minorHAnsi"/>
          <w:color w:val="000000" w:themeColor="text1"/>
        </w:rPr>
        <w:t xml:space="preserve">nivariate </w:t>
      </w:r>
      <w:r w:rsidR="00C40C3E" w:rsidRPr="00D8107F">
        <w:rPr>
          <w:rFonts w:cstheme="minorHAnsi"/>
          <w:color w:val="000000" w:themeColor="text1"/>
        </w:rPr>
        <w:t>Cox</w:t>
      </w:r>
      <w:r w:rsidR="00AB1D36" w:rsidRPr="00D8107F">
        <w:rPr>
          <w:rFonts w:cstheme="minorHAnsi"/>
          <w:color w:val="000000" w:themeColor="text1"/>
        </w:rPr>
        <w:t xml:space="preserve"> regression</w:t>
      </w:r>
      <w:r w:rsidR="008D3B76" w:rsidRPr="00D8107F">
        <w:rPr>
          <w:rFonts w:cstheme="minorHAnsi"/>
          <w:color w:val="000000" w:themeColor="text1"/>
        </w:rPr>
        <w:t xml:space="preserve"> models were fitted for each variable in turn</w:t>
      </w:r>
      <w:r w:rsidR="003D341A" w:rsidRPr="00D8107F">
        <w:rPr>
          <w:rFonts w:cstheme="minorHAnsi"/>
          <w:color w:val="000000" w:themeColor="text1"/>
        </w:rPr>
        <w:t xml:space="preserve">. </w:t>
      </w:r>
      <w:r w:rsidR="008D3B76" w:rsidRPr="00D8107F">
        <w:rPr>
          <w:rFonts w:cstheme="minorHAnsi"/>
          <w:color w:val="000000" w:themeColor="text1"/>
        </w:rPr>
        <w:t xml:space="preserve">Independent associations were tested by fitting </w:t>
      </w:r>
      <w:r w:rsidR="00812274" w:rsidRPr="00D8107F">
        <w:rPr>
          <w:rFonts w:cstheme="minorHAnsi"/>
          <w:color w:val="000000" w:themeColor="text1"/>
        </w:rPr>
        <w:t>multivaria</w:t>
      </w:r>
      <w:r w:rsidR="008D3B76" w:rsidRPr="00D8107F">
        <w:rPr>
          <w:rFonts w:cstheme="minorHAnsi"/>
          <w:color w:val="000000" w:themeColor="text1"/>
        </w:rPr>
        <w:t>bl</w:t>
      </w:r>
      <w:r w:rsidR="00812274" w:rsidRPr="00D8107F">
        <w:rPr>
          <w:rFonts w:cstheme="minorHAnsi"/>
          <w:color w:val="000000" w:themeColor="text1"/>
        </w:rPr>
        <w:t xml:space="preserve">e Cox regression </w:t>
      </w:r>
      <w:r w:rsidR="008D3B76" w:rsidRPr="00D8107F">
        <w:rPr>
          <w:rFonts w:cstheme="minorHAnsi"/>
          <w:color w:val="000000" w:themeColor="text1"/>
        </w:rPr>
        <w:t>models incorporating</w:t>
      </w:r>
      <w:r w:rsidR="00812274" w:rsidRPr="00D8107F">
        <w:rPr>
          <w:rFonts w:cstheme="minorHAnsi"/>
          <w:color w:val="000000" w:themeColor="text1"/>
        </w:rPr>
        <w:t xml:space="preserve"> </w:t>
      </w:r>
      <w:r w:rsidR="007A078C" w:rsidRPr="00D8107F">
        <w:rPr>
          <w:rFonts w:cstheme="minorHAnsi"/>
          <w:color w:val="000000" w:themeColor="text1"/>
        </w:rPr>
        <w:t>variables</w:t>
      </w:r>
      <w:r w:rsidR="008D3B76" w:rsidRPr="00D8107F">
        <w:rPr>
          <w:rFonts w:cstheme="minorHAnsi"/>
          <w:color w:val="000000" w:themeColor="text1"/>
        </w:rPr>
        <w:t xml:space="preserve"> significantly associated on univariate analysis</w:t>
      </w:r>
      <w:r w:rsidR="007A078C" w:rsidRPr="00D8107F">
        <w:rPr>
          <w:rFonts w:cstheme="minorHAnsi"/>
          <w:color w:val="000000" w:themeColor="text1"/>
        </w:rPr>
        <w:t xml:space="preserve">. </w:t>
      </w:r>
      <w:r w:rsidR="008D3B76" w:rsidRPr="00D8107F">
        <w:rPr>
          <w:rFonts w:cstheme="minorHAnsi"/>
          <w:color w:val="000000" w:themeColor="text1"/>
        </w:rPr>
        <w:t>Multivariable models were specified using stepwise backwards elimination p&lt;</w:t>
      </w:r>
      <w:r w:rsidR="007A078C" w:rsidRPr="00D8107F">
        <w:rPr>
          <w:rFonts w:cstheme="minorHAnsi"/>
          <w:color w:val="000000" w:themeColor="text1"/>
        </w:rPr>
        <w:t xml:space="preserve">0.05 was used </w:t>
      </w:r>
      <w:r w:rsidR="008D3B76" w:rsidRPr="00D8107F">
        <w:rPr>
          <w:rFonts w:cstheme="minorHAnsi"/>
          <w:color w:val="000000" w:themeColor="text1"/>
        </w:rPr>
        <w:t>for entry into the model and</w:t>
      </w:r>
      <w:r w:rsidR="007A078C" w:rsidRPr="00D8107F">
        <w:rPr>
          <w:rFonts w:cstheme="minorHAnsi"/>
          <w:color w:val="000000" w:themeColor="text1"/>
        </w:rPr>
        <w:t xml:space="preserve"> p&gt;0.1</w:t>
      </w:r>
      <w:r w:rsidR="008D3B76" w:rsidRPr="00D8107F">
        <w:rPr>
          <w:rFonts w:cstheme="minorHAnsi"/>
          <w:color w:val="000000" w:themeColor="text1"/>
        </w:rPr>
        <w:t xml:space="preserve"> for removal</w:t>
      </w:r>
      <w:r w:rsidR="007A078C" w:rsidRPr="00D8107F">
        <w:rPr>
          <w:rFonts w:cstheme="minorHAnsi"/>
          <w:color w:val="000000" w:themeColor="text1"/>
        </w:rPr>
        <w:t xml:space="preserve">. </w:t>
      </w:r>
      <w:r w:rsidR="008D3B76" w:rsidRPr="00D8107F">
        <w:rPr>
          <w:rFonts w:cstheme="minorHAnsi"/>
          <w:color w:val="000000" w:themeColor="text1"/>
        </w:rPr>
        <w:t xml:space="preserve">Statistical significance was defined </w:t>
      </w:r>
      <w:r w:rsidR="00E53169" w:rsidRPr="00D8107F">
        <w:rPr>
          <w:rFonts w:cstheme="minorHAnsi"/>
          <w:color w:val="000000" w:themeColor="text1"/>
        </w:rPr>
        <w:t xml:space="preserve">using a threshold </w:t>
      </w:r>
      <w:r w:rsidR="003D341A" w:rsidRPr="00D8107F">
        <w:rPr>
          <w:rFonts w:cstheme="minorHAnsi"/>
          <w:color w:val="000000" w:themeColor="text1"/>
        </w:rPr>
        <w:t>p</w:t>
      </w:r>
      <w:r w:rsidR="00AB1D36" w:rsidRPr="00D8107F">
        <w:rPr>
          <w:rFonts w:cstheme="minorHAnsi"/>
          <w:color w:val="000000" w:themeColor="text1"/>
        </w:rPr>
        <w:t>&lt;</w:t>
      </w:r>
      <w:r w:rsidR="003D341A" w:rsidRPr="00D8107F">
        <w:rPr>
          <w:rFonts w:cstheme="minorHAnsi"/>
          <w:color w:val="000000" w:themeColor="text1"/>
        </w:rPr>
        <w:t>0.05.</w:t>
      </w:r>
    </w:p>
    <w:p w14:paraId="1E40F2DD" w14:textId="3BCA80BE" w:rsidR="00B162A4" w:rsidRPr="00D8107F" w:rsidRDefault="00E53169" w:rsidP="00D8107F">
      <w:pPr>
        <w:autoSpaceDE w:val="0"/>
        <w:autoSpaceDN w:val="0"/>
        <w:adjustRightInd w:val="0"/>
        <w:spacing w:after="0" w:line="480" w:lineRule="auto"/>
        <w:contextualSpacing/>
        <w:outlineLvl w:val="0"/>
        <w:rPr>
          <w:b/>
          <w:bCs/>
          <w:color w:val="000000" w:themeColor="text1"/>
        </w:rPr>
      </w:pPr>
      <w:r w:rsidRPr="00D8107F">
        <w:rPr>
          <w:rStyle w:val="Strong"/>
          <w:color w:val="000000" w:themeColor="text1"/>
        </w:rPr>
        <w:t>Assessment of clinical utility</w:t>
      </w:r>
    </w:p>
    <w:p w14:paraId="741A72D5" w14:textId="3348D0EC" w:rsidR="00771E79" w:rsidRPr="00D8107F" w:rsidRDefault="00E53169" w:rsidP="00D8107F">
      <w:pPr>
        <w:spacing w:line="480" w:lineRule="auto"/>
        <w:jc w:val="both"/>
        <w:rPr>
          <w:rFonts w:cstheme="minorHAnsi"/>
          <w:color w:val="000000" w:themeColor="text1"/>
        </w:rPr>
      </w:pPr>
      <w:bookmarkStart w:id="1" w:name="OLE_LINK1"/>
      <w:bookmarkStart w:id="2" w:name="OLE_LINK2"/>
      <w:r w:rsidRPr="00D8107F">
        <w:rPr>
          <w:rFonts w:cstheme="minorHAnsi"/>
          <w:color w:val="000000" w:themeColor="text1"/>
        </w:rPr>
        <w:t>Clinical utility was assessed using</w:t>
      </w:r>
      <w:r w:rsidR="00B162A4" w:rsidRPr="00D8107F">
        <w:rPr>
          <w:rFonts w:cstheme="minorHAnsi"/>
          <w:color w:val="000000" w:themeColor="text1"/>
        </w:rPr>
        <w:t xml:space="preserve"> net benefit </w:t>
      </w:r>
      <w:r w:rsidRPr="00D8107F">
        <w:rPr>
          <w:rFonts w:cstheme="minorHAnsi"/>
          <w:color w:val="000000" w:themeColor="text1"/>
        </w:rPr>
        <w:t>as derived by</w:t>
      </w:r>
      <w:r w:rsidR="003D34D5" w:rsidRPr="00D8107F">
        <w:rPr>
          <w:rFonts w:cstheme="minorHAnsi"/>
          <w:color w:val="000000" w:themeColor="text1"/>
        </w:rPr>
        <w:t xml:space="preserve"> decision curve analysis</w:t>
      </w:r>
      <w:r w:rsidR="0092727E" w:rsidRPr="0092727E">
        <w:rPr>
          <w:rFonts w:cstheme="minorHAnsi"/>
          <w:color w:val="000000" w:themeColor="text1"/>
          <w:highlight w:val="yellow"/>
        </w:rPr>
        <w:t xml:space="preserve">: the approach and the appropriate circumstances in which to apply it are </w:t>
      </w:r>
      <w:r w:rsidR="0092727E">
        <w:rPr>
          <w:rFonts w:cstheme="minorHAnsi"/>
          <w:color w:val="000000" w:themeColor="text1"/>
          <w:highlight w:val="yellow"/>
        </w:rPr>
        <w:t xml:space="preserve">detailed by Vickers </w:t>
      </w:r>
      <w:r w:rsidR="0092727E" w:rsidRPr="006F4590">
        <w:rPr>
          <w:rFonts w:cstheme="minorHAnsi"/>
          <w:i/>
          <w:color w:val="000000" w:themeColor="text1"/>
          <w:highlight w:val="yellow"/>
        </w:rPr>
        <w:t>et al</w:t>
      </w:r>
      <w:r w:rsidR="006F4590">
        <w:rPr>
          <w:rFonts w:cstheme="minorHAnsi"/>
          <w:i/>
          <w:color w:val="000000" w:themeColor="text1"/>
          <w:highlight w:val="yellow"/>
        </w:rPr>
        <w:t>.</w:t>
      </w:r>
      <w:r w:rsidR="0092727E">
        <w:rPr>
          <w:rFonts w:cstheme="minorHAnsi"/>
          <w:color w:val="000000" w:themeColor="text1"/>
          <w:highlight w:val="yellow"/>
        </w:rPr>
        <w:t xml:space="preserve"> (2006 &amp;</w:t>
      </w:r>
      <w:r w:rsidR="0092727E" w:rsidRPr="0092727E">
        <w:rPr>
          <w:rFonts w:cstheme="minorHAnsi"/>
          <w:color w:val="000000" w:themeColor="text1"/>
          <w:highlight w:val="yellow"/>
        </w:rPr>
        <w:t xml:space="preserve"> 2016)</w:t>
      </w:r>
      <w:r w:rsidR="00F42E55" w:rsidRPr="0092727E">
        <w:rPr>
          <w:rFonts w:cstheme="minorHAnsi"/>
          <w:color w:val="000000" w:themeColor="text1"/>
          <w:highlight w:val="yellow"/>
        </w:rPr>
        <w:fldChar w:fldCharType="begin" w:fldLock="1"/>
      </w:r>
      <w:r w:rsidR="009914C5" w:rsidRPr="0092727E">
        <w:rPr>
          <w:rFonts w:cstheme="minorHAnsi"/>
          <w:color w:val="000000" w:themeColor="text1"/>
          <w:highlight w:val="yellow"/>
        </w:rPr>
        <w:instrText>ADDIN CSL_CITATION { "citationItems" : [ { "id" : "ITEM-1", "itemData" : { "DOI" : "10.1177/0272989X06295361", "ISSN" : "0272-989X (Print)", "PMID" : "17099194", "abstract" : "BACKGROUND: Diagnostic and prognostic models are typically evaluated with measures of accuracy that do not address clinical consequences. Decision-analytic techniques allow assessment of clinical outcomes but often require collection of additional information and may be cumbersome to apply to models that yield a continuous result. The authors sought a method for evaluating and comparing prediction models that incorporates clinical consequences,requires only the data set on which the models are tested,and can be applied to models that have either continuous or dichotomous results. METHOD: The authors describe decision curve analysis, a simple, novel method of evaluating predictive models. They start by assuming that the threshold probability of a disease or event at which a patient would opt for treatment is informative of how the patient weighs the relative harms of a false-positive and a false-negative prediction. This theoretical relationship is then used to derive the net benefit of the model across different threshold probabilities. Plotting net benefit against threshold probability yields the \"decision curve.\" The authors apply the method to models for the prediction of seminal vesicle invasion in prostate cancer patients. Decision curve analysis identified the range of threshold probabilities in which a model was of value, the magnitude of benefit, and which of several models was optimal. CONCLUSION: Decision curve analysis is a suitable method for evaluating alternative diagnostic and prognostic strategies that has advantages over other commonly used measures and techniques.", "author" : [ { "dropping-particle" : "", "family" : "Vickers", "given" : "Andrew J", "non-dropping-particle" : "", "parse-names" : false, "suffix" : "" }, { "dropping-particle" : "", "family" : "Elkin", "given" : "Elena B", "non-dropping-particle" : "", "parse-names" : false, "suffix" : "" } ], "container-title" : "Medical decision making : an international journal of the Society for Medical Decision Making", "id" : "ITEM-1", "issue" : "6", "issued" : { "date-parts" : [ [ "2006" ] ] }, "language" : "eng", "page" : "565-574", "publisher-place" : "United States", "title" : "Decision curve analysis: a novel method for evaluating prediction models.", "type" : "article-journal", "volume" : "26" }, "uris" : [ "http://www.mendeley.com/documents/?uuid=5faec7a8-dc7d-434a-aa7d-df261c166e8d" ] } ], "mendeley" : { "formattedCitation" : "&lt;sup&gt;21&lt;/sup&gt;", "plainTextFormattedCitation" : "21", "previouslyFormattedCitation" : "&lt;sup&gt;21&lt;/sup&gt;" }, "properties" : { "noteIndex" : 0 }, "schema" : "https://github.com/citation-style-language/schema/raw/master/csl-citation.json" }</w:instrText>
      </w:r>
      <w:r w:rsidR="00F42E55" w:rsidRPr="0092727E">
        <w:rPr>
          <w:rFonts w:cstheme="minorHAnsi"/>
          <w:color w:val="000000" w:themeColor="text1"/>
          <w:highlight w:val="yellow"/>
        </w:rPr>
        <w:fldChar w:fldCharType="separate"/>
      </w:r>
      <w:r w:rsidR="00420780" w:rsidRPr="0092727E">
        <w:rPr>
          <w:rFonts w:cstheme="minorHAnsi"/>
          <w:noProof/>
          <w:color w:val="000000" w:themeColor="text1"/>
          <w:highlight w:val="yellow"/>
          <w:vertAlign w:val="superscript"/>
        </w:rPr>
        <w:t>21</w:t>
      </w:r>
      <w:r w:rsidR="00F42E55" w:rsidRPr="0092727E">
        <w:rPr>
          <w:rFonts w:cstheme="minorHAnsi"/>
          <w:color w:val="000000" w:themeColor="text1"/>
          <w:highlight w:val="yellow"/>
        </w:rPr>
        <w:fldChar w:fldCharType="end"/>
      </w:r>
      <w:r w:rsidR="00F62E08" w:rsidRPr="0092727E">
        <w:rPr>
          <w:rFonts w:cstheme="minorHAnsi"/>
          <w:color w:val="000000" w:themeColor="text1"/>
          <w:highlight w:val="yellow"/>
        </w:rPr>
        <w:fldChar w:fldCharType="begin" w:fldLock="1"/>
      </w:r>
      <w:r w:rsidR="00F62E08" w:rsidRPr="0092727E">
        <w:rPr>
          <w:rFonts w:cstheme="minorHAnsi"/>
          <w:color w:val="000000" w:themeColor="text1"/>
          <w:highlight w:val="yellow"/>
        </w:rPr>
        <w:instrText>ADDIN CSL_CITATION { "citationItems" : [ { "id" : "ITEM-1", "itemData" : { "ISSN" : "1756-1833 (Electronic)", "PMID" : "26810254", "author" : [ { "dropping-particle" : "", "family" : "Vickers", "given" : "Andrew J", "non-dropping-particle" : "", "parse-names" : false, "suffix" : "" }, { "dropping-particle" : "", "family" : "Calster", "given" : "Ben", "non-dropping-particle" : "Van", "parse-names" : false, "suffix" : "" }, { "dropping-particle" : "", "family" : "Steyerberg", "given" : "Ewout W", "non-dropping-particle" : "", "parse-names" : false, "suffix" : "" } ], "container-title" : "BMJ (Clinical research ed.)", "id" : "ITEM-1", "issued" : { "date-parts" : [ [ "2016", "1" ] ] }, "language" : "eng", "page" : "i6", "publisher-place" : "England", "title" : "Net benefit approaches to the evaluation of prediction models, molecular markers, and diagnostic tests.", "type" : "article-journal", "volume" : "352" }, "uris" : [ "http://www.mendeley.com/documents/?uuid=1c886f4e-35fd-494f-9d81-85ae3353cf33" ] } ], "mendeley" : { "formattedCitation" : "&lt;sup&gt;24&lt;/sup&gt;", "plainTextFormattedCitation" : "24", "previouslyFormattedCitation" : "&lt;sup&gt;24&lt;/sup&gt;" }, "properties" : { "noteIndex" : 0 }, "schema" : "https://github.com/citation-style-language/schema/raw/master/csl-citation.json" }</w:instrText>
      </w:r>
      <w:r w:rsidR="00F62E08" w:rsidRPr="0092727E">
        <w:rPr>
          <w:rFonts w:cstheme="minorHAnsi"/>
          <w:color w:val="000000" w:themeColor="text1"/>
          <w:highlight w:val="yellow"/>
        </w:rPr>
        <w:fldChar w:fldCharType="separate"/>
      </w:r>
      <w:r w:rsidR="00F62E08" w:rsidRPr="0092727E">
        <w:rPr>
          <w:rFonts w:cstheme="minorHAnsi"/>
          <w:noProof/>
          <w:color w:val="000000" w:themeColor="text1"/>
          <w:highlight w:val="yellow"/>
          <w:vertAlign w:val="superscript"/>
        </w:rPr>
        <w:t>24</w:t>
      </w:r>
      <w:r w:rsidR="00F62E08" w:rsidRPr="0092727E">
        <w:rPr>
          <w:rFonts w:cstheme="minorHAnsi"/>
          <w:color w:val="000000" w:themeColor="text1"/>
          <w:highlight w:val="yellow"/>
        </w:rPr>
        <w:fldChar w:fldCharType="end"/>
      </w:r>
      <w:r w:rsidR="003D34D5" w:rsidRPr="00D8107F">
        <w:rPr>
          <w:rFonts w:cstheme="minorHAnsi"/>
          <w:color w:val="000000" w:themeColor="text1"/>
        </w:rPr>
        <w:t>.</w:t>
      </w:r>
      <w:r w:rsidR="003D34D5" w:rsidRPr="00D8107F">
        <w:rPr>
          <w:rStyle w:val="apple-converted-space"/>
          <w:rFonts w:cstheme="minorHAnsi"/>
          <w:color w:val="000000" w:themeColor="text1"/>
          <w:shd w:val="clear" w:color="auto" w:fill="FFFFFF"/>
        </w:rPr>
        <w:t> </w:t>
      </w:r>
      <w:r w:rsidRPr="00D8107F">
        <w:rPr>
          <w:rStyle w:val="apple-converted-space"/>
          <w:rFonts w:cstheme="minorHAnsi"/>
          <w:color w:val="000000" w:themeColor="text1"/>
          <w:shd w:val="clear" w:color="auto" w:fill="FFFFFF"/>
        </w:rPr>
        <w:t xml:space="preserve">A decision model was specified using an abnormal baseline IBI (&gt;0) as an opt-out criterion with disease progression </w:t>
      </w:r>
      <w:r w:rsidR="0086606B" w:rsidRPr="00D8107F">
        <w:rPr>
          <w:rStyle w:val="apple-converted-space"/>
          <w:rFonts w:cstheme="minorHAnsi"/>
          <w:color w:val="000000" w:themeColor="text1"/>
          <w:shd w:val="clear" w:color="auto" w:fill="FFFFFF"/>
        </w:rPr>
        <w:t>12 months after commencement of</w:t>
      </w:r>
      <w:r w:rsidRPr="00D8107F">
        <w:rPr>
          <w:rStyle w:val="apple-converted-space"/>
          <w:rFonts w:cstheme="minorHAnsi"/>
          <w:color w:val="000000" w:themeColor="text1"/>
          <w:shd w:val="clear" w:color="auto" w:fill="FFFFFF"/>
        </w:rPr>
        <w:t xml:space="preserve"> treatment as the end point. </w:t>
      </w:r>
      <w:r w:rsidR="00E54910" w:rsidRPr="00E54910">
        <w:rPr>
          <w:rStyle w:val="apple-converted-space"/>
          <w:rFonts w:cstheme="minorHAnsi"/>
          <w:color w:val="000000" w:themeColor="text1"/>
          <w:highlight w:val="yellow"/>
          <w:shd w:val="clear" w:color="auto" w:fill="FFFFFF"/>
        </w:rPr>
        <w:t xml:space="preserve">Net benefit is </w:t>
      </w:r>
      <w:r w:rsidR="00421F26">
        <w:rPr>
          <w:rStyle w:val="apple-converted-space"/>
          <w:rFonts w:cstheme="minorHAnsi"/>
          <w:color w:val="000000" w:themeColor="text1"/>
          <w:highlight w:val="yellow"/>
          <w:shd w:val="clear" w:color="auto" w:fill="FFFFFF"/>
        </w:rPr>
        <w:t xml:space="preserve">calculated </w:t>
      </w:r>
      <w:r w:rsidR="00421F26">
        <w:rPr>
          <w:rStyle w:val="apple-converted-space"/>
          <w:rFonts w:cstheme="minorHAnsi"/>
          <w:color w:val="000000" w:themeColor="text1"/>
          <w:highlight w:val="yellow"/>
          <w:shd w:val="clear" w:color="auto" w:fill="FFFFFF"/>
        </w:rPr>
        <w:lastRenderedPageBreak/>
        <w:t>by subtracting the ‘false positive’ patients from the ‘true positives’, divided by the total number of patients studied. This is then offset against a function of the relative harms</w:t>
      </w:r>
      <w:r w:rsidR="004E5996">
        <w:rPr>
          <w:rStyle w:val="apple-converted-space"/>
          <w:rFonts w:cstheme="minorHAnsi"/>
          <w:color w:val="000000" w:themeColor="text1"/>
          <w:highlight w:val="yellow"/>
          <w:shd w:val="clear" w:color="auto" w:fill="FFFFFF"/>
        </w:rPr>
        <w:t xml:space="preserve"> (i.e. impact on survival) </w:t>
      </w:r>
      <w:r w:rsidR="00DC0AED">
        <w:rPr>
          <w:rStyle w:val="apple-converted-space"/>
          <w:rFonts w:cstheme="minorHAnsi"/>
          <w:color w:val="000000" w:themeColor="text1"/>
          <w:highlight w:val="yellow"/>
          <w:shd w:val="clear" w:color="auto" w:fill="FFFFFF"/>
        </w:rPr>
        <w:t xml:space="preserve">of treatment, or of withholding </w:t>
      </w:r>
      <w:r w:rsidR="001B5C05">
        <w:rPr>
          <w:rStyle w:val="apple-converted-space"/>
          <w:rFonts w:cstheme="minorHAnsi"/>
          <w:color w:val="000000" w:themeColor="text1"/>
          <w:highlight w:val="yellow"/>
          <w:shd w:val="clear" w:color="auto" w:fill="FFFFFF"/>
        </w:rPr>
        <w:t xml:space="preserve">treatment, </w:t>
      </w:r>
      <w:r w:rsidR="00D77239">
        <w:rPr>
          <w:rStyle w:val="apple-converted-space"/>
          <w:rFonts w:cstheme="minorHAnsi"/>
          <w:color w:val="000000" w:themeColor="text1"/>
          <w:highlight w:val="yellow"/>
          <w:shd w:val="clear" w:color="auto" w:fill="FFFFFF"/>
        </w:rPr>
        <w:t>for a range of ‘threshold probabilities’</w:t>
      </w:r>
      <w:r w:rsidR="001B5C05">
        <w:rPr>
          <w:rStyle w:val="apple-converted-space"/>
          <w:rFonts w:cstheme="minorHAnsi"/>
          <w:color w:val="000000" w:themeColor="text1"/>
          <w:highlight w:val="yellow"/>
          <w:shd w:val="clear" w:color="auto" w:fill="FFFFFF"/>
        </w:rPr>
        <w:t xml:space="preserve"> from 0 to 1</w:t>
      </w:r>
      <w:r w:rsidR="004E5996">
        <w:rPr>
          <w:rStyle w:val="apple-converted-space"/>
          <w:rFonts w:cstheme="minorHAnsi"/>
          <w:color w:val="000000" w:themeColor="text1"/>
          <w:highlight w:val="yellow"/>
          <w:shd w:val="clear" w:color="auto" w:fill="FFFFFF"/>
        </w:rPr>
        <w:t>.</w:t>
      </w:r>
      <w:r w:rsidR="001B5C05">
        <w:rPr>
          <w:rStyle w:val="apple-converted-space"/>
          <w:rFonts w:cstheme="minorHAnsi"/>
          <w:color w:val="000000" w:themeColor="text1"/>
          <w:highlight w:val="yellow"/>
          <w:shd w:val="clear" w:color="auto" w:fill="FFFFFF"/>
        </w:rPr>
        <w:t xml:space="preserve"> </w:t>
      </w:r>
      <w:r w:rsidR="00421F26">
        <w:rPr>
          <w:rStyle w:val="apple-converted-space"/>
          <w:rFonts w:cstheme="minorHAnsi"/>
          <w:color w:val="000000" w:themeColor="text1"/>
          <w:highlight w:val="yellow"/>
          <w:shd w:val="clear" w:color="auto" w:fill="FFFFFF"/>
        </w:rPr>
        <w:t xml:space="preserve">Graphically, </w:t>
      </w:r>
      <w:r w:rsidR="00D77239">
        <w:rPr>
          <w:rStyle w:val="apple-converted-space"/>
          <w:rFonts w:cstheme="minorHAnsi"/>
          <w:color w:val="000000" w:themeColor="text1"/>
          <w:highlight w:val="yellow"/>
          <w:shd w:val="clear" w:color="auto" w:fill="FFFFFF"/>
        </w:rPr>
        <w:t xml:space="preserve">a clinically useful model will be </w:t>
      </w:r>
      <w:r w:rsidR="00E54910" w:rsidRPr="00E54910">
        <w:rPr>
          <w:rStyle w:val="apple-converted-space"/>
          <w:rFonts w:cstheme="minorHAnsi"/>
          <w:color w:val="000000" w:themeColor="text1"/>
          <w:highlight w:val="yellow"/>
          <w:shd w:val="clear" w:color="auto" w:fill="FFFFFF"/>
        </w:rPr>
        <w:t>to the right of the ‘Treat All’ line and above the horizontal ‘Treat None’ line.</w:t>
      </w:r>
      <w:r w:rsidR="00E54910">
        <w:rPr>
          <w:rStyle w:val="apple-converted-space"/>
          <w:rFonts w:cstheme="minorHAnsi"/>
          <w:color w:val="000000" w:themeColor="text1"/>
          <w:shd w:val="clear" w:color="auto" w:fill="FFFFFF"/>
        </w:rPr>
        <w:t xml:space="preserve"> </w:t>
      </w:r>
      <w:r w:rsidR="002A2DAA" w:rsidRPr="00D8107F">
        <w:rPr>
          <w:rFonts w:cstheme="minorHAnsi"/>
          <w:color w:val="000000" w:themeColor="text1"/>
        </w:rPr>
        <w:t>Patients with incomplete progression status at 12 months were excluded from this analysis.</w:t>
      </w:r>
    </w:p>
    <w:bookmarkEnd w:id="1"/>
    <w:bookmarkEnd w:id="2"/>
    <w:p w14:paraId="2D0B5912" w14:textId="7D2A3C67" w:rsidR="003D341A" w:rsidRPr="00D8107F" w:rsidRDefault="00AC2089" w:rsidP="00D8107F">
      <w:pPr>
        <w:spacing w:line="480" w:lineRule="auto"/>
        <w:jc w:val="both"/>
        <w:rPr>
          <w:rFonts w:cstheme="minorHAnsi"/>
          <w:color w:val="000000" w:themeColor="text1"/>
        </w:rPr>
      </w:pPr>
      <w:r w:rsidRPr="00D8107F">
        <w:rPr>
          <w:rFonts w:cstheme="minorHAnsi"/>
          <w:color w:val="000000" w:themeColor="text1"/>
        </w:rPr>
        <w:t>S</w:t>
      </w:r>
      <w:r w:rsidR="00AB1D36" w:rsidRPr="00D8107F">
        <w:rPr>
          <w:rFonts w:cstheme="minorHAnsi"/>
          <w:color w:val="000000" w:themeColor="text1"/>
        </w:rPr>
        <w:t>tatistical a</w:t>
      </w:r>
      <w:r w:rsidR="003D341A" w:rsidRPr="00D8107F">
        <w:rPr>
          <w:rFonts w:cstheme="minorHAnsi"/>
          <w:color w:val="000000" w:themeColor="text1"/>
        </w:rPr>
        <w:t>nalys</w:t>
      </w:r>
      <w:r w:rsidR="009975A8" w:rsidRPr="00D8107F">
        <w:rPr>
          <w:rFonts w:cstheme="minorHAnsi"/>
          <w:color w:val="000000" w:themeColor="text1"/>
        </w:rPr>
        <w:t>e</w:t>
      </w:r>
      <w:r w:rsidR="003D341A" w:rsidRPr="00D8107F">
        <w:rPr>
          <w:rFonts w:cstheme="minorHAnsi"/>
          <w:color w:val="000000" w:themeColor="text1"/>
        </w:rPr>
        <w:t xml:space="preserve">s </w:t>
      </w:r>
      <w:r w:rsidR="009975A8" w:rsidRPr="00D8107F">
        <w:rPr>
          <w:rFonts w:cstheme="minorHAnsi"/>
          <w:color w:val="000000" w:themeColor="text1"/>
        </w:rPr>
        <w:t xml:space="preserve">were </w:t>
      </w:r>
      <w:r w:rsidR="0086606B" w:rsidRPr="00D8107F">
        <w:rPr>
          <w:rFonts w:cstheme="minorHAnsi"/>
          <w:color w:val="000000" w:themeColor="text1"/>
        </w:rPr>
        <w:t>performed</w:t>
      </w:r>
      <w:r w:rsidR="009975A8" w:rsidRPr="00D8107F">
        <w:rPr>
          <w:rFonts w:cstheme="minorHAnsi"/>
          <w:color w:val="000000" w:themeColor="text1"/>
        </w:rPr>
        <w:t xml:space="preserve"> in</w:t>
      </w:r>
      <w:r w:rsidR="003D341A" w:rsidRPr="00D8107F">
        <w:rPr>
          <w:rFonts w:cstheme="minorHAnsi"/>
          <w:color w:val="000000" w:themeColor="text1"/>
        </w:rPr>
        <w:t xml:space="preserve"> </w:t>
      </w:r>
      <w:r w:rsidR="00AB1D36" w:rsidRPr="00D8107F">
        <w:rPr>
          <w:rFonts w:cstheme="minorHAnsi"/>
          <w:color w:val="000000" w:themeColor="text1"/>
        </w:rPr>
        <w:t xml:space="preserve">IBM </w:t>
      </w:r>
      <w:r w:rsidR="003D341A" w:rsidRPr="00D8107F">
        <w:rPr>
          <w:rFonts w:cstheme="minorHAnsi"/>
          <w:color w:val="000000" w:themeColor="text1"/>
        </w:rPr>
        <w:t>SPSS statistical package version 24 (SPSS Inc., Chicago, IL, USA)</w:t>
      </w:r>
      <w:r w:rsidRPr="00D8107F">
        <w:rPr>
          <w:rFonts w:cstheme="minorHAnsi"/>
          <w:color w:val="000000" w:themeColor="text1"/>
        </w:rPr>
        <w:t xml:space="preserve"> and R studio</w:t>
      </w:r>
      <w:r w:rsidR="009975A8" w:rsidRPr="00D8107F">
        <w:rPr>
          <w:rFonts w:cstheme="minorHAnsi"/>
          <w:color w:val="000000" w:themeColor="text1"/>
        </w:rPr>
        <w:t xml:space="preserve"> version </w:t>
      </w:r>
      <w:r w:rsidR="0086606B" w:rsidRPr="00D8107F">
        <w:rPr>
          <w:rFonts w:cstheme="minorHAnsi"/>
          <w:color w:val="000000" w:themeColor="text1"/>
        </w:rPr>
        <w:t>1.0.136</w:t>
      </w:r>
      <w:r w:rsidR="009975A8" w:rsidRPr="00D8107F">
        <w:rPr>
          <w:rFonts w:cstheme="minorHAnsi"/>
          <w:color w:val="000000" w:themeColor="text1"/>
        </w:rPr>
        <w:t xml:space="preserve"> (R Core Team, Vienna, Austria) using </w:t>
      </w:r>
      <w:r w:rsidR="0086606B" w:rsidRPr="00D8107F">
        <w:rPr>
          <w:rFonts w:cstheme="minorHAnsi"/>
          <w:color w:val="000000" w:themeColor="text1"/>
        </w:rPr>
        <w:t>the ‘rmda’ package.</w:t>
      </w:r>
    </w:p>
    <w:p w14:paraId="5D876513" w14:textId="77777777" w:rsidR="0006239A" w:rsidRPr="00D8107F" w:rsidRDefault="0006239A" w:rsidP="00D8107F">
      <w:pPr>
        <w:spacing w:line="480" w:lineRule="auto"/>
        <w:contextualSpacing/>
        <w:rPr>
          <w:rFonts w:cstheme="minorHAnsi"/>
          <w:color w:val="000000" w:themeColor="text1"/>
        </w:rPr>
      </w:pPr>
    </w:p>
    <w:p w14:paraId="2764C56F" w14:textId="77777777" w:rsidR="003D341A" w:rsidRPr="00D8107F" w:rsidRDefault="003D341A" w:rsidP="00D8107F">
      <w:pPr>
        <w:pStyle w:val="Heading2"/>
        <w:spacing w:line="480" w:lineRule="auto"/>
        <w:rPr>
          <w:b/>
          <w:color w:val="000000" w:themeColor="text1"/>
        </w:rPr>
      </w:pPr>
      <w:r w:rsidRPr="00D8107F">
        <w:rPr>
          <w:b/>
          <w:color w:val="000000" w:themeColor="text1"/>
        </w:rPr>
        <w:t>Results</w:t>
      </w:r>
    </w:p>
    <w:p w14:paraId="2E3D7D71" w14:textId="77777777" w:rsidR="0006239A" w:rsidRPr="00D8107F" w:rsidRDefault="0006239A" w:rsidP="00D8107F">
      <w:pPr>
        <w:spacing w:line="480" w:lineRule="auto"/>
        <w:contextualSpacing/>
        <w:rPr>
          <w:b/>
          <w:color w:val="000000" w:themeColor="text1"/>
        </w:rPr>
      </w:pPr>
    </w:p>
    <w:p w14:paraId="5FF6E826" w14:textId="1AE335BE" w:rsidR="006B0DE1" w:rsidRPr="00D8107F" w:rsidRDefault="006B0DE1" w:rsidP="00D8107F">
      <w:pPr>
        <w:spacing w:line="480" w:lineRule="auto"/>
        <w:contextualSpacing/>
        <w:outlineLvl w:val="0"/>
        <w:rPr>
          <w:b/>
          <w:color w:val="000000" w:themeColor="text1"/>
        </w:rPr>
      </w:pPr>
      <w:r w:rsidRPr="00D8107F">
        <w:rPr>
          <w:b/>
          <w:color w:val="000000" w:themeColor="text1"/>
        </w:rPr>
        <w:t>Patient characteristics</w:t>
      </w:r>
    </w:p>
    <w:p w14:paraId="19917D3D" w14:textId="77777777" w:rsidR="00A212B9" w:rsidRPr="00D8107F" w:rsidRDefault="00A212B9" w:rsidP="00D8107F">
      <w:pPr>
        <w:spacing w:line="480" w:lineRule="auto"/>
        <w:contextualSpacing/>
        <w:outlineLvl w:val="0"/>
        <w:rPr>
          <w:color w:val="000000" w:themeColor="text1"/>
        </w:rPr>
      </w:pPr>
    </w:p>
    <w:p w14:paraId="1E7BAB51" w14:textId="1A216A64" w:rsidR="00C21394" w:rsidRPr="00D8107F" w:rsidRDefault="00893217" w:rsidP="00D8107F">
      <w:pPr>
        <w:spacing w:after="240" w:line="480" w:lineRule="auto"/>
        <w:jc w:val="both"/>
        <w:rPr>
          <w:rFonts w:eastAsia="Times New Roman" w:cs="Times New Roman"/>
          <w:color w:val="000000" w:themeColor="text1"/>
          <w:lang w:eastAsia="en-GB"/>
        </w:rPr>
      </w:pPr>
      <w:r w:rsidRPr="00D8107F">
        <w:rPr>
          <w:rStyle w:val="Strong"/>
          <w:b w:val="0"/>
          <w:color w:val="000000" w:themeColor="text1"/>
        </w:rPr>
        <w:t>Fifty-</w:t>
      </w:r>
      <w:r w:rsidR="00854813" w:rsidRPr="00D8107F">
        <w:rPr>
          <w:rStyle w:val="Strong"/>
          <w:b w:val="0"/>
          <w:color w:val="000000" w:themeColor="text1"/>
        </w:rPr>
        <w:t xml:space="preserve">five </w:t>
      </w:r>
      <w:r w:rsidRPr="00D8107F">
        <w:rPr>
          <w:rStyle w:val="Strong"/>
          <w:b w:val="0"/>
          <w:color w:val="000000" w:themeColor="text1"/>
        </w:rPr>
        <w:t xml:space="preserve">patients </w:t>
      </w:r>
      <w:r w:rsidR="00140937" w:rsidRPr="00D8107F">
        <w:rPr>
          <w:rStyle w:val="Strong"/>
          <w:b w:val="0"/>
          <w:color w:val="000000" w:themeColor="text1"/>
        </w:rPr>
        <w:t>were enrolled</w:t>
      </w:r>
      <w:r w:rsidR="00E81DD3" w:rsidRPr="00D8107F">
        <w:rPr>
          <w:rStyle w:val="Strong"/>
          <w:b w:val="0"/>
          <w:color w:val="000000" w:themeColor="text1"/>
        </w:rPr>
        <w:t>. Just over half were male (2</w:t>
      </w:r>
      <w:r w:rsidR="00854813" w:rsidRPr="00D8107F">
        <w:rPr>
          <w:rStyle w:val="Strong"/>
          <w:b w:val="0"/>
          <w:color w:val="000000" w:themeColor="text1"/>
        </w:rPr>
        <w:t>9</w:t>
      </w:r>
      <w:r w:rsidR="00E81DD3" w:rsidRPr="00D8107F">
        <w:rPr>
          <w:rStyle w:val="Strong"/>
          <w:b w:val="0"/>
          <w:color w:val="000000" w:themeColor="text1"/>
        </w:rPr>
        <w:t>/5</w:t>
      </w:r>
      <w:r w:rsidR="00854813" w:rsidRPr="00D8107F">
        <w:rPr>
          <w:rStyle w:val="Strong"/>
          <w:b w:val="0"/>
          <w:color w:val="000000" w:themeColor="text1"/>
        </w:rPr>
        <w:t>5</w:t>
      </w:r>
      <w:r w:rsidR="00E81DD3" w:rsidRPr="00D8107F">
        <w:rPr>
          <w:rStyle w:val="Strong"/>
          <w:b w:val="0"/>
          <w:color w:val="000000" w:themeColor="text1"/>
        </w:rPr>
        <w:t>, 5</w:t>
      </w:r>
      <w:r w:rsidR="00854813" w:rsidRPr="00D8107F">
        <w:rPr>
          <w:rStyle w:val="Strong"/>
          <w:b w:val="0"/>
          <w:color w:val="000000" w:themeColor="text1"/>
        </w:rPr>
        <w:t>3</w:t>
      </w:r>
      <w:r w:rsidR="00E81DD3" w:rsidRPr="00D8107F">
        <w:rPr>
          <w:rStyle w:val="Strong"/>
          <w:b w:val="0"/>
          <w:color w:val="000000" w:themeColor="text1"/>
        </w:rPr>
        <w:t>%) with a median age of 56 years (range 16 – 79).</w:t>
      </w:r>
      <w:r w:rsidR="00140937" w:rsidRPr="00D8107F">
        <w:rPr>
          <w:rStyle w:val="Strong"/>
          <w:b w:val="0"/>
          <w:color w:val="000000" w:themeColor="text1"/>
        </w:rPr>
        <w:t xml:space="preserve"> </w:t>
      </w:r>
      <w:r w:rsidR="00E81DD3" w:rsidRPr="00D8107F">
        <w:rPr>
          <w:rStyle w:val="Strong"/>
          <w:b w:val="0"/>
          <w:color w:val="000000" w:themeColor="text1"/>
        </w:rPr>
        <w:t>The majority of NETs were of bowel or pancreatic origin (2</w:t>
      </w:r>
      <w:r w:rsidR="00854813" w:rsidRPr="00D8107F">
        <w:rPr>
          <w:rStyle w:val="Strong"/>
          <w:b w:val="0"/>
          <w:color w:val="000000" w:themeColor="text1"/>
        </w:rPr>
        <w:t>9</w:t>
      </w:r>
      <w:r w:rsidR="00E81DD3" w:rsidRPr="00D8107F">
        <w:rPr>
          <w:rStyle w:val="Strong"/>
          <w:b w:val="0"/>
          <w:color w:val="000000" w:themeColor="text1"/>
        </w:rPr>
        <w:t>/5</w:t>
      </w:r>
      <w:r w:rsidR="00854813" w:rsidRPr="00D8107F">
        <w:rPr>
          <w:rStyle w:val="Strong"/>
          <w:b w:val="0"/>
          <w:color w:val="000000" w:themeColor="text1"/>
        </w:rPr>
        <w:t>5</w:t>
      </w:r>
      <w:r w:rsidR="00E81DD3" w:rsidRPr="00D8107F">
        <w:rPr>
          <w:rStyle w:val="Strong"/>
          <w:b w:val="0"/>
          <w:color w:val="000000" w:themeColor="text1"/>
        </w:rPr>
        <w:t>, 5</w:t>
      </w:r>
      <w:r w:rsidR="00854813" w:rsidRPr="00D8107F">
        <w:rPr>
          <w:rStyle w:val="Strong"/>
          <w:b w:val="0"/>
          <w:color w:val="000000" w:themeColor="text1"/>
        </w:rPr>
        <w:t>4</w:t>
      </w:r>
      <w:r w:rsidR="00E81DD3" w:rsidRPr="00D8107F">
        <w:rPr>
          <w:rStyle w:val="Strong"/>
          <w:b w:val="0"/>
          <w:color w:val="000000" w:themeColor="text1"/>
        </w:rPr>
        <w:t xml:space="preserve">%). </w:t>
      </w:r>
      <w:r w:rsidR="00E81DD3" w:rsidRPr="00D8107F">
        <w:rPr>
          <w:color w:val="000000" w:themeColor="text1"/>
        </w:rPr>
        <w:t>C</w:t>
      </w:r>
      <w:r w:rsidR="00A5663C" w:rsidRPr="00D8107F">
        <w:rPr>
          <w:color w:val="000000" w:themeColor="text1"/>
        </w:rPr>
        <w:t xml:space="preserve">linical and pathological features </w:t>
      </w:r>
      <w:r w:rsidR="000C23ED" w:rsidRPr="00D8107F">
        <w:rPr>
          <w:color w:val="000000" w:themeColor="text1"/>
        </w:rPr>
        <w:t>are</w:t>
      </w:r>
      <w:r w:rsidR="00595612" w:rsidRPr="00D8107F">
        <w:rPr>
          <w:color w:val="000000" w:themeColor="text1"/>
        </w:rPr>
        <w:t xml:space="preserve"> </w:t>
      </w:r>
      <w:r w:rsidR="00140937" w:rsidRPr="00D8107F">
        <w:rPr>
          <w:color w:val="000000" w:themeColor="text1"/>
        </w:rPr>
        <w:t xml:space="preserve">summarised </w:t>
      </w:r>
      <w:r w:rsidR="00595612" w:rsidRPr="00D8107F">
        <w:rPr>
          <w:color w:val="000000" w:themeColor="text1"/>
        </w:rPr>
        <w:t>in Table 1</w:t>
      </w:r>
      <w:r w:rsidR="00336BEE" w:rsidRPr="00D8107F">
        <w:rPr>
          <w:color w:val="000000" w:themeColor="text1"/>
        </w:rPr>
        <w:t>. M</w:t>
      </w:r>
      <w:r w:rsidR="00595612" w:rsidRPr="00D8107F">
        <w:rPr>
          <w:color w:val="000000" w:themeColor="text1"/>
        </w:rPr>
        <w:t xml:space="preserve">edian </w:t>
      </w:r>
      <w:r w:rsidR="00E81DD3" w:rsidRPr="00D8107F">
        <w:rPr>
          <w:color w:val="000000" w:themeColor="text1"/>
        </w:rPr>
        <w:t>PFS</w:t>
      </w:r>
      <w:r w:rsidR="00143686" w:rsidRPr="00D8107F">
        <w:rPr>
          <w:color w:val="000000" w:themeColor="text1"/>
        </w:rPr>
        <w:t xml:space="preserve"> was </w:t>
      </w:r>
      <w:r w:rsidR="007C75F1" w:rsidRPr="00D8107F">
        <w:rPr>
          <w:color w:val="000000" w:themeColor="text1"/>
        </w:rPr>
        <w:t>21.2</w:t>
      </w:r>
      <w:r w:rsidR="00143686" w:rsidRPr="00D8107F">
        <w:rPr>
          <w:color w:val="000000" w:themeColor="text1"/>
        </w:rPr>
        <w:t xml:space="preserve"> months (range 1.3</w:t>
      </w:r>
      <w:r w:rsidR="007C75F1" w:rsidRPr="00D8107F">
        <w:rPr>
          <w:color w:val="000000" w:themeColor="text1"/>
        </w:rPr>
        <w:t>-76.9</w:t>
      </w:r>
      <w:r w:rsidR="00143686" w:rsidRPr="00D8107F">
        <w:rPr>
          <w:color w:val="000000" w:themeColor="text1"/>
        </w:rPr>
        <w:t xml:space="preserve"> months)</w:t>
      </w:r>
      <w:r w:rsidR="00E81DD3" w:rsidRPr="00D8107F">
        <w:rPr>
          <w:color w:val="000000" w:themeColor="text1"/>
        </w:rPr>
        <w:t xml:space="preserve"> </w:t>
      </w:r>
      <w:r w:rsidR="00143686" w:rsidRPr="00D8107F">
        <w:rPr>
          <w:color w:val="000000" w:themeColor="text1"/>
        </w:rPr>
        <w:t xml:space="preserve">and median </w:t>
      </w:r>
      <w:r w:rsidR="00E81DD3" w:rsidRPr="00D8107F">
        <w:rPr>
          <w:color w:val="000000" w:themeColor="text1"/>
        </w:rPr>
        <w:t xml:space="preserve">OS </w:t>
      </w:r>
      <w:r w:rsidR="00595612" w:rsidRPr="00D8107F">
        <w:rPr>
          <w:color w:val="000000" w:themeColor="text1"/>
        </w:rPr>
        <w:t>was 2</w:t>
      </w:r>
      <w:r w:rsidR="007C75F1" w:rsidRPr="00D8107F">
        <w:rPr>
          <w:color w:val="000000" w:themeColor="text1"/>
        </w:rPr>
        <w:t>7.9</w:t>
      </w:r>
      <w:r w:rsidR="00595612" w:rsidRPr="00D8107F">
        <w:rPr>
          <w:color w:val="000000" w:themeColor="text1"/>
        </w:rPr>
        <w:t xml:space="preserve"> months (range 1.8-</w:t>
      </w:r>
      <w:r w:rsidR="007C75F1" w:rsidRPr="00D8107F">
        <w:rPr>
          <w:color w:val="000000" w:themeColor="text1"/>
        </w:rPr>
        <w:t>96</w:t>
      </w:r>
      <w:r w:rsidR="00595612" w:rsidRPr="00D8107F">
        <w:rPr>
          <w:color w:val="000000" w:themeColor="text1"/>
        </w:rPr>
        <w:t xml:space="preserve"> months)</w:t>
      </w:r>
      <w:r w:rsidR="00143686" w:rsidRPr="00D8107F">
        <w:rPr>
          <w:color w:val="000000" w:themeColor="text1"/>
        </w:rPr>
        <w:t>. All 5</w:t>
      </w:r>
      <w:r w:rsidR="00854813" w:rsidRPr="00D8107F">
        <w:rPr>
          <w:color w:val="000000" w:themeColor="text1"/>
        </w:rPr>
        <w:t>5</w:t>
      </w:r>
      <w:r w:rsidR="00A40E31" w:rsidRPr="00D8107F">
        <w:rPr>
          <w:color w:val="000000" w:themeColor="text1"/>
        </w:rPr>
        <w:t xml:space="preserve"> patients</w:t>
      </w:r>
      <w:r w:rsidR="00143686" w:rsidRPr="00D8107F">
        <w:rPr>
          <w:color w:val="000000" w:themeColor="text1"/>
        </w:rPr>
        <w:t xml:space="preserve"> had </w:t>
      </w:r>
      <w:r w:rsidR="00E81DD3" w:rsidRPr="00D8107F">
        <w:rPr>
          <w:color w:val="000000" w:themeColor="text1"/>
        </w:rPr>
        <w:sym w:font="Symbol" w:char="F0B3"/>
      </w:r>
      <w:r w:rsidR="00143686" w:rsidRPr="00D8107F">
        <w:rPr>
          <w:color w:val="000000" w:themeColor="text1"/>
        </w:rPr>
        <w:t xml:space="preserve">1 </w:t>
      </w:r>
      <w:r w:rsidR="00071933" w:rsidRPr="00D8107F">
        <w:rPr>
          <w:color w:val="000000" w:themeColor="text1"/>
        </w:rPr>
        <w:t>PRRT</w:t>
      </w:r>
      <w:r w:rsidR="00071933" w:rsidRPr="00D8107F">
        <w:rPr>
          <w:rFonts w:eastAsia="Times New Roman" w:cs="Arial"/>
          <w:color w:val="000000" w:themeColor="text1"/>
          <w:shd w:val="clear" w:color="auto" w:fill="FFFFFF"/>
          <w:lang w:eastAsia="en-GB"/>
        </w:rPr>
        <w:t xml:space="preserve"> </w:t>
      </w:r>
      <w:r w:rsidR="00131067" w:rsidRPr="00D8107F">
        <w:rPr>
          <w:rFonts w:eastAsia="Times New Roman" w:cs="Arial"/>
          <w:color w:val="000000" w:themeColor="text1"/>
          <w:shd w:val="clear" w:color="auto" w:fill="FFFFFF"/>
          <w:lang w:eastAsia="en-GB"/>
        </w:rPr>
        <w:t xml:space="preserve">cycle; </w:t>
      </w:r>
      <w:r w:rsidR="00C6764D" w:rsidRPr="00D8107F">
        <w:rPr>
          <w:rFonts w:eastAsia="Times New Roman" w:cs="Arial"/>
          <w:color w:val="000000" w:themeColor="text1"/>
          <w:shd w:val="clear" w:color="auto" w:fill="FFFFFF"/>
          <w:lang w:eastAsia="en-GB"/>
        </w:rPr>
        <w:t xml:space="preserve">42 </w:t>
      </w:r>
      <w:r w:rsidR="00446A15" w:rsidRPr="00D8107F">
        <w:rPr>
          <w:rFonts w:eastAsia="Times New Roman" w:cs="Arial"/>
          <w:color w:val="000000" w:themeColor="text1"/>
          <w:shd w:val="clear" w:color="auto" w:fill="FFFFFF"/>
          <w:lang w:eastAsia="en-GB"/>
        </w:rPr>
        <w:t>(</w:t>
      </w:r>
      <w:r w:rsidR="009C0A8A" w:rsidRPr="00D8107F">
        <w:rPr>
          <w:rFonts w:eastAsia="Times New Roman" w:cs="Arial"/>
          <w:color w:val="000000" w:themeColor="text1"/>
          <w:shd w:val="clear" w:color="auto" w:fill="FFFFFF"/>
          <w:lang w:eastAsia="en-GB"/>
        </w:rPr>
        <w:t>76</w:t>
      </w:r>
      <w:r w:rsidR="00446A15" w:rsidRPr="00D8107F">
        <w:rPr>
          <w:rFonts w:eastAsia="Times New Roman" w:cs="Arial"/>
          <w:color w:val="000000" w:themeColor="text1"/>
          <w:shd w:val="clear" w:color="auto" w:fill="FFFFFF"/>
          <w:lang w:eastAsia="en-GB"/>
        </w:rPr>
        <w:t xml:space="preserve">%) </w:t>
      </w:r>
      <w:r w:rsidR="00957F5D" w:rsidRPr="00D8107F">
        <w:rPr>
          <w:rFonts w:eastAsia="Times New Roman" w:cs="Arial"/>
          <w:color w:val="000000" w:themeColor="text1"/>
          <w:shd w:val="clear" w:color="auto" w:fill="FFFFFF"/>
          <w:lang w:eastAsia="en-GB"/>
        </w:rPr>
        <w:t>patients</w:t>
      </w:r>
      <w:r w:rsidR="004566BA" w:rsidRPr="00D8107F">
        <w:rPr>
          <w:rFonts w:eastAsia="Times New Roman" w:cs="Arial"/>
          <w:color w:val="000000" w:themeColor="text1"/>
          <w:shd w:val="clear" w:color="auto" w:fill="FFFFFF"/>
          <w:lang w:eastAsia="en-GB"/>
        </w:rPr>
        <w:t xml:space="preserve"> </w:t>
      </w:r>
      <w:r w:rsidR="00131067" w:rsidRPr="00D8107F">
        <w:rPr>
          <w:rFonts w:eastAsia="Times New Roman" w:cs="Arial"/>
          <w:color w:val="000000" w:themeColor="text1"/>
          <w:shd w:val="clear" w:color="auto" w:fill="FFFFFF"/>
          <w:lang w:eastAsia="en-GB"/>
        </w:rPr>
        <w:t>completed all</w:t>
      </w:r>
      <w:r w:rsidR="00F53EC0" w:rsidRPr="00D8107F">
        <w:rPr>
          <w:rFonts w:eastAsia="Times New Roman" w:cs="Arial"/>
          <w:color w:val="000000" w:themeColor="text1"/>
          <w:shd w:val="clear" w:color="auto" w:fill="FFFFFF"/>
          <w:lang w:eastAsia="en-GB"/>
        </w:rPr>
        <w:t xml:space="preserve"> </w:t>
      </w:r>
      <w:r w:rsidR="000D7816" w:rsidRPr="00D8107F">
        <w:rPr>
          <w:rFonts w:eastAsia="Times New Roman" w:cs="Arial"/>
          <w:color w:val="000000" w:themeColor="text1"/>
          <w:shd w:val="clear" w:color="auto" w:fill="FFFFFF"/>
          <w:lang w:eastAsia="en-GB"/>
        </w:rPr>
        <w:t>4 cycles</w:t>
      </w:r>
      <w:r w:rsidR="00131067" w:rsidRPr="00D8107F">
        <w:rPr>
          <w:rFonts w:eastAsia="Times New Roman" w:cs="Arial"/>
          <w:color w:val="000000" w:themeColor="text1"/>
          <w:shd w:val="clear" w:color="auto" w:fill="FFFFFF"/>
          <w:lang w:eastAsia="en-GB"/>
        </w:rPr>
        <w:t>.</w:t>
      </w:r>
      <w:r w:rsidR="000D7816" w:rsidRPr="00D8107F">
        <w:rPr>
          <w:rFonts w:eastAsia="Times New Roman" w:cs="Arial"/>
          <w:color w:val="000000" w:themeColor="text1"/>
          <w:shd w:val="clear" w:color="auto" w:fill="FFFFFF"/>
          <w:lang w:eastAsia="en-GB"/>
        </w:rPr>
        <w:t xml:space="preserve"> </w:t>
      </w:r>
      <w:r w:rsidR="00131067" w:rsidRPr="00D8107F">
        <w:rPr>
          <w:rFonts w:eastAsia="Times New Roman" w:cs="Arial"/>
          <w:color w:val="000000" w:themeColor="text1"/>
          <w:shd w:val="clear" w:color="auto" w:fill="FFFFFF"/>
          <w:lang w:eastAsia="en-GB"/>
        </w:rPr>
        <w:t xml:space="preserve">Seven </w:t>
      </w:r>
      <w:r w:rsidR="00446A15" w:rsidRPr="00D8107F">
        <w:rPr>
          <w:rFonts w:eastAsia="Times New Roman" w:cs="Arial"/>
          <w:color w:val="000000" w:themeColor="text1"/>
          <w:shd w:val="clear" w:color="auto" w:fill="FFFFFF"/>
          <w:lang w:eastAsia="en-GB"/>
        </w:rPr>
        <w:t>(</w:t>
      </w:r>
      <w:r w:rsidR="009C0A8A" w:rsidRPr="00D8107F">
        <w:rPr>
          <w:rFonts w:eastAsia="Times New Roman" w:cs="Arial"/>
          <w:color w:val="000000" w:themeColor="text1"/>
          <w:shd w:val="clear" w:color="auto" w:fill="FFFFFF"/>
          <w:lang w:eastAsia="en-GB"/>
        </w:rPr>
        <w:t>13</w:t>
      </w:r>
      <w:r w:rsidR="00446A15" w:rsidRPr="00D8107F">
        <w:rPr>
          <w:rFonts w:eastAsia="Times New Roman" w:cs="Arial"/>
          <w:color w:val="000000" w:themeColor="text1"/>
          <w:shd w:val="clear" w:color="auto" w:fill="FFFFFF"/>
          <w:lang w:eastAsia="en-GB"/>
        </w:rPr>
        <w:t xml:space="preserve">%) </w:t>
      </w:r>
      <w:r w:rsidR="000D7816" w:rsidRPr="00D8107F">
        <w:rPr>
          <w:rFonts w:eastAsia="Times New Roman" w:cs="Arial"/>
          <w:color w:val="000000" w:themeColor="text1"/>
          <w:shd w:val="clear" w:color="auto" w:fill="FFFFFF"/>
          <w:lang w:eastAsia="en-GB"/>
        </w:rPr>
        <w:t>patients withdr</w:t>
      </w:r>
      <w:r w:rsidR="00F53EC0" w:rsidRPr="00D8107F">
        <w:rPr>
          <w:rFonts w:eastAsia="Times New Roman" w:cs="Arial"/>
          <w:color w:val="000000" w:themeColor="text1"/>
          <w:shd w:val="clear" w:color="auto" w:fill="FFFFFF"/>
          <w:lang w:eastAsia="en-GB"/>
        </w:rPr>
        <w:t>ew</w:t>
      </w:r>
      <w:r w:rsidR="000D7816" w:rsidRPr="00D8107F">
        <w:rPr>
          <w:rFonts w:eastAsia="Times New Roman" w:cs="Arial"/>
          <w:color w:val="000000" w:themeColor="text1"/>
          <w:shd w:val="clear" w:color="auto" w:fill="FFFFFF"/>
          <w:lang w:eastAsia="en-GB"/>
        </w:rPr>
        <w:t xml:space="preserve"> due to disease progression and </w:t>
      </w:r>
      <w:r w:rsidR="00D536FD" w:rsidRPr="00D8107F">
        <w:rPr>
          <w:rFonts w:eastAsia="Times New Roman" w:cs="Arial"/>
          <w:color w:val="000000" w:themeColor="text1"/>
          <w:shd w:val="clear" w:color="auto" w:fill="FFFFFF"/>
          <w:lang w:eastAsia="en-GB"/>
        </w:rPr>
        <w:t>5</w:t>
      </w:r>
      <w:r w:rsidR="00446A15" w:rsidRPr="00D8107F">
        <w:rPr>
          <w:rFonts w:eastAsia="Times New Roman" w:cs="Arial"/>
          <w:color w:val="000000" w:themeColor="text1"/>
          <w:shd w:val="clear" w:color="auto" w:fill="FFFFFF"/>
          <w:lang w:eastAsia="en-GB"/>
        </w:rPr>
        <w:t xml:space="preserve"> (</w:t>
      </w:r>
      <w:r w:rsidR="009C0A8A" w:rsidRPr="00D8107F">
        <w:rPr>
          <w:rFonts w:eastAsia="Times New Roman" w:cs="Arial"/>
          <w:color w:val="000000" w:themeColor="text1"/>
          <w:shd w:val="clear" w:color="auto" w:fill="FFFFFF"/>
          <w:lang w:eastAsia="en-GB"/>
        </w:rPr>
        <w:t>9</w:t>
      </w:r>
      <w:r w:rsidR="00446A15" w:rsidRPr="00D8107F">
        <w:rPr>
          <w:rFonts w:eastAsia="Times New Roman" w:cs="Arial"/>
          <w:color w:val="000000" w:themeColor="text1"/>
          <w:shd w:val="clear" w:color="auto" w:fill="FFFFFF"/>
          <w:lang w:eastAsia="en-GB"/>
        </w:rPr>
        <w:t xml:space="preserve">%) </w:t>
      </w:r>
      <w:r w:rsidR="00D536FD" w:rsidRPr="00D8107F">
        <w:rPr>
          <w:rFonts w:eastAsia="Times New Roman" w:cs="Arial"/>
          <w:color w:val="000000" w:themeColor="text1"/>
          <w:shd w:val="clear" w:color="auto" w:fill="FFFFFF"/>
          <w:lang w:eastAsia="en-GB"/>
        </w:rPr>
        <w:t xml:space="preserve">due to a lack of tracer uptake on target lesions seen on </w:t>
      </w:r>
      <w:r w:rsidR="00A212B9" w:rsidRPr="00D8107F">
        <w:rPr>
          <w:rFonts w:eastAsia="Times New Roman" w:cs="Arial"/>
          <w:color w:val="000000" w:themeColor="text1"/>
          <w:shd w:val="clear" w:color="auto" w:fill="FFFFFF"/>
          <w:lang w:eastAsia="en-GB"/>
        </w:rPr>
        <w:t xml:space="preserve">SSTR </w:t>
      </w:r>
      <w:r w:rsidR="00D536FD" w:rsidRPr="00D8107F">
        <w:rPr>
          <w:rFonts w:eastAsia="Times New Roman" w:cs="Arial"/>
          <w:color w:val="000000" w:themeColor="text1"/>
          <w:shd w:val="clear" w:color="auto" w:fill="FFFFFF"/>
          <w:lang w:eastAsia="en-GB"/>
        </w:rPr>
        <w:t>imaging</w:t>
      </w:r>
      <w:r w:rsidR="000D7816" w:rsidRPr="00D8107F">
        <w:rPr>
          <w:rFonts w:eastAsia="Times New Roman" w:cs="Arial"/>
          <w:color w:val="000000" w:themeColor="text1"/>
          <w:shd w:val="clear" w:color="auto" w:fill="FFFFFF"/>
          <w:lang w:eastAsia="en-GB"/>
        </w:rPr>
        <w:t xml:space="preserve">. </w:t>
      </w:r>
      <w:r w:rsidR="00131067" w:rsidRPr="00D8107F">
        <w:rPr>
          <w:rFonts w:eastAsia="Times New Roman" w:cs="Arial"/>
          <w:color w:val="000000" w:themeColor="text1"/>
          <w:shd w:val="clear" w:color="auto" w:fill="FFFFFF"/>
          <w:lang w:eastAsia="en-GB"/>
        </w:rPr>
        <w:t>P</w:t>
      </w:r>
      <w:r w:rsidR="002A1FA3" w:rsidRPr="00D8107F">
        <w:rPr>
          <w:rFonts w:eastAsia="Times New Roman" w:cs="Arial"/>
          <w:color w:val="000000" w:themeColor="text1"/>
          <w:shd w:val="clear" w:color="auto" w:fill="FFFFFF"/>
          <w:lang w:eastAsia="en-GB"/>
        </w:rPr>
        <w:t xml:space="preserve">artial response (PR) </w:t>
      </w:r>
      <w:r w:rsidR="00131067" w:rsidRPr="00D8107F">
        <w:rPr>
          <w:rFonts w:eastAsia="Times New Roman" w:cs="Arial"/>
          <w:color w:val="000000" w:themeColor="text1"/>
          <w:shd w:val="clear" w:color="auto" w:fill="FFFFFF"/>
          <w:lang w:eastAsia="en-GB"/>
        </w:rPr>
        <w:t xml:space="preserve">was observed </w:t>
      </w:r>
      <w:r w:rsidR="002A1FA3" w:rsidRPr="00D8107F">
        <w:rPr>
          <w:rFonts w:eastAsia="Times New Roman" w:cs="Arial"/>
          <w:color w:val="000000" w:themeColor="text1"/>
          <w:shd w:val="clear" w:color="auto" w:fill="FFFFFF"/>
          <w:lang w:eastAsia="en-GB"/>
        </w:rPr>
        <w:t>in 15</w:t>
      </w:r>
      <w:r w:rsidR="003F466B" w:rsidRPr="00D8107F">
        <w:rPr>
          <w:rFonts w:eastAsia="Times New Roman" w:cs="Arial"/>
          <w:color w:val="000000" w:themeColor="text1"/>
          <w:shd w:val="clear" w:color="auto" w:fill="FFFFFF"/>
          <w:lang w:eastAsia="en-GB"/>
        </w:rPr>
        <w:t xml:space="preserve"> </w:t>
      </w:r>
      <w:r w:rsidR="002A1FA3" w:rsidRPr="00D8107F">
        <w:rPr>
          <w:rFonts w:eastAsia="Times New Roman" w:cs="Arial"/>
          <w:color w:val="000000" w:themeColor="text1"/>
          <w:shd w:val="clear" w:color="auto" w:fill="FFFFFF"/>
          <w:lang w:eastAsia="en-GB"/>
        </w:rPr>
        <w:t>patient</w:t>
      </w:r>
      <w:r w:rsidR="003F466B" w:rsidRPr="00D8107F">
        <w:rPr>
          <w:rFonts w:eastAsia="Times New Roman" w:cs="Arial"/>
          <w:color w:val="000000" w:themeColor="text1"/>
          <w:shd w:val="clear" w:color="auto" w:fill="FFFFFF"/>
          <w:lang w:eastAsia="en-GB"/>
        </w:rPr>
        <w:t>s</w:t>
      </w:r>
      <w:r w:rsidR="00446A15" w:rsidRPr="00D8107F">
        <w:rPr>
          <w:rFonts w:eastAsia="Times New Roman" w:cs="Arial"/>
          <w:color w:val="000000" w:themeColor="text1"/>
          <w:shd w:val="clear" w:color="auto" w:fill="FFFFFF"/>
          <w:lang w:eastAsia="en-GB"/>
        </w:rPr>
        <w:t xml:space="preserve"> (</w:t>
      </w:r>
      <w:r w:rsidR="009C0A8A" w:rsidRPr="00D8107F">
        <w:rPr>
          <w:rFonts w:eastAsia="Times New Roman" w:cs="Arial"/>
          <w:color w:val="000000" w:themeColor="text1"/>
          <w:shd w:val="clear" w:color="auto" w:fill="FFFFFF"/>
          <w:lang w:eastAsia="en-GB"/>
        </w:rPr>
        <w:t>28</w:t>
      </w:r>
      <w:r w:rsidR="00446A15" w:rsidRPr="00D8107F">
        <w:rPr>
          <w:rFonts w:eastAsia="Times New Roman" w:cs="Arial"/>
          <w:color w:val="000000" w:themeColor="text1"/>
          <w:shd w:val="clear" w:color="auto" w:fill="FFFFFF"/>
          <w:lang w:eastAsia="en-GB"/>
        </w:rPr>
        <w:t>%)</w:t>
      </w:r>
      <w:r w:rsidR="002A1FA3" w:rsidRPr="00D8107F">
        <w:rPr>
          <w:rFonts w:eastAsia="Times New Roman" w:cs="Arial"/>
          <w:color w:val="000000" w:themeColor="text1"/>
          <w:shd w:val="clear" w:color="auto" w:fill="FFFFFF"/>
          <w:lang w:eastAsia="en-GB"/>
        </w:rPr>
        <w:t>, stable disease (SD) in 2</w:t>
      </w:r>
      <w:r w:rsidR="00180C00" w:rsidRPr="00D8107F">
        <w:rPr>
          <w:rFonts w:eastAsia="Times New Roman" w:cs="Arial"/>
          <w:color w:val="000000" w:themeColor="text1"/>
          <w:shd w:val="clear" w:color="auto" w:fill="FFFFFF"/>
          <w:lang w:eastAsia="en-GB"/>
        </w:rPr>
        <w:t>4</w:t>
      </w:r>
      <w:r w:rsidR="003F466B" w:rsidRPr="00D8107F">
        <w:rPr>
          <w:rFonts w:eastAsia="Times New Roman" w:cs="Arial"/>
          <w:color w:val="000000" w:themeColor="text1"/>
          <w:shd w:val="clear" w:color="auto" w:fill="FFFFFF"/>
          <w:lang w:eastAsia="en-GB"/>
        </w:rPr>
        <w:t xml:space="preserve"> </w:t>
      </w:r>
      <w:r w:rsidR="009C0A8A" w:rsidRPr="00D8107F">
        <w:rPr>
          <w:rFonts w:eastAsia="Times New Roman" w:cs="Arial"/>
          <w:color w:val="000000" w:themeColor="text1"/>
          <w:shd w:val="clear" w:color="auto" w:fill="FFFFFF"/>
          <w:lang w:eastAsia="en-GB"/>
        </w:rPr>
        <w:t>(</w:t>
      </w:r>
      <w:r w:rsidR="007F1507" w:rsidRPr="00D8107F">
        <w:rPr>
          <w:rFonts w:eastAsia="Times New Roman" w:cs="Arial"/>
          <w:color w:val="000000" w:themeColor="text1"/>
          <w:shd w:val="clear" w:color="auto" w:fill="FFFFFF"/>
          <w:lang w:eastAsia="en-GB"/>
        </w:rPr>
        <w:t xml:space="preserve">44%) </w:t>
      </w:r>
      <w:r w:rsidR="002A1FA3" w:rsidRPr="00D8107F">
        <w:rPr>
          <w:rFonts w:eastAsia="Times New Roman" w:cs="Arial"/>
          <w:color w:val="000000" w:themeColor="text1"/>
          <w:shd w:val="clear" w:color="auto" w:fill="FFFFFF"/>
          <w:lang w:eastAsia="en-GB"/>
        </w:rPr>
        <w:t xml:space="preserve">patients and progressive disease (PD) in </w:t>
      </w:r>
      <w:r w:rsidR="004566BA" w:rsidRPr="00D8107F">
        <w:rPr>
          <w:rFonts w:eastAsia="Times New Roman" w:cs="Arial"/>
          <w:color w:val="000000" w:themeColor="text1"/>
          <w:shd w:val="clear" w:color="auto" w:fill="FFFFFF"/>
          <w:lang w:eastAsia="en-GB"/>
        </w:rPr>
        <w:t>7</w:t>
      </w:r>
      <w:r w:rsidR="003F466B" w:rsidRPr="00D8107F">
        <w:rPr>
          <w:rFonts w:eastAsia="Times New Roman" w:cs="Arial"/>
          <w:color w:val="000000" w:themeColor="text1"/>
          <w:shd w:val="clear" w:color="auto" w:fill="FFFFFF"/>
          <w:lang w:eastAsia="en-GB"/>
        </w:rPr>
        <w:t xml:space="preserve"> </w:t>
      </w:r>
      <w:r w:rsidR="009C0A8A" w:rsidRPr="00D8107F">
        <w:rPr>
          <w:rFonts w:eastAsia="Times New Roman" w:cs="Arial"/>
          <w:color w:val="000000" w:themeColor="text1"/>
          <w:shd w:val="clear" w:color="auto" w:fill="FFFFFF"/>
          <w:lang w:eastAsia="en-GB"/>
        </w:rPr>
        <w:t xml:space="preserve">(13%) </w:t>
      </w:r>
      <w:r w:rsidR="002A1FA3" w:rsidRPr="00D8107F">
        <w:rPr>
          <w:rFonts w:eastAsia="Times New Roman" w:cs="Arial"/>
          <w:color w:val="000000" w:themeColor="text1"/>
          <w:shd w:val="clear" w:color="auto" w:fill="FFFFFF"/>
          <w:lang w:eastAsia="en-GB"/>
        </w:rPr>
        <w:t>patien</w:t>
      </w:r>
      <w:r w:rsidR="004566BA" w:rsidRPr="00D8107F">
        <w:rPr>
          <w:rFonts w:eastAsia="Times New Roman" w:cs="Arial"/>
          <w:color w:val="000000" w:themeColor="text1"/>
          <w:shd w:val="clear" w:color="auto" w:fill="FFFFFF"/>
          <w:lang w:eastAsia="en-GB"/>
        </w:rPr>
        <w:t>ts. Response was not evaluable in</w:t>
      </w:r>
      <w:r w:rsidR="00D536FD" w:rsidRPr="00D8107F">
        <w:rPr>
          <w:rFonts w:eastAsia="Times New Roman" w:cs="Arial"/>
          <w:color w:val="000000" w:themeColor="text1"/>
          <w:shd w:val="clear" w:color="auto" w:fill="FFFFFF"/>
          <w:lang w:eastAsia="en-GB"/>
        </w:rPr>
        <w:t xml:space="preserve"> 8</w:t>
      </w:r>
      <w:r w:rsidR="007F1507" w:rsidRPr="00D8107F">
        <w:rPr>
          <w:rFonts w:eastAsia="Times New Roman" w:cs="Arial"/>
          <w:color w:val="000000" w:themeColor="text1"/>
          <w:shd w:val="clear" w:color="auto" w:fill="FFFFFF"/>
          <w:lang w:eastAsia="en-GB"/>
        </w:rPr>
        <w:t xml:space="preserve"> (15%)</w:t>
      </w:r>
      <w:r w:rsidR="00D536FD" w:rsidRPr="00D8107F">
        <w:rPr>
          <w:rFonts w:eastAsia="Times New Roman" w:cs="Arial"/>
          <w:color w:val="000000" w:themeColor="text1"/>
          <w:shd w:val="clear" w:color="auto" w:fill="FFFFFF"/>
          <w:lang w:eastAsia="en-GB"/>
        </w:rPr>
        <w:t xml:space="preserve"> </w:t>
      </w:r>
      <w:r w:rsidR="004566BA" w:rsidRPr="00D8107F">
        <w:rPr>
          <w:rFonts w:eastAsia="Times New Roman" w:cs="Arial"/>
          <w:color w:val="000000" w:themeColor="text1"/>
          <w:shd w:val="clear" w:color="auto" w:fill="FFFFFF"/>
          <w:lang w:eastAsia="en-GB"/>
        </w:rPr>
        <w:t>patients</w:t>
      </w:r>
      <w:r w:rsidR="00D762AB" w:rsidRPr="00D8107F">
        <w:rPr>
          <w:rFonts w:eastAsia="Times New Roman" w:cs="Arial"/>
          <w:color w:val="000000" w:themeColor="text1"/>
          <w:shd w:val="clear" w:color="auto" w:fill="FFFFFF"/>
          <w:lang w:eastAsia="en-GB"/>
        </w:rPr>
        <w:t>.</w:t>
      </w:r>
      <w:r w:rsidR="00415F01" w:rsidRPr="00D8107F">
        <w:rPr>
          <w:rFonts w:eastAsia="Times New Roman" w:cs="Times New Roman"/>
          <w:color w:val="000000" w:themeColor="text1"/>
          <w:lang w:eastAsia="en-GB"/>
        </w:rPr>
        <w:t xml:space="preserve"> </w:t>
      </w:r>
      <w:r w:rsidR="005713E9" w:rsidRPr="00D8107F">
        <w:rPr>
          <w:rFonts w:eastAsia="Times New Roman" w:cs="Times New Roman"/>
          <w:color w:val="000000" w:themeColor="text1"/>
          <w:lang w:eastAsia="en-GB"/>
        </w:rPr>
        <w:t>The median</w:t>
      </w:r>
      <w:r w:rsidR="007F1507" w:rsidRPr="00D8107F">
        <w:rPr>
          <w:rFonts w:eastAsia="Times New Roman" w:cs="Times New Roman"/>
          <w:color w:val="000000" w:themeColor="text1"/>
          <w:lang w:eastAsia="en-GB"/>
        </w:rPr>
        <w:t xml:space="preserve"> blood</w:t>
      </w:r>
      <w:r w:rsidR="005713E9" w:rsidRPr="00D8107F">
        <w:rPr>
          <w:rFonts w:eastAsia="Times New Roman" w:cs="Times New Roman"/>
          <w:color w:val="000000" w:themeColor="text1"/>
          <w:lang w:eastAsia="en-GB"/>
        </w:rPr>
        <w:t xml:space="preserve"> somatostatin </w:t>
      </w:r>
      <w:r w:rsidR="007F1507" w:rsidRPr="00D8107F">
        <w:rPr>
          <w:rFonts w:eastAsia="Times New Roman" w:cs="Times New Roman"/>
          <w:color w:val="000000" w:themeColor="text1"/>
          <w:lang w:eastAsia="en-GB"/>
        </w:rPr>
        <w:t xml:space="preserve">level </w:t>
      </w:r>
      <w:r w:rsidR="005713E9" w:rsidRPr="00D8107F">
        <w:rPr>
          <w:rFonts w:eastAsia="Times New Roman" w:cs="Times New Roman"/>
          <w:color w:val="000000" w:themeColor="text1"/>
          <w:lang w:eastAsia="en-GB"/>
        </w:rPr>
        <w:t xml:space="preserve">at baseline was </w:t>
      </w:r>
      <w:r w:rsidR="007F1507" w:rsidRPr="00D8107F">
        <w:rPr>
          <w:rFonts w:eastAsia="Times New Roman" w:cs="Times New Roman"/>
          <w:color w:val="000000" w:themeColor="text1"/>
          <w:lang w:eastAsia="en-GB"/>
        </w:rPr>
        <w:t xml:space="preserve">55pg/ml </w:t>
      </w:r>
      <w:r w:rsidR="005713E9" w:rsidRPr="00D8107F">
        <w:rPr>
          <w:rFonts w:eastAsia="Times New Roman" w:cs="Times New Roman"/>
          <w:color w:val="000000" w:themeColor="text1"/>
          <w:lang w:eastAsia="en-GB"/>
        </w:rPr>
        <w:t xml:space="preserve">(range 10-731). </w:t>
      </w:r>
      <w:r w:rsidR="00C21394" w:rsidRPr="00D8107F">
        <w:rPr>
          <w:rFonts w:eastAsia="Times New Roman" w:cs="Times New Roman"/>
          <w:color w:val="000000" w:themeColor="text1"/>
          <w:lang w:eastAsia="en-GB"/>
        </w:rPr>
        <w:t>Tumours were grade 1 in 20 patients</w:t>
      </w:r>
      <w:r w:rsidR="00446A15" w:rsidRPr="00D8107F">
        <w:rPr>
          <w:rFonts w:eastAsia="Times New Roman" w:cs="Times New Roman"/>
          <w:color w:val="000000" w:themeColor="text1"/>
          <w:lang w:eastAsia="en-GB"/>
        </w:rPr>
        <w:t xml:space="preserve"> (</w:t>
      </w:r>
      <w:r w:rsidR="007F1507" w:rsidRPr="00D8107F">
        <w:rPr>
          <w:rFonts w:eastAsia="Times New Roman" w:cs="Times New Roman"/>
          <w:color w:val="000000" w:themeColor="text1"/>
          <w:lang w:eastAsia="en-GB"/>
        </w:rPr>
        <w:t>36</w:t>
      </w:r>
      <w:r w:rsidR="00446A15" w:rsidRPr="00D8107F">
        <w:rPr>
          <w:rFonts w:eastAsia="Times New Roman" w:cs="Times New Roman"/>
          <w:color w:val="000000" w:themeColor="text1"/>
          <w:lang w:eastAsia="en-GB"/>
        </w:rPr>
        <w:t>%)</w:t>
      </w:r>
      <w:r w:rsidR="00C21394" w:rsidRPr="00D8107F">
        <w:rPr>
          <w:rFonts w:eastAsia="Times New Roman" w:cs="Times New Roman"/>
          <w:color w:val="000000" w:themeColor="text1"/>
          <w:lang w:eastAsia="en-GB"/>
        </w:rPr>
        <w:t xml:space="preserve">, grade 2 in 16 </w:t>
      </w:r>
      <w:r w:rsidR="007F1507" w:rsidRPr="00D8107F">
        <w:rPr>
          <w:rFonts w:eastAsia="Times New Roman" w:cs="Times New Roman"/>
          <w:color w:val="000000" w:themeColor="text1"/>
          <w:lang w:eastAsia="en-GB"/>
        </w:rPr>
        <w:t xml:space="preserve">(29%) </w:t>
      </w:r>
      <w:r w:rsidR="00C21394" w:rsidRPr="00D8107F">
        <w:rPr>
          <w:rFonts w:eastAsia="Times New Roman" w:cs="Times New Roman"/>
          <w:color w:val="000000" w:themeColor="text1"/>
          <w:lang w:eastAsia="en-GB"/>
        </w:rPr>
        <w:t xml:space="preserve">patients, grade 3 in 2 </w:t>
      </w:r>
      <w:r w:rsidR="007F1507" w:rsidRPr="00D8107F">
        <w:rPr>
          <w:rFonts w:eastAsia="Times New Roman" w:cs="Times New Roman"/>
          <w:color w:val="000000" w:themeColor="text1"/>
          <w:lang w:eastAsia="en-GB"/>
        </w:rPr>
        <w:t xml:space="preserve">(4%) </w:t>
      </w:r>
      <w:r w:rsidR="00C21394" w:rsidRPr="00D8107F">
        <w:rPr>
          <w:rFonts w:eastAsia="Times New Roman" w:cs="Times New Roman"/>
          <w:color w:val="000000" w:themeColor="text1"/>
          <w:lang w:eastAsia="en-GB"/>
        </w:rPr>
        <w:t>patients and grade unknown in 1</w:t>
      </w:r>
      <w:r w:rsidR="00730A52" w:rsidRPr="00D8107F">
        <w:rPr>
          <w:rFonts w:eastAsia="Times New Roman" w:cs="Times New Roman"/>
          <w:color w:val="000000" w:themeColor="text1"/>
          <w:lang w:eastAsia="en-GB"/>
        </w:rPr>
        <w:t>7</w:t>
      </w:r>
      <w:r w:rsidR="007F1507" w:rsidRPr="00D8107F">
        <w:rPr>
          <w:rFonts w:eastAsia="Times New Roman" w:cs="Times New Roman"/>
          <w:color w:val="000000" w:themeColor="text1"/>
          <w:lang w:eastAsia="en-GB"/>
        </w:rPr>
        <w:t xml:space="preserve"> (31%)</w:t>
      </w:r>
      <w:r w:rsidR="00C21394" w:rsidRPr="00D8107F">
        <w:rPr>
          <w:rFonts w:eastAsia="Times New Roman" w:cs="Times New Roman"/>
          <w:color w:val="000000" w:themeColor="text1"/>
          <w:lang w:eastAsia="en-GB"/>
        </w:rPr>
        <w:t xml:space="preserve"> patients. The median Ki67% value was 3 (range 1-35). </w:t>
      </w:r>
    </w:p>
    <w:p w14:paraId="1431C20B" w14:textId="42E313A8" w:rsidR="005A0CE2" w:rsidRPr="00D8107F" w:rsidRDefault="00A212B9" w:rsidP="00D8107F">
      <w:pPr>
        <w:spacing w:after="240" w:line="480" w:lineRule="auto"/>
        <w:jc w:val="both"/>
        <w:rPr>
          <w:rFonts w:eastAsia="Times New Roman" w:cs="Times New Roman"/>
          <w:b/>
          <w:color w:val="000000" w:themeColor="text1"/>
          <w:lang w:eastAsia="en-GB"/>
        </w:rPr>
      </w:pPr>
      <w:r w:rsidRPr="00D8107F">
        <w:rPr>
          <w:rFonts w:eastAsia="Times New Roman" w:cs="Times New Roman"/>
          <w:b/>
          <w:color w:val="000000" w:themeColor="text1"/>
          <w:lang w:eastAsia="en-GB"/>
        </w:rPr>
        <w:lastRenderedPageBreak/>
        <w:t>Survival analyses and IBI</w:t>
      </w:r>
    </w:p>
    <w:p w14:paraId="156CA945" w14:textId="2CA8E307" w:rsidR="003A7721" w:rsidRPr="00D8107F" w:rsidRDefault="003A7721" w:rsidP="00D8107F">
      <w:pPr>
        <w:spacing w:after="240" w:line="480" w:lineRule="auto"/>
        <w:jc w:val="both"/>
        <w:rPr>
          <w:rFonts w:eastAsia="Times New Roman" w:cs="Times New Roman"/>
          <w:color w:val="000000" w:themeColor="text1"/>
          <w:lang w:eastAsia="en-GB"/>
        </w:rPr>
      </w:pPr>
      <w:r w:rsidRPr="00D8107F">
        <w:rPr>
          <w:rFonts w:eastAsia="Times New Roman" w:cs="Times New Roman"/>
          <w:color w:val="000000" w:themeColor="text1"/>
          <w:lang w:eastAsia="en-GB"/>
        </w:rPr>
        <w:t xml:space="preserve">IBI score </w:t>
      </w:r>
      <w:r w:rsidR="00461088" w:rsidRPr="00D8107F">
        <w:rPr>
          <w:rFonts w:eastAsia="Times New Roman" w:cs="Times New Roman"/>
          <w:color w:val="000000" w:themeColor="text1"/>
          <w:lang w:eastAsia="en-GB"/>
        </w:rPr>
        <w:t xml:space="preserve">was available </w:t>
      </w:r>
      <w:r w:rsidR="003249BD" w:rsidRPr="00D8107F">
        <w:rPr>
          <w:rFonts w:eastAsia="Times New Roman" w:cs="Times New Roman"/>
          <w:color w:val="000000" w:themeColor="text1"/>
          <w:lang w:eastAsia="en-GB"/>
        </w:rPr>
        <w:t>for 5</w:t>
      </w:r>
      <w:r w:rsidR="00730A52" w:rsidRPr="00D8107F">
        <w:rPr>
          <w:rFonts w:eastAsia="Times New Roman" w:cs="Times New Roman"/>
          <w:color w:val="000000" w:themeColor="text1"/>
          <w:lang w:eastAsia="en-GB"/>
        </w:rPr>
        <w:t>3</w:t>
      </w:r>
      <w:r w:rsidR="004756B2" w:rsidRPr="00D8107F">
        <w:rPr>
          <w:rFonts w:eastAsia="Times New Roman" w:cs="Times New Roman"/>
          <w:color w:val="000000" w:themeColor="text1"/>
          <w:lang w:eastAsia="en-GB"/>
        </w:rPr>
        <w:t xml:space="preserve"> (96%)</w:t>
      </w:r>
      <w:r w:rsidR="003249BD" w:rsidRPr="00D8107F">
        <w:rPr>
          <w:rFonts w:eastAsia="Times New Roman" w:cs="Times New Roman"/>
          <w:color w:val="000000" w:themeColor="text1"/>
          <w:lang w:eastAsia="en-GB"/>
        </w:rPr>
        <w:t xml:space="preserve"> patients at baseline, </w:t>
      </w:r>
      <w:r w:rsidR="00642C64" w:rsidRPr="00D8107F">
        <w:rPr>
          <w:rFonts w:eastAsia="Times New Roman" w:cs="Times New Roman"/>
          <w:color w:val="000000" w:themeColor="text1"/>
          <w:lang w:eastAsia="en-GB"/>
        </w:rPr>
        <w:t>5</w:t>
      </w:r>
      <w:r w:rsidR="00931CCF" w:rsidRPr="00D8107F">
        <w:rPr>
          <w:rFonts w:eastAsia="Times New Roman" w:cs="Times New Roman"/>
          <w:color w:val="000000" w:themeColor="text1"/>
          <w:lang w:eastAsia="en-GB"/>
        </w:rPr>
        <w:t>0</w:t>
      </w:r>
      <w:r w:rsidR="00642C64" w:rsidRPr="00D8107F">
        <w:rPr>
          <w:rFonts w:eastAsia="Times New Roman" w:cs="Times New Roman"/>
          <w:color w:val="000000" w:themeColor="text1"/>
          <w:lang w:eastAsia="en-GB"/>
        </w:rPr>
        <w:t xml:space="preserve"> </w:t>
      </w:r>
      <w:r w:rsidR="00446A15" w:rsidRPr="00D8107F">
        <w:rPr>
          <w:rFonts w:eastAsia="Times New Roman" w:cs="Times New Roman"/>
          <w:color w:val="000000" w:themeColor="text1"/>
          <w:lang w:eastAsia="en-GB"/>
        </w:rPr>
        <w:t>(</w:t>
      </w:r>
      <w:r w:rsidR="004756B2" w:rsidRPr="00D8107F">
        <w:rPr>
          <w:rFonts w:eastAsia="Times New Roman" w:cs="Times New Roman"/>
          <w:color w:val="000000" w:themeColor="text1"/>
          <w:lang w:eastAsia="en-GB"/>
        </w:rPr>
        <w:t>91</w:t>
      </w:r>
      <w:r w:rsidR="00446A15" w:rsidRPr="00D8107F">
        <w:rPr>
          <w:rFonts w:eastAsia="Times New Roman" w:cs="Times New Roman"/>
          <w:color w:val="000000" w:themeColor="text1"/>
          <w:lang w:eastAsia="en-GB"/>
        </w:rPr>
        <w:t xml:space="preserve">%) </w:t>
      </w:r>
      <w:r w:rsidR="00642C64" w:rsidRPr="00D8107F">
        <w:rPr>
          <w:rFonts w:eastAsia="Times New Roman" w:cs="Times New Roman"/>
          <w:color w:val="000000" w:themeColor="text1"/>
          <w:lang w:eastAsia="en-GB"/>
        </w:rPr>
        <w:t>patients after 2 PRRT cycles and 3</w:t>
      </w:r>
      <w:r w:rsidR="00730A52" w:rsidRPr="00D8107F">
        <w:rPr>
          <w:rFonts w:eastAsia="Times New Roman" w:cs="Times New Roman"/>
          <w:color w:val="000000" w:themeColor="text1"/>
          <w:lang w:eastAsia="en-GB"/>
        </w:rPr>
        <w:t>8</w:t>
      </w:r>
      <w:r w:rsidR="00642C64" w:rsidRPr="00D8107F">
        <w:rPr>
          <w:rFonts w:eastAsia="Times New Roman" w:cs="Times New Roman"/>
          <w:color w:val="000000" w:themeColor="text1"/>
          <w:lang w:eastAsia="en-GB"/>
        </w:rPr>
        <w:t xml:space="preserve"> </w:t>
      </w:r>
      <w:r w:rsidR="004756B2" w:rsidRPr="00D8107F">
        <w:rPr>
          <w:rFonts w:eastAsia="Times New Roman" w:cs="Times New Roman"/>
          <w:color w:val="000000" w:themeColor="text1"/>
          <w:lang w:eastAsia="en-GB"/>
        </w:rPr>
        <w:t xml:space="preserve">(69%) </w:t>
      </w:r>
      <w:r w:rsidR="00642C64" w:rsidRPr="00D8107F">
        <w:rPr>
          <w:rFonts w:eastAsia="Times New Roman" w:cs="Times New Roman"/>
          <w:color w:val="000000" w:themeColor="text1"/>
          <w:lang w:eastAsia="en-GB"/>
        </w:rPr>
        <w:t xml:space="preserve">patients after </w:t>
      </w:r>
      <w:r w:rsidR="00730A52" w:rsidRPr="00D8107F">
        <w:rPr>
          <w:rFonts w:eastAsia="Times New Roman" w:cs="Times New Roman"/>
          <w:color w:val="000000" w:themeColor="text1"/>
          <w:lang w:eastAsia="en-GB"/>
        </w:rPr>
        <w:t>3</w:t>
      </w:r>
      <w:r w:rsidR="00642C64" w:rsidRPr="00D8107F">
        <w:rPr>
          <w:rFonts w:eastAsia="Times New Roman" w:cs="Times New Roman"/>
          <w:color w:val="000000" w:themeColor="text1"/>
          <w:lang w:eastAsia="en-GB"/>
        </w:rPr>
        <w:t xml:space="preserve">-4 cycles. </w:t>
      </w:r>
      <w:r w:rsidR="00D159A6" w:rsidRPr="00D8107F">
        <w:rPr>
          <w:rFonts w:eastAsia="Times New Roman" w:cs="Times New Roman"/>
          <w:color w:val="000000" w:themeColor="text1"/>
          <w:lang w:eastAsia="en-GB"/>
        </w:rPr>
        <w:t>Of the 5</w:t>
      </w:r>
      <w:r w:rsidR="00730A52" w:rsidRPr="00D8107F">
        <w:rPr>
          <w:rFonts w:eastAsia="Times New Roman" w:cs="Times New Roman"/>
          <w:color w:val="000000" w:themeColor="text1"/>
          <w:lang w:eastAsia="en-GB"/>
        </w:rPr>
        <w:t>3</w:t>
      </w:r>
      <w:r w:rsidR="00D159A6" w:rsidRPr="00D8107F">
        <w:rPr>
          <w:rFonts w:eastAsia="Times New Roman" w:cs="Times New Roman"/>
          <w:color w:val="000000" w:themeColor="text1"/>
          <w:lang w:eastAsia="en-GB"/>
        </w:rPr>
        <w:t xml:space="preserve"> patients with an available baseline IBI score, </w:t>
      </w:r>
      <w:r w:rsidRPr="00D8107F">
        <w:rPr>
          <w:rFonts w:eastAsia="Times New Roman" w:cs="Times New Roman"/>
          <w:color w:val="000000" w:themeColor="text1"/>
          <w:lang w:eastAsia="en-GB"/>
        </w:rPr>
        <w:t>3</w:t>
      </w:r>
      <w:r w:rsidR="00931CCF" w:rsidRPr="00D8107F">
        <w:rPr>
          <w:rFonts w:eastAsia="Times New Roman" w:cs="Times New Roman"/>
          <w:color w:val="000000" w:themeColor="text1"/>
          <w:lang w:eastAsia="en-GB"/>
        </w:rPr>
        <w:t>5</w:t>
      </w:r>
      <w:r w:rsidR="00642C64" w:rsidRPr="00D8107F">
        <w:rPr>
          <w:rFonts w:eastAsia="Times New Roman" w:cs="Times New Roman"/>
          <w:color w:val="000000" w:themeColor="text1"/>
          <w:lang w:eastAsia="en-GB"/>
        </w:rPr>
        <w:t xml:space="preserve"> </w:t>
      </w:r>
      <w:r w:rsidR="00C52025" w:rsidRPr="00D8107F">
        <w:rPr>
          <w:rFonts w:eastAsia="Times New Roman" w:cs="Times New Roman"/>
          <w:color w:val="000000" w:themeColor="text1"/>
          <w:lang w:eastAsia="en-GB"/>
        </w:rPr>
        <w:t>(</w:t>
      </w:r>
      <w:r w:rsidR="00A212B9" w:rsidRPr="00D8107F">
        <w:rPr>
          <w:rFonts w:eastAsia="Times New Roman" w:cs="Times New Roman"/>
          <w:color w:val="000000" w:themeColor="text1"/>
          <w:lang w:eastAsia="en-GB"/>
        </w:rPr>
        <w:t>66</w:t>
      </w:r>
      <w:r w:rsidR="00C52025" w:rsidRPr="00D8107F">
        <w:rPr>
          <w:rFonts w:eastAsia="Times New Roman" w:cs="Times New Roman"/>
          <w:color w:val="000000" w:themeColor="text1"/>
          <w:lang w:eastAsia="en-GB"/>
        </w:rPr>
        <w:t xml:space="preserve">%) </w:t>
      </w:r>
      <w:r w:rsidRPr="00D8107F">
        <w:rPr>
          <w:rFonts w:eastAsia="Times New Roman" w:cs="Times New Roman"/>
          <w:color w:val="000000" w:themeColor="text1"/>
          <w:lang w:eastAsia="en-GB"/>
        </w:rPr>
        <w:t xml:space="preserve">had </w:t>
      </w:r>
      <w:r w:rsidR="00D159A6" w:rsidRPr="00D8107F">
        <w:rPr>
          <w:rFonts w:eastAsia="Times New Roman" w:cs="Times New Roman"/>
          <w:color w:val="000000" w:themeColor="text1"/>
          <w:lang w:eastAsia="en-GB"/>
        </w:rPr>
        <w:t>a</w:t>
      </w:r>
      <w:r w:rsidRPr="00D8107F">
        <w:rPr>
          <w:rFonts w:eastAsia="Times New Roman" w:cs="Times New Roman"/>
          <w:color w:val="000000" w:themeColor="text1"/>
          <w:lang w:eastAsia="en-GB"/>
        </w:rPr>
        <w:t xml:space="preserve"> score of 0, 9</w:t>
      </w:r>
      <w:r w:rsidR="00931CCF" w:rsidRPr="00D8107F">
        <w:rPr>
          <w:rFonts w:eastAsia="Times New Roman" w:cs="Times New Roman"/>
          <w:color w:val="000000" w:themeColor="text1"/>
          <w:lang w:eastAsia="en-GB"/>
        </w:rPr>
        <w:t xml:space="preserve"> </w:t>
      </w:r>
      <w:r w:rsidR="00A212B9" w:rsidRPr="00D8107F">
        <w:rPr>
          <w:rFonts w:eastAsia="Times New Roman" w:cs="Times New Roman"/>
          <w:color w:val="000000" w:themeColor="text1"/>
          <w:lang w:eastAsia="en-GB"/>
        </w:rPr>
        <w:t xml:space="preserve">(17%) </w:t>
      </w:r>
      <w:r w:rsidR="00931CCF" w:rsidRPr="00D8107F">
        <w:rPr>
          <w:rFonts w:eastAsia="Times New Roman" w:cs="Times New Roman"/>
          <w:color w:val="000000" w:themeColor="text1"/>
          <w:lang w:eastAsia="en-GB"/>
        </w:rPr>
        <w:t>had</w:t>
      </w:r>
      <w:r w:rsidR="00642C64" w:rsidRPr="00D8107F">
        <w:rPr>
          <w:rFonts w:eastAsia="Times New Roman" w:cs="Times New Roman"/>
          <w:color w:val="000000" w:themeColor="text1"/>
          <w:lang w:eastAsia="en-GB"/>
        </w:rPr>
        <w:t xml:space="preserve"> </w:t>
      </w:r>
      <w:r w:rsidRPr="00D8107F">
        <w:rPr>
          <w:rFonts w:eastAsia="Times New Roman" w:cs="Times New Roman"/>
          <w:color w:val="000000" w:themeColor="text1"/>
          <w:lang w:eastAsia="en-GB"/>
        </w:rPr>
        <w:t xml:space="preserve">a score of 1 and </w:t>
      </w:r>
      <w:r w:rsidR="00161EF5" w:rsidRPr="00D8107F">
        <w:rPr>
          <w:rFonts w:eastAsia="Times New Roman" w:cs="Times New Roman"/>
          <w:color w:val="000000" w:themeColor="text1"/>
          <w:lang w:eastAsia="en-GB"/>
        </w:rPr>
        <w:t>9</w:t>
      </w:r>
      <w:r w:rsidRPr="00D8107F">
        <w:rPr>
          <w:rFonts w:eastAsia="Times New Roman" w:cs="Times New Roman"/>
          <w:color w:val="000000" w:themeColor="text1"/>
          <w:lang w:eastAsia="en-GB"/>
        </w:rPr>
        <w:t xml:space="preserve"> </w:t>
      </w:r>
      <w:r w:rsidR="00A212B9" w:rsidRPr="00D8107F">
        <w:rPr>
          <w:rFonts w:eastAsia="Times New Roman" w:cs="Times New Roman"/>
          <w:color w:val="000000" w:themeColor="text1"/>
          <w:lang w:eastAsia="en-GB"/>
        </w:rPr>
        <w:t xml:space="preserve">(17%) </w:t>
      </w:r>
      <w:r w:rsidR="00931CCF" w:rsidRPr="00D8107F">
        <w:rPr>
          <w:rFonts w:eastAsia="Times New Roman" w:cs="Times New Roman"/>
          <w:color w:val="000000" w:themeColor="text1"/>
          <w:lang w:eastAsia="en-GB"/>
        </w:rPr>
        <w:t xml:space="preserve">had </w:t>
      </w:r>
      <w:r w:rsidRPr="00D8107F">
        <w:rPr>
          <w:rFonts w:eastAsia="Times New Roman" w:cs="Times New Roman"/>
          <w:color w:val="000000" w:themeColor="text1"/>
          <w:lang w:eastAsia="en-GB"/>
        </w:rPr>
        <w:t>a score of 2</w:t>
      </w:r>
      <w:r w:rsidR="00A40E31" w:rsidRPr="00D8107F">
        <w:rPr>
          <w:rFonts w:eastAsia="Times New Roman" w:cs="Times New Roman"/>
          <w:color w:val="000000" w:themeColor="text1"/>
          <w:lang w:eastAsia="en-GB"/>
        </w:rPr>
        <w:t xml:space="preserve"> </w:t>
      </w:r>
      <w:r w:rsidRPr="00D8107F">
        <w:rPr>
          <w:rFonts w:eastAsia="Times New Roman" w:cs="Times New Roman"/>
          <w:color w:val="000000" w:themeColor="text1"/>
          <w:lang w:eastAsia="en-GB"/>
        </w:rPr>
        <w:t xml:space="preserve">(Table </w:t>
      </w:r>
      <w:r w:rsidR="00AB59F7" w:rsidRPr="00D8107F">
        <w:rPr>
          <w:rFonts w:eastAsia="Times New Roman" w:cs="Times New Roman"/>
          <w:color w:val="000000" w:themeColor="text1"/>
          <w:lang w:eastAsia="en-GB"/>
        </w:rPr>
        <w:t>2</w:t>
      </w:r>
      <w:r w:rsidRPr="00D8107F">
        <w:rPr>
          <w:rFonts w:eastAsia="Times New Roman" w:cs="Times New Roman"/>
          <w:color w:val="000000" w:themeColor="text1"/>
          <w:lang w:eastAsia="en-GB"/>
        </w:rPr>
        <w:t xml:space="preserve">). </w:t>
      </w:r>
      <w:r w:rsidR="00730A52" w:rsidRPr="00D8107F">
        <w:rPr>
          <w:rFonts w:eastAsia="Times New Roman" w:cs="Times New Roman"/>
          <w:color w:val="000000" w:themeColor="text1"/>
          <w:lang w:eastAsia="en-GB"/>
        </w:rPr>
        <w:t>Raised</w:t>
      </w:r>
      <w:r w:rsidR="00C52025" w:rsidRPr="00D8107F">
        <w:rPr>
          <w:rFonts w:eastAsia="Times New Roman" w:cs="Times New Roman"/>
          <w:color w:val="000000" w:themeColor="text1"/>
          <w:lang w:eastAsia="en-GB"/>
        </w:rPr>
        <w:t xml:space="preserve"> baseline IBI score was associated with </w:t>
      </w:r>
      <w:r w:rsidR="001140FF" w:rsidRPr="00D8107F">
        <w:rPr>
          <w:rFonts w:eastAsia="Times New Roman" w:cs="Times New Roman"/>
          <w:color w:val="000000" w:themeColor="text1"/>
          <w:lang w:eastAsia="en-GB"/>
        </w:rPr>
        <w:t>greater risk of disease progression</w:t>
      </w:r>
      <w:r w:rsidR="00C52025" w:rsidRPr="00D8107F">
        <w:rPr>
          <w:rFonts w:eastAsia="Times New Roman" w:cs="Times New Roman"/>
          <w:color w:val="000000" w:themeColor="text1"/>
          <w:lang w:eastAsia="en-GB"/>
        </w:rPr>
        <w:t xml:space="preserve"> (</w:t>
      </w:r>
      <w:r w:rsidR="002F6899" w:rsidRPr="00D8107F">
        <w:rPr>
          <w:rFonts w:eastAsia="Times New Roman" w:cs="Times New Roman"/>
          <w:color w:val="000000" w:themeColor="text1"/>
          <w:lang w:eastAsia="en-GB"/>
        </w:rPr>
        <w:t xml:space="preserve">Fig 1A; </w:t>
      </w:r>
      <w:r w:rsidR="00C52025" w:rsidRPr="00D8107F">
        <w:rPr>
          <w:rFonts w:eastAsia="Times New Roman" w:cs="Times New Roman"/>
          <w:color w:val="000000" w:themeColor="text1"/>
          <w:lang w:eastAsia="en-GB"/>
        </w:rPr>
        <w:t xml:space="preserve">HR </w:t>
      </w:r>
      <w:r w:rsidR="00F75A76" w:rsidRPr="00D8107F">
        <w:rPr>
          <w:rFonts w:eastAsia="Times New Roman" w:cs="Times New Roman"/>
          <w:color w:val="000000" w:themeColor="text1"/>
          <w:lang w:eastAsia="en-GB"/>
        </w:rPr>
        <w:t xml:space="preserve">14.2 </w:t>
      </w:r>
      <w:r w:rsidR="00C52025" w:rsidRPr="00D8107F">
        <w:rPr>
          <w:rFonts w:eastAsia="Times New Roman" w:cs="Times New Roman"/>
          <w:color w:val="000000" w:themeColor="text1"/>
          <w:lang w:eastAsia="en-GB"/>
        </w:rPr>
        <w:t xml:space="preserve">(95% CI </w:t>
      </w:r>
      <w:r w:rsidR="00F75A76" w:rsidRPr="00D8107F">
        <w:rPr>
          <w:rFonts w:eastAsia="Times New Roman" w:cs="Times New Roman"/>
          <w:color w:val="000000" w:themeColor="text1"/>
          <w:lang w:eastAsia="en-GB"/>
        </w:rPr>
        <w:t>5.25-38.5</w:t>
      </w:r>
      <w:r w:rsidR="00C52025" w:rsidRPr="00D8107F">
        <w:rPr>
          <w:rFonts w:eastAsia="Times New Roman" w:cs="Times New Roman"/>
          <w:color w:val="000000" w:themeColor="text1"/>
          <w:lang w:eastAsia="en-GB"/>
        </w:rPr>
        <w:t xml:space="preserve">), p&lt;0.001). </w:t>
      </w:r>
      <w:r w:rsidR="001140FF" w:rsidRPr="00D8107F">
        <w:rPr>
          <w:rFonts w:eastAsia="Times New Roman" w:cs="Times New Roman"/>
          <w:color w:val="000000" w:themeColor="text1"/>
          <w:lang w:eastAsia="en-GB"/>
        </w:rPr>
        <w:t>M</w:t>
      </w:r>
      <w:r w:rsidR="00C52025" w:rsidRPr="00D8107F">
        <w:rPr>
          <w:rFonts w:eastAsia="Times New Roman" w:cs="Times New Roman"/>
          <w:color w:val="000000" w:themeColor="text1"/>
          <w:lang w:eastAsia="en-GB"/>
        </w:rPr>
        <w:t xml:space="preserve">ean PFS was </w:t>
      </w:r>
      <w:r w:rsidR="00730A52" w:rsidRPr="00D8107F">
        <w:rPr>
          <w:rFonts w:eastAsia="Times New Roman" w:cs="Times New Roman"/>
          <w:color w:val="000000" w:themeColor="text1"/>
          <w:lang w:eastAsia="en-GB"/>
        </w:rPr>
        <w:t>51.7</w:t>
      </w:r>
      <w:r w:rsidR="00C52025" w:rsidRPr="00D8107F">
        <w:rPr>
          <w:rFonts w:eastAsia="Times New Roman" w:cs="Times New Roman"/>
          <w:color w:val="000000" w:themeColor="text1"/>
          <w:lang w:eastAsia="en-GB"/>
        </w:rPr>
        <w:t xml:space="preserve"> (95% CI </w:t>
      </w:r>
      <w:r w:rsidR="00730A52" w:rsidRPr="00D8107F">
        <w:rPr>
          <w:rFonts w:eastAsia="Times New Roman" w:cs="Times New Roman"/>
          <w:color w:val="000000" w:themeColor="text1"/>
          <w:lang w:eastAsia="en-GB"/>
        </w:rPr>
        <w:t>41.6</w:t>
      </w:r>
      <w:r w:rsidR="00C52025" w:rsidRPr="00D8107F">
        <w:rPr>
          <w:rFonts w:eastAsia="Times New Roman" w:cs="Times New Roman"/>
          <w:color w:val="000000" w:themeColor="text1"/>
          <w:lang w:eastAsia="en-GB"/>
        </w:rPr>
        <w:t>-</w:t>
      </w:r>
      <w:r w:rsidR="00730A52" w:rsidRPr="00D8107F">
        <w:rPr>
          <w:rFonts w:eastAsia="Times New Roman" w:cs="Times New Roman"/>
          <w:color w:val="000000" w:themeColor="text1"/>
          <w:lang w:eastAsia="en-GB"/>
        </w:rPr>
        <w:t>71.8</w:t>
      </w:r>
      <w:r w:rsidR="00C52025" w:rsidRPr="00D8107F">
        <w:rPr>
          <w:rFonts w:eastAsia="Times New Roman" w:cs="Times New Roman"/>
          <w:color w:val="000000" w:themeColor="text1"/>
          <w:lang w:eastAsia="en-GB"/>
        </w:rPr>
        <w:t>)</w:t>
      </w:r>
      <w:r w:rsidR="001140FF" w:rsidRPr="00D8107F">
        <w:rPr>
          <w:rFonts w:eastAsia="Times New Roman" w:cs="Times New Roman"/>
          <w:color w:val="000000" w:themeColor="text1"/>
          <w:lang w:eastAsia="en-GB"/>
        </w:rPr>
        <w:t>,</w:t>
      </w:r>
      <w:r w:rsidR="00C52025" w:rsidRPr="00D8107F">
        <w:rPr>
          <w:rFonts w:eastAsia="Times New Roman" w:cs="Times New Roman"/>
          <w:color w:val="000000" w:themeColor="text1"/>
          <w:lang w:eastAsia="en-GB"/>
        </w:rPr>
        <w:t xml:space="preserve"> 11.</w:t>
      </w:r>
      <w:r w:rsidR="00730A52" w:rsidRPr="00D8107F">
        <w:rPr>
          <w:rFonts w:eastAsia="Times New Roman" w:cs="Times New Roman"/>
          <w:color w:val="000000" w:themeColor="text1"/>
          <w:lang w:eastAsia="en-GB"/>
        </w:rPr>
        <w:t>8</w:t>
      </w:r>
      <w:r w:rsidR="00C52025" w:rsidRPr="00D8107F">
        <w:rPr>
          <w:rFonts w:eastAsia="Times New Roman" w:cs="Times New Roman"/>
          <w:color w:val="000000" w:themeColor="text1"/>
          <w:lang w:eastAsia="en-GB"/>
        </w:rPr>
        <w:t xml:space="preserve"> (95% CI 7.</w:t>
      </w:r>
      <w:r w:rsidR="002F6899" w:rsidRPr="00D8107F">
        <w:rPr>
          <w:rFonts w:eastAsia="Times New Roman" w:cs="Times New Roman"/>
          <w:color w:val="000000" w:themeColor="text1"/>
          <w:lang w:eastAsia="en-GB"/>
        </w:rPr>
        <w:t>61</w:t>
      </w:r>
      <w:r w:rsidR="00C52025" w:rsidRPr="00D8107F">
        <w:rPr>
          <w:rFonts w:eastAsia="Times New Roman" w:cs="Times New Roman"/>
          <w:color w:val="000000" w:themeColor="text1"/>
          <w:lang w:eastAsia="en-GB"/>
        </w:rPr>
        <w:t>-1</w:t>
      </w:r>
      <w:r w:rsidR="002F6899" w:rsidRPr="00D8107F">
        <w:rPr>
          <w:rFonts w:eastAsia="Times New Roman" w:cs="Times New Roman"/>
          <w:color w:val="000000" w:themeColor="text1"/>
          <w:lang w:eastAsia="en-GB"/>
        </w:rPr>
        <w:t>5.9</w:t>
      </w:r>
      <w:r w:rsidR="00C52025" w:rsidRPr="00D8107F">
        <w:rPr>
          <w:rFonts w:eastAsia="Times New Roman" w:cs="Times New Roman"/>
          <w:color w:val="000000" w:themeColor="text1"/>
          <w:lang w:eastAsia="en-GB"/>
        </w:rPr>
        <w:t>)</w:t>
      </w:r>
      <w:r w:rsidR="0059282A" w:rsidRPr="00D8107F">
        <w:rPr>
          <w:rFonts w:eastAsia="Times New Roman" w:cs="Times New Roman"/>
          <w:color w:val="000000" w:themeColor="text1"/>
          <w:lang w:eastAsia="en-GB"/>
        </w:rPr>
        <w:t xml:space="preserve"> </w:t>
      </w:r>
      <w:r w:rsidR="001140FF" w:rsidRPr="00D8107F">
        <w:rPr>
          <w:rFonts w:eastAsia="Times New Roman" w:cs="Times New Roman"/>
          <w:color w:val="000000" w:themeColor="text1"/>
          <w:lang w:eastAsia="en-GB"/>
        </w:rPr>
        <w:t>and</w:t>
      </w:r>
      <w:r w:rsidR="00C52025" w:rsidRPr="00D8107F">
        <w:rPr>
          <w:rFonts w:eastAsia="Times New Roman" w:cs="Times New Roman"/>
          <w:color w:val="000000" w:themeColor="text1"/>
          <w:lang w:eastAsia="en-GB"/>
        </w:rPr>
        <w:t xml:space="preserve"> </w:t>
      </w:r>
      <w:r w:rsidR="00730A52" w:rsidRPr="00D8107F">
        <w:rPr>
          <w:rFonts w:eastAsia="Times New Roman" w:cs="Times New Roman"/>
          <w:color w:val="000000" w:themeColor="text1"/>
          <w:lang w:eastAsia="en-GB"/>
        </w:rPr>
        <w:t>9.04</w:t>
      </w:r>
      <w:r w:rsidR="00C52025" w:rsidRPr="00D8107F">
        <w:rPr>
          <w:rFonts w:eastAsia="Times New Roman" w:cs="Times New Roman"/>
          <w:color w:val="000000" w:themeColor="text1"/>
          <w:lang w:eastAsia="en-GB"/>
        </w:rPr>
        <w:t xml:space="preserve"> (95% CI 4.</w:t>
      </w:r>
      <w:r w:rsidR="00730A52" w:rsidRPr="00D8107F">
        <w:rPr>
          <w:rFonts w:eastAsia="Times New Roman" w:cs="Times New Roman"/>
          <w:color w:val="000000" w:themeColor="text1"/>
          <w:lang w:eastAsia="en-GB"/>
        </w:rPr>
        <w:t>63</w:t>
      </w:r>
      <w:r w:rsidR="002F6899" w:rsidRPr="00D8107F" w:rsidDel="002F6899">
        <w:rPr>
          <w:rFonts w:eastAsia="Times New Roman" w:cs="Times New Roman"/>
          <w:color w:val="000000" w:themeColor="text1"/>
          <w:lang w:eastAsia="en-GB"/>
        </w:rPr>
        <w:t xml:space="preserve"> </w:t>
      </w:r>
      <w:r w:rsidR="00C52025" w:rsidRPr="00D8107F">
        <w:rPr>
          <w:rFonts w:eastAsia="Times New Roman" w:cs="Times New Roman"/>
          <w:color w:val="000000" w:themeColor="text1"/>
          <w:lang w:eastAsia="en-GB"/>
        </w:rPr>
        <w:t>-1</w:t>
      </w:r>
      <w:r w:rsidR="00730A52" w:rsidRPr="00D8107F">
        <w:rPr>
          <w:rFonts w:eastAsia="Times New Roman" w:cs="Times New Roman"/>
          <w:color w:val="000000" w:themeColor="text1"/>
          <w:lang w:eastAsia="en-GB"/>
        </w:rPr>
        <w:t>3.4</w:t>
      </w:r>
      <w:r w:rsidR="00C52025" w:rsidRPr="00D8107F">
        <w:rPr>
          <w:rFonts w:eastAsia="Times New Roman" w:cs="Times New Roman"/>
          <w:color w:val="000000" w:themeColor="text1"/>
          <w:lang w:eastAsia="en-GB"/>
        </w:rPr>
        <w:t>)</w:t>
      </w:r>
      <w:r w:rsidR="001140FF" w:rsidRPr="00D8107F">
        <w:rPr>
          <w:rFonts w:eastAsia="Times New Roman" w:cs="Times New Roman"/>
          <w:color w:val="000000" w:themeColor="text1"/>
          <w:lang w:eastAsia="en-GB"/>
        </w:rPr>
        <w:t xml:space="preserve"> months in patients with baseline IBI scores or 0, 1 and 2, respectively</w:t>
      </w:r>
      <w:r w:rsidR="00C52025" w:rsidRPr="00D8107F">
        <w:rPr>
          <w:rFonts w:eastAsia="Times New Roman" w:cs="Times New Roman"/>
          <w:color w:val="000000" w:themeColor="text1"/>
          <w:lang w:eastAsia="en-GB"/>
        </w:rPr>
        <w:t>.</w:t>
      </w:r>
      <w:r w:rsidR="001140FF" w:rsidRPr="00D8107F">
        <w:rPr>
          <w:rFonts w:eastAsia="Times New Roman" w:cs="Times New Roman"/>
          <w:color w:val="000000" w:themeColor="text1"/>
          <w:lang w:eastAsia="en-GB"/>
        </w:rPr>
        <w:t xml:space="preserve"> Elevated IBI score at baseline was also associated with increased mortality (</w:t>
      </w:r>
      <w:r w:rsidR="002F6899" w:rsidRPr="00D8107F">
        <w:rPr>
          <w:rFonts w:eastAsia="Times New Roman" w:cs="Times New Roman"/>
          <w:color w:val="000000" w:themeColor="text1"/>
          <w:lang w:eastAsia="en-GB"/>
        </w:rPr>
        <w:t xml:space="preserve">Fig 1B; </w:t>
      </w:r>
      <w:r w:rsidR="001140FF" w:rsidRPr="00D8107F">
        <w:rPr>
          <w:rFonts w:eastAsia="Times New Roman" w:cs="Times New Roman"/>
          <w:color w:val="000000" w:themeColor="text1"/>
          <w:lang w:eastAsia="en-GB"/>
        </w:rPr>
        <w:t xml:space="preserve">HR </w:t>
      </w:r>
      <w:r w:rsidR="00F75A76" w:rsidRPr="00D8107F">
        <w:rPr>
          <w:rFonts w:eastAsia="Times New Roman" w:cs="Times New Roman"/>
          <w:color w:val="000000" w:themeColor="text1"/>
          <w:lang w:eastAsia="en-GB"/>
        </w:rPr>
        <w:t>5.94</w:t>
      </w:r>
      <w:r w:rsidR="001140FF" w:rsidRPr="00D8107F">
        <w:rPr>
          <w:rFonts w:eastAsia="Times New Roman" w:cs="Times New Roman"/>
          <w:color w:val="000000" w:themeColor="text1"/>
          <w:lang w:eastAsia="en-GB"/>
        </w:rPr>
        <w:t xml:space="preserve"> (95% CI </w:t>
      </w:r>
      <w:r w:rsidR="00F75A76" w:rsidRPr="00D8107F">
        <w:rPr>
          <w:rFonts w:eastAsia="Times New Roman" w:cs="Times New Roman"/>
          <w:color w:val="000000" w:themeColor="text1"/>
          <w:lang w:eastAsia="en-GB"/>
        </w:rPr>
        <w:t>2.21</w:t>
      </w:r>
      <w:r w:rsidR="00730A52" w:rsidRPr="00D8107F">
        <w:rPr>
          <w:rFonts w:eastAsia="Times New Roman" w:cs="Times New Roman"/>
          <w:color w:val="000000" w:themeColor="text1"/>
          <w:lang w:eastAsia="en-GB"/>
        </w:rPr>
        <w:t>-</w:t>
      </w:r>
      <w:r w:rsidR="00F75A76" w:rsidRPr="00D8107F">
        <w:rPr>
          <w:rFonts w:eastAsia="Times New Roman" w:cs="Times New Roman"/>
          <w:color w:val="000000" w:themeColor="text1"/>
          <w:lang w:eastAsia="en-GB"/>
        </w:rPr>
        <w:t>16.0</w:t>
      </w:r>
      <w:r w:rsidR="001140FF" w:rsidRPr="00D8107F">
        <w:rPr>
          <w:rFonts w:eastAsia="Times New Roman" w:cs="Times New Roman"/>
          <w:color w:val="000000" w:themeColor="text1"/>
          <w:lang w:eastAsia="en-GB"/>
        </w:rPr>
        <w:t>), p&lt;0.</w:t>
      </w:r>
      <w:r w:rsidR="00730A52" w:rsidRPr="00D8107F">
        <w:rPr>
          <w:rFonts w:eastAsia="Times New Roman" w:cs="Times New Roman"/>
          <w:color w:val="000000" w:themeColor="text1"/>
          <w:lang w:eastAsia="en-GB"/>
        </w:rPr>
        <w:t>0</w:t>
      </w:r>
      <w:r w:rsidR="001140FF" w:rsidRPr="00D8107F">
        <w:rPr>
          <w:rFonts w:eastAsia="Times New Roman" w:cs="Times New Roman"/>
          <w:color w:val="000000" w:themeColor="text1"/>
          <w:lang w:eastAsia="en-GB"/>
        </w:rPr>
        <w:t>0</w:t>
      </w:r>
      <w:r w:rsidR="00F75A76" w:rsidRPr="00D8107F">
        <w:rPr>
          <w:rFonts w:eastAsia="Times New Roman" w:cs="Times New Roman"/>
          <w:color w:val="000000" w:themeColor="text1"/>
          <w:lang w:eastAsia="en-GB"/>
        </w:rPr>
        <w:t>1</w:t>
      </w:r>
      <w:r w:rsidR="001140FF" w:rsidRPr="00D8107F">
        <w:rPr>
          <w:rFonts w:eastAsia="Times New Roman" w:cs="Times New Roman"/>
          <w:color w:val="000000" w:themeColor="text1"/>
          <w:lang w:eastAsia="en-GB"/>
        </w:rPr>
        <w:t xml:space="preserve">). At baseline, patients with scores of 0, 1 and 2 had mean OS of </w:t>
      </w:r>
      <w:r w:rsidR="00730A52" w:rsidRPr="00D8107F">
        <w:rPr>
          <w:rFonts w:eastAsia="Times New Roman" w:cs="Times New Roman"/>
          <w:color w:val="000000" w:themeColor="text1"/>
          <w:lang w:eastAsia="en-GB"/>
        </w:rPr>
        <w:t>73.3</w:t>
      </w:r>
      <w:r w:rsidR="001140FF" w:rsidRPr="00D8107F">
        <w:rPr>
          <w:rFonts w:eastAsia="Times New Roman" w:cs="Times New Roman"/>
          <w:color w:val="000000" w:themeColor="text1"/>
          <w:lang w:eastAsia="en-GB"/>
        </w:rPr>
        <w:t xml:space="preserve"> (95% CI </w:t>
      </w:r>
      <w:r w:rsidR="00730A52" w:rsidRPr="00D8107F">
        <w:rPr>
          <w:rFonts w:eastAsia="Times New Roman" w:cs="Times New Roman"/>
          <w:color w:val="000000" w:themeColor="text1"/>
          <w:lang w:eastAsia="en-GB"/>
        </w:rPr>
        <w:t>60.7-85.9</w:t>
      </w:r>
      <w:r w:rsidR="001140FF" w:rsidRPr="00D8107F">
        <w:rPr>
          <w:rFonts w:eastAsia="Times New Roman" w:cs="Times New Roman"/>
          <w:color w:val="000000" w:themeColor="text1"/>
          <w:lang w:eastAsia="en-GB"/>
        </w:rPr>
        <w:t>), 27.3 (95% CI 16.3-38.3) and 1</w:t>
      </w:r>
      <w:r w:rsidR="00730A52" w:rsidRPr="00D8107F">
        <w:rPr>
          <w:rFonts w:eastAsia="Times New Roman" w:cs="Times New Roman"/>
          <w:color w:val="000000" w:themeColor="text1"/>
          <w:lang w:eastAsia="en-GB"/>
        </w:rPr>
        <w:t>7</w:t>
      </w:r>
      <w:r w:rsidR="001140FF" w:rsidRPr="00D8107F">
        <w:rPr>
          <w:rFonts w:eastAsia="Times New Roman" w:cs="Times New Roman"/>
          <w:color w:val="000000" w:themeColor="text1"/>
          <w:lang w:eastAsia="en-GB"/>
        </w:rPr>
        <w:t>.</w:t>
      </w:r>
      <w:r w:rsidR="00730A52" w:rsidRPr="00D8107F">
        <w:rPr>
          <w:rFonts w:eastAsia="Times New Roman" w:cs="Times New Roman"/>
          <w:color w:val="000000" w:themeColor="text1"/>
          <w:lang w:eastAsia="en-GB"/>
        </w:rPr>
        <w:t>9</w:t>
      </w:r>
      <w:r w:rsidR="001140FF" w:rsidRPr="00D8107F">
        <w:rPr>
          <w:rFonts w:eastAsia="Times New Roman" w:cs="Times New Roman"/>
          <w:color w:val="000000" w:themeColor="text1"/>
          <w:lang w:eastAsia="en-GB"/>
        </w:rPr>
        <w:t xml:space="preserve"> (95% CI 9.</w:t>
      </w:r>
      <w:r w:rsidR="00730A52" w:rsidRPr="00D8107F">
        <w:rPr>
          <w:rFonts w:eastAsia="Times New Roman" w:cs="Times New Roman"/>
          <w:color w:val="000000" w:themeColor="text1"/>
          <w:lang w:eastAsia="en-GB"/>
        </w:rPr>
        <w:t>83</w:t>
      </w:r>
      <w:r w:rsidR="001140FF" w:rsidRPr="00D8107F">
        <w:rPr>
          <w:rFonts w:eastAsia="Times New Roman" w:cs="Times New Roman"/>
          <w:color w:val="000000" w:themeColor="text1"/>
          <w:lang w:eastAsia="en-GB"/>
        </w:rPr>
        <w:t>-2</w:t>
      </w:r>
      <w:r w:rsidR="00730A52" w:rsidRPr="00D8107F">
        <w:rPr>
          <w:rFonts w:eastAsia="Times New Roman" w:cs="Times New Roman"/>
          <w:color w:val="000000" w:themeColor="text1"/>
          <w:lang w:eastAsia="en-GB"/>
        </w:rPr>
        <w:t>5.9</w:t>
      </w:r>
      <w:r w:rsidR="001140FF" w:rsidRPr="00D8107F">
        <w:rPr>
          <w:rFonts w:eastAsia="Times New Roman" w:cs="Times New Roman"/>
          <w:color w:val="000000" w:themeColor="text1"/>
          <w:lang w:eastAsia="en-GB"/>
        </w:rPr>
        <w:t>) months respectively.</w:t>
      </w:r>
      <w:r w:rsidR="002834A2" w:rsidRPr="00D8107F">
        <w:rPr>
          <w:rFonts w:eastAsia="Times New Roman" w:cs="Times New Roman"/>
          <w:color w:val="000000" w:themeColor="text1"/>
          <w:lang w:eastAsia="en-GB"/>
        </w:rPr>
        <w:t xml:space="preserve"> </w:t>
      </w:r>
    </w:p>
    <w:p w14:paraId="546EF809" w14:textId="35B9707E" w:rsidR="002834A2" w:rsidRPr="00D8107F" w:rsidRDefault="00546E51" w:rsidP="00D8107F">
      <w:pPr>
        <w:spacing w:after="240" w:line="480" w:lineRule="auto"/>
        <w:jc w:val="both"/>
        <w:rPr>
          <w:rFonts w:eastAsia="Times New Roman" w:cs="Times New Roman"/>
          <w:color w:val="000000" w:themeColor="text1"/>
          <w:lang w:eastAsia="en-GB"/>
        </w:rPr>
      </w:pPr>
      <w:r w:rsidRPr="00D8107F">
        <w:rPr>
          <w:rFonts w:eastAsia="Times New Roman" w:cs="Times New Roman"/>
          <w:color w:val="000000" w:themeColor="text1"/>
          <w:lang w:eastAsia="en-GB"/>
        </w:rPr>
        <w:t>Dynamic</w:t>
      </w:r>
      <w:r w:rsidR="006576E7" w:rsidRPr="00D8107F">
        <w:rPr>
          <w:rFonts w:eastAsia="Times New Roman" w:cs="Times New Roman"/>
          <w:color w:val="000000" w:themeColor="text1"/>
          <w:lang w:eastAsia="en-GB"/>
        </w:rPr>
        <w:t xml:space="preserve"> changes in IBI following PRRT </w:t>
      </w:r>
      <w:r w:rsidRPr="00D8107F">
        <w:rPr>
          <w:rFonts w:eastAsia="Times New Roman" w:cs="Times New Roman"/>
          <w:color w:val="000000" w:themeColor="text1"/>
          <w:lang w:eastAsia="en-GB"/>
        </w:rPr>
        <w:t>are illustrated in Fig. 2</w:t>
      </w:r>
      <w:r w:rsidR="006576E7" w:rsidRPr="00D8107F">
        <w:rPr>
          <w:rFonts w:eastAsia="Times New Roman" w:cs="Times New Roman"/>
          <w:color w:val="000000" w:themeColor="text1"/>
          <w:lang w:eastAsia="en-GB"/>
        </w:rPr>
        <w:t xml:space="preserve">. </w:t>
      </w:r>
      <w:r w:rsidR="00951DA9" w:rsidRPr="00D8107F">
        <w:rPr>
          <w:rFonts w:eastAsia="Times New Roman" w:cs="Times New Roman"/>
          <w:color w:val="000000" w:themeColor="text1"/>
          <w:lang w:eastAsia="en-GB"/>
        </w:rPr>
        <w:t>Between baseline and post-1-2 cycles of PRRT, 3</w:t>
      </w:r>
      <w:r w:rsidR="00A36371" w:rsidRPr="00D8107F">
        <w:rPr>
          <w:rFonts w:eastAsia="Times New Roman" w:cs="Times New Roman"/>
          <w:color w:val="000000" w:themeColor="text1"/>
          <w:lang w:eastAsia="en-GB"/>
        </w:rPr>
        <w:t>5</w:t>
      </w:r>
      <w:r w:rsidR="00951DA9" w:rsidRPr="00D8107F">
        <w:rPr>
          <w:rFonts w:eastAsia="Times New Roman" w:cs="Times New Roman"/>
          <w:color w:val="000000" w:themeColor="text1"/>
          <w:lang w:eastAsia="en-GB"/>
        </w:rPr>
        <w:t xml:space="preserve"> patients</w:t>
      </w:r>
      <w:r w:rsidR="00907F6B" w:rsidRPr="00D8107F">
        <w:rPr>
          <w:rFonts w:eastAsia="Times New Roman" w:cs="Times New Roman"/>
          <w:color w:val="000000" w:themeColor="text1"/>
          <w:lang w:eastAsia="en-GB"/>
        </w:rPr>
        <w:t xml:space="preserve"> </w:t>
      </w:r>
      <w:r w:rsidR="00416030" w:rsidRPr="00D8107F">
        <w:rPr>
          <w:rFonts w:eastAsia="Times New Roman" w:cs="Times New Roman"/>
          <w:color w:val="000000" w:themeColor="text1"/>
          <w:lang w:eastAsia="en-GB"/>
        </w:rPr>
        <w:t xml:space="preserve">had </w:t>
      </w:r>
      <w:r w:rsidR="00951DA9" w:rsidRPr="00D8107F">
        <w:rPr>
          <w:rFonts w:eastAsia="Times New Roman" w:cs="Times New Roman"/>
          <w:color w:val="000000" w:themeColor="text1"/>
          <w:lang w:eastAsia="en-GB"/>
        </w:rPr>
        <w:t>normalised</w:t>
      </w:r>
      <w:r w:rsidR="00416030" w:rsidRPr="00D8107F">
        <w:rPr>
          <w:rFonts w:eastAsia="Times New Roman" w:cs="Times New Roman"/>
          <w:color w:val="000000" w:themeColor="text1"/>
          <w:lang w:eastAsia="en-GB"/>
        </w:rPr>
        <w:t xml:space="preserve"> IBI score</w:t>
      </w:r>
      <w:r w:rsidR="00951DA9" w:rsidRPr="00D8107F">
        <w:rPr>
          <w:rFonts w:eastAsia="Times New Roman" w:cs="Times New Roman"/>
          <w:color w:val="000000" w:themeColor="text1"/>
          <w:lang w:eastAsia="en-GB"/>
        </w:rPr>
        <w:t xml:space="preserve">, </w:t>
      </w:r>
      <w:r w:rsidR="00416030" w:rsidRPr="00D8107F">
        <w:rPr>
          <w:rFonts w:eastAsia="Times New Roman" w:cs="Times New Roman"/>
          <w:color w:val="000000" w:themeColor="text1"/>
          <w:lang w:eastAsia="en-GB"/>
        </w:rPr>
        <w:t xml:space="preserve">whilst </w:t>
      </w:r>
      <w:r w:rsidR="00951DA9" w:rsidRPr="00D8107F">
        <w:rPr>
          <w:rFonts w:eastAsia="Times New Roman" w:cs="Times New Roman"/>
          <w:color w:val="000000" w:themeColor="text1"/>
          <w:lang w:eastAsia="en-GB"/>
        </w:rPr>
        <w:t xml:space="preserve">15 </w:t>
      </w:r>
      <w:r w:rsidR="00EE0237" w:rsidRPr="00D8107F">
        <w:rPr>
          <w:rFonts w:eastAsia="Times New Roman" w:cs="Times New Roman"/>
          <w:color w:val="000000" w:themeColor="text1"/>
          <w:lang w:eastAsia="en-GB"/>
        </w:rPr>
        <w:t>remained</w:t>
      </w:r>
      <w:r w:rsidR="00951DA9" w:rsidRPr="00D8107F">
        <w:rPr>
          <w:rFonts w:eastAsia="Times New Roman" w:cs="Times New Roman"/>
          <w:color w:val="000000" w:themeColor="text1"/>
          <w:lang w:eastAsia="en-GB"/>
        </w:rPr>
        <w:t xml:space="preserve"> persistently abnormal. </w:t>
      </w:r>
      <w:r w:rsidRPr="00D8107F">
        <w:rPr>
          <w:rFonts w:eastAsia="Times New Roman" w:cs="Times New Roman"/>
          <w:color w:val="000000" w:themeColor="text1"/>
          <w:lang w:eastAsia="en-GB"/>
        </w:rPr>
        <w:t xml:space="preserve">The impact of change in IBI on survival was assessed. </w:t>
      </w:r>
      <w:r w:rsidR="00FA646D" w:rsidRPr="00D8107F">
        <w:rPr>
          <w:rFonts w:eastAsia="Times New Roman" w:cs="Times New Roman"/>
          <w:color w:val="000000" w:themeColor="text1"/>
          <w:lang w:eastAsia="en-GB"/>
        </w:rPr>
        <w:t xml:space="preserve">A persistently abnormal score was </w:t>
      </w:r>
      <w:r w:rsidR="00416030" w:rsidRPr="00D8107F">
        <w:rPr>
          <w:rFonts w:eastAsia="Times New Roman" w:cs="Times New Roman"/>
          <w:color w:val="000000" w:themeColor="text1"/>
          <w:lang w:eastAsia="en-GB"/>
        </w:rPr>
        <w:t>associated with</w:t>
      </w:r>
      <w:r w:rsidR="00FA646D" w:rsidRPr="00D8107F">
        <w:rPr>
          <w:rFonts w:eastAsia="Times New Roman" w:cs="Times New Roman"/>
          <w:color w:val="000000" w:themeColor="text1"/>
          <w:lang w:eastAsia="en-GB"/>
        </w:rPr>
        <w:t xml:space="preserve"> </w:t>
      </w:r>
      <w:r w:rsidR="00416030" w:rsidRPr="00D8107F">
        <w:rPr>
          <w:rFonts w:eastAsia="Times New Roman" w:cs="Times New Roman"/>
          <w:color w:val="000000" w:themeColor="text1"/>
          <w:lang w:eastAsia="en-GB"/>
        </w:rPr>
        <w:t xml:space="preserve">inferior </w:t>
      </w:r>
      <w:r w:rsidR="0037771F" w:rsidRPr="00D8107F">
        <w:rPr>
          <w:rFonts w:eastAsia="Times New Roman" w:cs="Times New Roman"/>
          <w:color w:val="000000" w:themeColor="text1"/>
          <w:lang w:eastAsia="en-GB"/>
        </w:rPr>
        <w:t>PFS (</w:t>
      </w:r>
      <w:r w:rsidR="002F6899" w:rsidRPr="00D8107F">
        <w:rPr>
          <w:rFonts w:eastAsia="Times New Roman" w:cs="Times New Roman"/>
          <w:color w:val="000000" w:themeColor="text1"/>
          <w:lang w:eastAsia="en-GB"/>
        </w:rPr>
        <w:t xml:space="preserve">Fig 1C; </w:t>
      </w:r>
      <w:r w:rsidR="00A36371" w:rsidRPr="00D8107F">
        <w:rPr>
          <w:rFonts w:eastAsia="Times New Roman" w:cs="Times New Roman"/>
          <w:color w:val="000000" w:themeColor="text1"/>
          <w:lang w:eastAsia="en-GB"/>
        </w:rPr>
        <w:t xml:space="preserve">HR </w:t>
      </w:r>
      <w:r w:rsidR="002F6899" w:rsidRPr="00D8107F">
        <w:rPr>
          <w:rFonts w:eastAsia="Times New Roman" w:cs="Times New Roman"/>
          <w:color w:val="000000" w:themeColor="text1"/>
          <w:lang w:eastAsia="en-GB"/>
        </w:rPr>
        <w:t>3</w:t>
      </w:r>
      <w:r w:rsidRPr="00D8107F">
        <w:rPr>
          <w:rFonts w:eastAsia="Times New Roman" w:cs="Times New Roman"/>
          <w:color w:val="000000" w:themeColor="text1"/>
          <w:lang w:eastAsia="en-GB"/>
        </w:rPr>
        <w:t>.07</w:t>
      </w:r>
      <w:r w:rsidR="00A36371" w:rsidRPr="00D8107F">
        <w:rPr>
          <w:rFonts w:eastAsia="Times New Roman" w:cs="Times New Roman"/>
          <w:color w:val="000000" w:themeColor="text1"/>
          <w:lang w:eastAsia="en-GB"/>
        </w:rPr>
        <w:t xml:space="preserve"> (95% CI </w:t>
      </w:r>
      <w:r w:rsidR="002F6899" w:rsidRPr="00D8107F">
        <w:rPr>
          <w:rFonts w:eastAsia="Times New Roman" w:cs="Times New Roman"/>
          <w:color w:val="000000" w:themeColor="text1"/>
          <w:lang w:eastAsia="en-GB"/>
        </w:rPr>
        <w:t>1.</w:t>
      </w:r>
      <w:r w:rsidRPr="00D8107F">
        <w:rPr>
          <w:rFonts w:eastAsia="Times New Roman" w:cs="Times New Roman"/>
          <w:color w:val="000000" w:themeColor="text1"/>
          <w:lang w:eastAsia="en-GB"/>
        </w:rPr>
        <w:t>38</w:t>
      </w:r>
      <w:r w:rsidR="002F6899" w:rsidRPr="00D8107F">
        <w:rPr>
          <w:rFonts w:eastAsia="Times New Roman" w:cs="Times New Roman"/>
          <w:color w:val="000000" w:themeColor="text1"/>
          <w:lang w:eastAsia="en-GB"/>
        </w:rPr>
        <w:t>-</w:t>
      </w:r>
      <w:r w:rsidRPr="00D8107F">
        <w:rPr>
          <w:rFonts w:eastAsia="Times New Roman" w:cs="Times New Roman"/>
          <w:color w:val="000000" w:themeColor="text1"/>
          <w:lang w:eastAsia="en-GB"/>
        </w:rPr>
        <w:t>6.82</w:t>
      </w:r>
      <w:r w:rsidR="00A36371" w:rsidRPr="00D8107F">
        <w:rPr>
          <w:rFonts w:eastAsia="Times New Roman" w:cs="Times New Roman"/>
          <w:color w:val="000000" w:themeColor="text1"/>
          <w:lang w:eastAsia="en-GB"/>
        </w:rPr>
        <w:t>), p</w:t>
      </w:r>
      <w:r w:rsidR="002F6899" w:rsidRPr="00D8107F">
        <w:rPr>
          <w:rFonts w:eastAsia="Times New Roman" w:cs="Times New Roman"/>
          <w:color w:val="000000" w:themeColor="text1"/>
          <w:lang w:eastAsia="en-GB"/>
        </w:rPr>
        <w:t>&lt;</w:t>
      </w:r>
      <w:r w:rsidR="00A36371" w:rsidRPr="00D8107F">
        <w:rPr>
          <w:rFonts w:eastAsia="Times New Roman" w:cs="Times New Roman"/>
          <w:color w:val="000000" w:themeColor="text1"/>
          <w:lang w:eastAsia="en-GB"/>
        </w:rPr>
        <w:t>0.01</w:t>
      </w:r>
      <w:r w:rsidR="00416030" w:rsidRPr="00D8107F">
        <w:rPr>
          <w:rFonts w:eastAsia="Times New Roman" w:cs="Times New Roman"/>
          <w:color w:val="000000" w:themeColor="text1"/>
          <w:lang w:eastAsia="en-GB"/>
        </w:rPr>
        <w:t xml:space="preserve">). Mean PFS in those with normalised IBI was </w:t>
      </w:r>
      <w:r w:rsidR="002F6899" w:rsidRPr="00D8107F">
        <w:rPr>
          <w:rFonts w:eastAsia="Times New Roman" w:cs="Times New Roman"/>
          <w:color w:val="000000" w:themeColor="text1"/>
          <w:lang w:eastAsia="en-GB"/>
        </w:rPr>
        <w:t>4</w:t>
      </w:r>
      <w:r w:rsidRPr="00D8107F">
        <w:rPr>
          <w:rFonts w:eastAsia="Times New Roman" w:cs="Times New Roman"/>
          <w:color w:val="000000" w:themeColor="text1"/>
          <w:lang w:eastAsia="en-GB"/>
        </w:rPr>
        <w:t>5.9</w:t>
      </w:r>
      <w:r w:rsidR="00416030" w:rsidRPr="00D8107F">
        <w:rPr>
          <w:rFonts w:eastAsia="Times New Roman" w:cs="Times New Roman"/>
          <w:color w:val="000000" w:themeColor="text1"/>
          <w:lang w:eastAsia="en-GB"/>
        </w:rPr>
        <w:t xml:space="preserve"> months (95% CI</w:t>
      </w:r>
      <w:r w:rsidRPr="00D8107F">
        <w:rPr>
          <w:rFonts w:eastAsia="Times New Roman" w:cs="Times New Roman"/>
          <w:color w:val="000000" w:themeColor="text1"/>
          <w:lang w:eastAsia="en-GB"/>
        </w:rPr>
        <w:t xml:space="preserve"> 35.4-56.4</w:t>
      </w:r>
      <w:r w:rsidR="00416030" w:rsidRPr="00D8107F">
        <w:rPr>
          <w:rFonts w:eastAsia="Times New Roman" w:cs="Times New Roman"/>
          <w:color w:val="000000" w:themeColor="text1"/>
          <w:lang w:eastAsia="en-GB"/>
        </w:rPr>
        <w:t xml:space="preserve">), compared to those with persistently abnormal IBI with mean PFS of </w:t>
      </w:r>
      <w:r w:rsidR="002F6899" w:rsidRPr="00D8107F">
        <w:rPr>
          <w:rFonts w:eastAsia="Times New Roman" w:cs="Times New Roman"/>
          <w:color w:val="000000" w:themeColor="text1"/>
          <w:lang w:eastAsia="en-GB"/>
        </w:rPr>
        <w:t>2</w:t>
      </w:r>
      <w:r w:rsidRPr="00D8107F">
        <w:rPr>
          <w:rFonts w:eastAsia="Times New Roman" w:cs="Times New Roman"/>
          <w:color w:val="000000" w:themeColor="text1"/>
          <w:lang w:eastAsia="en-GB"/>
        </w:rPr>
        <w:t>2</w:t>
      </w:r>
      <w:r w:rsidR="002F6899" w:rsidRPr="00D8107F">
        <w:rPr>
          <w:rFonts w:eastAsia="Times New Roman" w:cs="Times New Roman"/>
          <w:color w:val="000000" w:themeColor="text1"/>
          <w:lang w:eastAsia="en-GB"/>
        </w:rPr>
        <w:t>.</w:t>
      </w:r>
      <w:r w:rsidRPr="00D8107F">
        <w:rPr>
          <w:rFonts w:eastAsia="Times New Roman" w:cs="Times New Roman"/>
          <w:color w:val="000000" w:themeColor="text1"/>
          <w:lang w:eastAsia="en-GB"/>
        </w:rPr>
        <w:t>3</w:t>
      </w:r>
      <w:r w:rsidR="00416030" w:rsidRPr="00D8107F">
        <w:rPr>
          <w:rFonts w:eastAsia="Times New Roman" w:cs="Times New Roman"/>
          <w:color w:val="000000" w:themeColor="text1"/>
          <w:lang w:eastAsia="en-GB"/>
        </w:rPr>
        <w:t xml:space="preserve"> months (95% CI </w:t>
      </w:r>
      <w:r w:rsidR="002F6899" w:rsidRPr="00D8107F">
        <w:rPr>
          <w:rFonts w:eastAsia="Times New Roman" w:cs="Times New Roman"/>
          <w:color w:val="000000" w:themeColor="text1"/>
          <w:lang w:eastAsia="en-GB"/>
        </w:rPr>
        <w:t>8.</w:t>
      </w:r>
      <w:r w:rsidRPr="00D8107F">
        <w:rPr>
          <w:rFonts w:eastAsia="Times New Roman" w:cs="Times New Roman"/>
          <w:color w:val="000000" w:themeColor="text1"/>
          <w:lang w:eastAsia="en-GB"/>
        </w:rPr>
        <w:t>26</w:t>
      </w:r>
      <w:r w:rsidR="00A36371" w:rsidRPr="00D8107F">
        <w:rPr>
          <w:rFonts w:eastAsia="Times New Roman" w:cs="Times New Roman"/>
          <w:color w:val="000000" w:themeColor="text1"/>
          <w:lang w:eastAsia="en-GB"/>
        </w:rPr>
        <w:t>-</w:t>
      </w:r>
      <w:r w:rsidR="002F6899" w:rsidRPr="00D8107F">
        <w:rPr>
          <w:rFonts w:eastAsia="Times New Roman" w:cs="Times New Roman"/>
          <w:color w:val="000000" w:themeColor="text1"/>
          <w:lang w:eastAsia="en-GB"/>
        </w:rPr>
        <w:t>3</w:t>
      </w:r>
      <w:r w:rsidR="007C75F1" w:rsidRPr="00D8107F">
        <w:rPr>
          <w:rFonts w:eastAsia="Times New Roman" w:cs="Times New Roman"/>
          <w:color w:val="000000" w:themeColor="text1"/>
          <w:lang w:eastAsia="en-GB"/>
        </w:rPr>
        <w:t>6.4</w:t>
      </w:r>
      <w:r w:rsidR="00416030" w:rsidRPr="00D8107F">
        <w:rPr>
          <w:rFonts w:eastAsia="Times New Roman" w:cs="Times New Roman"/>
          <w:color w:val="000000" w:themeColor="text1"/>
          <w:lang w:eastAsia="en-GB"/>
        </w:rPr>
        <w:t>).</w:t>
      </w:r>
      <w:r w:rsidR="002D437F" w:rsidRPr="00D8107F">
        <w:rPr>
          <w:rFonts w:eastAsia="Times New Roman" w:cs="Times New Roman"/>
          <w:color w:val="000000" w:themeColor="text1"/>
          <w:lang w:eastAsia="en-GB"/>
        </w:rPr>
        <w:t xml:space="preserve"> </w:t>
      </w:r>
    </w:p>
    <w:p w14:paraId="172FBFA6" w14:textId="097B3DB9" w:rsidR="006576E7" w:rsidRPr="00D8107F" w:rsidRDefault="00416030" w:rsidP="00D8107F">
      <w:pPr>
        <w:spacing w:after="240" w:line="480" w:lineRule="auto"/>
        <w:jc w:val="both"/>
        <w:rPr>
          <w:rFonts w:eastAsia="Times New Roman" w:cs="Times New Roman"/>
          <w:color w:val="000000" w:themeColor="text1"/>
          <w:lang w:eastAsia="en-GB"/>
        </w:rPr>
      </w:pPr>
      <w:r w:rsidRPr="00D8107F">
        <w:rPr>
          <w:rFonts w:eastAsia="Times New Roman" w:cs="Times New Roman"/>
          <w:color w:val="000000" w:themeColor="text1"/>
          <w:lang w:eastAsia="en-GB"/>
        </w:rPr>
        <w:t xml:space="preserve">A persistently abnormal score </w:t>
      </w:r>
      <w:r w:rsidR="002834A2" w:rsidRPr="00D8107F">
        <w:rPr>
          <w:rFonts w:eastAsia="Times New Roman" w:cs="Times New Roman"/>
          <w:color w:val="000000" w:themeColor="text1"/>
          <w:lang w:eastAsia="en-GB"/>
        </w:rPr>
        <w:t xml:space="preserve">between baseline and post-1-2 cycles of PRRT </w:t>
      </w:r>
      <w:r w:rsidRPr="00D8107F">
        <w:rPr>
          <w:rFonts w:eastAsia="Times New Roman" w:cs="Times New Roman"/>
          <w:color w:val="000000" w:themeColor="text1"/>
          <w:lang w:eastAsia="en-GB"/>
        </w:rPr>
        <w:t xml:space="preserve">was similarly correlated with inferior </w:t>
      </w:r>
      <w:r w:rsidR="00FA646D" w:rsidRPr="00D8107F">
        <w:rPr>
          <w:rFonts w:eastAsia="Times New Roman" w:cs="Times New Roman"/>
          <w:color w:val="000000" w:themeColor="text1"/>
          <w:lang w:eastAsia="en-GB"/>
        </w:rPr>
        <w:t>OS (</w:t>
      </w:r>
      <w:r w:rsidR="00666186" w:rsidRPr="00D8107F">
        <w:rPr>
          <w:rFonts w:eastAsia="Times New Roman" w:cs="Times New Roman"/>
          <w:color w:val="000000" w:themeColor="text1"/>
          <w:lang w:eastAsia="en-GB"/>
        </w:rPr>
        <w:t xml:space="preserve">HR </w:t>
      </w:r>
      <w:r w:rsidR="007C75F1" w:rsidRPr="00D8107F">
        <w:rPr>
          <w:rFonts w:eastAsia="Times New Roman" w:cs="Times New Roman"/>
          <w:color w:val="000000" w:themeColor="text1"/>
          <w:lang w:eastAsia="en-GB"/>
        </w:rPr>
        <w:t>5.06</w:t>
      </w:r>
      <w:r w:rsidR="00666186" w:rsidRPr="00D8107F">
        <w:rPr>
          <w:rFonts w:eastAsia="Times New Roman" w:cs="Times New Roman"/>
          <w:color w:val="000000" w:themeColor="text1"/>
          <w:lang w:eastAsia="en-GB"/>
        </w:rPr>
        <w:t xml:space="preserve"> (95% CI </w:t>
      </w:r>
      <w:r w:rsidR="002B427C" w:rsidRPr="00D8107F">
        <w:rPr>
          <w:rFonts w:eastAsia="Times New Roman" w:cs="Times New Roman"/>
          <w:color w:val="000000" w:themeColor="text1"/>
          <w:lang w:eastAsia="en-GB"/>
        </w:rPr>
        <w:t>1.</w:t>
      </w:r>
      <w:r w:rsidR="007C75F1" w:rsidRPr="00D8107F">
        <w:rPr>
          <w:rFonts w:eastAsia="Times New Roman" w:cs="Times New Roman"/>
          <w:color w:val="000000" w:themeColor="text1"/>
          <w:lang w:eastAsia="en-GB"/>
        </w:rPr>
        <w:t>94-13.2</w:t>
      </w:r>
      <w:r w:rsidR="00666186" w:rsidRPr="00D8107F">
        <w:rPr>
          <w:rFonts w:eastAsia="Times New Roman" w:cs="Times New Roman"/>
          <w:color w:val="000000" w:themeColor="text1"/>
          <w:lang w:eastAsia="en-GB"/>
        </w:rPr>
        <w:t>) p</w:t>
      </w:r>
      <w:r w:rsidR="007C75F1" w:rsidRPr="00D8107F">
        <w:rPr>
          <w:rFonts w:eastAsia="Times New Roman" w:cs="Times New Roman"/>
          <w:color w:val="000000" w:themeColor="text1"/>
          <w:lang w:eastAsia="en-GB"/>
        </w:rPr>
        <w:t>=</w:t>
      </w:r>
      <w:r w:rsidR="00666186" w:rsidRPr="00D8107F">
        <w:rPr>
          <w:rFonts w:eastAsia="Times New Roman" w:cs="Times New Roman"/>
          <w:color w:val="000000" w:themeColor="text1"/>
          <w:lang w:eastAsia="en-GB"/>
        </w:rPr>
        <w:t>0.0</w:t>
      </w:r>
      <w:r w:rsidR="007C75F1" w:rsidRPr="00D8107F">
        <w:rPr>
          <w:rFonts w:eastAsia="Times New Roman" w:cs="Times New Roman"/>
          <w:color w:val="000000" w:themeColor="text1"/>
          <w:lang w:eastAsia="en-GB"/>
        </w:rPr>
        <w:t>0</w:t>
      </w:r>
      <w:r w:rsidR="00666186" w:rsidRPr="00D8107F">
        <w:rPr>
          <w:rFonts w:eastAsia="Times New Roman" w:cs="Times New Roman"/>
          <w:color w:val="000000" w:themeColor="text1"/>
          <w:lang w:eastAsia="en-GB"/>
        </w:rPr>
        <w:t>1</w:t>
      </w:r>
      <w:r w:rsidR="00FA646D" w:rsidRPr="00D8107F">
        <w:rPr>
          <w:rFonts w:eastAsia="Times New Roman" w:cs="Times New Roman"/>
          <w:color w:val="000000" w:themeColor="text1"/>
          <w:lang w:eastAsia="en-GB"/>
        </w:rPr>
        <w:t>)</w:t>
      </w:r>
      <w:r w:rsidR="00666186" w:rsidRPr="00D8107F">
        <w:rPr>
          <w:rFonts w:eastAsia="Times New Roman" w:cs="Times New Roman"/>
          <w:color w:val="000000" w:themeColor="text1"/>
          <w:lang w:eastAsia="en-GB"/>
        </w:rPr>
        <w:t>. M</w:t>
      </w:r>
      <w:r w:rsidR="00C345E4" w:rsidRPr="00D8107F">
        <w:rPr>
          <w:rFonts w:eastAsia="Times New Roman" w:cs="Times New Roman"/>
          <w:color w:val="000000" w:themeColor="text1"/>
          <w:lang w:eastAsia="en-GB"/>
        </w:rPr>
        <w:t xml:space="preserve">ean OS in those with normalised IBI was </w:t>
      </w:r>
      <w:r w:rsidR="007C75F1" w:rsidRPr="00D8107F">
        <w:rPr>
          <w:rFonts w:eastAsia="Times New Roman" w:cs="Times New Roman"/>
          <w:color w:val="000000" w:themeColor="text1"/>
          <w:lang w:eastAsia="en-GB"/>
        </w:rPr>
        <w:t>71.7</w:t>
      </w:r>
      <w:r w:rsidR="00C345E4" w:rsidRPr="00D8107F">
        <w:rPr>
          <w:rFonts w:eastAsia="Times New Roman" w:cs="Times New Roman"/>
          <w:color w:val="000000" w:themeColor="text1"/>
          <w:lang w:eastAsia="en-GB"/>
        </w:rPr>
        <w:t xml:space="preserve"> months (95% CI </w:t>
      </w:r>
      <w:r w:rsidR="007C75F1" w:rsidRPr="00D8107F">
        <w:rPr>
          <w:rFonts w:eastAsia="Times New Roman" w:cs="Times New Roman"/>
          <w:color w:val="000000" w:themeColor="text1"/>
          <w:lang w:eastAsia="en-GB"/>
        </w:rPr>
        <w:t>58.4-85.0</w:t>
      </w:r>
      <w:r w:rsidR="00C345E4" w:rsidRPr="00D8107F">
        <w:rPr>
          <w:rFonts w:eastAsia="Times New Roman" w:cs="Times New Roman"/>
          <w:color w:val="000000" w:themeColor="text1"/>
          <w:lang w:eastAsia="en-GB"/>
        </w:rPr>
        <w:t xml:space="preserve">), compared to those with persistently abnormal IBI with mean OS of </w:t>
      </w:r>
      <w:r w:rsidR="007C75F1" w:rsidRPr="00D8107F">
        <w:rPr>
          <w:rFonts w:eastAsia="Times New Roman" w:cs="Times New Roman"/>
          <w:color w:val="000000" w:themeColor="text1"/>
          <w:lang w:eastAsia="en-GB"/>
        </w:rPr>
        <w:t>32.2</w:t>
      </w:r>
      <w:r w:rsidR="00C345E4" w:rsidRPr="00D8107F">
        <w:rPr>
          <w:rFonts w:eastAsia="Times New Roman" w:cs="Times New Roman"/>
          <w:color w:val="000000" w:themeColor="text1"/>
          <w:lang w:eastAsia="en-GB"/>
        </w:rPr>
        <w:t xml:space="preserve"> months (95% CI </w:t>
      </w:r>
      <w:r w:rsidR="007C75F1" w:rsidRPr="00D8107F">
        <w:rPr>
          <w:rFonts w:eastAsia="Times New Roman" w:cs="Times New Roman"/>
          <w:color w:val="000000" w:themeColor="text1"/>
          <w:lang w:eastAsia="en-GB"/>
        </w:rPr>
        <w:t>15.3-49.1</w:t>
      </w:r>
      <w:r w:rsidR="00C345E4" w:rsidRPr="00D8107F">
        <w:rPr>
          <w:rFonts w:eastAsia="Times New Roman" w:cs="Times New Roman"/>
          <w:color w:val="000000" w:themeColor="text1"/>
          <w:lang w:eastAsia="en-GB"/>
        </w:rPr>
        <w:t>)</w:t>
      </w:r>
      <w:r w:rsidR="002D437F" w:rsidRPr="00D8107F">
        <w:rPr>
          <w:rFonts w:eastAsia="Times New Roman" w:cs="Times New Roman"/>
          <w:color w:val="000000" w:themeColor="text1"/>
          <w:lang w:eastAsia="en-GB"/>
        </w:rPr>
        <w:t xml:space="preserve"> (Figure 1D)</w:t>
      </w:r>
      <w:r w:rsidR="00C345E4" w:rsidRPr="00D8107F">
        <w:rPr>
          <w:rFonts w:eastAsia="Times New Roman" w:cs="Times New Roman"/>
          <w:color w:val="000000" w:themeColor="text1"/>
          <w:lang w:eastAsia="en-GB"/>
        </w:rPr>
        <w:t>.</w:t>
      </w:r>
      <w:r w:rsidR="002834A2" w:rsidRPr="00D8107F" w:rsidDel="002834A2">
        <w:rPr>
          <w:rFonts w:eastAsia="Times New Roman" w:cs="Times New Roman"/>
          <w:color w:val="000000" w:themeColor="text1"/>
          <w:lang w:eastAsia="en-GB"/>
        </w:rPr>
        <w:t xml:space="preserve"> </w:t>
      </w:r>
    </w:p>
    <w:p w14:paraId="7A66217D" w14:textId="59C4DA35" w:rsidR="00442969" w:rsidRPr="00D8107F" w:rsidRDefault="00442969" w:rsidP="00D8107F">
      <w:pPr>
        <w:spacing w:after="240" w:line="480" w:lineRule="auto"/>
        <w:jc w:val="both"/>
        <w:rPr>
          <w:rFonts w:eastAsia="Times New Roman" w:cs="Times New Roman"/>
          <w:color w:val="000000" w:themeColor="text1"/>
          <w:lang w:eastAsia="en-GB"/>
        </w:rPr>
      </w:pPr>
      <w:r w:rsidRPr="00D8107F">
        <w:rPr>
          <w:rFonts w:eastAsia="Times New Roman" w:cs="Times New Roman"/>
          <w:color w:val="000000" w:themeColor="text1"/>
          <w:lang w:eastAsia="en-GB"/>
        </w:rPr>
        <w:t>A persistently abnormal IBI score between baseline and after the 3</w:t>
      </w:r>
      <w:r w:rsidRPr="00D8107F">
        <w:rPr>
          <w:rFonts w:eastAsia="Times New Roman" w:cs="Times New Roman"/>
          <w:color w:val="000000" w:themeColor="text1"/>
          <w:vertAlign w:val="superscript"/>
          <w:lang w:eastAsia="en-GB"/>
        </w:rPr>
        <w:t>rd</w:t>
      </w:r>
      <w:r w:rsidRPr="00D8107F">
        <w:rPr>
          <w:rFonts w:eastAsia="Times New Roman" w:cs="Times New Roman"/>
          <w:color w:val="000000" w:themeColor="text1"/>
          <w:lang w:eastAsia="en-GB"/>
        </w:rPr>
        <w:t>/4</w:t>
      </w:r>
      <w:r w:rsidRPr="00D8107F">
        <w:rPr>
          <w:rFonts w:eastAsia="Times New Roman" w:cs="Times New Roman"/>
          <w:color w:val="000000" w:themeColor="text1"/>
          <w:vertAlign w:val="superscript"/>
          <w:lang w:eastAsia="en-GB"/>
        </w:rPr>
        <w:t>th</w:t>
      </w:r>
      <w:r w:rsidRPr="00D8107F">
        <w:rPr>
          <w:rFonts w:eastAsia="Times New Roman" w:cs="Times New Roman"/>
          <w:color w:val="000000" w:themeColor="text1"/>
          <w:lang w:eastAsia="en-GB"/>
        </w:rPr>
        <w:t xml:space="preserve"> cycles of PRRT </w:t>
      </w:r>
      <w:r w:rsidR="007C75F1" w:rsidRPr="00D8107F">
        <w:rPr>
          <w:rFonts w:eastAsia="Times New Roman" w:cs="Times New Roman"/>
          <w:color w:val="000000" w:themeColor="text1"/>
          <w:lang w:eastAsia="en-GB"/>
        </w:rPr>
        <w:t xml:space="preserve">was significantly associated with </w:t>
      </w:r>
      <w:r w:rsidRPr="00D8107F">
        <w:rPr>
          <w:rFonts w:eastAsia="Times New Roman" w:cs="Times New Roman"/>
          <w:color w:val="000000" w:themeColor="text1"/>
          <w:lang w:eastAsia="en-GB"/>
        </w:rPr>
        <w:t xml:space="preserve">reduced PFS (Fig 1E; HR </w:t>
      </w:r>
      <w:r w:rsidR="007C75F1" w:rsidRPr="00D8107F">
        <w:rPr>
          <w:rFonts w:eastAsia="Times New Roman" w:cs="Times New Roman"/>
          <w:color w:val="000000" w:themeColor="text1"/>
          <w:lang w:eastAsia="en-GB"/>
        </w:rPr>
        <w:t>3.23</w:t>
      </w:r>
      <w:r w:rsidRPr="00D8107F">
        <w:rPr>
          <w:rFonts w:eastAsia="Times New Roman" w:cs="Times New Roman"/>
          <w:color w:val="000000" w:themeColor="text1"/>
          <w:lang w:eastAsia="en-GB"/>
        </w:rPr>
        <w:t xml:space="preserve"> (95% CI </w:t>
      </w:r>
      <w:r w:rsidR="007C75F1" w:rsidRPr="00D8107F">
        <w:rPr>
          <w:rFonts w:eastAsia="Times New Roman" w:cs="Times New Roman"/>
          <w:color w:val="000000" w:themeColor="text1"/>
          <w:lang w:eastAsia="en-GB"/>
        </w:rPr>
        <w:t>1.</w:t>
      </w:r>
      <w:r w:rsidR="005D6815" w:rsidRPr="00D8107F">
        <w:rPr>
          <w:rFonts w:eastAsia="Times New Roman" w:cs="Times New Roman"/>
          <w:color w:val="000000" w:themeColor="text1"/>
          <w:lang w:eastAsia="en-GB"/>
        </w:rPr>
        <w:t>19-8.74</w:t>
      </w:r>
      <w:r w:rsidRPr="00D8107F">
        <w:rPr>
          <w:rFonts w:eastAsia="Times New Roman" w:cs="Times New Roman"/>
          <w:color w:val="000000" w:themeColor="text1"/>
          <w:lang w:eastAsia="en-GB"/>
        </w:rPr>
        <w:t>), p=0.0</w:t>
      </w:r>
      <w:r w:rsidR="005D6815" w:rsidRPr="00D8107F">
        <w:rPr>
          <w:rFonts w:eastAsia="Times New Roman" w:cs="Times New Roman"/>
          <w:color w:val="000000" w:themeColor="text1"/>
          <w:lang w:eastAsia="en-GB"/>
        </w:rPr>
        <w:t>2</w:t>
      </w:r>
      <w:r w:rsidRPr="00D8107F">
        <w:rPr>
          <w:rFonts w:eastAsia="Times New Roman" w:cs="Times New Roman"/>
          <w:color w:val="000000" w:themeColor="text1"/>
          <w:lang w:eastAsia="en-GB"/>
        </w:rPr>
        <w:t xml:space="preserve">) </w:t>
      </w:r>
      <w:r w:rsidR="007C75F1" w:rsidRPr="00D8107F">
        <w:rPr>
          <w:rFonts w:eastAsia="Times New Roman" w:cs="Times New Roman"/>
          <w:color w:val="000000" w:themeColor="text1"/>
          <w:lang w:eastAsia="en-GB"/>
        </w:rPr>
        <w:t xml:space="preserve">and </w:t>
      </w:r>
      <w:r w:rsidRPr="00D8107F">
        <w:rPr>
          <w:rFonts w:eastAsia="Times New Roman" w:cs="Times New Roman"/>
          <w:color w:val="000000" w:themeColor="text1"/>
          <w:lang w:eastAsia="en-GB"/>
        </w:rPr>
        <w:t xml:space="preserve">reduced OS (Fig 1F; HR </w:t>
      </w:r>
      <w:r w:rsidR="005D6815" w:rsidRPr="00D8107F">
        <w:rPr>
          <w:rFonts w:eastAsia="Times New Roman" w:cs="Times New Roman"/>
          <w:color w:val="000000" w:themeColor="text1"/>
          <w:lang w:eastAsia="en-GB"/>
        </w:rPr>
        <w:t>5.80</w:t>
      </w:r>
      <w:r w:rsidRPr="00D8107F">
        <w:rPr>
          <w:rFonts w:eastAsia="Times New Roman" w:cs="Times New Roman"/>
          <w:color w:val="000000" w:themeColor="text1"/>
          <w:lang w:eastAsia="en-GB"/>
        </w:rPr>
        <w:t xml:space="preserve"> (95% CI 1.</w:t>
      </w:r>
      <w:r w:rsidR="005D6815" w:rsidRPr="00D8107F">
        <w:rPr>
          <w:rFonts w:eastAsia="Times New Roman" w:cs="Times New Roman"/>
          <w:color w:val="000000" w:themeColor="text1"/>
          <w:lang w:eastAsia="en-GB"/>
        </w:rPr>
        <w:t>6.3</w:t>
      </w:r>
      <w:r w:rsidRPr="00D8107F">
        <w:rPr>
          <w:rFonts w:eastAsia="Times New Roman" w:cs="Times New Roman"/>
          <w:color w:val="000000" w:themeColor="text1"/>
          <w:lang w:eastAsia="en-GB"/>
        </w:rPr>
        <w:t>-</w:t>
      </w:r>
      <w:r w:rsidR="005D6815" w:rsidRPr="00D8107F">
        <w:rPr>
          <w:rFonts w:eastAsia="Times New Roman" w:cs="Times New Roman"/>
          <w:color w:val="000000" w:themeColor="text1"/>
          <w:lang w:eastAsia="en-GB"/>
        </w:rPr>
        <w:t>20.7</w:t>
      </w:r>
      <w:r w:rsidRPr="00D8107F">
        <w:rPr>
          <w:rFonts w:eastAsia="Times New Roman" w:cs="Times New Roman"/>
          <w:color w:val="000000" w:themeColor="text1"/>
          <w:lang w:eastAsia="en-GB"/>
        </w:rPr>
        <w:t>), p</w:t>
      </w:r>
      <w:r w:rsidR="005D6815" w:rsidRPr="00D8107F">
        <w:rPr>
          <w:rFonts w:eastAsia="Times New Roman" w:cs="Times New Roman"/>
          <w:color w:val="000000" w:themeColor="text1"/>
          <w:lang w:eastAsia="en-GB"/>
        </w:rPr>
        <w:t>&lt;</w:t>
      </w:r>
      <w:r w:rsidRPr="00D8107F">
        <w:rPr>
          <w:rFonts w:eastAsia="Times New Roman" w:cs="Times New Roman"/>
          <w:color w:val="000000" w:themeColor="text1"/>
          <w:lang w:eastAsia="en-GB"/>
        </w:rPr>
        <w:t>0.0</w:t>
      </w:r>
      <w:r w:rsidR="005D6815" w:rsidRPr="00D8107F">
        <w:rPr>
          <w:rFonts w:eastAsia="Times New Roman" w:cs="Times New Roman"/>
          <w:color w:val="000000" w:themeColor="text1"/>
          <w:lang w:eastAsia="en-GB"/>
        </w:rPr>
        <w:t>1</w:t>
      </w:r>
      <w:r w:rsidRPr="00D8107F">
        <w:rPr>
          <w:rFonts w:eastAsia="Times New Roman" w:cs="Times New Roman"/>
          <w:color w:val="000000" w:themeColor="text1"/>
          <w:lang w:eastAsia="en-GB"/>
        </w:rPr>
        <w:t xml:space="preserve">). </w:t>
      </w:r>
    </w:p>
    <w:p w14:paraId="39F160DA" w14:textId="37059B91" w:rsidR="00A212B9" w:rsidRDefault="00A212B9" w:rsidP="00D8107F">
      <w:pPr>
        <w:spacing w:after="240" w:line="480" w:lineRule="auto"/>
        <w:jc w:val="both"/>
        <w:rPr>
          <w:rFonts w:eastAsia="Times New Roman" w:cs="Times New Roman"/>
          <w:color w:val="000000" w:themeColor="text1"/>
          <w:lang w:eastAsia="en-GB"/>
        </w:rPr>
      </w:pPr>
      <w:r w:rsidRPr="00D8107F">
        <w:rPr>
          <w:rFonts w:eastAsia="Times New Roman" w:cs="Times New Roman"/>
          <w:color w:val="000000" w:themeColor="text1"/>
          <w:lang w:eastAsia="en-GB"/>
        </w:rPr>
        <w:lastRenderedPageBreak/>
        <w:t>Increased tumour grade was associated with worse PFS (p=0.003) and OS (p=0.01) whilst elevated baseline somatostatin level was associated with poorer OS (p=0.01) and PFS (p=0.01). Elevated baseline Chromogranin A level was not associated with a statistically significant change in PFS or OS</w:t>
      </w:r>
      <w:r w:rsidR="009144D9">
        <w:rPr>
          <w:rFonts w:eastAsia="Times New Roman" w:cs="Times New Roman"/>
          <w:color w:val="000000" w:themeColor="text1"/>
          <w:lang w:eastAsia="en-GB"/>
        </w:rPr>
        <w:t xml:space="preserve"> </w:t>
      </w:r>
      <w:r w:rsidR="009144D9" w:rsidRPr="009144D9">
        <w:rPr>
          <w:rFonts w:eastAsia="Times New Roman" w:cs="Times New Roman"/>
          <w:color w:val="000000" w:themeColor="text1"/>
          <w:highlight w:val="yellow"/>
          <w:lang w:eastAsia="en-GB"/>
        </w:rPr>
        <w:t>(Supplementary Table 1)</w:t>
      </w:r>
      <w:r w:rsidR="00812031">
        <w:rPr>
          <w:rFonts w:eastAsia="Times New Roman" w:cs="Times New Roman"/>
          <w:color w:val="000000" w:themeColor="text1"/>
          <w:highlight w:val="yellow"/>
          <w:vertAlign w:val="superscript"/>
          <w:lang w:eastAsia="en-GB"/>
        </w:rPr>
        <w:t>25</w:t>
      </w:r>
      <w:r w:rsidRPr="009144D9">
        <w:rPr>
          <w:rFonts w:eastAsia="Times New Roman" w:cs="Times New Roman"/>
          <w:color w:val="000000" w:themeColor="text1"/>
          <w:highlight w:val="yellow"/>
          <w:lang w:eastAsia="en-GB"/>
        </w:rPr>
        <w:t>.</w:t>
      </w:r>
      <w:r w:rsidR="009144D9" w:rsidRPr="009144D9">
        <w:rPr>
          <w:rFonts w:eastAsia="Times New Roman" w:cs="Times New Roman"/>
          <w:color w:val="000000" w:themeColor="text1"/>
          <w:highlight w:val="yellow"/>
          <w:lang w:eastAsia="en-GB"/>
        </w:rPr>
        <w:t xml:space="preserve"> Similarly, baseline levels of</w:t>
      </w:r>
      <w:r w:rsidR="00F02066">
        <w:rPr>
          <w:rFonts w:eastAsia="Times New Roman" w:cs="Times New Roman"/>
          <w:color w:val="000000" w:themeColor="text1"/>
          <w:highlight w:val="yellow"/>
          <w:lang w:eastAsia="en-GB"/>
        </w:rPr>
        <w:t xml:space="preserve"> the</w:t>
      </w:r>
      <w:r w:rsidR="009144D9" w:rsidRPr="009144D9">
        <w:rPr>
          <w:rFonts w:eastAsia="Times New Roman" w:cs="Times New Roman"/>
          <w:color w:val="000000" w:themeColor="text1"/>
          <w:highlight w:val="yellow"/>
          <w:lang w:eastAsia="en-GB"/>
        </w:rPr>
        <w:t xml:space="preserve"> gut </w:t>
      </w:r>
      <w:r w:rsidR="009144D9" w:rsidRPr="00F02066">
        <w:rPr>
          <w:rFonts w:eastAsia="Times New Roman" w:cs="Times New Roman"/>
          <w:color w:val="000000" w:themeColor="text1"/>
          <w:highlight w:val="yellow"/>
          <w:lang w:eastAsia="en-GB"/>
        </w:rPr>
        <w:t xml:space="preserve">hormones </w:t>
      </w:r>
      <w:r w:rsidR="00F02066" w:rsidRPr="00F02066">
        <w:rPr>
          <w:rFonts w:eastAsia="Times New Roman" w:cs="Times New Roman"/>
          <w:color w:val="000000" w:themeColor="text1"/>
          <w:highlight w:val="yellow"/>
          <w:lang w:eastAsia="en-GB"/>
        </w:rPr>
        <w:t xml:space="preserve">Chromogranin </w:t>
      </w:r>
      <w:r w:rsidR="00F02066" w:rsidRPr="00F02066">
        <w:rPr>
          <w:rFonts w:cs="AdvPSA183"/>
          <w:color w:val="000000" w:themeColor="text1"/>
          <w:highlight w:val="yellow"/>
        </w:rPr>
        <w:t xml:space="preserve">B, gastrin, glucagon, pancreatic polypeptide, vasoactive intestinal peptide (VIP) and </w:t>
      </w:r>
      <w:r w:rsidR="00F02066" w:rsidRPr="00F02066">
        <w:rPr>
          <w:rFonts w:eastAsia="Times New Roman" w:cs="Times New Roman"/>
          <w:color w:val="000000" w:themeColor="text1"/>
          <w:highlight w:val="yellow"/>
          <w:lang w:eastAsia="en-GB"/>
        </w:rPr>
        <w:t>5-HIAA (5-Hydroxyindoleacetic acid)</w:t>
      </w:r>
      <w:r w:rsidR="00F02066">
        <w:rPr>
          <w:rFonts w:eastAsia="Times New Roman" w:cs="Times New Roman"/>
          <w:color w:val="000000" w:themeColor="text1"/>
          <w:highlight w:val="yellow"/>
          <w:lang w:eastAsia="en-GB"/>
        </w:rPr>
        <w:t xml:space="preserve"> </w:t>
      </w:r>
      <w:r w:rsidR="009144D9" w:rsidRPr="00F02066">
        <w:rPr>
          <w:rFonts w:eastAsia="Times New Roman" w:cs="Times New Roman"/>
          <w:color w:val="000000" w:themeColor="text1"/>
          <w:highlight w:val="yellow"/>
          <w:lang w:eastAsia="en-GB"/>
        </w:rPr>
        <w:t xml:space="preserve">were not associated with statistically significant </w:t>
      </w:r>
      <w:r w:rsidR="009144D9" w:rsidRPr="009144D9">
        <w:rPr>
          <w:rFonts w:eastAsia="Times New Roman" w:cs="Times New Roman"/>
          <w:color w:val="000000" w:themeColor="text1"/>
          <w:highlight w:val="yellow"/>
          <w:lang w:eastAsia="en-GB"/>
        </w:rPr>
        <w:t>changes in PFS or OS (data not shown).</w:t>
      </w:r>
    </w:p>
    <w:p w14:paraId="76A2AC58" w14:textId="398BED74" w:rsidR="006B489A" w:rsidRPr="00D8107F" w:rsidRDefault="00CD76DF" w:rsidP="00D8107F">
      <w:pPr>
        <w:spacing w:after="240" w:line="480" w:lineRule="auto"/>
        <w:jc w:val="both"/>
        <w:rPr>
          <w:rFonts w:eastAsia="Times New Roman" w:cs="Times New Roman"/>
          <w:color w:val="000000" w:themeColor="text1"/>
          <w:lang w:eastAsia="en-GB"/>
        </w:rPr>
      </w:pPr>
      <w:r w:rsidRPr="00CD76DF">
        <w:rPr>
          <w:rFonts w:eastAsia="Times New Roman" w:cs="Times New Roman"/>
          <w:color w:val="000000" w:themeColor="text1"/>
          <w:highlight w:val="yellow"/>
          <w:lang w:eastAsia="en-GB"/>
        </w:rPr>
        <w:t>Other factors that were analysed for association with survival included SUVmax at baseline; the presence of liver metastases; the presence of extra-hepatic metastases; the subgroup of NET (GEPNET vs. non-GEPNET); and baseline NLR and PLR. None of these variables emerged as statistically significant univariate predictors of either OS or PFS on univariate analysis (Supplementary Table 1)</w:t>
      </w:r>
      <w:r w:rsidR="00812031">
        <w:rPr>
          <w:rFonts w:eastAsia="Times New Roman" w:cs="Times New Roman"/>
          <w:color w:val="000000" w:themeColor="text1"/>
          <w:highlight w:val="yellow"/>
          <w:vertAlign w:val="superscript"/>
          <w:lang w:eastAsia="en-GB"/>
        </w:rPr>
        <w:t>25</w:t>
      </w:r>
      <w:r w:rsidRPr="00CD76DF">
        <w:rPr>
          <w:rFonts w:eastAsia="Times New Roman" w:cs="Times New Roman"/>
          <w:color w:val="000000" w:themeColor="text1"/>
          <w:highlight w:val="yellow"/>
          <w:lang w:eastAsia="en-GB"/>
        </w:rPr>
        <w:t>.</w:t>
      </w:r>
      <w:r>
        <w:rPr>
          <w:rFonts w:eastAsia="Times New Roman" w:cs="Times New Roman"/>
          <w:color w:val="000000" w:themeColor="text1"/>
          <w:lang w:eastAsia="en-GB"/>
        </w:rPr>
        <w:t xml:space="preserve"> </w:t>
      </w:r>
    </w:p>
    <w:p w14:paraId="1144EFAD" w14:textId="7FB995D4" w:rsidR="00D60007" w:rsidRPr="00D8107F" w:rsidRDefault="002834A2" w:rsidP="00D8107F">
      <w:pPr>
        <w:spacing w:after="240" w:line="480" w:lineRule="auto"/>
        <w:jc w:val="both"/>
        <w:rPr>
          <w:rFonts w:eastAsia="Times New Roman" w:cs="Times New Roman"/>
          <w:color w:val="000000" w:themeColor="text1"/>
          <w:lang w:eastAsia="en-GB"/>
        </w:rPr>
      </w:pPr>
      <w:r w:rsidRPr="00D8107F">
        <w:rPr>
          <w:rFonts w:eastAsia="Times New Roman" w:cs="Times New Roman"/>
          <w:color w:val="000000" w:themeColor="text1"/>
          <w:lang w:eastAsia="en-GB"/>
        </w:rPr>
        <w:t>M</w:t>
      </w:r>
      <w:r w:rsidR="00BE04A3" w:rsidRPr="00D8107F">
        <w:rPr>
          <w:rFonts w:eastAsia="Times New Roman" w:cs="Times New Roman"/>
          <w:color w:val="000000" w:themeColor="text1"/>
          <w:lang w:eastAsia="en-GB"/>
        </w:rPr>
        <w:t>ultivaria</w:t>
      </w:r>
      <w:r w:rsidRPr="00D8107F">
        <w:rPr>
          <w:rFonts w:eastAsia="Times New Roman" w:cs="Times New Roman"/>
          <w:color w:val="000000" w:themeColor="text1"/>
          <w:lang w:eastAsia="en-GB"/>
        </w:rPr>
        <w:t>bl</w:t>
      </w:r>
      <w:r w:rsidR="00BE04A3" w:rsidRPr="00D8107F">
        <w:rPr>
          <w:rFonts w:eastAsia="Times New Roman" w:cs="Times New Roman"/>
          <w:color w:val="000000" w:themeColor="text1"/>
          <w:lang w:eastAsia="en-GB"/>
        </w:rPr>
        <w:t>e analysis</w:t>
      </w:r>
      <w:r w:rsidR="00036B58" w:rsidRPr="00D8107F">
        <w:rPr>
          <w:rFonts w:eastAsia="Times New Roman" w:cs="Times New Roman"/>
          <w:color w:val="000000" w:themeColor="text1"/>
          <w:lang w:eastAsia="en-GB"/>
        </w:rPr>
        <w:t xml:space="preserve"> </w:t>
      </w:r>
      <w:r w:rsidRPr="00D8107F">
        <w:rPr>
          <w:rFonts w:eastAsia="Times New Roman" w:cs="Times New Roman"/>
          <w:color w:val="000000" w:themeColor="text1"/>
          <w:lang w:eastAsia="en-GB"/>
        </w:rPr>
        <w:t>confirmed significant, independent associations for</w:t>
      </w:r>
      <w:r w:rsidR="00BE04A3" w:rsidRPr="00D8107F">
        <w:rPr>
          <w:rFonts w:eastAsia="Times New Roman" w:cs="Times New Roman"/>
          <w:color w:val="000000" w:themeColor="text1"/>
          <w:lang w:eastAsia="en-GB"/>
        </w:rPr>
        <w:t xml:space="preserve"> </w:t>
      </w:r>
      <w:r w:rsidR="002B427C" w:rsidRPr="00D8107F">
        <w:rPr>
          <w:rFonts w:eastAsia="Times New Roman" w:cs="Times New Roman"/>
          <w:color w:val="000000" w:themeColor="text1"/>
          <w:lang w:eastAsia="en-GB"/>
        </w:rPr>
        <w:t xml:space="preserve">baseline IBI score </w:t>
      </w:r>
      <w:r w:rsidR="00036B58" w:rsidRPr="00D8107F">
        <w:rPr>
          <w:rFonts w:eastAsia="Times New Roman" w:cs="Times New Roman"/>
          <w:color w:val="000000" w:themeColor="text1"/>
          <w:lang w:eastAsia="en-GB"/>
        </w:rPr>
        <w:t>(</w:t>
      </w:r>
      <w:r w:rsidR="00A212B9" w:rsidRPr="00D8107F">
        <w:rPr>
          <w:rFonts w:eastAsia="Times New Roman" w:cs="Times New Roman"/>
          <w:color w:val="000000" w:themeColor="text1"/>
          <w:lang w:eastAsia="en-GB"/>
        </w:rPr>
        <w:t xml:space="preserve">HR 3.22 (95% CI 1.63-6.34), </w:t>
      </w:r>
      <w:r w:rsidR="00036B58" w:rsidRPr="00D8107F">
        <w:rPr>
          <w:rFonts w:eastAsia="Times New Roman" w:cs="Times New Roman"/>
          <w:color w:val="000000" w:themeColor="text1"/>
          <w:lang w:eastAsia="en-GB"/>
        </w:rPr>
        <w:t>p</w:t>
      </w:r>
      <w:r w:rsidR="00442969" w:rsidRPr="00D8107F">
        <w:rPr>
          <w:rFonts w:eastAsia="Times New Roman" w:cs="Times New Roman"/>
          <w:color w:val="000000" w:themeColor="text1"/>
          <w:lang w:eastAsia="en-GB"/>
        </w:rPr>
        <w:t>=</w:t>
      </w:r>
      <w:r w:rsidR="00036B58" w:rsidRPr="00D8107F">
        <w:rPr>
          <w:rFonts w:eastAsia="Times New Roman" w:cs="Times New Roman"/>
          <w:color w:val="000000" w:themeColor="text1"/>
          <w:lang w:eastAsia="en-GB"/>
        </w:rPr>
        <w:t>0.0</w:t>
      </w:r>
      <w:r w:rsidR="005D6815" w:rsidRPr="00D8107F">
        <w:rPr>
          <w:rFonts w:eastAsia="Times New Roman" w:cs="Times New Roman"/>
          <w:color w:val="000000" w:themeColor="text1"/>
          <w:lang w:eastAsia="en-GB"/>
        </w:rPr>
        <w:t>0</w:t>
      </w:r>
      <w:r w:rsidR="00D522C9" w:rsidRPr="00D8107F">
        <w:rPr>
          <w:rFonts w:eastAsia="Times New Roman" w:cs="Times New Roman"/>
          <w:color w:val="000000" w:themeColor="text1"/>
          <w:lang w:eastAsia="en-GB"/>
        </w:rPr>
        <w:t>1</w:t>
      </w:r>
      <w:r w:rsidRPr="00D8107F">
        <w:rPr>
          <w:rFonts w:eastAsia="Times New Roman" w:cs="Times New Roman"/>
          <w:color w:val="000000" w:themeColor="text1"/>
          <w:lang w:eastAsia="en-GB"/>
        </w:rPr>
        <w:t>) and</w:t>
      </w:r>
      <w:r w:rsidR="0048446D" w:rsidRPr="00D8107F">
        <w:rPr>
          <w:rFonts w:eastAsia="Times New Roman" w:cs="Times New Roman"/>
          <w:color w:val="000000" w:themeColor="text1"/>
          <w:lang w:eastAsia="en-GB"/>
        </w:rPr>
        <w:t xml:space="preserve"> tumour grade </w:t>
      </w:r>
      <w:r w:rsidR="00A212B9" w:rsidRPr="00D8107F">
        <w:rPr>
          <w:rFonts w:eastAsia="Times New Roman" w:cs="Times New Roman"/>
          <w:color w:val="000000" w:themeColor="text1"/>
          <w:lang w:eastAsia="en-GB"/>
        </w:rPr>
        <w:t xml:space="preserve">(HR 3.49 (95% CI 1.20-10.1), p=0.02) </w:t>
      </w:r>
      <w:r w:rsidR="00456AAC" w:rsidRPr="00D8107F">
        <w:rPr>
          <w:rFonts w:eastAsia="Times New Roman" w:cs="Times New Roman"/>
          <w:color w:val="000000" w:themeColor="text1"/>
          <w:lang w:eastAsia="en-GB"/>
        </w:rPr>
        <w:t>with progression free survival</w:t>
      </w:r>
      <w:r w:rsidR="00036B58" w:rsidRPr="00D8107F">
        <w:rPr>
          <w:rFonts w:eastAsia="Times New Roman" w:cs="Times New Roman"/>
          <w:color w:val="000000" w:themeColor="text1"/>
          <w:lang w:eastAsia="en-GB"/>
        </w:rPr>
        <w:t>.</w:t>
      </w:r>
    </w:p>
    <w:p w14:paraId="60ACEE57" w14:textId="17E12A0F" w:rsidR="00456AAC" w:rsidRPr="00D8107F" w:rsidRDefault="00456AAC" w:rsidP="00D8107F">
      <w:pPr>
        <w:spacing w:after="240" w:line="480" w:lineRule="auto"/>
        <w:jc w:val="both"/>
        <w:rPr>
          <w:rFonts w:eastAsia="Times New Roman" w:cs="Times New Roman"/>
          <w:b/>
          <w:color w:val="000000" w:themeColor="text1"/>
          <w:lang w:eastAsia="en-GB"/>
        </w:rPr>
      </w:pPr>
      <w:r w:rsidRPr="00D8107F">
        <w:rPr>
          <w:rFonts w:eastAsia="Times New Roman" w:cs="Times New Roman"/>
          <w:b/>
          <w:color w:val="000000" w:themeColor="text1"/>
          <w:lang w:eastAsia="en-GB"/>
        </w:rPr>
        <w:t>Decision curve analysis</w:t>
      </w:r>
    </w:p>
    <w:p w14:paraId="0EAE641D" w14:textId="2CB422AF" w:rsidR="0006239A" w:rsidRPr="00EF1D33" w:rsidRDefault="00BC59F5" w:rsidP="00EF1D33">
      <w:pPr>
        <w:spacing w:after="240" w:line="480" w:lineRule="auto"/>
        <w:jc w:val="both"/>
        <w:rPr>
          <w:rFonts w:eastAsia="Times New Roman" w:cs="Times New Roman"/>
          <w:color w:val="000000" w:themeColor="text1"/>
          <w:lang w:eastAsia="en-GB"/>
        </w:rPr>
      </w:pPr>
      <w:r w:rsidRPr="00D8107F">
        <w:rPr>
          <w:rFonts w:eastAsia="Times New Roman" w:cs="Times New Roman"/>
          <w:color w:val="000000" w:themeColor="text1"/>
          <w:lang w:eastAsia="en-GB"/>
        </w:rPr>
        <w:t xml:space="preserve">Net benefit of using IBI over current inclusion criteria </w:t>
      </w:r>
      <w:r w:rsidR="002A2DAA" w:rsidRPr="00D8107F">
        <w:rPr>
          <w:rFonts w:eastAsia="Times New Roman" w:cs="Times New Roman"/>
          <w:color w:val="000000" w:themeColor="text1"/>
          <w:lang w:eastAsia="en-GB"/>
        </w:rPr>
        <w:t xml:space="preserve">in terms of predicting disease progression at 12 months was evaluated in </w:t>
      </w:r>
      <w:r w:rsidR="005D6815" w:rsidRPr="00D8107F">
        <w:rPr>
          <w:rFonts w:eastAsia="Times New Roman" w:cs="Times New Roman"/>
          <w:color w:val="000000" w:themeColor="text1"/>
          <w:lang w:eastAsia="en-GB"/>
        </w:rPr>
        <w:t>51</w:t>
      </w:r>
      <w:r w:rsidR="002A2DAA" w:rsidRPr="00D8107F">
        <w:rPr>
          <w:rFonts w:eastAsia="Times New Roman" w:cs="Times New Roman"/>
          <w:color w:val="000000" w:themeColor="text1"/>
          <w:lang w:eastAsia="en-GB"/>
        </w:rPr>
        <w:t xml:space="preserve"> patients.</w:t>
      </w:r>
      <w:r w:rsidR="00484EEA" w:rsidRPr="00D8107F">
        <w:rPr>
          <w:rFonts w:eastAsia="Times New Roman" w:cs="Times New Roman"/>
          <w:color w:val="000000" w:themeColor="text1"/>
          <w:lang w:eastAsia="en-GB"/>
        </w:rPr>
        <w:t xml:space="preserve"> </w:t>
      </w:r>
      <w:r w:rsidR="005327D5" w:rsidRPr="00D8107F">
        <w:rPr>
          <w:rFonts w:eastAsia="Times New Roman" w:cs="Times New Roman"/>
          <w:color w:val="000000" w:themeColor="text1"/>
          <w:lang w:eastAsia="en-GB"/>
        </w:rPr>
        <w:t>In two</w:t>
      </w:r>
      <w:r w:rsidR="005D6815" w:rsidRPr="00D8107F">
        <w:rPr>
          <w:rFonts w:eastAsia="Times New Roman" w:cs="Times New Roman"/>
          <w:color w:val="000000" w:themeColor="text1"/>
          <w:lang w:eastAsia="en-GB"/>
        </w:rPr>
        <w:t xml:space="preserve"> patients, </w:t>
      </w:r>
      <w:r w:rsidR="00484EEA" w:rsidRPr="00D8107F">
        <w:rPr>
          <w:rFonts w:eastAsia="Times New Roman" w:cs="Times New Roman"/>
          <w:color w:val="000000" w:themeColor="text1"/>
          <w:lang w:eastAsia="en-GB"/>
        </w:rPr>
        <w:t xml:space="preserve">follow up data </w:t>
      </w:r>
      <w:r w:rsidR="005D6815" w:rsidRPr="00D8107F">
        <w:rPr>
          <w:rFonts w:eastAsia="Times New Roman" w:cs="Times New Roman"/>
          <w:color w:val="000000" w:themeColor="text1"/>
          <w:lang w:eastAsia="en-GB"/>
        </w:rPr>
        <w:t xml:space="preserve">was </w:t>
      </w:r>
      <w:r w:rsidR="00484EEA" w:rsidRPr="00D8107F">
        <w:rPr>
          <w:rFonts w:eastAsia="Times New Roman" w:cs="Times New Roman"/>
          <w:color w:val="000000" w:themeColor="text1"/>
          <w:lang w:eastAsia="en-GB"/>
        </w:rPr>
        <w:t>less than 12 months and so</w:t>
      </w:r>
      <w:r w:rsidR="005D6815" w:rsidRPr="00D8107F">
        <w:rPr>
          <w:rFonts w:eastAsia="Times New Roman" w:cs="Times New Roman"/>
          <w:color w:val="000000" w:themeColor="text1"/>
          <w:lang w:eastAsia="en-GB"/>
        </w:rPr>
        <w:t xml:space="preserve"> they were </w:t>
      </w:r>
      <w:r w:rsidR="00484EEA" w:rsidRPr="00D8107F">
        <w:rPr>
          <w:rFonts w:eastAsia="Times New Roman" w:cs="Times New Roman"/>
          <w:color w:val="000000" w:themeColor="text1"/>
          <w:lang w:eastAsia="en-GB"/>
        </w:rPr>
        <w:t xml:space="preserve">excluded from the analysis. </w:t>
      </w:r>
      <w:r w:rsidR="008F7718" w:rsidRPr="00D8107F">
        <w:rPr>
          <w:rFonts w:eastAsia="Times New Roman" w:cs="Times New Roman"/>
          <w:color w:val="000000" w:themeColor="text1"/>
          <w:lang w:eastAsia="en-GB"/>
        </w:rPr>
        <w:t>A</w:t>
      </w:r>
      <w:r w:rsidR="00456AAC" w:rsidRPr="00D8107F">
        <w:rPr>
          <w:rFonts w:eastAsia="Times New Roman" w:cs="Times New Roman"/>
          <w:color w:val="000000" w:themeColor="text1"/>
          <w:lang w:eastAsia="en-GB"/>
        </w:rPr>
        <w:t xml:space="preserve">n opt-out rule based upon an abnormal baseline IBI score </w:t>
      </w:r>
      <w:r w:rsidR="008F7718" w:rsidRPr="00D8107F">
        <w:rPr>
          <w:rFonts w:eastAsia="Times New Roman" w:cs="Times New Roman"/>
          <w:color w:val="000000" w:themeColor="text1"/>
          <w:lang w:eastAsia="en-GB"/>
        </w:rPr>
        <w:t xml:space="preserve">demonstrated greater net benefit than a treat all strategy </w:t>
      </w:r>
      <w:r w:rsidR="003E7308" w:rsidRPr="00D8107F">
        <w:rPr>
          <w:rFonts w:eastAsia="Times New Roman" w:cs="Times New Roman"/>
          <w:color w:val="000000" w:themeColor="text1"/>
          <w:lang w:eastAsia="en-GB"/>
        </w:rPr>
        <w:t>between</w:t>
      </w:r>
      <w:r w:rsidR="008F7718" w:rsidRPr="00D8107F">
        <w:rPr>
          <w:rFonts w:eastAsia="Times New Roman" w:cs="Times New Roman"/>
          <w:color w:val="000000" w:themeColor="text1"/>
          <w:lang w:eastAsia="en-GB"/>
        </w:rPr>
        <w:t xml:space="preserve"> risk threshold</w:t>
      </w:r>
      <w:r w:rsidR="003E7308" w:rsidRPr="00D8107F">
        <w:rPr>
          <w:rFonts w:eastAsia="Times New Roman" w:cs="Times New Roman"/>
          <w:color w:val="000000" w:themeColor="text1"/>
          <w:lang w:eastAsia="en-GB"/>
        </w:rPr>
        <w:t>s</w:t>
      </w:r>
      <w:r w:rsidR="008F7718" w:rsidRPr="00D8107F">
        <w:rPr>
          <w:rFonts w:eastAsia="Times New Roman" w:cs="Times New Roman"/>
          <w:color w:val="000000" w:themeColor="text1"/>
          <w:lang w:eastAsia="en-GB"/>
        </w:rPr>
        <w:t xml:space="preserve"> of approximately </w:t>
      </w:r>
      <w:r w:rsidR="005D6815" w:rsidRPr="00D8107F">
        <w:rPr>
          <w:rFonts w:eastAsia="Times New Roman" w:cs="Times New Roman"/>
          <w:color w:val="000000" w:themeColor="text1"/>
          <w:lang w:eastAsia="en-GB"/>
        </w:rPr>
        <w:t>3</w:t>
      </w:r>
      <w:r w:rsidR="008F7718" w:rsidRPr="00D8107F">
        <w:rPr>
          <w:rFonts w:eastAsia="Times New Roman" w:cs="Times New Roman"/>
          <w:color w:val="000000" w:themeColor="text1"/>
          <w:lang w:eastAsia="en-GB"/>
        </w:rPr>
        <w:t>%</w:t>
      </w:r>
      <w:r w:rsidR="003E7308" w:rsidRPr="00D8107F">
        <w:rPr>
          <w:rFonts w:eastAsia="Times New Roman" w:cs="Times New Roman"/>
          <w:color w:val="000000" w:themeColor="text1"/>
          <w:lang w:eastAsia="en-GB"/>
        </w:rPr>
        <w:t xml:space="preserve"> and 58%</w:t>
      </w:r>
      <w:r w:rsidR="008F7718" w:rsidRPr="00D8107F">
        <w:rPr>
          <w:rFonts w:eastAsia="Times New Roman" w:cs="Times New Roman"/>
          <w:color w:val="000000" w:themeColor="text1"/>
          <w:lang w:eastAsia="en-GB"/>
        </w:rPr>
        <w:t xml:space="preserve"> </w:t>
      </w:r>
      <w:r w:rsidR="008F7718" w:rsidRPr="00286F10">
        <w:rPr>
          <w:rFonts w:eastAsia="Times New Roman" w:cs="Times New Roman"/>
          <w:color w:val="000000" w:themeColor="text1"/>
          <w:highlight w:val="yellow"/>
          <w:lang w:eastAsia="en-GB"/>
        </w:rPr>
        <w:t xml:space="preserve">(Figure </w:t>
      </w:r>
      <w:r w:rsidR="005D6815" w:rsidRPr="00286F10">
        <w:rPr>
          <w:rFonts w:eastAsia="Times New Roman" w:cs="Times New Roman"/>
          <w:color w:val="000000" w:themeColor="text1"/>
          <w:highlight w:val="yellow"/>
          <w:lang w:eastAsia="en-GB"/>
        </w:rPr>
        <w:t>3</w:t>
      </w:r>
      <w:r w:rsidR="00286F10" w:rsidRPr="00286F10">
        <w:rPr>
          <w:rFonts w:eastAsia="Times New Roman" w:cs="Times New Roman"/>
          <w:color w:val="000000" w:themeColor="text1"/>
          <w:highlight w:val="yellow"/>
          <w:lang w:eastAsia="en-GB"/>
        </w:rPr>
        <w:t>; Table 3</w:t>
      </w:r>
      <w:r w:rsidR="008F7718" w:rsidRPr="00286F10">
        <w:rPr>
          <w:rFonts w:eastAsia="Times New Roman" w:cs="Times New Roman"/>
          <w:color w:val="000000" w:themeColor="text1"/>
          <w:highlight w:val="yellow"/>
          <w:lang w:eastAsia="en-GB"/>
        </w:rPr>
        <w:t>).</w:t>
      </w:r>
      <w:r w:rsidR="001B5C05" w:rsidRPr="00286F10">
        <w:rPr>
          <w:rFonts w:eastAsia="Times New Roman" w:cs="Times New Roman"/>
          <w:color w:val="000000" w:themeColor="text1"/>
          <w:highlight w:val="yellow"/>
          <w:lang w:eastAsia="en-GB"/>
        </w:rPr>
        <w:t xml:space="preserve"> At </w:t>
      </w:r>
      <w:r w:rsidR="001B5C05" w:rsidRPr="001B5C05">
        <w:rPr>
          <w:rFonts w:eastAsia="Times New Roman" w:cs="Times New Roman"/>
          <w:color w:val="000000" w:themeColor="text1"/>
          <w:highlight w:val="yellow"/>
          <w:lang w:eastAsia="en-GB"/>
        </w:rPr>
        <w:t>the point that</w:t>
      </w:r>
      <w:r w:rsidR="008F7718" w:rsidRPr="001B5C05">
        <w:rPr>
          <w:rFonts w:eastAsia="Times New Roman" w:cs="Times New Roman"/>
          <w:color w:val="000000" w:themeColor="text1"/>
          <w:highlight w:val="yellow"/>
          <w:lang w:eastAsia="en-GB"/>
        </w:rPr>
        <w:t xml:space="preserve"> the net benefit of treating all or no patients was equal</w:t>
      </w:r>
      <w:r w:rsidR="001B5C05" w:rsidRPr="001B5C05">
        <w:rPr>
          <w:rFonts w:eastAsia="Times New Roman" w:cs="Times New Roman"/>
          <w:color w:val="000000" w:themeColor="text1"/>
          <w:highlight w:val="yellow"/>
          <w:lang w:eastAsia="en-GB"/>
        </w:rPr>
        <w:t>, namely a threshold probability of 21.6%, the net benefit of IBI was calculated as 0.73 (95% CI 0.44-0.89)</w:t>
      </w:r>
      <w:r w:rsidRPr="001B5C05">
        <w:rPr>
          <w:rFonts w:eastAsia="Times New Roman" w:cs="Times New Roman"/>
          <w:color w:val="000000" w:themeColor="text1"/>
          <w:highlight w:val="yellow"/>
          <w:lang w:eastAsia="en-GB"/>
        </w:rPr>
        <w:t>.</w:t>
      </w:r>
      <w:r w:rsidRPr="00D8107F">
        <w:rPr>
          <w:rFonts w:eastAsia="Times New Roman" w:cs="Times New Roman"/>
          <w:color w:val="000000" w:themeColor="text1"/>
          <w:lang w:eastAsia="en-GB"/>
        </w:rPr>
        <w:t xml:space="preserve"> </w:t>
      </w:r>
    </w:p>
    <w:p w14:paraId="14574A71" w14:textId="77777777" w:rsidR="00EF1D33" w:rsidRDefault="00EF1D33" w:rsidP="00D8107F">
      <w:pPr>
        <w:spacing w:line="480" w:lineRule="auto"/>
        <w:contextualSpacing/>
        <w:outlineLvl w:val="0"/>
        <w:rPr>
          <w:rFonts w:asciiTheme="majorHAnsi" w:hAnsiTheme="majorHAnsi"/>
          <w:b/>
          <w:color w:val="000000" w:themeColor="text1"/>
          <w:sz w:val="26"/>
          <w:szCs w:val="26"/>
        </w:rPr>
      </w:pPr>
    </w:p>
    <w:p w14:paraId="739D283E" w14:textId="7F0F986B" w:rsidR="000E50FE" w:rsidRPr="00EF1D33" w:rsidRDefault="00655F02" w:rsidP="00D8107F">
      <w:pPr>
        <w:spacing w:line="480" w:lineRule="auto"/>
        <w:contextualSpacing/>
        <w:outlineLvl w:val="0"/>
        <w:rPr>
          <w:rFonts w:asciiTheme="majorHAnsi" w:hAnsiTheme="majorHAnsi"/>
          <w:b/>
          <w:color w:val="000000" w:themeColor="text1"/>
          <w:sz w:val="26"/>
          <w:szCs w:val="26"/>
        </w:rPr>
      </w:pPr>
      <w:r w:rsidRPr="00EF1D33">
        <w:rPr>
          <w:rFonts w:asciiTheme="majorHAnsi" w:hAnsiTheme="majorHAnsi"/>
          <w:b/>
          <w:color w:val="000000" w:themeColor="text1"/>
          <w:sz w:val="26"/>
          <w:szCs w:val="26"/>
        </w:rPr>
        <w:t>Discussion</w:t>
      </w:r>
    </w:p>
    <w:p w14:paraId="5A93D9E4" w14:textId="77777777" w:rsidR="00D8107F" w:rsidRPr="00D8107F" w:rsidRDefault="00D8107F" w:rsidP="00D8107F">
      <w:pPr>
        <w:spacing w:line="480" w:lineRule="auto"/>
        <w:contextualSpacing/>
        <w:outlineLvl w:val="0"/>
        <w:rPr>
          <w:b/>
          <w:color w:val="000000" w:themeColor="text1"/>
        </w:rPr>
      </w:pPr>
    </w:p>
    <w:p w14:paraId="1B53717D" w14:textId="1680E29C" w:rsidR="00DF7810" w:rsidRPr="00D8107F" w:rsidRDefault="00754B29" w:rsidP="00D8107F">
      <w:pPr>
        <w:spacing w:after="240" w:line="480" w:lineRule="auto"/>
        <w:jc w:val="both"/>
        <w:rPr>
          <w:color w:val="000000" w:themeColor="text1"/>
        </w:rPr>
      </w:pPr>
      <w:r w:rsidRPr="00D8107F">
        <w:rPr>
          <w:color w:val="000000" w:themeColor="text1"/>
        </w:rPr>
        <w:t xml:space="preserve">As a group of conditions, </w:t>
      </w:r>
      <w:r w:rsidRPr="00D8107F">
        <w:rPr>
          <w:rFonts w:cs="AdvPSA183"/>
          <w:color w:val="000000" w:themeColor="text1"/>
        </w:rPr>
        <w:t>m</w:t>
      </w:r>
      <w:r w:rsidR="00FA23F7" w:rsidRPr="00D8107F">
        <w:rPr>
          <w:rFonts w:cs="AdvPSA183"/>
          <w:color w:val="000000" w:themeColor="text1"/>
        </w:rPr>
        <w:t xml:space="preserve">etastatic </w:t>
      </w:r>
      <w:r w:rsidR="00DF7810" w:rsidRPr="00D8107F">
        <w:rPr>
          <w:rFonts w:cs="AdvPSA183"/>
          <w:color w:val="000000" w:themeColor="text1"/>
        </w:rPr>
        <w:t>NETs</w:t>
      </w:r>
      <w:r w:rsidR="00FA23F7" w:rsidRPr="00D8107F">
        <w:rPr>
          <w:rFonts w:cs="AdvPSA183"/>
          <w:color w:val="000000" w:themeColor="text1"/>
        </w:rPr>
        <w:t xml:space="preserve"> </w:t>
      </w:r>
      <w:r w:rsidRPr="00D8107F">
        <w:rPr>
          <w:rFonts w:cs="AdvPSA183"/>
          <w:color w:val="000000" w:themeColor="text1"/>
        </w:rPr>
        <w:t xml:space="preserve">remain challenging to treat and have a consistently poor prognosis. </w:t>
      </w:r>
      <w:r w:rsidR="00DF7810" w:rsidRPr="00D8107F">
        <w:rPr>
          <w:rFonts w:cs="AdvPSA183"/>
          <w:color w:val="000000" w:themeColor="text1"/>
        </w:rPr>
        <w:t>PRRT represents a promising therapy</w:t>
      </w:r>
      <w:r w:rsidR="00271E25" w:rsidRPr="00D8107F">
        <w:rPr>
          <w:rFonts w:cs="AdvPSA183"/>
          <w:color w:val="000000" w:themeColor="text1"/>
        </w:rPr>
        <w:t>,</w:t>
      </w:r>
      <w:r w:rsidR="00464C48" w:rsidRPr="00D8107F">
        <w:rPr>
          <w:rFonts w:cs="AdvPSA183"/>
          <w:color w:val="000000" w:themeColor="text1"/>
        </w:rPr>
        <w:t xml:space="preserve"> h</w:t>
      </w:r>
      <w:r w:rsidR="00DF7810" w:rsidRPr="00D8107F">
        <w:rPr>
          <w:rFonts w:cs="AdvPSA183"/>
          <w:color w:val="000000" w:themeColor="text1"/>
        </w:rPr>
        <w:t>owever</w:t>
      </w:r>
      <w:r w:rsidR="00271E25" w:rsidRPr="00D8107F">
        <w:rPr>
          <w:rFonts w:cs="AdvPSA183"/>
          <w:color w:val="000000" w:themeColor="text1"/>
        </w:rPr>
        <w:t>,</w:t>
      </w:r>
      <w:r w:rsidR="00464C48" w:rsidRPr="00D8107F">
        <w:rPr>
          <w:rFonts w:cs="AdvPSA183"/>
          <w:color w:val="000000" w:themeColor="text1"/>
        </w:rPr>
        <w:t xml:space="preserve"> it seems effective in only a sub-group of patients. </w:t>
      </w:r>
      <w:r w:rsidR="007F1507" w:rsidRPr="00D8107F">
        <w:rPr>
          <w:rFonts w:cs="AdvPSA183"/>
          <w:color w:val="000000" w:themeColor="text1"/>
        </w:rPr>
        <w:t>T</w:t>
      </w:r>
      <w:r w:rsidR="00464C48" w:rsidRPr="00D8107F">
        <w:rPr>
          <w:rFonts w:cs="AdvPSA183"/>
          <w:color w:val="000000" w:themeColor="text1"/>
        </w:rPr>
        <w:t xml:space="preserve">reatment is </w:t>
      </w:r>
      <w:r w:rsidR="00F17840" w:rsidRPr="00D8107F">
        <w:rPr>
          <w:rFonts w:cs="AdvPSA183"/>
          <w:color w:val="000000" w:themeColor="text1"/>
        </w:rPr>
        <w:t>expensive</w:t>
      </w:r>
      <w:r w:rsidR="007F1507" w:rsidRPr="00D8107F">
        <w:rPr>
          <w:rFonts w:cs="AdvPSA183"/>
          <w:color w:val="000000" w:themeColor="text1"/>
        </w:rPr>
        <w:t xml:space="preserve"> and its side effects potentially very toxic,</w:t>
      </w:r>
      <w:r w:rsidR="00F17840" w:rsidRPr="00D8107F">
        <w:rPr>
          <w:rFonts w:cs="AdvPSA183"/>
          <w:color w:val="000000" w:themeColor="text1"/>
        </w:rPr>
        <w:t xml:space="preserve"> creating an as yet</w:t>
      </w:r>
      <w:r w:rsidR="00F1323D" w:rsidRPr="00D8107F">
        <w:rPr>
          <w:color w:val="000000" w:themeColor="text1"/>
        </w:rPr>
        <w:t xml:space="preserve"> unmet</w:t>
      </w:r>
      <w:r w:rsidR="000E50FE" w:rsidRPr="00D8107F">
        <w:rPr>
          <w:color w:val="000000" w:themeColor="text1"/>
        </w:rPr>
        <w:t xml:space="preserve"> need for techniques to predict response to treatment.</w:t>
      </w:r>
      <w:r w:rsidR="008309E5" w:rsidRPr="00D8107F">
        <w:rPr>
          <w:color w:val="000000" w:themeColor="text1"/>
        </w:rPr>
        <w:t xml:space="preserve"> </w:t>
      </w:r>
      <w:r w:rsidR="001F7487" w:rsidRPr="00D8107F">
        <w:rPr>
          <w:color w:val="000000" w:themeColor="text1"/>
        </w:rPr>
        <w:t>Moreover</w:t>
      </w:r>
      <w:r w:rsidR="00F17840" w:rsidRPr="00D8107F">
        <w:rPr>
          <w:color w:val="000000" w:themeColor="text1"/>
        </w:rPr>
        <w:t xml:space="preserve"> patients </w:t>
      </w:r>
      <w:r w:rsidR="001F7487" w:rsidRPr="00D8107F">
        <w:rPr>
          <w:color w:val="000000" w:themeColor="text1"/>
        </w:rPr>
        <w:t xml:space="preserve">given </w:t>
      </w:r>
      <w:r w:rsidR="008309E5" w:rsidRPr="00D8107F">
        <w:rPr>
          <w:color w:val="000000" w:themeColor="text1"/>
        </w:rPr>
        <w:t xml:space="preserve">months of ineffectual </w:t>
      </w:r>
      <w:r w:rsidR="00B321FD" w:rsidRPr="00D8107F">
        <w:rPr>
          <w:color w:val="000000" w:themeColor="text1"/>
        </w:rPr>
        <w:t xml:space="preserve">treatment are all the while prevented from </w:t>
      </w:r>
      <w:r w:rsidR="00F17840" w:rsidRPr="00D8107F">
        <w:rPr>
          <w:color w:val="000000" w:themeColor="text1"/>
        </w:rPr>
        <w:t xml:space="preserve">enrolment </w:t>
      </w:r>
      <w:r w:rsidR="00B321FD" w:rsidRPr="00D8107F">
        <w:rPr>
          <w:color w:val="000000" w:themeColor="text1"/>
        </w:rPr>
        <w:t>into other experimental clinical trials</w:t>
      </w:r>
      <w:r w:rsidR="008D259B">
        <w:rPr>
          <w:color w:val="000000" w:themeColor="text1"/>
          <w:vertAlign w:val="superscript"/>
        </w:rPr>
        <w:t>26</w:t>
      </w:r>
      <w:r w:rsidR="003E62B3" w:rsidRPr="00D8107F">
        <w:rPr>
          <w:color w:val="000000" w:themeColor="text1"/>
        </w:rPr>
        <w:t>.</w:t>
      </w:r>
    </w:p>
    <w:p w14:paraId="243D60AC" w14:textId="3A3D8919" w:rsidR="000166AB" w:rsidRPr="00D8107F" w:rsidRDefault="00DF7810" w:rsidP="00D8107F">
      <w:pPr>
        <w:spacing w:after="240" w:line="480" w:lineRule="auto"/>
        <w:jc w:val="both"/>
        <w:rPr>
          <w:rFonts w:cs="AdvPSA183"/>
          <w:color w:val="000000" w:themeColor="text1"/>
        </w:rPr>
      </w:pPr>
      <w:r w:rsidRPr="00D8107F">
        <w:rPr>
          <w:rFonts w:cs="AdvPSA183"/>
          <w:color w:val="000000" w:themeColor="text1"/>
        </w:rPr>
        <w:t>In recent years, there has been an increasing body of evidence linking systemic inflammation to worse survival in cancer patients</w:t>
      </w:r>
      <w:r w:rsidR="00B55A1E" w:rsidRPr="00D8107F">
        <w:rPr>
          <w:rFonts w:cs="AdvPSA183"/>
          <w:color w:val="000000" w:themeColor="text1"/>
        </w:rPr>
        <w:t xml:space="preserve"> and a variety of validated biomarkers for prognosis that incorporate the systemic inflammatory response exist across several tumour types</w:t>
      </w:r>
      <w:r w:rsidR="00F11ED8">
        <w:rPr>
          <w:rFonts w:cs="AdvPSA183"/>
          <w:color w:val="000000" w:themeColor="text1"/>
        </w:rPr>
        <w:t>, including within neuroendocrine tumours</w:t>
      </w:r>
      <w:r w:rsidR="008D259B" w:rsidRPr="008D259B">
        <w:rPr>
          <w:rFonts w:cs="AdvPSA183"/>
          <w:color w:val="000000" w:themeColor="text1"/>
          <w:vertAlign w:val="superscript"/>
        </w:rPr>
        <w:t>27-29</w:t>
      </w:r>
      <w:r w:rsidR="000C2ED5" w:rsidRPr="00D8107F">
        <w:rPr>
          <w:rFonts w:cs="AdvPSA183"/>
          <w:color w:val="000000" w:themeColor="text1"/>
        </w:rPr>
        <w:t xml:space="preserve">. </w:t>
      </w:r>
      <w:r w:rsidR="00F17840" w:rsidRPr="00D8107F">
        <w:rPr>
          <w:rFonts w:cs="AdvPSA183"/>
          <w:color w:val="000000" w:themeColor="text1"/>
        </w:rPr>
        <w:t xml:space="preserve">The IBI combines </w:t>
      </w:r>
      <w:r w:rsidR="001C2104" w:rsidRPr="00D8107F">
        <w:rPr>
          <w:rFonts w:cs="AdvPSA183"/>
          <w:color w:val="000000" w:themeColor="text1"/>
        </w:rPr>
        <w:t xml:space="preserve">two markers of the acute phase response – elevated CRP and low serum albumin. </w:t>
      </w:r>
      <w:r w:rsidRPr="00D8107F">
        <w:rPr>
          <w:rFonts w:cs="AdvPSA183"/>
          <w:color w:val="000000" w:themeColor="text1"/>
        </w:rPr>
        <w:t xml:space="preserve">In this study, we have highlighted </w:t>
      </w:r>
      <w:r w:rsidR="001C2104" w:rsidRPr="00D8107F">
        <w:rPr>
          <w:rFonts w:cs="AdvPSA183"/>
          <w:color w:val="000000" w:themeColor="text1"/>
        </w:rPr>
        <w:t xml:space="preserve">that, combined in this manner, there is </w:t>
      </w:r>
      <w:r w:rsidRPr="00D8107F">
        <w:rPr>
          <w:rFonts w:cs="AdvPSA183"/>
          <w:color w:val="000000" w:themeColor="text1"/>
        </w:rPr>
        <w:t xml:space="preserve">a link between </w:t>
      </w:r>
      <w:r w:rsidR="00F17840" w:rsidRPr="00D8107F">
        <w:rPr>
          <w:rFonts w:cs="AdvPSA183"/>
          <w:color w:val="000000" w:themeColor="text1"/>
        </w:rPr>
        <w:t xml:space="preserve">markers of </w:t>
      </w:r>
      <w:r w:rsidRPr="00D8107F">
        <w:rPr>
          <w:rFonts w:cs="AdvPSA183"/>
          <w:color w:val="000000" w:themeColor="text1"/>
        </w:rPr>
        <w:t xml:space="preserve">systemic inflammation and poor prognosis in metastatic NETs. </w:t>
      </w:r>
      <w:r w:rsidR="001C2104" w:rsidRPr="00D8107F">
        <w:rPr>
          <w:rFonts w:cs="AdvPSA183"/>
          <w:color w:val="000000" w:themeColor="text1"/>
        </w:rPr>
        <w:t>P</w:t>
      </w:r>
      <w:r w:rsidR="00F17840" w:rsidRPr="00D8107F">
        <w:rPr>
          <w:color w:val="000000" w:themeColor="text1"/>
        </w:rPr>
        <w:t xml:space="preserve">re-treatment, elevated </w:t>
      </w:r>
      <w:r w:rsidR="005006D5" w:rsidRPr="00D8107F">
        <w:rPr>
          <w:color w:val="000000" w:themeColor="text1"/>
        </w:rPr>
        <w:t>IBI</w:t>
      </w:r>
      <w:r w:rsidR="001C4992" w:rsidRPr="00D8107F">
        <w:rPr>
          <w:color w:val="000000" w:themeColor="text1"/>
        </w:rPr>
        <w:t xml:space="preserve"> scores</w:t>
      </w:r>
      <w:r w:rsidR="005006D5" w:rsidRPr="00D8107F">
        <w:rPr>
          <w:color w:val="000000" w:themeColor="text1"/>
        </w:rPr>
        <w:t xml:space="preserve"> are</w:t>
      </w:r>
      <w:r w:rsidR="000012CE" w:rsidRPr="00D8107F">
        <w:rPr>
          <w:color w:val="000000" w:themeColor="text1"/>
        </w:rPr>
        <w:t xml:space="preserve"> </w:t>
      </w:r>
      <w:r w:rsidR="00F1323D" w:rsidRPr="00D8107F">
        <w:rPr>
          <w:color w:val="000000" w:themeColor="text1"/>
        </w:rPr>
        <w:t>associated with</w:t>
      </w:r>
      <w:r w:rsidR="00B441AA" w:rsidRPr="00D8107F">
        <w:rPr>
          <w:color w:val="000000" w:themeColor="text1"/>
        </w:rPr>
        <w:t xml:space="preserve"> </w:t>
      </w:r>
      <w:r w:rsidR="005006D5" w:rsidRPr="00D8107F">
        <w:rPr>
          <w:color w:val="000000" w:themeColor="text1"/>
        </w:rPr>
        <w:t>inferior OS and PFS</w:t>
      </w:r>
      <w:r w:rsidR="000012CE" w:rsidRPr="00D8107F">
        <w:rPr>
          <w:color w:val="000000" w:themeColor="text1"/>
        </w:rPr>
        <w:t xml:space="preserve"> in patients treated with </w:t>
      </w:r>
      <w:r w:rsidR="00B441AA" w:rsidRPr="00D8107F">
        <w:rPr>
          <w:rFonts w:eastAsia="Times New Roman" w:cs="Arial"/>
          <w:color w:val="000000" w:themeColor="text1"/>
          <w:shd w:val="clear" w:color="auto" w:fill="FFFFFF"/>
          <w:lang w:eastAsia="en-GB"/>
        </w:rPr>
        <w:t>PRRT</w:t>
      </w:r>
      <w:r w:rsidR="00207BB8" w:rsidRPr="00D8107F">
        <w:rPr>
          <w:rFonts w:cs="AdvPSA183"/>
          <w:color w:val="000000" w:themeColor="text1"/>
        </w:rPr>
        <w:t>.</w:t>
      </w:r>
      <w:r w:rsidR="00B4538F" w:rsidRPr="00D8107F">
        <w:rPr>
          <w:rFonts w:cs="AdvPSA183"/>
          <w:color w:val="000000" w:themeColor="text1"/>
        </w:rPr>
        <w:t xml:space="preserve"> </w:t>
      </w:r>
      <w:r w:rsidRPr="00D8107F">
        <w:rPr>
          <w:rFonts w:cs="AdvPSA183"/>
          <w:color w:val="000000" w:themeColor="text1"/>
        </w:rPr>
        <w:t xml:space="preserve">This suggests a </w:t>
      </w:r>
      <w:r w:rsidR="001C4992" w:rsidRPr="00D8107F">
        <w:rPr>
          <w:rFonts w:cs="AdvPSA183"/>
          <w:color w:val="000000" w:themeColor="text1"/>
        </w:rPr>
        <w:t xml:space="preserve">potential </w:t>
      </w:r>
      <w:r w:rsidRPr="00D8107F">
        <w:rPr>
          <w:rFonts w:cs="AdvPSA183"/>
          <w:color w:val="000000" w:themeColor="text1"/>
        </w:rPr>
        <w:t xml:space="preserve">role for </w:t>
      </w:r>
      <w:r w:rsidR="00B55A1E" w:rsidRPr="00D8107F">
        <w:rPr>
          <w:rFonts w:cs="AdvPSA183"/>
          <w:color w:val="000000" w:themeColor="text1"/>
        </w:rPr>
        <w:t>IBI in</w:t>
      </w:r>
      <w:r w:rsidR="00326FFD" w:rsidRPr="00D8107F">
        <w:rPr>
          <w:rFonts w:cs="AdvPSA183"/>
          <w:color w:val="000000" w:themeColor="text1"/>
        </w:rPr>
        <w:t xml:space="preserve"> aiding patient selection for PRRT by</w:t>
      </w:r>
      <w:r w:rsidR="00B55A1E" w:rsidRPr="00D8107F">
        <w:rPr>
          <w:rFonts w:cs="AdvPSA183"/>
          <w:color w:val="000000" w:themeColor="text1"/>
        </w:rPr>
        <w:t xml:space="preserve"> highlighting patients likely to have an objective response to therapy. </w:t>
      </w:r>
    </w:p>
    <w:p w14:paraId="184E45A2" w14:textId="66CF30DA" w:rsidR="00F179C1" w:rsidRDefault="00F1323D" w:rsidP="00D8107F">
      <w:pPr>
        <w:spacing w:after="240" w:line="480" w:lineRule="auto"/>
        <w:jc w:val="both"/>
        <w:rPr>
          <w:rFonts w:cs="AdvPSA183"/>
          <w:color w:val="000000" w:themeColor="text1"/>
        </w:rPr>
      </w:pPr>
      <w:r w:rsidRPr="00D8107F">
        <w:rPr>
          <w:rFonts w:cs="AdvPSA183"/>
          <w:color w:val="000000" w:themeColor="text1"/>
        </w:rPr>
        <w:t>We underline the</w:t>
      </w:r>
      <w:r w:rsidR="000166AB" w:rsidRPr="00D8107F">
        <w:rPr>
          <w:rFonts w:cs="AdvPSA183"/>
          <w:color w:val="000000" w:themeColor="text1"/>
        </w:rPr>
        <w:t xml:space="preserve"> clinical significance of t</w:t>
      </w:r>
      <w:r w:rsidR="00B321FD" w:rsidRPr="00D8107F">
        <w:rPr>
          <w:rFonts w:cs="AdvPSA183"/>
          <w:color w:val="000000" w:themeColor="text1"/>
        </w:rPr>
        <w:t xml:space="preserve">his </w:t>
      </w:r>
      <w:r w:rsidR="000166AB" w:rsidRPr="00D8107F">
        <w:rPr>
          <w:rFonts w:cs="AdvPSA183"/>
          <w:color w:val="000000" w:themeColor="text1"/>
        </w:rPr>
        <w:t xml:space="preserve">finding </w:t>
      </w:r>
      <w:r w:rsidRPr="00D8107F">
        <w:rPr>
          <w:rFonts w:cs="AdvPSA183"/>
          <w:color w:val="000000" w:themeColor="text1"/>
        </w:rPr>
        <w:t>with</w:t>
      </w:r>
      <w:r w:rsidR="000166AB" w:rsidRPr="00D8107F">
        <w:rPr>
          <w:rFonts w:cs="AdvPSA183"/>
          <w:color w:val="000000" w:themeColor="text1"/>
        </w:rPr>
        <w:t xml:space="preserve"> decision curve analysis</w:t>
      </w:r>
      <w:r w:rsidRPr="00D8107F">
        <w:rPr>
          <w:rFonts w:cs="AdvPSA183"/>
          <w:color w:val="000000" w:themeColor="text1"/>
        </w:rPr>
        <w:t>. T</w:t>
      </w:r>
      <w:r w:rsidR="000166AB" w:rsidRPr="00D8107F">
        <w:rPr>
          <w:rFonts w:cs="AdvPSA183"/>
          <w:color w:val="000000" w:themeColor="text1"/>
        </w:rPr>
        <w:t xml:space="preserve">his </w:t>
      </w:r>
      <w:r w:rsidRPr="00D8107F">
        <w:rPr>
          <w:rFonts w:cs="AdvPSA183"/>
          <w:color w:val="000000" w:themeColor="text1"/>
        </w:rPr>
        <w:t xml:space="preserve">method </w:t>
      </w:r>
      <w:r w:rsidR="000166AB" w:rsidRPr="00D8107F">
        <w:rPr>
          <w:rFonts w:cs="AdvPSA183"/>
          <w:color w:val="000000" w:themeColor="text1"/>
        </w:rPr>
        <w:t xml:space="preserve">takes into account relative benefits and harms and is used to demonstrate utility of a given model, in this case </w:t>
      </w:r>
      <w:r w:rsidR="00981F7F" w:rsidRPr="00D8107F">
        <w:rPr>
          <w:rFonts w:cs="AdvPSA183"/>
          <w:color w:val="000000" w:themeColor="text1"/>
        </w:rPr>
        <w:t xml:space="preserve">the ability of </w:t>
      </w:r>
      <w:r w:rsidR="000166AB" w:rsidRPr="00D8107F">
        <w:rPr>
          <w:rFonts w:cs="AdvPSA183"/>
          <w:color w:val="000000" w:themeColor="text1"/>
        </w:rPr>
        <w:t>IBI</w:t>
      </w:r>
      <w:r w:rsidR="00534566" w:rsidRPr="00D8107F">
        <w:rPr>
          <w:rFonts w:cs="AdvPSA183"/>
          <w:color w:val="000000" w:themeColor="text1"/>
        </w:rPr>
        <w:t xml:space="preserve"> to predict for </w:t>
      </w:r>
      <w:r w:rsidR="006B29D8" w:rsidRPr="00D8107F">
        <w:rPr>
          <w:rFonts w:cs="AdvPSA183"/>
          <w:color w:val="000000" w:themeColor="text1"/>
        </w:rPr>
        <w:t>disease progression at 12 months</w:t>
      </w:r>
      <w:r w:rsidR="000166AB" w:rsidRPr="00D8107F">
        <w:rPr>
          <w:rFonts w:cs="AdvPSA183"/>
          <w:color w:val="000000" w:themeColor="text1"/>
        </w:rPr>
        <w:t xml:space="preserve">. </w:t>
      </w:r>
      <w:r w:rsidR="00077173" w:rsidRPr="00D8107F">
        <w:rPr>
          <w:rFonts w:cs="AdvPSA183"/>
          <w:color w:val="000000" w:themeColor="text1"/>
        </w:rPr>
        <w:t xml:space="preserve">When analysing the ability of IBI to </w:t>
      </w:r>
      <w:r w:rsidR="00077173" w:rsidRPr="00F179C1">
        <w:rPr>
          <w:rFonts w:cs="AdvPSA183"/>
          <w:color w:val="000000" w:themeColor="text1"/>
        </w:rPr>
        <w:t xml:space="preserve">predict for </w:t>
      </w:r>
      <w:r w:rsidR="00393803" w:rsidRPr="00F179C1">
        <w:rPr>
          <w:rFonts w:cs="AdvPSA183"/>
          <w:color w:val="000000" w:themeColor="text1"/>
        </w:rPr>
        <w:t>disease progression</w:t>
      </w:r>
      <w:r w:rsidR="00077173" w:rsidRPr="00F179C1">
        <w:rPr>
          <w:rFonts w:cs="AdvPSA183"/>
          <w:color w:val="000000" w:themeColor="text1"/>
        </w:rPr>
        <w:t>, for example, w</w:t>
      </w:r>
      <w:r w:rsidR="00534566" w:rsidRPr="00F179C1">
        <w:rPr>
          <w:rFonts w:cs="AdvPSA183"/>
          <w:color w:val="000000" w:themeColor="text1"/>
        </w:rPr>
        <w:t>e show</w:t>
      </w:r>
      <w:r w:rsidR="000166AB" w:rsidRPr="00F179C1">
        <w:rPr>
          <w:rFonts w:cs="AdvPSA183"/>
          <w:color w:val="000000" w:themeColor="text1"/>
        </w:rPr>
        <w:t xml:space="preserve"> net benefit </w:t>
      </w:r>
      <w:r w:rsidR="00534566" w:rsidRPr="00F179C1">
        <w:rPr>
          <w:rFonts w:cs="AdvPSA183"/>
          <w:color w:val="000000" w:themeColor="text1"/>
        </w:rPr>
        <w:t>of 0.</w:t>
      </w:r>
      <w:r w:rsidR="00484EEA" w:rsidRPr="00F179C1">
        <w:rPr>
          <w:rFonts w:cs="AdvPSA183"/>
          <w:color w:val="000000" w:themeColor="text1"/>
        </w:rPr>
        <w:t>7</w:t>
      </w:r>
      <w:r w:rsidR="005327D5" w:rsidRPr="00F179C1">
        <w:rPr>
          <w:rFonts w:cs="AdvPSA183"/>
          <w:color w:val="000000" w:themeColor="text1"/>
        </w:rPr>
        <w:t>3</w:t>
      </w:r>
      <w:r w:rsidR="00534566" w:rsidRPr="00F179C1">
        <w:rPr>
          <w:rFonts w:cs="AdvPSA183"/>
          <w:color w:val="000000" w:themeColor="text1"/>
        </w:rPr>
        <w:t xml:space="preserve"> at a threshold probability </w:t>
      </w:r>
      <w:r w:rsidR="00F70CD1" w:rsidRPr="00F179C1">
        <w:rPr>
          <w:rFonts w:cs="AdvPSA183"/>
          <w:color w:val="000000" w:themeColor="text1"/>
        </w:rPr>
        <w:t>of 2</w:t>
      </w:r>
      <w:r w:rsidR="005327D5" w:rsidRPr="00F179C1">
        <w:rPr>
          <w:rFonts w:cs="AdvPSA183"/>
          <w:color w:val="000000" w:themeColor="text1"/>
        </w:rPr>
        <w:t>1.6</w:t>
      </w:r>
      <w:r w:rsidR="00F179C1">
        <w:rPr>
          <w:rFonts w:cs="AdvPSA183"/>
          <w:color w:val="000000" w:themeColor="text1"/>
        </w:rPr>
        <w:t>%</w:t>
      </w:r>
      <w:r w:rsidR="004E5996">
        <w:rPr>
          <w:rFonts w:cs="AdvPSA183"/>
          <w:color w:val="000000" w:themeColor="text1"/>
        </w:rPr>
        <w:t xml:space="preserve"> </w:t>
      </w:r>
      <w:r w:rsidR="004E5996" w:rsidRPr="004E5996">
        <w:rPr>
          <w:rFonts w:cs="AdvPSA183"/>
          <w:color w:val="000000" w:themeColor="text1"/>
          <w:highlight w:val="yellow"/>
        </w:rPr>
        <w:t>(the point at which net benefit of treating all patients and no</w:t>
      </w:r>
      <w:r w:rsidR="006F4590">
        <w:rPr>
          <w:rFonts w:cs="AdvPSA183"/>
          <w:color w:val="000000" w:themeColor="text1"/>
          <w:highlight w:val="yellow"/>
        </w:rPr>
        <w:t>ne was</w:t>
      </w:r>
      <w:r w:rsidR="004E5996" w:rsidRPr="004E5996">
        <w:rPr>
          <w:rFonts w:cs="AdvPSA183"/>
          <w:color w:val="000000" w:themeColor="text1"/>
          <w:highlight w:val="yellow"/>
        </w:rPr>
        <w:t xml:space="preserve"> equal)</w:t>
      </w:r>
      <w:r w:rsidR="00F179C1" w:rsidRPr="004E5996">
        <w:rPr>
          <w:rFonts w:cs="AdvPSA183"/>
          <w:color w:val="000000" w:themeColor="text1"/>
          <w:highlight w:val="yellow"/>
        </w:rPr>
        <w:t>.</w:t>
      </w:r>
      <w:r w:rsidR="00F179C1">
        <w:rPr>
          <w:rFonts w:cs="AdvPSA183"/>
          <w:color w:val="000000" w:themeColor="text1"/>
        </w:rPr>
        <w:t xml:space="preserve"> T</w:t>
      </w:r>
      <w:r w:rsidR="00077173" w:rsidRPr="00F179C1">
        <w:rPr>
          <w:rFonts w:cs="AdvPSA183"/>
          <w:color w:val="000000" w:themeColor="text1"/>
        </w:rPr>
        <w:t xml:space="preserve">his means that if the decision to treat with PRRT was made using IBI, rather than offering it to all eligible patients, </w:t>
      </w:r>
      <w:r w:rsidR="0070470F" w:rsidRPr="00F179C1">
        <w:rPr>
          <w:rFonts w:cs="AdvPSA183"/>
          <w:color w:val="000000" w:themeColor="text1"/>
        </w:rPr>
        <w:t>at this risk threshold ther</w:t>
      </w:r>
      <w:r w:rsidR="00F179C1" w:rsidRPr="00F179C1">
        <w:rPr>
          <w:rFonts w:cs="AdvPSA183"/>
          <w:color w:val="000000" w:themeColor="text1"/>
        </w:rPr>
        <w:t>e</w:t>
      </w:r>
      <w:r w:rsidR="0070470F" w:rsidRPr="00F179C1">
        <w:rPr>
          <w:rFonts w:cs="AdvPSA183"/>
          <w:color w:val="000000" w:themeColor="text1"/>
        </w:rPr>
        <w:t xml:space="preserve"> would be a</w:t>
      </w:r>
      <w:r w:rsidR="00077173" w:rsidRPr="00F179C1">
        <w:rPr>
          <w:rFonts w:cs="AdvPSA183"/>
          <w:color w:val="000000" w:themeColor="text1"/>
        </w:rPr>
        <w:t xml:space="preserve"> </w:t>
      </w:r>
      <w:r w:rsidR="00D26A2A" w:rsidRPr="00F179C1">
        <w:rPr>
          <w:rFonts w:cs="AdvPSA183"/>
          <w:color w:val="000000" w:themeColor="text1"/>
        </w:rPr>
        <w:t xml:space="preserve">net </w:t>
      </w:r>
      <w:r w:rsidR="001C4992" w:rsidRPr="00F179C1">
        <w:rPr>
          <w:rFonts w:cs="AdvPSA183"/>
          <w:color w:val="000000" w:themeColor="text1"/>
        </w:rPr>
        <w:t xml:space="preserve">increase of </w:t>
      </w:r>
      <w:r w:rsidR="00484EEA" w:rsidRPr="00F179C1">
        <w:rPr>
          <w:rFonts w:cs="AdvPSA183"/>
          <w:color w:val="000000" w:themeColor="text1"/>
        </w:rPr>
        <w:t>7</w:t>
      </w:r>
      <w:r w:rsidR="005327D5" w:rsidRPr="00F179C1">
        <w:rPr>
          <w:rFonts w:cs="AdvPSA183"/>
          <w:color w:val="000000" w:themeColor="text1"/>
        </w:rPr>
        <w:t>3</w:t>
      </w:r>
      <w:r w:rsidR="00077173" w:rsidRPr="00F179C1">
        <w:rPr>
          <w:rFonts w:cs="AdvPSA183"/>
          <w:color w:val="000000" w:themeColor="text1"/>
        </w:rPr>
        <w:t xml:space="preserve"> true negative </w:t>
      </w:r>
      <w:r w:rsidR="00D26A2A" w:rsidRPr="00F179C1">
        <w:rPr>
          <w:rFonts w:cs="AdvPSA183"/>
          <w:color w:val="000000" w:themeColor="text1"/>
        </w:rPr>
        <w:t xml:space="preserve">results per 100 patients </w:t>
      </w:r>
      <w:r w:rsidR="00077173" w:rsidRPr="00F179C1">
        <w:rPr>
          <w:rFonts w:cs="AdvPSA183"/>
          <w:color w:val="000000" w:themeColor="text1"/>
        </w:rPr>
        <w:t>without an increase in the number of false negative results</w:t>
      </w:r>
      <w:r w:rsidR="00470919" w:rsidRPr="00F179C1">
        <w:rPr>
          <w:rFonts w:cs="AdvPSA183"/>
          <w:color w:val="000000" w:themeColor="text1"/>
        </w:rPr>
        <w:t xml:space="preserve"> compared to a </w:t>
      </w:r>
      <w:r w:rsidR="00F179C1">
        <w:rPr>
          <w:rFonts w:cs="AdvPSA183"/>
          <w:color w:val="000000" w:themeColor="text1"/>
        </w:rPr>
        <w:t xml:space="preserve">treat-all </w:t>
      </w:r>
      <w:r w:rsidR="00470919" w:rsidRPr="00F179C1">
        <w:rPr>
          <w:rFonts w:cs="AdvPSA183"/>
          <w:color w:val="000000" w:themeColor="text1"/>
        </w:rPr>
        <w:t>strategy</w:t>
      </w:r>
      <w:r w:rsidR="00077173" w:rsidRPr="00F179C1">
        <w:rPr>
          <w:rFonts w:cs="AdvPSA183"/>
          <w:color w:val="000000" w:themeColor="text1"/>
        </w:rPr>
        <w:t>.</w:t>
      </w:r>
      <w:r w:rsidR="00D26A2A" w:rsidRPr="00F179C1">
        <w:rPr>
          <w:rFonts w:cs="AdvPSA183"/>
          <w:color w:val="000000" w:themeColor="text1"/>
        </w:rPr>
        <w:t xml:space="preserve"> </w:t>
      </w:r>
    </w:p>
    <w:p w14:paraId="32B24392" w14:textId="5CF75A41" w:rsidR="00B321FD" w:rsidRPr="00D8107F" w:rsidRDefault="00D536FD" w:rsidP="00D8107F">
      <w:pPr>
        <w:spacing w:after="240" w:line="480" w:lineRule="auto"/>
        <w:jc w:val="both"/>
        <w:rPr>
          <w:rFonts w:cs="AdvPSA183"/>
          <w:color w:val="000000" w:themeColor="text1"/>
        </w:rPr>
      </w:pPr>
      <w:r w:rsidRPr="00F179C1">
        <w:rPr>
          <w:rFonts w:cs="AdvPSA183"/>
          <w:color w:val="000000" w:themeColor="text1"/>
        </w:rPr>
        <w:lastRenderedPageBreak/>
        <w:t>F</w:t>
      </w:r>
      <w:r w:rsidR="00484EEA" w:rsidRPr="00F179C1">
        <w:rPr>
          <w:rFonts w:cs="AdvPSA183"/>
          <w:color w:val="000000" w:themeColor="text1"/>
        </w:rPr>
        <w:t xml:space="preserve">ollow up data was </w:t>
      </w:r>
      <w:r w:rsidRPr="00F179C1">
        <w:rPr>
          <w:rFonts w:cs="AdvPSA183"/>
          <w:color w:val="000000" w:themeColor="text1"/>
        </w:rPr>
        <w:t>incomplete</w:t>
      </w:r>
      <w:r w:rsidR="00484EEA" w:rsidRPr="00F179C1">
        <w:rPr>
          <w:rFonts w:cs="AdvPSA183"/>
          <w:color w:val="000000" w:themeColor="text1"/>
        </w:rPr>
        <w:t xml:space="preserve"> for </w:t>
      </w:r>
      <w:r w:rsidR="005327D5" w:rsidRPr="00F179C1">
        <w:rPr>
          <w:rFonts w:cs="AdvPSA183"/>
          <w:color w:val="000000" w:themeColor="text1"/>
        </w:rPr>
        <w:t>2</w:t>
      </w:r>
      <w:r w:rsidR="00484EEA" w:rsidRPr="00F179C1">
        <w:rPr>
          <w:rFonts w:cs="AdvPSA183"/>
          <w:color w:val="000000" w:themeColor="text1"/>
        </w:rPr>
        <w:t xml:space="preserve"> patients</w:t>
      </w:r>
      <w:r w:rsidR="005327D5" w:rsidRPr="00F179C1">
        <w:rPr>
          <w:rFonts w:cs="AdvPSA183"/>
          <w:color w:val="000000" w:themeColor="text1"/>
        </w:rPr>
        <w:t xml:space="preserve"> </w:t>
      </w:r>
      <w:r w:rsidR="005327D5" w:rsidRPr="00F179C1">
        <w:rPr>
          <w:rFonts w:eastAsia="Times New Roman" w:cs="Times New Roman"/>
          <w:color w:val="000000" w:themeColor="text1"/>
          <w:lang w:eastAsia="en-GB"/>
        </w:rPr>
        <w:t>who died</w:t>
      </w:r>
      <w:r w:rsidR="005327D5" w:rsidRPr="00D8107F">
        <w:rPr>
          <w:rFonts w:eastAsia="Times New Roman" w:cs="Times New Roman"/>
          <w:color w:val="000000" w:themeColor="text1"/>
          <w:lang w:eastAsia="en-GB"/>
        </w:rPr>
        <w:t xml:space="preserve"> from a cause unrelated to their disease prior to</w:t>
      </w:r>
      <w:r w:rsidR="00484EEA" w:rsidRPr="00D8107F">
        <w:rPr>
          <w:rFonts w:eastAsia="Times New Roman" w:cs="Times New Roman"/>
          <w:color w:val="000000" w:themeColor="text1"/>
          <w:lang w:eastAsia="en-GB"/>
        </w:rPr>
        <w:t xml:space="preserve"> </w:t>
      </w:r>
      <w:r w:rsidR="00A742A5" w:rsidRPr="00D8107F">
        <w:rPr>
          <w:rFonts w:eastAsia="Times New Roman" w:cs="Times New Roman"/>
          <w:color w:val="000000" w:themeColor="text1"/>
          <w:lang w:eastAsia="en-GB"/>
        </w:rPr>
        <w:t>imaging assessment 12 months</w:t>
      </w:r>
      <w:r w:rsidRPr="00D8107F">
        <w:rPr>
          <w:rFonts w:eastAsia="Times New Roman" w:cs="Times New Roman"/>
          <w:color w:val="000000" w:themeColor="text1"/>
          <w:lang w:eastAsia="en-GB"/>
        </w:rPr>
        <w:t xml:space="preserve"> after commencing </w:t>
      </w:r>
      <w:r w:rsidR="005327D5" w:rsidRPr="00D8107F">
        <w:rPr>
          <w:rFonts w:eastAsia="Times New Roman" w:cs="Times New Roman"/>
          <w:color w:val="000000" w:themeColor="text1"/>
          <w:lang w:eastAsia="en-GB"/>
        </w:rPr>
        <w:t>treatment.</w:t>
      </w:r>
      <w:r w:rsidR="00484EEA" w:rsidRPr="00D8107F">
        <w:rPr>
          <w:rFonts w:eastAsia="Times New Roman" w:cs="Times New Roman"/>
          <w:color w:val="000000" w:themeColor="text1"/>
          <w:lang w:eastAsia="en-GB"/>
        </w:rPr>
        <w:t xml:space="preserve"> </w:t>
      </w:r>
      <w:r w:rsidR="00484EEA" w:rsidRPr="00D8107F">
        <w:rPr>
          <w:rFonts w:cs="AdvPSA183"/>
          <w:color w:val="000000" w:themeColor="text1"/>
        </w:rPr>
        <w:t>Nonetheless, t</w:t>
      </w:r>
      <w:r w:rsidR="00D26A2A" w:rsidRPr="00D8107F">
        <w:rPr>
          <w:rFonts w:cs="AdvPSA183"/>
          <w:color w:val="000000" w:themeColor="text1"/>
        </w:rPr>
        <w:t xml:space="preserve">hese findings are </w:t>
      </w:r>
      <w:r w:rsidR="000166AB" w:rsidRPr="00D8107F">
        <w:rPr>
          <w:rFonts w:cs="AdvPSA183"/>
          <w:color w:val="000000" w:themeColor="text1"/>
        </w:rPr>
        <w:t>of</w:t>
      </w:r>
      <w:r w:rsidR="00B321FD" w:rsidRPr="00D8107F">
        <w:rPr>
          <w:rFonts w:cs="AdvPSA183"/>
          <w:color w:val="000000" w:themeColor="text1"/>
        </w:rPr>
        <w:t xml:space="preserve"> particular</w:t>
      </w:r>
      <w:r w:rsidR="000166AB" w:rsidRPr="00D8107F">
        <w:rPr>
          <w:rFonts w:cs="AdvPSA183"/>
          <w:color w:val="000000" w:themeColor="text1"/>
        </w:rPr>
        <w:t xml:space="preserve"> </w:t>
      </w:r>
      <w:r w:rsidR="00B321FD" w:rsidRPr="00D8107F">
        <w:rPr>
          <w:rFonts w:cs="AdvPSA183"/>
          <w:color w:val="000000" w:themeColor="text1"/>
        </w:rPr>
        <w:t>not</w:t>
      </w:r>
      <w:r w:rsidR="000166AB" w:rsidRPr="00D8107F">
        <w:rPr>
          <w:rFonts w:cs="AdvPSA183"/>
          <w:color w:val="000000" w:themeColor="text1"/>
        </w:rPr>
        <w:t>e</w:t>
      </w:r>
      <w:r w:rsidR="00B321FD" w:rsidRPr="00D8107F">
        <w:rPr>
          <w:rFonts w:cs="AdvPSA183"/>
          <w:color w:val="000000" w:themeColor="text1"/>
        </w:rPr>
        <w:t xml:space="preserve"> considering the relatively modest sample size of this </w:t>
      </w:r>
      <w:r w:rsidR="00326FFD" w:rsidRPr="00D8107F">
        <w:rPr>
          <w:rFonts w:cs="AdvPSA183"/>
          <w:color w:val="000000" w:themeColor="text1"/>
        </w:rPr>
        <w:t>study</w:t>
      </w:r>
      <w:r w:rsidR="001C4992" w:rsidRPr="00D8107F">
        <w:rPr>
          <w:rFonts w:cs="AdvPSA183"/>
          <w:color w:val="000000" w:themeColor="text1"/>
        </w:rPr>
        <w:t>.</w:t>
      </w:r>
    </w:p>
    <w:p w14:paraId="05817907" w14:textId="707A97D7" w:rsidR="00C0447B" w:rsidRPr="00D8107F" w:rsidRDefault="00D32C97" w:rsidP="00D8107F">
      <w:pPr>
        <w:spacing w:after="240" w:line="480" w:lineRule="auto"/>
        <w:jc w:val="both"/>
        <w:rPr>
          <w:rFonts w:cs="AdvPSA183"/>
          <w:color w:val="000000" w:themeColor="text1"/>
        </w:rPr>
      </w:pPr>
      <w:r w:rsidRPr="00D8107F">
        <w:rPr>
          <w:rFonts w:cs="AdvPSA183"/>
          <w:color w:val="000000" w:themeColor="text1"/>
        </w:rPr>
        <w:t>Furthermore, o</w:t>
      </w:r>
      <w:r w:rsidR="00C0447B" w:rsidRPr="00D8107F">
        <w:rPr>
          <w:rFonts w:cs="AdvPSA183"/>
          <w:color w:val="000000" w:themeColor="text1"/>
        </w:rPr>
        <w:t>ur</w:t>
      </w:r>
      <w:r w:rsidR="00327CB4" w:rsidRPr="00D8107F">
        <w:rPr>
          <w:rFonts w:cs="AdvPSA183"/>
          <w:color w:val="000000" w:themeColor="text1"/>
        </w:rPr>
        <w:t xml:space="preserve"> finding t</w:t>
      </w:r>
      <w:r w:rsidR="00E82C00" w:rsidRPr="00D8107F">
        <w:rPr>
          <w:rFonts w:cs="AdvPSA183"/>
          <w:color w:val="000000" w:themeColor="text1"/>
        </w:rPr>
        <w:t>h</w:t>
      </w:r>
      <w:r w:rsidR="003A7942" w:rsidRPr="00D8107F">
        <w:rPr>
          <w:rFonts w:cs="AdvPSA183"/>
          <w:color w:val="000000" w:themeColor="text1"/>
        </w:rPr>
        <w:t xml:space="preserve">at a persistently </w:t>
      </w:r>
      <w:r w:rsidR="00E82C00" w:rsidRPr="00D8107F">
        <w:rPr>
          <w:rFonts w:cs="AdvPSA183"/>
          <w:color w:val="000000" w:themeColor="text1"/>
        </w:rPr>
        <w:t xml:space="preserve">elevated IBI score through PRRT </w:t>
      </w:r>
      <w:r w:rsidR="00327CB4" w:rsidRPr="00D8107F">
        <w:rPr>
          <w:rFonts w:cs="AdvPSA183"/>
          <w:color w:val="000000" w:themeColor="text1"/>
        </w:rPr>
        <w:t>was associated with inferior PFS and OS</w:t>
      </w:r>
      <w:r w:rsidR="00E82C00" w:rsidRPr="00D8107F">
        <w:rPr>
          <w:rFonts w:cs="AdvPSA183"/>
          <w:color w:val="000000" w:themeColor="text1"/>
        </w:rPr>
        <w:t xml:space="preserve"> </w:t>
      </w:r>
      <w:r w:rsidR="00CA6512" w:rsidRPr="00D8107F">
        <w:rPr>
          <w:rFonts w:cs="AdvPSA183"/>
          <w:color w:val="000000" w:themeColor="text1"/>
        </w:rPr>
        <w:t xml:space="preserve">may indicate that serial reassessment of IBI </w:t>
      </w:r>
      <w:r w:rsidR="00C0447B" w:rsidRPr="00D8107F">
        <w:rPr>
          <w:rFonts w:cs="AdvPSA183"/>
          <w:color w:val="000000" w:themeColor="text1"/>
        </w:rPr>
        <w:t>after, for example, 2 of 4 treatments, might</w:t>
      </w:r>
      <w:r w:rsidR="00CA6512" w:rsidRPr="00D8107F">
        <w:rPr>
          <w:rFonts w:cs="AdvPSA183"/>
          <w:color w:val="000000" w:themeColor="text1"/>
        </w:rPr>
        <w:t xml:space="preserve"> </w:t>
      </w:r>
      <w:r w:rsidR="00C0447B" w:rsidRPr="00D8107F">
        <w:rPr>
          <w:rFonts w:cs="AdvPSA183"/>
          <w:color w:val="000000" w:themeColor="text1"/>
        </w:rPr>
        <w:t>highlight patients who are likely to have little benefit from further PRRT.</w:t>
      </w:r>
    </w:p>
    <w:p w14:paraId="5F1D1409" w14:textId="324CAD88" w:rsidR="006278A6" w:rsidRPr="00D8107F" w:rsidRDefault="00624726" w:rsidP="00D8107F">
      <w:pPr>
        <w:spacing w:after="240" w:line="480" w:lineRule="auto"/>
        <w:jc w:val="both"/>
        <w:rPr>
          <w:rFonts w:cs="AdvPSA183"/>
          <w:color w:val="000000" w:themeColor="text1"/>
        </w:rPr>
      </w:pPr>
      <w:r w:rsidRPr="00D8107F">
        <w:rPr>
          <w:rFonts w:cs="AdvPSA183"/>
          <w:color w:val="000000" w:themeColor="text1"/>
        </w:rPr>
        <w:t xml:space="preserve">Discovery of biomarkers to aid patient selection for PRRT has recently been an active area of research. Bodei </w:t>
      </w:r>
      <w:r w:rsidRPr="00D8107F">
        <w:rPr>
          <w:rFonts w:cs="AdvPSA183"/>
          <w:i/>
          <w:color w:val="000000" w:themeColor="text1"/>
        </w:rPr>
        <w:t xml:space="preserve">et al. </w:t>
      </w:r>
      <w:r w:rsidRPr="00D8107F">
        <w:rPr>
          <w:rFonts w:cs="AdvPSA183"/>
          <w:color w:val="000000" w:themeColor="text1"/>
        </w:rPr>
        <w:t>(2018)</w:t>
      </w:r>
      <w:r w:rsidRPr="00D8107F">
        <w:rPr>
          <w:rFonts w:cs="AdvPSA183"/>
          <w:i/>
          <w:color w:val="000000" w:themeColor="text1"/>
        </w:rPr>
        <w:t xml:space="preserve"> </w:t>
      </w:r>
      <w:r w:rsidR="00470919" w:rsidRPr="00D8107F">
        <w:rPr>
          <w:rFonts w:cs="AdvPSA183"/>
          <w:color w:val="000000" w:themeColor="text1"/>
        </w:rPr>
        <w:t xml:space="preserve">recently </w:t>
      </w:r>
      <w:r w:rsidR="004A4594" w:rsidRPr="00D8107F">
        <w:rPr>
          <w:rFonts w:cs="AdvPSA183"/>
          <w:color w:val="000000" w:themeColor="text1"/>
        </w:rPr>
        <w:t>developed</w:t>
      </w:r>
      <w:r w:rsidR="006278A6" w:rsidRPr="00D8107F">
        <w:rPr>
          <w:rFonts w:cs="AdvPSA183"/>
          <w:color w:val="000000" w:themeColor="text1"/>
        </w:rPr>
        <w:t xml:space="preserve"> the PRRT Predicitve Quotient</w:t>
      </w:r>
      <w:r w:rsidR="00951884" w:rsidRPr="00D8107F">
        <w:rPr>
          <w:rFonts w:cs="AdvPSA183"/>
          <w:color w:val="000000" w:themeColor="text1"/>
        </w:rPr>
        <w:t xml:space="preserve"> (PPQ)</w:t>
      </w:r>
      <w:r w:rsidR="004A4594" w:rsidRPr="00D8107F">
        <w:rPr>
          <w:rFonts w:cs="AdvPSA183"/>
          <w:color w:val="000000" w:themeColor="text1"/>
        </w:rPr>
        <w:t>. This score is based upon</w:t>
      </w:r>
      <w:r w:rsidRPr="00D8107F">
        <w:rPr>
          <w:rFonts w:cs="AdvPSA183"/>
          <w:color w:val="000000" w:themeColor="text1"/>
        </w:rPr>
        <w:t xml:space="preserve"> </w:t>
      </w:r>
      <w:r w:rsidR="004A4594" w:rsidRPr="00D8107F">
        <w:rPr>
          <w:rFonts w:cs="AdvPSA183"/>
          <w:color w:val="000000" w:themeColor="text1"/>
        </w:rPr>
        <w:t xml:space="preserve">the whole blood expression </w:t>
      </w:r>
      <w:r w:rsidRPr="00D8107F">
        <w:rPr>
          <w:rFonts w:cs="AdvPSA183"/>
          <w:color w:val="000000" w:themeColor="text1"/>
        </w:rPr>
        <w:t>signature of 8 genes (</w:t>
      </w:r>
      <w:r w:rsidRPr="00D8107F">
        <w:rPr>
          <w:rFonts w:cs="AdvPSA183"/>
          <w:i/>
          <w:color w:val="000000" w:themeColor="text1"/>
        </w:rPr>
        <w:t>ARAF</w:t>
      </w:r>
      <w:r w:rsidRPr="00D8107F">
        <w:rPr>
          <w:rFonts w:cs="AdvPSA183"/>
          <w:color w:val="000000" w:themeColor="text1"/>
        </w:rPr>
        <w:t xml:space="preserve">, </w:t>
      </w:r>
      <w:r w:rsidRPr="00D8107F">
        <w:rPr>
          <w:rFonts w:cs="AdvPSA183"/>
          <w:i/>
          <w:color w:val="000000" w:themeColor="text1"/>
        </w:rPr>
        <w:t>BRAF</w:t>
      </w:r>
      <w:r w:rsidRPr="00D8107F">
        <w:rPr>
          <w:rFonts w:cs="AdvPSA183"/>
          <w:color w:val="000000" w:themeColor="text1"/>
        </w:rPr>
        <w:t xml:space="preserve">, </w:t>
      </w:r>
      <w:r w:rsidRPr="00D8107F">
        <w:rPr>
          <w:rFonts w:cs="AdvPSA183"/>
          <w:i/>
          <w:color w:val="000000" w:themeColor="text1"/>
        </w:rPr>
        <w:t>KRAS</w:t>
      </w:r>
      <w:r w:rsidRPr="00D8107F">
        <w:rPr>
          <w:rFonts w:cs="AdvPSA183"/>
          <w:color w:val="000000" w:themeColor="text1"/>
        </w:rPr>
        <w:t xml:space="preserve">, </w:t>
      </w:r>
      <w:r w:rsidRPr="00D8107F">
        <w:rPr>
          <w:rFonts w:cs="AdvPSA183"/>
          <w:i/>
          <w:color w:val="000000" w:themeColor="text1"/>
        </w:rPr>
        <w:t>RAF-1</w:t>
      </w:r>
      <w:r w:rsidRPr="00D8107F">
        <w:rPr>
          <w:rFonts w:cs="AdvPSA183"/>
          <w:color w:val="000000" w:themeColor="text1"/>
        </w:rPr>
        <w:t xml:space="preserve">, </w:t>
      </w:r>
      <w:r w:rsidRPr="00D8107F">
        <w:rPr>
          <w:rFonts w:cs="AdvPSA183"/>
          <w:i/>
          <w:color w:val="000000" w:themeColor="text1"/>
        </w:rPr>
        <w:t>ATP6V1H</w:t>
      </w:r>
      <w:r w:rsidRPr="00D8107F">
        <w:rPr>
          <w:rFonts w:cs="AdvPSA183"/>
          <w:color w:val="000000" w:themeColor="text1"/>
        </w:rPr>
        <w:t xml:space="preserve">, </w:t>
      </w:r>
      <w:r w:rsidRPr="00D8107F">
        <w:rPr>
          <w:rFonts w:cs="AdvPSA183"/>
          <w:i/>
          <w:color w:val="000000" w:themeColor="text1"/>
        </w:rPr>
        <w:t>OAZ2</w:t>
      </w:r>
      <w:r w:rsidRPr="00D8107F">
        <w:rPr>
          <w:rFonts w:cs="AdvPSA183"/>
          <w:color w:val="000000" w:themeColor="text1"/>
        </w:rPr>
        <w:t xml:space="preserve">, </w:t>
      </w:r>
      <w:r w:rsidRPr="00D8107F">
        <w:rPr>
          <w:rFonts w:cs="AdvPSA183"/>
          <w:i/>
          <w:color w:val="000000" w:themeColor="text1"/>
        </w:rPr>
        <w:t>PANK2</w:t>
      </w:r>
      <w:r w:rsidRPr="00D8107F">
        <w:rPr>
          <w:rFonts w:cs="AdvPSA183"/>
          <w:color w:val="000000" w:themeColor="text1"/>
        </w:rPr>
        <w:t xml:space="preserve">, </w:t>
      </w:r>
      <w:r w:rsidRPr="00D8107F">
        <w:rPr>
          <w:rFonts w:cs="AdvPSA183"/>
          <w:i/>
          <w:color w:val="000000" w:themeColor="text1"/>
        </w:rPr>
        <w:t>PLD3</w:t>
      </w:r>
      <w:r w:rsidRPr="00D8107F">
        <w:rPr>
          <w:rFonts w:cs="AdvPSA183"/>
          <w:color w:val="000000" w:themeColor="text1"/>
        </w:rPr>
        <w:t>)</w:t>
      </w:r>
      <w:r w:rsidR="009B0F73" w:rsidRPr="00D8107F">
        <w:rPr>
          <w:rFonts w:cs="AdvPSA183"/>
          <w:color w:val="000000" w:themeColor="text1"/>
        </w:rPr>
        <w:t>,</w:t>
      </w:r>
      <w:r w:rsidRPr="00D8107F">
        <w:rPr>
          <w:rFonts w:cs="AdvPSA183"/>
          <w:color w:val="000000" w:themeColor="text1"/>
        </w:rPr>
        <w:t xml:space="preserve"> </w:t>
      </w:r>
      <w:r w:rsidR="004A4594" w:rsidRPr="00D8107F">
        <w:rPr>
          <w:rFonts w:cs="AdvPSA183"/>
          <w:color w:val="000000" w:themeColor="text1"/>
        </w:rPr>
        <w:t>combined with</w:t>
      </w:r>
      <w:r w:rsidRPr="00D8107F">
        <w:rPr>
          <w:rFonts w:cs="AdvPSA183"/>
          <w:color w:val="000000" w:themeColor="text1"/>
        </w:rPr>
        <w:t xml:space="preserve"> tumour grade </w:t>
      </w:r>
      <w:r w:rsidR="006278A6" w:rsidRPr="00D8107F">
        <w:rPr>
          <w:rFonts w:cs="AdvPSA183"/>
          <w:color w:val="000000" w:themeColor="text1"/>
        </w:rPr>
        <w:t>and circulating CgA levels</w:t>
      </w:r>
      <w:r w:rsidR="009B0F73" w:rsidRPr="00D8107F">
        <w:rPr>
          <w:rFonts w:cs="AdvPSA183"/>
          <w:color w:val="000000" w:themeColor="text1"/>
        </w:rPr>
        <w:t>,</w:t>
      </w:r>
      <w:r w:rsidR="006278A6" w:rsidRPr="00D8107F">
        <w:rPr>
          <w:rFonts w:cs="AdvPSA183"/>
          <w:color w:val="000000" w:themeColor="text1"/>
        </w:rPr>
        <w:t xml:space="preserve"> </w:t>
      </w:r>
      <w:r w:rsidR="004A4594" w:rsidRPr="00D8107F">
        <w:rPr>
          <w:rFonts w:cs="AdvPSA183"/>
          <w:color w:val="000000" w:themeColor="text1"/>
        </w:rPr>
        <w:t>and</w:t>
      </w:r>
      <w:r w:rsidRPr="00D8107F">
        <w:rPr>
          <w:rFonts w:cs="AdvPSA183"/>
          <w:color w:val="000000" w:themeColor="text1"/>
        </w:rPr>
        <w:t xml:space="preserve"> predict</w:t>
      </w:r>
      <w:r w:rsidR="004A4594" w:rsidRPr="00D8107F">
        <w:rPr>
          <w:rFonts w:cs="AdvPSA183"/>
          <w:color w:val="000000" w:themeColor="text1"/>
        </w:rPr>
        <w:t>s</w:t>
      </w:r>
      <w:r w:rsidRPr="00D8107F">
        <w:rPr>
          <w:rFonts w:cs="AdvPSA183"/>
          <w:color w:val="000000" w:themeColor="text1"/>
        </w:rPr>
        <w:t xml:space="preserve"> </w:t>
      </w:r>
      <w:r w:rsidR="004A4594" w:rsidRPr="00D8107F">
        <w:rPr>
          <w:rFonts w:cs="AdvPSA183"/>
          <w:color w:val="000000" w:themeColor="text1"/>
        </w:rPr>
        <w:t xml:space="preserve">PRRT </w:t>
      </w:r>
      <w:r w:rsidRPr="00D8107F">
        <w:rPr>
          <w:rFonts w:cs="AdvPSA183"/>
          <w:color w:val="000000" w:themeColor="text1"/>
        </w:rPr>
        <w:t>response with high sensitivity and specificity</w:t>
      </w:r>
      <w:r w:rsidR="006278A6" w:rsidRPr="00D8107F">
        <w:rPr>
          <w:rFonts w:cs="AdvPSA183"/>
          <w:color w:val="000000" w:themeColor="text1"/>
        </w:rPr>
        <w:fldChar w:fldCharType="begin" w:fldLock="1"/>
      </w:r>
      <w:r w:rsidR="00420780">
        <w:rPr>
          <w:rFonts w:cs="AdvPSA183"/>
          <w:color w:val="000000" w:themeColor="text1"/>
        </w:rPr>
        <w:instrText>ADDIN CSL_CITATION { "citationItems" : [ { "id" : "ITEM-1", "itemData" : { "DOI" : "10.1007/s00259-018-3967-6", "ISSN" : "1619-7089", "abstract" : "Peptide receptor radionuclide therapy (PRRT) utilizes somatostatin receptor (SSR) overexpression on neuroendocrine tumors (NET) to deliver targeted radiotherapy. Intensity of uptake at imaging is considered related to efficacy but has low sensitivity. A pretreatment strategy to determine individual PRRT response remains a key unmet need. NET transcript expression in blood integrated with tumor grade provides a PRRT predictive quotient (PPQ) which stratifies PRRT ``responders'' from ``non-responders''. This study clinically validates the utility of the PPQ in NETs.", "author" : [ { "dropping-particle" : "", "family" : "Bodei", "given" : "Lisa", "non-dropping-particle" : "", "parse-names" : false, "suffix" : "" }, { "dropping-particle" : "", "family" : "Kidd", "given" : "Mark S", "non-dropping-particle" : "", "parse-names" : false, "suffix" : "" }, { "dropping-particle" : "", "family" : "Singh", "given" : "Aviral", "non-dropping-particle" : "", "parse-names" : false, "suffix" : "" }, { "dropping-particle" : "", "family" : "Zwan", "given" : "Wouter A", "non-dropping-particle" : "van der", "parse-names" : false, "suffix" : "" }, { "dropping-particle" : "", "family" : "Severi", "given" : "Stefano", "non-dropping-particle" : "", "parse-names" : false, "suffix" : "" }, { "dropping-particle" : "", "family" : "Drozdov", "given" : "Ignat A", "non-dropping-particle" : "", "parse-names" : false, "suffix" : "" }, { "dropping-particle" : "", "family" : "Cwikla", "given" : "Jaroslaw", "non-dropping-particle" : "", "parse-names" : false, "suffix" : "" }, { "dropping-particle" : "", "family" : "Baum", "given" : "Richard P", "non-dropping-particle" : "", "parse-names" : false, "suffix" : "" }, { "dropping-particle" : "", "family" : "Kwekkeboom", "given" : "Dik J", "non-dropping-particle" : "", "parse-names" : false, "suffix" : "" }, { "dropping-particle" : "", "family" : "Paganelli", "given" : "Giovanni", "non-dropping-particle" : "", "parse-names" : false, "suffix" : "" }, { "dropping-particle" : "", "family" : "Krenning", "given" : "Eric P", "non-dropping-particle" : "", "parse-names" : false, "suffix" : "" }, { "dropping-particle" : "", "family" : "Modlin", "given" : "Irvin M", "non-dropping-particle" : "", "parse-names" : false, "suffix" : "" } ], "container-title" : "European Journal of Nuclear Medicine and Molecular Imaging", "id" : "ITEM-1", "issued" : { "date-parts" : [ [ "2018", "2" ] ] }, "title" : "PRRT genomic signature in blood for prediction of 177Lu-octreotate efficacy", "type" : "article-journal" }, "uris" : [ "http://www.mendeley.com/documents/?uuid=803ffdeb-2715-423f-93bc-39763bef001d" ] } ], "mendeley" : { "formattedCitation" : "&lt;sup&gt;11&lt;/sup&gt;", "plainTextFormattedCitation" : "11", "previouslyFormattedCitation" : "&lt;sup&gt;11&lt;/sup&gt;" }, "properties" : { "noteIndex" : 0 }, "schema" : "https://github.com/citation-style-language/schema/raw/master/csl-citation.json" }</w:instrText>
      </w:r>
      <w:r w:rsidR="006278A6" w:rsidRPr="00D8107F">
        <w:rPr>
          <w:rFonts w:cs="AdvPSA183"/>
          <w:color w:val="000000" w:themeColor="text1"/>
        </w:rPr>
        <w:fldChar w:fldCharType="separate"/>
      </w:r>
      <w:r w:rsidR="00F75A76" w:rsidRPr="00D8107F">
        <w:rPr>
          <w:rFonts w:cs="AdvPSA183"/>
          <w:noProof/>
          <w:color w:val="000000" w:themeColor="text1"/>
          <w:vertAlign w:val="superscript"/>
        </w:rPr>
        <w:t>11</w:t>
      </w:r>
      <w:r w:rsidR="006278A6" w:rsidRPr="00D8107F">
        <w:rPr>
          <w:rFonts w:cs="AdvPSA183"/>
          <w:color w:val="000000" w:themeColor="text1"/>
        </w:rPr>
        <w:fldChar w:fldCharType="end"/>
      </w:r>
      <w:r w:rsidRPr="00D8107F">
        <w:rPr>
          <w:rFonts w:cs="AdvPSA183"/>
          <w:color w:val="000000" w:themeColor="text1"/>
        </w:rPr>
        <w:t xml:space="preserve">. </w:t>
      </w:r>
      <w:r w:rsidR="009B0F73" w:rsidRPr="00D8107F">
        <w:rPr>
          <w:color w:val="000000" w:themeColor="text1"/>
        </w:rPr>
        <w:t>Significant net benefit was demonstrated across a wide range of threshold probabilities on decision curve analysis</w:t>
      </w:r>
      <w:r w:rsidR="006278A6" w:rsidRPr="00D8107F">
        <w:rPr>
          <w:rFonts w:cs="AdvPSA183"/>
          <w:color w:val="000000" w:themeColor="text1"/>
        </w:rPr>
        <w:t xml:space="preserve">. </w:t>
      </w:r>
      <w:r w:rsidR="004A4594" w:rsidRPr="00D8107F">
        <w:rPr>
          <w:rFonts w:cs="AdvPSA183"/>
          <w:color w:val="000000" w:themeColor="text1"/>
        </w:rPr>
        <w:t>The biomarkers which comprise the IBI are</w:t>
      </w:r>
      <w:r w:rsidR="006278A6" w:rsidRPr="00D8107F">
        <w:rPr>
          <w:rFonts w:cs="AdvPSA183"/>
          <w:color w:val="000000" w:themeColor="text1"/>
        </w:rPr>
        <w:t xml:space="preserve"> not included within the PPQ that is associated with response and clinical benefit. </w:t>
      </w:r>
      <w:r w:rsidR="004A4594" w:rsidRPr="00D8107F">
        <w:rPr>
          <w:rFonts w:cs="AdvPSA183"/>
          <w:color w:val="000000" w:themeColor="text1"/>
        </w:rPr>
        <w:t>IBI may provide a useful adjunct to the PPQ either as a method of pre-screening or additional biomarker data which might improve clinical utility.</w:t>
      </w:r>
    </w:p>
    <w:p w14:paraId="1AA96F0F" w14:textId="139DF7EE" w:rsidR="00D32C97" w:rsidRPr="00D8107F" w:rsidRDefault="004A4594" w:rsidP="00D8107F">
      <w:pPr>
        <w:spacing w:after="240" w:line="480" w:lineRule="auto"/>
        <w:jc w:val="both"/>
        <w:rPr>
          <w:rFonts w:cs="AdvPSA183"/>
          <w:color w:val="000000" w:themeColor="text1"/>
        </w:rPr>
      </w:pPr>
      <w:r w:rsidRPr="00D8107F">
        <w:rPr>
          <w:rFonts w:cs="AdvPSA183"/>
          <w:color w:val="000000" w:themeColor="text1"/>
        </w:rPr>
        <w:t>Compared to</w:t>
      </w:r>
      <w:r w:rsidR="00D32C97" w:rsidRPr="00D8107F">
        <w:rPr>
          <w:rFonts w:cs="AdvPSA183"/>
          <w:color w:val="000000" w:themeColor="text1"/>
        </w:rPr>
        <w:t xml:space="preserve"> PPQ, IBI is a </w:t>
      </w:r>
      <w:r w:rsidRPr="00D8107F">
        <w:rPr>
          <w:rFonts w:cs="AdvPSA183"/>
          <w:color w:val="000000" w:themeColor="text1"/>
        </w:rPr>
        <w:t xml:space="preserve">simple </w:t>
      </w:r>
      <w:r w:rsidR="00D32C97" w:rsidRPr="00D8107F">
        <w:rPr>
          <w:rFonts w:cs="AdvPSA183"/>
          <w:color w:val="000000" w:themeColor="text1"/>
        </w:rPr>
        <w:t xml:space="preserve">biomarker that is easily calculable and </w:t>
      </w:r>
      <w:r w:rsidRPr="00D8107F">
        <w:rPr>
          <w:rFonts w:cs="AdvPSA183"/>
          <w:color w:val="000000" w:themeColor="text1"/>
        </w:rPr>
        <w:t xml:space="preserve">derived from data </w:t>
      </w:r>
      <w:r w:rsidR="00D32C97" w:rsidRPr="00D8107F">
        <w:rPr>
          <w:rFonts w:cs="AdvPSA183"/>
          <w:color w:val="000000" w:themeColor="text1"/>
        </w:rPr>
        <w:t>readily available</w:t>
      </w:r>
      <w:r w:rsidRPr="00D8107F">
        <w:rPr>
          <w:rFonts w:cs="AdvPSA183"/>
          <w:color w:val="000000" w:themeColor="text1"/>
        </w:rPr>
        <w:t xml:space="preserve"> </w:t>
      </w:r>
      <w:r w:rsidR="00CF19D1" w:rsidRPr="00D8107F">
        <w:rPr>
          <w:rFonts w:cs="AdvPSA183"/>
          <w:color w:val="000000" w:themeColor="text1"/>
        </w:rPr>
        <w:t xml:space="preserve">and routinely obtained </w:t>
      </w:r>
      <w:r w:rsidRPr="00D8107F">
        <w:rPr>
          <w:rFonts w:cs="AdvPSA183"/>
          <w:color w:val="000000" w:themeColor="text1"/>
        </w:rPr>
        <w:t>in clinical practice</w:t>
      </w:r>
      <w:r w:rsidR="00D32C97" w:rsidRPr="00D8107F">
        <w:rPr>
          <w:rFonts w:cs="AdvPSA183"/>
          <w:color w:val="000000" w:themeColor="text1"/>
        </w:rPr>
        <w:t xml:space="preserve">. Furthermore, it does not require biopsy, imaging or genetic analysis and can be obtained at low cost even within areas with </w:t>
      </w:r>
      <w:r w:rsidR="009B0F73" w:rsidRPr="00D8107F">
        <w:rPr>
          <w:rFonts w:cs="AdvPSA183"/>
          <w:color w:val="000000" w:themeColor="text1"/>
        </w:rPr>
        <w:t xml:space="preserve">lesser </w:t>
      </w:r>
      <w:r w:rsidR="00D32C97" w:rsidRPr="00D8107F">
        <w:rPr>
          <w:rFonts w:cs="AdvPSA183"/>
          <w:color w:val="000000" w:themeColor="text1"/>
        </w:rPr>
        <w:t>healthcare resources. IBI scoring for PRRT candidates could be incorporated into routine clinical practice with immediate effect</w:t>
      </w:r>
      <w:r w:rsidR="00A37933" w:rsidRPr="00D8107F">
        <w:rPr>
          <w:rFonts w:cs="AdvPSA183"/>
          <w:color w:val="000000" w:themeColor="text1"/>
        </w:rPr>
        <w:t>.</w:t>
      </w:r>
      <w:r w:rsidR="00CF19D1" w:rsidRPr="00D8107F">
        <w:rPr>
          <w:rFonts w:cs="AdvPSA183"/>
          <w:color w:val="000000" w:themeColor="text1"/>
        </w:rPr>
        <w:t xml:space="preserve"> </w:t>
      </w:r>
      <w:r w:rsidR="00A37933" w:rsidRPr="00D8107F">
        <w:rPr>
          <w:rFonts w:cs="AdvPSA183"/>
          <w:color w:val="000000" w:themeColor="text1"/>
        </w:rPr>
        <w:t>P</w:t>
      </w:r>
      <w:r w:rsidR="00CF19D1" w:rsidRPr="00D8107F">
        <w:rPr>
          <w:rFonts w:cs="AdvPSA183"/>
          <w:color w:val="000000" w:themeColor="text1"/>
        </w:rPr>
        <w:t xml:space="preserve">atients </w:t>
      </w:r>
      <w:r w:rsidR="00A37933" w:rsidRPr="00D8107F">
        <w:rPr>
          <w:rFonts w:cs="AdvPSA183"/>
          <w:color w:val="000000" w:themeColor="text1"/>
        </w:rPr>
        <w:t>would</w:t>
      </w:r>
      <w:r w:rsidR="00CF19D1" w:rsidRPr="00D8107F">
        <w:rPr>
          <w:rFonts w:cs="AdvPSA183"/>
          <w:color w:val="000000" w:themeColor="text1"/>
        </w:rPr>
        <w:t xml:space="preserve"> </w:t>
      </w:r>
      <w:r w:rsidR="00A37933" w:rsidRPr="00D8107F">
        <w:rPr>
          <w:rFonts w:cs="AdvPSA183"/>
          <w:color w:val="000000" w:themeColor="text1"/>
        </w:rPr>
        <w:t>avoid un</w:t>
      </w:r>
      <w:r w:rsidR="00484EEA" w:rsidRPr="00D8107F">
        <w:rPr>
          <w:rFonts w:cs="AdvPSA183"/>
          <w:color w:val="000000" w:themeColor="text1"/>
        </w:rPr>
        <w:t>ne</w:t>
      </w:r>
      <w:r w:rsidR="00A37933" w:rsidRPr="00D8107F">
        <w:rPr>
          <w:rFonts w:cs="AdvPSA183"/>
          <w:color w:val="000000" w:themeColor="text1"/>
        </w:rPr>
        <w:t>cessary</w:t>
      </w:r>
      <w:r w:rsidR="00CF19D1" w:rsidRPr="00D8107F">
        <w:rPr>
          <w:rFonts w:cs="AdvPSA183"/>
          <w:color w:val="000000" w:themeColor="text1"/>
        </w:rPr>
        <w:t xml:space="preserve"> treatment toxicity and healthcare systems </w:t>
      </w:r>
      <w:r w:rsidR="00A37933" w:rsidRPr="00D8107F">
        <w:rPr>
          <w:rFonts w:cs="AdvPSA183"/>
          <w:color w:val="000000" w:themeColor="text1"/>
        </w:rPr>
        <w:t>would benefit from</w:t>
      </w:r>
      <w:r w:rsidR="00CF19D1" w:rsidRPr="00D8107F">
        <w:rPr>
          <w:rFonts w:cs="AdvPSA183"/>
          <w:color w:val="000000" w:themeColor="text1"/>
        </w:rPr>
        <w:t xml:space="preserve"> a reduction in healthcare costs</w:t>
      </w:r>
      <w:r w:rsidR="00A37933" w:rsidRPr="00D8107F">
        <w:rPr>
          <w:rFonts w:cs="AdvPSA183"/>
          <w:color w:val="000000" w:themeColor="text1"/>
        </w:rPr>
        <w:t xml:space="preserve"> without negatively impacting outcomes</w:t>
      </w:r>
      <w:r w:rsidR="00D32C97" w:rsidRPr="00D8107F">
        <w:rPr>
          <w:rFonts w:cs="AdvPSA183"/>
          <w:color w:val="000000" w:themeColor="text1"/>
        </w:rPr>
        <w:t xml:space="preserve">. </w:t>
      </w:r>
    </w:p>
    <w:p w14:paraId="4539A40A" w14:textId="54AFBA5D" w:rsidR="00D32C97" w:rsidRPr="00D8107F" w:rsidRDefault="00A23481" w:rsidP="00D8107F">
      <w:pPr>
        <w:spacing w:after="240" w:line="480" w:lineRule="auto"/>
        <w:jc w:val="both"/>
        <w:rPr>
          <w:rFonts w:cs="AdvPSA183"/>
          <w:color w:val="000000" w:themeColor="text1"/>
        </w:rPr>
      </w:pPr>
      <w:r w:rsidRPr="00D8107F">
        <w:rPr>
          <w:rFonts w:cs="AdvPSA183"/>
          <w:color w:val="000000" w:themeColor="text1"/>
        </w:rPr>
        <w:t>O</w:t>
      </w:r>
      <w:r w:rsidR="00D32C97" w:rsidRPr="00D8107F">
        <w:rPr>
          <w:rFonts w:cs="AdvPSA183"/>
          <w:color w:val="000000" w:themeColor="text1"/>
        </w:rPr>
        <w:t xml:space="preserve">ur findings </w:t>
      </w:r>
      <w:r w:rsidRPr="00D8107F">
        <w:rPr>
          <w:rFonts w:cs="AdvPSA183"/>
          <w:color w:val="000000" w:themeColor="text1"/>
        </w:rPr>
        <w:t>indicate that integrating markers of the systemic inflammatory response within the PPQ may increase its sensitivity and specificity as a predictor of PRRT efficacy.</w:t>
      </w:r>
      <w:r w:rsidR="005E1BD3" w:rsidRPr="00D8107F">
        <w:rPr>
          <w:rFonts w:cs="AdvPSA183"/>
          <w:color w:val="000000" w:themeColor="text1"/>
        </w:rPr>
        <w:t xml:space="preserve"> </w:t>
      </w:r>
      <w:r w:rsidR="009A5AB0" w:rsidRPr="00D8107F">
        <w:rPr>
          <w:rFonts w:cs="AdvPSA183"/>
          <w:color w:val="000000" w:themeColor="text1"/>
        </w:rPr>
        <w:t xml:space="preserve">Interestingly, we demonstrated a novel relationship between elevated somatostatin levels and decreased PFS (p&lt;0.02) </w:t>
      </w:r>
      <w:r w:rsidR="009A5AB0" w:rsidRPr="00D8107F">
        <w:rPr>
          <w:rFonts w:cs="AdvPSA183"/>
          <w:color w:val="000000" w:themeColor="text1"/>
        </w:rPr>
        <w:lastRenderedPageBreak/>
        <w:t xml:space="preserve">but found no significant association between CgA (currently included within the PPQ) levels and response (p=0.187) within our cohort. </w:t>
      </w:r>
      <w:r w:rsidR="009B0F73" w:rsidRPr="00D8107F">
        <w:rPr>
          <w:color w:val="000000" w:themeColor="text1"/>
        </w:rPr>
        <w:t>This may be a function of differences in cohort composition or size</w:t>
      </w:r>
      <w:r w:rsidR="006C588A" w:rsidRPr="00D8107F">
        <w:rPr>
          <w:color w:val="000000" w:themeColor="text1"/>
        </w:rPr>
        <w:t xml:space="preserve"> and </w:t>
      </w:r>
      <w:r w:rsidR="00F75A76" w:rsidRPr="00D8107F">
        <w:rPr>
          <w:color w:val="000000" w:themeColor="text1"/>
        </w:rPr>
        <w:t>requires further study</w:t>
      </w:r>
      <w:r w:rsidR="009B0F73" w:rsidRPr="00D8107F">
        <w:rPr>
          <w:color w:val="000000" w:themeColor="text1"/>
        </w:rPr>
        <w:t>.</w:t>
      </w:r>
      <w:r w:rsidR="009B0F73" w:rsidRPr="00D8107F">
        <w:rPr>
          <w:rFonts w:cs="AdvPSA183"/>
          <w:color w:val="000000" w:themeColor="text1"/>
        </w:rPr>
        <w:t xml:space="preserve"> </w:t>
      </w:r>
    </w:p>
    <w:p w14:paraId="50AF6A85" w14:textId="748D5ACD" w:rsidR="00A23481" w:rsidRPr="00D8107F" w:rsidRDefault="00A23481" w:rsidP="00D8107F">
      <w:pPr>
        <w:spacing w:after="240" w:line="480" w:lineRule="auto"/>
        <w:jc w:val="both"/>
        <w:rPr>
          <w:rFonts w:cs="AdvPSA183"/>
          <w:color w:val="000000" w:themeColor="text1"/>
        </w:rPr>
      </w:pPr>
      <w:r w:rsidRPr="00D8107F">
        <w:rPr>
          <w:rFonts w:cs="AdvPSA183"/>
          <w:color w:val="000000" w:themeColor="text1"/>
        </w:rPr>
        <w:t xml:space="preserve">Given that </w:t>
      </w:r>
      <w:r w:rsidR="00A77742" w:rsidRPr="00D8107F">
        <w:rPr>
          <w:rFonts w:cs="AdvPSA183"/>
          <w:color w:val="000000" w:themeColor="text1"/>
        </w:rPr>
        <w:t xml:space="preserve">white blood cells comprise a </w:t>
      </w:r>
      <w:r w:rsidR="00CA5945" w:rsidRPr="00D8107F">
        <w:rPr>
          <w:rFonts w:cs="AdvPSA183"/>
          <w:color w:val="000000" w:themeColor="text1"/>
        </w:rPr>
        <w:t xml:space="preserve">large number of the circulating cells that contain genetic material, and </w:t>
      </w:r>
      <w:r w:rsidRPr="00D8107F">
        <w:rPr>
          <w:rFonts w:cs="AdvPSA183"/>
          <w:color w:val="000000" w:themeColor="text1"/>
        </w:rPr>
        <w:t>the genomic signature for PRRT was derived from RNA isolated from circulating blood</w:t>
      </w:r>
      <w:r w:rsidR="00CA5945" w:rsidRPr="00D8107F">
        <w:rPr>
          <w:rFonts w:cs="AdvPSA183"/>
          <w:color w:val="000000" w:themeColor="text1"/>
        </w:rPr>
        <w:t xml:space="preserve">, the changes in RNA expression </w:t>
      </w:r>
      <w:r w:rsidR="00F75A76" w:rsidRPr="00D8107F">
        <w:rPr>
          <w:rFonts w:cs="AdvPSA183"/>
          <w:color w:val="000000" w:themeColor="text1"/>
        </w:rPr>
        <w:t xml:space="preserve">seen in the PPQ developed by Bodei </w:t>
      </w:r>
      <w:r w:rsidR="00F75A76" w:rsidRPr="00D8107F">
        <w:rPr>
          <w:rFonts w:cs="AdvPSA183"/>
          <w:i/>
          <w:color w:val="000000" w:themeColor="text1"/>
        </w:rPr>
        <w:t>et al.</w:t>
      </w:r>
      <w:r w:rsidR="00F75A76" w:rsidRPr="00D8107F">
        <w:rPr>
          <w:rFonts w:cs="AdvPSA183"/>
          <w:color w:val="000000" w:themeColor="text1"/>
        </w:rPr>
        <w:t xml:space="preserve"> </w:t>
      </w:r>
      <w:r w:rsidR="00CA5945" w:rsidRPr="00D8107F">
        <w:rPr>
          <w:rFonts w:cs="AdvPSA183"/>
          <w:color w:val="000000" w:themeColor="text1"/>
        </w:rPr>
        <w:t>may</w:t>
      </w:r>
      <w:r w:rsidR="00F75A76" w:rsidRPr="00D8107F">
        <w:rPr>
          <w:rFonts w:cs="AdvPSA183"/>
          <w:color w:val="000000" w:themeColor="text1"/>
        </w:rPr>
        <w:t xml:space="preserve"> in fact</w:t>
      </w:r>
      <w:r w:rsidR="00CA5945" w:rsidRPr="00D8107F">
        <w:rPr>
          <w:rFonts w:cs="AdvPSA183"/>
          <w:color w:val="000000" w:themeColor="text1"/>
        </w:rPr>
        <w:t xml:space="preserve"> represent a facet of the systemic inflammatory response to cancer.  </w:t>
      </w:r>
    </w:p>
    <w:p w14:paraId="4054AA02" w14:textId="76B2FA28" w:rsidR="00C1062A" w:rsidRPr="00D8107F" w:rsidRDefault="00582F8B" w:rsidP="00D8107F">
      <w:pPr>
        <w:spacing w:after="240" w:line="480" w:lineRule="auto"/>
        <w:jc w:val="both"/>
        <w:rPr>
          <w:rFonts w:cs="AdvPSA183"/>
          <w:color w:val="000000" w:themeColor="text1"/>
        </w:rPr>
      </w:pPr>
      <w:r w:rsidRPr="00D8107F">
        <w:rPr>
          <w:rFonts w:cs="AdvPSA183"/>
          <w:color w:val="000000" w:themeColor="text1"/>
        </w:rPr>
        <w:t>We acknowledge that our sample</w:t>
      </w:r>
      <w:r w:rsidR="00596A59" w:rsidRPr="00D8107F">
        <w:rPr>
          <w:rFonts w:cs="AdvPSA183"/>
          <w:color w:val="000000" w:themeColor="text1"/>
        </w:rPr>
        <w:t xml:space="preserve"> </w:t>
      </w:r>
      <w:r w:rsidRPr="00D8107F">
        <w:rPr>
          <w:rFonts w:cs="AdvPSA183"/>
          <w:color w:val="000000" w:themeColor="text1"/>
        </w:rPr>
        <w:t xml:space="preserve">size and the retrospective nature of our study limit the </w:t>
      </w:r>
      <w:r w:rsidR="006B29D8" w:rsidRPr="00D8107F">
        <w:rPr>
          <w:rFonts w:cs="AdvPSA183"/>
          <w:color w:val="000000" w:themeColor="text1"/>
        </w:rPr>
        <w:t xml:space="preserve">current clinical </w:t>
      </w:r>
      <w:r w:rsidRPr="00D8107F">
        <w:rPr>
          <w:rFonts w:cs="AdvPSA183"/>
          <w:color w:val="000000" w:themeColor="text1"/>
        </w:rPr>
        <w:t xml:space="preserve">utility of our data: </w:t>
      </w:r>
      <w:r w:rsidR="00596A59" w:rsidRPr="00D8107F">
        <w:rPr>
          <w:rFonts w:cs="AdvPSA183"/>
          <w:color w:val="000000" w:themeColor="text1"/>
        </w:rPr>
        <w:t>given the rarity</w:t>
      </w:r>
      <w:r w:rsidR="0039283D" w:rsidRPr="00D8107F">
        <w:rPr>
          <w:rFonts w:cs="AdvPSA183"/>
          <w:color w:val="000000" w:themeColor="text1"/>
        </w:rPr>
        <w:t xml:space="preserve"> of the disease and </w:t>
      </w:r>
      <w:r w:rsidR="00740C7A" w:rsidRPr="00D8107F">
        <w:rPr>
          <w:rFonts w:cs="AdvPSA183"/>
          <w:color w:val="000000" w:themeColor="text1"/>
        </w:rPr>
        <w:t>the limited number of patients receiving PRRT</w:t>
      </w:r>
      <w:r w:rsidRPr="00D8107F">
        <w:rPr>
          <w:rFonts w:cs="AdvPSA183"/>
          <w:color w:val="000000" w:themeColor="text1"/>
        </w:rPr>
        <w:t xml:space="preserve"> this problem is common with other similar studies in this field</w:t>
      </w:r>
      <w:r w:rsidR="00740C7A" w:rsidRPr="00D8107F">
        <w:rPr>
          <w:rFonts w:cs="AdvPSA183"/>
          <w:color w:val="000000" w:themeColor="text1"/>
        </w:rPr>
        <w:t>.</w:t>
      </w:r>
      <w:r w:rsidR="001C00BD">
        <w:rPr>
          <w:rFonts w:cs="AdvPSA183"/>
          <w:color w:val="000000" w:themeColor="text1"/>
        </w:rPr>
        <w:t xml:space="preserve"> </w:t>
      </w:r>
      <w:r w:rsidR="001C00BD" w:rsidRPr="00930043">
        <w:rPr>
          <w:rFonts w:cs="AdvPSA183"/>
          <w:color w:val="000000" w:themeColor="text1"/>
          <w:highlight w:val="yellow"/>
        </w:rPr>
        <w:t>Furthermore, information about tumour grade w</w:t>
      </w:r>
      <w:r w:rsidR="00930043" w:rsidRPr="00930043">
        <w:rPr>
          <w:rFonts w:cs="AdvPSA183"/>
          <w:color w:val="000000" w:themeColor="text1"/>
          <w:highlight w:val="yellow"/>
        </w:rPr>
        <w:t>as missing in 17 of 55 patients in our study; this variable nonetheless emerged as a significant independent predictor of survival on univariate and multivariate analysis</w:t>
      </w:r>
      <w:r w:rsidR="00930043">
        <w:rPr>
          <w:rFonts w:cs="AdvPSA183"/>
          <w:color w:val="000000" w:themeColor="text1"/>
        </w:rPr>
        <w:t>.</w:t>
      </w:r>
      <w:r w:rsidR="00740C7A" w:rsidRPr="00D8107F">
        <w:rPr>
          <w:rFonts w:cs="AdvPSA183"/>
          <w:color w:val="000000" w:themeColor="text1"/>
        </w:rPr>
        <w:t xml:space="preserve"> </w:t>
      </w:r>
      <w:r w:rsidR="006B29D8" w:rsidRPr="00D8107F">
        <w:rPr>
          <w:rFonts w:cs="AdvPSA183"/>
          <w:color w:val="000000" w:themeColor="text1"/>
        </w:rPr>
        <w:t xml:space="preserve">In addition, it would have been useful to directly compare IBI scores with OS and PFS to those of a matched population of patients who did not receive PRRT. </w:t>
      </w:r>
      <w:r w:rsidR="004A65CF" w:rsidRPr="004A65CF">
        <w:rPr>
          <w:rFonts w:cs="AdvPSA183"/>
          <w:color w:val="000000" w:themeColor="text1"/>
          <w:highlight w:val="yellow"/>
        </w:rPr>
        <w:t xml:space="preserve">We suggest that an adequately powered prospective analysis should be undertaken to validate the prognostic value of IBI: such a study should include other potentially important phenotypic factors such as </w:t>
      </w:r>
      <w:r w:rsidR="00AE021C" w:rsidRPr="004A65CF">
        <w:rPr>
          <w:rFonts w:cs="AdvPSA183"/>
          <w:color w:val="000000" w:themeColor="text1"/>
          <w:highlight w:val="yellow"/>
        </w:rPr>
        <w:t xml:space="preserve">the rate of tumour growth prior to </w:t>
      </w:r>
      <w:r w:rsidR="004A65CF" w:rsidRPr="004A65CF">
        <w:rPr>
          <w:rFonts w:cs="AdvPSA183"/>
          <w:color w:val="000000" w:themeColor="text1"/>
          <w:highlight w:val="yellow"/>
        </w:rPr>
        <w:t>PRRT and the</w:t>
      </w:r>
      <w:r w:rsidR="00290A10" w:rsidRPr="004A65CF">
        <w:rPr>
          <w:rFonts w:cs="AdvPSA183"/>
          <w:color w:val="000000" w:themeColor="text1"/>
          <w:highlight w:val="yellow"/>
        </w:rPr>
        <w:t xml:space="preserve"> nature of pre-PRRT </w:t>
      </w:r>
      <w:r w:rsidR="004A65CF" w:rsidRPr="004A65CF">
        <w:rPr>
          <w:rFonts w:cs="AdvPSA183"/>
          <w:color w:val="000000" w:themeColor="text1"/>
          <w:highlight w:val="yellow"/>
        </w:rPr>
        <w:t>treatments</w:t>
      </w:r>
      <w:r w:rsidR="00290A10" w:rsidRPr="004A65CF">
        <w:rPr>
          <w:rFonts w:cs="AdvPSA183"/>
          <w:color w:val="000000" w:themeColor="text1"/>
          <w:highlight w:val="yellow"/>
        </w:rPr>
        <w:t>.</w:t>
      </w:r>
      <w:r w:rsidR="00290A10">
        <w:rPr>
          <w:rFonts w:cs="AdvPSA183"/>
          <w:color w:val="000000" w:themeColor="text1"/>
        </w:rPr>
        <w:t xml:space="preserve">   </w:t>
      </w:r>
    </w:p>
    <w:p w14:paraId="6538CD43" w14:textId="09C55E6F" w:rsidR="00D8107F" w:rsidRPr="00D8107F" w:rsidRDefault="001A3DFE" w:rsidP="00D8107F">
      <w:pPr>
        <w:spacing w:after="240" w:line="480" w:lineRule="auto"/>
        <w:jc w:val="both"/>
        <w:rPr>
          <w:rFonts w:cs="AdvPSA183"/>
          <w:color w:val="000000" w:themeColor="text1"/>
        </w:rPr>
      </w:pPr>
      <w:r w:rsidRPr="00D8107F">
        <w:rPr>
          <w:rFonts w:cs="AdvPSA183"/>
          <w:color w:val="000000" w:themeColor="text1"/>
        </w:rPr>
        <w:t>In conclusion</w:t>
      </w:r>
      <w:r w:rsidR="004C0928" w:rsidRPr="00D8107F">
        <w:rPr>
          <w:rFonts w:cs="AdvPSA183"/>
          <w:color w:val="000000" w:themeColor="text1"/>
        </w:rPr>
        <w:t xml:space="preserve">, our results show a </w:t>
      </w:r>
      <w:r w:rsidR="0085414A" w:rsidRPr="00D8107F">
        <w:rPr>
          <w:rFonts w:cs="AdvPSA183"/>
          <w:color w:val="000000" w:themeColor="text1"/>
        </w:rPr>
        <w:t xml:space="preserve">clear </w:t>
      </w:r>
      <w:r w:rsidR="004C0928" w:rsidRPr="00D8107F">
        <w:rPr>
          <w:rFonts w:cs="AdvPSA183"/>
          <w:color w:val="000000" w:themeColor="text1"/>
        </w:rPr>
        <w:t xml:space="preserve">role for IBI in predicting prognosis for patients treated with PRRT across a range of NETs. </w:t>
      </w:r>
      <w:r w:rsidR="00660595" w:rsidRPr="00D8107F">
        <w:rPr>
          <w:rFonts w:cs="AdvPSA183"/>
          <w:color w:val="000000" w:themeColor="text1"/>
        </w:rPr>
        <w:t>V</w:t>
      </w:r>
      <w:r w:rsidR="006B29D8" w:rsidRPr="00D8107F">
        <w:rPr>
          <w:rFonts w:cs="AdvPSA183"/>
          <w:color w:val="000000" w:themeColor="text1"/>
        </w:rPr>
        <w:t>alidation</w:t>
      </w:r>
      <w:r w:rsidR="00660595" w:rsidRPr="00D8107F">
        <w:rPr>
          <w:rFonts w:cs="AdvPSA183"/>
          <w:color w:val="000000" w:themeColor="text1"/>
        </w:rPr>
        <w:t xml:space="preserve"> in an independent cohort</w:t>
      </w:r>
      <w:r w:rsidR="006B29D8" w:rsidRPr="00D8107F">
        <w:rPr>
          <w:rFonts w:cs="AdvPSA183"/>
          <w:color w:val="000000" w:themeColor="text1"/>
        </w:rPr>
        <w:t xml:space="preserve"> of patients </w:t>
      </w:r>
      <w:r w:rsidR="00660595" w:rsidRPr="00D8107F">
        <w:rPr>
          <w:rFonts w:cs="AdvPSA183"/>
          <w:color w:val="000000" w:themeColor="text1"/>
        </w:rPr>
        <w:t xml:space="preserve">should be performed in order to confirm these findings </w:t>
      </w:r>
      <w:r w:rsidRPr="00D8107F">
        <w:rPr>
          <w:rFonts w:cs="AdvPSA183"/>
          <w:color w:val="000000" w:themeColor="text1"/>
        </w:rPr>
        <w:t xml:space="preserve">prior to integration </w:t>
      </w:r>
      <w:r w:rsidR="00D0727E" w:rsidRPr="00D8107F">
        <w:rPr>
          <w:rFonts w:cs="AdvPSA183"/>
          <w:color w:val="000000" w:themeColor="text1"/>
        </w:rPr>
        <w:t xml:space="preserve">into clinical practice. </w:t>
      </w:r>
      <w:r w:rsidR="00660595" w:rsidRPr="00D8107F">
        <w:rPr>
          <w:rFonts w:cs="AdvPSA183"/>
          <w:color w:val="000000" w:themeColor="text1"/>
        </w:rPr>
        <w:t xml:space="preserve"> Subject to this</w:t>
      </w:r>
      <w:r w:rsidRPr="00D8107F">
        <w:rPr>
          <w:rFonts w:cs="AdvPSA183"/>
          <w:color w:val="000000" w:themeColor="text1"/>
        </w:rPr>
        <w:t xml:space="preserve"> </w:t>
      </w:r>
      <w:r w:rsidR="00660595" w:rsidRPr="00D8107F">
        <w:rPr>
          <w:rFonts w:cs="AdvPSA183"/>
          <w:color w:val="000000" w:themeColor="text1"/>
        </w:rPr>
        <w:t>our data indicate that is a biomarker</w:t>
      </w:r>
      <w:r w:rsidR="00E84A86" w:rsidRPr="00D8107F">
        <w:rPr>
          <w:rFonts w:cs="AdvPSA183"/>
          <w:color w:val="000000" w:themeColor="text1"/>
        </w:rPr>
        <w:t xml:space="preserve"> IBI </w:t>
      </w:r>
      <w:r w:rsidR="00660595" w:rsidRPr="00D8107F">
        <w:rPr>
          <w:rFonts w:cs="AdvPSA183"/>
          <w:color w:val="000000" w:themeColor="text1"/>
        </w:rPr>
        <w:t>of</w:t>
      </w:r>
      <w:r w:rsidR="00E84A86" w:rsidRPr="00D8107F">
        <w:rPr>
          <w:rFonts w:cs="AdvPSA183"/>
          <w:color w:val="000000" w:themeColor="text1"/>
        </w:rPr>
        <w:t xml:space="preserve"> survival and radiological response for metastatic NETs treated with PRRT that is inexpensive, readily available and </w:t>
      </w:r>
      <w:r w:rsidR="00660595" w:rsidRPr="00D8107F">
        <w:rPr>
          <w:rFonts w:cs="AdvPSA183"/>
          <w:color w:val="000000" w:themeColor="text1"/>
        </w:rPr>
        <w:t>could be rapidly instituted in clinical practice with almost instantaneous clinical benefit</w:t>
      </w:r>
      <w:r w:rsidR="00E84A86" w:rsidRPr="00D8107F">
        <w:rPr>
          <w:rFonts w:cs="AdvPSA183"/>
          <w:color w:val="000000" w:themeColor="text1"/>
        </w:rPr>
        <w:t xml:space="preserve">. </w:t>
      </w:r>
    </w:p>
    <w:p w14:paraId="4F5C1E7D" w14:textId="2C637847" w:rsidR="00F11ED8" w:rsidRDefault="00F11ED8" w:rsidP="00156310">
      <w:pPr>
        <w:spacing w:after="240" w:line="480" w:lineRule="auto"/>
        <w:jc w:val="both"/>
        <w:rPr>
          <w:rFonts w:cs="AdvPSA183"/>
          <w:b/>
          <w:color w:val="000000" w:themeColor="text1"/>
        </w:rPr>
      </w:pPr>
    </w:p>
    <w:p w14:paraId="1147CFC1" w14:textId="06A6FD9D" w:rsidR="00156310" w:rsidRDefault="00156310" w:rsidP="00156310">
      <w:pPr>
        <w:spacing w:after="240" w:line="480" w:lineRule="auto"/>
        <w:jc w:val="both"/>
        <w:rPr>
          <w:rFonts w:cs="AdvPSA183"/>
          <w:b/>
          <w:color w:val="000000" w:themeColor="text1"/>
        </w:rPr>
      </w:pPr>
      <w:r>
        <w:rPr>
          <w:rFonts w:cs="AdvPSA183"/>
          <w:b/>
          <w:color w:val="000000" w:themeColor="text1"/>
        </w:rPr>
        <w:lastRenderedPageBreak/>
        <w:t>Declaration of interest</w:t>
      </w:r>
    </w:p>
    <w:p w14:paraId="5A6B6F06" w14:textId="713D4745" w:rsidR="00156310" w:rsidRPr="00156310" w:rsidRDefault="00156310" w:rsidP="00156310">
      <w:pPr>
        <w:spacing w:after="240" w:line="480" w:lineRule="auto"/>
        <w:jc w:val="both"/>
        <w:rPr>
          <w:rFonts w:cs="AdvPSA183"/>
          <w:color w:val="000000" w:themeColor="text1"/>
        </w:rPr>
      </w:pPr>
      <w:r>
        <w:rPr>
          <w:rFonts w:cs="AdvPSA183"/>
          <w:color w:val="000000" w:themeColor="text1"/>
        </w:rPr>
        <w:t>The authors declare no conflict of interest.</w:t>
      </w:r>
    </w:p>
    <w:p w14:paraId="14AF88D1" w14:textId="13E615B3" w:rsidR="00156310" w:rsidRDefault="00156310" w:rsidP="00156310">
      <w:pPr>
        <w:spacing w:after="240" w:line="480" w:lineRule="auto"/>
        <w:jc w:val="both"/>
        <w:rPr>
          <w:rFonts w:cs="AdvPSA183"/>
          <w:b/>
          <w:color w:val="000000" w:themeColor="text1"/>
        </w:rPr>
      </w:pPr>
      <w:r>
        <w:rPr>
          <w:rFonts w:cs="AdvPSA183"/>
          <w:b/>
          <w:color w:val="000000" w:themeColor="text1"/>
        </w:rPr>
        <w:t>Funding</w:t>
      </w:r>
    </w:p>
    <w:p w14:paraId="7CDB24F4" w14:textId="04C81FE7" w:rsidR="00156310" w:rsidRDefault="00156310" w:rsidP="00812031">
      <w:pPr>
        <w:spacing w:after="0" w:line="480" w:lineRule="auto"/>
        <w:rPr>
          <w:rFonts w:eastAsia="Times New Roman" w:cstheme="minorHAnsi"/>
        </w:rPr>
      </w:pPr>
      <w:r w:rsidRPr="00156310">
        <w:rPr>
          <w:rFonts w:eastAsia="Times New Roman" w:cstheme="minorHAnsi"/>
          <w:color w:val="403838"/>
          <w:shd w:val="clear" w:color="auto" w:fill="FFFFFF"/>
        </w:rPr>
        <w:t>This research did not receive any specific grant from any funding agency in the public, commercial or not-for-profit sector.</w:t>
      </w:r>
    </w:p>
    <w:p w14:paraId="0C7C89C2" w14:textId="77777777" w:rsidR="00812031" w:rsidRPr="00812031" w:rsidRDefault="00812031" w:rsidP="00812031">
      <w:pPr>
        <w:spacing w:after="0" w:line="480" w:lineRule="auto"/>
        <w:rPr>
          <w:rFonts w:eastAsia="Times New Roman" w:cstheme="minorHAnsi"/>
        </w:rPr>
      </w:pPr>
    </w:p>
    <w:p w14:paraId="46F2C403" w14:textId="252EEFBA" w:rsidR="00A94E61" w:rsidRPr="004944D6" w:rsidRDefault="00D3301D" w:rsidP="00156310">
      <w:pPr>
        <w:spacing w:after="240" w:line="480" w:lineRule="auto"/>
        <w:jc w:val="both"/>
        <w:rPr>
          <w:rFonts w:cstheme="minorHAnsi"/>
          <w:b/>
          <w:color w:val="000000" w:themeColor="text1"/>
        </w:rPr>
      </w:pPr>
      <w:r w:rsidRPr="004944D6">
        <w:rPr>
          <w:rFonts w:cstheme="minorHAnsi"/>
          <w:b/>
          <w:color w:val="000000" w:themeColor="text1"/>
        </w:rPr>
        <w:t>Authors Contributions</w:t>
      </w:r>
    </w:p>
    <w:p w14:paraId="2A4ADDF1" w14:textId="6928BC91" w:rsidR="00D3301D" w:rsidRPr="00D3301D" w:rsidRDefault="00BB6989" w:rsidP="00156310">
      <w:pPr>
        <w:spacing w:after="0" w:line="480" w:lineRule="auto"/>
        <w:rPr>
          <w:rFonts w:eastAsia="Times New Roman" w:cstheme="minorHAnsi"/>
        </w:rPr>
      </w:pPr>
      <w:r w:rsidRPr="004944D6">
        <w:rPr>
          <w:rFonts w:eastAsia="Times New Roman" w:cstheme="minorHAnsi"/>
          <w:color w:val="000000"/>
          <w:shd w:val="clear" w:color="auto" w:fill="FFFFFF"/>
        </w:rPr>
        <w:t xml:space="preserve">Study concept and design: </w:t>
      </w:r>
      <w:r w:rsidR="00D3301D" w:rsidRPr="00D3301D">
        <w:rPr>
          <w:rFonts w:eastAsia="Times New Roman" w:cstheme="minorHAnsi"/>
          <w:color w:val="000000"/>
          <w:shd w:val="clear" w:color="auto" w:fill="FFFFFF"/>
        </w:rPr>
        <w:t>RS</w:t>
      </w:r>
      <w:r w:rsidRPr="004944D6">
        <w:rPr>
          <w:rFonts w:eastAsia="Times New Roman" w:cstheme="minorHAnsi"/>
          <w:color w:val="000000"/>
          <w:shd w:val="clear" w:color="auto" w:fill="FFFFFF"/>
        </w:rPr>
        <w:t xml:space="preserve">. </w:t>
      </w:r>
      <w:r w:rsidR="00D3301D" w:rsidRPr="00D3301D">
        <w:rPr>
          <w:rFonts w:eastAsia="Times New Roman" w:cstheme="minorHAnsi"/>
          <w:color w:val="000000"/>
          <w:shd w:val="clear" w:color="auto" w:fill="FFFFFF"/>
        </w:rPr>
        <w:t xml:space="preserve">Acquisition of data: </w:t>
      </w:r>
      <w:r w:rsidRPr="004944D6">
        <w:rPr>
          <w:rFonts w:eastAsia="Times New Roman" w:cstheme="minorHAnsi"/>
          <w:color w:val="000000"/>
          <w:shd w:val="clear" w:color="auto" w:fill="FFFFFF"/>
        </w:rPr>
        <w:t>JRB, AS</w:t>
      </w:r>
      <w:r w:rsidR="00B34586" w:rsidRPr="004944D6">
        <w:rPr>
          <w:rFonts w:eastAsia="Times New Roman" w:cstheme="minorHAnsi"/>
          <w:color w:val="000000"/>
          <w:shd w:val="clear" w:color="auto" w:fill="FFFFFF"/>
        </w:rPr>
        <w:t>, RS</w:t>
      </w:r>
      <w:r w:rsidRPr="004944D6">
        <w:rPr>
          <w:rFonts w:eastAsia="Times New Roman" w:cstheme="minorHAnsi"/>
          <w:color w:val="000000"/>
          <w:shd w:val="clear" w:color="auto" w:fill="FFFFFF"/>
        </w:rPr>
        <w:t xml:space="preserve">. </w:t>
      </w:r>
      <w:r w:rsidR="00D3301D" w:rsidRPr="00D3301D">
        <w:rPr>
          <w:rFonts w:eastAsia="Times New Roman" w:cstheme="minorHAnsi"/>
          <w:color w:val="000000"/>
          <w:shd w:val="clear" w:color="auto" w:fill="FFFFFF"/>
        </w:rPr>
        <w:t xml:space="preserve">Analysis and interpretation of data: </w:t>
      </w:r>
      <w:r w:rsidRPr="004944D6">
        <w:rPr>
          <w:rFonts w:eastAsia="Times New Roman" w:cstheme="minorHAnsi"/>
          <w:color w:val="000000"/>
          <w:shd w:val="clear" w:color="auto" w:fill="FFFFFF"/>
        </w:rPr>
        <w:t xml:space="preserve">JRB, </w:t>
      </w:r>
      <w:r w:rsidR="00B34586" w:rsidRPr="004944D6">
        <w:rPr>
          <w:rFonts w:eastAsia="Times New Roman" w:cstheme="minorHAnsi"/>
          <w:color w:val="000000"/>
          <w:shd w:val="clear" w:color="auto" w:fill="FFFFFF"/>
        </w:rPr>
        <w:t>SRA</w:t>
      </w:r>
      <w:r w:rsidR="00D3301D" w:rsidRPr="00D3301D">
        <w:rPr>
          <w:rFonts w:eastAsia="Times New Roman" w:cstheme="minorHAnsi"/>
          <w:color w:val="000000"/>
          <w:shd w:val="clear" w:color="auto" w:fill="FFFFFF"/>
        </w:rPr>
        <w:t>.</w:t>
      </w:r>
      <w:r w:rsidR="00B34586" w:rsidRPr="004944D6">
        <w:rPr>
          <w:rFonts w:eastAsia="Times New Roman" w:cstheme="minorHAnsi"/>
          <w:color w:val="000000"/>
          <w:shd w:val="clear" w:color="auto" w:fill="FFFFFF"/>
        </w:rPr>
        <w:t xml:space="preserve"> </w:t>
      </w:r>
      <w:r w:rsidR="00D3301D" w:rsidRPr="00D3301D">
        <w:rPr>
          <w:rFonts w:eastAsia="Times New Roman" w:cstheme="minorHAnsi"/>
          <w:color w:val="000000"/>
          <w:shd w:val="clear" w:color="auto" w:fill="FFFFFF"/>
        </w:rPr>
        <w:t xml:space="preserve">Drafting of the manuscript: </w:t>
      </w:r>
      <w:r w:rsidR="00B34586" w:rsidRPr="004944D6">
        <w:rPr>
          <w:rFonts w:eastAsia="Times New Roman" w:cstheme="minorHAnsi"/>
          <w:color w:val="000000"/>
          <w:shd w:val="clear" w:color="auto" w:fill="FFFFFF"/>
        </w:rPr>
        <w:t>JRB, SRA</w:t>
      </w:r>
      <w:r w:rsidR="00D3301D" w:rsidRPr="00D3301D">
        <w:rPr>
          <w:rFonts w:eastAsia="Times New Roman" w:cstheme="minorHAnsi"/>
          <w:color w:val="000000"/>
          <w:shd w:val="clear" w:color="auto" w:fill="FFFFFF"/>
        </w:rPr>
        <w:t>.</w:t>
      </w:r>
      <w:r w:rsidR="00B34586" w:rsidRPr="004944D6">
        <w:rPr>
          <w:rFonts w:eastAsia="Times New Roman" w:cstheme="minorHAnsi"/>
          <w:color w:val="000000"/>
          <w:shd w:val="clear" w:color="auto" w:fill="FFFFFF"/>
        </w:rPr>
        <w:t xml:space="preserve"> </w:t>
      </w:r>
      <w:r w:rsidR="00D3301D" w:rsidRPr="00D3301D">
        <w:rPr>
          <w:rFonts w:eastAsia="Times New Roman" w:cstheme="minorHAnsi"/>
          <w:color w:val="000000"/>
          <w:shd w:val="clear" w:color="auto" w:fill="FFFFFF"/>
        </w:rPr>
        <w:t>Critical revision of the manuscript for important intellectual content: All the authors.</w:t>
      </w:r>
      <w:r w:rsidR="00B34586" w:rsidRPr="004944D6">
        <w:rPr>
          <w:rFonts w:eastAsia="Times New Roman" w:cstheme="minorHAnsi"/>
          <w:color w:val="000000"/>
          <w:shd w:val="clear" w:color="auto" w:fill="FFFFFF"/>
        </w:rPr>
        <w:t xml:space="preserve"> </w:t>
      </w:r>
      <w:r w:rsidR="00D3301D" w:rsidRPr="00D3301D">
        <w:rPr>
          <w:rFonts w:eastAsia="Times New Roman" w:cstheme="minorHAnsi"/>
          <w:color w:val="000000"/>
          <w:shd w:val="clear" w:color="auto" w:fill="FFFFFF"/>
        </w:rPr>
        <w:t xml:space="preserve">Statistical analysis: </w:t>
      </w:r>
      <w:r w:rsidR="00B34586" w:rsidRPr="004944D6">
        <w:rPr>
          <w:rFonts w:eastAsia="Times New Roman" w:cstheme="minorHAnsi"/>
          <w:color w:val="000000"/>
          <w:shd w:val="clear" w:color="auto" w:fill="FFFFFF"/>
        </w:rPr>
        <w:t>JRB, SRA</w:t>
      </w:r>
      <w:r w:rsidR="00D3301D" w:rsidRPr="00D3301D">
        <w:rPr>
          <w:rFonts w:eastAsia="Times New Roman" w:cstheme="minorHAnsi"/>
          <w:color w:val="000000"/>
          <w:shd w:val="clear" w:color="auto" w:fill="FFFFFF"/>
        </w:rPr>
        <w:t>.</w:t>
      </w:r>
      <w:r w:rsidR="00B34586" w:rsidRPr="004944D6">
        <w:rPr>
          <w:rFonts w:eastAsia="Times New Roman" w:cstheme="minorHAnsi"/>
          <w:color w:val="000000"/>
          <w:shd w:val="clear" w:color="auto" w:fill="FFFFFF"/>
        </w:rPr>
        <w:t xml:space="preserve"> Obtained funding: RS</w:t>
      </w:r>
      <w:r w:rsidR="00D3301D" w:rsidRPr="00D3301D">
        <w:rPr>
          <w:rFonts w:eastAsia="Times New Roman" w:cstheme="minorHAnsi"/>
          <w:color w:val="000000"/>
          <w:shd w:val="clear" w:color="auto" w:fill="FFFFFF"/>
        </w:rPr>
        <w:t>.</w:t>
      </w:r>
      <w:r w:rsidR="00B34586" w:rsidRPr="004944D6">
        <w:rPr>
          <w:rFonts w:eastAsia="Times New Roman" w:cstheme="minorHAnsi"/>
          <w:color w:val="000000"/>
          <w:shd w:val="clear" w:color="auto" w:fill="FFFFFF"/>
        </w:rPr>
        <w:t xml:space="preserve"> </w:t>
      </w:r>
      <w:r w:rsidR="00D3301D" w:rsidRPr="00D3301D">
        <w:rPr>
          <w:rFonts w:eastAsia="Times New Roman" w:cstheme="minorHAnsi"/>
          <w:color w:val="000000"/>
          <w:shd w:val="clear" w:color="auto" w:fill="FFFFFF"/>
        </w:rPr>
        <w:t xml:space="preserve">Administrative, technical, or material support: </w:t>
      </w:r>
      <w:r w:rsidR="00B34586" w:rsidRPr="004944D6">
        <w:rPr>
          <w:rFonts w:eastAsia="Times New Roman" w:cstheme="minorHAnsi"/>
          <w:color w:val="000000"/>
          <w:shd w:val="clear" w:color="auto" w:fill="FFFFFF"/>
        </w:rPr>
        <w:t>RS</w:t>
      </w:r>
      <w:r w:rsidR="00D3301D" w:rsidRPr="00D3301D">
        <w:rPr>
          <w:rFonts w:eastAsia="Times New Roman" w:cstheme="minorHAnsi"/>
          <w:color w:val="000000"/>
          <w:shd w:val="clear" w:color="auto" w:fill="FFFFFF"/>
        </w:rPr>
        <w:t>.</w:t>
      </w:r>
      <w:r w:rsidR="00B34586" w:rsidRPr="004944D6">
        <w:rPr>
          <w:rFonts w:eastAsia="Times New Roman" w:cstheme="minorHAnsi"/>
          <w:color w:val="000000"/>
          <w:shd w:val="clear" w:color="auto" w:fill="FFFFFF"/>
        </w:rPr>
        <w:t xml:space="preserve"> </w:t>
      </w:r>
      <w:r w:rsidR="00D3301D" w:rsidRPr="00D3301D">
        <w:rPr>
          <w:rFonts w:eastAsia="Times New Roman" w:cstheme="minorHAnsi"/>
          <w:color w:val="000000"/>
          <w:shd w:val="clear" w:color="auto" w:fill="FFFFFF"/>
        </w:rPr>
        <w:t>Study supervision: RS.</w:t>
      </w:r>
    </w:p>
    <w:p w14:paraId="7107ACEB" w14:textId="4C93AD1A" w:rsidR="00BB6989" w:rsidRPr="004944D6" w:rsidRDefault="00BB6989" w:rsidP="00D8107F">
      <w:pPr>
        <w:spacing w:after="240" w:line="480" w:lineRule="auto"/>
        <w:jc w:val="both"/>
        <w:rPr>
          <w:rFonts w:cs="AdvPSA183"/>
          <w:color w:val="000000" w:themeColor="text1"/>
        </w:rPr>
      </w:pPr>
    </w:p>
    <w:p w14:paraId="4E12BFCB" w14:textId="77777777" w:rsidR="00C1062A" w:rsidRPr="00D8107F" w:rsidRDefault="00C1062A" w:rsidP="00D8107F">
      <w:pPr>
        <w:spacing w:line="480" w:lineRule="auto"/>
        <w:ind w:firstLine="720"/>
        <w:contextualSpacing/>
        <w:rPr>
          <w:rFonts w:cs="AdvPSA183"/>
          <w:color w:val="000000" w:themeColor="text1"/>
        </w:rPr>
      </w:pPr>
    </w:p>
    <w:p w14:paraId="7765714B" w14:textId="15A0771A" w:rsidR="007F5DA9" w:rsidRPr="00D8107F" w:rsidRDefault="007F5DA9" w:rsidP="00D8107F">
      <w:pPr>
        <w:tabs>
          <w:tab w:val="left" w:pos="2997"/>
        </w:tabs>
        <w:spacing w:line="480" w:lineRule="auto"/>
        <w:contextualSpacing/>
        <w:outlineLvl w:val="0"/>
        <w:rPr>
          <w:rFonts w:cs="AdvPSA183"/>
          <w:b/>
          <w:color w:val="000000" w:themeColor="text1"/>
        </w:rPr>
      </w:pPr>
      <w:r w:rsidRPr="00D8107F">
        <w:rPr>
          <w:rFonts w:cs="AdvPSA183"/>
          <w:b/>
          <w:color w:val="000000" w:themeColor="text1"/>
        </w:rPr>
        <w:t>References</w:t>
      </w:r>
    </w:p>
    <w:p w14:paraId="78361F98" w14:textId="302511B8" w:rsidR="00F62E08" w:rsidRPr="00F62E08" w:rsidRDefault="007F5DA9" w:rsidP="00F62E08">
      <w:pPr>
        <w:widowControl w:val="0"/>
        <w:autoSpaceDE w:val="0"/>
        <w:autoSpaceDN w:val="0"/>
        <w:adjustRightInd w:val="0"/>
        <w:spacing w:line="480" w:lineRule="auto"/>
        <w:ind w:left="640" w:hanging="640"/>
        <w:rPr>
          <w:rFonts w:ascii="Calibri" w:hAnsi="Calibri" w:cs="Times New Roman"/>
          <w:noProof/>
          <w:lang w:val="en-US"/>
        </w:rPr>
      </w:pPr>
      <w:r w:rsidRPr="00D8107F">
        <w:rPr>
          <w:rFonts w:cs="AdvPSA183"/>
          <w:color w:val="000000" w:themeColor="text1"/>
        </w:rPr>
        <w:fldChar w:fldCharType="begin" w:fldLock="1"/>
      </w:r>
      <w:r w:rsidRPr="00D8107F">
        <w:rPr>
          <w:rFonts w:cs="AdvPSA183"/>
          <w:color w:val="000000" w:themeColor="text1"/>
        </w:rPr>
        <w:instrText xml:space="preserve">ADDIN Mendeley Bibliography CSL_BIBLIOGRAPHY </w:instrText>
      </w:r>
      <w:r w:rsidRPr="00D8107F">
        <w:rPr>
          <w:rFonts w:cs="AdvPSA183"/>
          <w:color w:val="000000" w:themeColor="text1"/>
        </w:rPr>
        <w:fldChar w:fldCharType="separate"/>
      </w:r>
      <w:r w:rsidR="00F62E08" w:rsidRPr="00F62E08">
        <w:rPr>
          <w:rFonts w:ascii="Calibri" w:hAnsi="Calibri" w:cs="Times New Roman"/>
          <w:noProof/>
          <w:lang w:val="en-US"/>
        </w:rPr>
        <w:t>1.</w:t>
      </w:r>
      <w:r w:rsidR="00F62E08" w:rsidRPr="00F62E08">
        <w:rPr>
          <w:rFonts w:ascii="Calibri" w:hAnsi="Calibri" w:cs="Times New Roman"/>
          <w:noProof/>
          <w:lang w:val="en-US"/>
        </w:rPr>
        <w:tab/>
        <w:t xml:space="preserve">Yao, J. C. </w:t>
      </w:r>
      <w:r w:rsidR="00F62E08" w:rsidRPr="00F62E08">
        <w:rPr>
          <w:rFonts w:ascii="Calibri" w:hAnsi="Calibri" w:cs="Times New Roman"/>
          <w:i/>
          <w:iCs/>
          <w:noProof/>
          <w:lang w:val="en-US"/>
        </w:rPr>
        <w:t>et al.</w:t>
      </w:r>
      <w:r w:rsidR="00F62E08" w:rsidRPr="00F62E08">
        <w:rPr>
          <w:rFonts w:ascii="Calibri" w:hAnsi="Calibri" w:cs="Times New Roman"/>
          <w:noProof/>
          <w:lang w:val="en-US"/>
        </w:rPr>
        <w:t xml:space="preserve"> One hundred years after ‘carcinoid’: Epidemiology of and prognostic factors for neuroendocrine tumors in 35,825 cases in the United States. </w:t>
      </w:r>
      <w:r w:rsidR="00F62E08" w:rsidRPr="00F62E08">
        <w:rPr>
          <w:rFonts w:ascii="Calibri" w:hAnsi="Calibri" w:cs="Times New Roman"/>
          <w:i/>
          <w:iCs/>
          <w:noProof/>
          <w:lang w:val="en-US"/>
        </w:rPr>
        <w:t>J. Clin. Oncol.</w:t>
      </w:r>
      <w:r w:rsidR="00F62E08" w:rsidRPr="00F62E08">
        <w:rPr>
          <w:rFonts w:ascii="Calibri" w:hAnsi="Calibri" w:cs="Times New Roman"/>
          <w:noProof/>
          <w:lang w:val="en-US"/>
        </w:rPr>
        <w:t xml:space="preserve"> </w:t>
      </w:r>
      <w:r w:rsidR="00F62E08" w:rsidRPr="00F62E08">
        <w:rPr>
          <w:rFonts w:ascii="Calibri" w:hAnsi="Calibri" w:cs="Times New Roman"/>
          <w:b/>
          <w:bCs/>
          <w:noProof/>
          <w:lang w:val="en-US"/>
        </w:rPr>
        <w:t>26,</w:t>
      </w:r>
      <w:r w:rsidR="00F62E08" w:rsidRPr="00F62E08">
        <w:rPr>
          <w:rFonts w:ascii="Calibri" w:hAnsi="Calibri" w:cs="Times New Roman"/>
          <w:noProof/>
          <w:lang w:val="en-US"/>
        </w:rPr>
        <w:t xml:space="preserve"> 3063–3072 (2008).</w:t>
      </w:r>
    </w:p>
    <w:p w14:paraId="4F6706F9"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2.</w:t>
      </w:r>
      <w:r w:rsidRPr="00F62E08">
        <w:rPr>
          <w:rFonts w:ascii="Calibri" w:hAnsi="Calibri" w:cs="Times New Roman"/>
          <w:noProof/>
          <w:lang w:val="en-US"/>
        </w:rPr>
        <w:tab/>
        <w:t xml:space="preserve">Kwekkeboom, D. J. &amp; Krenning, E. P. Peptide Receptor Radionuclide Therapy in the Treatment of Neuroendocrine Tumors. </w:t>
      </w:r>
      <w:r w:rsidRPr="00F62E08">
        <w:rPr>
          <w:rFonts w:ascii="Calibri" w:hAnsi="Calibri" w:cs="Times New Roman"/>
          <w:i/>
          <w:iCs/>
          <w:noProof/>
          <w:lang w:val="en-US"/>
        </w:rPr>
        <w:t>Hematol. Oncol. Clin. North Am.</w:t>
      </w:r>
      <w:r w:rsidRPr="00F62E08">
        <w:rPr>
          <w:rFonts w:ascii="Calibri" w:hAnsi="Calibri" w:cs="Times New Roman"/>
          <w:noProof/>
          <w:lang w:val="en-US"/>
        </w:rPr>
        <w:t xml:space="preserve"> </w:t>
      </w:r>
      <w:r w:rsidRPr="00F62E08">
        <w:rPr>
          <w:rFonts w:ascii="Calibri" w:hAnsi="Calibri" w:cs="Times New Roman"/>
          <w:b/>
          <w:bCs/>
          <w:noProof/>
          <w:lang w:val="en-US"/>
        </w:rPr>
        <w:t>30,</w:t>
      </w:r>
      <w:r w:rsidRPr="00F62E08">
        <w:rPr>
          <w:rFonts w:ascii="Calibri" w:hAnsi="Calibri" w:cs="Times New Roman"/>
          <w:noProof/>
          <w:lang w:val="en-US"/>
        </w:rPr>
        <w:t xml:space="preserve"> 179–191 (2016).</w:t>
      </w:r>
    </w:p>
    <w:p w14:paraId="3E8368EE"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3.</w:t>
      </w:r>
      <w:r w:rsidRPr="00F62E08">
        <w:rPr>
          <w:rFonts w:ascii="Calibri" w:hAnsi="Calibri" w:cs="Times New Roman"/>
          <w:noProof/>
          <w:lang w:val="en-US"/>
        </w:rPr>
        <w:tab/>
        <w:t xml:space="preserve">Kwekkeboom, D. J. </w:t>
      </w:r>
      <w:r w:rsidRPr="00F62E08">
        <w:rPr>
          <w:rFonts w:ascii="Calibri" w:hAnsi="Calibri" w:cs="Times New Roman"/>
          <w:i/>
          <w:iCs/>
          <w:noProof/>
          <w:lang w:val="en-US"/>
        </w:rPr>
        <w:t>et al.</w:t>
      </w:r>
      <w:r w:rsidRPr="00F62E08">
        <w:rPr>
          <w:rFonts w:ascii="Calibri" w:hAnsi="Calibri" w:cs="Times New Roman"/>
          <w:noProof/>
          <w:lang w:val="en-US"/>
        </w:rPr>
        <w:t xml:space="preserve"> Peptide Receptor Radionuclide Therapy in Patients With Gastroenteropancreatic Neuroendocrine Tumors. </w:t>
      </w:r>
      <w:r w:rsidRPr="00F62E08">
        <w:rPr>
          <w:rFonts w:ascii="Calibri" w:hAnsi="Calibri" w:cs="Times New Roman"/>
          <w:i/>
          <w:iCs/>
          <w:noProof/>
          <w:lang w:val="en-US"/>
        </w:rPr>
        <w:t>Seminars in Nuclear Medicine</w:t>
      </w:r>
      <w:r w:rsidRPr="00F62E08">
        <w:rPr>
          <w:rFonts w:ascii="Calibri" w:hAnsi="Calibri" w:cs="Times New Roman"/>
          <w:noProof/>
          <w:lang w:val="en-US"/>
        </w:rPr>
        <w:t xml:space="preserve"> </w:t>
      </w:r>
      <w:r w:rsidRPr="00F62E08">
        <w:rPr>
          <w:rFonts w:ascii="Calibri" w:hAnsi="Calibri" w:cs="Times New Roman"/>
          <w:b/>
          <w:bCs/>
          <w:noProof/>
          <w:lang w:val="en-US"/>
        </w:rPr>
        <w:t>40,</w:t>
      </w:r>
      <w:r w:rsidRPr="00F62E08">
        <w:rPr>
          <w:rFonts w:ascii="Calibri" w:hAnsi="Calibri" w:cs="Times New Roman"/>
          <w:noProof/>
          <w:lang w:val="en-US"/>
        </w:rPr>
        <w:t xml:space="preserve"> 78–88 (2010).</w:t>
      </w:r>
    </w:p>
    <w:p w14:paraId="525D5092"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4.</w:t>
      </w:r>
      <w:r w:rsidRPr="00F62E08">
        <w:rPr>
          <w:rFonts w:ascii="Calibri" w:hAnsi="Calibri" w:cs="Times New Roman"/>
          <w:noProof/>
          <w:lang w:val="en-US"/>
        </w:rPr>
        <w:tab/>
        <w:t xml:space="preserve">NETTER-1 phase III: Progression-free survival, radiographic response, and preliminary overall </w:t>
      </w:r>
      <w:r w:rsidRPr="00F62E08">
        <w:rPr>
          <w:rFonts w:ascii="Calibri" w:hAnsi="Calibri" w:cs="Times New Roman"/>
          <w:noProof/>
          <w:lang w:val="en-US"/>
        </w:rPr>
        <w:lastRenderedPageBreak/>
        <w:t xml:space="preserve">survival results in patients with midgut neuroendocrine tumors treated with 177Lu-dotatate. </w:t>
      </w:r>
      <w:r w:rsidRPr="00F62E08">
        <w:rPr>
          <w:rFonts w:ascii="Calibri" w:hAnsi="Calibri" w:cs="Times New Roman"/>
          <w:i/>
          <w:iCs/>
          <w:noProof/>
          <w:lang w:val="en-US"/>
        </w:rPr>
        <w:t>Clinical Advances in Hematology and Oncology</w:t>
      </w:r>
      <w:r w:rsidRPr="00F62E08">
        <w:rPr>
          <w:rFonts w:ascii="Calibri" w:hAnsi="Calibri" w:cs="Times New Roman"/>
          <w:noProof/>
          <w:lang w:val="en-US"/>
        </w:rPr>
        <w:t xml:space="preserve"> </w:t>
      </w:r>
      <w:r w:rsidRPr="00F62E08">
        <w:rPr>
          <w:rFonts w:ascii="Calibri" w:hAnsi="Calibri" w:cs="Times New Roman"/>
          <w:b/>
          <w:bCs/>
          <w:noProof/>
          <w:lang w:val="en-US"/>
        </w:rPr>
        <w:t>14,</w:t>
      </w:r>
      <w:r w:rsidRPr="00F62E08">
        <w:rPr>
          <w:rFonts w:ascii="Calibri" w:hAnsi="Calibri" w:cs="Times New Roman"/>
          <w:noProof/>
          <w:lang w:val="en-US"/>
        </w:rPr>
        <w:t xml:space="preserve"> 13–14 (2016).</w:t>
      </w:r>
    </w:p>
    <w:p w14:paraId="60E8D045"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5.</w:t>
      </w:r>
      <w:r w:rsidRPr="00F62E08">
        <w:rPr>
          <w:rFonts w:ascii="Calibri" w:hAnsi="Calibri" w:cs="Times New Roman"/>
          <w:noProof/>
          <w:lang w:val="en-US"/>
        </w:rPr>
        <w:tab/>
        <w:t xml:space="preserve">Van Essen, M. </w:t>
      </w:r>
      <w:r w:rsidRPr="00F62E08">
        <w:rPr>
          <w:rFonts w:ascii="Calibri" w:hAnsi="Calibri" w:cs="Times New Roman"/>
          <w:i/>
          <w:iCs/>
          <w:noProof/>
          <w:lang w:val="en-US"/>
        </w:rPr>
        <w:t>et al.</w:t>
      </w:r>
      <w:r w:rsidRPr="00F62E08">
        <w:rPr>
          <w:rFonts w:ascii="Calibri" w:hAnsi="Calibri" w:cs="Times New Roman"/>
          <w:noProof/>
          <w:lang w:val="en-US"/>
        </w:rPr>
        <w:t xml:space="preserve"> Peptide receptor radionuclide therapy with 177Lu-octreotate in patients with foregut carcinoid tumours of bronchial, gastric and thymic origin. </w:t>
      </w:r>
      <w:r w:rsidRPr="00F62E08">
        <w:rPr>
          <w:rFonts w:ascii="Calibri" w:hAnsi="Calibri" w:cs="Times New Roman"/>
          <w:i/>
          <w:iCs/>
          <w:noProof/>
          <w:lang w:val="en-US"/>
        </w:rPr>
        <w:t>Eur. J. Nucl. Med. Mol. Imaging</w:t>
      </w:r>
      <w:r w:rsidRPr="00F62E08">
        <w:rPr>
          <w:rFonts w:ascii="Calibri" w:hAnsi="Calibri" w:cs="Times New Roman"/>
          <w:noProof/>
          <w:lang w:val="en-US"/>
        </w:rPr>
        <w:t xml:space="preserve"> </w:t>
      </w:r>
      <w:r w:rsidRPr="00F62E08">
        <w:rPr>
          <w:rFonts w:ascii="Calibri" w:hAnsi="Calibri" w:cs="Times New Roman"/>
          <w:b/>
          <w:bCs/>
          <w:noProof/>
          <w:lang w:val="en-US"/>
        </w:rPr>
        <w:t>34,</w:t>
      </w:r>
      <w:r w:rsidRPr="00F62E08">
        <w:rPr>
          <w:rFonts w:ascii="Calibri" w:hAnsi="Calibri" w:cs="Times New Roman"/>
          <w:noProof/>
          <w:lang w:val="en-US"/>
        </w:rPr>
        <w:t xml:space="preserve"> 1219–1227 (2007).</w:t>
      </w:r>
    </w:p>
    <w:p w14:paraId="5E8AE219"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6.</w:t>
      </w:r>
      <w:r w:rsidRPr="00F62E08">
        <w:rPr>
          <w:rFonts w:ascii="Calibri" w:hAnsi="Calibri" w:cs="Times New Roman"/>
          <w:noProof/>
          <w:lang w:val="en-US"/>
        </w:rPr>
        <w:tab/>
        <w:t xml:space="preserve">Pinato, D. J. </w:t>
      </w:r>
      <w:r w:rsidRPr="00F62E08">
        <w:rPr>
          <w:rFonts w:ascii="Calibri" w:hAnsi="Calibri" w:cs="Times New Roman"/>
          <w:i/>
          <w:iCs/>
          <w:noProof/>
          <w:lang w:val="en-US"/>
        </w:rPr>
        <w:t>et al.</w:t>
      </w:r>
      <w:r w:rsidRPr="00F62E08">
        <w:rPr>
          <w:rFonts w:ascii="Calibri" w:hAnsi="Calibri" w:cs="Times New Roman"/>
          <w:noProof/>
          <w:lang w:val="en-US"/>
        </w:rPr>
        <w:t xml:space="preserve"> Peptide receptor radionuclide therapy for metastatic paragangliomas. </w:t>
      </w:r>
      <w:r w:rsidRPr="00F62E08">
        <w:rPr>
          <w:rFonts w:ascii="Calibri" w:hAnsi="Calibri" w:cs="Times New Roman"/>
          <w:i/>
          <w:iCs/>
          <w:noProof/>
          <w:lang w:val="en-US"/>
        </w:rPr>
        <w:t>Med. Oncol.</w:t>
      </w:r>
      <w:r w:rsidRPr="00F62E08">
        <w:rPr>
          <w:rFonts w:ascii="Calibri" w:hAnsi="Calibri" w:cs="Times New Roman"/>
          <w:noProof/>
          <w:lang w:val="en-US"/>
        </w:rPr>
        <w:t xml:space="preserve"> </w:t>
      </w:r>
      <w:r w:rsidRPr="00F62E08">
        <w:rPr>
          <w:rFonts w:ascii="Calibri" w:hAnsi="Calibri" w:cs="Times New Roman"/>
          <w:b/>
          <w:bCs/>
          <w:noProof/>
          <w:lang w:val="en-US"/>
        </w:rPr>
        <w:t>33,</w:t>
      </w:r>
      <w:r w:rsidRPr="00F62E08">
        <w:rPr>
          <w:rFonts w:ascii="Calibri" w:hAnsi="Calibri" w:cs="Times New Roman"/>
          <w:noProof/>
          <w:lang w:val="en-US"/>
        </w:rPr>
        <w:t xml:space="preserve"> 47 (2016).</w:t>
      </w:r>
    </w:p>
    <w:p w14:paraId="1110BCAA"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7.</w:t>
      </w:r>
      <w:r w:rsidRPr="00F62E08">
        <w:rPr>
          <w:rFonts w:ascii="Calibri" w:hAnsi="Calibri" w:cs="Times New Roman"/>
          <w:noProof/>
          <w:lang w:val="en-US"/>
        </w:rPr>
        <w:tab/>
        <w:t>London Cancer New Drugs Group. London Cancer Drugs Fund. (2012).</w:t>
      </w:r>
    </w:p>
    <w:p w14:paraId="4A228898"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8.</w:t>
      </w:r>
      <w:r w:rsidRPr="00F62E08">
        <w:rPr>
          <w:rFonts w:ascii="Calibri" w:hAnsi="Calibri" w:cs="Times New Roman"/>
          <w:noProof/>
          <w:lang w:val="en-US"/>
        </w:rPr>
        <w:tab/>
        <w:t xml:space="preserve">Haug, A. R. </w:t>
      </w:r>
      <w:r w:rsidRPr="00F62E08">
        <w:rPr>
          <w:rFonts w:ascii="Calibri" w:hAnsi="Calibri" w:cs="Times New Roman"/>
          <w:i/>
          <w:iCs/>
          <w:noProof/>
          <w:lang w:val="en-US"/>
        </w:rPr>
        <w:t>et al.</w:t>
      </w:r>
      <w:r w:rsidRPr="00F62E08">
        <w:rPr>
          <w:rFonts w:ascii="Calibri" w:hAnsi="Calibri" w:cs="Times New Roman"/>
          <w:noProof/>
          <w:lang w:val="en-US"/>
        </w:rPr>
        <w:t xml:space="preserve"> 68Ga-DOTATATE PET/CT for the early prediction of response to somatostatin receptor-mediated radionuclide therapy in patients with well-differentiated neuroendocrine tumors. </w:t>
      </w:r>
      <w:r w:rsidRPr="00F62E08">
        <w:rPr>
          <w:rFonts w:ascii="Calibri" w:hAnsi="Calibri" w:cs="Times New Roman"/>
          <w:i/>
          <w:iCs/>
          <w:noProof/>
          <w:lang w:val="en-US"/>
        </w:rPr>
        <w:t>J. Nucl. Med.</w:t>
      </w:r>
      <w:r w:rsidRPr="00F62E08">
        <w:rPr>
          <w:rFonts w:ascii="Calibri" w:hAnsi="Calibri" w:cs="Times New Roman"/>
          <w:noProof/>
          <w:lang w:val="en-US"/>
        </w:rPr>
        <w:t xml:space="preserve"> </w:t>
      </w:r>
      <w:r w:rsidRPr="00F62E08">
        <w:rPr>
          <w:rFonts w:ascii="Calibri" w:hAnsi="Calibri" w:cs="Times New Roman"/>
          <w:b/>
          <w:bCs/>
          <w:noProof/>
          <w:lang w:val="en-US"/>
        </w:rPr>
        <w:t>51,</w:t>
      </w:r>
      <w:r w:rsidRPr="00F62E08">
        <w:rPr>
          <w:rFonts w:ascii="Calibri" w:hAnsi="Calibri" w:cs="Times New Roman"/>
          <w:noProof/>
          <w:lang w:val="en-US"/>
        </w:rPr>
        <w:t xml:space="preserve"> 1349–1356 (2010).</w:t>
      </w:r>
    </w:p>
    <w:p w14:paraId="29DF09F5"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9.</w:t>
      </w:r>
      <w:r w:rsidRPr="00F62E08">
        <w:rPr>
          <w:rFonts w:ascii="Calibri" w:hAnsi="Calibri" w:cs="Times New Roman"/>
          <w:noProof/>
          <w:lang w:val="en-US"/>
        </w:rPr>
        <w:tab/>
        <w:t xml:space="preserve">Soydal, C., Peker, A., Ozkan, E., Kucuk, O. N. &amp; Kir, M. K. The role of baseline Ga-68 DOTATATE positron emission tomography/computed tomography in the prediction of response to fixed-dose peptide receptor radionuclide therapy with Lu-177 DOTATATE. </w:t>
      </w:r>
      <w:r w:rsidRPr="00F62E08">
        <w:rPr>
          <w:rFonts w:ascii="Calibri" w:hAnsi="Calibri" w:cs="Times New Roman"/>
          <w:i/>
          <w:iCs/>
          <w:noProof/>
          <w:lang w:val="en-US"/>
        </w:rPr>
        <w:t>Turkish J. Med. Sci.</w:t>
      </w:r>
      <w:r w:rsidRPr="00F62E08">
        <w:rPr>
          <w:rFonts w:ascii="Calibri" w:hAnsi="Calibri" w:cs="Times New Roman"/>
          <w:noProof/>
          <w:lang w:val="en-US"/>
        </w:rPr>
        <w:t xml:space="preserve"> </w:t>
      </w:r>
      <w:r w:rsidRPr="00F62E08">
        <w:rPr>
          <w:rFonts w:ascii="Calibri" w:hAnsi="Calibri" w:cs="Times New Roman"/>
          <w:b/>
          <w:bCs/>
          <w:noProof/>
          <w:lang w:val="en-US"/>
        </w:rPr>
        <w:t>46,</w:t>
      </w:r>
      <w:r w:rsidRPr="00F62E08">
        <w:rPr>
          <w:rFonts w:ascii="Calibri" w:hAnsi="Calibri" w:cs="Times New Roman"/>
          <w:noProof/>
          <w:lang w:val="en-US"/>
        </w:rPr>
        <w:t xml:space="preserve"> 409–413 (2016).</w:t>
      </w:r>
    </w:p>
    <w:p w14:paraId="6C8DD491"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10.</w:t>
      </w:r>
      <w:r w:rsidRPr="00F62E08">
        <w:rPr>
          <w:rFonts w:ascii="Calibri" w:hAnsi="Calibri" w:cs="Times New Roman"/>
          <w:noProof/>
          <w:lang w:val="en-US"/>
        </w:rPr>
        <w:tab/>
        <w:t xml:space="preserve">Chan, D. L. H. </w:t>
      </w:r>
      <w:r w:rsidRPr="00F62E08">
        <w:rPr>
          <w:rFonts w:ascii="Calibri" w:hAnsi="Calibri" w:cs="Times New Roman"/>
          <w:i/>
          <w:iCs/>
          <w:noProof/>
          <w:lang w:val="en-US"/>
        </w:rPr>
        <w:t>et al.</w:t>
      </w:r>
      <w:r w:rsidRPr="00F62E08">
        <w:rPr>
          <w:rFonts w:ascii="Calibri" w:hAnsi="Calibri" w:cs="Times New Roman"/>
          <w:noProof/>
          <w:lang w:val="en-US"/>
        </w:rPr>
        <w:t xml:space="preserve"> Dual Somatostatin Receptor/FDG PET/CT Imaging in Metastatic Neuroendocrine Tumours: Proposal for a Novel Grading Scheme with Prognostic Significance. </w:t>
      </w:r>
      <w:r w:rsidRPr="00F62E08">
        <w:rPr>
          <w:rFonts w:ascii="Calibri" w:hAnsi="Calibri" w:cs="Times New Roman"/>
          <w:i/>
          <w:iCs/>
          <w:noProof/>
          <w:lang w:val="en-US"/>
        </w:rPr>
        <w:t>Theranostics</w:t>
      </w:r>
      <w:r w:rsidRPr="00F62E08">
        <w:rPr>
          <w:rFonts w:ascii="Calibri" w:hAnsi="Calibri" w:cs="Times New Roman"/>
          <w:noProof/>
          <w:lang w:val="en-US"/>
        </w:rPr>
        <w:t xml:space="preserve"> </w:t>
      </w:r>
      <w:r w:rsidRPr="00F62E08">
        <w:rPr>
          <w:rFonts w:ascii="Calibri" w:hAnsi="Calibri" w:cs="Times New Roman"/>
          <w:b/>
          <w:bCs/>
          <w:noProof/>
          <w:lang w:val="en-US"/>
        </w:rPr>
        <w:t>7,</w:t>
      </w:r>
      <w:r w:rsidRPr="00F62E08">
        <w:rPr>
          <w:rFonts w:ascii="Calibri" w:hAnsi="Calibri" w:cs="Times New Roman"/>
          <w:noProof/>
          <w:lang w:val="en-US"/>
        </w:rPr>
        <w:t xml:space="preserve"> 1149–1158 (2017).</w:t>
      </w:r>
    </w:p>
    <w:p w14:paraId="1820B358"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11.</w:t>
      </w:r>
      <w:r w:rsidRPr="00F62E08">
        <w:rPr>
          <w:rFonts w:ascii="Calibri" w:hAnsi="Calibri" w:cs="Times New Roman"/>
          <w:noProof/>
          <w:lang w:val="en-US"/>
        </w:rPr>
        <w:tab/>
        <w:t xml:space="preserve">Bodei, L. </w:t>
      </w:r>
      <w:r w:rsidRPr="00F62E08">
        <w:rPr>
          <w:rFonts w:ascii="Calibri" w:hAnsi="Calibri" w:cs="Times New Roman"/>
          <w:i/>
          <w:iCs/>
          <w:noProof/>
          <w:lang w:val="en-US"/>
        </w:rPr>
        <w:t>et al.</w:t>
      </w:r>
      <w:r w:rsidRPr="00F62E08">
        <w:rPr>
          <w:rFonts w:ascii="Calibri" w:hAnsi="Calibri" w:cs="Times New Roman"/>
          <w:noProof/>
          <w:lang w:val="en-US"/>
        </w:rPr>
        <w:t xml:space="preserve"> PRRT genomic signature in blood for prediction of 177Lu-octreotate efficacy. </w:t>
      </w:r>
      <w:r w:rsidRPr="00F62E08">
        <w:rPr>
          <w:rFonts w:ascii="Calibri" w:hAnsi="Calibri" w:cs="Times New Roman"/>
          <w:i/>
          <w:iCs/>
          <w:noProof/>
          <w:lang w:val="en-US"/>
        </w:rPr>
        <w:t>Eur. J. Nucl. Med. Mol. Imaging</w:t>
      </w:r>
      <w:r w:rsidRPr="00F62E08">
        <w:rPr>
          <w:rFonts w:ascii="Calibri" w:hAnsi="Calibri" w:cs="Times New Roman"/>
          <w:noProof/>
          <w:lang w:val="en-US"/>
        </w:rPr>
        <w:t xml:space="preserve"> (2018). doi:10.1007/s00259-018-3967-6</w:t>
      </w:r>
    </w:p>
    <w:p w14:paraId="398CE367"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12.</w:t>
      </w:r>
      <w:r w:rsidRPr="00F62E08">
        <w:rPr>
          <w:rFonts w:ascii="Calibri" w:hAnsi="Calibri" w:cs="Times New Roman"/>
          <w:noProof/>
          <w:lang w:val="en-US"/>
        </w:rPr>
        <w:tab/>
        <w:t xml:space="preserve">Grivennikov, S. I., Greten, F. R. &amp; Karin, M. Immunity, inflammation, and cancer. </w:t>
      </w:r>
      <w:r w:rsidRPr="00F62E08">
        <w:rPr>
          <w:rFonts w:ascii="Calibri" w:hAnsi="Calibri" w:cs="Times New Roman"/>
          <w:i/>
          <w:iCs/>
          <w:noProof/>
          <w:lang w:val="en-US"/>
        </w:rPr>
        <w:t>Cell</w:t>
      </w:r>
      <w:r w:rsidRPr="00F62E08">
        <w:rPr>
          <w:rFonts w:ascii="Calibri" w:hAnsi="Calibri" w:cs="Times New Roman"/>
          <w:noProof/>
          <w:lang w:val="en-US"/>
        </w:rPr>
        <w:t xml:space="preserve"> </w:t>
      </w:r>
      <w:r w:rsidRPr="00F62E08">
        <w:rPr>
          <w:rFonts w:ascii="Calibri" w:hAnsi="Calibri" w:cs="Times New Roman"/>
          <w:b/>
          <w:bCs/>
          <w:noProof/>
          <w:lang w:val="en-US"/>
        </w:rPr>
        <w:t>140,</w:t>
      </w:r>
      <w:r w:rsidRPr="00F62E08">
        <w:rPr>
          <w:rFonts w:ascii="Calibri" w:hAnsi="Calibri" w:cs="Times New Roman"/>
          <w:noProof/>
          <w:lang w:val="en-US"/>
        </w:rPr>
        <w:t xml:space="preserve"> 883–899 (2010).</w:t>
      </w:r>
    </w:p>
    <w:p w14:paraId="6CFCB53D"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13.</w:t>
      </w:r>
      <w:r w:rsidRPr="00F62E08">
        <w:rPr>
          <w:rFonts w:ascii="Calibri" w:hAnsi="Calibri" w:cs="Times New Roman"/>
          <w:noProof/>
          <w:lang w:val="en-US"/>
        </w:rPr>
        <w:tab/>
        <w:t xml:space="preserve">Yao, Y., Yuan, D., Liu, H., Gu, X. &amp; Song, Y. Pretreatment neutrophil to lymphocyte ratio is </w:t>
      </w:r>
      <w:r w:rsidRPr="00F62E08">
        <w:rPr>
          <w:rFonts w:ascii="Calibri" w:hAnsi="Calibri" w:cs="Times New Roman"/>
          <w:noProof/>
          <w:lang w:val="en-US"/>
        </w:rPr>
        <w:lastRenderedPageBreak/>
        <w:t xml:space="preserve">associated with response to therapy and prognosis of advanced non-small cell lung cancer patients treated with first-line platinum-based chemotherapy. </w:t>
      </w:r>
      <w:r w:rsidRPr="00F62E08">
        <w:rPr>
          <w:rFonts w:ascii="Calibri" w:hAnsi="Calibri" w:cs="Times New Roman"/>
          <w:i/>
          <w:iCs/>
          <w:noProof/>
          <w:lang w:val="en-US"/>
        </w:rPr>
        <w:t>Cancer Immunol. Immunother.</w:t>
      </w:r>
      <w:r w:rsidRPr="00F62E08">
        <w:rPr>
          <w:rFonts w:ascii="Calibri" w:hAnsi="Calibri" w:cs="Times New Roman"/>
          <w:noProof/>
          <w:lang w:val="en-US"/>
        </w:rPr>
        <w:t xml:space="preserve"> </w:t>
      </w:r>
      <w:r w:rsidRPr="00F62E08">
        <w:rPr>
          <w:rFonts w:ascii="Calibri" w:hAnsi="Calibri" w:cs="Times New Roman"/>
          <w:b/>
          <w:bCs/>
          <w:noProof/>
          <w:lang w:val="en-US"/>
        </w:rPr>
        <w:t>62,</w:t>
      </w:r>
      <w:r w:rsidRPr="00F62E08">
        <w:rPr>
          <w:rFonts w:ascii="Calibri" w:hAnsi="Calibri" w:cs="Times New Roman"/>
          <w:noProof/>
          <w:lang w:val="en-US"/>
        </w:rPr>
        <w:t xml:space="preserve"> 471–479 (2013).</w:t>
      </w:r>
    </w:p>
    <w:p w14:paraId="35C1E8A9"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14.</w:t>
      </w:r>
      <w:r w:rsidRPr="00F62E08">
        <w:rPr>
          <w:rFonts w:ascii="Calibri" w:hAnsi="Calibri" w:cs="Times New Roman"/>
          <w:noProof/>
          <w:lang w:val="en-US"/>
        </w:rPr>
        <w:tab/>
        <w:t xml:space="preserve">Chua, W., Charles, K. A., Baracos, V. E. &amp; Clarke, S. J. Neutrophil/lymphocyte ratio predicts chemotherapy outcomes in patients with advanced colorectal cancer. </w:t>
      </w:r>
      <w:r w:rsidRPr="00F62E08">
        <w:rPr>
          <w:rFonts w:ascii="Calibri" w:hAnsi="Calibri" w:cs="Times New Roman"/>
          <w:i/>
          <w:iCs/>
          <w:noProof/>
          <w:lang w:val="en-US"/>
        </w:rPr>
        <w:t>Br. J. Cancer</w:t>
      </w:r>
      <w:r w:rsidRPr="00F62E08">
        <w:rPr>
          <w:rFonts w:ascii="Calibri" w:hAnsi="Calibri" w:cs="Times New Roman"/>
          <w:noProof/>
          <w:lang w:val="en-US"/>
        </w:rPr>
        <w:t xml:space="preserve"> </w:t>
      </w:r>
      <w:r w:rsidRPr="00F62E08">
        <w:rPr>
          <w:rFonts w:ascii="Calibri" w:hAnsi="Calibri" w:cs="Times New Roman"/>
          <w:b/>
          <w:bCs/>
          <w:noProof/>
          <w:lang w:val="en-US"/>
        </w:rPr>
        <w:t>104,</w:t>
      </w:r>
      <w:r w:rsidRPr="00F62E08">
        <w:rPr>
          <w:rFonts w:ascii="Calibri" w:hAnsi="Calibri" w:cs="Times New Roman"/>
          <w:noProof/>
          <w:lang w:val="en-US"/>
        </w:rPr>
        <w:t xml:space="preserve"> 1288–1295 (2011).</w:t>
      </w:r>
    </w:p>
    <w:p w14:paraId="6B076CD7"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15.</w:t>
      </w:r>
      <w:r w:rsidRPr="00F62E08">
        <w:rPr>
          <w:rFonts w:ascii="Calibri" w:hAnsi="Calibri" w:cs="Times New Roman"/>
          <w:noProof/>
          <w:lang w:val="en-US"/>
        </w:rPr>
        <w:tab/>
        <w:t xml:space="preserve">Lis, C. G., Grutsch, J. F., Vashi, P. G. &amp; Lammersfeld, C. A. Is serum albumin an independent predictor of survival in patients with breast cancer? </w:t>
      </w:r>
      <w:r w:rsidRPr="00F62E08">
        <w:rPr>
          <w:rFonts w:ascii="Calibri" w:hAnsi="Calibri" w:cs="Times New Roman"/>
          <w:i/>
          <w:iCs/>
          <w:noProof/>
          <w:lang w:val="en-US"/>
        </w:rPr>
        <w:t>JPEN. J. Parenter. Enteral Nutr.</w:t>
      </w:r>
      <w:r w:rsidRPr="00F62E08">
        <w:rPr>
          <w:rFonts w:ascii="Calibri" w:hAnsi="Calibri" w:cs="Times New Roman"/>
          <w:noProof/>
          <w:lang w:val="en-US"/>
        </w:rPr>
        <w:t xml:space="preserve"> </w:t>
      </w:r>
      <w:r w:rsidRPr="00F62E08">
        <w:rPr>
          <w:rFonts w:ascii="Calibri" w:hAnsi="Calibri" w:cs="Times New Roman"/>
          <w:b/>
          <w:bCs/>
          <w:noProof/>
          <w:lang w:val="en-US"/>
        </w:rPr>
        <w:t>27,</w:t>
      </w:r>
      <w:r w:rsidRPr="00F62E08">
        <w:rPr>
          <w:rFonts w:ascii="Calibri" w:hAnsi="Calibri" w:cs="Times New Roman"/>
          <w:noProof/>
          <w:lang w:val="en-US"/>
        </w:rPr>
        <w:t xml:space="preserve"> 10–15 (2003).</w:t>
      </w:r>
    </w:p>
    <w:p w14:paraId="16E75EF5"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16.</w:t>
      </w:r>
      <w:r w:rsidRPr="00F62E08">
        <w:rPr>
          <w:rFonts w:ascii="Calibri" w:hAnsi="Calibri" w:cs="Times New Roman"/>
          <w:noProof/>
          <w:lang w:val="en-US"/>
        </w:rPr>
        <w:tab/>
        <w:t xml:space="preserve">Gaitanidis, A. </w:t>
      </w:r>
      <w:r w:rsidRPr="00F62E08">
        <w:rPr>
          <w:rFonts w:ascii="Calibri" w:hAnsi="Calibri" w:cs="Times New Roman"/>
          <w:i/>
          <w:iCs/>
          <w:noProof/>
          <w:lang w:val="en-US"/>
        </w:rPr>
        <w:t>et al.</w:t>
      </w:r>
      <w:r w:rsidRPr="00F62E08">
        <w:rPr>
          <w:rFonts w:ascii="Calibri" w:hAnsi="Calibri" w:cs="Times New Roman"/>
          <w:noProof/>
          <w:lang w:val="en-US"/>
        </w:rPr>
        <w:t xml:space="preserve"> Markers of Systemic Inflammatory Response are Prognostic Factors in Patients with Pancreatic Neuroendocrine Tumors (PNETs): A Prospective Analysis. </w:t>
      </w:r>
      <w:r w:rsidRPr="00F62E08">
        <w:rPr>
          <w:rFonts w:ascii="Calibri" w:hAnsi="Calibri" w:cs="Times New Roman"/>
          <w:i/>
          <w:iCs/>
          <w:noProof/>
          <w:lang w:val="en-US"/>
        </w:rPr>
        <w:t>Ann. Surg. Oncol.</w:t>
      </w:r>
      <w:r w:rsidRPr="00F62E08">
        <w:rPr>
          <w:rFonts w:ascii="Calibri" w:hAnsi="Calibri" w:cs="Times New Roman"/>
          <w:noProof/>
          <w:lang w:val="en-US"/>
        </w:rPr>
        <w:t xml:space="preserve"> </w:t>
      </w:r>
      <w:r w:rsidRPr="00F62E08">
        <w:rPr>
          <w:rFonts w:ascii="Calibri" w:hAnsi="Calibri" w:cs="Times New Roman"/>
          <w:b/>
          <w:bCs/>
          <w:noProof/>
          <w:lang w:val="en-US"/>
        </w:rPr>
        <w:t>25,</w:t>
      </w:r>
      <w:r w:rsidRPr="00F62E08">
        <w:rPr>
          <w:rFonts w:ascii="Calibri" w:hAnsi="Calibri" w:cs="Times New Roman"/>
          <w:noProof/>
          <w:lang w:val="en-US"/>
        </w:rPr>
        <w:t xml:space="preserve"> 122–130 (2018).</w:t>
      </w:r>
    </w:p>
    <w:p w14:paraId="45329161"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17.</w:t>
      </w:r>
      <w:r w:rsidRPr="00F62E08">
        <w:rPr>
          <w:rFonts w:ascii="Calibri" w:hAnsi="Calibri" w:cs="Times New Roman"/>
          <w:noProof/>
          <w:lang w:val="en-US"/>
        </w:rPr>
        <w:tab/>
        <w:t xml:space="preserve">Wiese, D. </w:t>
      </w:r>
      <w:r w:rsidRPr="00F62E08">
        <w:rPr>
          <w:rFonts w:ascii="Calibri" w:hAnsi="Calibri" w:cs="Times New Roman"/>
          <w:i/>
          <w:iCs/>
          <w:noProof/>
          <w:lang w:val="en-US"/>
        </w:rPr>
        <w:t>et al.</w:t>
      </w:r>
      <w:r w:rsidRPr="00F62E08">
        <w:rPr>
          <w:rFonts w:ascii="Calibri" w:hAnsi="Calibri" w:cs="Times New Roman"/>
          <w:noProof/>
          <w:lang w:val="en-US"/>
        </w:rPr>
        <w:t xml:space="preserve"> C-Reactive Protein as a New Prognostic Factor for Survival in Patients With Pancreatic Neuroendocrine Neoplasia. </w:t>
      </w:r>
      <w:r w:rsidRPr="00F62E08">
        <w:rPr>
          <w:rFonts w:ascii="Calibri" w:hAnsi="Calibri" w:cs="Times New Roman"/>
          <w:i/>
          <w:iCs/>
          <w:noProof/>
          <w:lang w:val="en-US"/>
        </w:rPr>
        <w:t>J. Clin. Endocrinol. Metab.</w:t>
      </w:r>
      <w:r w:rsidRPr="00F62E08">
        <w:rPr>
          <w:rFonts w:ascii="Calibri" w:hAnsi="Calibri" w:cs="Times New Roman"/>
          <w:noProof/>
          <w:lang w:val="en-US"/>
        </w:rPr>
        <w:t xml:space="preserve"> </w:t>
      </w:r>
      <w:r w:rsidRPr="00F62E08">
        <w:rPr>
          <w:rFonts w:ascii="Calibri" w:hAnsi="Calibri" w:cs="Times New Roman"/>
          <w:b/>
          <w:bCs/>
          <w:noProof/>
          <w:lang w:val="en-US"/>
        </w:rPr>
        <w:t>101,</w:t>
      </w:r>
      <w:r w:rsidRPr="00F62E08">
        <w:rPr>
          <w:rFonts w:ascii="Calibri" w:hAnsi="Calibri" w:cs="Times New Roman"/>
          <w:noProof/>
          <w:lang w:val="en-US"/>
        </w:rPr>
        <w:t xml:space="preserve"> 937–944 (2016).</w:t>
      </w:r>
    </w:p>
    <w:p w14:paraId="40000ECE"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18.</w:t>
      </w:r>
      <w:r w:rsidRPr="00F62E08">
        <w:rPr>
          <w:rFonts w:ascii="Calibri" w:hAnsi="Calibri" w:cs="Times New Roman"/>
          <w:noProof/>
          <w:lang w:val="en-US"/>
        </w:rPr>
        <w:tab/>
        <w:t xml:space="preserve">Wu, Y. </w:t>
      </w:r>
      <w:r w:rsidRPr="00F62E08">
        <w:rPr>
          <w:rFonts w:ascii="Calibri" w:hAnsi="Calibri" w:cs="Times New Roman"/>
          <w:i/>
          <w:iCs/>
          <w:noProof/>
          <w:lang w:val="en-US"/>
        </w:rPr>
        <w:t>et al.</w:t>
      </w:r>
      <w:r w:rsidRPr="00F62E08">
        <w:rPr>
          <w:rFonts w:ascii="Calibri" w:hAnsi="Calibri" w:cs="Times New Roman"/>
          <w:noProof/>
          <w:lang w:val="en-US"/>
        </w:rPr>
        <w:t xml:space="preserve"> Induction of Anti-Tumor Immune Responses by Peptide Receptor Radionuclide Therapy with (177)Lu-DOTATATE in a Murine Model of a Human Neuroendocrine Tumor. </w:t>
      </w:r>
      <w:r w:rsidRPr="00F62E08">
        <w:rPr>
          <w:rFonts w:ascii="Calibri" w:hAnsi="Calibri" w:cs="Times New Roman"/>
          <w:i/>
          <w:iCs/>
          <w:noProof/>
          <w:lang w:val="en-US"/>
        </w:rPr>
        <w:t>Diagnostics</w:t>
      </w:r>
      <w:r w:rsidRPr="00F62E08">
        <w:rPr>
          <w:rFonts w:ascii="Calibri" w:hAnsi="Calibri" w:cs="Times New Roman"/>
          <w:noProof/>
          <w:lang w:val="en-US"/>
        </w:rPr>
        <w:t xml:space="preserve"> </w:t>
      </w:r>
      <w:r w:rsidRPr="00F62E08">
        <w:rPr>
          <w:rFonts w:ascii="Calibri" w:hAnsi="Calibri" w:cs="Times New Roman"/>
          <w:b/>
          <w:bCs/>
          <w:noProof/>
          <w:lang w:val="en-US"/>
        </w:rPr>
        <w:t>3,</w:t>
      </w:r>
      <w:r w:rsidRPr="00F62E08">
        <w:rPr>
          <w:rFonts w:ascii="Calibri" w:hAnsi="Calibri" w:cs="Times New Roman"/>
          <w:noProof/>
          <w:lang w:val="en-US"/>
        </w:rPr>
        <w:t xml:space="preserve"> 344–355 (2013).</w:t>
      </w:r>
    </w:p>
    <w:p w14:paraId="5D44C322"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19.</w:t>
      </w:r>
      <w:r w:rsidRPr="00F62E08">
        <w:rPr>
          <w:rFonts w:ascii="Calibri" w:hAnsi="Calibri" w:cs="Times New Roman"/>
          <w:noProof/>
          <w:lang w:val="en-US"/>
        </w:rPr>
        <w:tab/>
        <w:t xml:space="preserve">Pinato, D. J. </w:t>
      </w:r>
      <w:r w:rsidRPr="00F62E08">
        <w:rPr>
          <w:rFonts w:ascii="Calibri" w:hAnsi="Calibri" w:cs="Times New Roman"/>
          <w:i/>
          <w:iCs/>
          <w:noProof/>
          <w:lang w:val="en-US"/>
        </w:rPr>
        <w:t>et al.</w:t>
      </w:r>
      <w:r w:rsidRPr="00F62E08">
        <w:rPr>
          <w:rFonts w:ascii="Calibri" w:hAnsi="Calibri" w:cs="Times New Roman"/>
          <w:noProof/>
          <w:lang w:val="en-US"/>
        </w:rPr>
        <w:t xml:space="preserve"> A novel and validated prognostic index in hepatocellular carcinoma: the inflammation based index (IBI). </w:t>
      </w:r>
      <w:r w:rsidRPr="00F62E08">
        <w:rPr>
          <w:rFonts w:ascii="Calibri" w:hAnsi="Calibri" w:cs="Times New Roman"/>
          <w:i/>
          <w:iCs/>
          <w:noProof/>
          <w:lang w:val="en-US"/>
        </w:rPr>
        <w:t>J. Hepatol.</w:t>
      </w:r>
      <w:r w:rsidRPr="00F62E08">
        <w:rPr>
          <w:rFonts w:ascii="Calibri" w:hAnsi="Calibri" w:cs="Times New Roman"/>
          <w:noProof/>
          <w:lang w:val="en-US"/>
        </w:rPr>
        <w:t xml:space="preserve"> </w:t>
      </w:r>
      <w:r w:rsidRPr="00F62E08">
        <w:rPr>
          <w:rFonts w:ascii="Calibri" w:hAnsi="Calibri" w:cs="Times New Roman"/>
          <w:b/>
          <w:bCs/>
          <w:noProof/>
          <w:lang w:val="en-US"/>
        </w:rPr>
        <w:t>57,</w:t>
      </w:r>
      <w:r w:rsidRPr="00F62E08">
        <w:rPr>
          <w:rFonts w:ascii="Calibri" w:hAnsi="Calibri" w:cs="Times New Roman"/>
          <w:noProof/>
          <w:lang w:val="en-US"/>
        </w:rPr>
        <w:t xml:space="preserve"> 1013–1020 (2012).</w:t>
      </w:r>
    </w:p>
    <w:p w14:paraId="31FEE870"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20.</w:t>
      </w:r>
      <w:r w:rsidRPr="00F62E08">
        <w:rPr>
          <w:rFonts w:ascii="Calibri" w:hAnsi="Calibri" w:cs="Times New Roman"/>
          <w:noProof/>
          <w:lang w:val="en-US"/>
        </w:rPr>
        <w:tab/>
        <w:t xml:space="preserve">Pinato, D. J. </w:t>
      </w:r>
      <w:r w:rsidRPr="00F62E08">
        <w:rPr>
          <w:rFonts w:ascii="Calibri" w:hAnsi="Calibri" w:cs="Times New Roman"/>
          <w:i/>
          <w:iCs/>
          <w:noProof/>
          <w:lang w:val="en-US"/>
        </w:rPr>
        <w:t>et al.</w:t>
      </w:r>
      <w:r w:rsidRPr="00F62E08">
        <w:rPr>
          <w:rFonts w:ascii="Calibri" w:hAnsi="Calibri" w:cs="Times New Roman"/>
          <w:noProof/>
          <w:lang w:val="en-US"/>
        </w:rPr>
        <w:t xml:space="preserve"> Dynamic changes of the inflammation-based index predict mortality following chemoembolisation for hepatocellular carcinoma: A prospective study. </w:t>
      </w:r>
      <w:r w:rsidRPr="00F62E08">
        <w:rPr>
          <w:rFonts w:ascii="Calibri" w:hAnsi="Calibri" w:cs="Times New Roman"/>
          <w:i/>
          <w:iCs/>
          <w:noProof/>
          <w:lang w:val="en-US"/>
        </w:rPr>
        <w:t>Aliment. Pharmacol. Ther.</w:t>
      </w:r>
      <w:r w:rsidRPr="00F62E08">
        <w:rPr>
          <w:rFonts w:ascii="Calibri" w:hAnsi="Calibri" w:cs="Times New Roman"/>
          <w:noProof/>
          <w:lang w:val="en-US"/>
        </w:rPr>
        <w:t xml:space="preserve"> </w:t>
      </w:r>
      <w:r w:rsidRPr="00F62E08">
        <w:rPr>
          <w:rFonts w:ascii="Calibri" w:hAnsi="Calibri" w:cs="Times New Roman"/>
          <w:b/>
          <w:bCs/>
          <w:noProof/>
          <w:lang w:val="en-US"/>
        </w:rPr>
        <w:t>40,</w:t>
      </w:r>
      <w:r w:rsidRPr="00F62E08">
        <w:rPr>
          <w:rFonts w:ascii="Calibri" w:hAnsi="Calibri" w:cs="Times New Roman"/>
          <w:noProof/>
          <w:lang w:val="en-US"/>
        </w:rPr>
        <w:t xml:space="preserve"> 1270–1281 (2014).</w:t>
      </w:r>
    </w:p>
    <w:p w14:paraId="1B27D88C"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21.</w:t>
      </w:r>
      <w:r w:rsidRPr="00F62E08">
        <w:rPr>
          <w:rFonts w:ascii="Calibri" w:hAnsi="Calibri" w:cs="Times New Roman"/>
          <w:noProof/>
          <w:lang w:val="en-US"/>
        </w:rPr>
        <w:tab/>
        <w:t xml:space="preserve">Vickers, A. J. &amp; Elkin, E. B. Decision curve analysis: a novel method for evaluating prediction </w:t>
      </w:r>
      <w:r w:rsidRPr="00F62E08">
        <w:rPr>
          <w:rFonts w:ascii="Calibri" w:hAnsi="Calibri" w:cs="Times New Roman"/>
          <w:noProof/>
          <w:lang w:val="en-US"/>
        </w:rPr>
        <w:lastRenderedPageBreak/>
        <w:t xml:space="preserve">models. </w:t>
      </w:r>
      <w:r w:rsidRPr="00F62E08">
        <w:rPr>
          <w:rFonts w:ascii="Calibri" w:hAnsi="Calibri" w:cs="Times New Roman"/>
          <w:i/>
          <w:iCs/>
          <w:noProof/>
          <w:lang w:val="en-US"/>
        </w:rPr>
        <w:t>Med. Decis. Making</w:t>
      </w:r>
      <w:r w:rsidRPr="00F62E08">
        <w:rPr>
          <w:rFonts w:ascii="Calibri" w:hAnsi="Calibri" w:cs="Times New Roman"/>
          <w:noProof/>
          <w:lang w:val="en-US"/>
        </w:rPr>
        <w:t xml:space="preserve"> </w:t>
      </w:r>
      <w:r w:rsidRPr="00F62E08">
        <w:rPr>
          <w:rFonts w:ascii="Calibri" w:hAnsi="Calibri" w:cs="Times New Roman"/>
          <w:b/>
          <w:bCs/>
          <w:noProof/>
          <w:lang w:val="en-US"/>
        </w:rPr>
        <w:t>26,</w:t>
      </w:r>
      <w:r w:rsidRPr="00F62E08">
        <w:rPr>
          <w:rFonts w:ascii="Calibri" w:hAnsi="Calibri" w:cs="Times New Roman"/>
          <w:noProof/>
          <w:lang w:val="en-US"/>
        </w:rPr>
        <w:t xml:space="preserve"> 565–574 (2006).</w:t>
      </w:r>
    </w:p>
    <w:p w14:paraId="62AB2DC0"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22.</w:t>
      </w:r>
      <w:r w:rsidRPr="00F62E08">
        <w:rPr>
          <w:rFonts w:ascii="Calibri" w:hAnsi="Calibri" w:cs="Times New Roman"/>
          <w:noProof/>
          <w:lang w:val="en-US"/>
        </w:rPr>
        <w:tab/>
        <w:t xml:space="preserve">Eisenhauer, E. A. </w:t>
      </w:r>
      <w:r w:rsidRPr="00F62E08">
        <w:rPr>
          <w:rFonts w:ascii="Calibri" w:hAnsi="Calibri" w:cs="Times New Roman"/>
          <w:i/>
          <w:iCs/>
          <w:noProof/>
          <w:lang w:val="en-US"/>
        </w:rPr>
        <w:t>et al.</w:t>
      </w:r>
      <w:r w:rsidRPr="00F62E08">
        <w:rPr>
          <w:rFonts w:ascii="Calibri" w:hAnsi="Calibri" w:cs="Times New Roman"/>
          <w:noProof/>
          <w:lang w:val="en-US"/>
        </w:rPr>
        <w:t xml:space="preserve"> New response evaluation criteria in solid tumours: revised RECIST guideline (version 1.1). </w:t>
      </w:r>
      <w:r w:rsidRPr="00F62E08">
        <w:rPr>
          <w:rFonts w:ascii="Calibri" w:hAnsi="Calibri" w:cs="Times New Roman"/>
          <w:i/>
          <w:iCs/>
          <w:noProof/>
          <w:lang w:val="en-US"/>
        </w:rPr>
        <w:t>Eur. J. Cancer</w:t>
      </w:r>
      <w:r w:rsidRPr="00F62E08">
        <w:rPr>
          <w:rFonts w:ascii="Calibri" w:hAnsi="Calibri" w:cs="Times New Roman"/>
          <w:noProof/>
          <w:lang w:val="en-US"/>
        </w:rPr>
        <w:t xml:space="preserve"> </w:t>
      </w:r>
      <w:r w:rsidRPr="00F62E08">
        <w:rPr>
          <w:rFonts w:ascii="Calibri" w:hAnsi="Calibri" w:cs="Times New Roman"/>
          <w:b/>
          <w:bCs/>
          <w:noProof/>
          <w:lang w:val="en-US"/>
        </w:rPr>
        <w:t>45,</w:t>
      </w:r>
      <w:r w:rsidRPr="00F62E08">
        <w:rPr>
          <w:rFonts w:ascii="Calibri" w:hAnsi="Calibri" w:cs="Times New Roman"/>
          <w:noProof/>
          <w:lang w:val="en-US"/>
        </w:rPr>
        <w:t xml:space="preserve"> 228–247 (2009).</w:t>
      </w:r>
    </w:p>
    <w:p w14:paraId="5C07161C" w14:textId="77777777" w:rsidR="00F62E08" w:rsidRP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23.</w:t>
      </w:r>
      <w:r w:rsidRPr="00F62E08">
        <w:rPr>
          <w:rFonts w:ascii="Calibri" w:hAnsi="Calibri" w:cs="Times New Roman"/>
          <w:noProof/>
          <w:lang w:val="en-US"/>
        </w:rPr>
        <w:tab/>
        <w:t xml:space="preserve">Kwekkeboom, D. J. &amp; Krenning, E. P. Somatostatin receptor imaging. </w:t>
      </w:r>
      <w:r w:rsidRPr="00F62E08">
        <w:rPr>
          <w:rFonts w:ascii="Calibri" w:hAnsi="Calibri" w:cs="Times New Roman"/>
          <w:i/>
          <w:iCs/>
          <w:noProof/>
          <w:lang w:val="en-US"/>
        </w:rPr>
        <w:t>Semin. Nucl. Med.</w:t>
      </w:r>
      <w:r w:rsidRPr="00F62E08">
        <w:rPr>
          <w:rFonts w:ascii="Calibri" w:hAnsi="Calibri" w:cs="Times New Roman"/>
          <w:noProof/>
          <w:lang w:val="en-US"/>
        </w:rPr>
        <w:t xml:space="preserve"> </w:t>
      </w:r>
      <w:r w:rsidRPr="00F62E08">
        <w:rPr>
          <w:rFonts w:ascii="Calibri" w:hAnsi="Calibri" w:cs="Times New Roman"/>
          <w:b/>
          <w:bCs/>
          <w:noProof/>
          <w:lang w:val="en-US"/>
        </w:rPr>
        <w:t>32,</w:t>
      </w:r>
      <w:r w:rsidRPr="00F62E08">
        <w:rPr>
          <w:rFonts w:ascii="Calibri" w:hAnsi="Calibri" w:cs="Times New Roman"/>
          <w:noProof/>
          <w:lang w:val="en-US"/>
        </w:rPr>
        <w:t xml:space="preserve"> 84–91 (2018).</w:t>
      </w:r>
    </w:p>
    <w:p w14:paraId="16E81793" w14:textId="63BA4B23" w:rsidR="00F62E08" w:rsidRDefault="00F62E08" w:rsidP="00F62E08">
      <w:pPr>
        <w:widowControl w:val="0"/>
        <w:autoSpaceDE w:val="0"/>
        <w:autoSpaceDN w:val="0"/>
        <w:adjustRightInd w:val="0"/>
        <w:spacing w:line="480" w:lineRule="auto"/>
        <w:ind w:left="640" w:hanging="640"/>
        <w:rPr>
          <w:rFonts w:ascii="Calibri" w:hAnsi="Calibri" w:cs="Times New Roman"/>
          <w:noProof/>
          <w:lang w:val="en-US"/>
        </w:rPr>
      </w:pPr>
      <w:r w:rsidRPr="00F62E08">
        <w:rPr>
          <w:rFonts w:ascii="Calibri" w:hAnsi="Calibri" w:cs="Times New Roman"/>
          <w:noProof/>
          <w:lang w:val="en-US"/>
        </w:rPr>
        <w:t>24.</w:t>
      </w:r>
      <w:r w:rsidRPr="00F62E08">
        <w:rPr>
          <w:rFonts w:ascii="Calibri" w:hAnsi="Calibri" w:cs="Times New Roman"/>
          <w:noProof/>
          <w:lang w:val="en-US"/>
        </w:rPr>
        <w:tab/>
        <w:t xml:space="preserve">Vickers, A. J., Van Calster, B. &amp; Steyerberg, E. W. Net benefit approaches to the evaluation of prediction models, molecular markers, and diagnostic tests. </w:t>
      </w:r>
      <w:r w:rsidRPr="00F62E08">
        <w:rPr>
          <w:rFonts w:ascii="Calibri" w:hAnsi="Calibri" w:cs="Times New Roman"/>
          <w:i/>
          <w:iCs/>
          <w:noProof/>
          <w:lang w:val="en-US"/>
        </w:rPr>
        <w:t>BMJ</w:t>
      </w:r>
      <w:r w:rsidRPr="00F62E08">
        <w:rPr>
          <w:rFonts w:ascii="Calibri" w:hAnsi="Calibri" w:cs="Times New Roman"/>
          <w:noProof/>
          <w:lang w:val="en-US"/>
        </w:rPr>
        <w:t xml:space="preserve"> </w:t>
      </w:r>
      <w:r w:rsidRPr="00F62E08">
        <w:rPr>
          <w:rFonts w:ascii="Calibri" w:hAnsi="Calibri" w:cs="Times New Roman"/>
          <w:b/>
          <w:bCs/>
          <w:noProof/>
          <w:lang w:val="en-US"/>
        </w:rPr>
        <w:t>352,</w:t>
      </w:r>
      <w:r w:rsidRPr="00F62E08">
        <w:rPr>
          <w:rFonts w:ascii="Calibri" w:hAnsi="Calibri" w:cs="Times New Roman"/>
          <w:noProof/>
          <w:lang w:val="en-US"/>
        </w:rPr>
        <w:t xml:space="preserve"> i6 (2016).</w:t>
      </w:r>
    </w:p>
    <w:p w14:paraId="7CE17B11" w14:textId="024FBEF3" w:rsidR="00286F10" w:rsidRPr="00F62E08" w:rsidRDefault="00286F10" w:rsidP="00F62E08">
      <w:pPr>
        <w:widowControl w:val="0"/>
        <w:autoSpaceDE w:val="0"/>
        <w:autoSpaceDN w:val="0"/>
        <w:adjustRightInd w:val="0"/>
        <w:spacing w:line="480" w:lineRule="auto"/>
        <w:ind w:left="640" w:hanging="640"/>
        <w:rPr>
          <w:rFonts w:ascii="Calibri" w:hAnsi="Calibri" w:cs="Times New Roman"/>
          <w:noProof/>
          <w:lang w:val="en-US"/>
        </w:rPr>
      </w:pPr>
      <w:r>
        <w:rPr>
          <w:rFonts w:ascii="Calibri" w:hAnsi="Calibri" w:cs="Times New Roman"/>
          <w:noProof/>
          <w:lang w:val="en-US"/>
        </w:rPr>
        <w:t xml:space="preserve">25. </w:t>
      </w:r>
      <w:r w:rsidR="00812031">
        <w:rPr>
          <w:rFonts w:ascii="Calibri" w:hAnsi="Calibri" w:cs="Times New Roman"/>
          <w:noProof/>
          <w:lang w:val="en-US"/>
        </w:rPr>
        <w:tab/>
        <w:t xml:space="preserve">Black, J. R. M. </w:t>
      </w:r>
      <w:r w:rsidR="00812031" w:rsidRPr="00F62E08">
        <w:rPr>
          <w:rFonts w:ascii="Calibri" w:hAnsi="Calibri" w:cs="Times New Roman"/>
          <w:i/>
          <w:iCs/>
          <w:noProof/>
          <w:lang w:val="en-US"/>
        </w:rPr>
        <w:t>et al.</w:t>
      </w:r>
      <w:r w:rsidR="00812031">
        <w:rPr>
          <w:rFonts w:ascii="Calibri" w:hAnsi="Calibri" w:cs="Times New Roman"/>
          <w:i/>
          <w:iCs/>
          <w:noProof/>
          <w:lang w:val="en-US"/>
        </w:rPr>
        <w:t xml:space="preserve"> </w:t>
      </w:r>
      <w:r w:rsidR="00812031">
        <w:rPr>
          <w:rFonts w:ascii="Calibri" w:hAnsi="Calibri" w:cs="Times New Roman"/>
          <w:noProof/>
          <w:lang w:val="en-US"/>
        </w:rPr>
        <w:t xml:space="preserve">Supplementary Table 1. </w:t>
      </w:r>
      <w:r w:rsidR="00812031" w:rsidRPr="00812031">
        <w:rPr>
          <w:rFonts w:ascii="Calibri" w:hAnsi="Calibri" w:cs="Times New Roman"/>
          <w:noProof/>
          <w:lang w:val="en-US"/>
        </w:rPr>
        <w:t>https://figshare.com/articles/IBISUPPTAB1_pdf/6958436</w:t>
      </w:r>
    </w:p>
    <w:p w14:paraId="60DD2F5A" w14:textId="02BA6CD6" w:rsidR="00F62E08" w:rsidRPr="00F62E08" w:rsidRDefault="00286F10" w:rsidP="00F62E08">
      <w:pPr>
        <w:widowControl w:val="0"/>
        <w:autoSpaceDE w:val="0"/>
        <w:autoSpaceDN w:val="0"/>
        <w:adjustRightInd w:val="0"/>
        <w:spacing w:line="480" w:lineRule="auto"/>
        <w:ind w:left="640" w:hanging="640"/>
        <w:rPr>
          <w:rFonts w:ascii="Calibri" w:hAnsi="Calibri" w:cs="Times New Roman"/>
          <w:noProof/>
          <w:lang w:val="en-US"/>
        </w:rPr>
      </w:pPr>
      <w:r>
        <w:rPr>
          <w:rFonts w:ascii="Calibri" w:hAnsi="Calibri" w:cs="Times New Roman"/>
          <w:noProof/>
          <w:lang w:val="en-US"/>
        </w:rPr>
        <w:t>26</w:t>
      </w:r>
      <w:r w:rsidR="00F62E08" w:rsidRPr="00F62E08">
        <w:rPr>
          <w:rFonts w:ascii="Calibri" w:hAnsi="Calibri" w:cs="Times New Roman"/>
          <w:noProof/>
          <w:lang w:val="en-US"/>
        </w:rPr>
        <w:t>.</w:t>
      </w:r>
      <w:r w:rsidR="00F62E08" w:rsidRPr="00F62E08">
        <w:rPr>
          <w:rFonts w:ascii="Calibri" w:hAnsi="Calibri" w:cs="Times New Roman"/>
          <w:noProof/>
          <w:lang w:val="en-US"/>
        </w:rPr>
        <w:tab/>
        <w:t xml:space="preserve">Valkema, R. </w:t>
      </w:r>
      <w:r w:rsidR="00F62E08" w:rsidRPr="00F62E08">
        <w:rPr>
          <w:rFonts w:ascii="Calibri" w:hAnsi="Calibri" w:cs="Times New Roman"/>
          <w:i/>
          <w:iCs/>
          <w:noProof/>
          <w:lang w:val="en-US"/>
        </w:rPr>
        <w:t>et al.</w:t>
      </w:r>
      <w:r w:rsidR="00F62E08" w:rsidRPr="00F62E08">
        <w:rPr>
          <w:rFonts w:ascii="Calibri" w:hAnsi="Calibri" w:cs="Times New Roman"/>
          <w:noProof/>
          <w:lang w:val="en-US"/>
        </w:rPr>
        <w:t xml:space="preserve"> Phase I Study of Peptide Receptor Radionuclide Therapy With In-111-DTPA-Octreotide: The Rotterdam Experience. </w:t>
      </w:r>
      <w:r w:rsidR="00F62E08" w:rsidRPr="00F62E08">
        <w:rPr>
          <w:rFonts w:ascii="Calibri" w:hAnsi="Calibri" w:cs="Times New Roman"/>
          <w:i/>
          <w:iCs/>
          <w:noProof/>
          <w:lang w:val="en-US"/>
        </w:rPr>
        <w:t>Semin. Nucl. Med.</w:t>
      </w:r>
      <w:r w:rsidR="00F62E08" w:rsidRPr="00F62E08">
        <w:rPr>
          <w:rFonts w:ascii="Calibri" w:hAnsi="Calibri" w:cs="Times New Roman"/>
          <w:noProof/>
          <w:lang w:val="en-US"/>
        </w:rPr>
        <w:t xml:space="preserve"> </w:t>
      </w:r>
      <w:r w:rsidR="00F62E08" w:rsidRPr="00F62E08">
        <w:rPr>
          <w:rFonts w:ascii="Calibri" w:hAnsi="Calibri" w:cs="Times New Roman"/>
          <w:b/>
          <w:bCs/>
          <w:noProof/>
          <w:lang w:val="en-US"/>
        </w:rPr>
        <w:t>32,</w:t>
      </w:r>
      <w:r w:rsidR="00F62E08" w:rsidRPr="00F62E08">
        <w:rPr>
          <w:rFonts w:ascii="Calibri" w:hAnsi="Calibri" w:cs="Times New Roman"/>
          <w:noProof/>
          <w:lang w:val="en-US"/>
        </w:rPr>
        <w:t xml:space="preserve"> 110–122 (2002).</w:t>
      </w:r>
    </w:p>
    <w:p w14:paraId="206E7E71" w14:textId="2EB74C77" w:rsidR="00F62E08" w:rsidRPr="00F62E08" w:rsidRDefault="00286F10" w:rsidP="00F62E08">
      <w:pPr>
        <w:widowControl w:val="0"/>
        <w:autoSpaceDE w:val="0"/>
        <w:autoSpaceDN w:val="0"/>
        <w:adjustRightInd w:val="0"/>
        <w:spacing w:line="480" w:lineRule="auto"/>
        <w:ind w:left="640" w:hanging="640"/>
        <w:rPr>
          <w:rFonts w:ascii="Calibri" w:hAnsi="Calibri" w:cs="Times New Roman"/>
          <w:noProof/>
          <w:lang w:val="en-US"/>
        </w:rPr>
      </w:pPr>
      <w:r>
        <w:rPr>
          <w:rFonts w:ascii="Calibri" w:hAnsi="Calibri" w:cs="Times New Roman"/>
          <w:noProof/>
          <w:lang w:val="en-US"/>
        </w:rPr>
        <w:t>27</w:t>
      </w:r>
      <w:r w:rsidR="00F62E08" w:rsidRPr="00F62E08">
        <w:rPr>
          <w:rFonts w:ascii="Calibri" w:hAnsi="Calibri" w:cs="Times New Roman"/>
          <w:noProof/>
          <w:lang w:val="en-US"/>
        </w:rPr>
        <w:t>.</w:t>
      </w:r>
      <w:r w:rsidR="00F62E08" w:rsidRPr="00F62E08">
        <w:rPr>
          <w:rFonts w:ascii="Calibri" w:hAnsi="Calibri" w:cs="Times New Roman"/>
          <w:noProof/>
          <w:lang w:val="en-US"/>
        </w:rPr>
        <w:tab/>
        <w:t xml:space="preserve">Guthrie, G. J. K. </w:t>
      </w:r>
      <w:r w:rsidR="00F62E08" w:rsidRPr="00F62E08">
        <w:rPr>
          <w:rFonts w:ascii="Calibri" w:hAnsi="Calibri" w:cs="Times New Roman"/>
          <w:i/>
          <w:iCs/>
          <w:noProof/>
          <w:lang w:val="en-US"/>
        </w:rPr>
        <w:t>et al.</w:t>
      </w:r>
      <w:r w:rsidR="00F62E08" w:rsidRPr="00F62E08">
        <w:rPr>
          <w:rFonts w:ascii="Calibri" w:hAnsi="Calibri" w:cs="Times New Roman"/>
          <w:noProof/>
          <w:lang w:val="en-US"/>
        </w:rPr>
        <w:t xml:space="preserve"> The systemic inflammation-based neutrophil-lymphocyte ratio: experience in patients with cancer. </w:t>
      </w:r>
      <w:r w:rsidR="00F62E08" w:rsidRPr="00F62E08">
        <w:rPr>
          <w:rFonts w:ascii="Calibri" w:hAnsi="Calibri" w:cs="Times New Roman"/>
          <w:i/>
          <w:iCs/>
          <w:noProof/>
          <w:lang w:val="en-US"/>
        </w:rPr>
        <w:t>Crit. Rev. Oncol. Hematol.</w:t>
      </w:r>
      <w:r w:rsidR="00F62E08" w:rsidRPr="00F62E08">
        <w:rPr>
          <w:rFonts w:ascii="Calibri" w:hAnsi="Calibri" w:cs="Times New Roman"/>
          <w:noProof/>
          <w:lang w:val="en-US"/>
        </w:rPr>
        <w:t xml:space="preserve"> </w:t>
      </w:r>
      <w:r w:rsidR="00F62E08" w:rsidRPr="00F62E08">
        <w:rPr>
          <w:rFonts w:ascii="Calibri" w:hAnsi="Calibri" w:cs="Times New Roman"/>
          <w:b/>
          <w:bCs/>
          <w:noProof/>
          <w:lang w:val="en-US"/>
        </w:rPr>
        <w:t>88,</w:t>
      </w:r>
      <w:r w:rsidR="00F62E08" w:rsidRPr="00F62E08">
        <w:rPr>
          <w:rFonts w:ascii="Calibri" w:hAnsi="Calibri" w:cs="Times New Roman"/>
          <w:noProof/>
          <w:lang w:val="en-US"/>
        </w:rPr>
        <w:t xml:space="preserve"> 218–230 (2013).</w:t>
      </w:r>
    </w:p>
    <w:p w14:paraId="49F57A5C" w14:textId="3FA9FAB5" w:rsidR="00F62E08" w:rsidRPr="00F62E08" w:rsidRDefault="00286F10" w:rsidP="00F62E08">
      <w:pPr>
        <w:widowControl w:val="0"/>
        <w:autoSpaceDE w:val="0"/>
        <w:autoSpaceDN w:val="0"/>
        <w:adjustRightInd w:val="0"/>
        <w:spacing w:line="480" w:lineRule="auto"/>
        <w:ind w:left="640" w:hanging="640"/>
        <w:rPr>
          <w:rFonts w:ascii="Calibri" w:hAnsi="Calibri" w:cs="Times New Roman"/>
          <w:noProof/>
          <w:lang w:val="en-US"/>
        </w:rPr>
      </w:pPr>
      <w:r>
        <w:rPr>
          <w:rFonts w:ascii="Calibri" w:hAnsi="Calibri" w:cs="Times New Roman"/>
          <w:noProof/>
          <w:lang w:val="en-US"/>
        </w:rPr>
        <w:t>28</w:t>
      </w:r>
      <w:r w:rsidR="00F62E08" w:rsidRPr="00F62E08">
        <w:rPr>
          <w:rFonts w:ascii="Calibri" w:hAnsi="Calibri" w:cs="Times New Roman"/>
          <w:noProof/>
          <w:lang w:val="en-US"/>
        </w:rPr>
        <w:t>.</w:t>
      </w:r>
      <w:r w:rsidR="00F62E08" w:rsidRPr="00F62E08">
        <w:rPr>
          <w:rFonts w:ascii="Calibri" w:hAnsi="Calibri" w:cs="Times New Roman"/>
          <w:noProof/>
          <w:lang w:val="en-US"/>
        </w:rPr>
        <w:tab/>
        <w:t xml:space="preserve">Koh, C.-H. </w:t>
      </w:r>
      <w:r w:rsidR="00F62E08" w:rsidRPr="00F62E08">
        <w:rPr>
          <w:rFonts w:ascii="Calibri" w:hAnsi="Calibri" w:cs="Times New Roman"/>
          <w:i/>
          <w:iCs/>
          <w:noProof/>
          <w:lang w:val="en-US"/>
        </w:rPr>
        <w:t>et al.</w:t>
      </w:r>
      <w:r w:rsidR="00F62E08" w:rsidRPr="00F62E08">
        <w:rPr>
          <w:rFonts w:ascii="Calibri" w:hAnsi="Calibri" w:cs="Times New Roman"/>
          <w:noProof/>
          <w:lang w:val="en-US"/>
        </w:rPr>
        <w:t xml:space="preserve"> Utility of pre-treatment neutrophil-lymphocyte ratio and platelet-lymphocyte ratio as prognostic factors in breast cancer. </w:t>
      </w:r>
      <w:r w:rsidR="00F62E08" w:rsidRPr="00F62E08">
        <w:rPr>
          <w:rFonts w:ascii="Calibri" w:hAnsi="Calibri" w:cs="Times New Roman"/>
          <w:i/>
          <w:iCs/>
          <w:noProof/>
          <w:lang w:val="en-US"/>
        </w:rPr>
        <w:t>Br. J. Cancer</w:t>
      </w:r>
      <w:r w:rsidR="00F62E08" w:rsidRPr="00F62E08">
        <w:rPr>
          <w:rFonts w:ascii="Calibri" w:hAnsi="Calibri" w:cs="Times New Roman"/>
          <w:noProof/>
          <w:lang w:val="en-US"/>
        </w:rPr>
        <w:t xml:space="preserve"> </w:t>
      </w:r>
      <w:r w:rsidR="00F62E08" w:rsidRPr="00F62E08">
        <w:rPr>
          <w:rFonts w:ascii="Calibri" w:hAnsi="Calibri" w:cs="Times New Roman"/>
          <w:b/>
          <w:bCs/>
          <w:noProof/>
          <w:lang w:val="en-US"/>
        </w:rPr>
        <w:t>113,</w:t>
      </w:r>
      <w:r w:rsidR="00F62E08" w:rsidRPr="00F62E08">
        <w:rPr>
          <w:rFonts w:ascii="Calibri" w:hAnsi="Calibri" w:cs="Times New Roman"/>
          <w:noProof/>
          <w:lang w:val="en-US"/>
        </w:rPr>
        <w:t xml:space="preserve"> 150–158 (2015).</w:t>
      </w:r>
    </w:p>
    <w:p w14:paraId="6963F5EF" w14:textId="34DF3327" w:rsidR="00F62E08" w:rsidRPr="00F62E08" w:rsidRDefault="00286F10" w:rsidP="00F62E08">
      <w:pPr>
        <w:widowControl w:val="0"/>
        <w:autoSpaceDE w:val="0"/>
        <w:autoSpaceDN w:val="0"/>
        <w:adjustRightInd w:val="0"/>
        <w:spacing w:line="480" w:lineRule="auto"/>
        <w:ind w:left="640" w:hanging="640"/>
        <w:rPr>
          <w:rFonts w:ascii="Calibri" w:hAnsi="Calibri"/>
          <w:noProof/>
        </w:rPr>
      </w:pPr>
      <w:r>
        <w:rPr>
          <w:rFonts w:ascii="Calibri" w:hAnsi="Calibri" w:cs="Times New Roman"/>
          <w:noProof/>
          <w:lang w:val="en-US"/>
        </w:rPr>
        <w:t>29</w:t>
      </w:r>
      <w:r w:rsidR="00F62E08" w:rsidRPr="00F62E08">
        <w:rPr>
          <w:rFonts w:ascii="Calibri" w:hAnsi="Calibri" w:cs="Times New Roman"/>
          <w:noProof/>
          <w:lang w:val="en-US"/>
        </w:rPr>
        <w:t>.</w:t>
      </w:r>
      <w:r w:rsidR="00F62E08" w:rsidRPr="00F62E08">
        <w:rPr>
          <w:rFonts w:ascii="Calibri" w:hAnsi="Calibri" w:cs="Times New Roman"/>
          <w:noProof/>
          <w:lang w:val="en-US"/>
        </w:rPr>
        <w:tab/>
        <w:t xml:space="preserve">Qi, Q., Geng, Y., Sun, M., Wang, P. &amp; Chen, Z. Clinical implications of systemic inflammatory response markers as independent prognostic factors for advanced pancreatic cancer. </w:t>
      </w:r>
      <w:r w:rsidR="00F62E08" w:rsidRPr="00F62E08">
        <w:rPr>
          <w:rFonts w:ascii="Calibri" w:hAnsi="Calibri" w:cs="Times New Roman"/>
          <w:i/>
          <w:iCs/>
          <w:noProof/>
          <w:lang w:val="en-US"/>
        </w:rPr>
        <w:t>Pancreatology</w:t>
      </w:r>
      <w:r w:rsidR="00F62E08" w:rsidRPr="00F62E08">
        <w:rPr>
          <w:rFonts w:ascii="Calibri" w:hAnsi="Calibri" w:cs="Times New Roman"/>
          <w:noProof/>
          <w:lang w:val="en-US"/>
        </w:rPr>
        <w:t xml:space="preserve"> </w:t>
      </w:r>
      <w:r w:rsidR="00F62E08" w:rsidRPr="00F62E08">
        <w:rPr>
          <w:rFonts w:ascii="Calibri" w:hAnsi="Calibri" w:cs="Times New Roman"/>
          <w:b/>
          <w:bCs/>
          <w:noProof/>
          <w:lang w:val="en-US"/>
        </w:rPr>
        <w:t>15,</w:t>
      </w:r>
      <w:r w:rsidR="00F62E08" w:rsidRPr="00F62E08">
        <w:rPr>
          <w:rFonts w:ascii="Calibri" w:hAnsi="Calibri" w:cs="Times New Roman"/>
          <w:noProof/>
          <w:lang w:val="en-US"/>
        </w:rPr>
        <w:t xml:space="preserve"> 145–150 (2015).</w:t>
      </w:r>
    </w:p>
    <w:p w14:paraId="3701832C" w14:textId="32345E42" w:rsidR="00616396" w:rsidRDefault="007F5DA9" w:rsidP="00F62E08">
      <w:pPr>
        <w:widowControl w:val="0"/>
        <w:autoSpaceDE w:val="0"/>
        <w:autoSpaceDN w:val="0"/>
        <w:adjustRightInd w:val="0"/>
        <w:spacing w:line="480" w:lineRule="auto"/>
        <w:ind w:left="640" w:hanging="640"/>
        <w:rPr>
          <w:rFonts w:cs="AdvPSA183"/>
          <w:color w:val="000000" w:themeColor="text1"/>
        </w:rPr>
      </w:pPr>
      <w:r w:rsidRPr="00D8107F">
        <w:rPr>
          <w:rFonts w:cs="AdvPSA183"/>
          <w:color w:val="000000" w:themeColor="text1"/>
        </w:rPr>
        <w:fldChar w:fldCharType="end"/>
      </w:r>
    </w:p>
    <w:p w14:paraId="6C4264F8" w14:textId="77777777" w:rsidR="00616396" w:rsidRDefault="00616396" w:rsidP="004944D6">
      <w:pPr>
        <w:spacing w:after="240" w:line="480" w:lineRule="auto"/>
        <w:jc w:val="both"/>
        <w:rPr>
          <w:rFonts w:cs="AdvPSA183"/>
          <w:color w:val="000000" w:themeColor="text1"/>
        </w:rPr>
      </w:pPr>
    </w:p>
    <w:p w14:paraId="03703189" w14:textId="6F21E751" w:rsidR="00616396" w:rsidRDefault="00616396" w:rsidP="004944D6">
      <w:pPr>
        <w:spacing w:after="240" w:line="480" w:lineRule="auto"/>
        <w:jc w:val="both"/>
        <w:rPr>
          <w:rFonts w:cs="AdvPSA183"/>
          <w:color w:val="000000" w:themeColor="text1"/>
        </w:rPr>
      </w:pPr>
    </w:p>
    <w:p w14:paraId="0D7F4D59" w14:textId="4ECBBCEA" w:rsidR="004944D6" w:rsidRPr="00BB6989" w:rsidRDefault="004944D6" w:rsidP="004944D6">
      <w:pPr>
        <w:spacing w:after="240" w:line="480" w:lineRule="auto"/>
        <w:jc w:val="both"/>
        <w:rPr>
          <w:rFonts w:cs="AdvPSA183"/>
          <w:b/>
          <w:color w:val="000000" w:themeColor="text1"/>
        </w:rPr>
      </w:pPr>
      <w:r w:rsidRPr="00BB6989">
        <w:rPr>
          <w:rFonts w:cs="AdvPSA183"/>
          <w:b/>
          <w:color w:val="000000" w:themeColor="text1"/>
        </w:rPr>
        <w:lastRenderedPageBreak/>
        <w:t>Figure legends</w:t>
      </w:r>
    </w:p>
    <w:p w14:paraId="67C712B1" w14:textId="77777777" w:rsidR="004944D6" w:rsidRPr="00BB6989" w:rsidRDefault="004944D6" w:rsidP="004944D6">
      <w:pPr>
        <w:autoSpaceDE w:val="0"/>
        <w:autoSpaceDN w:val="0"/>
        <w:adjustRightInd w:val="0"/>
        <w:spacing w:after="0" w:line="480" w:lineRule="auto"/>
        <w:rPr>
          <w:rFonts w:ascii="Times" w:hAnsi="Times" w:cs="Times"/>
          <w:color w:val="000000"/>
          <w:lang w:val="en-US"/>
        </w:rPr>
      </w:pPr>
      <w:r w:rsidRPr="00BB6989">
        <w:rPr>
          <w:rFonts w:ascii="Calibri" w:hAnsi="Calibri" w:cs="Calibri"/>
          <w:color w:val="000000"/>
          <w:lang w:val="en-US"/>
        </w:rPr>
        <w:t>Table 1: Clinico-pathological characteristics of patient cohort.</w:t>
      </w:r>
    </w:p>
    <w:p w14:paraId="5B24F574" w14:textId="77777777" w:rsidR="004944D6" w:rsidRPr="00BB6989" w:rsidRDefault="004944D6" w:rsidP="004944D6">
      <w:pPr>
        <w:autoSpaceDE w:val="0"/>
        <w:autoSpaceDN w:val="0"/>
        <w:adjustRightInd w:val="0"/>
        <w:spacing w:after="0" w:line="480" w:lineRule="auto"/>
        <w:rPr>
          <w:rFonts w:ascii="Calibri" w:hAnsi="Calibri" w:cs="Calibri"/>
          <w:color w:val="000000"/>
          <w:lang w:val="en-US"/>
        </w:rPr>
      </w:pPr>
    </w:p>
    <w:p w14:paraId="33E94539" w14:textId="423BB6F6" w:rsidR="004944D6" w:rsidRPr="00BB6989" w:rsidRDefault="004944D6" w:rsidP="004944D6">
      <w:pPr>
        <w:autoSpaceDE w:val="0"/>
        <w:autoSpaceDN w:val="0"/>
        <w:adjustRightInd w:val="0"/>
        <w:spacing w:after="0" w:line="480" w:lineRule="auto"/>
        <w:rPr>
          <w:rFonts w:ascii="Times" w:hAnsi="Times" w:cs="Times"/>
          <w:color w:val="000000"/>
          <w:lang w:val="en-US"/>
        </w:rPr>
      </w:pPr>
      <w:r w:rsidRPr="00BB6989">
        <w:rPr>
          <w:rFonts w:ascii="Calibri" w:hAnsi="Calibri" w:cs="Calibri"/>
          <w:color w:val="000000"/>
          <w:lang w:val="en-US"/>
        </w:rPr>
        <w:t xml:space="preserve">Figure 1: Kaplan Meier curves showing the </w:t>
      </w:r>
      <w:r w:rsidR="008F5B66" w:rsidRPr="00BB6989">
        <w:rPr>
          <w:rFonts w:ascii="Calibri" w:hAnsi="Calibri" w:cs="Calibri"/>
          <w:color w:val="000000"/>
          <w:lang w:val="en-US"/>
        </w:rPr>
        <w:t>baseline</w:t>
      </w:r>
      <w:r w:rsidR="008F5B66">
        <w:rPr>
          <w:rFonts w:ascii="Calibri" w:hAnsi="Calibri" w:cs="Calibri"/>
          <w:color w:val="000000"/>
          <w:lang w:val="en-US"/>
        </w:rPr>
        <w:t xml:space="preserve"> </w:t>
      </w:r>
      <w:r w:rsidRPr="00BB6989">
        <w:rPr>
          <w:rFonts w:ascii="Calibri" w:hAnsi="Calibri" w:cs="Calibri"/>
          <w:color w:val="000000"/>
          <w:lang w:val="en-US"/>
        </w:rPr>
        <w:t>progression-free survival (A, C, E) and overall survival (B, D, F) of patients, according to baseline IBI score (A, B), change in IBI score between and after 1-2 treatments (C, D) and change in IBI score between baseline and after 3-4 treatments (E, F).</w:t>
      </w:r>
    </w:p>
    <w:p w14:paraId="17116CA2" w14:textId="77777777" w:rsidR="004944D6" w:rsidRPr="00BB6989" w:rsidRDefault="004944D6" w:rsidP="004944D6">
      <w:pPr>
        <w:spacing w:after="240" w:line="480" w:lineRule="auto"/>
        <w:jc w:val="both"/>
        <w:rPr>
          <w:rFonts w:cs="AdvPSA183"/>
          <w:color w:val="000000" w:themeColor="text1"/>
        </w:rPr>
      </w:pPr>
    </w:p>
    <w:p w14:paraId="12813CED" w14:textId="77C3C5CD" w:rsidR="004944D6" w:rsidRPr="00EB139B" w:rsidRDefault="004944D6" w:rsidP="00EB139B">
      <w:pPr>
        <w:autoSpaceDE w:val="0"/>
        <w:autoSpaceDN w:val="0"/>
        <w:adjustRightInd w:val="0"/>
        <w:spacing w:line="480" w:lineRule="auto"/>
        <w:rPr>
          <w:rFonts w:ascii="Calibri" w:hAnsi="Calibri" w:cs="Calibri"/>
          <w:color w:val="000000"/>
        </w:rPr>
      </w:pPr>
      <w:r w:rsidRPr="00EB139B">
        <w:rPr>
          <w:rFonts w:ascii="Calibri" w:hAnsi="Calibri" w:cs="Calibri"/>
          <w:color w:val="000000"/>
          <w:highlight w:val="yellow"/>
          <w:lang w:val="en-US"/>
        </w:rPr>
        <w:t xml:space="preserve">Figure 2: </w:t>
      </w:r>
      <w:r w:rsidR="00EB139B" w:rsidRPr="00EB139B">
        <w:rPr>
          <w:rFonts w:ascii="Calibri" w:hAnsi="Calibri" w:cs="Calibri"/>
          <w:color w:val="000000"/>
          <w:highlight w:val="yellow"/>
          <w:lang w:val="en-US"/>
        </w:rPr>
        <w:t>Figure 2: Schematic showing the proportion of patients with IBI scores of 0, 1 and 2 changing through treatment. Scores that decreased after treatment or remained at 0 were ‘normalised’, whilst ‘persistently abnormal’ scores increased or remained at 1 or 2 after treatment.</w:t>
      </w:r>
      <w:r w:rsidR="00EB139B" w:rsidRPr="00EB139B">
        <w:rPr>
          <w:rFonts w:ascii="Calibri" w:hAnsi="Calibri" w:cs="Calibri"/>
          <w:color w:val="000000"/>
          <w:lang w:val="en-US"/>
        </w:rPr>
        <w:t xml:space="preserve"> </w:t>
      </w:r>
    </w:p>
    <w:p w14:paraId="030AFAD0" w14:textId="77777777" w:rsidR="004944D6" w:rsidRPr="00BB6989" w:rsidRDefault="004944D6" w:rsidP="004944D6">
      <w:pPr>
        <w:spacing w:after="240" w:line="480" w:lineRule="auto"/>
        <w:jc w:val="both"/>
        <w:rPr>
          <w:rFonts w:cs="AdvPSA183"/>
          <w:color w:val="000000" w:themeColor="text1"/>
        </w:rPr>
      </w:pPr>
    </w:p>
    <w:p w14:paraId="57449F34" w14:textId="77777777" w:rsidR="004944D6" w:rsidRPr="00BB6989" w:rsidRDefault="004944D6" w:rsidP="004944D6">
      <w:pPr>
        <w:autoSpaceDE w:val="0"/>
        <w:autoSpaceDN w:val="0"/>
        <w:adjustRightInd w:val="0"/>
        <w:spacing w:after="0" w:line="480" w:lineRule="auto"/>
        <w:rPr>
          <w:rFonts w:ascii="Times" w:hAnsi="Times" w:cs="Times"/>
          <w:color w:val="000000"/>
          <w:lang w:val="en-US"/>
        </w:rPr>
      </w:pPr>
      <w:r w:rsidRPr="00BB6989">
        <w:rPr>
          <w:rFonts w:ascii="Calibri" w:hAnsi="Calibri" w:cs="Calibri"/>
          <w:color w:val="000000"/>
          <w:lang w:val="en-US"/>
        </w:rPr>
        <w:t xml:space="preserve">Table 2: Univariate and multivariate analysis of prognostic factors of progression-free survival. </w:t>
      </w:r>
    </w:p>
    <w:p w14:paraId="7E9C7D15" w14:textId="77777777" w:rsidR="004944D6" w:rsidRPr="00BB6989" w:rsidRDefault="004944D6" w:rsidP="004944D6">
      <w:pPr>
        <w:autoSpaceDE w:val="0"/>
        <w:autoSpaceDN w:val="0"/>
        <w:adjustRightInd w:val="0"/>
        <w:spacing w:after="0" w:line="480" w:lineRule="auto"/>
        <w:rPr>
          <w:rFonts w:ascii="Times" w:hAnsi="Times" w:cs="Times"/>
          <w:color w:val="000000"/>
          <w:lang w:val="en-US"/>
        </w:rPr>
      </w:pPr>
      <w:r w:rsidRPr="00BB6989">
        <w:rPr>
          <w:rFonts w:ascii="Calibri" w:hAnsi="Calibri" w:cs="Calibri"/>
          <w:color w:val="000000"/>
          <w:lang w:val="en-US"/>
        </w:rPr>
        <w:t xml:space="preserve">Variables which were independent predictors of progression at the last step of the stepwise backward regression Cox model had a P-value of &lt;0.10 and are marked with an asterisk (*). </w:t>
      </w:r>
    </w:p>
    <w:p w14:paraId="547794C0" w14:textId="77777777" w:rsidR="004944D6" w:rsidRPr="00BB6989" w:rsidRDefault="004944D6" w:rsidP="004944D6">
      <w:pPr>
        <w:spacing w:after="240" w:line="480" w:lineRule="auto"/>
        <w:jc w:val="both"/>
        <w:rPr>
          <w:rFonts w:cs="AdvPSA183"/>
          <w:color w:val="000000" w:themeColor="text1"/>
        </w:rPr>
      </w:pPr>
    </w:p>
    <w:p w14:paraId="27CA8C2B" w14:textId="53582DFF" w:rsidR="006F4590" w:rsidRDefault="006F4590" w:rsidP="006F4590">
      <w:pPr>
        <w:autoSpaceDE w:val="0"/>
        <w:autoSpaceDN w:val="0"/>
        <w:adjustRightInd w:val="0"/>
        <w:spacing w:line="480" w:lineRule="auto"/>
        <w:rPr>
          <w:rFonts w:ascii="Calibri" w:hAnsi="Calibri" w:cs="Calibri"/>
          <w:color w:val="000000"/>
          <w:lang w:val="en-US"/>
        </w:rPr>
      </w:pPr>
      <w:r>
        <w:rPr>
          <w:rFonts w:ascii="Calibri" w:hAnsi="Calibri" w:cs="Calibri"/>
          <w:color w:val="000000"/>
          <w:lang w:val="en-US"/>
        </w:rPr>
        <w:t>Figure 3:</w:t>
      </w:r>
      <w:r w:rsidRPr="006F4590">
        <w:rPr>
          <w:rFonts w:ascii="Calibri" w:hAnsi="Calibri" w:cs="Calibri"/>
          <w:color w:val="000000"/>
          <w:lang w:val="en-US"/>
        </w:rPr>
        <w:t xml:space="preserve"> Decision curve for IBI to predict progression-free survival 12 months after treatment with PRRT in patients with metastatic NETs. </w:t>
      </w:r>
      <w:r w:rsidRPr="006F4590">
        <w:rPr>
          <w:rFonts w:ascii="Calibri" w:hAnsi="Calibri" w:cs="Calibri"/>
          <w:color w:val="000000"/>
          <w:highlight w:val="yellow"/>
          <w:lang w:val="en-US"/>
        </w:rPr>
        <w:t>‘Standardized Net Benefit’ (y-axis) reflects the clinical utility of a given biomarker, 1.0 being the most useful and negative ‘Net Benefit’ representing net harm done by using the biomarker. The thick grey line is the net benefit of treating no patients, the thin grey line is the benefit of treating patients according to current inclusion criteria, and the black line demonstrates the net benefit of treating patients according to their baseline IBI score.</w:t>
      </w:r>
      <w:r w:rsidRPr="006F4590">
        <w:rPr>
          <w:rFonts w:ascii="Calibri" w:hAnsi="Calibri" w:cs="Calibri"/>
          <w:color w:val="000000"/>
          <w:lang w:val="en-US"/>
        </w:rPr>
        <w:t xml:space="preserve">  </w:t>
      </w:r>
    </w:p>
    <w:p w14:paraId="78E961D4" w14:textId="1B1DE8D2" w:rsidR="006A105E" w:rsidRDefault="006A105E" w:rsidP="006F4590">
      <w:pPr>
        <w:autoSpaceDE w:val="0"/>
        <w:autoSpaceDN w:val="0"/>
        <w:adjustRightInd w:val="0"/>
        <w:spacing w:line="480" w:lineRule="auto"/>
        <w:rPr>
          <w:rFonts w:ascii="Calibri" w:hAnsi="Calibri" w:cs="Calibri"/>
          <w:color w:val="000000"/>
          <w:lang w:val="en-US"/>
        </w:rPr>
      </w:pPr>
    </w:p>
    <w:p w14:paraId="6315BAA0" w14:textId="3CB9DAA2" w:rsidR="008F5B66" w:rsidRPr="00286F10" w:rsidRDefault="00286F10" w:rsidP="00286F10">
      <w:pPr>
        <w:autoSpaceDE w:val="0"/>
        <w:autoSpaceDN w:val="0"/>
        <w:adjustRightInd w:val="0"/>
        <w:spacing w:line="480" w:lineRule="auto"/>
        <w:rPr>
          <w:rFonts w:ascii="Calibri" w:hAnsi="Calibri" w:cs="Calibri"/>
          <w:color w:val="000000"/>
        </w:rPr>
      </w:pPr>
      <w:r w:rsidRPr="008A43CB">
        <w:rPr>
          <w:rFonts w:ascii="Calibri" w:hAnsi="Calibri" w:cs="Calibri"/>
          <w:color w:val="000000"/>
          <w:highlight w:val="yellow"/>
          <w:lang w:val="en-US"/>
        </w:rPr>
        <w:t>Table 3: Calculated net benefit of the IBI score at differing threshold probabilities.</w:t>
      </w:r>
    </w:p>
    <w:sectPr w:rsidR="008F5B66" w:rsidRPr="00286F10" w:rsidSect="00D8107F">
      <w:footerReference w:type="even" r:id="rId9"/>
      <w:footerReference w:type="default" r:id="rId10"/>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402827" w14:textId="77777777" w:rsidR="00116AE4" w:rsidRDefault="00116AE4" w:rsidP="00C96C38">
      <w:pPr>
        <w:spacing w:after="0" w:line="240" w:lineRule="auto"/>
      </w:pPr>
      <w:r>
        <w:separator/>
      </w:r>
    </w:p>
  </w:endnote>
  <w:endnote w:type="continuationSeparator" w:id="0">
    <w:p w14:paraId="17D21469" w14:textId="77777777" w:rsidR="00116AE4" w:rsidRDefault="00116AE4" w:rsidP="00C96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inionPro-Regular">
    <w:panose1 w:val="00000000000000000000"/>
    <w:charset w:val="00"/>
    <w:family w:val="auto"/>
    <w:notTrueType/>
    <w:pitch w:val="default"/>
    <w:sig w:usb0="00000003" w:usb1="00000000" w:usb2="00000000" w:usb3="00000000" w:csb0="00000001" w:csb1="00000000"/>
  </w:font>
  <w:font w:name="AdvPSA183">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395272882"/>
      <w:docPartObj>
        <w:docPartGallery w:val="Page Numbers (Bottom of Page)"/>
        <w:docPartUnique/>
      </w:docPartObj>
    </w:sdtPr>
    <w:sdtEndPr>
      <w:rPr>
        <w:rStyle w:val="PageNumber"/>
      </w:rPr>
    </w:sdtEndPr>
    <w:sdtContent>
      <w:p w14:paraId="36CF19AD" w14:textId="4F269B4E" w:rsidR="00C96C38" w:rsidRDefault="00C96C38" w:rsidP="008E23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AC01D4" w14:textId="77777777" w:rsidR="00C96C38" w:rsidRDefault="00C96C38" w:rsidP="00C96C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937520720"/>
      <w:docPartObj>
        <w:docPartGallery w:val="Page Numbers (Bottom of Page)"/>
        <w:docPartUnique/>
      </w:docPartObj>
    </w:sdtPr>
    <w:sdtEndPr>
      <w:rPr>
        <w:rStyle w:val="PageNumber"/>
      </w:rPr>
    </w:sdtEndPr>
    <w:sdtContent>
      <w:p w14:paraId="1059F671" w14:textId="6A767451" w:rsidR="00C96C38" w:rsidRDefault="00C96C38" w:rsidP="008E23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916AB">
          <w:rPr>
            <w:rStyle w:val="PageNumber"/>
            <w:noProof/>
          </w:rPr>
          <w:t>1</w:t>
        </w:r>
        <w:r>
          <w:rPr>
            <w:rStyle w:val="PageNumber"/>
          </w:rPr>
          <w:fldChar w:fldCharType="end"/>
        </w:r>
      </w:p>
    </w:sdtContent>
  </w:sdt>
  <w:p w14:paraId="2DE39F10" w14:textId="77777777" w:rsidR="00C96C38" w:rsidRDefault="00C96C38" w:rsidP="00C96C3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7261B0" w14:textId="77777777" w:rsidR="00116AE4" w:rsidRDefault="00116AE4" w:rsidP="00C96C38">
      <w:pPr>
        <w:spacing w:after="0" w:line="240" w:lineRule="auto"/>
      </w:pPr>
      <w:r>
        <w:separator/>
      </w:r>
    </w:p>
  </w:footnote>
  <w:footnote w:type="continuationSeparator" w:id="0">
    <w:p w14:paraId="2F705DD4" w14:textId="77777777" w:rsidR="00116AE4" w:rsidRDefault="00116AE4" w:rsidP="00C96C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705B0"/>
    <w:multiLevelType w:val="hybridMultilevel"/>
    <w:tmpl w:val="D28E3A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295"/>
    <w:rsid w:val="000012CE"/>
    <w:rsid w:val="0000256F"/>
    <w:rsid w:val="000113B6"/>
    <w:rsid w:val="00011849"/>
    <w:rsid w:val="000122FA"/>
    <w:rsid w:val="0001236E"/>
    <w:rsid w:val="00013A80"/>
    <w:rsid w:val="000166AB"/>
    <w:rsid w:val="00017273"/>
    <w:rsid w:val="00017682"/>
    <w:rsid w:val="0002058C"/>
    <w:rsid w:val="00022D0E"/>
    <w:rsid w:val="00025018"/>
    <w:rsid w:val="00025EE5"/>
    <w:rsid w:val="00036B58"/>
    <w:rsid w:val="00040EDF"/>
    <w:rsid w:val="00041681"/>
    <w:rsid w:val="000531E1"/>
    <w:rsid w:val="000551DD"/>
    <w:rsid w:val="0005611F"/>
    <w:rsid w:val="00057093"/>
    <w:rsid w:val="00062185"/>
    <w:rsid w:val="0006239A"/>
    <w:rsid w:val="00071933"/>
    <w:rsid w:val="00076970"/>
    <w:rsid w:val="00077024"/>
    <w:rsid w:val="00077173"/>
    <w:rsid w:val="00080920"/>
    <w:rsid w:val="00080E1D"/>
    <w:rsid w:val="00084D16"/>
    <w:rsid w:val="000954C8"/>
    <w:rsid w:val="000960BC"/>
    <w:rsid w:val="000B14FD"/>
    <w:rsid w:val="000B423E"/>
    <w:rsid w:val="000B49F3"/>
    <w:rsid w:val="000B690E"/>
    <w:rsid w:val="000B6C31"/>
    <w:rsid w:val="000C02C9"/>
    <w:rsid w:val="000C1B23"/>
    <w:rsid w:val="000C23ED"/>
    <w:rsid w:val="000C2ED5"/>
    <w:rsid w:val="000D13F6"/>
    <w:rsid w:val="000D769D"/>
    <w:rsid w:val="000D7816"/>
    <w:rsid w:val="000E50FE"/>
    <w:rsid w:val="000F3759"/>
    <w:rsid w:val="000F6FCB"/>
    <w:rsid w:val="00100607"/>
    <w:rsid w:val="001026B4"/>
    <w:rsid w:val="00103B42"/>
    <w:rsid w:val="00105291"/>
    <w:rsid w:val="001059B4"/>
    <w:rsid w:val="00107663"/>
    <w:rsid w:val="001140FF"/>
    <w:rsid w:val="00116AE4"/>
    <w:rsid w:val="00116FAB"/>
    <w:rsid w:val="0012010E"/>
    <w:rsid w:val="00121760"/>
    <w:rsid w:val="00124E68"/>
    <w:rsid w:val="00127FDC"/>
    <w:rsid w:val="00131067"/>
    <w:rsid w:val="00132BE0"/>
    <w:rsid w:val="00137020"/>
    <w:rsid w:val="00140937"/>
    <w:rsid w:val="00143686"/>
    <w:rsid w:val="00152CA3"/>
    <w:rsid w:val="00155692"/>
    <w:rsid w:val="00156310"/>
    <w:rsid w:val="00161EF5"/>
    <w:rsid w:val="00170251"/>
    <w:rsid w:val="00180C00"/>
    <w:rsid w:val="00182BD8"/>
    <w:rsid w:val="00182E8B"/>
    <w:rsid w:val="00186FAF"/>
    <w:rsid w:val="0019214E"/>
    <w:rsid w:val="0019240C"/>
    <w:rsid w:val="001947A2"/>
    <w:rsid w:val="001970BA"/>
    <w:rsid w:val="001A0511"/>
    <w:rsid w:val="001A3366"/>
    <w:rsid w:val="001A3DFE"/>
    <w:rsid w:val="001A58B8"/>
    <w:rsid w:val="001A5C00"/>
    <w:rsid w:val="001A6FB5"/>
    <w:rsid w:val="001A72B1"/>
    <w:rsid w:val="001B2A2B"/>
    <w:rsid w:val="001B51D5"/>
    <w:rsid w:val="001B5756"/>
    <w:rsid w:val="001B5C05"/>
    <w:rsid w:val="001B5D3D"/>
    <w:rsid w:val="001C00BD"/>
    <w:rsid w:val="001C0E2F"/>
    <w:rsid w:val="001C1554"/>
    <w:rsid w:val="001C2104"/>
    <w:rsid w:val="001C4992"/>
    <w:rsid w:val="001C78E2"/>
    <w:rsid w:val="001D00C7"/>
    <w:rsid w:val="001D4363"/>
    <w:rsid w:val="001D66EB"/>
    <w:rsid w:val="001D710C"/>
    <w:rsid w:val="001E165A"/>
    <w:rsid w:val="001F1F5C"/>
    <w:rsid w:val="001F7487"/>
    <w:rsid w:val="00201620"/>
    <w:rsid w:val="00201638"/>
    <w:rsid w:val="00201CCB"/>
    <w:rsid w:val="00203211"/>
    <w:rsid w:val="002044DF"/>
    <w:rsid w:val="00207BB8"/>
    <w:rsid w:val="0021579F"/>
    <w:rsid w:val="00216C77"/>
    <w:rsid w:val="002230F2"/>
    <w:rsid w:val="00226763"/>
    <w:rsid w:val="00226E30"/>
    <w:rsid w:val="0025092B"/>
    <w:rsid w:val="002525C6"/>
    <w:rsid w:val="0025555D"/>
    <w:rsid w:val="00256A6D"/>
    <w:rsid w:val="0026476B"/>
    <w:rsid w:val="00271E25"/>
    <w:rsid w:val="00273386"/>
    <w:rsid w:val="00280FA7"/>
    <w:rsid w:val="002834A2"/>
    <w:rsid w:val="00286F10"/>
    <w:rsid w:val="002876CD"/>
    <w:rsid w:val="002876F6"/>
    <w:rsid w:val="002908F0"/>
    <w:rsid w:val="00290A10"/>
    <w:rsid w:val="002925D1"/>
    <w:rsid w:val="00293339"/>
    <w:rsid w:val="002A1FA3"/>
    <w:rsid w:val="002A2A46"/>
    <w:rsid w:val="002A2DAA"/>
    <w:rsid w:val="002B427C"/>
    <w:rsid w:val="002D06D2"/>
    <w:rsid w:val="002D33B7"/>
    <w:rsid w:val="002D437F"/>
    <w:rsid w:val="002D725D"/>
    <w:rsid w:val="002F0D7E"/>
    <w:rsid w:val="002F12C9"/>
    <w:rsid w:val="002F4EE1"/>
    <w:rsid w:val="002F594E"/>
    <w:rsid w:val="002F6899"/>
    <w:rsid w:val="00300B47"/>
    <w:rsid w:val="00301E60"/>
    <w:rsid w:val="003044C9"/>
    <w:rsid w:val="00306808"/>
    <w:rsid w:val="003100B4"/>
    <w:rsid w:val="00313BDB"/>
    <w:rsid w:val="003249BD"/>
    <w:rsid w:val="00326FFD"/>
    <w:rsid w:val="00327CB4"/>
    <w:rsid w:val="00336BEE"/>
    <w:rsid w:val="00344489"/>
    <w:rsid w:val="00344E17"/>
    <w:rsid w:val="003465D6"/>
    <w:rsid w:val="00346800"/>
    <w:rsid w:val="00347883"/>
    <w:rsid w:val="00351847"/>
    <w:rsid w:val="00352626"/>
    <w:rsid w:val="00352CD6"/>
    <w:rsid w:val="0035312E"/>
    <w:rsid w:val="00354621"/>
    <w:rsid w:val="00366DC6"/>
    <w:rsid w:val="003701EC"/>
    <w:rsid w:val="00371242"/>
    <w:rsid w:val="00371980"/>
    <w:rsid w:val="0037771F"/>
    <w:rsid w:val="0038057D"/>
    <w:rsid w:val="00386AB9"/>
    <w:rsid w:val="0039283D"/>
    <w:rsid w:val="00393803"/>
    <w:rsid w:val="00395C2A"/>
    <w:rsid w:val="003A255F"/>
    <w:rsid w:val="003A6DF8"/>
    <w:rsid w:val="003A7721"/>
    <w:rsid w:val="003A7942"/>
    <w:rsid w:val="003C17F6"/>
    <w:rsid w:val="003C3CDD"/>
    <w:rsid w:val="003C489D"/>
    <w:rsid w:val="003C7BAF"/>
    <w:rsid w:val="003D09F4"/>
    <w:rsid w:val="003D0E45"/>
    <w:rsid w:val="003D341A"/>
    <w:rsid w:val="003D34D5"/>
    <w:rsid w:val="003D496F"/>
    <w:rsid w:val="003D6237"/>
    <w:rsid w:val="003E03A3"/>
    <w:rsid w:val="003E331F"/>
    <w:rsid w:val="003E3B32"/>
    <w:rsid w:val="003E62B3"/>
    <w:rsid w:val="003E6F46"/>
    <w:rsid w:val="003E7308"/>
    <w:rsid w:val="003F466B"/>
    <w:rsid w:val="00415F01"/>
    <w:rsid w:val="00416030"/>
    <w:rsid w:val="00420780"/>
    <w:rsid w:val="00421F26"/>
    <w:rsid w:val="0042301A"/>
    <w:rsid w:val="00425B9D"/>
    <w:rsid w:val="00432AF0"/>
    <w:rsid w:val="004353EE"/>
    <w:rsid w:val="00442969"/>
    <w:rsid w:val="00446A15"/>
    <w:rsid w:val="00447323"/>
    <w:rsid w:val="004477E7"/>
    <w:rsid w:val="004566BA"/>
    <w:rsid w:val="00456AAC"/>
    <w:rsid w:val="00461088"/>
    <w:rsid w:val="004633A1"/>
    <w:rsid w:val="00464C48"/>
    <w:rsid w:val="00470919"/>
    <w:rsid w:val="00473924"/>
    <w:rsid w:val="004756B2"/>
    <w:rsid w:val="0048446D"/>
    <w:rsid w:val="00484D8F"/>
    <w:rsid w:val="00484EEA"/>
    <w:rsid w:val="00492DE0"/>
    <w:rsid w:val="004944D6"/>
    <w:rsid w:val="004976FB"/>
    <w:rsid w:val="004A0E28"/>
    <w:rsid w:val="004A3529"/>
    <w:rsid w:val="004A4594"/>
    <w:rsid w:val="004A4EEE"/>
    <w:rsid w:val="004A65CF"/>
    <w:rsid w:val="004B6BFB"/>
    <w:rsid w:val="004C0928"/>
    <w:rsid w:val="004C4E59"/>
    <w:rsid w:val="004D1AF2"/>
    <w:rsid w:val="004D1F6C"/>
    <w:rsid w:val="004D6E39"/>
    <w:rsid w:val="004D7166"/>
    <w:rsid w:val="004E4BB9"/>
    <w:rsid w:val="004E5996"/>
    <w:rsid w:val="004F3326"/>
    <w:rsid w:val="0050017D"/>
    <w:rsid w:val="005006D5"/>
    <w:rsid w:val="00514475"/>
    <w:rsid w:val="00517343"/>
    <w:rsid w:val="005241CB"/>
    <w:rsid w:val="005327D5"/>
    <w:rsid w:val="005335D4"/>
    <w:rsid w:val="00534566"/>
    <w:rsid w:val="0054259E"/>
    <w:rsid w:val="00546253"/>
    <w:rsid w:val="00546E51"/>
    <w:rsid w:val="00554E35"/>
    <w:rsid w:val="0055790F"/>
    <w:rsid w:val="005713E9"/>
    <w:rsid w:val="00571B8F"/>
    <w:rsid w:val="00582F8B"/>
    <w:rsid w:val="00585A31"/>
    <w:rsid w:val="00585CA1"/>
    <w:rsid w:val="0059282A"/>
    <w:rsid w:val="00595612"/>
    <w:rsid w:val="00596A59"/>
    <w:rsid w:val="00597F39"/>
    <w:rsid w:val="005A0CE2"/>
    <w:rsid w:val="005A615C"/>
    <w:rsid w:val="005A6314"/>
    <w:rsid w:val="005B0A95"/>
    <w:rsid w:val="005B463A"/>
    <w:rsid w:val="005B4A1A"/>
    <w:rsid w:val="005C6623"/>
    <w:rsid w:val="005C71E7"/>
    <w:rsid w:val="005C741A"/>
    <w:rsid w:val="005D6815"/>
    <w:rsid w:val="005D6F49"/>
    <w:rsid w:val="005E1BD3"/>
    <w:rsid w:val="005E6C3C"/>
    <w:rsid w:val="005E6FAB"/>
    <w:rsid w:val="005F14E0"/>
    <w:rsid w:val="005F520D"/>
    <w:rsid w:val="00601F34"/>
    <w:rsid w:val="00603CDF"/>
    <w:rsid w:val="00605A11"/>
    <w:rsid w:val="00605A61"/>
    <w:rsid w:val="00616396"/>
    <w:rsid w:val="00621E0A"/>
    <w:rsid w:val="006225FE"/>
    <w:rsid w:val="0062360A"/>
    <w:rsid w:val="00624726"/>
    <w:rsid w:val="006278A6"/>
    <w:rsid w:val="006334C6"/>
    <w:rsid w:val="00642C64"/>
    <w:rsid w:val="006516A9"/>
    <w:rsid w:val="006557A0"/>
    <w:rsid w:val="00655F02"/>
    <w:rsid w:val="00656298"/>
    <w:rsid w:val="006576E7"/>
    <w:rsid w:val="00660595"/>
    <w:rsid w:val="00663912"/>
    <w:rsid w:val="00666186"/>
    <w:rsid w:val="0067678E"/>
    <w:rsid w:val="006852FB"/>
    <w:rsid w:val="00690E3F"/>
    <w:rsid w:val="006A105E"/>
    <w:rsid w:val="006A5DDB"/>
    <w:rsid w:val="006B0DE1"/>
    <w:rsid w:val="006B29D8"/>
    <w:rsid w:val="006B489A"/>
    <w:rsid w:val="006C0441"/>
    <w:rsid w:val="006C3948"/>
    <w:rsid w:val="006C588A"/>
    <w:rsid w:val="006C757E"/>
    <w:rsid w:val="006D673A"/>
    <w:rsid w:val="006D7243"/>
    <w:rsid w:val="006F4590"/>
    <w:rsid w:val="006F48E8"/>
    <w:rsid w:val="006F5528"/>
    <w:rsid w:val="006F6FA6"/>
    <w:rsid w:val="0070470F"/>
    <w:rsid w:val="00714072"/>
    <w:rsid w:val="00724891"/>
    <w:rsid w:val="00724C63"/>
    <w:rsid w:val="00730A52"/>
    <w:rsid w:val="00730ACA"/>
    <w:rsid w:val="00732312"/>
    <w:rsid w:val="00740C74"/>
    <w:rsid w:val="00740C7A"/>
    <w:rsid w:val="007511A6"/>
    <w:rsid w:val="00754690"/>
    <w:rsid w:val="00754B29"/>
    <w:rsid w:val="0075578E"/>
    <w:rsid w:val="0076350B"/>
    <w:rsid w:val="00771E79"/>
    <w:rsid w:val="00772509"/>
    <w:rsid w:val="007754DC"/>
    <w:rsid w:val="00784F75"/>
    <w:rsid w:val="00792A20"/>
    <w:rsid w:val="00797908"/>
    <w:rsid w:val="007A078C"/>
    <w:rsid w:val="007A07AF"/>
    <w:rsid w:val="007A3D1E"/>
    <w:rsid w:val="007A7CF0"/>
    <w:rsid w:val="007B1A2D"/>
    <w:rsid w:val="007B1D2F"/>
    <w:rsid w:val="007B2DC5"/>
    <w:rsid w:val="007C04AE"/>
    <w:rsid w:val="007C0E0C"/>
    <w:rsid w:val="007C1C61"/>
    <w:rsid w:val="007C6046"/>
    <w:rsid w:val="007C75F1"/>
    <w:rsid w:val="007D4C61"/>
    <w:rsid w:val="007F1507"/>
    <w:rsid w:val="007F38A2"/>
    <w:rsid w:val="007F5DA9"/>
    <w:rsid w:val="00812031"/>
    <w:rsid w:val="00812274"/>
    <w:rsid w:val="00820ECA"/>
    <w:rsid w:val="00822CFB"/>
    <w:rsid w:val="00827890"/>
    <w:rsid w:val="008309E5"/>
    <w:rsid w:val="00832FF9"/>
    <w:rsid w:val="00833899"/>
    <w:rsid w:val="00833ECE"/>
    <w:rsid w:val="00835407"/>
    <w:rsid w:val="00840CB4"/>
    <w:rsid w:val="00843A0E"/>
    <w:rsid w:val="008467AC"/>
    <w:rsid w:val="0085414A"/>
    <w:rsid w:val="00854813"/>
    <w:rsid w:val="00854A90"/>
    <w:rsid w:val="008559DD"/>
    <w:rsid w:val="008648F0"/>
    <w:rsid w:val="0086606B"/>
    <w:rsid w:val="00892CAF"/>
    <w:rsid w:val="00893217"/>
    <w:rsid w:val="00897706"/>
    <w:rsid w:val="00897BE6"/>
    <w:rsid w:val="008A04A6"/>
    <w:rsid w:val="008A150C"/>
    <w:rsid w:val="008A690B"/>
    <w:rsid w:val="008B6B93"/>
    <w:rsid w:val="008C40F4"/>
    <w:rsid w:val="008C7771"/>
    <w:rsid w:val="008D0749"/>
    <w:rsid w:val="008D259B"/>
    <w:rsid w:val="008D2E2E"/>
    <w:rsid w:val="008D3B76"/>
    <w:rsid w:val="008E5245"/>
    <w:rsid w:val="008F2827"/>
    <w:rsid w:val="008F3D7E"/>
    <w:rsid w:val="008F5287"/>
    <w:rsid w:val="008F5B66"/>
    <w:rsid w:val="008F7718"/>
    <w:rsid w:val="009040F0"/>
    <w:rsid w:val="00907F6B"/>
    <w:rsid w:val="00910650"/>
    <w:rsid w:val="009144D9"/>
    <w:rsid w:val="00916910"/>
    <w:rsid w:val="00920597"/>
    <w:rsid w:val="00925B0B"/>
    <w:rsid w:val="0092727E"/>
    <w:rsid w:val="00930043"/>
    <w:rsid w:val="0093021F"/>
    <w:rsid w:val="00931CCF"/>
    <w:rsid w:val="00943504"/>
    <w:rsid w:val="00951884"/>
    <w:rsid w:val="00951BE0"/>
    <w:rsid w:val="00951DA9"/>
    <w:rsid w:val="00951DB5"/>
    <w:rsid w:val="00957F5D"/>
    <w:rsid w:val="0096234B"/>
    <w:rsid w:val="0096381B"/>
    <w:rsid w:val="009649F0"/>
    <w:rsid w:val="00971C2E"/>
    <w:rsid w:val="00971F35"/>
    <w:rsid w:val="0097335F"/>
    <w:rsid w:val="00973A84"/>
    <w:rsid w:val="0097443E"/>
    <w:rsid w:val="00977960"/>
    <w:rsid w:val="00977C22"/>
    <w:rsid w:val="00980497"/>
    <w:rsid w:val="00980FC6"/>
    <w:rsid w:val="00981F7F"/>
    <w:rsid w:val="00982C13"/>
    <w:rsid w:val="009865D5"/>
    <w:rsid w:val="00986FAB"/>
    <w:rsid w:val="009914C5"/>
    <w:rsid w:val="009975A8"/>
    <w:rsid w:val="009A3A6C"/>
    <w:rsid w:val="009A5AB0"/>
    <w:rsid w:val="009B0F73"/>
    <w:rsid w:val="009C0A8A"/>
    <w:rsid w:val="009C538F"/>
    <w:rsid w:val="009D275E"/>
    <w:rsid w:val="009D4349"/>
    <w:rsid w:val="009D7343"/>
    <w:rsid w:val="009D7CFD"/>
    <w:rsid w:val="009E16BC"/>
    <w:rsid w:val="009E2B06"/>
    <w:rsid w:val="009E41CF"/>
    <w:rsid w:val="009F1DA8"/>
    <w:rsid w:val="009F5059"/>
    <w:rsid w:val="009F6DF4"/>
    <w:rsid w:val="00A01615"/>
    <w:rsid w:val="00A212B9"/>
    <w:rsid w:val="00A23481"/>
    <w:rsid w:val="00A36371"/>
    <w:rsid w:val="00A37933"/>
    <w:rsid w:val="00A40E31"/>
    <w:rsid w:val="00A43C32"/>
    <w:rsid w:val="00A466D5"/>
    <w:rsid w:val="00A53817"/>
    <w:rsid w:val="00A5663C"/>
    <w:rsid w:val="00A71AE9"/>
    <w:rsid w:val="00A742A5"/>
    <w:rsid w:val="00A77116"/>
    <w:rsid w:val="00A77742"/>
    <w:rsid w:val="00A84F63"/>
    <w:rsid w:val="00A92706"/>
    <w:rsid w:val="00A93416"/>
    <w:rsid w:val="00A94053"/>
    <w:rsid w:val="00A94E61"/>
    <w:rsid w:val="00A97972"/>
    <w:rsid w:val="00A97B86"/>
    <w:rsid w:val="00AB0B70"/>
    <w:rsid w:val="00AB1D36"/>
    <w:rsid w:val="00AB3EF9"/>
    <w:rsid w:val="00AB4F8A"/>
    <w:rsid w:val="00AB59F7"/>
    <w:rsid w:val="00AB5ECA"/>
    <w:rsid w:val="00AC2089"/>
    <w:rsid w:val="00AC41B8"/>
    <w:rsid w:val="00AD1DF2"/>
    <w:rsid w:val="00AD2FBB"/>
    <w:rsid w:val="00AD39FD"/>
    <w:rsid w:val="00AD45A5"/>
    <w:rsid w:val="00AD565F"/>
    <w:rsid w:val="00AD69E7"/>
    <w:rsid w:val="00AE021C"/>
    <w:rsid w:val="00AE4D65"/>
    <w:rsid w:val="00AF02A9"/>
    <w:rsid w:val="00AF1188"/>
    <w:rsid w:val="00AF4779"/>
    <w:rsid w:val="00B1347C"/>
    <w:rsid w:val="00B162A4"/>
    <w:rsid w:val="00B253DA"/>
    <w:rsid w:val="00B265B0"/>
    <w:rsid w:val="00B321FD"/>
    <w:rsid w:val="00B34586"/>
    <w:rsid w:val="00B40899"/>
    <w:rsid w:val="00B43826"/>
    <w:rsid w:val="00B441AA"/>
    <w:rsid w:val="00B4471E"/>
    <w:rsid w:val="00B4538F"/>
    <w:rsid w:val="00B45823"/>
    <w:rsid w:val="00B462FF"/>
    <w:rsid w:val="00B46AB5"/>
    <w:rsid w:val="00B55A1E"/>
    <w:rsid w:val="00B60C9F"/>
    <w:rsid w:val="00B61E4A"/>
    <w:rsid w:val="00B73317"/>
    <w:rsid w:val="00B82065"/>
    <w:rsid w:val="00B91B66"/>
    <w:rsid w:val="00B91BF3"/>
    <w:rsid w:val="00B931B6"/>
    <w:rsid w:val="00B93639"/>
    <w:rsid w:val="00B96A17"/>
    <w:rsid w:val="00BA77A1"/>
    <w:rsid w:val="00BB2091"/>
    <w:rsid w:val="00BB53C4"/>
    <w:rsid w:val="00BB584C"/>
    <w:rsid w:val="00BB6989"/>
    <w:rsid w:val="00BC3295"/>
    <w:rsid w:val="00BC59F5"/>
    <w:rsid w:val="00BD32AD"/>
    <w:rsid w:val="00BE04A3"/>
    <w:rsid w:val="00BE3E80"/>
    <w:rsid w:val="00BF19AC"/>
    <w:rsid w:val="00BF45AF"/>
    <w:rsid w:val="00C011DE"/>
    <w:rsid w:val="00C0447B"/>
    <w:rsid w:val="00C0487B"/>
    <w:rsid w:val="00C05BBB"/>
    <w:rsid w:val="00C1062A"/>
    <w:rsid w:val="00C155C7"/>
    <w:rsid w:val="00C15A63"/>
    <w:rsid w:val="00C16973"/>
    <w:rsid w:val="00C16A72"/>
    <w:rsid w:val="00C2022F"/>
    <w:rsid w:val="00C20617"/>
    <w:rsid w:val="00C21394"/>
    <w:rsid w:val="00C24385"/>
    <w:rsid w:val="00C26F1B"/>
    <w:rsid w:val="00C31F8A"/>
    <w:rsid w:val="00C331FD"/>
    <w:rsid w:val="00C345E4"/>
    <w:rsid w:val="00C35070"/>
    <w:rsid w:val="00C40C3E"/>
    <w:rsid w:val="00C42CFF"/>
    <w:rsid w:val="00C44F9E"/>
    <w:rsid w:val="00C52025"/>
    <w:rsid w:val="00C520F8"/>
    <w:rsid w:val="00C54D0D"/>
    <w:rsid w:val="00C61C45"/>
    <w:rsid w:val="00C6764D"/>
    <w:rsid w:val="00C710E5"/>
    <w:rsid w:val="00C716D9"/>
    <w:rsid w:val="00C76177"/>
    <w:rsid w:val="00C80B7F"/>
    <w:rsid w:val="00C91686"/>
    <w:rsid w:val="00C9200E"/>
    <w:rsid w:val="00C96C38"/>
    <w:rsid w:val="00CA1D8D"/>
    <w:rsid w:val="00CA44C3"/>
    <w:rsid w:val="00CA4A29"/>
    <w:rsid w:val="00CA5945"/>
    <w:rsid w:val="00CA633B"/>
    <w:rsid w:val="00CA6512"/>
    <w:rsid w:val="00CB7EB0"/>
    <w:rsid w:val="00CC0C64"/>
    <w:rsid w:val="00CC249E"/>
    <w:rsid w:val="00CD76DF"/>
    <w:rsid w:val="00CE04F2"/>
    <w:rsid w:val="00CE1731"/>
    <w:rsid w:val="00CE1EDC"/>
    <w:rsid w:val="00CF19D1"/>
    <w:rsid w:val="00D0157A"/>
    <w:rsid w:val="00D0727E"/>
    <w:rsid w:val="00D13748"/>
    <w:rsid w:val="00D159A6"/>
    <w:rsid w:val="00D1705F"/>
    <w:rsid w:val="00D17A28"/>
    <w:rsid w:val="00D22D2E"/>
    <w:rsid w:val="00D25493"/>
    <w:rsid w:val="00D26A2A"/>
    <w:rsid w:val="00D31E48"/>
    <w:rsid w:val="00D32C97"/>
    <w:rsid w:val="00D3301D"/>
    <w:rsid w:val="00D34C25"/>
    <w:rsid w:val="00D35D47"/>
    <w:rsid w:val="00D373CB"/>
    <w:rsid w:val="00D37F77"/>
    <w:rsid w:val="00D46A4C"/>
    <w:rsid w:val="00D522C9"/>
    <w:rsid w:val="00D536FD"/>
    <w:rsid w:val="00D60007"/>
    <w:rsid w:val="00D65053"/>
    <w:rsid w:val="00D65A36"/>
    <w:rsid w:val="00D664FE"/>
    <w:rsid w:val="00D75B66"/>
    <w:rsid w:val="00D762AB"/>
    <w:rsid w:val="00D770FF"/>
    <w:rsid w:val="00D77239"/>
    <w:rsid w:val="00D8107F"/>
    <w:rsid w:val="00D86A4A"/>
    <w:rsid w:val="00D916AB"/>
    <w:rsid w:val="00D93DA7"/>
    <w:rsid w:val="00DA4491"/>
    <w:rsid w:val="00DB6AE0"/>
    <w:rsid w:val="00DC0AED"/>
    <w:rsid w:val="00DF103A"/>
    <w:rsid w:val="00DF3DFB"/>
    <w:rsid w:val="00DF7333"/>
    <w:rsid w:val="00DF7654"/>
    <w:rsid w:val="00DF7810"/>
    <w:rsid w:val="00E03195"/>
    <w:rsid w:val="00E07008"/>
    <w:rsid w:val="00E07036"/>
    <w:rsid w:val="00E15FCE"/>
    <w:rsid w:val="00E1743F"/>
    <w:rsid w:val="00E22A3B"/>
    <w:rsid w:val="00E23554"/>
    <w:rsid w:val="00E25838"/>
    <w:rsid w:val="00E27A57"/>
    <w:rsid w:val="00E357D4"/>
    <w:rsid w:val="00E37D8C"/>
    <w:rsid w:val="00E41400"/>
    <w:rsid w:val="00E51821"/>
    <w:rsid w:val="00E53169"/>
    <w:rsid w:val="00E5426F"/>
    <w:rsid w:val="00E54910"/>
    <w:rsid w:val="00E56287"/>
    <w:rsid w:val="00E5732E"/>
    <w:rsid w:val="00E616FF"/>
    <w:rsid w:val="00E62A7F"/>
    <w:rsid w:val="00E65593"/>
    <w:rsid w:val="00E663FE"/>
    <w:rsid w:val="00E73005"/>
    <w:rsid w:val="00E770FD"/>
    <w:rsid w:val="00E7770C"/>
    <w:rsid w:val="00E81DD3"/>
    <w:rsid w:val="00E82C00"/>
    <w:rsid w:val="00E84A86"/>
    <w:rsid w:val="00E96082"/>
    <w:rsid w:val="00EA09F3"/>
    <w:rsid w:val="00EA1F27"/>
    <w:rsid w:val="00EA2C1C"/>
    <w:rsid w:val="00EA2D98"/>
    <w:rsid w:val="00EA3DBE"/>
    <w:rsid w:val="00EA41BA"/>
    <w:rsid w:val="00EA6069"/>
    <w:rsid w:val="00EB139B"/>
    <w:rsid w:val="00EB5B10"/>
    <w:rsid w:val="00EB7CCB"/>
    <w:rsid w:val="00EC0A6B"/>
    <w:rsid w:val="00EC55C2"/>
    <w:rsid w:val="00EC5633"/>
    <w:rsid w:val="00EC788B"/>
    <w:rsid w:val="00ED0FDD"/>
    <w:rsid w:val="00ED161D"/>
    <w:rsid w:val="00ED1D78"/>
    <w:rsid w:val="00ED2903"/>
    <w:rsid w:val="00ED436F"/>
    <w:rsid w:val="00ED7553"/>
    <w:rsid w:val="00EE0237"/>
    <w:rsid w:val="00EF0C85"/>
    <w:rsid w:val="00EF1D33"/>
    <w:rsid w:val="00F02066"/>
    <w:rsid w:val="00F11ED8"/>
    <w:rsid w:val="00F1323D"/>
    <w:rsid w:val="00F16951"/>
    <w:rsid w:val="00F17840"/>
    <w:rsid w:val="00F179C1"/>
    <w:rsid w:val="00F221DB"/>
    <w:rsid w:val="00F238F8"/>
    <w:rsid w:val="00F2616F"/>
    <w:rsid w:val="00F32595"/>
    <w:rsid w:val="00F330C4"/>
    <w:rsid w:val="00F3497E"/>
    <w:rsid w:val="00F34CB6"/>
    <w:rsid w:val="00F36803"/>
    <w:rsid w:val="00F4268F"/>
    <w:rsid w:val="00F42E55"/>
    <w:rsid w:val="00F43C78"/>
    <w:rsid w:val="00F4554C"/>
    <w:rsid w:val="00F502A9"/>
    <w:rsid w:val="00F505BF"/>
    <w:rsid w:val="00F53EC0"/>
    <w:rsid w:val="00F5454B"/>
    <w:rsid w:val="00F54B1B"/>
    <w:rsid w:val="00F62314"/>
    <w:rsid w:val="00F62B62"/>
    <w:rsid w:val="00F62E08"/>
    <w:rsid w:val="00F70CD1"/>
    <w:rsid w:val="00F75A76"/>
    <w:rsid w:val="00F77EAE"/>
    <w:rsid w:val="00F81A05"/>
    <w:rsid w:val="00F82395"/>
    <w:rsid w:val="00F828EC"/>
    <w:rsid w:val="00F8344E"/>
    <w:rsid w:val="00F839A5"/>
    <w:rsid w:val="00F84F3D"/>
    <w:rsid w:val="00F87D8F"/>
    <w:rsid w:val="00F87F56"/>
    <w:rsid w:val="00F91181"/>
    <w:rsid w:val="00F92CA9"/>
    <w:rsid w:val="00F9690A"/>
    <w:rsid w:val="00F97B2A"/>
    <w:rsid w:val="00FA23F7"/>
    <w:rsid w:val="00FA646D"/>
    <w:rsid w:val="00FA7CF6"/>
    <w:rsid w:val="00FB2D2E"/>
    <w:rsid w:val="00FC2881"/>
    <w:rsid w:val="00FC2CC1"/>
    <w:rsid w:val="00FC5576"/>
    <w:rsid w:val="00FC5600"/>
    <w:rsid w:val="00FC6C40"/>
    <w:rsid w:val="00FD224D"/>
    <w:rsid w:val="00FD6D91"/>
    <w:rsid w:val="00FE5D94"/>
    <w:rsid w:val="00FF5B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B6F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C32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2061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2061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295"/>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F91181"/>
    <w:rPr>
      <w:b/>
      <w:bCs/>
    </w:rPr>
  </w:style>
  <w:style w:type="character" w:styleId="Hyperlink">
    <w:name w:val="Hyperlink"/>
    <w:basedOn w:val="DefaultParagraphFont"/>
    <w:uiPriority w:val="99"/>
    <w:unhideWhenUsed/>
    <w:rsid w:val="0076350B"/>
    <w:rPr>
      <w:color w:val="0000FF"/>
      <w:u w:val="single"/>
    </w:rPr>
  </w:style>
  <w:style w:type="paragraph" w:styleId="BalloonText">
    <w:name w:val="Balloon Text"/>
    <w:basedOn w:val="Normal"/>
    <w:link w:val="BalloonTextChar"/>
    <w:uiPriority w:val="99"/>
    <w:semiHidden/>
    <w:unhideWhenUsed/>
    <w:rsid w:val="00492DE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92DE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F6FA6"/>
    <w:rPr>
      <w:sz w:val="16"/>
      <w:szCs w:val="16"/>
    </w:rPr>
  </w:style>
  <w:style w:type="paragraph" w:styleId="CommentText">
    <w:name w:val="annotation text"/>
    <w:basedOn w:val="Normal"/>
    <w:link w:val="CommentTextChar"/>
    <w:uiPriority w:val="99"/>
    <w:semiHidden/>
    <w:unhideWhenUsed/>
    <w:rsid w:val="006F6FA6"/>
    <w:pPr>
      <w:spacing w:line="240" w:lineRule="auto"/>
    </w:pPr>
    <w:rPr>
      <w:sz w:val="20"/>
      <w:szCs w:val="20"/>
    </w:rPr>
  </w:style>
  <w:style w:type="character" w:customStyle="1" w:styleId="CommentTextChar">
    <w:name w:val="Comment Text Char"/>
    <w:basedOn w:val="DefaultParagraphFont"/>
    <w:link w:val="CommentText"/>
    <w:uiPriority w:val="99"/>
    <w:semiHidden/>
    <w:rsid w:val="006F6FA6"/>
    <w:rPr>
      <w:sz w:val="20"/>
      <w:szCs w:val="20"/>
    </w:rPr>
  </w:style>
  <w:style w:type="paragraph" w:styleId="CommentSubject">
    <w:name w:val="annotation subject"/>
    <w:basedOn w:val="CommentText"/>
    <w:next w:val="CommentText"/>
    <w:link w:val="CommentSubjectChar"/>
    <w:uiPriority w:val="99"/>
    <w:semiHidden/>
    <w:unhideWhenUsed/>
    <w:rsid w:val="006F6FA6"/>
    <w:rPr>
      <w:b/>
      <w:bCs/>
    </w:rPr>
  </w:style>
  <w:style w:type="character" w:customStyle="1" w:styleId="CommentSubjectChar">
    <w:name w:val="Comment Subject Char"/>
    <w:basedOn w:val="CommentTextChar"/>
    <w:link w:val="CommentSubject"/>
    <w:uiPriority w:val="99"/>
    <w:semiHidden/>
    <w:rsid w:val="006F6FA6"/>
    <w:rPr>
      <w:b/>
      <w:bCs/>
      <w:sz w:val="20"/>
      <w:szCs w:val="20"/>
    </w:rPr>
  </w:style>
  <w:style w:type="paragraph" w:styleId="NormalWeb">
    <w:name w:val="Normal (Web)"/>
    <w:basedOn w:val="Normal"/>
    <w:uiPriority w:val="99"/>
    <w:semiHidden/>
    <w:unhideWhenUsed/>
    <w:rsid w:val="00605A61"/>
    <w:pPr>
      <w:spacing w:before="100" w:beforeAutospacing="1" w:after="100" w:afterAutospacing="1" w:line="240" w:lineRule="auto"/>
    </w:pPr>
    <w:rPr>
      <w:rFonts w:ascii="Times New Roman" w:hAnsi="Times New Roman" w:cs="Times New Roman"/>
      <w:sz w:val="24"/>
      <w:szCs w:val="24"/>
      <w:lang w:eastAsia="en-GB"/>
    </w:rPr>
  </w:style>
  <w:style w:type="character" w:customStyle="1" w:styleId="apple-converted-space">
    <w:name w:val="apple-converted-space"/>
    <w:basedOn w:val="DefaultParagraphFont"/>
    <w:rsid w:val="003D34D5"/>
  </w:style>
  <w:style w:type="paragraph" w:styleId="Revision">
    <w:name w:val="Revision"/>
    <w:hidden/>
    <w:uiPriority w:val="99"/>
    <w:semiHidden/>
    <w:rsid w:val="00771E79"/>
    <w:pPr>
      <w:spacing w:after="0" w:line="240" w:lineRule="auto"/>
    </w:pPr>
  </w:style>
  <w:style w:type="character" w:customStyle="1" w:styleId="Heading2Char">
    <w:name w:val="Heading 2 Char"/>
    <w:basedOn w:val="DefaultParagraphFont"/>
    <w:link w:val="Heading2"/>
    <w:uiPriority w:val="9"/>
    <w:rsid w:val="00C2061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20617"/>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97443E"/>
    <w:pPr>
      <w:ind w:left="720"/>
      <w:contextualSpacing/>
    </w:pPr>
  </w:style>
  <w:style w:type="character" w:styleId="LineNumber">
    <w:name w:val="line number"/>
    <w:basedOn w:val="DefaultParagraphFont"/>
    <w:uiPriority w:val="99"/>
    <w:semiHidden/>
    <w:unhideWhenUsed/>
    <w:rsid w:val="00D8107F"/>
  </w:style>
  <w:style w:type="paragraph" w:styleId="Footer">
    <w:name w:val="footer"/>
    <w:basedOn w:val="Normal"/>
    <w:link w:val="FooterChar"/>
    <w:uiPriority w:val="99"/>
    <w:unhideWhenUsed/>
    <w:rsid w:val="00C96C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6C38"/>
  </w:style>
  <w:style w:type="character" w:styleId="PageNumber">
    <w:name w:val="page number"/>
    <w:basedOn w:val="DefaultParagraphFont"/>
    <w:uiPriority w:val="99"/>
    <w:semiHidden/>
    <w:unhideWhenUsed/>
    <w:rsid w:val="00C96C38"/>
  </w:style>
  <w:style w:type="table" w:styleId="TableGrid">
    <w:name w:val="Table Grid"/>
    <w:basedOn w:val="TableNormal"/>
    <w:uiPriority w:val="59"/>
    <w:rsid w:val="000B1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A940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7276">
      <w:bodyDiv w:val="1"/>
      <w:marLeft w:val="0"/>
      <w:marRight w:val="0"/>
      <w:marTop w:val="0"/>
      <w:marBottom w:val="0"/>
      <w:divBdr>
        <w:top w:val="none" w:sz="0" w:space="0" w:color="auto"/>
        <w:left w:val="none" w:sz="0" w:space="0" w:color="auto"/>
        <w:bottom w:val="none" w:sz="0" w:space="0" w:color="auto"/>
        <w:right w:val="none" w:sz="0" w:space="0" w:color="auto"/>
      </w:divBdr>
    </w:div>
    <w:div w:id="88815342">
      <w:bodyDiv w:val="1"/>
      <w:marLeft w:val="0"/>
      <w:marRight w:val="0"/>
      <w:marTop w:val="0"/>
      <w:marBottom w:val="0"/>
      <w:divBdr>
        <w:top w:val="none" w:sz="0" w:space="0" w:color="auto"/>
        <w:left w:val="none" w:sz="0" w:space="0" w:color="auto"/>
        <w:bottom w:val="none" w:sz="0" w:space="0" w:color="auto"/>
        <w:right w:val="none" w:sz="0" w:space="0" w:color="auto"/>
      </w:divBdr>
    </w:div>
    <w:div w:id="104544962">
      <w:bodyDiv w:val="1"/>
      <w:marLeft w:val="0"/>
      <w:marRight w:val="0"/>
      <w:marTop w:val="0"/>
      <w:marBottom w:val="0"/>
      <w:divBdr>
        <w:top w:val="none" w:sz="0" w:space="0" w:color="auto"/>
        <w:left w:val="none" w:sz="0" w:space="0" w:color="auto"/>
        <w:bottom w:val="none" w:sz="0" w:space="0" w:color="auto"/>
        <w:right w:val="none" w:sz="0" w:space="0" w:color="auto"/>
      </w:divBdr>
    </w:div>
    <w:div w:id="125851514">
      <w:bodyDiv w:val="1"/>
      <w:marLeft w:val="0"/>
      <w:marRight w:val="0"/>
      <w:marTop w:val="0"/>
      <w:marBottom w:val="0"/>
      <w:divBdr>
        <w:top w:val="none" w:sz="0" w:space="0" w:color="auto"/>
        <w:left w:val="none" w:sz="0" w:space="0" w:color="auto"/>
        <w:bottom w:val="none" w:sz="0" w:space="0" w:color="auto"/>
        <w:right w:val="none" w:sz="0" w:space="0" w:color="auto"/>
      </w:divBdr>
    </w:div>
    <w:div w:id="529145487">
      <w:bodyDiv w:val="1"/>
      <w:marLeft w:val="0"/>
      <w:marRight w:val="0"/>
      <w:marTop w:val="0"/>
      <w:marBottom w:val="0"/>
      <w:divBdr>
        <w:top w:val="none" w:sz="0" w:space="0" w:color="auto"/>
        <w:left w:val="none" w:sz="0" w:space="0" w:color="auto"/>
        <w:bottom w:val="none" w:sz="0" w:space="0" w:color="auto"/>
        <w:right w:val="none" w:sz="0" w:space="0" w:color="auto"/>
      </w:divBdr>
    </w:div>
    <w:div w:id="563486033">
      <w:bodyDiv w:val="1"/>
      <w:marLeft w:val="0"/>
      <w:marRight w:val="0"/>
      <w:marTop w:val="0"/>
      <w:marBottom w:val="0"/>
      <w:divBdr>
        <w:top w:val="none" w:sz="0" w:space="0" w:color="auto"/>
        <w:left w:val="none" w:sz="0" w:space="0" w:color="auto"/>
        <w:bottom w:val="none" w:sz="0" w:space="0" w:color="auto"/>
        <w:right w:val="none" w:sz="0" w:space="0" w:color="auto"/>
      </w:divBdr>
    </w:div>
    <w:div w:id="706952347">
      <w:bodyDiv w:val="1"/>
      <w:marLeft w:val="0"/>
      <w:marRight w:val="0"/>
      <w:marTop w:val="0"/>
      <w:marBottom w:val="0"/>
      <w:divBdr>
        <w:top w:val="none" w:sz="0" w:space="0" w:color="auto"/>
        <w:left w:val="none" w:sz="0" w:space="0" w:color="auto"/>
        <w:bottom w:val="none" w:sz="0" w:space="0" w:color="auto"/>
        <w:right w:val="none" w:sz="0" w:space="0" w:color="auto"/>
      </w:divBdr>
    </w:div>
    <w:div w:id="831944444">
      <w:bodyDiv w:val="1"/>
      <w:marLeft w:val="0"/>
      <w:marRight w:val="0"/>
      <w:marTop w:val="0"/>
      <w:marBottom w:val="0"/>
      <w:divBdr>
        <w:top w:val="none" w:sz="0" w:space="0" w:color="auto"/>
        <w:left w:val="none" w:sz="0" w:space="0" w:color="auto"/>
        <w:bottom w:val="none" w:sz="0" w:space="0" w:color="auto"/>
        <w:right w:val="none" w:sz="0" w:space="0" w:color="auto"/>
      </w:divBdr>
    </w:div>
    <w:div w:id="1264915309">
      <w:bodyDiv w:val="1"/>
      <w:marLeft w:val="0"/>
      <w:marRight w:val="0"/>
      <w:marTop w:val="0"/>
      <w:marBottom w:val="0"/>
      <w:divBdr>
        <w:top w:val="none" w:sz="0" w:space="0" w:color="auto"/>
        <w:left w:val="none" w:sz="0" w:space="0" w:color="auto"/>
        <w:bottom w:val="none" w:sz="0" w:space="0" w:color="auto"/>
        <w:right w:val="none" w:sz="0" w:space="0" w:color="auto"/>
      </w:divBdr>
      <w:divsChild>
        <w:div w:id="140004349">
          <w:marLeft w:val="0"/>
          <w:marRight w:val="0"/>
          <w:marTop w:val="0"/>
          <w:marBottom w:val="0"/>
          <w:divBdr>
            <w:top w:val="none" w:sz="0" w:space="0" w:color="auto"/>
            <w:left w:val="none" w:sz="0" w:space="0" w:color="auto"/>
            <w:bottom w:val="none" w:sz="0" w:space="0" w:color="auto"/>
            <w:right w:val="none" w:sz="0" w:space="0" w:color="auto"/>
          </w:divBdr>
          <w:divsChild>
            <w:div w:id="859397911">
              <w:marLeft w:val="0"/>
              <w:marRight w:val="0"/>
              <w:marTop w:val="0"/>
              <w:marBottom w:val="0"/>
              <w:divBdr>
                <w:top w:val="none" w:sz="0" w:space="0" w:color="auto"/>
                <w:left w:val="none" w:sz="0" w:space="0" w:color="auto"/>
                <w:bottom w:val="none" w:sz="0" w:space="0" w:color="auto"/>
                <w:right w:val="none" w:sz="0" w:space="0" w:color="auto"/>
              </w:divBdr>
              <w:divsChild>
                <w:div w:id="1960839557">
                  <w:marLeft w:val="0"/>
                  <w:marRight w:val="0"/>
                  <w:marTop w:val="0"/>
                  <w:marBottom w:val="0"/>
                  <w:divBdr>
                    <w:top w:val="none" w:sz="0" w:space="0" w:color="auto"/>
                    <w:left w:val="none" w:sz="0" w:space="0" w:color="auto"/>
                    <w:bottom w:val="none" w:sz="0" w:space="0" w:color="auto"/>
                    <w:right w:val="none" w:sz="0" w:space="0" w:color="auto"/>
                  </w:divBdr>
                  <w:divsChild>
                    <w:div w:id="166442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477200">
      <w:bodyDiv w:val="1"/>
      <w:marLeft w:val="0"/>
      <w:marRight w:val="0"/>
      <w:marTop w:val="0"/>
      <w:marBottom w:val="0"/>
      <w:divBdr>
        <w:top w:val="none" w:sz="0" w:space="0" w:color="auto"/>
        <w:left w:val="none" w:sz="0" w:space="0" w:color="auto"/>
        <w:bottom w:val="none" w:sz="0" w:space="0" w:color="auto"/>
        <w:right w:val="none" w:sz="0" w:space="0" w:color="auto"/>
      </w:divBdr>
    </w:div>
    <w:div w:id="1451318660">
      <w:bodyDiv w:val="1"/>
      <w:marLeft w:val="0"/>
      <w:marRight w:val="0"/>
      <w:marTop w:val="0"/>
      <w:marBottom w:val="0"/>
      <w:divBdr>
        <w:top w:val="none" w:sz="0" w:space="0" w:color="auto"/>
        <w:left w:val="none" w:sz="0" w:space="0" w:color="auto"/>
        <w:bottom w:val="none" w:sz="0" w:space="0" w:color="auto"/>
        <w:right w:val="none" w:sz="0" w:space="0" w:color="auto"/>
      </w:divBdr>
    </w:div>
    <w:div w:id="1468863264">
      <w:bodyDiv w:val="1"/>
      <w:marLeft w:val="0"/>
      <w:marRight w:val="0"/>
      <w:marTop w:val="0"/>
      <w:marBottom w:val="0"/>
      <w:divBdr>
        <w:top w:val="none" w:sz="0" w:space="0" w:color="auto"/>
        <w:left w:val="none" w:sz="0" w:space="0" w:color="auto"/>
        <w:bottom w:val="none" w:sz="0" w:space="0" w:color="auto"/>
        <w:right w:val="none" w:sz="0" w:space="0" w:color="auto"/>
      </w:divBdr>
    </w:div>
    <w:div w:id="1471552363">
      <w:bodyDiv w:val="1"/>
      <w:marLeft w:val="0"/>
      <w:marRight w:val="0"/>
      <w:marTop w:val="0"/>
      <w:marBottom w:val="0"/>
      <w:divBdr>
        <w:top w:val="none" w:sz="0" w:space="0" w:color="auto"/>
        <w:left w:val="none" w:sz="0" w:space="0" w:color="auto"/>
        <w:bottom w:val="none" w:sz="0" w:space="0" w:color="auto"/>
        <w:right w:val="none" w:sz="0" w:space="0" w:color="auto"/>
      </w:divBdr>
    </w:div>
    <w:div w:id="1538542799">
      <w:bodyDiv w:val="1"/>
      <w:marLeft w:val="0"/>
      <w:marRight w:val="0"/>
      <w:marTop w:val="0"/>
      <w:marBottom w:val="0"/>
      <w:divBdr>
        <w:top w:val="none" w:sz="0" w:space="0" w:color="auto"/>
        <w:left w:val="none" w:sz="0" w:space="0" w:color="auto"/>
        <w:bottom w:val="none" w:sz="0" w:space="0" w:color="auto"/>
        <w:right w:val="none" w:sz="0" w:space="0" w:color="auto"/>
      </w:divBdr>
    </w:div>
    <w:div w:id="1783838850">
      <w:bodyDiv w:val="1"/>
      <w:marLeft w:val="0"/>
      <w:marRight w:val="0"/>
      <w:marTop w:val="0"/>
      <w:marBottom w:val="0"/>
      <w:divBdr>
        <w:top w:val="none" w:sz="0" w:space="0" w:color="auto"/>
        <w:left w:val="none" w:sz="0" w:space="0" w:color="auto"/>
        <w:bottom w:val="none" w:sz="0" w:space="0" w:color="auto"/>
        <w:right w:val="none" w:sz="0" w:space="0" w:color="auto"/>
      </w:divBdr>
    </w:div>
    <w:div w:id="1851288951">
      <w:bodyDiv w:val="1"/>
      <w:marLeft w:val="0"/>
      <w:marRight w:val="0"/>
      <w:marTop w:val="0"/>
      <w:marBottom w:val="0"/>
      <w:divBdr>
        <w:top w:val="none" w:sz="0" w:space="0" w:color="auto"/>
        <w:left w:val="none" w:sz="0" w:space="0" w:color="auto"/>
        <w:bottom w:val="none" w:sz="0" w:space="0" w:color="auto"/>
        <w:right w:val="none" w:sz="0" w:space="0" w:color="auto"/>
      </w:divBdr>
    </w:div>
    <w:div w:id="1855224163">
      <w:bodyDiv w:val="1"/>
      <w:marLeft w:val="0"/>
      <w:marRight w:val="0"/>
      <w:marTop w:val="0"/>
      <w:marBottom w:val="0"/>
      <w:divBdr>
        <w:top w:val="none" w:sz="0" w:space="0" w:color="auto"/>
        <w:left w:val="none" w:sz="0" w:space="0" w:color="auto"/>
        <w:bottom w:val="none" w:sz="0" w:space="0" w:color="auto"/>
        <w:right w:val="none" w:sz="0" w:space="0" w:color="auto"/>
      </w:divBdr>
    </w:div>
    <w:div w:id="1888763840">
      <w:bodyDiv w:val="1"/>
      <w:marLeft w:val="0"/>
      <w:marRight w:val="0"/>
      <w:marTop w:val="0"/>
      <w:marBottom w:val="0"/>
      <w:divBdr>
        <w:top w:val="none" w:sz="0" w:space="0" w:color="auto"/>
        <w:left w:val="none" w:sz="0" w:space="0" w:color="auto"/>
        <w:bottom w:val="none" w:sz="0" w:space="0" w:color="auto"/>
        <w:right w:val="none" w:sz="0" w:space="0" w:color="auto"/>
      </w:divBdr>
    </w:div>
    <w:div w:id="1937060551">
      <w:bodyDiv w:val="1"/>
      <w:marLeft w:val="0"/>
      <w:marRight w:val="0"/>
      <w:marTop w:val="0"/>
      <w:marBottom w:val="0"/>
      <w:divBdr>
        <w:top w:val="none" w:sz="0" w:space="0" w:color="auto"/>
        <w:left w:val="none" w:sz="0" w:space="0" w:color="auto"/>
        <w:bottom w:val="none" w:sz="0" w:space="0" w:color="auto"/>
        <w:right w:val="none" w:sz="0" w:space="0" w:color="auto"/>
      </w:divBdr>
      <w:divsChild>
        <w:div w:id="1774857812">
          <w:marLeft w:val="0"/>
          <w:marRight w:val="0"/>
          <w:marTop w:val="0"/>
          <w:marBottom w:val="0"/>
          <w:divBdr>
            <w:top w:val="none" w:sz="0" w:space="0" w:color="auto"/>
            <w:left w:val="none" w:sz="0" w:space="0" w:color="auto"/>
            <w:bottom w:val="none" w:sz="0" w:space="0" w:color="auto"/>
            <w:right w:val="none" w:sz="0" w:space="0" w:color="auto"/>
          </w:divBdr>
          <w:divsChild>
            <w:div w:id="115417653">
              <w:marLeft w:val="0"/>
              <w:marRight w:val="0"/>
              <w:marTop w:val="0"/>
              <w:marBottom w:val="0"/>
              <w:divBdr>
                <w:top w:val="none" w:sz="0" w:space="0" w:color="auto"/>
                <w:left w:val="none" w:sz="0" w:space="0" w:color="auto"/>
                <w:bottom w:val="none" w:sz="0" w:space="0" w:color="auto"/>
                <w:right w:val="none" w:sz="0" w:space="0" w:color="auto"/>
              </w:divBdr>
              <w:divsChild>
                <w:div w:id="41442741">
                  <w:marLeft w:val="0"/>
                  <w:marRight w:val="0"/>
                  <w:marTop w:val="0"/>
                  <w:marBottom w:val="0"/>
                  <w:divBdr>
                    <w:top w:val="none" w:sz="0" w:space="0" w:color="auto"/>
                    <w:left w:val="none" w:sz="0" w:space="0" w:color="auto"/>
                    <w:bottom w:val="none" w:sz="0" w:space="0" w:color="auto"/>
                    <w:right w:val="none" w:sz="0" w:space="0" w:color="auto"/>
                  </w:divBdr>
                  <w:divsChild>
                    <w:div w:id="127428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13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sharma@imperial.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05353E0-E630-4743-A38E-32036E9C0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17473</Words>
  <Characters>99597</Characters>
  <Application>Microsoft Office Word</Application>
  <DocSecurity>0</DocSecurity>
  <Lines>829</Lines>
  <Paragraphs>233</Paragraphs>
  <ScaleCrop>false</ScaleCrop>
  <HeadingPairs>
    <vt:vector size="2" baseType="variant">
      <vt:variant>
        <vt:lpstr>Title</vt:lpstr>
      </vt:variant>
      <vt:variant>
        <vt:i4>1</vt:i4>
      </vt:variant>
    </vt:vector>
  </HeadingPairs>
  <TitlesOfParts>
    <vt:vector size="1" baseType="lpstr">
      <vt:lpstr/>
    </vt:vector>
  </TitlesOfParts>
  <Company>Imperial College Healthcare NHS Trust</Company>
  <LinksUpToDate>false</LinksUpToDate>
  <CharactersWithSpaces>116837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Singh, Amal</dc:creator>
  <cp:lastModifiedBy>BKY</cp:lastModifiedBy>
  <cp:revision>2</cp:revision>
  <dcterms:created xsi:type="dcterms:W3CDTF">2018-09-30T17:00:00Z</dcterms:created>
  <dcterms:modified xsi:type="dcterms:W3CDTF">2018-09-30T17:00:00Z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http://www.zotero.org/styles/ama</vt:lpwstr>
  </property>
  <property fmtid="{D5CDD505-2E9C-101B-9397-08002B2CF9AE}" pid="3" name="Mendeley Recent Style Name 0_1">
    <vt:lpwstr>American Medical Association</vt:lpwstr>
  </property>
  <property fmtid="{D5CDD505-2E9C-101B-9397-08002B2CF9AE}" pid="4" name="Mendeley Recent Style Id 1_1">
    <vt:lpwstr>http://www.zotero.org/styles/apsa</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http://www.zotero.org/styles/asa</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http://www.zotero.org/styles/mhra</vt:lpwstr>
  </property>
  <property fmtid="{D5CDD505-2E9C-101B-9397-08002B2CF9AE}" pid="17" name="Mendeley Recent Style Name 7_1">
    <vt:lpwstr>Modern Humanities Research Association (Note with Bibliography)</vt:lpwstr>
  </property>
  <property fmtid="{D5CDD505-2E9C-101B-9397-08002B2CF9AE}" pid="18" name="Mendeley Recent Style Id 8_1">
    <vt:lpwstr>http://www.zotero.org/styles/mla</vt:lpwstr>
  </property>
  <property fmtid="{D5CDD505-2E9C-101B-9397-08002B2CF9AE}" pid="19" name="Mendeley Recent Style Name 8_1">
    <vt:lpwstr>Modern Language Association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http://www.zotero.org/styles/nature</vt:lpwstr>
  </property>
  <property fmtid="{D5CDD505-2E9C-101B-9397-08002B2CF9AE}" pid="24" name="Mendeley Unique User Id_1">
    <vt:lpwstr>49ae3d35-9c5b-3cd2-b5fa-34d469890837</vt:lpwstr>
  </property>
</Properties>
</file>