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1FA1BEF" w14:textId="77777777" w:rsidR="004F3474" w:rsidRPr="00836F12" w:rsidRDefault="004F3474">
      <w:pPr>
        <w:rPr>
          <w:b/>
        </w:rPr>
      </w:pPr>
      <w:bookmarkStart w:id="0" w:name="_GoBack"/>
      <w:bookmarkEnd w:id="0"/>
    </w:p>
    <w:p w14:paraId="330E70BF" w14:textId="1F6A0D1F" w:rsidR="004F3474" w:rsidRDefault="00450573" w:rsidP="00E72909">
      <w:pPr>
        <w:spacing w:line="480" w:lineRule="auto"/>
        <w:jc w:val="center"/>
        <w:rPr>
          <w:b/>
        </w:rPr>
      </w:pPr>
      <w:r>
        <w:rPr>
          <w:b/>
        </w:rPr>
        <w:t>LDL Cholesterol Lowering with Evolocumab and Outcomes in Patients with Peripheral Artery Disease: Insights from the FOURIER Trial</w:t>
      </w:r>
    </w:p>
    <w:p w14:paraId="4C082FD2" w14:textId="24FE64AC" w:rsidR="003C7F42" w:rsidRDefault="004F3474" w:rsidP="003C7F42">
      <w:pPr>
        <w:spacing w:line="480" w:lineRule="auto"/>
        <w:jc w:val="center"/>
      </w:pPr>
      <w:r w:rsidRPr="005077FA">
        <w:t xml:space="preserve">Short Title: </w:t>
      </w:r>
      <w:r w:rsidR="00450573">
        <w:t>LDL Lowering in Patients with PAD</w:t>
      </w:r>
    </w:p>
    <w:p w14:paraId="711F5C5C" w14:textId="6EE49E53" w:rsidR="003C7F42" w:rsidRDefault="004F3474" w:rsidP="00102573">
      <w:pPr>
        <w:spacing w:line="480" w:lineRule="auto"/>
        <w:jc w:val="center"/>
      </w:pPr>
      <w:r w:rsidRPr="005077FA">
        <w:br/>
      </w:r>
      <w:r w:rsidR="003C7F42" w:rsidRPr="00B67EC4">
        <w:t>Marc P. Bonaca</w:t>
      </w:r>
      <w:r w:rsidR="00E55F98">
        <w:t>, M.D., M.P.H.</w:t>
      </w:r>
      <w:r w:rsidR="00E55F98">
        <w:rPr>
          <w:vertAlign w:val="superscript"/>
        </w:rPr>
        <w:t>1</w:t>
      </w:r>
      <w:r w:rsidR="003C7F42" w:rsidRPr="00B67EC4">
        <w:t xml:space="preserve">, </w:t>
      </w:r>
      <w:r w:rsidR="00450573">
        <w:t xml:space="preserve">Patrice </w:t>
      </w:r>
      <w:proofErr w:type="spellStart"/>
      <w:r w:rsidR="00450573">
        <w:t>Nault</w:t>
      </w:r>
      <w:proofErr w:type="spellEnd"/>
      <w:r w:rsidR="00E55F98">
        <w:t>, M.D.</w:t>
      </w:r>
      <w:r w:rsidR="00E55F98">
        <w:rPr>
          <w:vertAlign w:val="superscript"/>
        </w:rPr>
        <w:t>2</w:t>
      </w:r>
      <w:r w:rsidR="00B1523C">
        <w:t xml:space="preserve">, </w:t>
      </w:r>
      <w:r w:rsidR="00450573">
        <w:t>Robert P. Giugliano</w:t>
      </w:r>
      <w:r w:rsidR="00E55F98">
        <w:t>, M.D.</w:t>
      </w:r>
      <w:r w:rsidR="003C7F42" w:rsidRPr="00AA2E22">
        <w:rPr>
          <w:sz w:val="20"/>
          <w:szCs w:val="20"/>
          <w:vertAlign w:val="superscript"/>
        </w:rPr>
        <w:t xml:space="preserve"> </w:t>
      </w:r>
      <w:r w:rsidR="00E55F98">
        <w:rPr>
          <w:sz w:val="20"/>
          <w:szCs w:val="20"/>
          <w:vertAlign w:val="superscript"/>
        </w:rPr>
        <w:t>1</w:t>
      </w:r>
      <w:r w:rsidR="003C7F42">
        <w:t xml:space="preserve">, </w:t>
      </w:r>
      <w:r w:rsidR="00450573">
        <w:t>Anthony C. Keech</w:t>
      </w:r>
      <w:r w:rsidR="00E55F98">
        <w:t>, M.D.</w:t>
      </w:r>
      <w:r w:rsidR="00E55F98">
        <w:rPr>
          <w:vertAlign w:val="superscript"/>
        </w:rPr>
        <w:t>3</w:t>
      </w:r>
      <w:r w:rsidR="003C7F42">
        <w:t>,</w:t>
      </w:r>
      <w:r w:rsidR="003C7F42" w:rsidRPr="00B67EC4">
        <w:t xml:space="preserve"> </w:t>
      </w:r>
      <w:r w:rsidR="00450573">
        <w:t>Armando Lira Pineda</w:t>
      </w:r>
      <w:r w:rsidR="00E55F98">
        <w:t>, M.D.</w:t>
      </w:r>
      <w:r w:rsidR="00E55F98">
        <w:rPr>
          <w:sz w:val="20"/>
          <w:szCs w:val="20"/>
          <w:vertAlign w:val="superscript"/>
        </w:rPr>
        <w:t>4</w:t>
      </w:r>
      <w:r w:rsidR="003C7F42" w:rsidRPr="00B67EC4">
        <w:t xml:space="preserve">, </w:t>
      </w:r>
      <w:r w:rsidR="00450573">
        <w:t xml:space="preserve">Estella </w:t>
      </w:r>
      <w:proofErr w:type="spellStart"/>
      <w:r w:rsidR="00450573">
        <w:t>Kanevsky</w:t>
      </w:r>
      <w:proofErr w:type="spellEnd"/>
      <w:r w:rsidR="00E55F98">
        <w:t>, B.S.</w:t>
      </w:r>
      <w:r w:rsidR="00E55F98">
        <w:rPr>
          <w:vertAlign w:val="superscript"/>
        </w:rPr>
        <w:t>1</w:t>
      </w:r>
      <w:r w:rsidR="00450573">
        <w:t xml:space="preserve">, </w:t>
      </w:r>
      <w:r w:rsidR="003C7F42">
        <w:t xml:space="preserve">Julia </w:t>
      </w:r>
      <w:proofErr w:type="spellStart"/>
      <w:r w:rsidR="003C7F42">
        <w:t>Kuder</w:t>
      </w:r>
      <w:proofErr w:type="spellEnd"/>
      <w:r w:rsidR="00E55F98">
        <w:t>, M.A.</w:t>
      </w:r>
      <w:r w:rsidR="00E55F98">
        <w:rPr>
          <w:vertAlign w:val="superscript"/>
        </w:rPr>
        <w:t>1</w:t>
      </w:r>
      <w:r w:rsidR="003C7F42">
        <w:t xml:space="preserve">, </w:t>
      </w:r>
      <w:r w:rsidR="00450573">
        <w:t>Sabina A. Murphy</w:t>
      </w:r>
      <w:r w:rsidR="00E55F98">
        <w:t>, M.P.H.</w:t>
      </w:r>
      <w:r w:rsidR="00E55F98">
        <w:rPr>
          <w:vertAlign w:val="superscript"/>
        </w:rPr>
        <w:t>1</w:t>
      </w:r>
      <w:r w:rsidR="00102573">
        <w:t xml:space="preserve">, </w:t>
      </w:r>
      <w:r w:rsidR="00450573">
        <w:t xml:space="preserve">J. </w:t>
      </w:r>
      <w:proofErr w:type="spellStart"/>
      <w:r w:rsidR="00450573">
        <w:t>Wouter</w:t>
      </w:r>
      <w:proofErr w:type="spellEnd"/>
      <w:r w:rsidR="00450573">
        <w:t xml:space="preserve"> </w:t>
      </w:r>
      <w:proofErr w:type="spellStart"/>
      <w:r w:rsidR="00450573">
        <w:t>Jukema</w:t>
      </w:r>
      <w:proofErr w:type="spellEnd"/>
      <w:r w:rsidR="00E55F98">
        <w:t>, M.D., Ph.D.</w:t>
      </w:r>
      <w:r w:rsidR="00E55F98">
        <w:rPr>
          <w:vertAlign w:val="superscript"/>
        </w:rPr>
        <w:t>5</w:t>
      </w:r>
      <w:r w:rsidR="00102573">
        <w:t xml:space="preserve">, </w:t>
      </w:r>
      <w:r w:rsidR="00450573">
        <w:t>Basil S. Lew</w:t>
      </w:r>
      <w:r w:rsidR="003112D9">
        <w:t>i</w:t>
      </w:r>
      <w:r w:rsidR="00450573">
        <w:t>s</w:t>
      </w:r>
      <w:r w:rsidR="00E55F98">
        <w:t>, M.D.</w:t>
      </w:r>
      <w:r w:rsidR="00E55F98">
        <w:rPr>
          <w:vertAlign w:val="superscript"/>
        </w:rPr>
        <w:t>6</w:t>
      </w:r>
      <w:r w:rsidR="00102573">
        <w:t xml:space="preserve">, </w:t>
      </w:r>
      <w:proofErr w:type="spellStart"/>
      <w:r w:rsidR="00450573">
        <w:t>Lale</w:t>
      </w:r>
      <w:proofErr w:type="spellEnd"/>
      <w:r w:rsidR="00450573">
        <w:t xml:space="preserve"> </w:t>
      </w:r>
      <w:proofErr w:type="spellStart"/>
      <w:r w:rsidR="00450573">
        <w:t>Tokgozoglu</w:t>
      </w:r>
      <w:proofErr w:type="spellEnd"/>
      <w:r w:rsidR="00E55F98">
        <w:t>, M.D.</w:t>
      </w:r>
      <w:r w:rsidR="00E55F98">
        <w:rPr>
          <w:vertAlign w:val="superscript"/>
        </w:rPr>
        <w:t>7</w:t>
      </w:r>
      <w:r w:rsidR="00102573">
        <w:t xml:space="preserve">, </w:t>
      </w:r>
      <w:proofErr w:type="spellStart"/>
      <w:r w:rsidR="00450573">
        <w:t>Ransi</w:t>
      </w:r>
      <w:proofErr w:type="spellEnd"/>
      <w:r w:rsidR="00450573">
        <w:t xml:space="preserve"> </w:t>
      </w:r>
      <w:proofErr w:type="spellStart"/>
      <w:r w:rsidR="00450573">
        <w:t>Somaratne</w:t>
      </w:r>
      <w:proofErr w:type="spellEnd"/>
      <w:r w:rsidR="00E55F98">
        <w:t>, M.D.</w:t>
      </w:r>
      <w:r w:rsidR="00E55F98">
        <w:rPr>
          <w:vertAlign w:val="superscript"/>
        </w:rPr>
        <w:t>8</w:t>
      </w:r>
      <w:r w:rsidR="00450573">
        <w:t>, Peter S. Sever</w:t>
      </w:r>
      <w:r w:rsidR="00E55F98">
        <w:t>, Ph.D.</w:t>
      </w:r>
      <w:r w:rsidR="00E55F98">
        <w:rPr>
          <w:vertAlign w:val="superscript"/>
        </w:rPr>
        <w:t>9</w:t>
      </w:r>
      <w:r w:rsidR="00450573">
        <w:t xml:space="preserve">, </w:t>
      </w:r>
      <w:proofErr w:type="spellStart"/>
      <w:r w:rsidR="00450573">
        <w:t>Terje</w:t>
      </w:r>
      <w:proofErr w:type="spellEnd"/>
      <w:r w:rsidR="00450573">
        <w:t xml:space="preserve"> R. Pedersen</w:t>
      </w:r>
      <w:r w:rsidR="00E55F98">
        <w:t>, M.D.</w:t>
      </w:r>
      <w:r w:rsidR="00E55F98">
        <w:rPr>
          <w:vertAlign w:val="superscript"/>
        </w:rPr>
        <w:t>10</w:t>
      </w:r>
      <w:r w:rsidR="00102573">
        <w:t xml:space="preserve">, </w:t>
      </w:r>
      <w:r w:rsidR="003C7F42" w:rsidRPr="00B67EC4">
        <w:t>Marc S. Sabatine</w:t>
      </w:r>
      <w:r w:rsidR="00E55F98">
        <w:t>, M.D., M.P.H.</w:t>
      </w:r>
      <w:r w:rsidR="00E55F98">
        <w:rPr>
          <w:vertAlign w:val="superscript"/>
        </w:rPr>
        <w:t>1</w:t>
      </w:r>
      <w:r w:rsidR="003C7F42" w:rsidRPr="005077FA">
        <w:br/>
      </w:r>
    </w:p>
    <w:p w14:paraId="5B2723CA" w14:textId="77008A7C" w:rsidR="003C7F42" w:rsidRPr="00DC12B2" w:rsidRDefault="00631A34" w:rsidP="003C7F42">
      <w:pPr>
        <w:rPr>
          <w:sz w:val="20"/>
          <w:szCs w:val="20"/>
        </w:rPr>
      </w:pPr>
      <w:r>
        <w:rPr>
          <w:vertAlign w:val="superscript"/>
        </w:rPr>
        <w:t>1</w:t>
      </w:r>
      <w:r w:rsidR="003C7F42" w:rsidRPr="00DC12B2">
        <w:rPr>
          <w:sz w:val="20"/>
          <w:szCs w:val="20"/>
        </w:rPr>
        <w:t>TIMI Study Group, Brigham and Women’s Hospital Heart &amp; Vascular Center</w:t>
      </w:r>
      <w:r w:rsidR="003C7F42">
        <w:rPr>
          <w:sz w:val="20"/>
          <w:szCs w:val="20"/>
        </w:rPr>
        <w:t xml:space="preserve">, </w:t>
      </w:r>
      <w:r w:rsidR="003C7F42" w:rsidRPr="00DC12B2">
        <w:rPr>
          <w:sz w:val="20"/>
          <w:szCs w:val="20"/>
        </w:rPr>
        <w:t xml:space="preserve">Boston, MA </w:t>
      </w:r>
      <w:r w:rsidR="003C7F42">
        <w:rPr>
          <w:sz w:val="20"/>
          <w:szCs w:val="20"/>
        </w:rPr>
        <w:t>USA</w:t>
      </w:r>
    </w:p>
    <w:p w14:paraId="0794EBA8" w14:textId="6E6101FF" w:rsidR="003C7F42" w:rsidRDefault="00631A34" w:rsidP="00CF23E8">
      <w:pPr>
        <w:rPr>
          <w:sz w:val="20"/>
          <w:szCs w:val="20"/>
        </w:rPr>
      </w:pPr>
      <w:r>
        <w:rPr>
          <w:sz w:val="20"/>
          <w:szCs w:val="20"/>
          <w:vertAlign w:val="superscript"/>
        </w:rPr>
        <w:t>2</w:t>
      </w:r>
      <w:r w:rsidR="00CF23E8" w:rsidRPr="00CF23E8">
        <w:rPr>
          <w:sz w:val="20"/>
          <w:szCs w:val="20"/>
        </w:rPr>
        <w:t>McGill University, Montreal, Quebec, Canada</w:t>
      </w:r>
      <w:r w:rsidR="00CF23E8">
        <w:rPr>
          <w:sz w:val="20"/>
          <w:szCs w:val="20"/>
        </w:rPr>
        <w:t xml:space="preserve">, </w:t>
      </w:r>
      <w:r w:rsidR="00CF23E8" w:rsidRPr="00CF23E8">
        <w:rPr>
          <w:sz w:val="20"/>
          <w:szCs w:val="20"/>
        </w:rPr>
        <w:t>Division of Vascular and Endovascular Surgery, CISSSO, Gatineau, Quebec, Canada</w:t>
      </w:r>
    </w:p>
    <w:p w14:paraId="77213563" w14:textId="1E3C6AA6" w:rsidR="003C7F42" w:rsidRPr="00CF23E8" w:rsidRDefault="00631A34" w:rsidP="003C7F42">
      <w:pPr>
        <w:rPr>
          <w:sz w:val="20"/>
          <w:szCs w:val="20"/>
        </w:rPr>
      </w:pPr>
      <w:r>
        <w:rPr>
          <w:sz w:val="20"/>
          <w:szCs w:val="20"/>
          <w:vertAlign w:val="superscript"/>
          <w:lang w:val="fr-FR"/>
        </w:rPr>
        <w:t>3</w:t>
      </w:r>
      <w:r w:rsidR="00CF23E8" w:rsidRPr="00CF23E8">
        <w:rPr>
          <w:sz w:val="20"/>
          <w:szCs w:val="20"/>
          <w:lang w:val="fr-FR"/>
        </w:rPr>
        <w:t xml:space="preserve">Sydney </w:t>
      </w:r>
      <w:proofErr w:type="spellStart"/>
      <w:r w:rsidR="00CF23E8" w:rsidRPr="00CF23E8">
        <w:rPr>
          <w:sz w:val="20"/>
          <w:szCs w:val="20"/>
          <w:lang w:val="fr-FR"/>
        </w:rPr>
        <w:t>Medical</w:t>
      </w:r>
      <w:proofErr w:type="spellEnd"/>
      <w:r w:rsidR="00CF23E8" w:rsidRPr="00CF23E8">
        <w:rPr>
          <w:sz w:val="20"/>
          <w:szCs w:val="20"/>
          <w:lang w:val="fr-FR"/>
        </w:rPr>
        <w:t xml:space="preserve"> </w:t>
      </w:r>
      <w:proofErr w:type="spellStart"/>
      <w:r w:rsidR="00CF23E8" w:rsidRPr="00CF23E8">
        <w:rPr>
          <w:sz w:val="20"/>
          <w:szCs w:val="20"/>
          <w:lang w:val="fr-FR"/>
        </w:rPr>
        <w:t>School</w:t>
      </w:r>
      <w:proofErr w:type="spellEnd"/>
      <w:r w:rsidR="00CF23E8" w:rsidRPr="00CF23E8">
        <w:rPr>
          <w:sz w:val="20"/>
          <w:szCs w:val="20"/>
          <w:lang w:val="fr-FR"/>
        </w:rPr>
        <w:t xml:space="preserve">, NHMRC </w:t>
      </w:r>
      <w:proofErr w:type="spellStart"/>
      <w:r w:rsidR="00CF23E8" w:rsidRPr="00CF23E8">
        <w:rPr>
          <w:sz w:val="20"/>
          <w:szCs w:val="20"/>
          <w:lang w:val="fr-FR"/>
        </w:rPr>
        <w:t>Clinical</w:t>
      </w:r>
      <w:proofErr w:type="spellEnd"/>
      <w:r w:rsidR="00CF23E8" w:rsidRPr="00CF23E8">
        <w:rPr>
          <w:sz w:val="20"/>
          <w:szCs w:val="20"/>
          <w:lang w:val="fr-FR"/>
        </w:rPr>
        <w:t xml:space="preserve"> Trials Centre, </w:t>
      </w:r>
      <w:proofErr w:type="spellStart"/>
      <w:r w:rsidR="00CF23E8" w:rsidRPr="00CF23E8">
        <w:rPr>
          <w:sz w:val="20"/>
          <w:szCs w:val="20"/>
          <w:lang w:val="fr-FR"/>
        </w:rPr>
        <w:t>University</w:t>
      </w:r>
      <w:proofErr w:type="spellEnd"/>
      <w:r w:rsidR="00CF23E8" w:rsidRPr="00CF23E8">
        <w:rPr>
          <w:sz w:val="20"/>
          <w:szCs w:val="20"/>
          <w:lang w:val="fr-FR"/>
        </w:rPr>
        <w:t xml:space="preserve"> of Sydney, Sydney, NSW, </w:t>
      </w:r>
      <w:proofErr w:type="spellStart"/>
      <w:r w:rsidR="00CF23E8" w:rsidRPr="00CF23E8">
        <w:rPr>
          <w:sz w:val="20"/>
          <w:szCs w:val="20"/>
          <w:lang w:val="fr-FR"/>
        </w:rPr>
        <w:t>Australia</w:t>
      </w:r>
      <w:proofErr w:type="spellEnd"/>
    </w:p>
    <w:p w14:paraId="500A215B" w14:textId="79688A6B" w:rsidR="003C7F42" w:rsidRDefault="00631A34" w:rsidP="003C7F42">
      <w:pPr>
        <w:rPr>
          <w:sz w:val="20"/>
          <w:szCs w:val="20"/>
        </w:rPr>
      </w:pPr>
      <w:r>
        <w:rPr>
          <w:sz w:val="20"/>
          <w:szCs w:val="20"/>
          <w:vertAlign w:val="superscript"/>
        </w:rPr>
        <w:t>4</w:t>
      </w:r>
      <w:r w:rsidR="00D70635" w:rsidRPr="00D70635">
        <w:rPr>
          <w:sz w:val="20"/>
          <w:szCs w:val="20"/>
        </w:rPr>
        <w:t>Amgen, Thousand Oaks, CA, USA</w:t>
      </w:r>
    </w:p>
    <w:p w14:paraId="7FBAA622" w14:textId="26C1854E" w:rsidR="00450573" w:rsidRDefault="00631A34" w:rsidP="003C7F42">
      <w:pPr>
        <w:rPr>
          <w:sz w:val="20"/>
          <w:szCs w:val="20"/>
        </w:rPr>
      </w:pPr>
      <w:proofErr w:type="gramStart"/>
      <w:r>
        <w:rPr>
          <w:sz w:val="20"/>
          <w:szCs w:val="20"/>
          <w:vertAlign w:val="superscript"/>
        </w:rPr>
        <w:t>5</w:t>
      </w:r>
      <w:r w:rsidR="007F415E" w:rsidRPr="007F415E">
        <w:rPr>
          <w:sz w:val="20"/>
          <w:szCs w:val="20"/>
        </w:rPr>
        <w:t>Dept of Cardiology, Leiden University Medical Center, Leiden, the Netherlands.</w:t>
      </w:r>
      <w:proofErr w:type="gramEnd"/>
    </w:p>
    <w:p w14:paraId="2FAE8CC8" w14:textId="686ED381" w:rsidR="00612584" w:rsidRDefault="00631A34" w:rsidP="003C7F42">
      <w:pPr>
        <w:rPr>
          <w:vertAlign w:val="superscript"/>
        </w:rPr>
      </w:pPr>
      <w:r>
        <w:rPr>
          <w:vertAlign w:val="superscript"/>
        </w:rPr>
        <w:t>6</w:t>
      </w:r>
      <w:r w:rsidR="005E3E3F" w:rsidRPr="005E3E3F">
        <w:rPr>
          <w:sz w:val="20"/>
        </w:rPr>
        <w:t xml:space="preserve">Lady Davis Carmel Medical Center and the Ruth and Bruce Rappaport School of Medicine, </w:t>
      </w:r>
      <w:proofErr w:type="spellStart"/>
      <w:r w:rsidR="005E3E3F" w:rsidRPr="005E3E3F">
        <w:rPr>
          <w:sz w:val="20"/>
        </w:rPr>
        <w:t>Technion</w:t>
      </w:r>
      <w:proofErr w:type="spellEnd"/>
      <w:r w:rsidR="005E3E3F" w:rsidRPr="005E3E3F">
        <w:rPr>
          <w:sz w:val="20"/>
        </w:rPr>
        <w:t>-IIT, Haifa, Israel</w:t>
      </w:r>
    </w:p>
    <w:p w14:paraId="565B9DA3" w14:textId="7D7C6945" w:rsidR="00612584" w:rsidRPr="00DB60FC" w:rsidRDefault="00631A34" w:rsidP="003C7F42">
      <w:r>
        <w:rPr>
          <w:vertAlign w:val="superscript"/>
        </w:rPr>
        <w:t>7</w:t>
      </w:r>
      <w:r w:rsidR="00DB60FC" w:rsidRPr="00DB60FC">
        <w:rPr>
          <w:sz w:val="20"/>
        </w:rPr>
        <w:t xml:space="preserve">Professor of Cardiology, </w:t>
      </w:r>
      <w:proofErr w:type="spellStart"/>
      <w:r w:rsidR="00DB60FC" w:rsidRPr="00DB60FC">
        <w:rPr>
          <w:sz w:val="20"/>
        </w:rPr>
        <w:t>Hacettepe</w:t>
      </w:r>
      <w:proofErr w:type="spellEnd"/>
      <w:r w:rsidR="00DB60FC" w:rsidRPr="00DB60FC">
        <w:rPr>
          <w:sz w:val="20"/>
        </w:rPr>
        <w:t xml:space="preserve"> </w:t>
      </w:r>
      <w:proofErr w:type="spellStart"/>
      <w:r w:rsidR="00DB60FC" w:rsidRPr="00DB60FC">
        <w:rPr>
          <w:sz w:val="20"/>
        </w:rPr>
        <w:t>University</w:t>
      </w:r>
      <w:proofErr w:type="gramStart"/>
      <w:r w:rsidR="00DB60FC" w:rsidRPr="00DB60FC">
        <w:rPr>
          <w:sz w:val="20"/>
        </w:rPr>
        <w:t>,Ankara</w:t>
      </w:r>
      <w:proofErr w:type="spellEnd"/>
      <w:proofErr w:type="gramEnd"/>
      <w:r w:rsidR="00DB60FC" w:rsidRPr="00DB60FC">
        <w:rPr>
          <w:sz w:val="20"/>
        </w:rPr>
        <w:t xml:space="preserve"> Turkey</w:t>
      </w:r>
    </w:p>
    <w:p w14:paraId="13824031" w14:textId="6554B577" w:rsidR="00FE3611" w:rsidRPr="005B4B3C" w:rsidRDefault="00631A34" w:rsidP="003C7F42">
      <w:pPr>
        <w:rPr>
          <w:sz w:val="20"/>
          <w:szCs w:val="20"/>
        </w:rPr>
      </w:pPr>
      <w:r>
        <w:rPr>
          <w:vertAlign w:val="superscript"/>
        </w:rPr>
        <w:t>8</w:t>
      </w:r>
      <w:r w:rsidR="002071F6" w:rsidRPr="002071F6">
        <w:rPr>
          <w:sz w:val="20"/>
          <w:szCs w:val="20"/>
        </w:rPr>
        <w:t>International Centre for Circulatory Health, National Heart and Lung Insti</w:t>
      </w:r>
      <w:r>
        <w:rPr>
          <w:sz w:val="20"/>
          <w:szCs w:val="20"/>
        </w:rPr>
        <w:t xml:space="preserve">tute, Imperial College London, </w:t>
      </w:r>
      <w:r w:rsidRPr="00515CB6">
        <w:rPr>
          <w:sz w:val="20"/>
          <w:szCs w:val="20"/>
          <w:vertAlign w:val="superscript"/>
        </w:rPr>
        <w:t>9</w:t>
      </w:r>
      <w:r w:rsidR="00515CB6">
        <w:rPr>
          <w:sz w:val="20"/>
          <w:szCs w:val="20"/>
        </w:rPr>
        <w:t>Lo</w:t>
      </w:r>
      <w:r w:rsidR="002071F6" w:rsidRPr="002071F6">
        <w:rPr>
          <w:sz w:val="20"/>
          <w:szCs w:val="20"/>
        </w:rPr>
        <w:t>ndon, UK</w:t>
      </w:r>
    </w:p>
    <w:p w14:paraId="6914898B" w14:textId="31392CB2" w:rsidR="00450573" w:rsidRPr="00AA713B" w:rsidRDefault="00631A34" w:rsidP="00AA713B">
      <w:pPr>
        <w:rPr>
          <w:sz w:val="20"/>
          <w:szCs w:val="20"/>
        </w:rPr>
      </w:pPr>
      <w:r>
        <w:rPr>
          <w:vertAlign w:val="superscript"/>
        </w:rPr>
        <w:t>10</w:t>
      </w:r>
      <w:r w:rsidR="002071F6" w:rsidRPr="002071F6">
        <w:rPr>
          <w:sz w:val="20"/>
          <w:szCs w:val="20"/>
        </w:rPr>
        <w:t xml:space="preserve">Oslo University Hospital, </w:t>
      </w:r>
      <w:proofErr w:type="spellStart"/>
      <w:r w:rsidR="002071F6" w:rsidRPr="002071F6">
        <w:rPr>
          <w:sz w:val="20"/>
          <w:szCs w:val="20"/>
        </w:rPr>
        <w:t>Ullevål</w:t>
      </w:r>
      <w:proofErr w:type="spellEnd"/>
      <w:r w:rsidR="002071F6" w:rsidRPr="002071F6">
        <w:rPr>
          <w:sz w:val="20"/>
          <w:szCs w:val="20"/>
        </w:rPr>
        <w:t xml:space="preserve"> and Medical Faculty, University of Oslo, Oslo, Norway</w:t>
      </w:r>
    </w:p>
    <w:p w14:paraId="5A4E5ACE" w14:textId="77777777" w:rsidR="00450573" w:rsidRDefault="00450573" w:rsidP="004F1114">
      <w:pPr>
        <w:jc w:val="center"/>
        <w:rPr>
          <w:u w:val="single"/>
        </w:rPr>
      </w:pPr>
    </w:p>
    <w:p w14:paraId="601DE030" w14:textId="77777777" w:rsidR="00450573" w:rsidRDefault="00450573" w:rsidP="004F1114">
      <w:pPr>
        <w:jc w:val="center"/>
        <w:rPr>
          <w:u w:val="single"/>
        </w:rPr>
      </w:pPr>
    </w:p>
    <w:p w14:paraId="3F272F8B" w14:textId="0AFE7D69" w:rsidR="004F3474" w:rsidRPr="00844F78" w:rsidRDefault="004F3474" w:rsidP="004F1114">
      <w:pPr>
        <w:jc w:val="center"/>
        <w:rPr>
          <w:u w:val="single"/>
        </w:rPr>
      </w:pPr>
      <w:r w:rsidRPr="00844F78">
        <w:rPr>
          <w:u w:val="single"/>
        </w:rPr>
        <w:t>Corresponding author:</w:t>
      </w:r>
    </w:p>
    <w:p w14:paraId="5D57D052" w14:textId="77777777" w:rsidR="004F3474" w:rsidRDefault="004F3474" w:rsidP="004F1114">
      <w:pPr>
        <w:jc w:val="center"/>
      </w:pPr>
      <w:r>
        <w:t>Marc P. Bonaca, MD</w:t>
      </w:r>
    </w:p>
    <w:p w14:paraId="0CDFB80D" w14:textId="77777777" w:rsidR="004F3474" w:rsidRDefault="004F3474" w:rsidP="004F1114">
      <w:pPr>
        <w:jc w:val="center"/>
      </w:pPr>
      <w:r>
        <w:t>TIMI Study Group, Cardiovascular Division</w:t>
      </w:r>
    </w:p>
    <w:p w14:paraId="7DA49187" w14:textId="77777777" w:rsidR="004F3474" w:rsidRDefault="004F3474" w:rsidP="004F1114">
      <w:pPr>
        <w:jc w:val="center"/>
      </w:pPr>
      <w:r>
        <w:t>Brigham and Women’s Hospital</w:t>
      </w:r>
    </w:p>
    <w:p w14:paraId="2D6FDAD6" w14:textId="77777777" w:rsidR="004F3474" w:rsidRPr="00836F12" w:rsidRDefault="004F3474" w:rsidP="004F1114">
      <w:pPr>
        <w:jc w:val="center"/>
        <w:rPr>
          <w:lang w:val="fr-FR"/>
        </w:rPr>
      </w:pPr>
      <w:r w:rsidRPr="00836F12">
        <w:rPr>
          <w:lang w:val="fr-FR"/>
        </w:rPr>
        <w:t>75 Francis Street</w:t>
      </w:r>
    </w:p>
    <w:p w14:paraId="372B01B5" w14:textId="77777777" w:rsidR="004F3474" w:rsidRPr="00836F12" w:rsidRDefault="004F3474" w:rsidP="004F1114">
      <w:pPr>
        <w:jc w:val="center"/>
        <w:rPr>
          <w:lang w:val="fr-FR"/>
        </w:rPr>
      </w:pPr>
      <w:r w:rsidRPr="00836F12">
        <w:rPr>
          <w:lang w:val="fr-FR"/>
        </w:rPr>
        <w:t>Boston, MA 02115</w:t>
      </w:r>
    </w:p>
    <w:p w14:paraId="07ED5EEA" w14:textId="77777777" w:rsidR="004F3474" w:rsidRPr="00836F12" w:rsidRDefault="004F3474" w:rsidP="004F1114">
      <w:pPr>
        <w:jc w:val="center"/>
        <w:rPr>
          <w:lang w:val="fr-FR"/>
        </w:rPr>
      </w:pPr>
      <w:r w:rsidRPr="00836F12">
        <w:rPr>
          <w:lang w:val="fr-FR"/>
        </w:rPr>
        <w:t>Phone: 617-278-0071; Fax: 617-734-7329</w:t>
      </w:r>
    </w:p>
    <w:p w14:paraId="385EE889" w14:textId="77777777" w:rsidR="004F3474" w:rsidRPr="00BB1E9D" w:rsidRDefault="004F3474" w:rsidP="004F1114">
      <w:pPr>
        <w:spacing w:line="480" w:lineRule="auto"/>
        <w:jc w:val="center"/>
      </w:pPr>
      <w:r w:rsidRPr="00BB1E9D">
        <w:t xml:space="preserve">Email: </w:t>
      </w:r>
      <w:hyperlink r:id="rId10" w:history="1">
        <w:r w:rsidRPr="00BB1E9D">
          <w:rPr>
            <w:rStyle w:val="Hyperlink"/>
          </w:rPr>
          <w:t>mbonaca@partners.org</w:t>
        </w:r>
      </w:hyperlink>
    </w:p>
    <w:p w14:paraId="6A5CAD23" w14:textId="77777777" w:rsidR="00450573" w:rsidRDefault="00450573" w:rsidP="00FC4628">
      <w:pPr>
        <w:spacing w:line="360" w:lineRule="auto"/>
      </w:pPr>
    </w:p>
    <w:p w14:paraId="20DCB86C" w14:textId="5FD39843" w:rsidR="008130B3" w:rsidRPr="007D3530" w:rsidRDefault="008130B3" w:rsidP="007D3530">
      <w:pPr>
        <w:spacing w:line="360" w:lineRule="auto"/>
      </w:pPr>
      <w:r>
        <w:rPr>
          <w:b/>
        </w:rPr>
        <w:br w:type="page"/>
      </w:r>
    </w:p>
    <w:p w14:paraId="3961A4E9" w14:textId="233277BB" w:rsidR="00E03FDF" w:rsidRDefault="00EE746A" w:rsidP="00E03FDF">
      <w:pPr>
        <w:spacing w:line="360" w:lineRule="auto"/>
        <w:rPr>
          <w:b/>
        </w:rPr>
      </w:pPr>
      <w:r>
        <w:rPr>
          <w:b/>
        </w:rPr>
        <w:lastRenderedPageBreak/>
        <w:t>ABSTRACT</w:t>
      </w:r>
    </w:p>
    <w:p w14:paraId="10E24F25" w14:textId="5A211E55" w:rsidR="00E03FDF" w:rsidRDefault="00E03FDF" w:rsidP="00E03FDF">
      <w:pPr>
        <w:spacing w:line="360" w:lineRule="auto"/>
      </w:pPr>
      <w:r>
        <w:rPr>
          <w:b/>
        </w:rPr>
        <w:t>Background</w:t>
      </w:r>
      <w:r w:rsidRPr="0077551B">
        <w:rPr>
          <w:b/>
        </w:rPr>
        <w:t>:</w:t>
      </w:r>
      <w:r w:rsidRPr="00D6240F">
        <w:t xml:space="preserve"> </w:t>
      </w:r>
      <w:r w:rsidRPr="00333D6C">
        <w:t xml:space="preserve">The </w:t>
      </w:r>
      <w:r w:rsidR="006744A5">
        <w:t>PCSK9</w:t>
      </w:r>
      <w:r w:rsidRPr="00333D6C">
        <w:t xml:space="preserve"> inhibitor evolocumab reduced LDL cholesterol and cardiovascular events in the FOURIER trial. </w:t>
      </w:r>
      <w:r w:rsidR="00EE746A">
        <w:t>W</w:t>
      </w:r>
      <w:r w:rsidRPr="00333D6C">
        <w:t xml:space="preserve">e investigated the efficacy and safety of evolocumab </w:t>
      </w:r>
      <w:r>
        <w:t>in patients with peripheral artery disease</w:t>
      </w:r>
      <w:r w:rsidRPr="00333D6C">
        <w:t xml:space="preserve"> </w:t>
      </w:r>
      <w:r>
        <w:t xml:space="preserve">(PAD) as well as </w:t>
      </w:r>
      <w:r w:rsidRPr="00333D6C">
        <w:t xml:space="preserve">the effect on </w:t>
      </w:r>
      <w:r>
        <w:t>major adverse limb events</w:t>
      </w:r>
      <w:r w:rsidRPr="00333D6C">
        <w:t>.</w:t>
      </w:r>
    </w:p>
    <w:p w14:paraId="70AAEC24" w14:textId="59613AAB" w:rsidR="00E03FDF" w:rsidRDefault="00E03FDF" w:rsidP="00E03FDF">
      <w:pPr>
        <w:spacing w:line="360" w:lineRule="auto"/>
      </w:pPr>
      <w:r w:rsidRPr="0077551B">
        <w:rPr>
          <w:b/>
        </w:rPr>
        <w:t>Methods:</w:t>
      </w:r>
      <w:r w:rsidRPr="00D6240F">
        <w:t xml:space="preserve"> </w:t>
      </w:r>
      <w:r w:rsidRPr="00333D6C">
        <w:t xml:space="preserve">FOURIER was a </w:t>
      </w:r>
      <w:r w:rsidR="00EE746A" w:rsidRPr="00333D6C">
        <w:t>randomized</w:t>
      </w:r>
      <w:r w:rsidRPr="00333D6C">
        <w:t xml:space="preserve"> trial of evolocumab </w:t>
      </w:r>
      <w:r w:rsidR="00EE746A">
        <w:t>versus placebo in 27</w:t>
      </w:r>
      <w:r w:rsidRPr="00333D6C">
        <w:t xml:space="preserve">564 patients with atherosclerotic disease on statin </w:t>
      </w:r>
      <w:r w:rsidR="00EE746A">
        <w:t>therapy</w:t>
      </w:r>
      <w:r w:rsidRPr="00333D6C">
        <w:t xml:space="preserve"> followed </w:t>
      </w:r>
      <w:r w:rsidR="00EE746A">
        <w:t>for a median of 2.</w:t>
      </w:r>
      <w:r w:rsidRPr="00333D6C">
        <w:t xml:space="preserve">2 years. </w:t>
      </w:r>
      <w:r w:rsidR="00EE746A">
        <w:t>P</w:t>
      </w:r>
      <w:r w:rsidRPr="00D6240F">
        <w:t xml:space="preserve">atients were </w:t>
      </w:r>
      <w:r>
        <w:t xml:space="preserve">identified as having PAD at baseline </w:t>
      </w:r>
      <w:r w:rsidRPr="00D6240F">
        <w:t>if they had</w:t>
      </w:r>
      <w:r>
        <w:t xml:space="preserve"> intermittent</w:t>
      </w:r>
      <w:r w:rsidRPr="00D6240F">
        <w:t xml:space="preserve"> claudication and an </w:t>
      </w:r>
      <w:r>
        <w:t>ankle brachial index of</w:t>
      </w:r>
      <w:r w:rsidRPr="00D6240F">
        <w:t xml:space="preserve"> &lt;0.85 or if they h</w:t>
      </w:r>
      <w:r w:rsidR="00EE746A">
        <w:t xml:space="preserve">ad a prior peripheral vascular procedure. </w:t>
      </w:r>
      <w:r w:rsidRPr="00333D6C">
        <w:t xml:space="preserve">The primary endpoint was a composite of cardiovascular death, myocardial infarction, stroke, hospital admission for unstable angina, or coronary </w:t>
      </w:r>
      <w:r w:rsidR="00EE746A" w:rsidRPr="00333D6C">
        <w:t>revascularization</w:t>
      </w:r>
      <w:r w:rsidRPr="00333D6C">
        <w:t xml:space="preserve">. The key secondary endpoint was a composite of cardiovascular death, myocardial infarction, or stroke. </w:t>
      </w:r>
      <w:r>
        <w:t xml:space="preserve">An additional outcome </w:t>
      </w:r>
      <w:r w:rsidR="00EE746A">
        <w:t xml:space="preserve">of interest </w:t>
      </w:r>
      <w:r>
        <w:t xml:space="preserve">was major adverse limb events (MALE) </w:t>
      </w:r>
      <w:r w:rsidR="00DE2CF5">
        <w:t xml:space="preserve">defined as </w:t>
      </w:r>
      <w:r>
        <w:t xml:space="preserve">acute limb ischemia (ALI), major amputation </w:t>
      </w:r>
      <w:r w:rsidR="00DE2CF5">
        <w:t xml:space="preserve">or </w:t>
      </w:r>
      <w:r>
        <w:t>urgent peripheral revasculari</w:t>
      </w:r>
      <w:r w:rsidR="005F603A">
        <w:t>z</w:t>
      </w:r>
      <w:r>
        <w:t>ation for ischemia</w:t>
      </w:r>
      <w:r w:rsidRPr="00333D6C">
        <w:t xml:space="preserve">. </w:t>
      </w:r>
    </w:p>
    <w:p w14:paraId="61820EF6" w14:textId="7D21537C" w:rsidR="00E03FDF" w:rsidRPr="00DE7F31" w:rsidRDefault="006744A5" w:rsidP="00E03FDF">
      <w:pPr>
        <w:spacing w:line="360" w:lineRule="auto"/>
      </w:pPr>
      <w:r>
        <w:rPr>
          <w:b/>
        </w:rPr>
        <w:t>Results</w:t>
      </w:r>
      <w:r w:rsidR="00E03FDF" w:rsidRPr="0077551B">
        <w:rPr>
          <w:b/>
        </w:rPr>
        <w:t>:</w:t>
      </w:r>
      <w:r w:rsidR="00E03FDF" w:rsidRPr="00D6240F">
        <w:t xml:space="preserve"> </w:t>
      </w:r>
      <w:r w:rsidR="00E03FDF">
        <w:t>3,642 patients (13.2</w:t>
      </w:r>
      <w:r w:rsidR="00E03FDF" w:rsidRPr="00791D29">
        <w:t xml:space="preserve">%) had </w:t>
      </w:r>
      <w:r w:rsidR="00E03FDF">
        <w:t xml:space="preserve">PAD (1505 </w:t>
      </w:r>
      <w:r w:rsidR="00EE746A">
        <w:t>with</w:t>
      </w:r>
      <w:r w:rsidR="00E03FDF">
        <w:t xml:space="preserve"> no </w:t>
      </w:r>
      <w:r w:rsidR="00EE746A">
        <w:t>prior</w:t>
      </w:r>
      <w:r w:rsidR="00E03FDF">
        <w:t xml:space="preserve"> MI or stroke)</w:t>
      </w:r>
      <w:r w:rsidR="00E03FDF" w:rsidRPr="00791D29">
        <w:t xml:space="preserve">. Evolocumab significantly reduced </w:t>
      </w:r>
      <w:r w:rsidR="00FB401C">
        <w:t>the primary endpoint</w:t>
      </w:r>
      <w:r w:rsidR="00E03FDF" w:rsidRPr="00791D29">
        <w:t xml:space="preserve"> consistently in patients with and without </w:t>
      </w:r>
      <w:r w:rsidR="00E03FDF">
        <w:t>PAD</w:t>
      </w:r>
      <w:r w:rsidR="00EE746A">
        <w:t xml:space="preserve"> </w:t>
      </w:r>
      <w:proofErr w:type="spellStart"/>
      <w:r w:rsidR="00EE746A">
        <w:t>PAD</w:t>
      </w:r>
      <w:proofErr w:type="spellEnd"/>
      <w:r w:rsidR="00EE746A">
        <w:t xml:space="preserve"> HR 0.79, </w:t>
      </w:r>
      <w:r w:rsidR="00E03FDF">
        <w:t>95%CI 0·66–0·94; p=0·009</w:t>
      </w:r>
      <w:r w:rsidR="00E03FDF" w:rsidRPr="00791D29">
        <w:t>8</w:t>
      </w:r>
      <w:r w:rsidR="00EE746A">
        <w:t>; no PAD HR 0·86, 95% CI</w:t>
      </w:r>
      <w:r w:rsidR="00E03FDF">
        <w:t>0·80–0·93; p=0·0003</w:t>
      </w:r>
      <w:r w:rsidR="00EE746A">
        <w:t>, p-</w:t>
      </w:r>
      <w:r w:rsidR="00EE746A" w:rsidRPr="00EE746A">
        <w:rPr>
          <w:vertAlign w:val="subscript"/>
        </w:rPr>
        <w:t>interaction</w:t>
      </w:r>
      <w:r w:rsidR="00E03FDF">
        <w:t>=0·40</w:t>
      </w:r>
      <w:r w:rsidR="00E03FDF" w:rsidRPr="00791D29">
        <w:t>). For the key secon</w:t>
      </w:r>
      <w:r w:rsidR="00E03FDF">
        <w:t>dary endpoint, the HRs were 0·73</w:t>
      </w:r>
      <w:r w:rsidR="00E03FDF" w:rsidRPr="00791D29">
        <w:t xml:space="preserve"> </w:t>
      </w:r>
      <w:r w:rsidR="00E03FDF">
        <w:t>(0·59–0·91; p=0·0040</w:t>
      </w:r>
      <w:r w:rsidR="00E03FDF" w:rsidRPr="00791D29">
        <w:t xml:space="preserve">) for those with </w:t>
      </w:r>
      <w:r w:rsidR="00E03FDF">
        <w:t>PAD and 0·81 (0·73–0·90; p&lt;0·0001</w:t>
      </w:r>
      <w:r w:rsidR="00E03FDF" w:rsidRPr="00791D29">
        <w:t xml:space="preserve">) for those without </w:t>
      </w:r>
      <w:r w:rsidR="00E03FDF">
        <w:t>PAD (</w:t>
      </w:r>
      <w:proofErr w:type="spellStart"/>
      <w:r w:rsidR="00E03FDF">
        <w:t>p</w:t>
      </w:r>
      <w:r w:rsidR="00E03FDF" w:rsidRPr="00DE7F31">
        <w:rPr>
          <w:vertAlign w:val="subscript"/>
        </w:rPr>
        <w:t>interaction</w:t>
      </w:r>
      <w:proofErr w:type="spellEnd"/>
      <w:r w:rsidR="00E03FDF">
        <w:t>=0·41</w:t>
      </w:r>
      <w:r w:rsidR="00E03FDF" w:rsidRPr="00791D29">
        <w:t xml:space="preserve">). </w:t>
      </w:r>
      <w:r w:rsidR="00E03FDF">
        <w:t xml:space="preserve">Due to their higher risk, patients with PAD had larger absolute risk reductions for the </w:t>
      </w:r>
      <w:r w:rsidR="00F073A4">
        <w:t xml:space="preserve">primary endpoint </w:t>
      </w:r>
      <w:r w:rsidR="00E03FDF">
        <w:t>(3.5% PAD, 1.6% no PAD) and the key secondary endpoint (3.5</w:t>
      </w:r>
      <w:r w:rsidR="00883615">
        <w:t>% PAD, 1.4</w:t>
      </w:r>
      <w:r w:rsidR="00E03FDF">
        <w:t xml:space="preserve">% no PAD). Evolocumab reduced the risk of MALE </w:t>
      </w:r>
      <w:r w:rsidR="001C74BF">
        <w:t xml:space="preserve">in all patients </w:t>
      </w:r>
      <w:r w:rsidR="00E03FDF">
        <w:t>HR 0.58 (95% CI 0.38 – 0.88, p=0.0093)</w:t>
      </w:r>
      <w:r w:rsidR="001C74BF">
        <w:t xml:space="preserve"> with consistent effects in those with and without known PAD</w:t>
      </w:r>
      <w:r w:rsidR="00E03FDF">
        <w:t xml:space="preserve">. </w:t>
      </w:r>
      <w:r w:rsidR="003F5752">
        <w:t>The</w:t>
      </w:r>
      <w:r w:rsidR="00A25A4F">
        <w:t xml:space="preserve">re was a </w:t>
      </w:r>
      <w:r w:rsidR="002C205B">
        <w:t xml:space="preserve">consistent </w:t>
      </w:r>
      <w:r w:rsidR="003F5752">
        <w:t xml:space="preserve">relationship between </w:t>
      </w:r>
      <w:r w:rsidR="00A25A4F">
        <w:t xml:space="preserve">lower </w:t>
      </w:r>
      <w:r w:rsidR="003F5752">
        <w:t xml:space="preserve">achieved LDL-C and lower risk of limb events </w:t>
      </w:r>
      <w:r w:rsidR="00A25A4F">
        <w:t xml:space="preserve">(P=0.0049) that </w:t>
      </w:r>
      <w:r w:rsidR="003F5752">
        <w:t xml:space="preserve">extended down to </w:t>
      </w:r>
      <w:r w:rsidR="002C205B">
        <w:t>10</w:t>
      </w:r>
      <w:r w:rsidR="00A25A4F">
        <w:t xml:space="preserve"> </w:t>
      </w:r>
      <w:r w:rsidR="002C205B">
        <w:t>mg/</w:t>
      </w:r>
      <w:proofErr w:type="spellStart"/>
      <w:r w:rsidR="002C205B">
        <w:t>dL</w:t>
      </w:r>
      <w:proofErr w:type="spellEnd"/>
    </w:p>
    <w:p w14:paraId="632B9724" w14:textId="2BCC4E58" w:rsidR="00E03FDF" w:rsidRPr="00DE7F31" w:rsidRDefault="006744A5" w:rsidP="00E03FDF">
      <w:pPr>
        <w:spacing w:line="360" w:lineRule="auto"/>
      </w:pPr>
      <w:r>
        <w:rPr>
          <w:b/>
        </w:rPr>
        <w:t>Conclusions</w:t>
      </w:r>
      <w:r w:rsidR="00E03FDF">
        <w:t>: Patients with PAD are at high risk of cardiovascular events and P</w:t>
      </w:r>
      <w:r w:rsidR="00E03FDF" w:rsidRPr="004338BE">
        <w:t xml:space="preserve">CSK9 inhibition with evolocumab significantly reduced </w:t>
      </w:r>
      <w:r w:rsidR="00E03FDF">
        <w:t xml:space="preserve">that risk with large absolute risk reductions. Moreover, lowering of LDL-C with evolocumab reduced the risk of major adverse limb events. </w:t>
      </w:r>
    </w:p>
    <w:p w14:paraId="5ACD3D23" w14:textId="4EA21015" w:rsidR="00E03FDF" w:rsidRDefault="00AA713B" w:rsidP="000A276C">
      <w:pPr>
        <w:spacing w:line="360" w:lineRule="auto"/>
      </w:pPr>
      <w:r>
        <w:rPr>
          <w:b/>
        </w:rPr>
        <w:t>Clinical Trial Registration</w:t>
      </w:r>
      <w:r w:rsidR="00E03FDF">
        <w:t xml:space="preserve">: </w:t>
      </w:r>
      <w:hyperlink r:id="rId11" w:history="1">
        <w:r w:rsidR="00E03FDF" w:rsidRPr="009B43DF">
          <w:rPr>
            <w:rStyle w:val="Hyperlink"/>
          </w:rPr>
          <w:t>http://www.clinicaltrials.gov</w:t>
        </w:r>
      </w:hyperlink>
      <w:r w:rsidR="00E03FDF" w:rsidRPr="009B43DF">
        <w:t xml:space="preserve"> </w:t>
      </w:r>
      <w:r w:rsidR="00E03FDF" w:rsidRPr="00016D54">
        <w:rPr>
          <w:rFonts w:ascii="Arial" w:hAnsi="Arial" w:cs="Arial"/>
          <w:color w:val="000000"/>
          <w:shd w:val="clear" w:color="auto" w:fill="FFFFFF"/>
        </w:rPr>
        <w:t>NCT01764633</w:t>
      </w:r>
    </w:p>
    <w:p w14:paraId="7FA52B66" w14:textId="06003299" w:rsidR="00AC17BD" w:rsidRDefault="00AE03EA" w:rsidP="00AE03EA">
      <w:pPr>
        <w:rPr>
          <w:b/>
        </w:rPr>
      </w:pPr>
      <w:r w:rsidRPr="00AE03EA">
        <w:rPr>
          <w:b/>
        </w:rPr>
        <w:lastRenderedPageBreak/>
        <w:t>Key Words</w:t>
      </w:r>
      <w:r>
        <w:t>: Peripheral artery disease, PAD, atherosclerosis, LDL-C, MALE, major adverse limb events, amputation, acute limb ischemia, evolocumab, PCSK9 inhibition</w:t>
      </w:r>
      <w:r w:rsidR="00E03FDF">
        <w:br w:type="page"/>
      </w:r>
      <w:r w:rsidR="00AC17BD" w:rsidRPr="000A276C">
        <w:rPr>
          <w:b/>
        </w:rPr>
        <w:lastRenderedPageBreak/>
        <w:t>Clinical Perspective</w:t>
      </w:r>
    </w:p>
    <w:p w14:paraId="59C317CE" w14:textId="6279C1B9" w:rsidR="00AC17BD" w:rsidRDefault="00AC17BD" w:rsidP="000A276C">
      <w:pPr>
        <w:jc w:val="center"/>
        <w:rPr>
          <w:b/>
        </w:rPr>
      </w:pPr>
    </w:p>
    <w:p w14:paraId="7409CFBD" w14:textId="006FF11B" w:rsidR="00AC17BD" w:rsidRDefault="00AC17BD" w:rsidP="00AC17BD">
      <w:pPr>
        <w:rPr>
          <w:b/>
        </w:rPr>
      </w:pPr>
      <w:r>
        <w:rPr>
          <w:b/>
        </w:rPr>
        <w:t>What is new?</w:t>
      </w:r>
    </w:p>
    <w:p w14:paraId="1F07D08F" w14:textId="574A91DC" w:rsidR="00FE26C9" w:rsidRDefault="00FE26C9" w:rsidP="00A22B46">
      <w:pPr>
        <w:pStyle w:val="ListParagraph"/>
        <w:numPr>
          <w:ilvl w:val="0"/>
          <w:numId w:val="15"/>
        </w:numPr>
      </w:pPr>
      <w:r>
        <w:t>L</w:t>
      </w:r>
      <w:r w:rsidR="00AC17BD">
        <w:t>owering LDL-C to very low levels (median 31 mg/</w:t>
      </w:r>
      <w:proofErr w:type="spellStart"/>
      <w:r w:rsidR="00AC17BD">
        <w:t>dL</w:t>
      </w:r>
      <w:proofErr w:type="spellEnd"/>
      <w:r w:rsidR="00AC17BD">
        <w:t xml:space="preserve">) with evolocumab in patients with symptomatic lower extremity peripheral artery disease significantly reduces major adverse cardiovascular events (MACE). </w:t>
      </w:r>
    </w:p>
    <w:p w14:paraId="529245F5" w14:textId="62CA995C" w:rsidR="00FE26C9" w:rsidRDefault="00FE26C9" w:rsidP="00A22B46">
      <w:pPr>
        <w:pStyle w:val="ListParagraph"/>
        <w:numPr>
          <w:ilvl w:val="0"/>
          <w:numId w:val="15"/>
        </w:numPr>
      </w:pPr>
      <w:r>
        <w:t>E</w:t>
      </w:r>
      <w:r w:rsidR="00AC17BD">
        <w:t xml:space="preserve">volocumab significantly reduced major adverse limb (MALE) with consistent </w:t>
      </w:r>
      <w:r w:rsidR="00140FEE">
        <w:t>relative reductions</w:t>
      </w:r>
      <w:r w:rsidR="00AC17BD">
        <w:t xml:space="preserve"> in patients with and without PAD. </w:t>
      </w:r>
    </w:p>
    <w:p w14:paraId="6BBC8F7F" w14:textId="77777777" w:rsidR="00FE26C9" w:rsidRDefault="00140FEE" w:rsidP="00A22B46">
      <w:pPr>
        <w:pStyle w:val="ListParagraph"/>
        <w:numPr>
          <w:ilvl w:val="0"/>
          <w:numId w:val="15"/>
        </w:numPr>
      </w:pPr>
      <w:r>
        <w:t xml:space="preserve">These benefits come with no </w:t>
      </w:r>
      <w:r w:rsidR="00C3315D">
        <w:t>offsetting</w:t>
      </w:r>
      <w:r w:rsidR="00FE7B1C">
        <w:t xml:space="preserve"> </w:t>
      </w:r>
      <w:r>
        <w:t xml:space="preserve">side effects. </w:t>
      </w:r>
    </w:p>
    <w:p w14:paraId="618137D4" w14:textId="24EA6BFA" w:rsidR="00AC17BD" w:rsidRPr="000A276C" w:rsidRDefault="00140FEE" w:rsidP="00A22B46">
      <w:pPr>
        <w:pStyle w:val="ListParagraph"/>
        <w:numPr>
          <w:ilvl w:val="0"/>
          <w:numId w:val="15"/>
        </w:numPr>
      </w:pPr>
      <w:r>
        <w:t>When looking at the composite of MACE/MALE</w:t>
      </w:r>
      <w:r w:rsidRPr="00140FEE">
        <w:t xml:space="preserve"> in pat</w:t>
      </w:r>
      <w:r>
        <w:t>ients with</w:t>
      </w:r>
      <w:r w:rsidR="00B659AD">
        <w:t xml:space="preserve"> symptomatic lower extremity</w:t>
      </w:r>
      <w:r>
        <w:t xml:space="preserve"> PAD</w:t>
      </w:r>
      <w:r w:rsidR="00FE26C9">
        <w:t xml:space="preserve"> and no prior MI or stroke</w:t>
      </w:r>
      <w:r>
        <w:t xml:space="preserve">, evolocumab </w:t>
      </w:r>
      <w:r w:rsidRPr="00140FEE">
        <w:t xml:space="preserve">resulted in an absolute risk reduction at 2.5 years of </w:t>
      </w:r>
      <w:r w:rsidR="00FE26C9">
        <w:t>6.3</w:t>
      </w:r>
      <w:r w:rsidRPr="00140FEE">
        <w:t xml:space="preserve">% and an NNT of </w:t>
      </w:r>
      <w:r w:rsidR="00FE26C9">
        <w:t>16</w:t>
      </w:r>
      <w:r>
        <w:t xml:space="preserve">. </w:t>
      </w:r>
    </w:p>
    <w:p w14:paraId="27007F2B" w14:textId="5928962F" w:rsidR="00AC17BD" w:rsidRDefault="00AC17BD" w:rsidP="00AC17BD">
      <w:pPr>
        <w:rPr>
          <w:b/>
        </w:rPr>
      </w:pPr>
    </w:p>
    <w:p w14:paraId="05166BC2" w14:textId="70182670" w:rsidR="00AC17BD" w:rsidRDefault="00AC17BD" w:rsidP="00AC17BD">
      <w:pPr>
        <w:rPr>
          <w:b/>
        </w:rPr>
      </w:pPr>
      <w:r>
        <w:rPr>
          <w:b/>
        </w:rPr>
        <w:t>What are the clinical implications?</w:t>
      </w:r>
    </w:p>
    <w:p w14:paraId="6D3C22A6" w14:textId="77777777" w:rsidR="00FE26C9" w:rsidRDefault="00140FEE" w:rsidP="00A22B46">
      <w:pPr>
        <w:pStyle w:val="ListParagraph"/>
        <w:numPr>
          <w:ilvl w:val="0"/>
          <w:numId w:val="16"/>
        </w:numPr>
      </w:pPr>
      <w:r w:rsidRPr="000A276C">
        <w:t xml:space="preserve">There are </w:t>
      </w:r>
      <w:r>
        <w:t xml:space="preserve">few therapies that have been proven to reduce MACE risk in patients with lower extremity peripheral artery disease, particularly those without concomitant MI or stroke, and even fewer that reduce MALE. </w:t>
      </w:r>
    </w:p>
    <w:p w14:paraId="53BFDF1E" w14:textId="77777777" w:rsidR="00FE26C9" w:rsidRDefault="00140FEE" w:rsidP="00A22B46">
      <w:pPr>
        <w:pStyle w:val="ListParagraph"/>
        <w:numPr>
          <w:ilvl w:val="0"/>
          <w:numId w:val="16"/>
        </w:numPr>
      </w:pPr>
      <w:r>
        <w:t>Lowering of LDL-C to very low levels reduces MACE and MALE</w:t>
      </w:r>
      <w:r w:rsidR="00FE7B1C">
        <w:t>,</w:t>
      </w:r>
      <w:r>
        <w:t xml:space="preserve"> with benefits </w:t>
      </w:r>
      <w:r w:rsidR="00FE7B1C">
        <w:t xml:space="preserve">of low LDL-C </w:t>
      </w:r>
      <w:r>
        <w:t>extending to very low levels (&lt; 10 mg/</w:t>
      </w:r>
      <w:proofErr w:type="spellStart"/>
      <w:r>
        <w:t>dL</w:t>
      </w:r>
      <w:proofErr w:type="spellEnd"/>
      <w:r>
        <w:t xml:space="preserve">) and with no </w:t>
      </w:r>
      <w:r w:rsidR="00FE7B1C">
        <w:t xml:space="preserve">offsetting </w:t>
      </w:r>
      <w:r>
        <w:t xml:space="preserve">safety </w:t>
      </w:r>
      <w:r w:rsidR="00FE7B1C">
        <w:t>concerns</w:t>
      </w:r>
      <w:r>
        <w:t xml:space="preserve">. </w:t>
      </w:r>
    </w:p>
    <w:p w14:paraId="548DB82F" w14:textId="512356A5" w:rsidR="00AC17BD" w:rsidRPr="000A276C" w:rsidRDefault="00140FEE" w:rsidP="00A22B46">
      <w:pPr>
        <w:pStyle w:val="ListParagraph"/>
        <w:numPr>
          <w:ilvl w:val="0"/>
          <w:numId w:val="16"/>
        </w:numPr>
      </w:pPr>
      <w:r>
        <w:t>These data support that LDL-C lowering to very low targets should be a core focus of preventive therapy in patients with symptomatic lower extremity PAD including those without concomitant coronary or cerebrovascular disease.</w:t>
      </w:r>
    </w:p>
    <w:p w14:paraId="00816EBD" w14:textId="7C35AE05" w:rsidR="00AC17BD" w:rsidRPr="000A276C" w:rsidRDefault="00AC17BD" w:rsidP="00AC17BD">
      <w:pPr>
        <w:rPr>
          <w:b/>
        </w:rPr>
      </w:pPr>
      <w:r w:rsidRPr="000A276C">
        <w:rPr>
          <w:b/>
        </w:rPr>
        <w:br w:type="page"/>
      </w:r>
    </w:p>
    <w:p w14:paraId="665A7CED" w14:textId="77777777" w:rsidR="00E03FDF" w:rsidRDefault="00E03FDF"/>
    <w:p w14:paraId="531AF551" w14:textId="3C00A9DE" w:rsidR="003F5B9B" w:rsidRDefault="008A3AA7" w:rsidP="003F5B9B">
      <w:pPr>
        <w:jc w:val="center"/>
      </w:pPr>
      <w:r w:rsidRPr="008A3AA7">
        <w:t>Abbreviations</w:t>
      </w:r>
    </w:p>
    <w:p w14:paraId="73F76CED" w14:textId="02A4D813" w:rsidR="00016D54" w:rsidRDefault="00016D54" w:rsidP="003F5B9B">
      <w:pPr>
        <w:jc w:val="center"/>
      </w:pPr>
    </w:p>
    <w:p w14:paraId="09020176" w14:textId="5F6488BA" w:rsidR="00016D54" w:rsidRDefault="00016D54" w:rsidP="003F5B9B">
      <w:pPr>
        <w:jc w:val="center"/>
      </w:pPr>
    </w:p>
    <w:p w14:paraId="2EDE230F" w14:textId="77777777" w:rsidR="00016D54" w:rsidRDefault="00016D54" w:rsidP="003F5B9B">
      <w:pPr>
        <w:jc w:val="center"/>
      </w:pPr>
    </w:p>
    <w:p w14:paraId="6A94E004" w14:textId="77777777" w:rsidR="00BD41D8" w:rsidRDefault="00BD41D8" w:rsidP="00BD41D8">
      <w:r>
        <w:t>ABI – ankle brachial index</w:t>
      </w:r>
    </w:p>
    <w:p w14:paraId="0D17BDEA" w14:textId="77777777" w:rsidR="00BD41D8" w:rsidRDefault="00BD41D8" w:rsidP="00BD41D8">
      <w:r>
        <w:t>AKA – above the knee amputation</w:t>
      </w:r>
    </w:p>
    <w:p w14:paraId="4C420981" w14:textId="48B33063" w:rsidR="008A3AA7" w:rsidRDefault="008A3AA7" w:rsidP="008A3AA7">
      <w:r>
        <w:t>ALI – acute limb ischemia</w:t>
      </w:r>
    </w:p>
    <w:p w14:paraId="20021747" w14:textId="77777777" w:rsidR="00BD41D8" w:rsidRDefault="00BD41D8" w:rsidP="00BD41D8">
      <w:r>
        <w:t>ARR – absolute risk reduction</w:t>
      </w:r>
    </w:p>
    <w:p w14:paraId="2CEF2CD0" w14:textId="77777777" w:rsidR="00BD41D8" w:rsidRDefault="00BD41D8" w:rsidP="00BD41D8">
      <w:r>
        <w:t>BKA – below the knee amputation</w:t>
      </w:r>
    </w:p>
    <w:p w14:paraId="238ADD19" w14:textId="77777777" w:rsidR="00BD41D8" w:rsidRDefault="00BD41D8" w:rsidP="00BD41D8">
      <w:r>
        <w:t>BMI – body mass index</w:t>
      </w:r>
    </w:p>
    <w:p w14:paraId="1BC3C242" w14:textId="77777777" w:rsidR="00BD41D8" w:rsidRDefault="00BD41D8" w:rsidP="00BD41D8">
      <w:r>
        <w:t>CABG – coronary artery bypass grafting surgery</w:t>
      </w:r>
    </w:p>
    <w:p w14:paraId="64F3819E" w14:textId="77777777" w:rsidR="00BD41D8" w:rsidRDefault="00BD41D8" w:rsidP="00BD41D8">
      <w:r>
        <w:t>HR – hazard ratio</w:t>
      </w:r>
    </w:p>
    <w:p w14:paraId="7CF2566A" w14:textId="6ED49C4A" w:rsidR="00BD41D8" w:rsidRDefault="00BD41D8" w:rsidP="00BD41D8">
      <w:r>
        <w:t xml:space="preserve">IQR – </w:t>
      </w:r>
      <w:proofErr w:type="spellStart"/>
      <w:r>
        <w:t>intraquartile</w:t>
      </w:r>
      <w:proofErr w:type="spellEnd"/>
      <w:r>
        <w:t xml:space="preserve"> range</w:t>
      </w:r>
    </w:p>
    <w:p w14:paraId="546ED896" w14:textId="77777777" w:rsidR="00BD41D8" w:rsidRDefault="00BD41D8" w:rsidP="00BD41D8">
      <w:r>
        <w:t>KM – Kaplan Meier</w:t>
      </w:r>
    </w:p>
    <w:p w14:paraId="6BD83EF6" w14:textId="77777777" w:rsidR="00BD41D8" w:rsidRDefault="00BD41D8" w:rsidP="00BD41D8">
      <w:r>
        <w:t xml:space="preserve">LDL-C – </w:t>
      </w:r>
      <w:r w:rsidRPr="00F05B79">
        <w:t>low-density lipoprotein cholesterol</w:t>
      </w:r>
    </w:p>
    <w:p w14:paraId="1C407191" w14:textId="77777777" w:rsidR="008A3AA7" w:rsidRDefault="008A3AA7" w:rsidP="008A3AA7">
      <w:r>
        <w:t>MACE – major adverse cardiovascular events</w:t>
      </w:r>
    </w:p>
    <w:p w14:paraId="2458B40F" w14:textId="77777777" w:rsidR="008A3AA7" w:rsidRDefault="008A3AA7">
      <w:r>
        <w:t>MALE – major adverse limb events</w:t>
      </w:r>
    </w:p>
    <w:p w14:paraId="7A2A92BB" w14:textId="77777777" w:rsidR="008A3AA7" w:rsidRDefault="008A3AA7" w:rsidP="008A3AA7">
      <w:r>
        <w:t>MI – myocardial infarction</w:t>
      </w:r>
    </w:p>
    <w:p w14:paraId="3C4C67A6" w14:textId="77777777" w:rsidR="00BD41D8" w:rsidRDefault="00BD41D8" w:rsidP="00BD41D8">
      <w:r>
        <w:t>NNT – number needed to treat</w:t>
      </w:r>
    </w:p>
    <w:p w14:paraId="57D757AB" w14:textId="77777777" w:rsidR="008A3AA7" w:rsidRDefault="008A3AA7">
      <w:r>
        <w:t>PAD – peripheral artery disease</w:t>
      </w:r>
    </w:p>
    <w:p w14:paraId="690D4812" w14:textId="3A3D31B2" w:rsidR="00F05B79" w:rsidRDefault="00F05B79">
      <w:r w:rsidRPr="00333D6C">
        <w:t>PCSK9</w:t>
      </w:r>
      <w:r>
        <w:t xml:space="preserve"> – </w:t>
      </w:r>
      <w:r w:rsidRPr="00333D6C">
        <w:t>proprotein convertase subtilisin/</w:t>
      </w:r>
      <w:proofErr w:type="spellStart"/>
      <w:r w:rsidRPr="00333D6C">
        <w:t>kexin</w:t>
      </w:r>
      <w:proofErr w:type="spellEnd"/>
      <w:r w:rsidRPr="00333D6C">
        <w:t xml:space="preserve"> type 9</w:t>
      </w:r>
    </w:p>
    <w:p w14:paraId="21281C78" w14:textId="65A51F68" w:rsidR="00FB401C" w:rsidRDefault="00FB401C">
      <w:r>
        <w:t>PCI – percutaneous coronary intervention</w:t>
      </w:r>
    </w:p>
    <w:p w14:paraId="54FAF471" w14:textId="2CB24304" w:rsidR="00FB401C" w:rsidRDefault="00FB401C">
      <w:r>
        <w:t>TIA – transient ischemic attack</w:t>
      </w:r>
    </w:p>
    <w:p w14:paraId="4DC1B2D7" w14:textId="12341E1D" w:rsidR="00FB401C" w:rsidRDefault="00FB401C"/>
    <w:p w14:paraId="46388F96" w14:textId="6DAD224D" w:rsidR="00FB401C" w:rsidRDefault="00FB401C"/>
    <w:p w14:paraId="47DFF199" w14:textId="6B9444CC" w:rsidR="00F71E52" w:rsidRDefault="00F71E52"/>
    <w:p w14:paraId="775898D8" w14:textId="37095422" w:rsidR="00F71E52" w:rsidRDefault="00F71E52"/>
    <w:p w14:paraId="11FD973E" w14:textId="1177F08E" w:rsidR="00F71E52" w:rsidRDefault="00F71E52"/>
    <w:p w14:paraId="3402207A" w14:textId="77777777" w:rsidR="00FB401C" w:rsidRDefault="00FB401C"/>
    <w:p w14:paraId="5A334C67" w14:textId="77777777" w:rsidR="008A3AA7" w:rsidRDefault="008A3AA7"/>
    <w:p w14:paraId="7D0700FA" w14:textId="77777777" w:rsidR="008A3AA7" w:rsidRDefault="008A3AA7"/>
    <w:p w14:paraId="10BD76CD" w14:textId="77777777" w:rsidR="00081F8D" w:rsidRDefault="00081F8D">
      <w:r>
        <w:br w:type="page"/>
      </w:r>
    </w:p>
    <w:p w14:paraId="7D6AFF1B" w14:textId="1BC0292A" w:rsidR="00647F59" w:rsidRPr="00647F59" w:rsidRDefault="00647F59" w:rsidP="00E67674">
      <w:pPr>
        <w:spacing w:line="480" w:lineRule="auto"/>
        <w:rPr>
          <w:b/>
        </w:rPr>
      </w:pPr>
      <w:r w:rsidRPr="00647F59">
        <w:rPr>
          <w:b/>
        </w:rPr>
        <w:lastRenderedPageBreak/>
        <w:t>Introduction</w:t>
      </w:r>
    </w:p>
    <w:p w14:paraId="688B77CE" w14:textId="3BB2EBE1" w:rsidR="008B5E24" w:rsidRDefault="008913A8" w:rsidP="00E67674">
      <w:pPr>
        <w:spacing w:line="480" w:lineRule="auto"/>
      </w:pPr>
      <w:r>
        <w:t xml:space="preserve">The presence of </w:t>
      </w:r>
      <w:r w:rsidR="00B02C8F">
        <w:t>peripheral artery disease (</w:t>
      </w:r>
      <w:r>
        <w:t>PAD</w:t>
      </w:r>
      <w:r w:rsidR="00B02C8F">
        <w:t>)</w:t>
      </w:r>
      <w:r>
        <w:t xml:space="preserve"> </w:t>
      </w:r>
      <w:r w:rsidR="00B02C8F">
        <w:t xml:space="preserve">is </w:t>
      </w:r>
      <w:r>
        <w:t>a marker of a malignant vascular phenotype with event rates exceeding those of other stable populations with atherosclerosis</w:t>
      </w:r>
      <w:r w:rsidR="00B02C8F">
        <w:t>,</w:t>
      </w:r>
      <w:r>
        <w:t xml:space="preserve"> particularly in the setting of </w:t>
      </w:r>
      <w:proofErr w:type="spellStart"/>
      <w:r>
        <w:t>polyvascular</w:t>
      </w:r>
      <w:proofErr w:type="spellEnd"/>
      <w:r>
        <w:t xml:space="preserve"> disease.</w:t>
      </w:r>
      <w:r w:rsidR="00CB197F">
        <w:fldChar w:fldCharType="begin"/>
      </w:r>
      <w:r w:rsidR="000A2DFD">
        <w:instrText>ADDIN RW.CITE{{1096 Suarez,C. 2010;2110 Criqui,M.H. 2015;2077 Bonaca,M.P. 2016}}</w:instrText>
      </w:r>
      <w:r w:rsidR="00CB197F">
        <w:fldChar w:fldCharType="separate"/>
      </w:r>
      <w:r w:rsidR="00725A97" w:rsidRPr="00725A97">
        <w:rPr>
          <w:rFonts w:eastAsia="Times New Roman"/>
          <w:vertAlign w:val="superscript"/>
        </w:rPr>
        <w:t xml:space="preserve"> 1-3</w:t>
      </w:r>
      <w:r w:rsidR="00CB197F">
        <w:fldChar w:fldCharType="end"/>
      </w:r>
      <w:r>
        <w:t xml:space="preserve"> </w:t>
      </w:r>
      <w:r w:rsidR="00B02C8F">
        <w:t>Thus, patients with symptomatic PAD are at heightened risk of major adverse cardiovascular events (MACE) including myocardial infarction, stroke and cardiovascular death.</w:t>
      </w:r>
      <w:r w:rsidR="00B02C8F">
        <w:fldChar w:fldCharType="begin"/>
      </w:r>
      <w:r w:rsidR="000A2DFD">
        <w:instrText>ADDIN RW.CITE{{2527 Aboyans,V. 2017;2211 Gerhard-Herman,M.D. 2016}}</w:instrText>
      </w:r>
      <w:r w:rsidR="00B02C8F">
        <w:fldChar w:fldCharType="separate"/>
      </w:r>
      <w:r w:rsidR="00725A97" w:rsidRPr="00725A97">
        <w:rPr>
          <w:rFonts w:eastAsia="Times New Roman"/>
          <w:vertAlign w:val="superscript"/>
        </w:rPr>
        <w:t xml:space="preserve"> 4,5</w:t>
      </w:r>
      <w:r w:rsidR="00B02C8F">
        <w:fldChar w:fldCharType="end"/>
      </w:r>
      <w:r w:rsidR="00B02C8F">
        <w:t xml:space="preserve"> </w:t>
      </w:r>
      <w:r w:rsidR="008610D9">
        <w:t>In addition and i</w:t>
      </w:r>
      <w:r w:rsidR="00B02C8F">
        <w:t xml:space="preserve">mportantly, </w:t>
      </w:r>
      <w:r w:rsidR="008B5E24">
        <w:t>patients with PAD suffer significant morbidity from major adverse limb events (MALE)</w:t>
      </w:r>
      <w:r w:rsidR="00655CEE">
        <w:t xml:space="preserve"> including acute limb ischemia, urgent peripheral revascularization and major amputation</w:t>
      </w:r>
      <w:r w:rsidR="008B5E24">
        <w:t>.</w:t>
      </w:r>
      <w:r w:rsidR="00CB197F">
        <w:fldChar w:fldCharType="begin"/>
      </w:r>
      <w:r w:rsidR="000A2DFD">
        <w:instrText>ADDIN RW.CITE{{2001 Kumbhani,D.J. 2014;2215 Jones,W.S. 2016;1436 Bonaca,M.P. 2013}}</w:instrText>
      </w:r>
      <w:r w:rsidR="00CB197F">
        <w:fldChar w:fldCharType="separate"/>
      </w:r>
      <w:r w:rsidR="00725A97" w:rsidRPr="00725A97">
        <w:rPr>
          <w:rFonts w:eastAsia="Times New Roman"/>
          <w:vertAlign w:val="superscript"/>
        </w:rPr>
        <w:t xml:space="preserve"> 6-8</w:t>
      </w:r>
      <w:r w:rsidR="00CB197F">
        <w:fldChar w:fldCharType="end"/>
      </w:r>
      <w:r w:rsidR="008B5E24">
        <w:t xml:space="preserve"> </w:t>
      </w:r>
    </w:p>
    <w:p w14:paraId="29B90382" w14:textId="77777777" w:rsidR="008913A8" w:rsidRDefault="008913A8" w:rsidP="008913A8">
      <w:pPr>
        <w:spacing w:line="480" w:lineRule="auto"/>
      </w:pPr>
    </w:p>
    <w:p w14:paraId="2126C7EE" w14:textId="45A49EC5" w:rsidR="006B243D" w:rsidRDefault="006B243D" w:rsidP="00462E11">
      <w:pPr>
        <w:spacing w:line="480" w:lineRule="auto"/>
      </w:pPr>
      <w:r>
        <w:t xml:space="preserve">Although </w:t>
      </w:r>
      <w:r w:rsidR="00A20227">
        <w:t>lipid-lowering</w:t>
      </w:r>
      <w:r w:rsidR="008B5E24">
        <w:t xml:space="preserve"> therapy has been shown to reduce MACE in stable patients with coronary heart disease or atherosclerosis risk factors</w:t>
      </w:r>
      <w:r>
        <w:t xml:space="preserve">, </w:t>
      </w:r>
      <w:r w:rsidR="008B5E24">
        <w:t xml:space="preserve">there have been </w:t>
      </w:r>
      <w:r>
        <w:t xml:space="preserve">few </w:t>
      </w:r>
      <w:r w:rsidR="00A20227">
        <w:t>well-powered</w:t>
      </w:r>
      <w:r w:rsidR="008B5E24">
        <w:t xml:space="preserve"> prospective randomized trials of </w:t>
      </w:r>
      <w:r w:rsidR="00B02C8F">
        <w:t xml:space="preserve">low-density lipoprotein </w:t>
      </w:r>
      <w:r w:rsidR="008B5E24">
        <w:t xml:space="preserve">LDL </w:t>
      </w:r>
      <w:r w:rsidR="00B02C8F">
        <w:t xml:space="preserve">cholesterol (LDL-C) </w:t>
      </w:r>
      <w:r w:rsidR="008B5E24">
        <w:t xml:space="preserve">reduction </w:t>
      </w:r>
      <w:r w:rsidR="00DE15A1">
        <w:t xml:space="preserve">specifically </w:t>
      </w:r>
      <w:r w:rsidR="008B5E24">
        <w:t>in patients with PAD</w:t>
      </w:r>
      <w:r>
        <w:t>.</w:t>
      </w:r>
      <w:r w:rsidR="001C1DC6">
        <w:fldChar w:fldCharType="begin"/>
      </w:r>
      <w:r w:rsidR="000A2DFD">
        <w:instrText>ADDIN RW.CITE{{1565 Aung,P.P. 2007}}</w:instrText>
      </w:r>
      <w:r w:rsidR="001C1DC6">
        <w:fldChar w:fldCharType="separate"/>
      </w:r>
      <w:r w:rsidR="00725A97" w:rsidRPr="00725A97">
        <w:rPr>
          <w:rFonts w:eastAsia="Times New Roman"/>
          <w:vertAlign w:val="superscript"/>
        </w:rPr>
        <w:t xml:space="preserve"> 9</w:t>
      </w:r>
      <w:r w:rsidR="001C1DC6">
        <w:fldChar w:fldCharType="end"/>
      </w:r>
      <w:r>
        <w:t xml:space="preserve"> </w:t>
      </w:r>
      <w:r w:rsidR="00DE15A1">
        <w:t xml:space="preserve"> Moreover, these trials have not specifically looked at the ability of LDL-C lowering to reduce the risk of MALE.</w:t>
      </w:r>
      <w:r w:rsidR="00DE15A1">
        <w:fldChar w:fldCharType="begin"/>
      </w:r>
      <w:r w:rsidR="000A2DFD">
        <w:instrText>ADDIN RW.CITE{{1623 Aronow,W.S. 2003;1622 Mohler,E.R.,3rd 2003;2001 Kumbhani,D.J. 2014;1627 Spring,S. 2008;1556 Schanzer,A. 2008}}</w:instrText>
      </w:r>
      <w:r w:rsidR="00DE15A1">
        <w:fldChar w:fldCharType="separate"/>
      </w:r>
      <w:r w:rsidR="00725A97" w:rsidRPr="00725A97">
        <w:rPr>
          <w:rFonts w:eastAsia="Times New Roman"/>
          <w:vertAlign w:val="superscript"/>
        </w:rPr>
        <w:t xml:space="preserve"> 6,10-13</w:t>
      </w:r>
      <w:r w:rsidR="00DE15A1">
        <w:fldChar w:fldCharType="end"/>
      </w:r>
      <w:r w:rsidR="00462E11">
        <w:t xml:space="preserve"> Lastly, as PAD has often been used simply as a risk enhancer, little is known about </w:t>
      </w:r>
      <w:r w:rsidR="00F05B79">
        <w:t xml:space="preserve">the effect of LDL-C lowering in </w:t>
      </w:r>
      <w:r w:rsidR="00DE15A1">
        <w:t xml:space="preserve">PAD patients </w:t>
      </w:r>
      <w:r w:rsidR="00462E11">
        <w:t xml:space="preserve">without </w:t>
      </w:r>
      <w:r>
        <w:t>prior MI or stroke.</w:t>
      </w:r>
      <w:r w:rsidR="001C1DC6">
        <w:fldChar w:fldCharType="begin"/>
      </w:r>
      <w:r w:rsidR="000A2DFD">
        <w:instrText>ADDIN RW.CITE{{1565 Aung,P.P. 2007; 1436 Bonaca,M.P. 2013; 2645 AnandS.etal. 2017; 2657 Hiatt,W.R. 2017}}</w:instrText>
      </w:r>
      <w:r w:rsidR="001C1DC6">
        <w:fldChar w:fldCharType="separate"/>
      </w:r>
      <w:r w:rsidR="00725A97" w:rsidRPr="00725A97">
        <w:rPr>
          <w:rFonts w:eastAsia="Times New Roman"/>
          <w:vertAlign w:val="superscript"/>
        </w:rPr>
        <w:t xml:space="preserve"> 8,9,14,15</w:t>
      </w:r>
      <w:r w:rsidR="001C1DC6">
        <w:fldChar w:fldCharType="end"/>
      </w:r>
      <w:r>
        <w:t xml:space="preserve"> </w:t>
      </w:r>
    </w:p>
    <w:p w14:paraId="071F8DB6" w14:textId="01C4A10E" w:rsidR="008B5E24" w:rsidRDefault="008B5E24" w:rsidP="00E67674">
      <w:pPr>
        <w:spacing w:line="480" w:lineRule="auto"/>
      </w:pPr>
    </w:p>
    <w:p w14:paraId="2A3FD52D" w14:textId="1E420C26" w:rsidR="00E672E4" w:rsidRDefault="00462E11" w:rsidP="00E67674">
      <w:pPr>
        <w:spacing w:line="480" w:lineRule="auto"/>
      </w:pPr>
      <w:r>
        <w:t xml:space="preserve">FOURIER was a very large cardiovascular outcomes trial of the PCSK9 inhibitor evolocumab and enrolled patients with atherosclerotic disease, </w:t>
      </w:r>
      <w:r w:rsidR="0040094A">
        <w:t>in either the coronary, cerebrovascular or peripheral arterial bed</w:t>
      </w:r>
      <w:r>
        <w:t>. FOURIER thus allowed us to test the following hypotheses:</w:t>
      </w:r>
      <w:r w:rsidR="008913A8">
        <w:t xml:space="preserve"> </w:t>
      </w:r>
      <w:r>
        <w:t xml:space="preserve">(1) </w:t>
      </w:r>
      <w:r w:rsidR="008913A8">
        <w:t>patients with PAD would be a</w:t>
      </w:r>
      <w:r>
        <w:t>t</w:t>
      </w:r>
      <w:r w:rsidR="008913A8">
        <w:t xml:space="preserve"> greater risk of MACE relative to patients with coronary or cerebrovascular disease without PAD; </w:t>
      </w:r>
      <w:r>
        <w:t xml:space="preserve">(2) </w:t>
      </w:r>
      <w:r w:rsidR="00C43D50">
        <w:t xml:space="preserve">consistent relative </w:t>
      </w:r>
      <w:r w:rsidR="00C43D50">
        <w:lastRenderedPageBreak/>
        <w:t>risk reductions in MACE with evol</w:t>
      </w:r>
      <w:r>
        <w:t>o</w:t>
      </w:r>
      <w:r w:rsidR="00C43D50">
        <w:t>cumab would translate to larger absolute risk reductions in patients wit</w:t>
      </w:r>
      <w:r w:rsidR="000329E4">
        <w:t>h PAD relative to those without</w:t>
      </w:r>
      <w:r w:rsidR="00C43D50">
        <w:t xml:space="preserve">; and </w:t>
      </w:r>
      <w:r>
        <w:t xml:space="preserve">(3) </w:t>
      </w:r>
      <w:r w:rsidR="00C43D50">
        <w:t>LDL-C reduction with evolocumab would significantly reduce MALE with benefits extending to very low levels of LDL-C.</w:t>
      </w:r>
      <w:r w:rsidR="0095216A">
        <w:t xml:space="preserve"> </w:t>
      </w:r>
    </w:p>
    <w:p w14:paraId="1095E8C4" w14:textId="77777777" w:rsidR="008B5E24" w:rsidRDefault="008B5E24" w:rsidP="00E67674">
      <w:pPr>
        <w:spacing w:line="480" w:lineRule="auto"/>
      </w:pPr>
    </w:p>
    <w:p w14:paraId="6DE1E015" w14:textId="77777777" w:rsidR="00E672E4" w:rsidRPr="003B1CFC" w:rsidRDefault="00E672E4" w:rsidP="00E672E4">
      <w:pPr>
        <w:spacing w:line="480" w:lineRule="auto"/>
        <w:rPr>
          <w:b/>
        </w:rPr>
      </w:pPr>
      <w:r w:rsidRPr="003B1CFC">
        <w:rPr>
          <w:b/>
        </w:rPr>
        <w:t>METHODS</w:t>
      </w:r>
    </w:p>
    <w:p w14:paraId="514C53FF" w14:textId="77777777" w:rsidR="000C63BD" w:rsidRPr="000C63BD" w:rsidRDefault="00E672E4" w:rsidP="005500AD">
      <w:pPr>
        <w:pStyle w:val="BodyTextIndent"/>
        <w:tabs>
          <w:tab w:val="left" w:pos="720"/>
        </w:tabs>
        <w:spacing w:line="480" w:lineRule="auto"/>
        <w:ind w:left="0"/>
        <w:rPr>
          <w:rFonts w:eastAsia="Times New Roman"/>
          <w:b/>
          <w:bCs/>
          <w:lang w:eastAsia="en-US"/>
        </w:rPr>
      </w:pPr>
      <w:r w:rsidRPr="000C63BD">
        <w:rPr>
          <w:rFonts w:eastAsia="Times New Roman"/>
          <w:b/>
          <w:bCs/>
          <w:lang w:eastAsia="en-US"/>
        </w:rPr>
        <w:t>Study Population</w:t>
      </w:r>
    </w:p>
    <w:p w14:paraId="09DFF6E0" w14:textId="263E84E9" w:rsidR="005500AD" w:rsidRDefault="00DA2A25" w:rsidP="005500AD">
      <w:pPr>
        <w:pStyle w:val="BodyTextIndent"/>
        <w:tabs>
          <w:tab w:val="left" w:pos="720"/>
        </w:tabs>
        <w:spacing w:line="480" w:lineRule="auto"/>
        <w:ind w:left="0"/>
        <w:rPr>
          <w:rFonts w:eastAsia="Times New Roman"/>
          <w:bCs/>
          <w:lang w:eastAsia="en-US"/>
        </w:rPr>
      </w:pPr>
      <w:r w:rsidRPr="008B5E24">
        <w:rPr>
          <w:rFonts w:eastAsia="Times New Roman"/>
          <w:bCs/>
          <w:lang w:eastAsia="en-US"/>
        </w:rPr>
        <w:t>The FOURIER trial design has been previously described.</w:t>
      </w:r>
      <w:r w:rsidR="00FC5538">
        <w:rPr>
          <w:rFonts w:eastAsia="Times New Roman"/>
          <w:bCs/>
          <w:lang w:eastAsia="en-US"/>
        </w:rPr>
        <w:fldChar w:fldCharType="begin"/>
      </w:r>
      <w:r w:rsidR="000A2DFD">
        <w:rPr>
          <w:rFonts w:eastAsia="Times New Roman"/>
          <w:bCs/>
          <w:lang w:eastAsia="en-US"/>
        </w:rPr>
        <w:instrText>ADDIN RW.CITE{{2644 Sabatine,M.S. 2016}}</w:instrText>
      </w:r>
      <w:r w:rsidR="00FC5538">
        <w:rPr>
          <w:rFonts w:eastAsia="Times New Roman"/>
          <w:bCs/>
          <w:lang w:eastAsia="en-US"/>
        </w:rPr>
        <w:fldChar w:fldCharType="separate"/>
      </w:r>
      <w:r w:rsidR="00725A97" w:rsidRPr="00725A97">
        <w:rPr>
          <w:rFonts w:eastAsia="Times New Roman"/>
          <w:vertAlign w:val="superscript"/>
        </w:rPr>
        <w:t xml:space="preserve"> 16</w:t>
      </w:r>
      <w:r w:rsidR="00FC5538">
        <w:rPr>
          <w:rFonts w:eastAsia="Times New Roman"/>
          <w:bCs/>
          <w:lang w:eastAsia="en-US"/>
        </w:rPr>
        <w:fldChar w:fldCharType="end"/>
      </w:r>
      <w:r w:rsidRPr="008B5E24">
        <w:rPr>
          <w:rFonts w:eastAsia="Times New Roman"/>
          <w:bCs/>
          <w:lang w:eastAsia="en-US"/>
        </w:rPr>
        <w:t xml:space="preserve"> </w:t>
      </w:r>
      <w:r w:rsidR="00FB401C" w:rsidRPr="00FB401C">
        <w:t>The study was approved by an institutional review committee and all subjects gave informed consent</w:t>
      </w:r>
      <w:r w:rsidR="00FB401C" w:rsidRPr="00FB401C">
        <w:rPr>
          <w:rFonts w:eastAsia="Times New Roman"/>
          <w:bCs/>
          <w:lang w:eastAsia="en-US"/>
        </w:rPr>
        <w:t>.</w:t>
      </w:r>
      <w:r w:rsidR="00FB401C">
        <w:rPr>
          <w:rFonts w:eastAsia="Times New Roman"/>
          <w:bCs/>
          <w:lang w:eastAsia="en-US"/>
        </w:rPr>
        <w:t xml:space="preserve"> </w:t>
      </w:r>
      <w:r w:rsidRPr="008B5E24">
        <w:rPr>
          <w:rFonts w:eastAsia="Times New Roman"/>
          <w:bCs/>
          <w:lang w:eastAsia="en-US"/>
        </w:rPr>
        <w:t>Patients with clinically evident atherosclerotic cardiovascular disease including prior myocardial infarction, prior ischemic stroke</w:t>
      </w:r>
      <w:r w:rsidR="00116231">
        <w:rPr>
          <w:rFonts w:eastAsia="Times New Roman"/>
          <w:bCs/>
          <w:lang w:eastAsia="en-US"/>
        </w:rPr>
        <w:t>, or</w:t>
      </w:r>
      <w:r w:rsidRPr="008B5E24">
        <w:rPr>
          <w:rFonts w:eastAsia="Times New Roman"/>
          <w:bCs/>
          <w:lang w:eastAsia="en-US"/>
        </w:rPr>
        <w:t xml:space="preserve"> symptomatic peripheral artery disease were randomized in a 1:1 ratio to evolocumab or placebo. Patients were eligible to qualify with symptomatic peripheral artery disease if they had either</w:t>
      </w:r>
      <w:r w:rsidR="00116231">
        <w:rPr>
          <w:rFonts w:eastAsia="Times New Roman"/>
          <w:bCs/>
          <w:lang w:eastAsia="en-US"/>
        </w:rPr>
        <w:t>:</w:t>
      </w:r>
      <w:r w:rsidRPr="008B5E24">
        <w:rPr>
          <w:rFonts w:eastAsia="Times New Roman"/>
          <w:bCs/>
          <w:lang w:eastAsia="en-US"/>
        </w:rPr>
        <w:t xml:space="preserve"> intermittent claudication and an ankle brachial index (ABI) &lt; 0.85, a history of a peripheral artery revascularization procedure, or a history of amputation due to atherosclerotic disease. </w:t>
      </w:r>
      <w:r w:rsidR="00116231">
        <w:rPr>
          <w:rFonts w:eastAsia="Times New Roman"/>
          <w:bCs/>
          <w:lang w:eastAsia="en-US"/>
        </w:rPr>
        <w:t xml:space="preserve">In addition to the prespecified subgroup based on symptomatic </w:t>
      </w:r>
      <w:r w:rsidR="00116231" w:rsidRPr="008B5E24">
        <w:rPr>
          <w:rFonts w:eastAsia="Times New Roman"/>
          <w:bCs/>
          <w:lang w:eastAsia="en-US"/>
        </w:rPr>
        <w:t xml:space="preserve">lower extremity </w:t>
      </w:r>
      <w:r w:rsidR="00116231">
        <w:rPr>
          <w:rFonts w:eastAsia="Times New Roman"/>
          <w:bCs/>
          <w:lang w:eastAsia="en-US"/>
        </w:rPr>
        <w:t>PAD, we also examined</w:t>
      </w:r>
      <w:r w:rsidR="003112D9">
        <w:rPr>
          <w:rFonts w:eastAsia="Times New Roman"/>
          <w:bCs/>
          <w:lang w:eastAsia="en-US"/>
        </w:rPr>
        <w:t xml:space="preserve"> as part of a post-hoc exploratory analysis</w:t>
      </w:r>
      <w:r w:rsidR="00116231">
        <w:rPr>
          <w:rFonts w:eastAsia="Times New Roman"/>
          <w:bCs/>
          <w:lang w:eastAsia="en-US"/>
        </w:rPr>
        <w:t xml:space="preserve"> a more restricted</w:t>
      </w:r>
      <w:r w:rsidR="003112D9">
        <w:rPr>
          <w:rFonts w:eastAsia="Times New Roman"/>
          <w:bCs/>
          <w:lang w:eastAsia="en-US"/>
        </w:rPr>
        <w:t xml:space="preserve"> population</w:t>
      </w:r>
      <w:r w:rsidR="00116231">
        <w:rPr>
          <w:rFonts w:eastAsia="Times New Roman"/>
          <w:bCs/>
          <w:lang w:eastAsia="en-US"/>
        </w:rPr>
        <w:t xml:space="preserve"> </w:t>
      </w:r>
      <w:r w:rsidR="009C1A78" w:rsidRPr="008B5E24">
        <w:rPr>
          <w:rFonts w:eastAsia="Times New Roman"/>
          <w:bCs/>
          <w:lang w:eastAsia="en-US"/>
        </w:rPr>
        <w:t xml:space="preserve">defined as patients with symptomatic lower extremity PAD </w:t>
      </w:r>
      <w:bookmarkStart w:id="1" w:name="_Toc426015371"/>
      <w:r w:rsidR="005500AD" w:rsidRPr="005500AD">
        <w:rPr>
          <w:rFonts w:eastAsia="Times New Roman"/>
          <w:bCs/>
          <w:lang w:eastAsia="en-US"/>
        </w:rPr>
        <w:t xml:space="preserve">but with no history of </w:t>
      </w:r>
      <w:r w:rsidR="00F05B79">
        <w:rPr>
          <w:rFonts w:eastAsia="Times New Roman"/>
          <w:bCs/>
          <w:lang w:eastAsia="en-US"/>
        </w:rPr>
        <w:t>MI</w:t>
      </w:r>
      <w:r w:rsidR="005500AD" w:rsidRPr="005500AD">
        <w:rPr>
          <w:rFonts w:eastAsia="Times New Roman"/>
          <w:bCs/>
          <w:lang w:eastAsia="en-US"/>
        </w:rPr>
        <w:t xml:space="preserve"> or stroke</w:t>
      </w:r>
      <w:r w:rsidR="00595582">
        <w:rPr>
          <w:rFonts w:eastAsia="Times New Roman"/>
          <w:bCs/>
          <w:lang w:eastAsia="en-US"/>
        </w:rPr>
        <w:t>.</w:t>
      </w:r>
    </w:p>
    <w:p w14:paraId="639F8BC1" w14:textId="21989848" w:rsidR="005500AD" w:rsidRDefault="005500AD" w:rsidP="005500AD">
      <w:pPr>
        <w:pStyle w:val="BodyTextIndent"/>
        <w:tabs>
          <w:tab w:val="left" w:pos="720"/>
        </w:tabs>
        <w:spacing w:line="480" w:lineRule="auto"/>
        <w:ind w:left="0"/>
        <w:rPr>
          <w:rFonts w:eastAsia="Times New Roman"/>
          <w:b/>
          <w:bCs/>
          <w:lang w:eastAsia="en-US"/>
        </w:rPr>
      </w:pPr>
      <w:r w:rsidRPr="005500AD">
        <w:rPr>
          <w:rFonts w:eastAsia="Times New Roman"/>
          <w:b/>
          <w:bCs/>
          <w:lang w:eastAsia="en-US"/>
        </w:rPr>
        <w:t>Endpoints</w:t>
      </w:r>
    </w:p>
    <w:p w14:paraId="7D9C7ECB" w14:textId="3D8BE970" w:rsidR="002B7CF3" w:rsidRDefault="00DA2A25" w:rsidP="00144E10">
      <w:pPr>
        <w:pStyle w:val="BodyTextIndent"/>
        <w:tabs>
          <w:tab w:val="left" w:pos="720"/>
        </w:tabs>
        <w:spacing w:line="480" w:lineRule="auto"/>
        <w:ind w:left="0"/>
      </w:pPr>
      <w:r w:rsidRPr="005500AD">
        <w:t>The primary efficacy end</w:t>
      </w:r>
      <w:r w:rsidR="00116231">
        <w:t>point</w:t>
      </w:r>
      <w:r w:rsidRPr="005500AD">
        <w:t xml:space="preserve"> </w:t>
      </w:r>
      <w:r w:rsidR="00F5520F">
        <w:t xml:space="preserve">in FOURIER </w:t>
      </w:r>
      <w:r w:rsidRPr="005500AD">
        <w:t xml:space="preserve">was major cardiovascular events, defined as the composite of cardiovascular death, </w:t>
      </w:r>
      <w:r w:rsidR="00F05B79">
        <w:t>MI</w:t>
      </w:r>
      <w:r w:rsidRPr="005500AD">
        <w:t xml:space="preserve">, stroke, hospitalization for unstable angina, or coronary revascularization. </w:t>
      </w:r>
      <w:r w:rsidR="00AA4D33">
        <w:t xml:space="preserve">The </w:t>
      </w:r>
      <w:r w:rsidR="00AA4D33" w:rsidRPr="005500AD">
        <w:t xml:space="preserve">key secondary endpoint </w:t>
      </w:r>
      <w:r w:rsidR="00AA4D33">
        <w:t xml:space="preserve">was </w:t>
      </w:r>
      <w:r w:rsidRPr="005500AD">
        <w:t>the composite of CV death, MI or stroke</w:t>
      </w:r>
      <w:r w:rsidR="00AA4D33">
        <w:t xml:space="preserve">. Other secondary endpoints included </w:t>
      </w:r>
      <w:r w:rsidRPr="005500AD">
        <w:t xml:space="preserve">the components of the primary </w:t>
      </w:r>
      <w:r w:rsidRPr="005500AD">
        <w:lastRenderedPageBreak/>
        <w:t>endpoint. Cardiovascular events were adjudicated by a blinded clinical event committee (CEC). Limb outcomes were prospectively ascertained through investigator reporting on dedicated electronic case report form pages</w:t>
      </w:r>
      <w:r w:rsidR="00514C01" w:rsidRPr="005500AD">
        <w:t xml:space="preserve"> and through adverse event forms</w:t>
      </w:r>
      <w:r w:rsidRPr="005500AD">
        <w:t xml:space="preserve">. </w:t>
      </w:r>
      <w:r w:rsidR="003D6504" w:rsidRPr="005500AD">
        <w:t xml:space="preserve">Limb outcomes were adjudicated by two blinded vascular medicine </w:t>
      </w:r>
      <w:r w:rsidR="00211F9C">
        <w:t>specialists</w:t>
      </w:r>
      <w:r w:rsidR="00492FAB">
        <w:t xml:space="preserve"> (Cohen’s Kappa for adjudicator agreement 0.903)</w:t>
      </w:r>
      <w:r w:rsidR="003D6504" w:rsidRPr="005500AD">
        <w:t xml:space="preserve">. </w:t>
      </w:r>
      <w:r w:rsidR="00631F12">
        <w:t xml:space="preserve">Similar to </w:t>
      </w:r>
      <w:r w:rsidR="00FC5538">
        <w:t xml:space="preserve">other recent trials evaluating medical therapies in patients with PAD, MALE was defined as the composite of acute limb ischemia (ALI), </w:t>
      </w:r>
      <w:r w:rsidR="003D6504" w:rsidRPr="005500AD">
        <w:t xml:space="preserve">major amputation (above the knee, AKA or below the knee BKA, excluding forefoot or toe), </w:t>
      </w:r>
      <w:r w:rsidR="00FC5538">
        <w:t xml:space="preserve">or </w:t>
      </w:r>
      <w:r w:rsidR="003D6504" w:rsidRPr="005500AD">
        <w:t xml:space="preserve">urgent revascularization (thrombolysis </w:t>
      </w:r>
      <w:r w:rsidR="001C1DC6">
        <w:t>or urgent vascular intervention</w:t>
      </w:r>
      <w:r w:rsidR="001B23ED">
        <w:t xml:space="preserve"> for ischemia</w:t>
      </w:r>
      <w:r w:rsidR="001C1DC6">
        <w:t>)</w:t>
      </w:r>
      <w:r w:rsidR="00FC5538">
        <w:t>.</w:t>
      </w:r>
      <w:r w:rsidR="001C1DC6">
        <w:fldChar w:fldCharType="begin"/>
      </w:r>
      <w:r w:rsidR="000A2DFD">
        <w:instrText>ADDIN RW.CITE{{1436 Bonaca,M.P. 2013; 2078 Bonaca,M.P. 2016; 2077 Bonaca,M.P. 2016; 2645 AnandS.etal. 2017; 2657 Hiatt,W.R. 2017}}</w:instrText>
      </w:r>
      <w:r w:rsidR="001C1DC6">
        <w:fldChar w:fldCharType="separate"/>
      </w:r>
      <w:r w:rsidR="00725A97" w:rsidRPr="00725A97">
        <w:rPr>
          <w:rFonts w:eastAsia="Times New Roman"/>
          <w:vertAlign w:val="superscript"/>
        </w:rPr>
        <w:t xml:space="preserve"> 3</w:t>
      </w:r>
      <w:proofErr w:type="gramStart"/>
      <w:r w:rsidR="00725A97" w:rsidRPr="00725A97">
        <w:rPr>
          <w:rFonts w:eastAsia="Times New Roman"/>
          <w:vertAlign w:val="superscript"/>
        </w:rPr>
        <w:t>,8,14,15,17</w:t>
      </w:r>
      <w:proofErr w:type="gramEnd"/>
      <w:r w:rsidR="001C1DC6">
        <w:fldChar w:fldCharType="end"/>
      </w:r>
      <w:r w:rsidR="00FC5538">
        <w:t xml:space="preserve"> </w:t>
      </w:r>
      <w:r w:rsidR="001C74BF" w:rsidRPr="001C74BF">
        <w:t>Acute limb ischemia (ALI) required both a clinical presentation consistent with acute ischemia (symptoms consistent with a rapid or sudden decrease in limb perfusion lasting less than 2 weeks) including findings on physic</w:t>
      </w:r>
      <w:r w:rsidR="001C74BF">
        <w:t>al examination and/or imaging.”</w:t>
      </w:r>
      <w:r w:rsidR="001B23ED">
        <w:fldChar w:fldCharType="begin"/>
      </w:r>
      <w:r w:rsidR="000A2DFD">
        <w:instrText>ADDIN RW.CITE{{2078 Bonaca,M.P. 2016}}</w:instrText>
      </w:r>
      <w:r w:rsidR="001B23ED">
        <w:fldChar w:fldCharType="separate"/>
      </w:r>
      <w:r w:rsidR="00725A97" w:rsidRPr="00725A97">
        <w:rPr>
          <w:rFonts w:eastAsia="Times New Roman"/>
          <w:vertAlign w:val="superscript"/>
        </w:rPr>
        <w:t xml:space="preserve"> 17</w:t>
      </w:r>
      <w:r w:rsidR="001B23ED">
        <w:fldChar w:fldCharType="end"/>
      </w:r>
      <w:r w:rsidR="007D4FB0">
        <w:t xml:space="preserve"> </w:t>
      </w:r>
      <w:r w:rsidR="00E81083">
        <w:t>Acute limb ischemia and u</w:t>
      </w:r>
      <w:r w:rsidR="007D4FB0">
        <w:t>rgent revasculariz</w:t>
      </w:r>
      <w:r w:rsidR="001B23ED">
        <w:t>ation for ischemia</w:t>
      </w:r>
      <w:r w:rsidR="007D4FB0">
        <w:t xml:space="preserve"> </w:t>
      </w:r>
      <w:r w:rsidR="00E81083">
        <w:t xml:space="preserve">were identified by </w:t>
      </w:r>
      <w:r w:rsidR="007D4FB0">
        <w:t xml:space="preserve">trained </w:t>
      </w:r>
      <w:r w:rsidR="00E81083">
        <w:t>vascular medicine specialists</w:t>
      </w:r>
      <w:r w:rsidR="007D4FB0">
        <w:t xml:space="preserve"> blinded to treatment assignment.</w:t>
      </w:r>
      <w:r w:rsidR="001B23ED">
        <w:fldChar w:fldCharType="begin"/>
      </w:r>
      <w:r w:rsidR="000A2DFD">
        <w:instrText>ADDIN RW.CITE{{2077 Bonaca,M.P. 2016}}</w:instrText>
      </w:r>
      <w:r w:rsidR="001B23ED">
        <w:fldChar w:fldCharType="separate"/>
      </w:r>
      <w:r w:rsidR="00725A97" w:rsidRPr="00725A97">
        <w:rPr>
          <w:rFonts w:eastAsia="Times New Roman"/>
          <w:vertAlign w:val="superscript"/>
        </w:rPr>
        <w:t xml:space="preserve"> 3</w:t>
      </w:r>
      <w:r w:rsidR="001B23ED">
        <w:fldChar w:fldCharType="end"/>
      </w:r>
      <w:r w:rsidR="00142A97">
        <w:t xml:space="preserve">In addition, all </w:t>
      </w:r>
      <w:r w:rsidR="003D6504" w:rsidRPr="005500AD">
        <w:t>per</w:t>
      </w:r>
      <w:r w:rsidR="00FC5538">
        <w:t>ipheral artery revascularization</w:t>
      </w:r>
      <w:r w:rsidR="00B367A4">
        <w:t xml:space="preserve"> and amputation procedures </w:t>
      </w:r>
      <w:r w:rsidR="00142A97">
        <w:t xml:space="preserve">were recorded </w:t>
      </w:r>
      <w:r w:rsidR="00422CA9">
        <w:t>by the site</w:t>
      </w:r>
      <w:r w:rsidR="00D04CEE">
        <w:t xml:space="preserve"> in the electronic case report form</w:t>
      </w:r>
      <w:r w:rsidR="003D6504" w:rsidRPr="005500AD">
        <w:t xml:space="preserve">. </w:t>
      </w:r>
      <w:r w:rsidR="00F5520F">
        <w:t>Analogous to other trials, a combined endpoint of MACE and MALE was examined.</w:t>
      </w:r>
      <w:r w:rsidR="00631F12">
        <w:fldChar w:fldCharType="begin"/>
      </w:r>
      <w:r w:rsidR="000A2DFD">
        <w:instrText>ADDIN RW.CITE{{2645 AnandS.etal. 2017; 2648 Eikelboom,J.W. 2017}}</w:instrText>
      </w:r>
      <w:r w:rsidR="00631F12">
        <w:fldChar w:fldCharType="separate"/>
      </w:r>
      <w:r w:rsidR="00725A97" w:rsidRPr="00725A97">
        <w:rPr>
          <w:rFonts w:eastAsia="Times New Roman"/>
          <w:vertAlign w:val="superscript"/>
        </w:rPr>
        <w:t xml:space="preserve"> 14,18</w:t>
      </w:r>
      <w:r w:rsidR="00631F12">
        <w:fldChar w:fldCharType="end"/>
      </w:r>
      <w:r w:rsidR="00F5520F">
        <w:t xml:space="preserve"> </w:t>
      </w:r>
      <w:r w:rsidR="00144E10">
        <w:t>Prespecified safety endpoints as defined in the primary analysis were included for the PAD subgroup.</w:t>
      </w:r>
      <w:r w:rsidR="00FC5538">
        <w:fldChar w:fldCharType="begin"/>
      </w:r>
      <w:r w:rsidR="000A2DFD">
        <w:instrText>ADDIN RW.CITE{{2641 Sabatine,M.S. 2017}}</w:instrText>
      </w:r>
      <w:r w:rsidR="00FC5538">
        <w:fldChar w:fldCharType="separate"/>
      </w:r>
      <w:r w:rsidR="00725A97" w:rsidRPr="00725A97">
        <w:rPr>
          <w:rFonts w:eastAsia="Times New Roman"/>
          <w:vertAlign w:val="superscript"/>
        </w:rPr>
        <w:t xml:space="preserve"> 19</w:t>
      </w:r>
      <w:r w:rsidR="00FC5538">
        <w:fldChar w:fldCharType="end"/>
      </w:r>
    </w:p>
    <w:p w14:paraId="696DF11E" w14:textId="77777777" w:rsidR="00D26378" w:rsidRDefault="00E672E4" w:rsidP="00144E10">
      <w:pPr>
        <w:pStyle w:val="BodyTextIndent"/>
        <w:tabs>
          <w:tab w:val="left" w:pos="720"/>
        </w:tabs>
        <w:spacing w:line="480" w:lineRule="auto"/>
        <w:ind w:left="0"/>
        <w:rPr>
          <w:b/>
        </w:rPr>
      </w:pPr>
      <w:r w:rsidRPr="002B7CF3">
        <w:rPr>
          <w:b/>
        </w:rPr>
        <w:t>Statistical Consideration</w:t>
      </w:r>
      <w:bookmarkEnd w:id="1"/>
      <w:r w:rsidR="002B7CF3">
        <w:rPr>
          <w:b/>
        </w:rPr>
        <w:t>s</w:t>
      </w:r>
    </w:p>
    <w:p w14:paraId="47C78033" w14:textId="425C5623" w:rsidR="002B7CF3" w:rsidRPr="00A35E04" w:rsidRDefault="00287FE0" w:rsidP="00144E10">
      <w:pPr>
        <w:pStyle w:val="BodyTextIndent"/>
        <w:tabs>
          <w:tab w:val="left" w:pos="720"/>
        </w:tabs>
        <w:spacing w:line="480" w:lineRule="auto"/>
        <w:ind w:left="0"/>
      </w:pPr>
      <w:r>
        <w:t xml:space="preserve">As part of a prespecified analysis, patients were stratified into those with or without symptomatic lower extremity PAD at baseline as described above. Baseline characteristics of the subgroups were compared using </w:t>
      </w:r>
      <w:r w:rsidR="00F245DD">
        <w:t>Wilcoxon rank sum</w:t>
      </w:r>
      <w:r>
        <w:t xml:space="preserve"> tests for continuous data and χ2 tests for categorical data. All efficacy analyses of evolocumab </w:t>
      </w:r>
      <w:r>
        <w:lastRenderedPageBreak/>
        <w:t>versus placebo were done on an intention-to-treat basis (</w:t>
      </w:r>
      <w:proofErr w:type="spellStart"/>
      <w:r>
        <w:t>ie</w:t>
      </w:r>
      <w:proofErr w:type="spellEnd"/>
      <w:r>
        <w:t>, all patients who were randomly assigned were analy</w:t>
      </w:r>
      <w:r w:rsidR="005F603A">
        <w:t>z</w:t>
      </w:r>
      <w:r>
        <w:t xml:space="preserve">ed, irrespective of study drug compliance). Safety analyses included all randomly assigned patients who received at least one dose of study treatment and for whom post-dose data were available. </w:t>
      </w:r>
      <w:r w:rsidR="009205F3">
        <w:t xml:space="preserve">P values for time-to-event analyses are from log-rank tests; </w:t>
      </w:r>
      <w:r>
        <w:t xml:space="preserve">Kaplan-Meier event rates were calculated up to </w:t>
      </w:r>
      <w:r w:rsidR="007C105C">
        <w:t xml:space="preserve">2.5 </w:t>
      </w:r>
      <w:r>
        <w:t>years. Hazard ratios (HRs) and 95% CIs for the effect of evolocumab versus placebo were generated by use of a Cox proportional hazards model, without adjustment (because of the randomi</w:t>
      </w:r>
      <w:r w:rsidR="005F603A">
        <w:t>z</w:t>
      </w:r>
      <w:r>
        <w:t>ed design)</w:t>
      </w:r>
      <w:r w:rsidR="00F245DD">
        <w:t xml:space="preserve"> but stratifying by region and screening LDL-C values</w:t>
      </w:r>
      <w:r>
        <w:t xml:space="preserve">. We tested effect modification by PAD on the efficacy of evolocumab by incorporating interaction terms into Cox models. For the analysis of risk of cardiovascular outcomes </w:t>
      </w:r>
      <w:r w:rsidR="00422CA9">
        <w:t xml:space="preserve">comparing </w:t>
      </w:r>
      <w:r>
        <w:t xml:space="preserve">patients with and without PAD in the placebo group, a multivariable-adjusted HR was obtained from a Cox model that included the following baseline covariates: </w:t>
      </w:r>
      <w:r w:rsidRPr="00D26378">
        <w:t xml:space="preserve">age, sex, race, </w:t>
      </w:r>
      <w:r>
        <w:t xml:space="preserve">BMI, hypertension, </w:t>
      </w:r>
      <w:r w:rsidRPr="00D26378">
        <w:t>diabetes,</w:t>
      </w:r>
      <w:r>
        <w:t xml:space="preserve"> </w:t>
      </w:r>
      <w:r w:rsidR="00F245DD">
        <w:t>smoking status</w:t>
      </w:r>
      <w:r>
        <w:t xml:space="preserve">, renal dysfunction, </w:t>
      </w:r>
      <w:r w:rsidRPr="00D26378">
        <w:t xml:space="preserve">CHF, </w:t>
      </w:r>
      <w:r>
        <w:t>prior MI,</w:t>
      </w:r>
      <w:r w:rsidRPr="00D26378">
        <w:t xml:space="preserve"> CABG</w:t>
      </w:r>
      <w:r>
        <w:t xml:space="preserve"> or</w:t>
      </w:r>
      <w:r w:rsidRPr="00D26378">
        <w:t xml:space="preserve"> PCI</w:t>
      </w:r>
      <w:r>
        <w:t xml:space="preserve"> and prior stroke</w:t>
      </w:r>
      <w:r w:rsidR="00F245DD">
        <w:t xml:space="preserve"> or TIA</w:t>
      </w:r>
      <w:r>
        <w:t xml:space="preserve">. </w:t>
      </w:r>
      <w:r w:rsidR="00F245DD">
        <w:t xml:space="preserve">Proportional hazards assumptions were not </w:t>
      </w:r>
      <w:r w:rsidR="005F603A">
        <w:t>violated</w:t>
      </w:r>
      <w:r>
        <w:t xml:space="preserve">. </w:t>
      </w:r>
      <w:r w:rsidR="00032511" w:rsidRPr="00032511">
        <w:t>A repeated measures linear mixed effects model was used to obtain the least square means percentage and absolute reduction in LDL-C between the two treatment groups.</w:t>
      </w:r>
      <w:r w:rsidR="00032511">
        <w:t xml:space="preserve"> </w:t>
      </w:r>
      <w:r w:rsidR="00044ED1">
        <w:t xml:space="preserve">For analyses evaluating the relationship of achieved LDL-C </w:t>
      </w:r>
      <w:r w:rsidR="00F245DD">
        <w:t xml:space="preserve">at one month </w:t>
      </w:r>
      <w:r w:rsidR="00044ED1">
        <w:t>and outcome</w:t>
      </w:r>
      <w:r w:rsidR="00F5520F">
        <w:t>s,</w:t>
      </w:r>
      <w:r w:rsidR="00044ED1">
        <w:t xml:space="preserve"> we plotted the relationship between composite efficacy endpoints and achieved LDL cholesterol using a smoothing function applied to the averages of estimated event rates at each LDL level based on the </w:t>
      </w:r>
      <w:r w:rsidR="00F245DD">
        <w:t>un</w:t>
      </w:r>
      <w:r w:rsidR="00044ED1">
        <w:t>adjusted Cox models</w:t>
      </w:r>
      <w:r w:rsidR="003D3CDD">
        <w:t>, as has been done previously</w:t>
      </w:r>
      <w:r w:rsidR="00F245DD">
        <w:t xml:space="preserve"> applying the same exclusion criteria</w:t>
      </w:r>
      <w:r w:rsidR="001C1DC6">
        <w:t>.</w:t>
      </w:r>
      <w:r w:rsidR="001C1DC6">
        <w:fldChar w:fldCharType="begin"/>
      </w:r>
      <w:r w:rsidR="000A2DFD">
        <w:instrText>ADDIN RW.CITE{{2640 Giugliano,R.P. 2017}}</w:instrText>
      </w:r>
      <w:r w:rsidR="001C1DC6">
        <w:fldChar w:fldCharType="separate"/>
      </w:r>
      <w:r w:rsidR="00725A97" w:rsidRPr="00725A97">
        <w:rPr>
          <w:rFonts w:eastAsia="Times New Roman"/>
          <w:vertAlign w:val="superscript"/>
        </w:rPr>
        <w:t xml:space="preserve"> 20</w:t>
      </w:r>
      <w:r w:rsidR="001C1DC6">
        <w:fldChar w:fldCharType="end"/>
      </w:r>
      <w:r w:rsidR="00422CA9">
        <w:t xml:space="preserve"> P values below 0·05 were regarded as significant. We used SAS (version 9.4) for the statistical analyses.</w:t>
      </w:r>
      <w:r w:rsidR="00FB401C" w:rsidRPr="00FB401C">
        <w:t xml:space="preserve"> </w:t>
      </w:r>
      <w:r w:rsidR="005850BF" w:rsidRPr="005850BF">
        <w:t xml:space="preserve">The data and study materials will not be made available to other researchers for purposes of </w:t>
      </w:r>
      <w:r w:rsidR="005850BF" w:rsidRPr="005850BF">
        <w:lastRenderedPageBreak/>
        <w:t>reproducing the results or replicating the procedure at this time, however, the entire FOURIER clinical database has been made available to the FDA for review and validation</w:t>
      </w:r>
    </w:p>
    <w:p w14:paraId="74B2DC71" w14:textId="04B831DC" w:rsidR="004F3474" w:rsidRPr="00F62285" w:rsidRDefault="004F3474" w:rsidP="00EA5F75">
      <w:pPr>
        <w:spacing w:line="480" w:lineRule="auto"/>
        <w:rPr>
          <w:b/>
        </w:rPr>
      </w:pPr>
      <w:r>
        <w:rPr>
          <w:b/>
        </w:rPr>
        <w:t>RESULTS</w:t>
      </w:r>
    </w:p>
    <w:p w14:paraId="050EA66F" w14:textId="3B8CE10D" w:rsidR="00647F59" w:rsidRPr="00647F59" w:rsidRDefault="00647F59" w:rsidP="00647F59">
      <w:pPr>
        <w:pStyle w:val="Heading2"/>
        <w:spacing w:line="480" w:lineRule="auto"/>
        <w:rPr>
          <w:szCs w:val="24"/>
        </w:rPr>
      </w:pPr>
      <w:r w:rsidRPr="00647F59">
        <w:rPr>
          <w:szCs w:val="24"/>
        </w:rPr>
        <w:t>Population</w:t>
      </w:r>
      <w:r>
        <w:rPr>
          <w:szCs w:val="24"/>
        </w:rPr>
        <w:t>s</w:t>
      </w:r>
    </w:p>
    <w:p w14:paraId="7DF73A02" w14:textId="793C740C" w:rsidR="00137C3E" w:rsidRDefault="0077551B" w:rsidP="00CC2C6C">
      <w:pPr>
        <w:spacing w:line="480" w:lineRule="auto"/>
      </w:pPr>
      <w:r>
        <w:t xml:space="preserve">Of the 27,564 patients randomized, </w:t>
      </w:r>
      <w:r w:rsidR="00137C3E">
        <w:t>3</w:t>
      </w:r>
      <w:r>
        <w:t>,642 (</w:t>
      </w:r>
      <w:r w:rsidR="00137C3E">
        <w:t>13.2%) had a history of symptomatic lower extremity PAD at baseline</w:t>
      </w:r>
      <w:r w:rsidR="00C3315D">
        <w:t xml:space="preserve"> (Figure 1)</w:t>
      </w:r>
      <w:r w:rsidR="00137C3E">
        <w:t xml:space="preserve">. </w:t>
      </w:r>
      <w:r w:rsidR="00822E0C">
        <w:t xml:space="preserve">A total of 2067 patients (56.8%) had a history of prior peripheral revascularization, 126 (3.5%) had a history of amputation for vascular cause, and 2518 (69.3%) had an ABI &lt;0.85 and symptoms of claudication (with some patients having more than one of these factors). </w:t>
      </w:r>
      <w:r w:rsidR="00137C3E">
        <w:t>Patients with PAD were older, more frequently female, and had a greater prevalence of risk factors including hypertension, current smoking, renal insufficiency and diabetes</w:t>
      </w:r>
      <w:r w:rsidR="009C0910">
        <w:t xml:space="preserve"> (Table 1)</w:t>
      </w:r>
      <w:r w:rsidR="00137C3E">
        <w:t xml:space="preserve">. </w:t>
      </w:r>
      <w:r w:rsidR="00EF712D">
        <w:t xml:space="preserve">At baseline 89% of patients were taking </w:t>
      </w:r>
      <w:r w:rsidR="009C0910">
        <w:t xml:space="preserve">antiplatelet </w:t>
      </w:r>
      <w:r w:rsidR="00EF712D">
        <w:t xml:space="preserve">therapy, 69% </w:t>
      </w:r>
      <w:r w:rsidR="001A0B64">
        <w:t>high</w:t>
      </w:r>
      <w:r w:rsidR="00EF712D">
        <w:t>-</w:t>
      </w:r>
      <w:r w:rsidR="001A0B64">
        <w:t>intensity statin therapy</w:t>
      </w:r>
      <w:r w:rsidR="00EF712D">
        <w:t>,</w:t>
      </w:r>
      <w:r w:rsidR="001A0B64">
        <w:t xml:space="preserve"> </w:t>
      </w:r>
      <w:r w:rsidR="004123F2">
        <w:t>30</w:t>
      </w:r>
      <w:r w:rsidR="00EF712D">
        <w:t xml:space="preserve">% moderate-intensity statin therapy, </w:t>
      </w:r>
      <w:r w:rsidR="001A0B64">
        <w:t xml:space="preserve">and 6.6% were </w:t>
      </w:r>
      <w:r w:rsidR="00EF712D">
        <w:t xml:space="preserve">taking </w:t>
      </w:r>
      <w:r w:rsidR="001A0B64">
        <w:t xml:space="preserve">ezetimibe. </w:t>
      </w:r>
      <w:r w:rsidR="00A34884">
        <w:t>Of the PAD subgroup,</w:t>
      </w:r>
      <w:r w:rsidR="00822E0C">
        <w:t xml:space="preserve"> 1,812 patients (49.8%) had a history of MI and </w:t>
      </w:r>
      <w:r w:rsidR="004123F2">
        <w:t>545</w:t>
      </w:r>
      <w:r w:rsidR="00822E0C">
        <w:t xml:space="preserve"> (</w:t>
      </w:r>
      <w:r w:rsidR="004123F2">
        <w:t>15.0</w:t>
      </w:r>
      <w:r w:rsidR="00822E0C">
        <w:t>%) had a history of stroke; there were 1505 (41% of those with PAD and 5% of the total population) who had PAD</w:t>
      </w:r>
      <w:r w:rsidR="00423AC3">
        <w:t xml:space="preserve"> and no prior MI or stroke</w:t>
      </w:r>
      <w:r w:rsidR="00822E0C">
        <w:t xml:space="preserve">.  </w:t>
      </w:r>
    </w:p>
    <w:p w14:paraId="6EA3A68B" w14:textId="77777777" w:rsidR="00681B06" w:rsidRDefault="00681B06" w:rsidP="005731D5">
      <w:pPr>
        <w:spacing w:line="480" w:lineRule="auto"/>
        <w:rPr>
          <w:b/>
        </w:rPr>
      </w:pPr>
    </w:p>
    <w:p w14:paraId="21A26471" w14:textId="77777777" w:rsidR="005731D5" w:rsidRPr="00CF033F" w:rsidRDefault="005731D5" w:rsidP="005731D5">
      <w:pPr>
        <w:spacing w:line="480" w:lineRule="auto"/>
        <w:rPr>
          <w:b/>
        </w:rPr>
      </w:pPr>
      <w:r w:rsidRPr="00CF033F">
        <w:rPr>
          <w:b/>
        </w:rPr>
        <w:t>Peripheral Artery Disease and Risk</w:t>
      </w:r>
      <w:r>
        <w:rPr>
          <w:b/>
        </w:rPr>
        <w:t xml:space="preserve"> in Patients Randomized to Placebo</w:t>
      </w:r>
    </w:p>
    <w:p w14:paraId="17C9BE91" w14:textId="406D2FA9" w:rsidR="00406468" w:rsidRDefault="00805C1F" w:rsidP="00CC2C6C">
      <w:pPr>
        <w:spacing w:line="480" w:lineRule="auto"/>
      </w:pPr>
      <w:r>
        <w:t xml:space="preserve">Among patients in the placebo arm, patients with PAD as compared with patients without PAD had higher </w:t>
      </w:r>
      <w:r w:rsidR="009C0910">
        <w:t>rates of both the primary endpoint (</w:t>
      </w:r>
      <w:r>
        <w:t xml:space="preserve">Kaplan-Meier rate at 2.5 years: </w:t>
      </w:r>
      <w:r w:rsidR="009C0910">
        <w:t>16.8% vs 12.1%</w:t>
      </w:r>
      <w:r w:rsidR="00A56CC6">
        <w:t>, P&lt;0.001</w:t>
      </w:r>
      <w:r w:rsidR="009C0910">
        <w:t xml:space="preserve">) </w:t>
      </w:r>
      <w:r>
        <w:t xml:space="preserve">and the key secondary endpoint </w:t>
      </w:r>
      <w:r w:rsidR="001E5678">
        <w:t>(</w:t>
      </w:r>
      <w:r w:rsidR="009C0910">
        <w:t>13.0% vs 7.6%</w:t>
      </w:r>
      <w:r w:rsidR="00A56CC6">
        <w:t>, P&lt;0.001</w:t>
      </w:r>
      <w:r w:rsidR="009C0910">
        <w:t>) (</w:t>
      </w:r>
      <w:r w:rsidR="000C5E15">
        <w:t>Supplemental Table 1</w:t>
      </w:r>
      <w:r w:rsidR="009C0910">
        <w:t xml:space="preserve">, </w:t>
      </w:r>
      <w:r w:rsidR="000C5E15">
        <w:t>Supplemental Figure 1</w:t>
      </w:r>
      <w:r w:rsidR="009C0910">
        <w:t xml:space="preserve">). After adjusting for baseline differences, </w:t>
      </w:r>
      <w:r w:rsidR="009C0910">
        <w:lastRenderedPageBreak/>
        <w:t xml:space="preserve">patients with PAD </w:t>
      </w:r>
      <w:r w:rsidR="00BA69AC">
        <w:t xml:space="preserve">remained at </w:t>
      </w:r>
      <w:r w:rsidR="009C0910">
        <w:t>significantly higher risk of th</w:t>
      </w:r>
      <w:r w:rsidR="000C5E15">
        <w:t>e primary endpoint (Adj. HR 1.57, 95% CI 1.36</w:t>
      </w:r>
      <w:r w:rsidR="009C0910">
        <w:t xml:space="preserve"> – 1.</w:t>
      </w:r>
      <w:r w:rsidR="000C5E15">
        <w:t>80</w:t>
      </w:r>
      <w:r w:rsidR="009C0910">
        <w:t xml:space="preserve">, p&lt;0.001) and the </w:t>
      </w:r>
      <w:r w:rsidR="00E70457">
        <w:t xml:space="preserve">key secondary endpoint </w:t>
      </w:r>
      <w:r w:rsidR="000C5E15">
        <w:t>(Adj. HR 1.81, 95% CI 1.53 – 2.14</w:t>
      </w:r>
      <w:r w:rsidR="009C0910">
        <w:t xml:space="preserve">, p&lt;0.001, </w:t>
      </w:r>
      <w:r w:rsidR="000C5E15">
        <w:t>Supplemental Table 1, Supplemental Figure 1</w:t>
      </w:r>
      <w:r w:rsidR="009C0910">
        <w:t xml:space="preserve">). </w:t>
      </w:r>
    </w:p>
    <w:p w14:paraId="05CBBFA0" w14:textId="77777777" w:rsidR="00B9725D" w:rsidRDefault="00B9725D" w:rsidP="00CC2C6C">
      <w:pPr>
        <w:spacing w:line="480" w:lineRule="auto"/>
      </w:pPr>
    </w:p>
    <w:p w14:paraId="20C58F43" w14:textId="50D9A033" w:rsidR="00B9725D" w:rsidRDefault="00B9725D" w:rsidP="00CC2C6C">
      <w:pPr>
        <w:spacing w:line="480" w:lineRule="auto"/>
      </w:pPr>
      <w:r>
        <w:t>When stratifying the population with PAD by history of concomitant prior MI or stroke (</w:t>
      </w:r>
      <w:proofErr w:type="spellStart"/>
      <w:r>
        <w:t>polyvascular</w:t>
      </w:r>
      <w:proofErr w:type="spellEnd"/>
      <w:r>
        <w:t xml:space="preserve"> disease), those with </w:t>
      </w:r>
      <w:proofErr w:type="spellStart"/>
      <w:r>
        <w:t>polyvascular</w:t>
      </w:r>
      <w:proofErr w:type="spellEnd"/>
      <w:r>
        <w:t xml:space="preserve"> disease had higher rates of CV death, MI or stroke compared to those without (14.9% vs. 10.3%, p</w:t>
      </w:r>
      <w:r w:rsidR="004123F2">
        <w:t>=0.0028</w:t>
      </w:r>
      <w:r w:rsidR="00262832">
        <w:t xml:space="preserve">, </w:t>
      </w:r>
      <w:r>
        <w:t xml:space="preserve">Supplemental Figure 2). Patient with PAD and no prior MI or stroke, however, still had higher rates of CV death, MI or stroke than </w:t>
      </w:r>
      <w:r w:rsidRPr="003351DE">
        <w:t xml:space="preserve">patients with prior MI or stroke and no symptomatic PAD (10.3% vs 7.6%, </w:t>
      </w:r>
      <w:r w:rsidR="00262832" w:rsidRPr="003351DE">
        <w:t xml:space="preserve">Adjusted HR </w:t>
      </w:r>
      <w:r w:rsidR="003351DE" w:rsidRPr="003351DE">
        <w:t>2.07</w:t>
      </w:r>
      <w:r w:rsidR="00262832" w:rsidRPr="003351DE">
        <w:t xml:space="preserve">, 95% CI </w:t>
      </w:r>
      <w:r w:rsidR="003351DE" w:rsidRPr="003351DE">
        <w:t>1.42 – 3.01, p=0.0001</w:t>
      </w:r>
      <w:r w:rsidRPr="003351DE">
        <w:t xml:space="preserve">, Supplemental Figure 2). </w:t>
      </w:r>
      <w:r w:rsidR="008519F8" w:rsidRPr="003351DE">
        <w:t xml:space="preserve">When evaluating </w:t>
      </w:r>
      <w:r w:rsidR="004923AD">
        <w:t xml:space="preserve">the </w:t>
      </w:r>
      <w:r w:rsidR="008519F8" w:rsidRPr="003351DE">
        <w:t>individual components</w:t>
      </w:r>
      <w:r w:rsidR="004923AD">
        <w:t>,</w:t>
      </w:r>
      <w:r w:rsidR="008519F8" w:rsidRPr="003351DE">
        <w:t xml:space="preserve"> CV death appeared especially</w:t>
      </w:r>
      <w:r w:rsidR="008519F8">
        <w:t xml:space="preserve"> higher (4.4% vs. 1.9%, p&lt;0.001)</w:t>
      </w:r>
      <w:r w:rsidR="004923AD">
        <w:t xml:space="preserve"> in those with PAD and no prior MI or stroke versus patients with no PAD,</w:t>
      </w:r>
      <w:r w:rsidR="008519F8">
        <w:t xml:space="preserve"> although rates of MI and stroke were numerically higher </w:t>
      </w:r>
      <w:r w:rsidR="004923AD">
        <w:t xml:space="preserve">as well </w:t>
      </w:r>
      <w:r w:rsidR="008519F8">
        <w:t xml:space="preserve">(Supplemental Figure 3a). </w:t>
      </w:r>
    </w:p>
    <w:p w14:paraId="6414A5F7" w14:textId="77777777" w:rsidR="006A0F54" w:rsidRDefault="006A0F54" w:rsidP="00CC2C6C">
      <w:pPr>
        <w:spacing w:line="480" w:lineRule="auto"/>
      </w:pPr>
    </w:p>
    <w:p w14:paraId="69EEA615" w14:textId="25D6534E" w:rsidR="006A0F54" w:rsidRDefault="00DD1FD4" w:rsidP="00CC2C6C">
      <w:pPr>
        <w:spacing w:line="480" w:lineRule="auto"/>
      </w:pPr>
      <w:r>
        <w:t>As expected, p</w:t>
      </w:r>
      <w:r w:rsidR="006A0F54">
        <w:t>atients with symptomatic PAD had higher rates of limb outcomes relative to t</w:t>
      </w:r>
      <w:r w:rsidR="004123F2">
        <w:t xml:space="preserve">hose without </w:t>
      </w:r>
      <w:r w:rsidR="000442B7">
        <w:t xml:space="preserve">PAD </w:t>
      </w:r>
      <w:r w:rsidR="00C82D92">
        <w:t>including MALE (2.4% vs 0.2</w:t>
      </w:r>
      <w:r w:rsidR="006A0F54">
        <w:t xml:space="preserve">%, adjusted HR 11.67, 95% CI </w:t>
      </w:r>
      <w:r w:rsidR="00CD38FC">
        <w:t xml:space="preserve">6.25 – 21.79, p&lt;0.001) and the composite </w:t>
      </w:r>
      <w:r w:rsidR="00C82D92">
        <w:t>of ALI and major amputation (1.5% vs. 0.1</w:t>
      </w:r>
      <w:r w:rsidR="00CD38FC">
        <w:t>%, adjusted HR 7.88, 95% CI 3.67 – 16.92, p&lt;0.001</w:t>
      </w:r>
      <w:r w:rsidR="00C82D92">
        <w:t xml:space="preserve">, Supplemental Table 1). Findings were consistent in the subgroup with PAD and no MI or </w:t>
      </w:r>
      <w:r w:rsidR="00C3315D">
        <w:t>s</w:t>
      </w:r>
      <w:r w:rsidR="00C82D92">
        <w:t xml:space="preserve">troke vs patients with </w:t>
      </w:r>
      <w:proofErr w:type="gramStart"/>
      <w:r w:rsidR="00C82D92">
        <w:t>no</w:t>
      </w:r>
      <w:proofErr w:type="gramEnd"/>
      <w:r w:rsidR="00C82D92">
        <w:t xml:space="preserve"> PAD (</w:t>
      </w:r>
      <w:r w:rsidR="00CD38FC">
        <w:t>Supplemental Figure 3b)</w:t>
      </w:r>
      <w:r w:rsidR="00C45EEA">
        <w:t xml:space="preserve">. </w:t>
      </w:r>
      <w:r w:rsidR="006A0F54">
        <w:t xml:space="preserve"> </w:t>
      </w:r>
    </w:p>
    <w:p w14:paraId="4271FCDE" w14:textId="77777777" w:rsidR="00681B06" w:rsidRDefault="00681B06" w:rsidP="004D46F5">
      <w:pPr>
        <w:spacing w:line="480" w:lineRule="auto"/>
        <w:rPr>
          <w:b/>
        </w:rPr>
      </w:pPr>
    </w:p>
    <w:p w14:paraId="32BF9C41" w14:textId="7D45B5EA" w:rsidR="004D46F5" w:rsidRPr="002937FF" w:rsidRDefault="004D46F5" w:rsidP="004D46F5">
      <w:pPr>
        <w:spacing w:line="480" w:lineRule="auto"/>
        <w:rPr>
          <w:b/>
        </w:rPr>
      </w:pPr>
      <w:r>
        <w:rPr>
          <w:b/>
        </w:rPr>
        <w:t>LDL</w:t>
      </w:r>
      <w:r w:rsidR="00F251F2">
        <w:rPr>
          <w:b/>
        </w:rPr>
        <w:t>-</w:t>
      </w:r>
      <w:r>
        <w:rPr>
          <w:b/>
        </w:rPr>
        <w:t>Cholesterol Lowering with Evolocumab</w:t>
      </w:r>
    </w:p>
    <w:p w14:paraId="13FE88B1" w14:textId="588C40C1" w:rsidR="00681B06" w:rsidRDefault="002A14CB" w:rsidP="002A14CB">
      <w:pPr>
        <w:spacing w:line="480" w:lineRule="auto"/>
      </w:pPr>
      <w:r>
        <w:lastRenderedPageBreak/>
        <w:t>The median LDL-C level at baseline among the symptomatic PAD group was 94 mg/</w:t>
      </w:r>
      <w:proofErr w:type="spellStart"/>
      <w:r>
        <w:t>dL</w:t>
      </w:r>
      <w:proofErr w:type="spellEnd"/>
      <w:r>
        <w:t xml:space="preserve"> (IQR 81 – 112). </w:t>
      </w:r>
      <w:r w:rsidR="008610D9">
        <w:t>At 48 weeks, t</w:t>
      </w:r>
      <w:r>
        <w:t xml:space="preserve">he </w:t>
      </w:r>
      <w:r w:rsidR="00C3315D">
        <w:t xml:space="preserve">percentage </w:t>
      </w:r>
      <w:r w:rsidR="008610D9">
        <w:t xml:space="preserve">reduction in LDL-C with </w:t>
      </w:r>
      <w:r>
        <w:t xml:space="preserve">evolocumab, relative to placebo, </w:t>
      </w:r>
      <w:r w:rsidR="008610D9">
        <w:t xml:space="preserve">was </w:t>
      </w:r>
      <w:r>
        <w:t>59% (</w:t>
      </w:r>
      <w:r w:rsidR="00F80D73" w:rsidRPr="00F80D73">
        <w:t>least-squares mean percentage</w:t>
      </w:r>
      <w:r w:rsidR="00F80D73">
        <w:t xml:space="preserve">, </w:t>
      </w:r>
      <w:r>
        <w:t xml:space="preserve">95% CI 57 to 61, p&lt;0.001) </w:t>
      </w:r>
      <w:r w:rsidR="00C3315D">
        <w:t>or a mean absolute reduction of 57 mg/</w:t>
      </w:r>
      <w:proofErr w:type="spellStart"/>
      <w:r w:rsidR="00C3315D">
        <w:t>dL</w:t>
      </w:r>
      <w:proofErr w:type="spellEnd"/>
      <w:r w:rsidR="00C3315D">
        <w:t xml:space="preserve"> (95% CI 55 to 60), </w:t>
      </w:r>
      <w:r w:rsidR="00F80D73">
        <w:t>resulting in</w:t>
      </w:r>
      <w:r>
        <w:t xml:space="preserve"> a median </w:t>
      </w:r>
      <w:r w:rsidR="00F80D73">
        <w:t xml:space="preserve">LDL-C </w:t>
      </w:r>
      <w:r>
        <w:t>of 31.0 mg/</w:t>
      </w:r>
      <w:proofErr w:type="spellStart"/>
      <w:r>
        <w:t>dL</w:t>
      </w:r>
      <w:proofErr w:type="spellEnd"/>
      <w:r>
        <w:t xml:space="preserve"> (IQR 19.0 – 49.0, Supplemental Figure 4). The reduction in LDL cholesterol levels was maintained over time (Supplemental Figure 4).</w:t>
      </w:r>
    </w:p>
    <w:p w14:paraId="693714E9" w14:textId="77777777" w:rsidR="002A14CB" w:rsidRDefault="002A14CB" w:rsidP="002A14CB">
      <w:pPr>
        <w:spacing w:line="480" w:lineRule="auto"/>
        <w:rPr>
          <w:b/>
        </w:rPr>
      </w:pPr>
    </w:p>
    <w:p w14:paraId="6DBF953A" w14:textId="7D409A7C" w:rsidR="00960844" w:rsidRPr="002937FF" w:rsidRDefault="004D46F5" w:rsidP="00960844">
      <w:pPr>
        <w:spacing w:line="480" w:lineRule="auto"/>
        <w:rPr>
          <w:b/>
        </w:rPr>
      </w:pPr>
      <w:r>
        <w:rPr>
          <w:b/>
        </w:rPr>
        <w:t>Cardiovascular Efficacy with Evolocumab</w:t>
      </w:r>
    </w:p>
    <w:p w14:paraId="71591E1C" w14:textId="7D217BD0" w:rsidR="00D370A4" w:rsidRDefault="00A95CDB" w:rsidP="00E01AA4">
      <w:pPr>
        <w:spacing w:line="480" w:lineRule="auto"/>
      </w:pPr>
      <w:r>
        <w:t>In patients with PAD</w:t>
      </w:r>
      <w:r w:rsidR="00C43994">
        <w:t>,</w:t>
      </w:r>
      <w:r>
        <w:t xml:space="preserve"> evolocumab significantly reduced the primary endpoint by </w:t>
      </w:r>
      <w:r w:rsidR="00CC1C82">
        <w:t>21</w:t>
      </w:r>
      <w:r>
        <w:t>% (</w:t>
      </w:r>
      <w:r w:rsidR="00C43994">
        <w:t xml:space="preserve">2.5-year KM rate </w:t>
      </w:r>
      <w:r w:rsidR="00F524B2">
        <w:t xml:space="preserve">13.3% vs. </w:t>
      </w:r>
      <w:r w:rsidR="00CC1C82">
        <w:t>16.8</w:t>
      </w:r>
      <w:r>
        <w:t>%, HR 0.</w:t>
      </w:r>
      <w:r w:rsidR="00CC1C82">
        <w:t>79</w:t>
      </w:r>
      <w:r>
        <w:t>, 95% CI 0.</w:t>
      </w:r>
      <w:r w:rsidR="00CC1C82">
        <w:t>66</w:t>
      </w:r>
      <w:r>
        <w:t xml:space="preserve"> – 0.</w:t>
      </w:r>
      <w:r w:rsidR="00CC1C82">
        <w:t>94</w:t>
      </w:r>
      <w:r>
        <w:t>, p=0.00</w:t>
      </w:r>
      <w:r w:rsidR="00CC1C82">
        <w:t>89</w:t>
      </w:r>
      <w:r w:rsidR="007925BF">
        <w:t xml:space="preserve">, Table 2, </w:t>
      </w:r>
      <w:r w:rsidR="005650E8">
        <w:t xml:space="preserve">Figure </w:t>
      </w:r>
      <w:r w:rsidR="00CB2441">
        <w:t>2</w:t>
      </w:r>
      <w:r w:rsidR="005650E8">
        <w:t>a</w:t>
      </w:r>
      <w:r>
        <w:t xml:space="preserve">) and the composite of CV death, MI or stroke by </w:t>
      </w:r>
      <w:r w:rsidR="00CC1C82">
        <w:t>27% (</w:t>
      </w:r>
      <w:r w:rsidR="00F524B2">
        <w:t xml:space="preserve">9.5% vs. </w:t>
      </w:r>
      <w:r w:rsidR="00CC1C82">
        <w:t>13.0%, HR 0.73, 95% CI 0.59 – 0.91, p=0.0040</w:t>
      </w:r>
      <w:r w:rsidR="005650E8">
        <w:t xml:space="preserve">, </w:t>
      </w:r>
      <w:r w:rsidR="007925BF">
        <w:t xml:space="preserve">Table 2, </w:t>
      </w:r>
      <w:r w:rsidR="005650E8">
        <w:t xml:space="preserve">Figure </w:t>
      </w:r>
      <w:r w:rsidR="00BB5497">
        <w:t>2</w:t>
      </w:r>
      <w:r w:rsidR="00CB2441">
        <w:t>b</w:t>
      </w:r>
      <w:r>
        <w:t xml:space="preserve">). The relative risk reductions for both </w:t>
      </w:r>
      <w:r w:rsidRPr="004C478B">
        <w:t>endpoints were consistent in patients with and without PAD (p-interaction</w:t>
      </w:r>
      <w:r w:rsidR="00DA5756" w:rsidRPr="004C478B">
        <w:t xml:space="preserve"> 0.40</w:t>
      </w:r>
      <w:r w:rsidR="005650E8" w:rsidRPr="004C478B">
        <w:t xml:space="preserve"> and 0.41 respectively</w:t>
      </w:r>
      <w:r w:rsidRPr="004C478B">
        <w:t>)</w:t>
      </w:r>
      <w:r w:rsidR="00C3315D">
        <w:t>. H</w:t>
      </w:r>
      <w:r w:rsidRPr="004C478B">
        <w:t xml:space="preserve">owever, </w:t>
      </w:r>
      <w:r w:rsidR="003628BE" w:rsidRPr="004C478B">
        <w:t xml:space="preserve">due to higher absolute risk in patients with PAD, the absolute risk reductions for both endpoints were greater in those with PAD vs. those without </w:t>
      </w:r>
      <w:r w:rsidR="008610D9">
        <w:t xml:space="preserve">[absolute risk reduction </w:t>
      </w:r>
      <w:r w:rsidR="00BD106B">
        <w:t xml:space="preserve">(ARR) </w:t>
      </w:r>
      <w:r w:rsidR="008610D9">
        <w:t xml:space="preserve">for primary endpoint </w:t>
      </w:r>
      <w:r w:rsidR="003628BE" w:rsidRPr="004C478B">
        <w:t>3.5%</w:t>
      </w:r>
      <w:r w:rsidR="008610D9">
        <w:t xml:space="preserve"> (</w:t>
      </w:r>
      <w:r w:rsidR="00DA5756" w:rsidRPr="004C478B">
        <w:t>95% CI 0.8% - 6.2</w:t>
      </w:r>
      <w:r w:rsidR="00D1069D" w:rsidRPr="004C478B">
        <w:t>%</w:t>
      </w:r>
      <w:r w:rsidR="008610D9">
        <w:t>) in</w:t>
      </w:r>
      <w:r w:rsidR="003628BE" w:rsidRPr="004C478B">
        <w:t xml:space="preserve"> </w:t>
      </w:r>
      <w:r w:rsidR="00D1069D" w:rsidRPr="004C478B">
        <w:t>PAD;</w:t>
      </w:r>
      <w:r w:rsidR="003628BE" w:rsidRPr="004C478B">
        <w:t xml:space="preserve"> 1.6% </w:t>
      </w:r>
      <w:r w:rsidR="008610D9">
        <w:t>(</w:t>
      </w:r>
      <w:r w:rsidR="00DA5756" w:rsidRPr="004C478B">
        <w:t>95% CI 0.7% - 2.5</w:t>
      </w:r>
      <w:r w:rsidR="00D1069D" w:rsidRPr="004C478B">
        <w:t>%</w:t>
      </w:r>
      <w:r w:rsidR="008610D9">
        <w:t xml:space="preserve">) without </w:t>
      </w:r>
      <w:r w:rsidR="003628BE" w:rsidRPr="004C478B">
        <w:t xml:space="preserve">PAD; </w:t>
      </w:r>
      <w:r w:rsidR="00BD106B">
        <w:t>ARR</w:t>
      </w:r>
      <w:r w:rsidR="008610D9">
        <w:t xml:space="preserve"> for </w:t>
      </w:r>
      <w:r w:rsidR="003628BE" w:rsidRPr="004C478B">
        <w:t>CV death, MI or stroke 3.5%</w:t>
      </w:r>
      <w:r w:rsidR="008610D9">
        <w:t xml:space="preserve"> (</w:t>
      </w:r>
      <w:r w:rsidR="00DA5756" w:rsidRPr="004C478B">
        <w:t>95% CI 1.0</w:t>
      </w:r>
      <w:r w:rsidR="00D1069D" w:rsidRPr="004C478B">
        <w:t xml:space="preserve">% - </w:t>
      </w:r>
      <w:r w:rsidR="00DA5756" w:rsidRPr="004C478B">
        <w:t>6.0</w:t>
      </w:r>
      <w:r w:rsidR="00D1069D" w:rsidRPr="004C478B">
        <w:t>%</w:t>
      </w:r>
      <w:r w:rsidR="008610D9">
        <w:t>) in</w:t>
      </w:r>
      <w:r w:rsidR="00D1069D" w:rsidRPr="004C478B">
        <w:t xml:space="preserve"> PAD;</w:t>
      </w:r>
      <w:r w:rsidR="003628BE" w:rsidRPr="004C478B">
        <w:t xml:space="preserve"> 1.4% </w:t>
      </w:r>
      <w:r w:rsidR="008610D9">
        <w:t>(</w:t>
      </w:r>
      <w:r w:rsidR="00D1069D" w:rsidRPr="004C478B">
        <w:t xml:space="preserve">95% CI </w:t>
      </w:r>
      <w:r w:rsidR="00DA5756" w:rsidRPr="004C478B">
        <w:t>0.7</w:t>
      </w:r>
      <w:r w:rsidR="00D1069D" w:rsidRPr="004C478B">
        <w:t xml:space="preserve">% - </w:t>
      </w:r>
      <w:r w:rsidR="00DA5756" w:rsidRPr="004C478B">
        <w:t>2.1</w:t>
      </w:r>
      <w:r w:rsidR="00D1069D" w:rsidRPr="004C478B">
        <w:t>%</w:t>
      </w:r>
      <w:r w:rsidR="008610D9">
        <w:t xml:space="preserve">) without </w:t>
      </w:r>
      <w:r w:rsidR="003628BE" w:rsidRPr="004C478B">
        <w:t>PAD</w:t>
      </w:r>
      <w:r w:rsidR="008610D9">
        <w:t>]</w:t>
      </w:r>
      <w:r w:rsidR="00CC1C82" w:rsidRPr="004C478B">
        <w:t>.</w:t>
      </w:r>
      <w:r w:rsidR="00167A0B" w:rsidRPr="004C478B">
        <w:t xml:space="preserve"> Relative and absolute risk reductions were consistent in the population of patients with PAD and no prior MI or stroke including a 4.9% ARR (</w:t>
      </w:r>
      <w:r w:rsidR="00DA5756" w:rsidRPr="004C478B">
        <w:t>95% CI 1.0% - 8.8</w:t>
      </w:r>
      <w:r w:rsidR="00167A0B" w:rsidRPr="004C478B">
        <w:t xml:space="preserve">%) in the </w:t>
      </w:r>
      <w:r w:rsidR="008610D9">
        <w:t xml:space="preserve">primary endpoint </w:t>
      </w:r>
      <w:r w:rsidR="00167A0B" w:rsidRPr="004C478B">
        <w:t>and a 4.8% ARR (</w:t>
      </w:r>
      <w:r w:rsidR="00DA5756" w:rsidRPr="004C478B">
        <w:t>95% CI 1.2% - 8.4</w:t>
      </w:r>
      <w:r w:rsidR="00167A0B" w:rsidRPr="004C478B">
        <w:t>%) in the composite of CV death, MI or stroke translating in NNT</w:t>
      </w:r>
      <w:r w:rsidR="007C4C58" w:rsidRPr="004C478B">
        <w:rPr>
          <w:vertAlign w:val="subscript"/>
        </w:rPr>
        <w:t>2.5y</w:t>
      </w:r>
      <w:r w:rsidR="00167A0B" w:rsidRPr="004C478B">
        <w:t xml:space="preserve"> of </w:t>
      </w:r>
      <w:r w:rsidR="00BD51E3" w:rsidRPr="004C478B">
        <w:t>21</w:t>
      </w:r>
      <w:r w:rsidR="00167A0B" w:rsidRPr="004C478B">
        <w:t xml:space="preserve"> for each (</w:t>
      </w:r>
      <w:r w:rsidR="00632391" w:rsidRPr="004C478B">
        <w:t xml:space="preserve">Table 2, </w:t>
      </w:r>
      <w:r w:rsidR="00167A0B" w:rsidRPr="004C478B">
        <w:t>Supplemental Figures 5a and 5b).</w:t>
      </w:r>
    </w:p>
    <w:p w14:paraId="6818B5CB" w14:textId="77777777" w:rsidR="00A95CDB" w:rsidRDefault="00A95CDB" w:rsidP="009B117A">
      <w:pPr>
        <w:spacing w:line="480" w:lineRule="auto"/>
        <w:rPr>
          <w:b/>
        </w:rPr>
      </w:pPr>
    </w:p>
    <w:p w14:paraId="2988F0C3" w14:textId="4E45D567" w:rsidR="009B117A" w:rsidRPr="002937FF" w:rsidRDefault="009B117A" w:rsidP="009B117A">
      <w:pPr>
        <w:spacing w:line="480" w:lineRule="auto"/>
        <w:rPr>
          <w:b/>
        </w:rPr>
      </w:pPr>
      <w:r>
        <w:rPr>
          <w:b/>
        </w:rPr>
        <w:t xml:space="preserve">Major Adverse Limb </w:t>
      </w:r>
      <w:r w:rsidR="00647F59">
        <w:rPr>
          <w:b/>
        </w:rPr>
        <w:t>Event Reduction with Evolocumab</w:t>
      </w:r>
    </w:p>
    <w:p w14:paraId="68C17649" w14:textId="16000A35" w:rsidR="00831DC1" w:rsidRDefault="00F560D0" w:rsidP="00647F59">
      <w:pPr>
        <w:spacing w:line="480" w:lineRule="auto"/>
      </w:pPr>
      <w:r w:rsidRPr="00F560D0">
        <w:t>Overa</w:t>
      </w:r>
      <w:r>
        <w:t>ll e</w:t>
      </w:r>
      <w:r w:rsidR="009E1AD0">
        <w:t xml:space="preserve">volocumab reduced the </w:t>
      </w:r>
      <w:r w:rsidR="003B5AE5">
        <w:t xml:space="preserve">risk of </w:t>
      </w:r>
      <w:r w:rsidR="009E1AD0">
        <w:t>MALE by 42% (</w:t>
      </w:r>
      <w:r w:rsidR="00C3315D">
        <w:t xml:space="preserve">0.26% vs. </w:t>
      </w:r>
      <w:r w:rsidR="009E1AD0">
        <w:t>0.45%</w:t>
      </w:r>
      <w:r w:rsidR="00B71372">
        <w:t xml:space="preserve">, </w:t>
      </w:r>
      <w:r w:rsidR="00C3315D">
        <w:t xml:space="preserve">HR 0.58, 95% CI 0.38 – 0.88, </w:t>
      </w:r>
      <w:r w:rsidR="009E1AD0">
        <w:t>p=0.0093</w:t>
      </w:r>
      <w:r>
        <w:t xml:space="preserve">, </w:t>
      </w:r>
      <w:r w:rsidR="00C3315D">
        <w:t xml:space="preserve">ARR 0.19%, </w:t>
      </w:r>
      <w:r w:rsidR="009E1AD0">
        <w:t xml:space="preserve">Table 3, Figure </w:t>
      </w:r>
      <w:r w:rsidR="00BB5497">
        <w:t>3</w:t>
      </w:r>
      <w:r w:rsidR="00CB2441">
        <w:t>a</w:t>
      </w:r>
      <w:r>
        <w:t xml:space="preserve">) </w:t>
      </w:r>
      <w:r w:rsidR="009E1AD0">
        <w:t xml:space="preserve">and </w:t>
      </w:r>
      <w:r w:rsidR="003B5AE5">
        <w:t>t</w:t>
      </w:r>
      <w:r w:rsidR="009E1AD0">
        <w:t>he pattern of efficacy was consistent across all components of MALE (Table 3).</w:t>
      </w:r>
      <w:r w:rsidR="001A0FF6">
        <w:t xml:space="preserve"> </w:t>
      </w:r>
      <w:r w:rsidR="00941E6A">
        <w:t>The reduction in MALE with evolocumab was consistent regardless of background statin</w:t>
      </w:r>
      <w:r w:rsidR="00985AA5">
        <w:t xml:space="preserve"> intensity (p-interaction 0.81</w:t>
      </w:r>
      <w:r w:rsidR="00941E6A">
        <w:t>) and remained significant even when restricting to the 19,103 patients on high-intensity statin therapy at baseline (HR 0.56, 95% CI 0.33 – 0.93, p=0.022)</w:t>
      </w:r>
      <w:r w:rsidR="00831DC1">
        <w:t>.</w:t>
      </w:r>
      <w:r w:rsidR="00941E6A">
        <w:t xml:space="preserve"> </w:t>
      </w:r>
    </w:p>
    <w:p w14:paraId="1C44C6DD" w14:textId="77777777" w:rsidR="00831DC1" w:rsidRDefault="00831DC1" w:rsidP="00647F59">
      <w:pPr>
        <w:spacing w:line="480" w:lineRule="auto"/>
      </w:pPr>
    </w:p>
    <w:p w14:paraId="7F31A542" w14:textId="7D8525C2" w:rsidR="00B71372" w:rsidRDefault="00B71372" w:rsidP="00647F59">
      <w:pPr>
        <w:spacing w:line="480" w:lineRule="auto"/>
      </w:pPr>
      <w:r>
        <w:t xml:space="preserve">The </w:t>
      </w:r>
      <w:r w:rsidR="00C95BBA">
        <w:t xml:space="preserve">relative risk </w:t>
      </w:r>
      <w:r>
        <w:t xml:space="preserve">reduction in MALE with evolocumab was </w:t>
      </w:r>
      <w:r w:rsidR="00831DC1">
        <w:t xml:space="preserve">also </w:t>
      </w:r>
      <w:r>
        <w:t>consistent in those with PAD (HR 0.63, 95% CI 0.39 – 1.03) and those without PAD (HR 0.37, 95% CI 0.16 – 0.88, p-interaction 0.29</w:t>
      </w:r>
      <w:r w:rsidR="00BB5497">
        <w:t xml:space="preserve">, Figure </w:t>
      </w:r>
      <w:r w:rsidR="005850BF">
        <w:t>3b and 3c</w:t>
      </w:r>
      <w:r>
        <w:t xml:space="preserve">). </w:t>
      </w:r>
      <w:r w:rsidR="00C3315D">
        <w:t xml:space="preserve">Naturally, given the higher event rates in patients with known PAD, the absolute risk reductions were greater in those with PAD (1.5% vs. 2.4%, ARR 0.9%) than in those without (0.076% vs. 0.16%, ARR 0.08%). </w:t>
      </w:r>
      <w:r>
        <w:t>In the 1,505 patients with PAD and no prior MI or Stroke, reductions in MALE were consistent (</w:t>
      </w:r>
      <w:r w:rsidR="00C3315D">
        <w:t xml:space="preserve">1.3% vs. </w:t>
      </w:r>
      <w:r>
        <w:t>2.6%, HR 0.43, 95% CI 0.19 – 0.99</w:t>
      </w:r>
      <w:r w:rsidR="00BB5497">
        <w:t xml:space="preserve">, </w:t>
      </w:r>
      <w:r w:rsidR="00C3315D">
        <w:t xml:space="preserve">ARR 1.3%, </w:t>
      </w:r>
      <w:r w:rsidR="00BB5497">
        <w:t xml:space="preserve">Table </w:t>
      </w:r>
      <w:r w:rsidR="005850BF">
        <w:t>3,</w:t>
      </w:r>
      <w:r w:rsidR="00BB5497">
        <w:t xml:space="preserve"> Supplemental Figure 5c</w:t>
      </w:r>
      <w:r>
        <w:t>).</w:t>
      </w:r>
    </w:p>
    <w:p w14:paraId="2EE1AF0C" w14:textId="77777777" w:rsidR="00E565D1" w:rsidRDefault="00E565D1" w:rsidP="00647F59">
      <w:pPr>
        <w:spacing w:line="480" w:lineRule="auto"/>
        <w:rPr>
          <w:b/>
        </w:rPr>
      </w:pPr>
    </w:p>
    <w:p w14:paraId="513793B8" w14:textId="09C0E7E7" w:rsidR="00647F59" w:rsidRPr="002937FF" w:rsidRDefault="00647F59" w:rsidP="00647F59">
      <w:pPr>
        <w:spacing w:line="480" w:lineRule="auto"/>
        <w:rPr>
          <w:b/>
        </w:rPr>
      </w:pPr>
      <w:r>
        <w:rPr>
          <w:b/>
        </w:rPr>
        <w:t>Composite Outcome</w:t>
      </w:r>
      <w:r w:rsidR="00C3315D">
        <w:rPr>
          <w:b/>
        </w:rPr>
        <w:t xml:space="preserve"> of MACE and MALE </w:t>
      </w:r>
      <w:r>
        <w:rPr>
          <w:b/>
        </w:rPr>
        <w:t xml:space="preserve">in Patients with </w:t>
      </w:r>
      <w:r w:rsidR="00423AC3">
        <w:rPr>
          <w:b/>
        </w:rPr>
        <w:t xml:space="preserve">PAD </w:t>
      </w:r>
    </w:p>
    <w:p w14:paraId="19FFD12B" w14:textId="3D7945B7" w:rsidR="00B71372" w:rsidRDefault="00030A36" w:rsidP="00030A36">
      <w:pPr>
        <w:spacing w:line="480" w:lineRule="auto"/>
      </w:pPr>
      <w:r>
        <w:t xml:space="preserve">Overall </w:t>
      </w:r>
      <w:r w:rsidR="00C833C0">
        <w:t xml:space="preserve">evolocumab </w:t>
      </w:r>
      <w:r>
        <w:t>reduced the composite of MACE (CV death, MI or stroke) or MALE (ALI, major amputation or urgent revascularization</w:t>
      </w:r>
      <w:r w:rsidR="00125F1E">
        <w:t>)</w:t>
      </w:r>
      <w:r>
        <w:t xml:space="preserve"> by 21% (HR 0.79, 95% CI 0.72 – 0.87, p&lt;0.001</w:t>
      </w:r>
      <w:r w:rsidR="00BB5497">
        <w:t xml:space="preserve">, </w:t>
      </w:r>
      <w:r w:rsidR="00C3315D">
        <w:t xml:space="preserve">6.9% vs. 8.7%, ARR 1.8%, NNT 56, </w:t>
      </w:r>
      <w:r w:rsidR="00BB5497">
        <w:t>Table 3</w:t>
      </w:r>
      <w:r>
        <w:t xml:space="preserve">). </w:t>
      </w:r>
      <w:r w:rsidR="00B71372">
        <w:t xml:space="preserve">The </w:t>
      </w:r>
      <w:r w:rsidR="002F061D">
        <w:t xml:space="preserve">relative risk </w:t>
      </w:r>
      <w:r w:rsidR="00B71372">
        <w:t xml:space="preserve">reduction in MACE or MALE with evolocumab was consistent in those with PAD (HR 0.73, 95% </w:t>
      </w:r>
      <w:r w:rsidR="00B71372">
        <w:lastRenderedPageBreak/>
        <w:t>CI 0.60 – 0.88</w:t>
      </w:r>
      <w:r w:rsidR="00C3315D">
        <w:t>, 10.9% vs. 15.0%, ARR 4.1%, NNT 25,</w:t>
      </w:r>
      <w:r w:rsidR="00B71372">
        <w:t xml:space="preserve">) and those without PAD (HR 0.80, 95% CI 0.72 – 0.89, </w:t>
      </w:r>
      <w:r w:rsidR="00C3315D">
        <w:t>6.3% vs. 7.8%, ARR 1.5%, NNT 67) (</w:t>
      </w:r>
      <w:r w:rsidR="00B71372">
        <w:t>p-interaction 0.39</w:t>
      </w:r>
      <w:r w:rsidR="00CB2441">
        <w:t>, Figure 4</w:t>
      </w:r>
      <w:r w:rsidR="00B71372">
        <w:t xml:space="preserve">). In the 1,505 patients with PAD and no prior MI or Stroke, reductions in </w:t>
      </w:r>
      <w:r w:rsidR="002F061D">
        <w:t xml:space="preserve">the composite of MACE or </w:t>
      </w:r>
      <w:r w:rsidR="00B71372">
        <w:t>MALE were consistent (HR 0.</w:t>
      </w:r>
      <w:r w:rsidR="002F061D">
        <w:t>52</w:t>
      </w:r>
      <w:r w:rsidR="00B71372">
        <w:t>, 95% CI 0.</w:t>
      </w:r>
      <w:r w:rsidR="002F061D">
        <w:t>35</w:t>
      </w:r>
      <w:r w:rsidR="00B71372">
        <w:t xml:space="preserve"> – 0.</w:t>
      </w:r>
      <w:r w:rsidR="002F061D">
        <w:t>76</w:t>
      </w:r>
      <w:r w:rsidR="00BB5497">
        <w:t xml:space="preserve">, </w:t>
      </w:r>
      <w:r w:rsidR="00C3315D">
        <w:t xml:space="preserve">6.5% vs. 12.8%, ARR 6.3%, NNT 16, </w:t>
      </w:r>
      <w:r w:rsidR="00BB5497">
        <w:t xml:space="preserve">Table </w:t>
      </w:r>
      <w:r w:rsidR="005850BF">
        <w:t>3</w:t>
      </w:r>
      <w:r w:rsidR="00D43EFC">
        <w:t>, Supplemental Figure 6</w:t>
      </w:r>
      <w:r w:rsidR="00B71372">
        <w:t>).</w:t>
      </w:r>
    </w:p>
    <w:p w14:paraId="60FB1D03" w14:textId="77777777" w:rsidR="00B71372" w:rsidRDefault="00B71372" w:rsidP="00030A36">
      <w:pPr>
        <w:spacing w:line="480" w:lineRule="auto"/>
      </w:pPr>
    </w:p>
    <w:p w14:paraId="7B8E2FE0" w14:textId="5CD456E3" w:rsidR="003A0CA2" w:rsidRPr="00647F59" w:rsidRDefault="00647F59" w:rsidP="003A0CA2">
      <w:pPr>
        <w:spacing w:line="480" w:lineRule="auto"/>
        <w:rPr>
          <w:b/>
        </w:rPr>
      </w:pPr>
      <w:r w:rsidRPr="00647F59">
        <w:rPr>
          <w:b/>
        </w:rPr>
        <w:t>Safety of Evol</w:t>
      </w:r>
      <w:r w:rsidR="00711C2B">
        <w:rPr>
          <w:b/>
        </w:rPr>
        <w:t>o</w:t>
      </w:r>
      <w:r w:rsidRPr="00647F59">
        <w:rPr>
          <w:b/>
        </w:rPr>
        <w:t>cumab in Patients with PAD</w:t>
      </w:r>
    </w:p>
    <w:p w14:paraId="56D0D97F" w14:textId="05B12AF6" w:rsidR="00647F59" w:rsidRDefault="00165AAB" w:rsidP="003A0CA2">
      <w:pPr>
        <w:spacing w:line="480" w:lineRule="auto"/>
      </w:pPr>
      <w:r>
        <w:t>There were no differences in incidence adverse or serious adverse events with evolocumab relative to placebo in patients with PAD (</w:t>
      </w:r>
      <w:r w:rsidR="00B57D16">
        <w:t>Supplemental Table 2</w:t>
      </w:r>
      <w:r>
        <w:t xml:space="preserve">). There was no excess </w:t>
      </w:r>
      <w:r w:rsidR="00A34884">
        <w:t xml:space="preserve">of </w:t>
      </w:r>
      <w:r>
        <w:t>adverse events leading to treatment discontinuation (1.3% evolocumab vs 1.5% placebo, p=0.57).</w:t>
      </w:r>
      <w:r w:rsidR="007F2B28">
        <w:t xml:space="preserve"> </w:t>
      </w:r>
    </w:p>
    <w:p w14:paraId="412F2BA2" w14:textId="77777777" w:rsidR="00165AAB" w:rsidRDefault="00165AAB" w:rsidP="003A0CA2">
      <w:pPr>
        <w:spacing w:line="480" w:lineRule="auto"/>
      </w:pPr>
    </w:p>
    <w:p w14:paraId="4FCAEAAE" w14:textId="02B96D89" w:rsidR="00647F59" w:rsidRPr="00647F59" w:rsidRDefault="00647F59" w:rsidP="003A0CA2">
      <w:pPr>
        <w:spacing w:line="480" w:lineRule="auto"/>
        <w:rPr>
          <w:b/>
        </w:rPr>
      </w:pPr>
      <w:r w:rsidRPr="00647F59">
        <w:rPr>
          <w:b/>
        </w:rPr>
        <w:t>Association of achieved LDL</w:t>
      </w:r>
      <w:r w:rsidR="005C1BE2">
        <w:rPr>
          <w:b/>
        </w:rPr>
        <w:t>-</w:t>
      </w:r>
      <w:r w:rsidRPr="00647F59">
        <w:rPr>
          <w:b/>
        </w:rPr>
        <w:t>Cholesterol and risk of MA</w:t>
      </w:r>
      <w:r w:rsidR="00C3315D">
        <w:rPr>
          <w:b/>
        </w:rPr>
        <w:t>L</w:t>
      </w:r>
      <w:r w:rsidRPr="00647F59">
        <w:rPr>
          <w:b/>
        </w:rPr>
        <w:t>E and MA</w:t>
      </w:r>
      <w:r w:rsidR="00C3315D">
        <w:rPr>
          <w:b/>
        </w:rPr>
        <w:t>C</w:t>
      </w:r>
      <w:r w:rsidRPr="00647F59">
        <w:rPr>
          <w:b/>
        </w:rPr>
        <w:t>E</w:t>
      </w:r>
    </w:p>
    <w:p w14:paraId="57E55D76" w14:textId="0A3E11C3" w:rsidR="00647F59" w:rsidRDefault="002C205B" w:rsidP="003A0CA2">
      <w:pPr>
        <w:spacing w:line="480" w:lineRule="auto"/>
      </w:pPr>
      <w:r w:rsidRPr="000A276C">
        <w:t>Overall lower achieved LDL-C was associated with a significantly lower risk of MALE with a roughly linear relationship down to LDL-C of 10 mg/</w:t>
      </w:r>
      <w:proofErr w:type="spellStart"/>
      <w:r w:rsidRPr="000A276C">
        <w:t>dL</w:t>
      </w:r>
      <w:proofErr w:type="spellEnd"/>
      <w:r w:rsidRPr="000A276C">
        <w:t xml:space="preserve"> (p=0.0049 for slope)</w:t>
      </w:r>
      <w:r w:rsidR="00D43EFC">
        <w:t xml:space="preserve"> with consistent patterns in patients with PAD and those with PAD and no prior MI or stroke (Figure </w:t>
      </w:r>
      <w:r w:rsidR="00CB2441">
        <w:t>5</w:t>
      </w:r>
      <w:r w:rsidR="003136D8">
        <w:t>, Supplemental Figure 7</w:t>
      </w:r>
      <w:r w:rsidR="00D43EFC">
        <w:t>)</w:t>
      </w:r>
      <w:r w:rsidRPr="000A276C">
        <w:t xml:space="preserve">. </w:t>
      </w:r>
      <w:r w:rsidR="005F17FC" w:rsidRPr="002C205B">
        <w:t>There</w:t>
      </w:r>
      <w:r w:rsidR="005F17FC">
        <w:t xml:space="preserve"> was no apparent inflection or plateau in the relationship between LDL-C and outcome. </w:t>
      </w:r>
      <w:r w:rsidR="00F115C1">
        <w:t xml:space="preserve">This pattern was consistent for the broader composite outcome of MACE or MALE overall and for patients with PAD (Supplemental Figure </w:t>
      </w:r>
      <w:r w:rsidR="003136D8">
        <w:t>8</w:t>
      </w:r>
      <w:r w:rsidR="00F115C1">
        <w:t xml:space="preserve">) and patients with PAD and no prior MI or stroke (Supplemental Figure </w:t>
      </w:r>
      <w:r w:rsidR="003136D8">
        <w:t>9</w:t>
      </w:r>
      <w:r w:rsidR="00F115C1">
        <w:t>).</w:t>
      </w:r>
    </w:p>
    <w:p w14:paraId="1E616721" w14:textId="77777777" w:rsidR="00647F59" w:rsidRDefault="00647F59" w:rsidP="003A0CA2">
      <w:pPr>
        <w:spacing w:line="480" w:lineRule="auto"/>
      </w:pPr>
    </w:p>
    <w:p w14:paraId="18CFB1C4" w14:textId="77777777" w:rsidR="004F3474" w:rsidRDefault="004F3474" w:rsidP="00CC2C6C">
      <w:pPr>
        <w:spacing w:line="480" w:lineRule="auto"/>
        <w:rPr>
          <w:b/>
        </w:rPr>
      </w:pPr>
      <w:r>
        <w:rPr>
          <w:b/>
        </w:rPr>
        <w:t>DISCUSSION</w:t>
      </w:r>
    </w:p>
    <w:p w14:paraId="7AAC54A7" w14:textId="3C87A269" w:rsidR="00FE30CF" w:rsidRDefault="00777FB9" w:rsidP="00CC2C6C">
      <w:pPr>
        <w:spacing w:line="480" w:lineRule="auto"/>
      </w:pPr>
      <w:r>
        <w:lastRenderedPageBreak/>
        <w:t xml:space="preserve">This study </w:t>
      </w:r>
      <w:r w:rsidR="00C10FB3">
        <w:t xml:space="preserve">confirms </w:t>
      </w:r>
      <w:r>
        <w:t xml:space="preserve">that patients with symptomatic </w:t>
      </w:r>
      <w:r w:rsidR="00C6077D">
        <w:t xml:space="preserve">lower extremity </w:t>
      </w:r>
      <w:r>
        <w:t xml:space="preserve">PAD are at </w:t>
      </w:r>
      <w:r w:rsidR="00AB6DA1">
        <w:t>higher</w:t>
      </w:r>
      <w:r>
        <w:t xml:space="preserve"> risk of </w:t>
      </w:r>
      <w:r w:rsidR="00C3336E">
        <w:t xml:space="preserve">both </w:t>
      </w:r>
      <w:r>
        <w:t>MACE and MALE</w:t>
      </w:r>
      <w:r w:rsidR="00AB6DA1">
        <w:t xml:space="preserve"> relative to patients with prior MI or stroke and no PAD</w:t>
      </w:r>
      <w:r w:rsidR="00C3336E">
        <w:t xml:space="preserve">. Evolocumab significantly reduced the risk of </w:t>
      </w:r>
      <w:r w:rsidR="00AB6DA1">
        <w:t xml:space="preserve">MACE </w:t>
      </w:r>
      <w:r w:rsidR="00C3336E">
        <w:t xml:space="preserve">in </w:t>
      </w:r>
      <w:r w:rsidR="00AB6DA1">
        <w:t>patients with symptomatic PAD</w:t>
      </w:r>
      <w:r w:rsidR="00C3336E">
        <w:t xml:space="preserve">, </w:t>
      </w:r>
      <w:r w:rsidR="00C6077D">
        <w:t>including those without prior MI or stroke</w:t>
      </w:r>
      <w:r w:rsidR="00C3336E">
        <w:t xml:space="preserve">, and the </w:t>
      </w:r>
      <w:r w:rsidR="00D81E19">
        <w:t xml:space="preserve">higher risk </w:t>
      </w:r>
      <w:r w:rsidR="00C3336E">
        <w:t xml:space="preserve">in PAD patients </w:t>
      </w:r>
      <w:r w:rsidR="00D81E19">
        <w:t>translat</w:t>
      </w:r>
      <w:r w:rsidR="00C3336E">
        <w:t>ed</w:t>
      </w:r>
      <w:r w:rsidR="00D81E19">
        <w:t xml:space="preserve"> </w:t>
      </w:r>
      <w:r w:rsidR="00C3336E">
        <w:t>in</w:t>
      </w:r>
      <w:r w:rsidR="00D81E19">
        <w:t>to greater absolute risk reductions</w:t>
      </w:r>
      <w:r w:rsidR="00C3336E">
        <w:t xml:space="preserve">. Furthermore, </w:t>
      </w:r>
      <w:r>
        <w:t xml:space="preserve">LDL-C lowering </w:t>
      </w:r>
      <w:r w:rsidR="00C3336E">
        <w:t xml:space="preserve">with evolocumab </w:t>
      </w:r>
      <w:r>
        <w:t>reduce</w:t>
      </w:r>
      <w:r w:rsidR="00C3336E">
        <w:t>d</w:t>
      </w:r>
      <w:r>
        <w:t xml:space="preserve"> the risk of MALE including ALI and major amputation</w:t>
      </w:r>
      <w:r w:rsidR="00C3336E">
        <w:t xml:space="preserve">. Thus when considering both MACE and MALE, the absolute risk reduction with LDL-C lowering in patients with PAD was quite robust, with an NNT over 2.5 years of only 25. Lastly, akin to what has been observed for MACE, there was a </w:t>
      </w:r>
      <w:r w:rsidR="00C10FB3">
        <w:t xml:space="preserve">consistent </w:t>
      </w:r>
      <w:r w:rsidR="00C3336E">
        <w:t xml:space="preserve">lower risk of MALE </w:t>
      </w:r>
      <w:r w:rsidR="00AB6DA1">
        <w:t xml:space="preserve">with </w:t>
      </w:r>
      <w:r w:rsidR="00C3336E">
        <w:t xml:space="preserve">lower levels of </w:t>
      </w:r>
      <w:r w:rsidR="00AB6DA1">
        <w:t>achieved LDL-C</w:t>
      </w:r>
      <w:r w:rsidR="00C3336E">
        <w:t>, down to 10 mg/</w:t>
      </w:r>
      <w:proofErr w:type="spellStart"/>
      <w:r w:rsidR="00C3336E">
        <w:t>dL</w:t>
      </w:r>
      <w:proofErr w:type="spellEnd"/>
      <w:r w:rsidR="00C3336E">
        <w:t>.</w:t>
      </w:r>
      <w:r>
        <w:t xml:space="preserve"> </w:t>
      </w:r>
    </w:p>
    <w:p w14:paraId="3D80CCF3" w14:textId="77777777" w:rsidR="00914825" w:rsidRDefault="00914825" w:rsidP="00CC2C6C">
      <w:pPr>
        <w:spacing w:line="480" w:lineRule="auto"/>
      </w:pPr>
    </w:p>
    <w:p w14:paraId="323384FF" w14:textId="5ED2753C" w:rsidR="00914825" w:rsidRDefault="00914825" w:rsidP="00CC2C6C">
      <w:pPr>
        <w:spacing w:line="480" w:lineRule="auto"/>
      </w:pPr>
      <w:r>
        <w:t xml:space="preserve">The </w:t>
      </w:r>
      <w:r w:rsidR="002E56D6">
        <w:t xml:space="preserve">higher ischemic risk in </w:t>
      </w:r>
      <w:r>
        <w:t xml:space="preserve">patients with symptomatic PAD </w:t>
      </w:r>
      <w:r w:rsidR="002E56D6">
        <w:t xml:space="preserve">as compared to those without </w:t>
      </w:r>
      <w:r>
        <w:t xml:space="preserve">has been </w:t>
      </w:r>
      <w:r w:rsidR="002E56D6">
        <w:t>recognized</w:t>
      </w:r>
      <w:r>
        <w:t>.</w:t>
      </w:r>
      <w:r w:rsidR="00A2470C">
        <w:fldChar w:fldCharType="begin"/>
      </w:r>
      <w:r w:rsidR="000A2DFD">
        <w:instrText>ADDIN RW.CITE{{1077 Cacoub,P.P. 2009; 2027 Bhatt,D.L. 2009}}</w:instrText>
      </w:r>
      <w:r w:rsidR="00A2470C">
        <w:fldChar w:fldCharType="separate"/>
      </w:r>
      <w:r w:rsidR="00725A97" w:rsidRPr="00725A97">
        <w:rPr>
          <w:rFonts w:eastAsia="Times New Roman"/>
          <w:vertAlign w:val="superscript"/>
        </w:rPr>
        <w:t xml:space="preserve"> 21,22</w:t>
      </w:r>
      <w:r w:rsidR="00A2470C">
        <w:fldChar w:fldCharType="end"/>
      </w:r>
      <w:r>
        <w:t xml:space="preserve"> This observation</w:t>
      </w:r>
      <w:r w:rsidR="002E56D6">
        <w:t>,</w:t>
      </w:r>
      <w:r>
        <w:t xml:space="preserve"> however, is complex as there is heterogeneity in risk with</w:t>
      </w:r>
      <w:r w:rsidR="00266151">
        <w:t>in</w:t>
      </w:r>
      <w:r>
        <w:t xml:space="preserve"> the </w:t>
      </w:r>
      <w:r w:rsidR="00266151">
        <w:t xml:space="preserve">broad </w:t>
      </w:r>
      <w:r>
        <w:t xml:space="preserve">population </w:t>
      </w:r>
      <w:r w:rsidR="00266151">
        <w:t xml:space="preserve">of patients </w:t>
      </w:r>
      <w:r>
        <w:t>with PAD. Those patients with multiple symptomatic territories</w:t>
      </w:r>
      <w:r w:rsidR="00266151">
        <w:t xml:space="preserve"> (e.g. PAD and prior MI</w:t>
      </w:r>
      <w:r w:rsidR="0005091E">
        <w:t xml:space="preserve"> or prior stroke</w:t>
      </w:r>
      <w:r w:rsidR="00266151">
        <w:t>)</w:t>
      </w:r>
      <w:r>
        <w:t xml:space="preserve">, called </w:t>
      </w:r>
      <w:proofErr w:type="spellStart"/>
      <w:r>
        <w:t>polyvas</w:t>
      </w:r>
      <w:r w:rsidR="002E56D6">
        <w:t>c</w:t>
      </w:r>
      <w:r>
        <w:t>ular</w:t>
      </w:r>
      <w:proofErr w:type="spellEnd"/>
      <w:r>
        <w:t xml:space="preserve"> disease, are </w:t>
      </w:r>
      <w:r w:rsidR="0005091E">
        <w:t xml:space="preserve">at </w:t>
      </w:r>
      <w:r>
        <w:t xml:space="preserve">clearly </w:t>
      </w:r>
      <w:r w:rsidR="00266151">
        <w:t xml:space="preserve">heightened risk and appear to derive robust reductions in MACE risk from </w:t>
      </w:r>
      <w:r w:rsidR="00972A55">
        <w:t>more intensive antithrombotic therapy</w:t>
      </w:r>
      <w:r w:rsidR="00266151">
        <w:t>.</w:t>
      </w:r>
      <w:r w:rsidR="00737013">
        <w:fldChar w:fldCharType="begin"/>
      </w:r>
      <w:r w:rsidR="000A2DFD">
        <w:instrText>ADDIN RW.CITE{{2077 Bonaca,M.P. 2016; 2087 Franzone,A. 2016; 2654 Chen,D.C. 2017}}</w:instrText>
      </w:r>
      <w:r w:rsidR="00737013">
        <w:fldChar w:fldCharType="separate"/>
      </w:r>
      <w:r w:rsidR="00725A97" w:rsidRPr="00725A97">
        <w:rPr>
          <w:rFonts w:eastAsia="Times New Roman"/>
          <w:vertAlign w:val="superscript"/>
        </w:rPr>
        <w:t xml:space="preserve"> 3,23,24</w:t>
      </w:r>
      <w:r w:rsidR="00737013">
        <w:fldChar w:fldCharType="end"/>
      </w:r>
      <w:r w:rsidR="00266151">
        <w:t xml:space="preserve"> For patients with symptomatic PAD and no prior MI or stroke</w:t>
      </w:r>
      <w:r w:rsidR="00C10FB3">
        <w:t>, there fewer proven medical therapies</w:t>
      </w:r>
      <w:r w:rsidR="00266151">
        <w:t>.</w:t>
      </w:r>
      <w:r w:rsidR="00737013">
        <w:fldChar w:fldCharType="begin"/>
      </w:r>
      <w:r w:rsidR="000A2DFD">
        <w:instrText>ADDIN RW.CITE{{1601 WarfarinAntiplateletVascularEvaluationTrialInvestigators 2007; 2527 Aboyans,V. 2017; 2211 Gerhard-Herman,M.D. 2016; 2657 Hiatt,W.R. 2017}}</w:instrText>
      </w:r>
      <w:r w:rsidR="00737013">
        <w:fldChar w:fldCharType="separate"/>
      </w:r>
      <w:r w:rsidR="00725A97" w:rsidRPr="00725A97">
        <w:rPr>
          <w:rFonts w:eastAsia="Times New Roman"/>
          <w:vertAlign w:val="superscript"/>
        </w:rPr>
        <w:t xml:space="preserve"> 4,5,15,25</w:t>
      </w:r>
      <w:r w:rsidR="00737013">
        <w:fldChar w:fldCharType="end"/>
      </w:r>
      <w:r w:rsidR="00266151">
        <w:t xml:space="preserve"> </w:t>
      </w:r>
      <w:r w:rsidR="00C10FB3">
        <w:t xml:space="preserve">The current study builds on observations from the Heart Protection Study and observational analyses to demonstrate that intensive lipid lowering is beneficial in this population and with no </w:t>
      </w:r>
      <w:r w:rsidR="00C3315D">
        <w:t xml:space="preserve">offsetting </w:t>
      </w:r>
      <w:r w:rsidR="00C10FB3">
        <w:t>side effects such as bleeding with anti-thrombotic therapy</w:t>
      </w:r>
      <w:r w:rsidR="005F4DFF">
        <w:t>.</w:t>
      </w:r>
      <w:r w:rsidR="00737013">
        <w:fldChar w:fldCharType="begin"/>
      </w:r>
      <w:r w:rsidR="000A2DFD">
        <w:instrText>ADDIN RW.CITE{{2645 AnandS.etal. 2017; 1436 Bonaca,M.P. 2013; 2077 Bonaca,M.P. 2016; 1601 WarfarinAntiplateletVascularEvaluationTrialInvestigators 2007}}</w:instrText>
      </w:r>
      <w:r w:rsidR="00737013">
        <w:fldChar w:fldCharType="separate"/>
      </w:r>
      <w:r w:rsidR="00725A97" w:rsidRPr="00725A97">
        <w:rPr>
          <w:rFonts w:eastAsia="Times New Roman"/>
          <w:vertAlign w:val="superscript"/>
        </w:rPr>
        <w:t xml:space="preserve"> 3,8,14,25</w:t>
      </w:r>
      <w:r w:rsidR="00737013">
        <w:fldChar w:fldCharType="end"/>
      </w:r>
    </w:p>
    <w:p w14:paraId="58DBF4C6" w14:textId="77777777" w:rsidR="005F4DFF" w:rsidRDefault="005F4DFF" w:rsidP="00CC2C6C">
      <w:pPr>
        <w:spacing w:line="480" w:lineRule="auto"/>
      </w:pPr>
    </w:p>
    <w:p w14:paraId="45B89223" w14:textId="1D98D3F9" w:rsidR="0099560D" w:rsidRDefault="005F4DFF" w:rsidP="00CC2C6C">
      <w:pPr>
        <w:spacing w:line="480" w:lineRule="auto"/>
      </w:pPr>
      <w:r>
        <w:lastRenderedPageBreak/>
        <w:t>In the current study</w:t>
      </w:r>
      <w:r w:rsidR="00713663">
        <w:t>,</w:t>
      </w:r>
      <w:r>
        <w:t xml:space="preserve"> we have shown two symptomatic PAD populations, a broad population including those with </w:t>
      </w:r>
      <w:proofErr w:type="spellStart"/>
      <w:r w:rsidR="00771071">
        <w:t>poly</w:t>
      </w:r>
      <w:r>
        <w:t>vascular</w:t>
      </w:r>
      <w:proofErr w:type="spellEnd"/>
      <w:r>
        <w:t xml:space="preserve"> disease as well as a restricted population </w:t>
      </w:r>
      <w:r w:rsidR="00F073A4">
        <w:t xml:space="preserve">with symptomatic lower extremity PAD </w:t>
      </w:r>
      <w:r w:rsidR="0005091E">
        <w:t>that</w:t>
      </w:r>
      <w:r>
        <w:t xml:space="preserve"> has never experienced an acute </w:t>
      </w:r>
      <w:proofErr w:type="spellStart"/>
      <w:r>
        <w:t>atherothrombotic</w:t>
      </w:r>
      <w:proofErr w:type="spellEnd"/>
      <w:r>
        <w:t xml:space="preserve"> event (MI or stroke</w:t>
      </w:r>
      <w:r w:rsidR="00771071">
        <w:t>)</w:t>
      </w:r>
      <w:r>
        <w:t xml:space="preserve">. </w:t>
      </w:r>
      <w:r w:rsidR="00F073A4">
        <w:t>In the current study</w:t>
      </w:r>
      <w:r>
        <w:t xml:space="preserve"> the benefits of intensive lipid lowering with evolocumab </w:t>
      </w:r>
      <w:r w:rsidR="00F073A4">
        <w:t xml:space="preserve">were </w:t>
      </w:r>
      <w:r>
        <w:t>consistent in both populations</w:t>
      </w:r>
      <w:r w:rsidR="00972A55">
        <w:t>.</w:t>
      </w:r>
      <w:r w:rsidR="0099560D" w:rsidRPr="0099560D">
        <w:t xml:space="preserve"> </w:t>
      </w:r>
      <w:r w:rsidR="0099560D">
        <w:t xml:space="preserve">These findings therefore highlight a </w:t>
      </w:r>
      <w:r w:rsidR="00F073A4">
        <w:t xml:space="preserve">distinct </w:t>
      </w:r>
      <w:r w:rsidR="0099560D">
        <w:t xml:space="preserve">population </w:t>
      </w:r>
      <w:r w:rsidR="00F073A4">
        <w:t xml:space="preserve">characterized by symptomatic PAD only </w:t>
      </w:r>
      <w:r w:rsidR="0099560D">
        <w:t xml:space="preserve">where lipid lowering provides robust benefits and supports the hypothesis that the biology of MACE risk in this population is </w:t>
      </w:r>
      <w:r w:rsidR="00F073A4">
        <w:t xml:space="preserve">modifiable with </w:t>
      </w:r>
      <w:r w:rsidR="0099560D">
        <w:t xml:space="preserve">LDL-C lowering. </w:t>
      </w:r>
      <w:r>
        <w:t xml:space="preserve"> </w:t>
      </w:r>
    </w:p>
    <w:p w14:paraId="3F2653FA" w14:textId="77777777" w:rsidR="0099560D" w:rsidRDefault="0099560D" w:rsidP="00CC2C6C">
      <w:pPr>
        <w:spacing w:line="480" w:lineRule="auto"/>
      </w:pPr>
    </w:p>
    <w:p w14:paraId="50DAAD0C" w14:textId="44F87EE8" w:rsidR="005F4DFF" w:rsidRDefault="00BD106B" w:rsidP="00CC2C6C">
      <w:pPr>
        <w:spacing w:line="480" w:lineRule="auto"/>
      </w:pPr>
      <w:r>
        <w:t xml:space="preserve">There are limited prior randomized, controlled data on the effect of LDL-C lowering on clinical outcomes in PAD. </w:t>
      </w:r>
      <w:r w:rsidR="0099560D">
        <w:t xml:space="preserve">The Heart Protection Study randomized 20,536 patients with vascular disease with </w:t>
      </w:r>
      <w:proofErr w:type="gramStart"/>
      <w:r w:rsidR="0099560D">
        <w:t xml:space="preserve">a </w:t>
      </w:r>
      <w:r w:rsidR="00FB6075">
        <w:t>total</w:t>
      </w:r>
      <w:proofErr w:type="gramEnd"/>
      <w:r w:rsidR="00FB6075">
        <w:t xml:space="preserve"> </w:t>
      </w:r>
      <w:r w:rsidR="0099560D">
        <w:t xml:space="preserve">cholesterol of at least 3.5 </w:t>
      </w:r>
      <w:proofErr w:type="spellStart"/>
      <w:r w:rsidR="0099560D">
        <w:t>mmol</w:t>
      </w:r>
      <w:proofErr w:type="spellEnd"/>
      <w:r w:rsidR="0099560D">
        <w:t xml:space="preserve">/L </w:t>
      </w:r>
      <w:r w:rsidR="002C205B">
        <w:t>(135 mg/</w:t>
      </w:r>
      <w:proofErr w:type="spellStart"/>
      <w:r w:rsidR="002C205B">
        <w:t>dL</w:t>
      </w:r>
      <w:proofErr w:type="spellEnd"/>
      <w:r w:rsidR="002C205B">
        <w:t xml:space="preserve">) </w:t>
      </w:r>
      <w:r w:rsidR="0099560D">
        <w:t>to simvastatin 40 mg daily or placebo and included 6,748 patients with PAD.</w:t>
      </w:r>
      <w:r w:rsidR="00BA7B97">
        <w:fldChar w:fldCharType="begin"/>
      </w:r>
      <w:r w:rsidR="000A2DFD">
        <w:instrText>ADDIN RW.CITE{{2647 Collins,R. 2004}}</w:instrText>
      </w:r>
      <w:r w:rsidR="00BA7B97">
        <w:fldChar w:fldCharType="separate"/>
      </w:r>
      <w:r w:rsidR="00725A97" w:rsidRPr="00725A97">
        <w:rPr>
          <w:rFonts w:eastAsia="Times New Roman"/>
          <w:vertAlign w:val="superscript"/>
        </w:rPr>
        <w:t xml:space="preserve"> 26</w:t>
      </w:r>
      <w:r w:rsidR="00BA7B97">
        <w:fldChar w:fldCharType="end"/>
      </w:r>
      <w:r w:rsidR="0099560D">
        <w:t xml:space="preserve"> Over 5 years of follow up, simvastatin reduced major vascular events relative to placebo with consistent </w:t>
      </w:r>
      <w:r w:rsidR="000442B7">
        <w:t xml:space="preserve">relative risk reductions </w:t>
      </w:r>
      <w:r w:rsidR="0099560D">
        <w:t>in those with and without PAD.</w:t>
      </w:r>
      <w:r w:rsidR="00BA7B97">
        <w:fldChar w:fldCharType="begin"/>
      </w:r>
      <w:r w:rsidR="000A2DFD">
        <w:instrText>ADDIN RW.CITE{{1563 Heart Protection Study Collaborative Group 2007}}</w:instrText>
      </w:r>
      <w:r w:rsidR="00BA7B97">
        <w:fldChar w:fldCharType="separate"/>
      </w:r>
      <w:r w:rsidR="00725A97" w:rsidRPr="00725A97">
        <w:rPr>
          <w:rFonts w:eastAsia="Times New Roman"/>
          <w:vertAlign w:val="superscript"/>
        </w:rPr>
        <w:t xml:space="preserve"> 27</w:t>
      </w:r>
      <w:r w:rsidR="00BA7B97">
        <w:fldChar w:fldCharType="end"/>
      </w:r>
      <w:r w:rsidR="0099560D">
        <w:t xml:space="preserve"> An exploratory outcome of non-coronary vascular intervention (including carotid intervention) was also lower with simvastatin.</w:t>
      </w:r>
      <w:r w:rsidR="00BA7B97">
        <w:fldChar w:fldCharType="begin"/>
      </w:r>
      <w:r w:rsidR="000A2DFD">
        <w:instrText>ADDIN RW.CITE{{1563 Heart Protection Study Collaborative Group 2007}}</w:instrText>
      </w:r>
      <w:r w:rsidR="00BA7B97">
        <w:fldChar w:fldCharType="separate"/>
      </w:r>
      <w:r w:rsidR="00725A97" w:rsidRPr="00725A97">
        <w:rPr>
          <w:rFonts w:eastAsia="Times New Roman"/>
          <w:vertAlign w:val="superscript"/>
        </w:rPr>
        <w:t xml:space="preserve"> 27</w:t>
      </w:r>
      <w:r w:rsidR="00BA7B97">
        <w:fldChar w:fldCharType="end"/>
      </w:r>
      <w:r w:rsidR="0099560D">
        <w:t xml:space="preserve"> There was no difference in the risk of amputation with simvastatin vs. placebo. </w:t>
      </w:r>
      <w:r w:rsidR="00900A93">
        <w:t>Observational analyses have reported associations between statin intensity and reductions in MACE in patients with</w:t>
      </w:r>
      <w:r w:rsidR="00F073A4">
        <w:t xml:space="preserve"> stable</w:t>
      </w:r>
      <w:r w:rsidR="00900A93">
        <w:t xml:space="preserve"> PAD or </w:t>
      </w:r>
      <w:r w:rsidR="00F073A4">
        <w:t xml:space="preserve">those presenting with </w:t>
      </w:r>
      <w:r w:rsidR="00900A93">
        <w:t>CLI.</w:t>
      </w:r>
      <w:r w:rsidR="00900A93">
        <w:fldChar w:fldCharType="begin"/>
      </w:r>
      <w:r w:rsidR="000A2DFD">
        <w:instrText>ADDIN RW.CITE{{2653 Foley,T.R. 2017; 2652 Stavroulakis,K. 2017; 2655 Westin,G.G. 2014}}</w:instrText>
      </w:r>
      <w:r w:rsidR="00900A93">
        <w:fldChar w:fldCharType="separate"/>
      </w:r>
      <w:r w:rsidR="00725A97" w:rsidRPr="00725A97">
        <w:rPr>
          <w:rFonts w:eastAsia="Times New Roman"/>
          <w:vertAlign w:val="superscript"/>
        </w:rPr>
        <w:t xml:space="preserve"> 28-30</w:t>
      </w:r>
      <w:r w:rsidR="00900A93">
        <w:fldChar w:fldCharType="end"/>
      </w:r>
      <w:r w:rsidR="00900A93">
        <w:t xml:space="preserve"> </w:t>
      </w:r>
      <w:r w:rsidR="002A11F3">
        <w:t xml:space="preserve">Beyond these </w:t>
      </w:r>
      <w:r w:rsidR="002E5CF8">
        <w:t xml:space="preserve">observations, </w:t>
      </w:r>
      <w:r w:rsidR="002A11F3">
        <w:t>there are no well</w:t>
      </w:r>
      <w:r w:rsidR="00713663">
        <w:t>-</w:t>
      </w:r>
      <w:r w:rsidR="002A11F3">
        <w:t>powered randomi</w:t>
      </w:r>
      <w:r w:rsidR="00FF3895">
        <w:t>z</w:t>
      </w:r>
      <w:r w:rsidR="002A11F3">
        <w:t>ed studies showing that achieving lower LDL-C or that the use of a non-statin agent to a statin is beneficial in PAD.</w:t>
      </w:r>
      <w:r w:rsidR="000442B7">
        <w:fldChar w:fldCharType="begin"/>
      </w:r>
      <w:r w:rsidR="000A2DFD">
        <w:instrText>ADDIN RW.CITE{{1565 Aung,P.P. 2007}}</w:instrText>
      </w:r>
      <w:r w:rsidR="000442B7">
        <w:fldChar w:fldCharType="separate"/>
      </w:r>
      <w:r w:rsidR="00725A97" w:rsidRPr="00725A97">
        <w:rPr>
          <w:rFonts w:eastAsia="Times New Roman"/>
          <w:vertAlign w:val="superscript"/>
        </w:rPr>
        <w:t xml:space="preserve"> 9</w:t>
      </w:r>
      <w:r w:rsidR="000442B7">
        <w:fldChar w:fldCharType="end"/>
      </w:r>
      <w:r w:rsidR="002A11F3">
        <w:t xml:space="preserve"> The current study now adds additional data from a well</w:t>
      </w:r>
      <w:r w:rsidR="002E5CF8">
        <w:t>-</w:t>
      </w:r>
      <w:r w:rsidR="002A11F3">
        <w:t xml:space="preserve">powered randomized trial that achieving lower LDL-C with a non-statin agent added to high or </w:t>
      </w:r>
      <w:r w:rsidR="002A11F3">
        <w:lastRenderedPageBreak/>
        <w:t>moderate intensity statin therapy is beneficial in patients with symptomatic lower extremity PAD</w:t>
      </w:r>
      <w:r w:rsidR="002E5CF8">
        <w:t>,</w:t>
      </w:r>
      <w:r w:rsidR="002A11F3">
        <w:t xml:space="preserve"> including those without prior MI or stroke.</w:t>
      </w:r>
      <w:r w:rsidR="00BA7B97">
        <w:fldChar w:fldCharType="begin"/>
      </w:r>
      <w:r w:rsidR="000A2DFD">
        <w:instrText>ADDIN RW.CITE{{1565 Aung,P.P. 2007}}</w:instrText>
      </w:r>
      <w:r w:rsidR="00BA7B97">
        <w:fldChar w:fldCharType="separate"/>
      </w:r>
      <w:r w:rsidR="00725A97" w:rsidRPr="00725A97">
        <w:rPr>
          <w:rFonts w:eastAsia="Times New Roman"/>
          <w:vertAlign w:val="superscript"/>
        </w:rPr>
        <w:t xml:space="preserve"> 9</w:t>
      </w:r>
      <w:r w:rsidR="00BA7B97">
        <w:fldChar w:fldCharType="end"/>
      </w:r>
    </w:p>
    <w:p w14:paraId="0BF558C5" w14:textId="77777777" w:rsidR="0066293E" w:rsidRDefault="0066293E" w:rsidP="00CC2C6C">
      <w:pPr>
        <w:spacing w:line="480" w:lineRule="auto"/>
      </w:pPr>
    </w:p>
    <w:p w14:paraId="4D3A7EA7" w14:textId="17EE612A" w:rsidR="00192EDE" w:rsidRDefault="0066293E" w:rsidP="00CC2C6C">
      <w:pPr>
        <w:spacing w:line="480" w:lineRule="auto"/>
      </w:pPr>
      <w:r>
        <w:t xml:space="preserve">In addition to robust benefits for MACE, the current study is the first randomized trial to demonstrate a benefit for intensive LDL-C lowering for MALE risk. </w:t>
      </w:r>
      <w:r w:rsidR="00BA7B97">
        <w:t xml:space="preserve">As noted above, the Heart Protection Study noted a reduction in </w:t>
      </w:r>
      <w:r w:rsidR="00D8235A">
        <w:t xml:space="preserve">the outcome of </w:t>
      </w:r>
      <w:r w:rsidR="00BA7B97">
        <w:t>non-coronary revascularization procedures; however, this was not specific to etiology and included procedures beyond the lower extremities such as carotid revascularization.</w:t>
      </w:r>
      <w:r w:rsidR="00D8235A">
        <w:fldChar w:fldCharType="begin"/>
      </w:r>
      <w:r w:rsidR="000A2DFD">
        <w:instrText>ADDIN RW.CITE{{1563 Heart Protection Study Collaborative Group 2007}}</w:instrText>
      </w:r>
      <w:r w:rsidR="00D8235A">
        <w:fldChar w:fldCharType="separate"/>
      </w:r>
      <w:r w:rsidR="00725A97" w:rsidRPr="00725A97">
        <w:rPr>
          <w:rFonts w:eastAsia="Times New Roman"/>
          <w:vertAlign w:val="superscript"/>
        </w:rPr>
        <w:t xml:space="preserve"> 27</w:t>
      </w:r>
      <w:r w:rsidR="00D8235A">
        <w:fldChar w:fldCharType="end"/>
      </w:r>
      <w:r w:rsidR="00BA7B97">
        <w:t xml:space="preserve"> Major adverse limb events were not reported and there was no difference in amputations.</w:t>
      </w:r>
      <w:r w:rsidR="00BA7B97">
        <w:fldChar w:fldCharType="begin"/>
      </w:r>
      <w:r w:rsidR="000A2DFD">
        <w:instrText>ADDIN RW.CITE{{1563 Heart Protection Study Collaborative Group 2007}}</w:instrText>
      </w:r>
      <w:r w:rsidR="00BA7B97">
        <w:fldChar w:fldCharType="separate"/>
      </w:r>
      <w:r w:rsidR="00725A97" w:rsidRPr="00725A97">
        <w:rPr>
          <w:rFonts w:eastAsia="Times New Roman"/>
          <w:vertAlign w:val="superscript"/>
        </w:rPr>
        <w:t xml:space="preserve"> 27</w:t>
      </w:r>
      <w:r w:rsidR="00BA7B97">
        <w:fldChar w:fldCharType="end"/>
      </w:r>
      <w:r w:rsidR="00D8235A">
        <w:t xml:space="preserve">. </w:t>
      </w:r>
      <w:r w:rsidR="002A542E">
        <w:t xml:space="preserve">Prior small studies have described </w:t>
      </w:r>
      <w:r w:rsidR="00F85A7E">
        <w:t xml:space="preserve">potential </w:t>
      </w:r>
      <w:r w:rsidR="002A542E">
        <w:t>symptomatic benefits with statin therapy</w:t>
      </w:r>
      <w:r w:rsidR="00F85A7E">
        <w:t xml:space="preserve"> but have not been powered for MALE</w:t>
      </w:r>
      <w:r w:rsidR="002A542E">
        <w:t>.</w:t>
      </w:r>
      <w:r w:rsidR="00737013">
        <w:fldChar w:fldCharType="begin"/>
      </w:r>
      <w:r w:rsidR="000A2DFD">
        <w:instrText>ADDIN RW.CITE{{1623 Aronow,W.S. 2003;1619 Giri,J. 2006;1622 Mohler,E.R.,3rd 2003}}</w:instrText>
      </w:r>
      <w:r w:rsidR="00737013">
        <w:fldChar w:fldCharType="separate"/>
      </w:r>
      <w:r w:rsidR="00725A97" w:rsidRPr="00725A97">
        <w:rPr>
          <w:rFonts w:eastAsia="Times New Roman"/>
          <w:vertAlign w:val="superscript"/>
        </w:rPr>
        <w:t xml:space="preserve"> 10,11,31</w:t>
      </w:r>
      <w:r w:rsidR="00737013">
        <w:fldChar w:fldCharType="end"/>
      </w:r>
      <w:r w:rsidR="00F85A7E">
        <w:t xml:space="preserve"> </w:t>
      </w:r>
      <w:r w:rsidR="00A34884" w:rsidRPr="00A34884">
        <w:t xml:space="preserve">A single study has reported a significant 36% reduction in amputations with 5 years treatment with </w:t>
      </w:r>
      <w:proofErr w:type="spellStart"/>
      <w:r w:rsidR="00A34884" w:rsidRPr="00A34884">
        <w:t>fenofibrate</w:t>
      </w:r>
      <w:proofErr w:type="spellEnd"/>
      <w:r w:rsidR="00A34884" w:rsidRPr="00A34884">
        <w:t xml:space="preserve"> versus placebo in people with type 2 diabetes in, mostly among individuals with PAD, prior amputation or neuropathy, and likely via non-LDL-C mediated mechanisms</w:t>
      </w:r>
      <w:r w:rsidR="00A34884">
        <w:t>.</w:t>
      </w:r>
      <w:r w:rsidR="00C125EC">
        <w:fldChar w:fldCharType="begin"/>
      </w:r>
      <w:r w:rsidR="000A2DFD">
        <w:instrText>ADDIN RW.CITE{{2650 Rajamani,K. 2009}}</w:instrText>
      </w:r>
      <w:r w:rsidR="00C125EC">
        <w:fldChar w:fldCharType="separate"/>
      </w:r>
      <w:r w:rsidR="00725A97" w:rsidRPr="00725A97">
        <w:rPr>
          <w:rFonts w:eastAsia="Times New Roman"/>
          <w:vertAlign w:val="superscript"/>
        </w:rPr>
        <w:t xml:space="preserve"> 32</w:t>
      </w:r>
      <w:r w:rsidR="00C125EC">
        <w:fldChar w:fldCharType="end"/>
      </w:r>
      <w:r w:rsidR="00A34884">
        <w:t xml:space="preserve"> </w:t>
      </w:r>
      <w:r w:rsidR="00F85A7E">
        <w:t>Analyses from large registries have observed an association between</w:t>
      </w:r>
      <w:r w:rsidR="002A542E">
        <w:t xml:space="preserve"> </w:t>
      </w:r>
      <w:r w:rsidR="00F85A7E">
        <w:t>lower amputation rates</w:t>
      </w:r>
      <w:r w:rsidR="002A542E">
        <w:t xml:space="preserve"> </w:t>
      </w:r>
      <w:r w:rsidR="00F85A7E">
        <w:t>and</w:t>
      </w:r>
      <w:r w:rsidR="002A542E">
        <w:t xml:space="preserve"> statin therapy</w:t>
      </w:r>
      <w:r w:rsidR="00F85A7E">
        <w:t>; however, potential for residual confounding has remained and intensity of statin therapy or achieved LDL-C was not reported</w:t>
      </w:r>
      <w:r w:rsidR="002A542E">
        <w:t>.</w:t>
      </w:r>
      <w:r w:rsidR="00737013">
        <w:fldChar w:fldCharType="begin"/>
      </w:r>
      <w:r w:rsidR="000A2DFD">
        <w:instrText>ADDIN RW.CITE{{1620 Dosluoglu,H.H. 2014;1560 Feringa,H.H. 2007;2001 Kumbhani,D.J. 2014}}</w:instrText>
      </w:r>
      <w:r w:rsidR="00737013">
        <w:fldChar w:fldCharType="separate"/>
      </w:r>
      <w:r w:rsidR="00725A97" w:rsidRPr="00725A97">
        <w:rPr>
          <w:rFonts w:eastAsia="Times New Roman"/>
          <w:vertAlign w:val="superscript"/>
        </w:rPr>
        <w:t xml:space="preserve"> 6,33,34</w:t>
      </w:r>
      <w:r w:rsidR="00737013">
        <w:fldChar w:fldCharType="end"/>
      </w:r>
      <w:r w:rsidR="00B12FBF">
        <w:t xml:space="preserve"> Smaller observational studies in patients with CLI have shown mixed results for the association between statins in limb events with some showing no significant reduction in amputation and others showing improved limb salvage in patients presenting for endovascular therapy for CLI.</w:t>
      </w:r>
      <w:r w:rsidR="00B12FBF">
        <w:fldChar w:fldCharType="begin"/>
      </w:r>
      <w:r w:rsidR="000A2DFD">
        <w:instrText>ADDIN RW.CITE{{2656 Aiello,F.A. 2012; 2652 Stavroulakis,K. 2017; 1554 Westin,G.G. 2014}}</w:instrText>
      </w:r>
      <w:r w:rsidR="00B12FBF">
        <w:fldChar w:fldCharType="separate"/>
      </w:r>
      <w:r w:rsidR="00725A97" w:rsidRPr="00725A97">
        <w:rPr>
          <w:rFonts w:eastAsia="Times New Roman"/>
          <w:vertAlign w:val="superscript"/>
        </w:rPr>
        <w:t xml:space="preserve"> 29,35,36</w:t>
      </w:r>
      <w:r w:rsidR="00B12FBF">
        <w:fldChar w:fldCharType="end"/>
      </w:r>
    </w:p>
    <w:p w14:paraId="0F8B8EE0" w14:textId="77777777" w:rsidR="00192EDE" w:rsidRDefault="00192EDE" w:rsidP="00CC2C6C">
      <w:pPr>
        <w:spacing w:line="480" w:lineRule="auto"/>
      </w:pPr>
    </w:p>
    <w:p w14:paraId="35E5061E" w14:textId="6C347CA1" w:rsidR="002A542E" w:rsidRDefault="00192EDE" w:rsidP="00CC2C6C">
      <w:pPr>
        <w:spacing w:line="480" w:lineRule="auto"/>
      </w:pPr>
      <w:r w:rsidRPr="00192EDE">
        <w:t xml:space="preserve">The current study demonstrates that non-statin LDL-C lowering added to statins reduces MALE in patients with symptomatic atherosclerosis and that the benefits extend to very </w:t>
      </w:r>
      <w:r w:rsidRPr="00192EDE">
        <w:lastRenderedPageBreak/>
        <w:t>low achieved LDL-C. This benefit was statistically significant in the overall population with consistent effects in those with and without recognized lower extremity PAD. The benefit in those without known PAD reflects both the heightened risk of PAD in patients with coronary or cerebrovascular disease as well as under-diagnosis in populations where systematic screening is not conducted. These observations support ascertainment of MALE outcomes in trials of preventive therapies in broader populations with atherosclerosis and not only those with recognized PAD</w:t>
      </w:r>
      <w:r>
        <w:t>.</w:t>
      </w:r>
    </w:p>
    <w:p w14:paraId="5BA39389" w14:textId="77777777" w:rsidR="002A542E" w:rsidRDefault="002A542E" w:rsidP="00CC2C6C">
      <w:pPr>
        <w:spacing w:line="480" w:lineRule="auto"/>
      </w:pPr>
    </w:p>
    <w:p w14:paraId="069C4820" w14:textId="73E667D8" w:rsidR="0066293E" w:rsidRDefault="00FB6075" w:rsidP="00CC2C6C">
      <w:pPr>
        <w:spacing w:line="480" w:lineRule="auto"/>
      </w:pPr>
      <w:r>
        <w:t xml:space="preserve">The reduction in </w:t>
      </w:r>
      <w:r w:rsidR="002A542E">
        <w:t xml:space="preserve">MALE </w:t>
      </w:r>
      <w:r>
        <w:t xml:space="preserve">with evolocumab was </w:t>
      </w:r>
      <w:r w:rsidR="002A542E">
        <w:t xml:space="preserve">consistent </w:t>
      </w:r>
      <w:r>
        <w:t xml:space="preserve">for all </w:t>
      </w:r>
      <w:r w:rsidR="00343245">
        <w:t>the components</w:t>
      </w:r>
      <w:r w:rsidR="00FF3545">
        <w:t xml:space="preserve">, </w:t>
      </w:r>
      <w:r>
        <w:t xml:space="preserve">which </w:t>
      </w:r>
      <w:r w:rsidR="002A542E">
        <w:t xml:space="preserve">have now been established as modifiable limb endpoints in three randomized trials of more intensive antithrombotic therapy and endpoints that have been adopted as elements of primary or key secondary endpoints in </w:t>
      </w:r>
      <w:r w:rsidR="00EE73E3">
        <w:t xml:space="preserve">trials including </w:t>
      </w:r>
      <w:r w:rsidR="002A542E">
        <w:t>patients with PAD.</w:t>
      </w:r>
      <w:r w:rsidR="00737013">
        <w:fldChar w:fldCharType="begin"/>
      </w:r>
      <w:r w:rsidR="00725A97">
        <w:instrText>ADDIN RW.CITE{{2645 Anand S. et al. 2017;1436 Bonaca,M.P. 2013;2077 Bonaca,M.P. 2016;2657 Hiatt,W.R. 2017}}</w:instrText>
      </w:r>
      <w:r w:rsidR="00737013">
        <w:fldChar w:fldCharType="separate"/>
      </w:r>
      <w:r w:rsidR="00725A97" w:rsidRPr="00725A97">
        <w:rPr>
          <w:rFonts w:eastAsia="Times New Roman"/>
          <w:vertAlign w:val="superscript"/>
        </w:rPr>
        <w:t xml:space="preserve"> 3,8,14,15</w:t>
      </w:r>
      <w:r w:rsidR="00737013">
        <w:fldChar w:fldCharType="end"/>
      </w:r>
      <w:r w:rsidR="002A542E">
        <w:t xml:space="preserve"> There was no apparent benefit for reducing peripheral revascularizations including elective procedures for claudication as has been described for other </w:t>
      </w:r>
      <w:r w:rsidR="005F603A">
        <w:t>such as</w:t>
      </w:r>
      <w:r w:rsidR="002A542E">
        <w:t xml:space="preserve"> </w:t>
      </w:r>
      <w:proofErr w:type="spellStart"/>
      <w:r w:rsidR="002A542E">
        <w:t>vorapaxar</w:t>
      </w:r>
      <w:proofErr w:type="spellEnd"/>
      <w:r w:rsidR="002A542E">
        <w:t>.</w:t>
      </w:r>
      <w:r w:rsidR="00942C18">
        <w:fldChar w:fldCharType="begin"/>
      </w:r>
      <w:r w:rsidR="000A2DFD">
        <w:instrText>ADDIN RW.CITE{{1436 Bonaca,M.P. 2013}}</w:instrText>
      </w:r>
      <w:r w:rsidR="00942C18">
        <w:fldChar w:fldCharType="separate"/>
      </w:r>
      <w:r w:rsidR="00725A97" w:rsidRPr="00725A97">
        <w:rPr>
          <w:rFonts w:eastAsia="Times New Roman"/>
          <w:vertAlign w:val="superscript"/>
        </w:rPr>
        <w:t xml:space="preserve"> 8</w:t>
      </w:r>
      <w:r w:rsidR="00942C18">
        <w:fldChar w:fldCharType="end"/>
      </w:r>
      <w:r w:rsidR="002A542E">
        <w:t xml:space="preserve"> Possible explanations for the lack of benefit for this broad endpoint include that lipid lowering does not improve symptoms or </w:t>
      </w:r>
      <w:r w:rsidR="007C31AA">
        <w:t xml:space="preserve">alternatively, </w:t>
      </w:r>
      <w:r w:rsidR="002A542E">
        <w:t xml:space="preserve">it does but over a longer period of exposure and </w:t>
      </w:r>
      <w:r w:rsidR="007C31AA">
        <w:t>therefore</w:t>
      </w:r>
      <w:r w:rsidR="002A542E">
        <w:t xml:space="preserve"> was not seen in the relatively short duration of follow up (</w:t>
      </w:r>
      <w:r w:rsidR="00343245">
        <w:t>median 2.2</w:t>
      </w:r>
      <w:r w:rsidR="002A542E">
        <w:t xml:space="preserve"> years) in the current study. </w:t>
      </w:r>
      <w:r w:rsidR="00C13EB2">
        <w:t xml:space="preserve">Supporting the latter is the observation that benefits for peripheral revascularization and symptoms with </w:t>
      </w:r>
      <w:proofErr w:type="spellStart"/>
      <w:r w:rsidR="00C13EB2">
        <w:t>vorapaxar</w:t>
      </w:r>
      <w:proofErr w:type="spellEnd"/>
      <w:r w:rsidR="00C13EB2">
        <w:t xml:space="preserve"> were not apparent until almost 2 years of exposure and were not significant until 3 years. Additional longer term </w:t>
      </w:r>
      <w:r w:rsidR="00FF3545">
        <w:t xml:space="preserve">studies </w:t>
      </w:r>
      <w:r w:rsidR="00C13EB2">
        <w:t>are necessary to determine whether long-term reduction in LDL-C will modify disease progression and ameliorate symptoms.</w:t>
      </w:r>
    </w:p>
    <w:p w14:paraId="29CF296E" w14:textId="16BD0AB3" w:rsidR="00B26A88" w:rsidRDefault="003A2228" w:rsidP="00CC2C6C">
      <w:pPr>
        <w:spacing w:line="480" w:lineRule="auto"/>
      </w:pPr>
      <w:r>
        <w:lastRenderedPageBreak/>
        <w:br/>
        <w:t xml:space="preserve">In evaluating the overall benefits of preventive therapies in patients with PAD, recent and ongoing trials </w:t>
      </w:r>
      <w:r w:rsidR="00725A97">
        <w:t xml:space="preserve">(VOYAGER PAD NCT02504216) </w:t>
      </w:r>
      <w:r>
        <w:t>have utilized a composite endpoint including both cardiovascular and limb outcomes.</w:t>
      </w:r>
      <w:r w:rsidR="00942C18">
        <w:fldChar w:fldCharType="begin"/>
      </w:r>
      <w:r w:rsidR="00725A97">
        <w:instrText>ADDIN RW.CITE{{2645 Anand S. et al. 2017}}</w:instrText>
      </w:r>
      <w:r w:rsidR="00942C18">
        <w:fldChar w:fldCharType="separate"/>
      </w:r>
      <w:r w:rsidR="00725A97" w:rsidRPr="00725A97">
        <w:rPr>
          <w:rFonts w:eastAsia="Times New Roman"/>
          <w:vertAlign w:val="superscript"/>
        </w:rPr>
        <w:t xml:space="preserve"> 14</w:t>
      </w:r>
      <w:r w:rsidR="00942C18">
        <w:fldChar w:fldCharType="end"/>
      </w:r>
      <w:r>
        <w:t xml:space="preserve"> This composite provides a global picture of benefit against which harms and cost can be weighed. In the current study, </w:t>
      </w:r>
      <w:r w:rsidR="009E26DC">
        <w:t xml:space="preserve">in </w:t>
      </w:r>
      <w:r w:rsidR="00175150">
        <w:t xml:space="preserve">the broader population of </w:t>
      </w:r>
      <w:r w:rsidR="009E26DC">
        <w:t xml:space="preserve">patients with PAD, </w:t>
      </w:r>
      <w:r>
        <w:t xml:space="preserve">robust reductions in </w:t>
      </w:r>
      <w:r w:rsidR="00175150">
        <w:t>the composite of MACE or</w:t>
      </w:r>
      <w:r>
        <w:t xml:space="preserve"> MALE resulted in an absolute risk reduction at 2.5 years of </w:t>
      </w:r>
      <w:r w:rsidR="00342DCB">
        <w:t>4.1</w:t>
      </w:r>
      <w:r>
        <w:t xml:space="preserve">% and an NNT of </w:t>
      </w:r>
      <w:r w:rsidR="00342DCB">
        <w:t>2</w:t>
      </w:r>
      <w:r w:rsidR="00175150">
        <w:t>5</w:t>
      </w:r>
      <w:r>
        <w:t xml:space="preserve">. Extending this observation to 5 years, as is typically done for lipid lowering </w:t>
      </w:r>
      <w:r w:rsidR="009E26DC">
        <w:t>therapy</w:t>
      </w:r>
      <w:r w:rsidR="000058EE">
        <w:t>,</w:t>
      </w:r>
      <w:r>
        <w:t xml:space="preserve"> translates to a NNT </w:t>
      </w:r>
      <w:r w:rsidR="00342DCB">
        <w:t>approximately</w:t>
      </w:r>
      <w:r>
        <w:t xml:space="preserve"> </w:t>
      </w:r>
      <w:r w:rsidR="00342DCB">
        <w:t>1</w:t>
      </w:r>
      <w:r w:rsidR="00175150">
        <w:t>3</w:t>
      </w:r>
      <w:r>
        <w:t xml:space="preserve">. </w:t>
      </w:r>
      <w:r w:rsidR="00175150">
        <w:t xml:space="preserve">Findings were consistent in patients with PAD and no prior MI or stroke where an absolute risk reduction of 6.3% translated to an NNT of 16 at 2.5 years or 8 at 5 years. </w:t>
      </w:r>
      <w:r w:rsidR="006A7E16">
        <w:t>In contrast to anti-thrombotic therapies</w:t>
      </w:r>
      <w:r w:rsidR="000058EE">
        <w:t>,</w:t>
      </w:r>
      <w:r w:rsidR="006A7E16">
        <w:t xml:space="preserve"> this benefit comes with no safety tradeoff in terms of bleeding or other adverse events. </w:t>
      </w:r>
      <w:r w:rsidR="009E26DC">
        <w:t>These considerations may be important to clinicians in personalizing intensive therapies to their patients.</w:t>
      </w:r>
    </w:p>
    <w:p w14:paraId="542E9F04" w14:textId="77777777" w:rsidR="007C51B6" w:rsidRDefault="007C51B6" w:rsidP="00CC2C6C">
      <w:pPr>
        <w:spacing w:line="480" w:lineRule="auto"/>
      </w:pPr>
    </w:p>
    <w:p w14:paraId="1B97450E" w14:textId="77777777" w:rsidR="006D01CF" w:rsidRDefault="006D01CF" w:rsidP="006D01CF">
      <w:pPr>
        <w:spacing w:line="480" w:lineRule="auto"/>
        <w:rPr>
          <w:b/>
        </w:rPr>
      </w:pPr>
      <w:r>
        <w:rPr>
          <w:b/>
        </w:rPr>
        <w:t>Limitations</w:t>
      </w:r>
    </w:p>
    <w:p w14:paraId="77C80938" w14:textId="570CEDAF" w:rsidR="006D01CF" w:rsidRDefault="00B26A88" w:rsidP="002236C1">
      <w:pPr>
        <w:spacing w:line="480" w:lineRule="auto"/>
      </w:pPr>
      <w:r>
        <w:t>There</w:t>
      </w:r>
      <w:r w:rsidR="00DE6771">
        <w:t xml:space="preserve"> are several limitations to the current analysis. First, subgroup analyses are generally utilized to evaluate for consistency of findings with the overall trial and therefore may be underpowered for efficacy and safety outcomes. In the current analysis</w:t>
      </w:r>
      <w:r w:rsidR="001926B2">
        <w:t>,</w:t>
      </w:r>
      <w:r w:rsidR="00DE6771">
        <w:t xml:space="preserve"> the PAD subgroup was adequately powered to demonstrate statistically significant benefits for the primary endpoint and key secondary. </w:t>
      </w:r>
      <w:r w:rsidR="00F42B60" w:rsidRPr="00F42B60">
        <w:t>Consistent with the overall trial there was no significant reduction in CV death with evolocumab</w:t>
      </w:r>
      <w:r w:rsidR="00F42B60">
        <w:t xml:space="preserve"> at 2.5 years</w:t>
      </w:r>
      <w:r w:rsidR="00F42B60" w:rsidRPr="00F42B60">
        <w:t xml:space="preserve">, a benefit that generally has emerged only with longer follow up </w:t>
      </w:r>
      <w:r w:rsidR="00F42B60">
        <w:t>in lipid lowering trials.</w:t>
      </w:r>
      <w:r w:rsidR="00492FAB">
        <w:fldChar w:fldCharType="begin"/>
      </w:r>
      <w:r w:rsidR="000A2DFD">
        <w:instrText>ADDIN RW.CITE{{2651 Collins,R. 2016; 2129 Sabatine,M.S. 2015; 1557 [NoInformation] 1994; 2647 Collins,R. 2004}}</w:instrText>
      </w:r>
      <w:r w:rsidR="00492FAB">
        <w:fldChar w:fldCharType="separate"/>
      </w:r>
      <w:r w:rsidR="00725A97" w:rsidRPr="00725A97">
        <w:rPr>
          <w:rFonts w:eastAsia="Times New Roman"/>
          <w:vertAlign w:val="superscript"/>
        </w:rPr>
        <w:t xml:space="preserve"> 26</w:t>
      </w:r>
      <w:proofErr w:type="gramStart"/>
      <w:r w:rsidR="00725A97" w:rsidRPr="00725A97">
        <w:rPr>
          <w:rFonts w:eastAsia="Times New Roman"/>
          <w:vertAlign w:val="superscript"/>
        </w:rPr>
        <w:t>,37</w:t>
      </w:r>
      <w:proofErr w:type="gramEnd"/>
      <w:r w:rsidR="00725A97" w:rsidRPr="00725A97">
        <w:rPr>
          <w:rFonts w:eastAsia="Times New Roman"/>
          <w:vertAlign w:val="superscript"/>
        </w:rPr>
        <w:t>-39</w:t>
      </w:r>
      <w:r w:rsidR="00492FAB">
        <w:fldChar w:fldCharType="end"/>
      </w:r>
      <w:r w:rsidR="00F42B60">
        <w:t xml:space="preserve"> </w:t>
      </w:r>
      <w:r w:rsidR="006B6578" w:rsidRPr="006B6578">
        <w:t xml:space="preserve">The </w:t>
      </w:r>
      <w:r w:rsidR="006B6578" w:rsidRPr="006B6578">
        <w:lastRenderedPageBreak/>
        <w:t>power to detect differences in rare safety events may have been limited by the size of the PAD subgroup; however, the pattern of safety was consistent with the overall trial.”</w:t>
      </w:r>
      <w:r w:rsidR="00DE6771">
        <w:t xml:space="preserve">. Limb outcomes were collected on broad </w:t>
      </w:r>
      <w:proofErr w:type="spellStart"/>
      <w:r w:rsidR="00DE6771">
        <w:t>eCRF</w:t>
      </w:r>
      <w:proofErr w:type="spellEnd"/>
      <w:r w:rsidR="00DE6771">
        <w:t xml:space="preserve"> pages for peripheral outcomes and not focused specifically on ALI. This may have resulted in under ascertainment of ALI outcomes but would not bias treatment effects. Finally, </w:t>
      </w:r>
      <w:r w:rsidR="000E2947">
        <w:t>relationships between achieved LDL-C and outcome were not randomized and while adjusted for confounders the potential for residual confounding remains and should be recognized.</w:t>
      </w:r>
    </w:p>
    <w:p w14:paraId="16212A5C" w14:textId="77777777" w:rsidR="00FC7C15" w:rsidRDefault="00FC7C15" w:rsidP="002236C1">
      <w:pPr>
        <w:spacing w:line="480" w:lineRule="auto"/>
      </w:pPr>
    </w:p>
    <w:p w14:paraId="50169B02" w14:textId="77777777" w:rsidR="004F3474" w:rsidRDefault="004F3474" w:rsidP="00AE6941">
      <w:pPr>
        <w:spacing w:line="480" w:lineRule="auto"/>
        <w:rPr>
          <w:b/>
        </w:rPr>
      </w:pPr>
      <w:r>
        <w:rPr>
          <w:b/>
        </w:rPr>
        <w:t>Conclusions</w:t>
      </w:r>
    </w:p>
    <w:p w14:paraId="3B2F83F7" w14:textId="14D479CE" w:rsidR="00FC7C15" w:rsidRDefault="00FC7C15" w:rsidP="00AE6941">
      <w:pPr>
        <w:spacing w:line="480" w:lineRule="auto"/>
      </w:pPr>
      <w:r>
        <w:t xml:space="preserve">Patients with symptomatic lower extremity PAD are at heightened risk of major adverse cardiovascular and limb risks. Evolocumab added to statin therapy </w:t>
      </w:r>
      <w:r w:rsidR="000058EE">
        <w:t xml:space="preserve">significantly and robustly reduces the risk of </w:t>
      </w:r>
      <w:r>
        <w:t>MACE</w:t>
      </w:r>
      <w:r w:rsidR="000058EE">
        <w:t>,</w:t>
      </w:r>
      <w:r>
        <w:t xml:space="preserve"> </w:t>
      </w:r>
      <w:r w:rsidR="00FB6075">
        <w:t xml:space="preserve">even </w:t>
      </w:r>
      <w:r w:rsidR="000058EE">
        <w:t xml:space="preserve">in </w:t>
      </w:r>
      <w:r>
        <w:t xml:space="preserve">patients </w:t>
      </w:r>
      <w:r w:rsidR="00771071">
        <w:t xml:space="preserve">with PAD and no prior MI or stroke. </w:t>
      </w:r>
      <w:r w:rsidR="00825037">
        <w:t>Likewise, the addition of evolocumab to a statin r</w:t>
      </w:r>
      <w:r>
        <w:t>educ</w:t>
      </w:r>
      <w:r w:rsidR="00825037">
        <w:t xml:space="preserve">ed the risk of </w:t>
      </w:r>
      <w:r w:rsidR="00771071">
        <w:t>major adverse limb events</w:t>
      </w:r>
      <w:r w:rsidR="00825037">
        <w:t>,</w:t>
      </w:r>
      <w:r>
        <w:t xml:space="preserve"> </w:t>
      </w:r>
      <w:r w:rsidR="00825037">
        <w:t xml:space="preserve">and the relationship between achieved LDL-C and lower risk of limb events </w:t>
      </w:r>
      <w:r>
        <w:t>extend</w:t>
      </w:r>
      <w:r w:rsidR="00825037">
        <w:t>ed</w:t>
      </w:r>
      <w:r>
        <w:t xml:space="preserve"> </w:t>
      </w:r>
      <w:r w:rsidR="00825037">
        <w:t xml:space="preserve">down to </w:t>
      </w:r>
      <w:r>
        <w:t xml:space="preserve">very low achieved levels of LDL. </w:t>
      </w:r>
      <w:r w:rsidR="00825037">
        <w:t>Th</w:t>
      </w:r>
      <w:r w:rsidR="00966C55">
        <w:t>ese</w:t>
      </w:r>
      <w:r w:rsidR="00825037">
        <w:t xml:space="preserve"> benefit</w:t>
      </w:r>
      <w:r w:rsidR="00966C55">
        <w:t>s</w:t>
      </w:r>
      <w:r w:rsidR="00825037">
        <w:t xml:space="preserve"> come with no </w:t>
      </w:r>
      <w:r w:rsidR="001926B2">
        <w:t xml:space="preserve">offsetting </w:t>
      </w:r>
      <w:r w:rsidR="00825037">
        <w:t>safe</w:t>
      </w:r>
      <w:r w:rsidR="00005368">
        <w:t>ty</w:t>
      </w:r>
      <w:r w:rsidR="00825037">
        <w:t xml:space="preserve"> concerns. </w:t>
      </w:r>
      <w:r w:rsidR="00966C55">
        <w:t xml:space="preserve">Thus, </w:t>
      </w:r>
      <w:r w:rsidR="00EA65E0">
        <w:t xml:space="preserve">LDL-C reduction to very low levels </w:t>
      </w:r>
      <w:r w:rsidR="00966C55">
        <w:t xml:space="preserve">should be considered in patients with PAD, regardless of a history of MI or stroke, to reduce the </w:t>
      </w:r>
      <w:r w:rsidR="00771071">
        <w:t xml:space="preserve">risk of </w:t>
      </w:r>
      <w:r>
        <w:t xml:space="preserve">MACE </w:t>
      </w:r>
      <w:r w:rsidR="000442B7">
        <w:t>and</w:t>
      </w:r>
      <w:r>
        <w:t xml:space="preserve"> MALE</w:t>
      </w:r>
      <w:r w:rsidR="00EA65E0">
        <w:t>.</w:t>
      </w:r>
    </w:p>
    <w:p w14:paraId="35F5289D" w14:textId="77777777" w:rsidR="00D671E3" w:rsidRDefault="00D671E3">
      <w:pPr>
        <w:rPr>
          <w:b/>
          <w:sz w:val="22"/>
          <w:szCs w:val="22"/>
        </w:rPr>
      </w:pPr>
      <w:r>
        <w:rPr>
          <w:b/>
          <w:sz w:val="22"/>
          <w:szCs w:val="22"/>
        </w:rPr>
        <w:br w:type="page"/>
      </w:r>
    </w:p>
    <w:p w14:paraId="1923DF23" w14:textId="77777777" w:rsidR="00877016" w:rsidRPr="0093451B" w:rsidRDefault="00877016" w:rsidP="00877016">
      <w:pPr>
        <w:rPr>
          <w:b/>
        </w:rPr>
      </w:pPr>
      <w:r w:rsidRPr="0093451B">
        <w:rPr>
          <w:b/>
        </w:rPr>
        <w:lastRenderedPageBreak/>
        <w:t>Sources of Funding</w:t>
      </w:r>
    </w:p>
    <w:p w14:paraId="1033FBDD" w14:textId="65AC9CC5" w:rsidR="00877016" w:rsidRPr="0093451B" w:rsidRDefault="00877016" w:rsidP="00877016">
      <w:r w:rsidRPr="0093451B">
        <w:t>This study was supported by a grant</w:t>
      </w:r>
      <w:r w:rsidR="00D6240F">
        <w:t xml:space="preserve"> to Brigham and Women’s Hospital</w:t>
      </w:r>
      <w:r w:rsidRPr="0093451B">
        <w:t xml:space="preserve"> from </w:t>
      </w:r>
      <w:r w:rsidR="00D6240F">
        <w:t>Amgen</w:t>
      </w:r>
    </w:p>
    <w:p w14:paraId="47AA2F9A" w14:textId="77777777" w:rsidR="00877016" w:rsidRPr="00AE0AAB" w:rsidRDefault="00877016" w:rsidP="00877016">
      <w:pPr>
        <w:rPr>
          <w:b/>
        </w:rPr>
      </w:pPr>
    </w:p>
    <w:p w14:paraId="66F1128A" w14:textId="77777777" w:rsidR="00877016" w:rsidRPr="0093451B" w:rsidRDefault="00877016" w:rsidP="00877016">
      <w:pPr>
        <w:rPr>
          <w:b/>
        </w:rPr>
      </w:pPr>
      <w:r w:rsidRPr="0093451B">
        <w:rPr>
          <w:b/>
        </w:rPr>
        <w:t>Disclosures</w:t>
      </w:r>
    </w:p>
    <w:p w14:paraId="40D08795" w14:textId="3737219B" w:rsidR="00877016" w:rsidRDefault="00877016" w:rsidP="00877016">
      <w:r w:rsidRPr="00B67EC4">
        <w:t>Marc P. Bonaca</w:t>
      </w:r>
      <w:r>
        <w:t xml:space="preserve"> reports consulting fees from </w:t>
      </w:r>
      <w:proofErr w:type="spellStart"/>
      <w:r w:rsidR="00D6240F">
        <w:t>Aralez</w:t>
      </w:r>
      <w:proofErr w:type="spellEnd"/>
      <w:r w:rsidR="00D6240F">
        <w:t xml:space="preserve">, </w:t>
      </w:r>
      <w:r>
        <w:t>AstraZeneca, Merck, Bayer, and Roche Diagnostics</w:t>
      </w:r>
    </w:p>
    <w:p w14:paraId="1AEE3440" w14:textId="00C24DB1" w:rsidR="00877016" w:rsidRDefault="00877016" w:rsidP="00877016"/>
    <w:p w14:paraId="36DD9639" w14:textId="365191CD" w:rsidR="00D6240F" w:rsidRDefault="00D6240F" w:rsidP="00877016">
      <w:r>
        <w:t xml:space="preserve">Patrice </w:t>
      </w:r>
      <w:proofErr w:type="spellStart"/>
      <w:r>
        <w:t>Nault</w:t>
      </w:r>
      <w:proofErr w:type="spellEnd"/>
      <w:r>
        <w:t xml:space="preserve"> reports</w:t>
      </w:r>
      <w:r w:rsidR="007203A8">
        <w:t xml:space="preserve"> </w:t>
      </w:r>
      <w:r w:rsidR="007203A8" w:rsidRPr="007203A8">
        <w:t xml:space="preserve">research grant support through Q&amp;T research </w:t>
      </w:r>
      <w:proofErr w:type="spellStart"/>
      <w:r w:rsidR="007203A8" w:rsidRPr="007203A8">
        <w:t>Outaouais</w:t>
      </w:r>
      <w:proofErr w:type="spellEnd"/>
      <w:r w:rsidR="007203A8" w:rsidRPr="007203A8">
        <w:t xml:space="preserve"> from: Amgen, AstraZeneca, Bayer, GlaxoSmithKline, Mer</w:t>
      </w:r>
      <w:r w:rsidR="001926B2">
        <w:t>c</w:t>
      </w:r>
      <w:r w:rsidR="007203A8" w:rsidRPr="007203A8">
        <w:t>k and lecture fees from Amgen and Medtronic.</w:t>
      </w:r>
    </w:p>
    <w:p w14:paraId="7D370454" w14:textId="77777777" w:rsidR="00D6240F" w:rsidRDefault="00D6240F" w:rsidP="00877016"/>
    <w:p w14:paraId="24A037C9" w14:textId="169C37A6" w:rsidR="00D6240F" w:rsidRDefault="00D6240F" w:rsidP="0096123B">
      <w:r w:rsidRPr="0096123B">
        <w:t>Robert P. Giugliano reports</w:t>
      </w:r>
      <w:r w:rsidR="0096123B" w:rsidRPr="0096123B">
        <w:t xml:space="preserve"> has received grant support (through Brigham and Women’s Hospital) from Amgen, Daiichi Sankyo, and Merck; honoraria from CME </w:t>
      </w:r>
      <w:proofErr w:type="spellStart"/>
      <w:r w:rsidR="0096123B" w:rsidRPr="0096123B">
        <w:t>programmes</w:t>
      </w:r>
      <w:proofErr w:type="spellEnd"/>
      <w:r w:rsidR="0096123B" w:rsidRPr="0096123B">
        <w:t xml:space="preserve"> or consulting from </w:t>
      </w:r>
      <w:proofErr w:type="spellStart"/>
      <w:r w:rsidR="0096123B" w:rsidRPr="0096123B">
        <w:t>Amarin</w:t>
      </w:r>
      <w:proofErr w:type="spellEnd"/>
      <w:r w:rsidR="0096123B" w:rsidRPr="0096123B">
        <w:t xml:space="preserve">, American College of Cardiology, Amgen, Angel Med, Beckman-Coulter, </w:t>
      </w:r>
      <w:proofErr w:type="spellStart"/>
      <w:r w:rsidR="0096123B" w:rsidRPr="0096123B">
        <w:t>Boehringer</w:t>
      </w:r>
      <w:proofErr w:type="spellEnd"/>
      <w:r w:rsidR="0096123B" w:rsidRPr="0096123B">
        <w:t xml:space="preserve"> </w:t>
      </w:r>
      <w:proofErr w:type="spellStart"/>
      <w:r w:rsidR="0096123B" w:rsidRPr="0096123B">
        <w:t>Ingelheim</w:t>
      </w:r>
      <w:proofErr w:type="spellEnd"/>
      <w:r w:rsidR="0096123B" w:rsidRPr="0096123B">
        <w:t xml:space="preserve">, Bristol-Myers Squibb, CVS Caremark, Daiichi Sankyo, GlaxoSmithKline, Janssen, Lexicon, Merck, Portola, Pfizer, </w:t>
      </w:r>
      <w:proofErr w:type="spellStart"/>
      <w:r w:rsidR="0096123B" w:rsidRPr="0096123B">
        <w:t>Regeneron</w:t>
      </w:r>
      <w:proofErr w:type="spellEnd"/>
      <w:r w:rsidR="0096123B" w:rsidRPr="0096123B">
        <w:t>, Sanofi-Aventis, St Jude, and Stealth Peptides.</w:t>
      </w:r>
    </w:p>
    <w:p w14:paraId="25F1DD95" w14:textId="77777777" w:rsidR="00D6240F" w:rsidRDefault="00D6240F" w:rsidP="00877016"/>
    <w:p w14:paraId="51B6F05E" w14:textId="2534A18A" w:rsidR="00D6240F" w:rsidRDefault="00D6240F" w:rsidP="00877016">
      <w:r>
        <w:t>Anthony C. Keech reports</w:t>
      </w:r>
      <w:r w:rsidR="00392087">
        <w:t xml:space="preserve"> </w:t>
      </w:r>
      <w:r w:rsidR="00392087" w:rsidRPr="00392087">
        <w:t xml:space="preserve">receiving speakers honoraria, advisory board fees and/or research funding from Abbott, Amgen, Astra-Zeneca, </w:t>
      </w:r>
      <w:proofErr w:type="spellStart"/>
      <w:r w:rsidR="00392087" w:rsidRPr="00392087">
        <w:t>Mylan</w:t>
      </w:r>
      <w:proofErr w:type="spellEnd"/>
      <w:r w:rsidR="00392087" w:rsidRPr="00392087">
        <w:t xml:space="preserve">, Novartis, Pfizer, </w:t>
      </w:r>
      <w:proofErr w:type="spellStart"/>
      <w:r w:rsidR="00392087" w:rsidRPr="00392087">
        <w:t>Sanofi-Regeneron</w:t>
      </w:r>
      <w:proofErr w:type="spellEnd"/>
      <w:r w:rsidR="00392087" w:rsidRPr="00392087">
        <w:t xml:space="preserve"> and the Juvenile Diabetes Research Foundation and the National Health and Medical Research Council of Aust</w:t>
      </w:r>
      <w:r w:rsidR="00392087">
        <w:t>ralia.</w:t>
      </w:r>
    </w:p>
    <w:p w14:paraId="226D9DB0" w14:textId="77777777" w:rsidR="00D6240F" w:rsidRDefault="00D6240F" w:rsidP="00877016"/>
    <w:p w14:paraId="7DB8ED94" w14:textId="45533D63" w:rsidR="00D6240F" w:rsidRDefault="00D6240F" w:rsidP="00877016">
      <w:r>
        <w:t>Armando Lira Pineda reports</w:t>
      </w:r>
      <w:r w:rsidR="00BA697C">
        <w:t xml:space="preserve"> employment at Amgen</w:t>
      </w:r>
    </w:p>
    <w:p w14:paraId="67359BE0" w14:textId="77777777" w:rsidR="00D6240F" w:rsidRDefault="00D6240F" w:rsidP="00877016"/>
    <w:p w14:paraId="3696C8A7" w14:textId="2DE9A1FE" w:rsidR="00D6240F" w:rsidRDefault="00D6240F" w:rsidP="00877016">
      <w:r>
        <w:t xml:space="preserve">Estella </w:t>
      </w:r>
      <w:proofErr w:type="spellStart"/>
      <w:r>
        <w:t>Kanevsky</w:t>
      </w:r>
      <w:proofErr w:type="spellEnd"/>
      <w:r>
        <w:t xml:space="preserve"> reports</w:t>
      </w:r>
      <w:r w:rsidR="00BA697C">
        <w:t xml:space="preserve"> no conflicts</w:t>
      </w:r>
    </w:p>
    <w:p w14:paraId="35C16DA1" w14:textId="77777777" w:rsidR="00D6240F" w:rsidRDefault="00D6240F" w:rsidP="00877016"/>
    <w:p w14:paraId="6F02F701" w14:textId="65A54156" w:rsidR="00D6240F" w:rsidRDefault="00D6240F" w:rsidP="00877016">
      <w:r>
        <w:t xml:space="preserve">Julia </w:t>
      </w:r>
      <w:proofErr w:type="spellStart"/>
      <w:r>
        <w:t>Kuder</w:t>
      </w:r>
      <w:proofErr w:type="spellEnd"/>
      <w:r>
        <w:t xml:space="preserve"> reports</w:t>
      </w:r>
      <w:r w:rsidR="00BA697C">
        <w:t xml:space="preserve"> no conflicts</w:t>
      </w:r>
    </w:p>
    <w:p w14:paraId="2B8B96A3" w14:textId="77777777" w:rsidR="00D6240F" w:rsidRDefault="00D6240F" w:rsidP="00877016"/>
    <w:p w14:paraId="14F21D7D" w14:textId="6457341E" w:rsidR="00D6240F" w:rsidRDefault="00D6240F" w:rsidP="00877016">
      <w:pPr>
        <w:rPr>
          <w:vertAlign w:val="superscript"/>
        </w:rPr>
      </w:pPr>
      <w:r>
        <w:t>Sabina A. Murphy reports</w:t>
      </w:r>
      <w:r w:rsidR="00BA697C">
        <w:t xml:space="preserve"> no conflicts</w:t>
      </w:r>
    </w:p>
    <w:p w14:paraId="34B3BEA8" w14:textId="77777777" w:rsidR="00D6240F" w:rsidRDefault="00D6240F" w:rsidP="00877016">
      <w:pPr>
        <w:rPr>
          <w:vertAlign w:val="superscript"/>
        </w:rPr>
      </w:pPr>
    </w:p>
    <w:p w14:paraId="2C7417DF" w14:textId="33E3BAA5" w:rsidR="00D6240F" w:rsidRDefault="00D6240F" w:rsidP="00877016">
      <w:r>
        <w:t xml:space="preserve">J. </w:t>
      </w:r>
      <w:proofErr w:type="spellStart"/>
      <w:r>
        <w:t>Wouter</w:t>
      </w:r>
      <w:proofErr w:type="spellEnd"/>
      <w:r>
        <w:t xml:space="preserve"> </w:t>
      </w:r>
      <w:proofErr w:type="spellStart"/>
      <w:r>
        <w:t>Jukema</w:t>
      </w:r>
      <w:proofErr w:type="spellEnd"/>
      <w:r>
        <w:t xml:space="preserve"> reports</w:t>
      </w:r>
      <w:r w:rsidR="007F415E">
        <w:t xml:space="preserve"> </w:t>
      </w:r>
      <w:r w:rsidR="007F415E" w:rsidRPr="007F415E">
        <w:t xml:space="preserve">research grants from and/or was speaker (with or without lecture fees) on  </w:t>
      </w:r>
      <w:proofErr w:type="spellStart"/>
      <w:r w:rsidR="007F415E" w:rsidRPr="007F415E">
        <w:t>a.o.</w:t>
      </w:r>
      <w:proofErr w:type="spellEnd"/>
      <w:r w:rsidR="007F415E" w:rsidRPr="007F415E">
        <w:t xml:space="preserve">(CME accredited) meetings sponsored by Amgen, </w:t>
      </w:r>
      <w:proofErr w:type="spellStart"/>
      <w:r w:rsidR="007F415E" w:rsidRPr="007F415E">
        <w:t>Anthera</w:t>
      </w:r>
      <w:proofErr w:type="spellEnd"/>
      <w:r w:rsidR="007F415E" w:rsidRPr="007F415E">
        <w:t xml:space="preserve">, </w:t>
      </w:r>
      <w:proofErr w:type="spellStart"/>
      <w:r w:rsidR="007F415E" w:rsidRPr="007F415E">
        <w:t>Biotronik</w:t>
      </w:r>
      <w:proofErr w:type="spellEnd"/>
      <w:r w:rsidR="007F415E" w:rsidRPr="007F415E">
        <w:t xml:space="preserve">, Daiichi </w:t>
      </w:r>
      <w:proofErr w:type="spellStart"/>
      <w:r w:rsidR="007F415E" w:rsidRPr="007F415E">
        <w:t>Sankyo,Lilly</w:t>
      </w:r>
      <w:proofErr w:type="spellEnd"/>
      <w:r w:rsidR="007F415E" w:rsidRPr="007F415E">
        <w:t xml:space="preserve">, Merck-Schering-Plough, Pfizer, </w:t>
      </w:r>
      <w:proofErr w:type="spellStart"/>
      <w:r w:rsidR="007F415E" w:rsidRPr="007F415E">
        <w:t>Sanofi</w:t>
      </w:r>
      <w:proofErr w:type="spellEnd"/>
      <w:r w:rsidR="007F415E" w:rsidRPr="007F415E">
        <w:t xml:space="preserve"> Aventis, The Medicine Company,  the Netherlands Heart Foundation, </w:t>
      </w:r>
      <w:proofErr w:type="spellStart"/>
      <w:r w:rsidR="007F415E" w:rsidRPr="007F415E">
        <w:t>CardioVascular</w:t>
      </w:r>
      <w:proofErr w:type="spellEnd"/>
      <w:r w:rsidR="007F415E" w:rsidRPr="007F415E">
        <w:t xml:space="preserve"> Research the Netherlands (CVON), the Netherlands Heart Institute and the European Community Framework KP7 Programme.</w:t>
      </w:r>
    </w:p>
    <w:p w14:paraId="5A498EE9" w14:textId="77777777" w:rsidR="00D6240F" w:rsidRDefault="00D6240F" w:rsidP="00877016"/>
    <w:p w14:paraId="3E776E4B" w14:textId="4F0A3B9C" w:rsidR="00650DE8" w:rsidRDefault="00650DE8" w:rsidP="00877016">
      <w:r>
        <w:t>Basil S. Lewi</w:t>
      </w:r>
      <w:r w:rsidR="00D6240F">
        <w:t>s</w:t>
      </w:r>
      <w:r>
        <w:t xml:space="preserve"> reports</w:t>
      </w:r>
      <w:r w:rsidR="005E3E3F">
        <w:t xml:space="preserve"> r</w:t>
      </w:r>
      <w:r w:rsidR="005E3E3F" w:rsidRPr="00FD5B07">
        <w:t xml:space="preserve">esearch </w:t>
      </w:r>
      <w:r w:rsidR="005E3E3F">
        <w:t>g</w:t>
      </w:r>
      <w:r w:rsidR="005E3E3F" w:rsidRPr="00FD5B07">
        <w:t>rant</w:t>
      </w:r>
      <w:r w:rsidR="005E3E3F">
        <w:t xml:space="preserve"> support through the institution from Amgen and Pfizer, and c</w:t>
      </w:r>
      <w:r w:rsidR="005E3E3F" w:rsidRPr="00FD5B07">
        <w:t>onsultant/</w:t>
      </w:r>
      <w:r w:rsidR="005E3E3F">
        <w:t>a</w:t>
      </w:r>
      <w:r w:rsidR="005E3E3F" w:rsidRPr="00FD5B07">
        <w:t>dvisory</w:t>
      </w:r>
      <w:r w:rsidR="005E3E3F">
        <w:t xml:space="preserve"> board fees from Amgen and Pfizer</w:t>
      </w:r>
    </w:p>
    <w:p w14:paraId="46CA503B" w14:textId="77777777" w:rsidR="00650DE8" w:rsidRDefault="00650DE8" w:rsidP="00877016"/>
    <w:p w14:paraId="6219E1FB" w14:textId="461402A0" w:rsidR="00650DE8" w:rsidRDefault="00D6240F" w:rsidP="00BA697C">
      <w:proofErr w:type="spellStart"/>
      <w:r>
        <w:t>Lale</w:t>
      </w:r>
      <w:proofErr w:type="spellEnd"/>
      <w:r>
        <w:t xml:space="preserve"> </w:t>
      </w:r>
      <w:proofErr w:type="spellStart"/>
      <w:r>
        <w:t>Tokgozoglu</w:t>
      </w:r>
      <w:proofErr w:type="spellEnd"/>
      <w:r w:rsidR="00650DE8">
        <w:t xml:space="preserve"> reports</w:t>
      </w:r>
      <w:r w:rsidR="00BA697C">
        <w:t xml:space="preserve"> Advisory Board or honoraria for lectures: Amgen, Astra, Pfizer, MSD, </w:t>
      </w:r>
      <w:proofErr w:type="spellStart"/>
      <w:r w:rsidR="00BA697C">
        <w:t>Mylan</w:t>
      </w:r>
      <w:proofErr w:type="spellEnd"/>
      <w:r w:rsidR="00BA697C">
        <w:t xml:space="preserve">, </w:t>
      </w:r>
      <w:proofErr w:type="spellStart"/>
      <w:r w:rsidR="00BA697C">
        <w:t>Recordati</w:t>
      </w:r>
      <w:proofErr w:type="spellEnd"/>
      <w:r w:rsidR="00BA697C">
        <w:t xml:space="preserve">, Novartis, </w:t>
      </w:r>
      <w:proofErr w:type="spellStart"/>
      <w:r w:rsidR="00BA697C">
        <w:t>Sanofi</w:t>
      </w:r>
      <w:proofErr w:type="spellEnd"/>
      <w:r w:rsidR="00BA697C">
        <w:t>, Servier</w:t>
      </w:r>
    </w:p>
    <w:p w14:paraId="11CCD43D" w14:textId="77777777" w:rsidR="00650DE8" w:rsidRDefault="00650DE8" w:rsidP="00877016"/>
    <w:p w14:paraId="59EE6ACA" w14:textId="03B68B2B" w:rsidR="00650DE8" w:rsidRDefault="00D6240F" w:rsidP="00877016">
      <w:proofErr w:type="spellStart"/>
      <w:r>
        <w:lastRenderedPageBreak/>
        <w:t>Ransi</w:t>
      </w:r>
      <w:proofErr w:type="spellEnd"/>
      <w:r>
        <w:t xml:space="preserve"> </w:t>
      </w:r>
      <w:proofErr w:type="spellStart"/>
      <w:r>
        <w:t>Somaratne</w:t>
      </w:r>
      <w:proofErr w:type="spellEnd"/>
      <w:r w:rsidR="00650DE8">
        <w:t xml:space="preserve"> reports</w:t>
      </w:r>
      <w:r w:rsidR="00FE1870">
        <w:t xml:space="preserve"> </w:t>
      </w:r>
      <w:r w:rsidR="00FE1870" w:rsidRPr="00FE1870">
        <w:t xml:space="preserve">being an employee and stockholder of Amgen, </w:t>
      </w:r>
      <w:proofErr w:type="spellStart"/>
      <w:r w:rsidR="00FE1870" w:rsidRPr="00FE1870">
        <w:t>Inc</w:t>
      </w:r>
      <w:proofErr w:type="spellEnd"/>
      <w:r w:rsidR="00FE1870" w:rsidRPr="00FE1870">
        <w:t xml:space="preserve"> and is identified as an inventor on at least one pending patent application owned by Amgen, </w:t>
      </w:r>
      <w:proofErr w:type="spellStart"/>
      <w:r w:rsidR="00FE1870" w:rsidRPr="00FE1870">
        <w:t>Inc</w:t>
      </w:r>
      <w:proofErr w:type="spellEnd"/>
      <w:r w:rsidR="00FE1870" w:rsidRPr="00FE1870">
        <w:t xml:space="preserve"> relating to evolocumab.</w:t>
      </w:r>
    </w:p>
    <w:p w14:paraId="680E66E4" w14:textId="77777777" w:rsidR="00650DE8" w:rsidRDefault="00650DE8" w:rsidP="00877016"/>
    <w:p w14:paraId="53555608" w14:textId="06583D80" w:rsidR="00650DE8" w:rsidRDefault="00D6240F" w:rsidP="00877016">
      <w:r>
        <w:t>Peter S. Sever</w:t>
      </w:r>
      <w:r w:rsidR="00650DE8">
        <w:t xml:space="preserve"> reports</w:t>
      </w:r>
      <w:r w:rsidR="0096123B">
        <w:t xml:space="preserve"> no conflicts</w:t>
      </w:r>
    </w:p>
    <w:p w14:paraId="0357C4A0" w14:textId="77777777" w:rsidR="00650DE8" w:rsidRDefault="00650DE8" w:rsidP="00877016"/>
    <w:p w14:paraId="1D4846DF" w14:textId="5A3FDB24" w:rsidR="00650DE8" w:rsidRDefault="00D6240F" w:rsidP="00877016">
      <w:proofErr w:type="spellStart"/>
      <w:r>
        <w:t>Terje</w:t>
      </w:r>
      <w:proofErr w:type="spellEnd"/>
      <w:r>
        <w:t xml:space="preserve"> R. Pedersen</w:t>
      </w:r>
      <w:r w:rsidR="00650DE8">
        <w:t xml:space="preserve"> reports</w:t>
      </w:r>
      <w:r w:rsidR="00F756B8">
        <w:t xml:space="preserve"> </w:t>
      </w:r>
      <w:r w:rsidR="00F756B8" w:rsidRPr="00F756B8">
        <w:t xml:space="preserve">consulting fees and was speaker for Amgen, </w:t>
      </w:r>
      <w:proofErr w:type="spellStart"/>
      <w:r w:rsidR="00F756B8" w:rsidRPr="00F756B8">
        <w:t>Sanofi</w:t>
      </w:r>
      <w:proofErr w:type="spellEnd"/>
      <w:r w:rsidR="00F756B8" w:rsidRPr="00F756B8">
        <w:t xml:space="preserve"> </w:t>
      </w:r>
      <w:proofErr w:type="spellStart"/>
      <w:r w:rsidR="00F756B8" w:rsidRPr="00F756B8">
        <w:t>Regeneron</w:t>
      </w:r>
      <w:proofErr w:type="spellEnd"/>
      <w:r w:rsidR="00F756B8" w:rsidRPr="00F756B8">
        <w:t xml:space="preserve"> and Merck</w:t>
      </w:r>
    </w:p>
    <w:p w14:paraId="63E4BFEA" w14:textId="77777777" w:rsidR="00650DE8" w:rsidRDefault="00650DE8" w:rsidP="00877016"/>
    <w:p w14:paraId="38C14F1E" w14:textId="77777777" w:rsidR="00877016" w:rsidRPr="00847FE2" w:rsidRDefault="00877016" w:rsidP="00877016">
      <w:r w:rsidRPr="00B67EC4">
        <w:t>Marc S. Sabatine</w:t>
      </w:r>
      <w:r>
        <w:t xml:space="preserve"> reports research grant support through Brigham and Women’s Hospital from: Abbott Laboratories; Amgen; AstraZeneca; Critical Diagnostics; Daiichi-Sankyo; Eisai; Gilead; GlaxoSmithKline; </w:t>
      </w:r>
      <w:proofErr w:type="spellStart"/>
      <w:r>
        <w:t>Intarcia</w:t>
      </w:r>
      <w:proofErr w:type="spellEnd"/>
      <w:r>
        <w:t xml:space="preserve">; Merck; Roche Diagnostics; </w:t>
      </w:r>
      <w:proofErr w:type="spellStart"/>
      <w:r>
        <w:t>Sanofi-aventis</w:t>
      </w:r>
      <w:proofErr w:type="spellEnd"/>
      <w:r>
        <w:t xml:space="preserve">; Takeda as well as consulting for: </w:t>
      </w:r>
      <w:proofErr w:type="spellStart"/>
      <w:r>
        <w:t>Alnylam</w:t>
      </w:r>
      <w:proofErr w:type="spellEnd"/>
      <w:r>
        <w:t xml:space="preserve">; Amgen; AstraZeneca; Cubist; CVS Caremark; </w:t>
      </w:r>
      <w:proofErr w:type="spellStart"/>
      <w:r>
        <w:t>Intarcia</w:t>
      </w:r>
      <w:proofErr w:type="spellEnd"/>
      <w:r>
        <w:t>; Merck (all ≤$10,000 per year)</w:t>
      </w:r>
    </w:p>
    <w:p w14:paraId="6B04F9AD" w14:textId="77777777" w:rsidR="004F3474" w:rsidRDefault="004F3474" w:rsidP="00DB4B21">
      <w:pPr>
        <w:pStyle w:val="NormalWeb"/>
      </w:pPr>
    </w:p>
    <w:p w14:paraId="38EB6280" w14:textId="77777777" w:rsidR="004F3474" w:rsidRDefault="004F3474" w:rsidP="00C06C3C">
      <w:pPr>
        <w:pStyle w:val="NormalWeb"/>
        <w:jc w:val="center"/>
      </w:pPr>
    </w:p>
    <w:p w14:paraId="31BD80AC" w14:textId="77777777" w:rsidR="007D3530" w:rsidRDefault="007D3530">
      <w:pPr>
        <w:rPr>
          <w:b/>
        </w:rPr>
      </w:pPr>
    </w:p>
    <w:p w14:paraId="45766C10" w14:textId="77777777" w:rsidR="007D3530" w:rsidRDefault="007D3530">
      <w:pPr>
        <w:rPr>
          <w:b/>
        </w:rPr>
      </w:pPr>
      <w:r>
        <w:rPr>
          <w:b/>
        </w:rPr>
        <w:br w:type="page"/>
      </w:r>
    </w:p>
    <w:p w14:paraId="54F63A96" w14:textId="7CBB6A51" w:rsidR="00933668" w:rsidRDefault="00933668" w:rsidP="006A3B43">
      <w:pPr>
        <w:pStyle w:val="NormalWeb"/>
        <w:jc w:val="center"/>
        <w:rPr>
          <w:b/>
        </w:rPr>
      </w:pPr>
    </w:p>
    <w:p w14:paraId="0B6DA19C" w14:textId="4185C635" w:rsidR="00725A97" w:rsidRPr="00725A97" w:rsidRDefault="006A3B43" w:rsidP="00725A97">
      <w:pPr>
        <w:pStyle w:val="NormalWeb"/>
        <w:jc w:val="center"/>
      </w:pPr>
      <w:r>
        <w:rPr>
          <w:b/>
        </w:rPr>
        <w:fldChar w:fldCharType="begin"/>
      </w:r>
      <w:r w:rsidR="000A2DFD">
        <w:rPr>
          <w:b/>
        </w:rPr>
        <w:instrText>ADDIN RW.BIB</w:instrText>
      </w:r>
      <w:r>
        <w:rPr>
          <w:b/>
        </w:rPr>
        <w:fldChar w:fldCharType="separate"/>
      </w:r>
      <w:r w:rsidR="00725A97" w:rsidRPr="00725A97">
        <w:t xml:space="preserve"> References</w:t>
      </w:r>
    </w:p>
    <w:p w14:paraId="07DD87DC" w14:textId="77777777" w:rsidR="00725A97" w:rsidRPr="00725A97" w:rsidRDefault="00725A97" w:rsidP="00725A97">
      <w:pPr>
        <w:pStyle w:val="NormalWeb"/>
        <w:spacing w:line="480" w:lineRule="auto"/>
      </w:pPr>
      <w:r w:rsidRPr="00725A97">
        <w:t xml:space="preserve">1. Suarez C, Zeymer U, Limbourg T, Baumgartner I, Cacoub P, Poldermans D, Rother J, Bhatt DL, Steg PG, REACH Registry Investigators. Influence of polyvascular disease on cardiovascular event rates. Insights from the REACH Registry. </w:t>
      </w:r>
      <w:r w:rsidRPr="00725A97">
        <w:rPr>
          <w:i/>
          <w:iCs/>
        </w:rPr>
        <w:t xml:space="preserve">Vasc Med. </w:t>
      </w:r>
      <w:r w:rsidRPr="00725A97">
        <w:t>2010; 15: 259-265.</w:t>
      </w:r>
    </w:p>
    <w:p w14:paraId="58B1C083" w14:textId="77777777" w:rsidR="00725A97" w:rsidRPr="00725A97" w:rsidRDefault="00725A97" w:rsidP="00725A97">
      <w:pPr>
        <w:pStyle w:val="NormalWeb"/>
        <w:spacing w:line="480" w:lineRule="auto"/>
      </w:pPr>
      <w:r w:rsidRPr="00725A97">
        <w:t xml:space="preserve">2. Criqui MH, Aboyans V. Epidemiology of peripheral artery disease. </w:t>
      </w:r>
      <w:r w:rsidRPr="00725A97">
        <w:rPr>
          <w:i/>
          <w:iCs/>
        </w:rPr>
        <w:t xml:space="preserve">Circ Res. </w:t>
      </w:r>
      <w:r w:rsidRPr="00725A97">
        <w:t>2015; 116: 1509-1526.</w:t>
      </w:r>
    </w:p>
    <w:p w14:paraId="36334745" w14:textId="77777777" w:rsidR="00725A97" w:rsidRPr="00725A97" w:rsidRDefault="00725A97" w:rsidP="00725A97">
      <w:pPr>
        <w:pStyle w:val="NormalWeb"/>
        <w:spacing w:line="480" w:lineRule="auto"/>
      </w:pPr>
      <w:r w:rsidRPr="00725A97">
        <w:t xml:space="preserve">3. Bonaca MP, Bhatt DL, Storey RF, Steg PG, Cohen M, Kuder J, Goodrich E, Nicolau JC, Parkhomenko A, Lopez-Sendon J, Dellborg M, Dalby A, Spinar J, Aylward P, Corbalan R, Abola MT, Jensen EC, Held P, Braunwald E, Sabatine MS. Ticagrelor for Prevention of Ischemic Events After Myocardial Infarction in Patients With Peripheral Artery Disease. </w:t>
      </w:r>
      <w:r w:rsidRPr="00725A97">
        <w:rPr>
          <w:i/>
          <w:iCs/>
        </w:rPr>
        <w:t xml:space="preserve">J Am Coll Cardiol. </w:t>
      </w:r>
      <w:r w:rsidRPr="00725A97">
        <w:t>2016; 67: 2719-2728.</w:t>
      </w:r>
    </w:p>
    <w:p w14:paraId="6841E832" w14:textId="77777777" w:rsidR="00725A97" w:rsidRPr="00725A97" w:rsidRDefault="00725A97" w:rsidP="00725A97">
      <w:pPr>
        <w:pStyle w:val="NormalWeb"/>
        <w:spacing w:line="480" w:lineRule="auto"/>
      </w:pPr>
      <w:r w:rsidRPr="00725A97">
        <w:t xml:space="preserve">4. Aboyans V, Ricco JB, Bartelink MEL, Bjorck M, Brodmann M, Cohnert T, Collet JP, Czerny M, De Carlo M, Debus S, Espinola-Klein C, Kahan T, Kownator S, Mazzolai L, Naylor AR, Roffi M, Rother J, Sprynger M, Tendera M, Tepe G, Venermo M, Vlachopoulos C, Desormais I. 2017 ESC Guidelines on the Diagnosis and Treatment of Peripheral Arterial Diseases, in collaboration with the European Society for Vascular Surgery (ESVS): Document covering atherosclerotic disease of extracranial carotid and vertebral, mesenteric, renal, upper and lower extremity arteriesEndorsed by: the European Stroke Organization (ESO)The Task Force for the Diagnosis and Treatment of </w:t>
      </w:r>
      <w:r w:rsidRPr="00725A97">
        <w:lastRenderedPageBreak/>
        <w:t xml:space="preserve">Peripheral Arterial Diseases of the European Society of Cardiology (ESC) and of the European Society for Vascular Surgery (ESVS). </w:t>
      </w:r>
      <w:r w:rsidRPr="00725A97">
        <w:rPr>
          <w:i/>
          <w:iCs/>
        </w:rPr>
        <w:t xml:space="preserve">Eur Heart J. </w:t>
      </w:r>
      <w:r w:rsidRPr="00725A97">
        <w:t>2017; .</w:t>
      </w:r>
    </w:p>
    <w:p w14:paraId="4375C6F7" w14:textId="59385864" w:rsidR="00725A97" w:rsidRPr="00725A97" w:rsidRDefault="00725A97" w:rsidP="00725A97">
      <w:pPr>
        <w:pStyle w:val="NormalWeb"/>
        <w:spacing w:line="480" w:lineRule="auto"/>
      </w:pPr>
      <w:r w:rsidRPr="00725A97">
        <w:t xml:space="preserve">5. Gerhard-Herman MD, Gornik HL, Barrett C, Barshes NR, Corriere MA, Drachman DE, Fleisher LA, Fowkes FG, Hamburg NM, Kinlay S, Lookstein R, Misra S, Mureebe L, Olin JW, Patel RA, Regensteiner JG, Schanzer A, Shishehbor MH, Stewart KJ, Treat-Jacobson D, Walsh ME. 2016 AHA/ACC Guideline on the Management of Patients With Lower Extremity Peripheral Artery Disease: A Report of the American College of Cardiology/American Heart Association Task Force on Clinical Practice Guidelines. </w:t>
      </w:r>
      <w:r w:rsidR="00730D45" w:rsidRPr="00730D45">
        <w:rPr>
          <w:i/>
        </w:rPr>
        <w:t>Circulation</w:t>
      </w:r>
      <w:r w:rsidR="00730D45" w:rsidRPr="00730D45">
        <w:t>. 2017 Mar 21;135(12):e726-e779</w:t>
      </w:r>
    </w:p>
    <w:p w14:paraId="185ED4CA" w14:textId="77777777" w:rsidR="00725A97" w:rsidRPr="00725A97" w:rsidRDefault="00725A97" w:rsidP="00725A97">
      <w:pPr>
        <w:pStyle w:val="NormalWeb"/>
        <w:spacing w:line="480" w:lineRule="auto"/>
      </w:pPr>
      <w:r w:rsidRPr="00725A97">
        <w:t xml:space="preserve">6. Kumbhani DJ, Steg PG, Cannon CP, Eagle KA, Smith SC,Jr, Goto S, Ohman EM, Elbez Y, Sritara P, Baumgartner I, Banerjee S, Creager MA, Bhatt DL, REACH Registry Investigators. Statin therapy and long-term adverse limb outcomes in patients with peripheral artery disease: insights from the REACH registry. </w:t>
      </w:r>
      <w:r w:rsidRPr="00725A97">
        <w:rPr>
          <w:i/>
          <w:iCs/>
        </w:rPr>
        <w:t xml:space="preserve">Eur Heart J. </w:t>
      </w:r>
      <w:r w:rsidRPr="00725A97">
        <w:t>2014; 35: 2864-2872.</w:t>
      </w:r>
    </w:p>
    <w:p w14:paraId="091601CF" w14:textId="2200975A" w:rsidR="00725A97" w:rsidRPr="00725A97" w:rsidRDefault="00725A97" w:rsidP="00730D45">
      <w:pPr>
        <w:pStyle w:val="NormalWeb"/>
        <w:spacing w:line="480" w:lineRule="auto"/>
      </w:pPr>
      <w:r w:rsidRPr="00725A97">
        <w:t xml:space="preserve">7. Jones WS, Baumgartner I, Hiatt WR, Heizer G, Conte MS, White CJ, Berger JS, Held P, Katona BG, Mahaffey KW, Norgren L, Blomster J, Millegard M, Reist C, Patel MR, Fowkes GR, International Steering Committee and Investigators of the EUCLID Trial (Examining Use of tiCagreLor In paD). Ticagrelor Compared With Clopidogrel in Patients with Prior Lower Extremity Revascularization for Peripheral Artery Disease. </w:t>
      </w:r>
      <w:r w:rsidR="00730D45">
        <w:t>Circulation. 2017 Jan 17;135(3):241-250</w:t>
      </w:r>
    </w:p>
    <w:p w14:paraId="2C500D0F" w14:textId="77777777" w:rsidR="00725A97" w:rsidRPr="00725A97" w:rsidRDefault="00725A97" w:rsidP="00725A97">
      <w:pPr>
        <w:pStyle w:val="NormalWeb"/>
        <w:spacing w:line="480" w:lineRule="auto"/>
      </w:pPr>
      <w:r w:rsidRPr="00725A97">
        <w:lastRenderedPageBreak/>
        <w:t xml:space="preserve">8. Bonaca MP, Scirica BM, Creager MA, Olin J, Bounameaux H, Dellborg M, Lamp JM, Murphy SA, Braunwald E, Morrow DA. Vorapaxar in patients with peripheral artery disease: results from TRA2{degrees}P-TIMI 50. </w:t>
      </w:r>
      <w:r w:rsidRPr="00725A97">
        <w:rPr>
          <w:i/>
          <w:iCs/>
        </w:rPr>
        <w:t xml:space="preserve">Circulation. </w:t>
      </w:r>
      <w:r w:rsidRPr="00725A97">
        <w:t>2013; 127: 1522-9, 1529e1-6.</w:t>
      </w:r>
    </w:p>
    <w:p w14:paraId="1611CE65" w14:textId="77777777" w:rsidR="00725A97" w:rsidRPr="00725A97" w:rsidRDefault="00725A97" w:rsidP="00725A97">
      <w:pPr>
        <w:pStyle w:val="NormalWeb"/>
        <w:spacing w:line="480" w:lineRule="auto"/>
      </w:pPr>
      <w:r w:rsidRPr="00725A97">
        <w:t xml:space="preserve">9. Aung PP, Maxwell HG, Jepson RG, Price JF, Leng GC. Lipid-lowering for peripheral arterial disease of the lower limb. </w:t>
      </w:r>
      <w:r w:rsidRPr="00725A97">
        <w:rPr>
          <w:i/>
          <w:iCs/>
        </w:rPr>
        <w:t xml:space="preserve">Cochrane Database Syst Rev. </w:t>
      </w:r>
      <w:r w:rsidRPr="00725A97">
        <w:t>2007; (4): CD000123.</w:t>
      </w:r>
    </w:p>
    <w:p w14:paraId="4427B948" w14:textId="77777777" w:rsidR="00725A97" w:rsidRPr="00725A97" w:rsidRDefault="00725A97" w:rsidP="00725A97">
      <w:pPr>
        <w:pStyle w:val="NormalWeb"/>
        <w:spacing w:line="480" w:lineRule="auto"/>
      </w:pPr>
      <w:r w:rsidRPr="00725A97">
        <w:t xml:space="preserve">10. Aronow WS, Nayak D, Woodworth S, Ahn C. Effect of simvastatin versus placebo on treadmill exercise time until the onset of intermittent claudication in older patients with peripheral arterial disease at six months and at one year after treatment. </w:t>
      </w:r>
      <w:r w:rsidRPr="00725A97">
        <w:rPr>
          <w:i/>
          <w:iCs/>
        </w:rPr>
        <w:t xml:space="preserve">Am J Cardiol. </w:t>
      </w:r>
      <w:r w:rsidRPr="00725A97">
        <w:t>2003; 92: 711-712.</w:t>
      </w:r>
    </w:p>
    <w:p w14:paraId="42FBC8A9" w14:textId="77777777" w:rsidR="00725A97" w:rsidRPr="00725A97" w:rsidRDefault="00725A97" w:rsidP="00725A97">
      <w:pPr>
        <w:pStyle w:val="NormalWeb"/>
        <w:spacing w:line="480" w:lineRule="auto"/>
      </w:pPr>
      <w:r w:rsidRPr="00725A97">
        <w:t xml:space="preserve">11. Mohler ER,3rd, Hiatt WR, Creager MA. Cholesterol reduction with atorvastatin improves walking distance in patients with peripheral arterial disease. </w:t>
      </w:r>
      <w:r w:rsidRPr="00725A97">
        <w:rPr>
          <w:i/>
          <w:iCs/>
        </w:rPr>
        <w:t xml:space="preserve">Circulation. </w:t>
      </w:r>
      <w:r w:rsidRPr="00725A97">
        <w:t>2003; 108: 1481-1486.</w:t>
      </w:r>
    </w:p>
    <w:p w14:paraId="504DDC80" w14:textId="77777777" w:rsidR="00725A97" w:rsidRPr="00725A97" w:rsidRDefault="00725A97" w:rsidP="00725A97">
      <w:pPr>
        <w:pStyle w:val="NormalWeb"/>
        <w:spacing w:line="480" w:lineRule="auto"/>
      </w:pPr>
      <w:r w:rsidRPr="00725A97">
        <w:t xml:space="preserve">12. Spring S, Simon R, van der Loo B, Kovacevic T, Brockes C, Rousson V, Amann-Vesti B, Koppensteiner R. High-dose atorvastatin in peripheral arterial disease (PAD): effect on endothelial function, intima-media-thickness and local progression of PAD. An open randomized controlled pilot trial. </w:t>
      </w:r>
      <w:r w:rsidRPr="00725A97">
        <w:rPr>
          <w:i/>
          <w:iCs/>
        </w:rPr>
        <w:t xml:space="preserve">Thromb Haemost. </w:t>
      </w:r>
      <w:r w:rsidRPr="00725A97">
        <w:t>2008; 99: 182-189.</w:t>
      </w:r>
    </w:p>
    <w:p w14:paraId="561103EC" w14:textId="77777777" w:rsidR="00725A97" w:rsidRPr="00725A97" w:rsidRDefault="00725A97" w:rsidP="00725A97">
      <w:pPr>
        <w:pStyle w:val="NormalWeb"/>
        <w:spacing w:line="480" w:lineRule="auto"/>
      </w:pPr>
      <w:r w:rsidRPr="00725A97">
        <w:t xml:space="preserve">13. Schanzer A, Hevelone N, Owens CD, Beckman JA, Belkin M, Conte MS. Statins are independently associated with reduced mortality in patients undergoing infrainguinal bypass graft surgery for critical limb ischemia. </w:t>
      </w:r>
      <w:r w:rsidRPr="00725A97">
        <w:rPr>
          <w:i/>
          <w:iCs/>
        </w:rPr>
        <w:t xml:space="preserve">J Vasc Surg. </w:t>
      </w:r>
      <w:r w:rsidRPr="00725A97">
        <w:t>2008; 47: 774-781.</w:t>
      </w:r>
    </w:p>
    <w:p w14:paraId="65D06460" w14:textId="712FD23F" w:rsidR="00725A97" w:rsidRPr="00725A97" w:rsidRDefault="00332FB2" w:rsidP="00725A97">
      <w:pPr>
        <w:pStyle w:val="NormalWeb"/>
        <w:spacing w:line="480" w:lineRule="auto"/>
      </w:pPr>
      <w:r>
        <w:lastRenderedPageBreak/>
        <w:t>14. Anand S and COMPASS Investigators</w:t>
      </w:r>
      <w:r w:rsidR="00725A97" w:rsidRPr="00725A97">
        <w:t xml:space="preserve">. &lt;br /&gt;COMPASS PAD- Cardiovascular OutcoMes for People using Anticoagulation StrategieS trial: Results in Patients with Peripheral Artery Disease. </w:t>
      </w:r>
      <w:r w:rsidR="00725A97" w:rsidRPr="00725A97">
        <w:rPr>
          <w:i/>
          <w:iCs/>
        </w:rPr>
        <w:t xml:space="preserve">European Society of Cardiology Hotline. </w:t>
      </w:r>
      <w:r w:rsidR="00725A97" w:rsidRPr="00725A97">
        <w:t>2017; .</w:t>
      </w:r>
    </w:p>
    <w:p w14:paraId="06A7A972" w14:textId="77777777" w:rsidR="00725A97" w:rsidRPr="00725A97" w:rsidRDefault="00725A97" w:rsidP="00725A97">
      <w:pPr>
        <w:pStyle w:val="NormalWeb"/>
        <w:spacing w:line="480" w:lineRule="auto"/>
      </w:pPr>
      <w:r w:rsidRPr="00725A97">
        <w:t xml:space="preserve">15. Hiatt WR, Fowkes FG, Heizer G, Berger JS, Baumgartner I, Held P, Katona BG, Mahaffey KW, Norgren L, Jones WS, Blomster J, Millegard M, Reist C, Patel MR, EUCLID Trial Steering Committee and Investigators. Ticagrelor versus Clopidogrel in Symptomatic Peripheral Artery Disease. </w:t>
      </w:r>
      <w:r w:rsidRPr="00725A97">
        <w:rPr>
          <w:i/>
          <w:iCs/>
        </w:rPr>
        <w:t xml:space="preserve">N Engl J Med. </w:t>
      </w:r>
      <w:r w:rsidRPr="00725A97">
        <w:t>2017; 376: 32-40.</w:t>
      </w:r>
    </w:p>
    <w:p w14:paraId="691C2379" w14:textId="77777777" w:rsidR="00725A97" w:rsidRPr="00725A97" w:rsidRDefault="00725A97" w:rsidP="00725A97">
      <w:pPr>
        <w:pStyle w:val="NormalWeb"/>
        <w:spacing w:line="480" w:lineRule="auto"/>
      </w:pPr>
      <w:r w:rsidRPr="00725A97">
        <w:t xml:space="preserve">16. Sabatine MS, Giugliano RP, Keech A, Honarpour N, Wang H, Liu T, Wasserman SM, Scott R, Sever PS, Pedersen TR. Rationale and design of the Further cardiovascular OUtcomes Research with PCSK9 Inhibition in subjects with Elevated Risk trial. </w:t>
      </w:r>
      <w:r w:rsidRPr="00725A97">
        <w:rPr>
          <w:i/>
          <w:iCs/>
        </w:rPr>
        <w:t xml:space="preserve">Am Heart J. </w:t>
      </w:r>
      <w:r w:rsidRPr="00725A97">
        <w:t>2016; 173: 94-101.</w:t>
      </w:r>
    </w:p>
    <w:p w14:paraId="7789C779" w14:textId="77777777" w:rsidR="00725A97" w:rsidRPr="00725A97" w:rsidRDefault="00725A97" w:rsidP="00725A97">
      <w:pPr>
        <w:pStyle w:val="NormalWeb"/>
        <w:spacing w:line="480" w:lineRule="auto"/>
      </w:pPr>
      <w:r w:rsidRPr="00725A97">
        <w:t xml:space="preserve">17. Bonaca MP, Gutierrez JA, Creager MA, Scirica BM, Olin J, Murphy SA, Braunwald E, Morrow DA. Acute Limb Ischemia and Outcomes With Vorapaxar in Patients With Peripheral Artery Disease: Results From the Trial to Assess the Effects of Vorapaxar in Preventing Heart Attack and Stroke in Patients With Atherosclerosis-Thrombolysis in Myocardial Infarction 50 (TRA2 degrees P-TIMI 50). </w:t>
      </w:r>
      <w:r w:rsidRPr="00725A97">
        <w:rPr>
          <w:i/>
          <w:iCs/>
        </w:rPr>
        <w:t xml:space="preserve">Circulation. </w:t>
      </w:r>
      <w:r w:rsidRPr="00725A97">
        <w:t>2016; 133: 997-1005.</w:t>
      </w:r>
    </w:p>
    <w:p w14:paraId="7BB66A15" w14:textId="77777777" w:rsidR="00725A97" w:rsidRPr="00725A97" w:rsidRDefault="00725A97" w:rsidP="00725A97">
      <w:pPr>
        <w:pStyle w:val="NormalWeb"/>
        <w:spacing w:line="480" w:lineRule="auto"/>
      </w:pPr>
      <w:r w:rsidRPr="00725A97">
        <w:t xml:space="preserve">18. Eikelboom JW, Connolly SJ, Bosch J, Dagenais GR, Hart RG, Shestakovska O, Diaz R, Alings M, Lonn EM, Anand SS, Widimsky P, Hori M, Avezum A, Piegas LS, Branch KRH, Probstfield J, Bhatt DL, Zhu J, Liang Y, Maggioni AP, Lopez-Jaramillo P, O'Donnell M, Kakkar AK, Fox KAA, Parkhomenko AN, Ertl G, Stork S, Keltai M, Ryden L, Pogosova N, Dans AL, Lanas F, Commerford PJ, Torp-Pedersen C, Guzik TJ, </w:t>
      </w:r>
      <w:r w:rsidRPr="00725A97">
        <w:lastRenderedPageBreak/>
        <w:t xml:space="preserve">Verhamme PB, Vinereanu D, Kim JH, Tonkin AM, Lewis BS, Felix C, Yusoff K, Steg PG, Metsarinne KP, Cook Bruns N, Misselwitz F, Chen E, Leong D, Yusuf S, COMPASS Investigators. Rivaroxaban with or without Aspirin in Stable Cardiovascular Disease. </w:t>
      </w:r>
      <w:r w:rsidRPr="00725A97">
        <w:rPr>
          <w:i/>
          <w:iCs/>
        </w:rPr>
        <w:t xml:space="preserve">N Engl J Med. </w:t>
      </w:r>
      <w:r w:rsidRPr="00725A97">
        <w:t>2017; 377: 1319-1330.</w:t>
      </w:r>
    </w:p>
    <w:p w14:paraId="2010B505" w14:textId="77777777" w:rsidR="00725A97" w:rsidRPr="00725A97" w:rsidRDefault="00725A97" w:rsidP="00725A97">
      <w:pPr>
        <w:pStyle w:val="NormalWeb"/>
        <w:spacing w:line="480" w:lineRule="auto"/>
      </w:pPr>
      <w:r w:rsidRPr="00725A97">
        <w:t xml:space="preserve">19. Sabatine MS, Giugliano RP, Pedersen TR. Evolocumab in Patients with Cardiovascular Disease. </w:t>
      </w:r>
      <w:r w:rsidRPr="00725A97">
        <w:rPr>
          <w:i/>
          <w:iCs/>
        </w:rPr>
        <w:t xml:space="preserve">N Engl J Med. </w:t>
      </w:r>
      <w:r w:rsidRPr="00725A97">
        <w:t>2017; 377: 787-788.</w:t>
      </w:r>
    </w:p>
    <w:p w14:paraId="3BFD515D" w14:textId="77777777" w:rsidR="00725A97" w:rsidRPr="00725A97" w:rsidRDefault="00725A97" w:rsidP="00725A97">
      <w:pPr>
        <w:pStyle w:val="NormalWeb"/>
        <w:spacing w:line="480" w:lineRule="auto"/>
      </w:pPr>
      <w:r w:rsidRPr="00725A97">
        <w:t xml:space="preserve">20. Giugliano RP, Pedersen TR, Park JG, De Ferrari GM, Gaciong ZA, Ceska R, Toth K, Gouni-Berthold I, Lopez-Miranda J, Schiele F, Mach F, Ott BR, Kanevsky E, Pineda AL, Somaratne R, Wasserman SM, Keech AC, Sever PS, Sabatine MS, FOURIER Investigators. Clinical efficacy and safety of achieving very low LDL-cholesterol concentrations with the PCSK9 inhibitor evolocumab: a prespecified secondary analysis of the FOURIER trial. </w:t>
      </w:r>
      <w:r w:rsidRPr="00725A97">
        <w:rPr>
          <w:i/>
          <w:iCs/>
        </w:rPr>
        <w:t xml:space="preserve">Lancet. </w:t>
      </w:r>
      <w:r w:rsidRPr="00725A97">
        <w:t>2017; .</w:t>
      </w:r>
    </w:p>
    <w:p w14:paraId="002740BE" w14:textId="77777777" w:rsidR="00725A97" w:rsidRPr="00725A97" w:rsidRDefault="00725A97" w:rsidP="00725A97">
      <w:pPr>
        <w:pStyle w:val="NormalWeb"/>
        <w:spacing w:line="480" w:lineRule="auto"/>
      </w:pPr>
      <w:r w:rsidRPr="00725A97">
        <w:t xml:space="preserve">21. Cacoub PP, Bhatt DL, Steg PG, Topol EJ, Creager MA, CHARISMA Investigators. Patients with peripheral arterial disease in the CHARISMA trial. </w:t>
      </w:r>
      <w:r w:rsidRPr="00725A97">
        <w:rPr>
          <w:i/>
          <w:iCs/>
        </w:rPr>
        <w:t xml:space="preserve">Eur Heart J. </w:t>
      </w:r>
      <w:r w:rsidRPr="00725A97">
        <w:t>2009; 30: 192-201.</w:t>
      </w:r>
    </w:p>
    <w:p w14:paraId="7CEB7856" w14:textId="77777777" w:rsidR="00725A97" w:rsidRPr="00725A97" w:rsidRDefault="00725A97" w:rsidP="00725A97">
      <w:pPr>
        <w:pStyle w:val="NormalWeb"/>
        <w:spacing w:line="480" w:lineRule="auto"/>
      </w:pPr>
      <w:r w:rsidRPr="00725A97">
        <w:t xml:space="preserve">22. Bhatt DL, Peterson ED, Harrington RA, Ou FS, Cannon CP, Gibson CM, Kleiman NS, Brindis RG, Peacock WF, Brener SJ, Menon V, Smith SC,Jr, Pollack CV,Jr, Gibler WB, Ohman EM, Roe MT, CRUSADE Investigators. Prior polyvascular disease: risk factor for adverse ischaemic outcomes in acute coronary syndromes. </w:t>
      </w:r>
      <w:r w:rsidRPr="00725A97">
        <w:rPr>
          <w:i/>
          <w:iCs/>
        </w:rPr>
        <w:t xml:space="preserve">Eur Heart J. </w:t>
      </w:r>
      <w:r w:rsidRPr="00725A97">
        <w:t>2009; 30: 1195-1202.</w:t>
      </w:r>
    </w:p>
    <w:p w14:paraId="707467BD" w14:textId="77777777" w:rsidR="00725A97" w:rsidRPr="00725A97" w:rsidRDefault="00725A97" w:rsidP="00725A97">
      <w:pPr>
        <w:pStyle w:val="NormalWeb"/>
        <w:spacing w:line="480" w:lineRule="auto"/>
      </w:pPr>
      <w:r w:rsidRPr="00725A97">
        <w:lastRenderedPageBreak/>
        <w:t xml:space="preserve">23. Franzone A, Piccolo R, Gargiulo G, Ariotti S, Marino M, Santucci A, Baldo A, Magnani G, Moschovitis A, Windecker S, Valgimigli M. Prolonged vs Short Duration of Dual Antiplatelet Therapy After Percutaneous Coronary Intervention in Patients With or Without Peripheral Arterial Disease: A Subgroup Analysis of the PRODIGY Randomized Clinical Trial. </w:t>
      </w:r>
      <w:r w:rsidRPr="00725A97">
        <w:rPr>
          <w:i/>
          <w:iCs/>
        </w:rPr>
        <w:t xml:space="preserve">JAMA Cardiol. </w:t>
      </w:r>
      <w:r w:rsidRPr="00725A97">
        <w:t>2016; .</w:t>
      </w:r>
    </w:p>
    <w:p w14:paraId="3CBCA67C" w14:textId="77777777" w:rsidR="00725A97" w:rsidRPr="00725A97" w:rsidRDefault="00725A97" w:rsidP="00725A97">
      <w:pPr>
        <w:pStyle w:val="NormalWeb"/>
        <w:spacing w:line="480" w:lineRule="auto"/>
      </w:pPr>
      <w:r w:rsidRPr="00725A97">
        <w:t xml:space="preserve">24. Chen DC, Singh GD, Armstrong EJ, Waldo SW, Laird JR, Amsterdam EA. Long-Term Comparative Outcomes of Patients With Peripheral Artery Disease With and Without Concomitant Coronary Artery Disease. </w:t>
      </w:r>
      <w:r w:rsidRPr="00725A97">
        <w:rPr>
          <w:i/>
          <w:iCs/>
        </w:rPr>
        <w:t xml:space="preserve">Am J Cardiol. </w:t>
      </w:r>
      <w:r w:rsidRPr="00725A97">
        <w:t>2017; 119: 1146-1152.</w:t>
      </w:r>
    </w:p>
    <w:p w14:paraId="2C4BC162" w14:textId="77777777" w:rsidR="00725A97" w:rsidRPr="00725A97" w:rsidRDefault="00725A97" w:rsidP="00725A97">
      <w:pPr>
        <w:pStyle w:val="NormalWeb"/>
        <w:spacing w:line="480" w:lineRule="auto"/>
      </w:pPr>
      <w:r w:rsidRPr="00725A97">
        <w:t xml:space="preserve">25. Warfarin Antiplatelet Vascular Evaluation Trial Investigators, Anand S, Yusuf S, Xie C, Pogue J, Eikelboom J, Budaj A, Sussex B, Liu L, Guzman R, Cina C, Crowell R, Keltai M, Gosselin G. Oral anticoagulant and antiplatelet therapy and peripheral arterial disease. </w:t>
      </w:r>
      <w:r w:rsidRPr="00725A97">
        <w:rPr>
          <w:i/>
          <w:iCs/>
        </w:rPr>
        <w:t xml:space="preserve">N Engl J Med. </w:t>
      </w:r>
      <w:r w:rsidRPr="00725A97">
        <w:t>2007; 357: 217-227.</w:t>
      </w:r>
    </w:p>
    <w:p w14:paraId="71469A60" w14:textId="77777777" w:rsidR="00725A97" w:rsidRPr="00725A97" w:rsidRDefault="00725A97" w:rsidP="00725A97">
      <w:pPr>
        <w:pStyle w:val="NormalWeb"/>
        <w:spacing w:line="480" w:lineRule="auto"/>
      </w:pPr>
      <w:r w:rsidRPr="00725A97">
        <w:t xml:space="preserve">26. Collins R, Armitage J, Parish S, Sleight P, Peto R, Heart Protection Study Collaborative Group. Effects of cholesterol-lowering with simvastatin on stroke and other major vascular events in 20536 people with cerebrovascular disease or other high-risk conditions. </w:t>
      </w:r>
      <w:r w:rsidRPr="00725A97">
        <w:rPr>
          <w:i/>
          <w:iCs/>
        </w:rPr>
        <w:t xml:space="preserve">Lancet. </w:t>
      </w:r>
      <w:r w:rsidRPr="00725A97">
        <w:t>2004; 363: 757-767.</w:t>
      </w:r>
    </w:p>
    <w:p w14:paraId="3C9D438B" w14:textId="77777777" w:rsidR="00725A97" w:rsidRPr="00725A97" w:rsidRDefault="00725A97" w:rsidP="00725A97">
      <w:pPr>
        <w:pStyle w:val="NormalWeb"/>
        <w:spacing w:line="480" w:lineRule="auto"/>
      </w:pPr>
      <w:r w:rsidRPr="00725A97">
        <w:t xml:space="preserve">27. Heart Protection Study Collaborative Group. Randomized trial of the effects of cholesterol-lowering with simvastatin on peripheral vascular and other major vascular outcomes in 20,536 people with peripheral arterial disease and other high-risk conditions. </w:t>
      </w:r>
      <w:r w:rsidRPr="00725A97">
        <w:rPr>
          <w:i/>
          <w:iCs/>
        </w:rPr>
        <w:t xml:space="preserve">J Vasc Surg. </w:t>
      </w:r>
      <w:r w:rsidRPr="00725A97">
        <w:t>2007; 45: 645-654; discussion 653-4.</w:t>
      </w:r>
    </w:p>
    <w:p w14:paraId="78351046" w14:textId="77777777" w:rsidR="00725A97" w:rsidRPr="00725A97" w:rsidRDefault="00725A97" w:rsidP="00725A97">
      <w:pPr>
        <w:pStyle w:val="NormalWeb"/>
        <w:spacing w:line="480" w:lineRule="auto"/>
      </w:pPr>
      <w:r w:rsidRPr="00725A97">
        <w:lastRenderedPageBreak/>
        <w:t xml:space="preserve">28. Foley TR, Singh GD, Kokkinidis DG, Choy HK, Pham T, Amsterdam EA, Rutledge JC, Waldo SW, Armstrong EJ, Laird JR. High-Intensity Statin Therapy Is Associated With Improved Survival in Patients With Peripheral Artery Disease. </w:t>
      </w:r>
      <w:r w:rsidRPr="00725A97">
        <w:rPr>
          <w:i/>
          <w:iCs/>
        </w:rPr>
        <w:t xml:space="preserve">J Am Heart Assoc. </w:t>
      </w:r>
      <w:r w:rsidRPr="00725A97">
        <w:t>2017; 6: 10.1161/JAHA.117.005699.</w:t>
      </w:r>
    </w:p>
    <w:p w14:paraId="26BE3309" w14:textId="77777777" w:rsidR="00725A97" w:rsidRPr="00725A97" w:rsidRDefault="00725A97" w:rsidP="00725A97">
      <w:pPr>
        <w:pStyle w:val="NormalWeb"/>
        <w:spacing w:line="480" w:lineRule="auto"/>
      </w:pPr>
      <w:r w:rsidRPr="00725A97">
        <w:t xml:space="preserve">29. Stavroulakis K, Borowski M, Torsello G, Bisdas T, CRITISCH collaborators. Association between statin therapy and amputation-free survival in patients with critical limb ischemia in the CRITISCH registry. </w:t>
      </w:r>
      <w:r w:rsidRPr="00725A97">
        <w:rPr>
          <w:i/>
          <w:iCs/>
        </w:rPr>
        <w:t xml:space="preserve">J Vasc Surg. </w:t>
      </w:r>
      <w:r w:rsidRPr="00725A97">
        <w:t>2017; .</w:t>
      </w:r>
    </w:p>
    <w:p w14:paraId="69B89F6F" w14:textId="77777777" w:rsidR="00725A97" w:rsidRPr="00725A97" w:rsidRDefault="00725A97" w:rsidP="00725A97">
      <w:pPr>
        <w:pStyle w:val="NormalWeb"/>
        <w:spacing w:line="480" w:lineRule="auto"/>
      </w:pPr>
      <w:r w:rsidRPr="00725A97">
        <w:t xml:space="preserve">30. Westin GG, Armstrong EJ, Bang H, Yeo KK, Anderson D, Dawson DL, Pevec WC, Amsterdam EA, Laird JR. Association between statin medications and mortality, major adverse cardiovascular event, and amputation-free survival in patients with critical limb ischemia. </w:t>
      </w:r>
      <w:r w:rsidRPr="00725A97">
        <w:rPr>
          <w:i/>
          <w:iCs/>
        </w:rPr>
        <w:t xml:space="preserve">J Am Coll Cardiol. </w:t>
      </w:r>
      <w:r w:rsidRPr="00725A97">
        <w:t>2014; 63: 682-690.</w:t>
      </w:r>
    </w:p>
    <w:p w14:paraId="6AC943E2" w14:textId="77777777" w:rsidR="00725A97" w:rsidRPr="00725A97" w:rsidRDefault="00725A97" w:rsidP="00725A97">
      <w:pPr>
        <w:pStyle w:val="NormalWeb"/>
        <w:spacing w:line="480" w:lineRule="auto"/>
      </w:pPr>
      <w:r w:rsidRPr="00725A97">
        <w:t xml:space="preserve">31. Giri J, McDermott MM, Greenland P, Guralnik JM, Criqui MH, Liu K, Ferrucci L, Green D, Schneider JR, Tian L. Statin use and functional decline in patients with and without peripheral arterial disease. </w:t>
      </w:r>
      <w:r w:rsidRPr="00725A97">
        <w:rPr>
          <w:i/>
          <w:iCs/>
        </w:rPr>
        <w:t xml:space="preserve">J Am Coll Cardiol. </w:t>
      </w:r>
      <w:r w:rsidRPr="00725A97">
        <w:t>2006; 47: 998-1004.</w:t>
      </w:r>
    </w:p>
    <w:p w14:paraId="463E17C8" w14:textId="77777777" w:rsidR="00725A97" w:rsidRPr="00725A97" w:rsidRDefault="00725A97" w:rsidP="00725A97">
      <w:pPr>
        <w:pStyle w:val="NormalWeb"/>
        <w:spacing w:line="480" w:lineRule="auto"/>
      </w:pPr>
      <w:r w:rsidRPr="00725A97">
        <w:t xml:space="preserve">32. Rajamani K, Colman PG, Li LP, Best JD, Voysey M, D'Emden MC, Laakso M, Baker JR, Keech AC, FIELD study investigators. Effect of fenofibrate on amputation events in people with type 2 diabetes mellitus (FIELD study): a prespecified analysis of a randomised controlled trial. </w:t>
      </w:r>
      <w:r w:rsidRPr="00725A97">
        <w:rPr>
          <w:i/>
          <w:iCs/>
        </w:rPr>
        <w:t xml:space="preserve">Lancet. </w:t>
      </w:r>
      <w:r w:rsidRPr="00725A97">
        <w:t>2009; 373: 1780-1788.</w:t>
      </w:r>
    </w:p>
    <w:p w14:paraId="57233609" w14:textId="77777777" w:rsidR="00725A97" w:rsidRPr="00725A97" w:rsidRDefault="00725A97" w:rsidP="00725A97">
      <w:pPr>
        <w:pStyle w:val="NormalWeb"/>
        <w:spacing w:line="480" w:lineRule="auto"/>
      </w:pPr>
      <w:r w:rsidRPr="00725A97">
        <w:t xml:space="preserve">33. Dosluoglu HH, Davari-Farid S, Pourafkari L, Harris LM, Nader ND. Statin use is associated with improved overall survival without affecting patency and limb salvage rates following open or endovascular revascularization. </w:t>
      </w:r>
      <w:r w:rsidRPr="00725A97">
        <w:rPr>
          <w:i/>
          <w:iCs/>
        </w:rPr>
        <w:t xml:space="preserve">Vasc Med. </w:t>
      </w:r>
      <w:r w:rsidRPr="00725A97">
        <w:t>2014; 19: 86-93.</w:t>
      </w:r>
    </w:p>
    <w:p w14:paraId="7CDCE410" w14:textId="77777777" w:rsidR="00725A97" w:rsidRPr="00725A97" w:rsidRDefault="00725A97" w:rsidP="00725A97">
      <w:pPr>
        <w:pStyle w:val="NormalWeb"/>
        <w:spacing w:line="480" w:lineRule="auto"/>
      </w:pPr>
      <w:r w:rsidRPr="00725A97">
        <w:lastRenderedPageBreak/>
        <w:t xml:space="preserve">34. Feringa HH, Karagiannis SE, van Waning VH, Boersma E, Schouten O, Bax JJ, Poldermans D. The effect of intensified lipid-lowering therapy on long-term prognosis in patients with peripheral arterial disease. </w:t>
      </w:r>
      <w:r w:rsidRPr="00725A97">
        <w:rPr>
          <w:i/>
          <w:iCs/>
        </w:rPr>
        <w:t xml:space="preserve">J Vasc Surg. </w:t>
      </w:r>
      <w:r w:rsidRPr="00725A97">
        <w:t>2007; 45: 936-943.</w:t>
      </w:r>
    </w:p>
    <w:p w14:paraId="41263020" w14:textId="77777777" w:rsidR="00725A97" w:rsidRPr="00725A97" w:rsidRDefault="00725A97" w:rsidP="00725A97">
      <w:pPr>
        <w:pStyle w:val="NormalWeb"/>
        <w:spacing w:line="480" w:lineRule="auto"/>
      </w:pPr>
      <w:r w:rsidRPr="00725A97">
        <w:t xml:space="preserve">35. Aiello FA, Khan AA, Meltzer AJ, Gallagher KA, McKinsey JF, Schneider DB. Statin therapy is associated with superior clinical outcomes after endovascular treatment of critical limb ischemia. </w:t>
      </w:r>
      <w:r w:rsidRPr="00725A97">
        <w:rPr>
          <w:i/>
          <w:iCs/>
        </w:rPr>
        <w:t xml:space="preserve">J Vasc Surg. </w:t>
      </w:r>
      <w:r w:rsidRPr="00725A97">
        <w:t>2012; 55: 371-9; discussion 380.</w:t>
      </w:r>
    </w:p>
    <w:p w14:paraId="71110E45" w14:textId="77777777" w:rsidR="00725A97" w:rsidRPr="00725A97" w:rsidRDefault="00725A97" w:rsidP="00725A97">
      <w:pPr>
        <w:pStyle w:val="NormalWeb"/>
        <w:spacing w:line="480" w:lineRule="auto"/>
      </w:pPr>
      <w:r w:rsidRPr="00725A97">
        <w:t xml:space="preserve">36. Westin GG, Armstrong EJ, Bang H, Yeo KK, Anderson D, Dawson DL, Pevec WC, Amsterdam EA, Laird JR. Association between statin medications and mortality, major adverse cardiovascular event, and amputation-free survival in patients with critical limb ischemia. </w:t>
      </w:r>
      <w:r w:rsidRPr="00725A97">
        <w:rPr>
          <w:i/>
          <w:iCs/>
        </w:rPr>
        <w:t xml:space="preserve">J Am Coll Cardiol. </w:t>
      </w:r>
      <w:r w:rsidRPr="00725A97">
        <w:t>2014; 63: 682-690.</w:t>
      </w:r>
    </w:p>
    <w:p w14:paraId="365D5452" w14:textId="77777777" w:rsidR="00725A97" w:rsidRPr="00725A97" w:rsidRDefault="00725A97" w:rsidP="00725A97">
      <w:pPr>
        <w:pStyle w:val="NormalWeb"/>
        <w:spacing w:line="480" w:lineRule="auto"/>
      </w:pPr>
      <w:r w:rsidRPr="00725A97">
        <w:t xml:space="preserve">37. Collins R, Reith C, Emberson J, Armitage J, Baigent C, Blackwell L, Blumenthal R, Danesh J, Smith GD, DeMets D, Evans S, Law M, MacMahon S, Martin S, Neal B, Poulter N, Preiss D, Ridker P, Roberts I, Rodgers A, Sandercock P, Schulz K, Sever P, Simes J, Smeeth L, Wald N, Yusuf S, Peto R. Interpretation of the evidence for the efficacy and safety of statin therapy. </w:t>
      </w:r>
      <w:r w:rsidRPr="00725A97">
        <w:rPr>
          <w:i/>
          <w:iCs/>
        </w:rPr>
        <w:t xml:space="preserve">Lancet. </w:t>
      </w:r>
      <w:r w:rsidRPr="00725A97">
        <w:t>2016; 388: 2532-2561.</w:t>
      </w:r>
    </w:p>
    <w:p w14:paraId="35788CF4" w14:textId="77777777" w:rsidR="00725A97" w:rsidRPr="00725A97" w:rsidRDefault="00725A97" w:rsidP="00725A97">
      <w:pPr>
        <w:pStyle w:val="NormalWeb"/>
        <w:spacing w:line="480" w:lineRule="auto"/>
      </w:pPr>
      <w:r w:rsidRPr="00725A97">
        <w:t xml:space="preserve">38. Sabatine MS, Giugliano RP, Wiviott SD, Raal FJ, Blom DJ, Robinson J, Ballantyne CM, Somaratne R, Legg J, Wasserman SM, Scott R, Koren MJ, Stein EA, Open-Label Study of Long-Term Evaluation against LDL Cholesterol (OSLER) Investigators. Efficacy and safety of evolocumab in reducing lipids and cardiovascular events. </w:t>
      </w:r>
      <w:r w:rsidRPr="00725A97">
        <w:rPr>
          <w:i/>
          <w:iCs/>
        </w:rPr>
        <w:t xml:space="preserve">N Engl J Med. </w:t>
      </w:r>
      <w:r w:rsidRPr="00725A97">
        <w:t>2015; 372: 1500-1509.</w:t>
      </w:r>
    </w:p>
    <w:p w14:paraId="6CC44B33" w14:textId="77777777" w:rsidR="00725A97" w:rsidRPr="00725A97" w:rsidRDefault="00725A97" w:rsidP="00725A97">
      <w:pPr>
        <w:pStyle w:val="NormalWeb"/>
        <w:spacing w:line="480" w:lineRule="auto"/>
      </w:pPr>
      <w:r w:rsidRPr="00725A97">
        <w:lastRenderedPageBreak/>
        <w:t xml:space="preserve">39. Randomised trial of cholesterol lowering in 4444 patients with coronary heart disease: the Scandinavian Simvastatin Survival Study (4S). </w:t>
      </w:r>
      <w:r w:rsidRPr="00725A97">
        <w:rPr>
          <w:i/>
          <w:iCs/>
        </w:rPr>
        <w:t xml:space="preserve">Lancet. </w:t>
      </w:r>
      <w:r w:rsidRPr="00725A97">
        <w:t>1994; 344: 1383-1389.</w:t>
      </w:r>
    </w:p>
    <w:p w14:paraId="1F61D509" w14:textId="3E6B2B94" w:rsidR="006A3B43" w:rsidRDefault="006A3B43" w:rsidP="00725A97">
      <w:pPr>
        <w:pStyle w:val="NormalWeb"/>
        <w:jc w:val="center"/>
        <w:rPr>
          <w:b/>
        </w:rPr>
      </w:pPr>
      <w:r>
        <w:rPr>
          <w:b/>
        </w:rPr>
        <w:fldChar w:fldCharType="end"/>
      </w:r>
    </w:p>
    <w:p w14:paraId="12557945" w14:textId="77777777" w:rsidR="006A3B43" w:rsidRDefault="006A3B43">
      <w:pPr>
        <w:rPr>
          <w:b/>
        </w:rPr>
      </w:pPr>
      <w:r>
        <w:rPr>
          <w:b/>
        </w:rPr>
        <w:br w:type="page"/>
      </w:r>
    </w:p>
    <w:p w14:paraId="49BC8560" w14:textId="22BB9BD2" w:rsidR="00627781" w:rsidRPr="00A958BF" w:rsidRDefault="00627781" w:rsidP="00627781">
      <w:pPr>
        <w:rPr>
          <w:b/>
        </w:rPr>
      </w:pPr>
      <w:r w:rsidRPr="00A958BF">
        <w:rPr>
          <w:b/>
        </w:rPr>
        <w:lastRenderedPageBreak/>
        <w:t>Figure Legends</w:t>
      </w:r>
    </w:p>
    <w:p w14:paraId="4EE5233C" w14:textId="3AEA1925" w:rsidR="00627781" w:rsidRDefault="00627781" w:rsidP="00627781">
      <w:pPr>
        <w:spacing w:line="360" w:lineRule="auto"/>
      </w:pPr>
    </w:p>
    <w:p w14:paraId="6F455030" w14:textId="77777777" w:rsidR="001E1478" w:rsidRDefault="00D55B59" w:rsidP="00627781">
      <w:pPr>
        <w:spacing w:line="360" w:lineRule="auto"/>
      </w:pPr>
      <w:r w:rsidRPr="000A276C">
        <w:rPr>
          <w:b/>
        </w:rPr>
        <w:t>Figure 1</w:t>
      </w:r>
      <w:r>
        <w:t xml:space="preserve"> – </w:t>
      </w:r>
      <w:r w:rsidR="001E1478" w:rsidRPr="001E1478">
        <w:rPr>
          <w:b/>
        </w:rPr>
        <w:t>Patients with Peripheral Artery Disease in the FOURIER Trial</w:t>
      </w:r>
    </w:p>
    <w:p w14:paraId="41D36EE4" w14:textId="512222FE" w:rsidR="00D55B59" w:rsidRDefault="00D55B59" w:rsidP="00627781">
      <w:pPr>
        <w:spacing w:line="360" w:lineRule="auto"/>
      </w:pPr>
      <w:r>
        <w:t>Consort diagram describing the subgroup of patients with symptomatic lower extremity peripheral artery disease including those without prior myocardial infarction (MI) or stroke.</w:t>
      </w:r>
    </w:p>
    <w:p w14:paraId="4A389A0F" w14:textId="77777777" w:rsidR="00D55B59" w:rsidRDefault="00D55B59" w:rsidP="00627781">
      <w:pPr>
        <w:spacing w:line="360" w:lineRule="auto"/>
      </w:pPr>
    </w:p>
    <w:p w14:paraId="25A5574C" w14:textId="21F70CFE" w:rsidR="001E1478" w:rsidRDefault="00627781" w:rsidP="00627781">
      <w:pPr>
        <w:spacing w:line="360" w:lineRule="auto"/>
        <w:rPr>
          <w:b/>
        </w:rPr>
      </w:pPr>
      <w:r w:rsidRPr="000827C9">
        <w:rPr>
          <w:b/>
        </w:rPr>
        <w:t xml:space="preserve">Figure </w:t>
      </w:r>
      <w:r w:rsidR="00D55B59">
        <w:rPr>
          <w:b/>
        </w:rPr>
        <w:t>2</w:t>
      </w:r>
      <w:r w:rsidR="002B22BE">
        <w:rPr>
          <w:b/>
        </w:rPr>
        <w:t xml:space="preserve"> – </w:t>
      </w:r>
      <w:r w:rsidR="001E1478">
        <w:rPr>
          <w:b/>
        </w:rPr>
        <w:t>Primary and Key Secondary Endpoints in Patients with and without Peripheral Artery Disease</w:t>
      </w:r>
    </w:p>
    <w:p w14:paraId="695330EC" w14:textId="5312BD19" w:rsidR="00627781" w:rsidRPr="000827C9" w:rsidRDefault="00D55B59" w:rsidP="00627781">
      <w:pPr>
        <w:spacing w:line="360" w:lineRule="auto"/>
        <w:rPr>
          <w:b/>
        </w:rPr>
      </w:pPr>
      <w:proofErr w:type="gramStart"/>
      <w:r>
        <w:t>Figure left</w:t>
      </w:r>
      <w:r w:rsidR="00CB2441">
        <w:t xml:space="preserve"> (panel 2a)</w:t>
      </w:r>
      <w:r>
        <w:t>, t</w:t>
      </w:r>
      <w:r w:rsidR="002B22BE" w:rsidRPr="002B22BE">
        <w:t>he primary composite endpoint cardiovascular death, myocardial infarction, stroke, unstable angina, coronary revascularization) by treatment (evolocumab in red, placebo in blue) in patients with (solid lines) and without (dashed lines) symptomatic PAD</w:t>
      </w:r>
      <w:r>
        <w:rPr>
          <w:b/>
        </w:rPr>
        <w:t>.</w:t>
      </w:r>
      <w:proofErr w:type="gramEnd"/>
      <w:r>
        <w:rPr>
          <w:b/>
        </w:rPr>
        <w:t xml:space="preserve"> </w:t>
      </w:r>
      <w:r>
        <w:t>Figure right</w:t>
      </w:r>
      <w:r w:rsidR="00CB2441">
        <w:t xml:space="preserve"> (panel 2b)</w:t>
      </w:r>
      <w:r>
        <w:t>, t</w:t>
      </w:r>
      <w:r w:rsidR="002B22BE" w:rsidRPr="002B22BE">
        <w:t xml:space="preserve">he </w:t>
      </w:r>
      <w:r w:rsidR="002B22BE">
        <w:t>key secondary</w:t>
      </w:r>
      <w:r w:rsidR="002B22BE" w:rsidRPr="002B22BE">
        <w:t xml:space="preserve"> composite endpoint (cardiovascular death</w:t>
      </w:r>
      <w:r w:rsidR="002B22BE">
        <w:t>, myocardial infarction, stroke</w:t>
      </w:r>
      <w:r w:rsidR="002B22BE" w:rsidRPr="002B22BE">
        <w:t>) by treatment (evolocumab in red, placebo in blue) in patients with (solid lines) and without (dashed lines) symptomatic PAD</w:t>
      </w:r>
    </w:p>
    <w:p w14:paraId="3788CB17" w14:textId="77777777" w:rsidR="00627781" w:rsidRDefault="00627781" w:rsidP="00627781">
      <w:pPr>
        <w:spacing w:line="360" w:lineRule="auto"/>
      </w:pPr>
    </w:p>
    <w:p w14:paraId="1DBA2F1D" w14:textId="2E5B3A2C" w:rsidR="001E1478" w:rsidRDefault="00627781" w:rsidP="0034638D">
      <w:pPr>
        <w:spacing w:line="360" w:lineRule="auto"/>
        <w:rPr>
          <w:b/>
        </w:rPr>
      </w:pPr>
      <w:r w:rsidRPr="000827C9">
        <w:rPr>
          <w:b/>
        </w:rPr>
        <w:t xml:space="preserve">Figure </w:t>
      </w:r>
      <w:r w:rsidR="00D55B59">
        <w:rPr>
          <w:b/>
        </w:rPr>
        <w:t>3</w:t>
      </w:r>
      <w:r w:rsidR="002B22BE">
        <w:rPr>
          <w:b/>
        </w:rPr>
        <w:t xml:space="preserve"> – </w:t>
      </w:r>
      <w:r w:rsidR="001E1478">
        <w:rPr>
          <w:b/>
        </w:rPr>
        <w:t xml:space="preserve">Major Adverse Limb Events </w:t>
      </w:r>
    </w:p>
    <w:p w14:paraId="4C38D995" w14:textId="0AAE1FEA" w:rsidR="0002126A" w:rsidRPr="00EE49EA" w:rsidRDefault="002B22BE" w:rsidP="0034638D">
      <w:pPr>
        <w:spacing w:line="360" w:lineRule="auto"/>
      </w:pPr>
      <w:r w:rsidRPr="002B22BE">
        <w:t>Major adverse limb events (composite of acute limb ischemia, major amputation or urgent revascularization) by treatment (evolocumab in red, placebo in blue) in all randomized patients</w:t>
      </w:r>
      <w:r w:rsidR="0034638D">
        <w:t xml:space="preserve"> (panel 3a),</w:t>
      </w:r>
      <w:r w:rsidRPr="002B22BE">
        <w:t xml:space="preserve"> in </w:t>
      </w:r>
      <w:r>
        <w:t>patients with symptomatic PAD</w:t>
      </w:r>
      <w:r w:rsidR="00D55B59">
        <w:t xml:space="preserve"> (</w:t>
      </w:r>
      <w:r w:rsidR="0034638D">
        <w:t>panel 3b</w:t>
      </w:r>
      <w:r w:rsidR="00D55B59">
        <w:t>) and in patients with no known PAD (</w:t>
      </w:r>
      <w:r w:rsidR="0034638D">
        <w:t>panel 3c</w:t>
      </w:r>
      <w:r w:rsidR="00D55B59">
        <w:t>).</w:t>
      </w:r>
    </w:p>
    <w:p w14:paraId="3C00079D" w14:textId="77777777" w:rsidR="00627781" w:rsidRDefault="00627781" w:rsidP="00627781">
      <w:pPr>
        <w:spacing w:line="360" w:lineRule="auto"/>
      </w:pPr>
    </w:p>
    <w:p w14:paraId="22FA13EB" w14:textId="5C68E329" w:rsidR="001E1478" w:rsidRDefault="00627781" w:rsidP="00627781">
      <w:pPr>
        <w:spacing w:line="360" w:lineRule="auto"/>
        <w:rPr>
          <w:b/>
        </w:rPr>
      </w:pPr>
      <w:r w:rsidRPr="000827C9">
        <w:rPr>
          <w:b/>
        </w:rPr>
        <w:t xml:space="preserve">Figure </w:t>
      </w:r>
      <w:r w:rsidR="0034638D">
        <w:rPr>
          <w:b/>
        </w:rPr>
        <w:t>4</w:t>
      </w:r>
      <w:r w:rsidR="00D55B59">
        <w:rPr>
          <w:b/>
        </w:rPr>
        <w:t xml:space="preserve"> </w:t>
      </w:r>
      <w:r w:rsidR="0002126A">
        <w:rPr>
          <w:b/>
        </w:rPr>
        <w:t xml:space="preserve">– </w:t>
      </w:r>
      <w:r w:rsidR="001E1478">
        <w:rPr>
          <w:b/>
        </w:rPr>
        <w:t>Major Adverse Cardiovascular and Limb Events in Patients with and without Peripheral Artery Disease</w:t>
      </w:r>
    </w:p>
    <w:p w14:paraId="6830EDBF" w14:textId="6EDAF117" w:rsidR="00627781" w:rsidRPr="000827C9" w:rsidRDefault="002B22BE" w:rsidP="00627781">
      <w:pPr>
        <w:spacing w:line="360" w:lineRule="auto"/>
        <w:rPr>
          <w:b/>
        </w:rPr>
      </w:pPr>
      <w:r w:rsidRPr="002B22BE">
        <w:t xml:space="preserve">The composite </w:t>
      </w:r>
      <w:r>
        <w:t>of major adverse cardiovascular events</w:t>
      </w:r>
      <w:r w:rsidRPr="002B22BE">
        <w:t xml:space="preserve"> (</w:t>
      </w:r>
      <w:r>
        <w:t xml:space="preserve">MACE; </w:t>
      </w:r>
      <w:r w:rsidRPr="002B22BE">
        <w:t>cardiovascul</w:t>
      </w:r>
      <w:r w:rsidR="000B51B5">
        <w:t>ar death, myocardial infarction or</w:t>
      </w:r>
      <w:r w:rsidRPr="002B22BE">
        <w:t xml:space="preserve"> stroke) </w:t>
      </w:r>
      <w:r w:rsidR="000B51B5">
        <w:t xml:space="preserve">and major adverse limb events (MALE; </w:t>
      </w:r>
      <w:r w:rsidR="000B51B5" w:rsidRPr="002B22BE">
        <w:t>acute limb ischemia, major amputation or urgent revascularization</w:t>
      </w:r>
      <w:r w:rsidR="000B51B5">
        <w:t xml:space="preserve">) </w:t>
      </w:r>
      <w:r w:rsidRPr="002B22BE">
        <w:t>by treatment (evolocumab in red, placebo in blue) in patients with (solid lines) and without (dashed lines) symptomatic PAD</w:t>
      </w:r>
    </w:p>
    <w:p w14:paraId="381D9ED1" w14:textId="77777777" w:rsidR="00627781" w:rsidRDefault="00627781" w:rsidP="00627781">
      <w:pPr>
        <w:spacing w:line="360" w:lineRule="auto"/>
      </w:pPr>
    </w:p>
    <w:p w14:paraId="268FCA8B" w14:textId="77777777" w:rsidR="001E1478" w:rsidRDefault="000B51B5" w:rsidP="000B51B5">
      <w:pPr>
        <w:spacing w:line="360" w:lineRule="auto"/>
        <w:rPr>
          <w:b/>
        </w:rPr>
      </w:pPr>
      <w:r w:rsidRPr="000827C9">
        <w:rPr>
          <w:b/>
        </w:rPr>
        <w:lastRenderedPageBreak/>
        <w:t xml:space="preserve">Figure </w:t>
      </w:r>
      <w:r w:rsidR="0034638D">
        <w:rPr>
          <w:b/>
        </w:rPr>
        <w:t>5</w:t>
      </w:r>
      <w:r w:rsidR="00D55B59">
        <w:rPr>
          <w:b/>
        </w:rPr>
        <w:t xml:space="preserve"> </w:t>
      </w:r>
      <w:r>
        <w:rPr>
          <w:b/>
        </w:rPr>
        <w:t xml:space="preserve">– </w:t>
      </w:r>
      <w:r w:rsidR="001E1478">
        <w:rPr>
          <w:b/>
        </w:rPr>
        <w:t>The Relationship of Achieved LDL Cholesterol and Major Adverse Limb Events</w:t>
      </w:r>
    </w:p>
    <w:p w14:paraId="45C49E45" w14:textId="7559FF19" w:rsidR="000B51B5" w:rsidRPr="000827C9" w:rsidRDefault="000B51B5" w:rsidP="000B51B5">
      <w:pPr>
        <w:spacing w:line="360" w:lineRule="auto"/>
        <w:rPr>
          <w:b/>
        </w:rPr>
      </w:pPr>
      <w:r>
        <w:t xml:space="preserve">Relationship between achieved LDL-C and major adverse limb events (MALE; </w:t>
      </w:r>
      <w:r w:rsidRPr="002B22BE">
        <w:t>acute limb ischemia, major amputation or urgent revascularization</w:t>
      </w:r>
      <w:r>
        <w:t>)</w:t>
      </w:r>
      <w:r w:rsidR="00D55B59">
        <w:t xml:space="preserve"> in the overall population</w:t>
      </w:r>
      <w:r w:rsidR="0034638D">
        <w:t>.</w:t>
      </w:r>
    </w:p>
    <w:p w14:paraId="70F6C3DB" w14:textId="77777777" w:rsidR="000B51B5" w:rsidRDefault="000B51B5" w:rsidP="00627781">
      <w:pPr>
        <w:spacing w:line="360" w:lineRule="auto"/>
      </w:pPr>
    </w:p>
    <w:p w14:paraId="63627703" w14:textId="77777777" w:rsidR="00627781" w:rsidRDefault="00627781" w:rsidP="00627781">
      <w:pPr>
        <w:spacing w:line="360" w:lineRule="auto"/>
      </w:pPr>
    </w:p>
    <w:p w14:paraId="579C8513" w14:textId="77777777" w:rsidR="005C44D9" w:rsidRDefault="005C44D9">
      <w:pPr>
        <w:rPr>
          <w:b/>
        </w:rPr>
      </w:pPr>
      <w:r>
        <w:rPr>
          <w:b/>
        </w:rPr>
        <w:br w:type="page"/>
      </w:r>
    </w:p>
    <w:p w14:paraId="041B5C0B" w14:textId="4F825FA8" w:rsidR="00D91F89" w:rsidRPr="00C17E58" w:rsidRDefault="007D4FB0">
      <w:pPr>
        <w:rPr>
          <w:b/>
        </w:rPr>
      </w:pPr>
      <w:r>
        <w:rPr>
          <w:b/>
        </w:rPr>
        <w:lastRenderedPageBreak/>
        <w:t xml:space="preserve">Table 1 </w:t>
      </w:r>
      <w:r w:rsidR="00C17E58" w:rsidRPr="00C17E58">
        <w:rPr>
          <w:b/>
        </w:rPr>
        <w:t>Baseline Characteristics</w:t>
      </w:r>
      <w:r w:rsidR="00005368">
        <w:rPr>
          <w:b/>
        </w:rPr>
        <w:t xml:space="preserve"> by presence of prior PAD</w:t>
      </w:r>
    </w:p>
    <w:tbl>
      <w:tblPr>
        <w:tblW w:w="12733" w:type="dxa"/>
        <w:jc w:val="center"/>
        <w:tblLook w:val="01E0" w:firstRow="1" w:lastRow="1" w:firstColumn="1" w:lastColumn="1" w:noHBand="0" w:noVBand="0"/>
      </w:tblPr>
      <w:tblGrid>
        <w:gridCol w:w="12067"/>
        <w:gridCol w:w="222"/>
        <w:gridCol w:w="222"/>
        <w:gridCol w:w="222"/>
      </w:tblGrid>
      <w:tr w:rsidR="00B945BD" w:rsidRPr="005354E0" w14:paraId="103E323D" w14:textId="77777777" w:rsidTr="008929F6">
        <w:trPr>
          <w:jc w:val="center"/>
        </w:trPr>
        <w:tc>
          <w:tcPr>
            <w:tcW w:w="12067" w:type="dxa"/>
          </w:tcPr>
          <w:p w14:paraId="70502746" w14:textId="6CEEE0F8" w:rsidR="00B945BD" w:rsidRDefault="00B945BD" w:rsidP="001C0903"/>
          <w:tbl>
            <w:tblPr>
              <w:tblpPr w:leftFromText="180" w:rightFromText="180" w:vertAnchor="text" w:horzAnchor="page" w:tblpX="2419" w:tblpY="-45"/>
              <w:tblOverlap w:val="never"/>
              <w:tblW w:w="7987" w:type="dxa"/>
              <w:tblBorders>
                <w:top w:val="single" w:sz="4" w:space="0" w:color="auto"/>
                <w:bottom w:val="single" w:sz="4" w:space="0" w:color="auto"/>
                <w:insideH w:val="single" w:sz="4" w:space="0" w:color="auto"/>
              </w:tblBorders>
              <w:tblLook w:val="04A0" w:firstRow="1" w:lastRow="0" w:firstColumn="1" w:lastColumn="0" w:noHBand="0" w:noVBand="1"/>
            </w:tblPr>
            <w:tblGrid>
              <w:gridCol w:w="4456"/>
              <w:gridCol w:w="1880"/>
              <w:gridCol w:w="1651"/>
            </w:tblGrid>
            <w:tr w:rsidR="00C17E58" w:rsidRPr="004A1730" w14:paraId="71DAD424" w14:textId="77777777" w:rsidTr="00C17E58">
              <w:trPr>
                <w:trHeight w:val="352"/>
              </w:trPr>
              <w:tc>
                <w:tcPr>
                  <w:tcW w:w="4456" w:type="dxa"/>
                  <w:shd w:val="clear" w:color="auto" w:fill="auto"/>
                  <w:hideMark/>
                </w:tcPr>
                <w:p w14:paraId="1BB1316A" w14:textId="77777777" w:rsidR="00C17E58" w:rsidRPr="004A1730" w:rsidRDefault="00C17E58" w:rsidP="00C17E58">
                  <w:pPr>
                    <w:rPr>
                      <w:rFonts w:eastAsia="Times New Roman"/>
                      <w:b/>
                      <w:bCs/>
                      <w:i/>
                      <w:iCs/>
                      <w:color w:val="000000"/>
                      <w:lang w:eastAsia="en-US"/>
                    </w:rPr>
                  </w:pPr>
                </w:p>
              </w:tc>
              <w:tc>
                <w:tcPr>
                  <w:tcW w:w="1880" w:type="dxa"/>
                  <w:shd w:val="clear" w:color="auto" w:fill="auto"/>
                  <w:hideMark/>
                </w:tcPr>
                <w:p w14:paraId="77C166CD" w14:textId="77777777" w:rsidR="00C17E58" w:rsidRDefault="00C17E58" w:rsidP="00C17E58">
                  <w:pPr>
                    <w:jc w:val="center"/>
                    <w:rPr>
                      <w:rFonts w:eastAsia="Times New Roman"/>
                      <w:b/>
                      <w:bCs/>
                      <w:color w:val="000000"/>
                      <w:lang w:eastAsia="en-US"/>
                    </w:rPr>
                  </w:pPr>
                  <w:r>
                    <w:rPr>
                      <w:rFonts w:eastAsia="Times New Roman"/>
                      <w:b/>
                      <w:bCs/>
                      <w:color w:val="000000"/>
                      <w:sz w:val="22"/>
                      <w:szCs w:val="22"/>
                      <w:lang w:eastAsia="en-US"/>
                    </w:rPr>
                    <w:t>No PAD</w:t>
                  </w:r>
                </w:p>
                <w:p w14:paraId="5191C89F" w14:textId="77777777" w:rsidR="00C17E58" w:rsidRPr="004A1730" w:rsidRDefault="00C17E58" w:rsidP="00C17E58">
                  <w:pPr>
                    <w:jc w:val="center"/>
                    <w:rPr>
                      <w:rFonts w:eastAsia="Times New Roman"/>
                      <w:b/>
                      <w:bCs/>
                      <w:color w:val="000000"/>
                      <w:lang w:eastAsia="en-US"/>
                    </w:rPr>
                  </w:pPr>
                  <w:r w:rsidRPr="004A1730">
                    <w:rPr>
                      <w:rFonts w:eastAsia="Times New Roman"/>
                      <w:b/>
                      <w:bCs/>
                      <w:color w:val="000000"/>
                      <w:sz w:val="22"/>
                      <w:szCs w:val="22"/>
                      <w:lang w:eastAsia="en-US"/>
                    </w:rPr>
                    <w:t>N=</w:t>
                  </w:r>
                  <w:r>
                    <w:rPr>
                      <w:rFonts w:eastAsia="Times New Roman"/>
                      <w:b/>
                      <w:bCs/>
                      <w:color w:val="000000"/>
                      <w:sz w:val="22"/>
                      <w:szCs w:val="22"/>
                      <w:lang w:eastAsia="en-US"/>
                    </w:rPr>
                    <w:t>23,922</w:t>
                  </w:r>
                </w:p>
              </w:tc>
              <w:tc>
                <w:tcPr>
                  <w:tcW w:w="1651" w:type="dxa"/>
                </w:tcPr>
                <w:p w14:paraId="60CA693B" w14:textId="77777777" w:rsidR="00C17E58" w:rsidRDefault="00C17E58" w:rsidP="00C17E58">
                  <w:pPr>
                    <w:jc w:val="center"/>
                    <w:rPr>
                      <w:rFonts w:eastAsia="Times New Roman"/>
                      <w:b/>
                      <w:bCs/>
                      <w:color w:val="000000"/>
                      <w:lang w:eastAsia="en-US"/>
                    </w:rPr>
                  </w:pPr>
                  <w:r>
                    <w:rPr>
                      <w:rFonts w:eastAsia="Times New Roman"/>
                      <w:b/>
                      <w:bCs/>
                      <w:color w:val="000000"/>
                      <w:sz w:val="22"/>
                      <w:szCs w:val="22"/>
                      <w:lang w:eastAsia="en-US"/>
                    </w:rPr>
                    <w:t>PAD</w:t>
                  </w:r>
                </w:p>
                <w:p w14:paraId="5033E4BC" w14:textId="77777777" w:rsidR="00C17E58" w:rsidRPr="004A1730" w:rsidRDefault="00C17E58" w:rsidP="00C17E58">
                  <w:pPr>
                    <w:jc w:val="center"/>
                    <w:rPr>
                      <w:rFonts w:eastAsia="Times New Roman"/>
                      <w:b/>
                      <w:bCs/>
                      <w:color w:val="000000"/>
                      <w:lang w:eastAsia="en-US"/>
                    </w:rPr>
                  </w:pPr>
                  <w:r w:rsidRPr="004A1730">
                    <w:rPr>
                      <w:rFonts w:eastAsia="Times New Roman"/>
                      <w:b/>
                      <w:bCs/>
                      <w:color w:val="000000"/>
                      <w:sz w:val="22"/>
                      <w:szCs w:val="22"/>
                      <w:lang w:eastAsia="en-US"/>
                    </w:rPr>
                    <w:t>N=</w:t>
                  </w:r>
                  <w:r>
                    <w:rPr>
                      <w:rFonts w:eastAsia="Times New Roman"/>
                      <w:b/>
                      <w:bCs/>
                      <w:color w:val="000000"/>
                      <w:sz w:val="22"/>
                      <w:szCs w:val="22"/>
                      <w:lang w:eastAsia="en-US"/>
                    </w:rPr>
                    <w:t>3,642</w:t>
                  </w:r>
                </w:p>
              </w:tc>
            </w:tr>
            <w:tr w:rsidR="00C17E58" w:rsidRPr="004A1730" w14:paraId="09F0E068" w14:textId="77777777" w:rsidTr="00C17E58">
              <w:trPr>
                <w:trHeight w:val="352"/>
              </w:trPr>
              <w:tc>
                <w:tcPr>
                  <w:tcW w:w="4456" w:type="dxa"/>
                  <w:shd w:val="clear" w:color="auto" w:fill="auto"/>
                  <w:hideMark/>
                </w:tcPr>
                <w:p w14:paraId="73094CBB" w14:textId="120DDD76" w:rsidR="00C17E58" w:rsidRPr="004A1730" w:rsidRDefault="00C17E58" w:rsidP="00921C00">
                  <w:pPr>
                    <w:rPr>
                      <w:rFonts w:eastAsia="Times New Roman"/>
                      <w:color w:val="000000"/>
                      <w:lang w:eastAsia="en-US"/>
                    </w:rPr>
                  </w:pPr>
                  <w:r w:rsidRPr="004A1730">
                    <w:rPr>
                      <w:rFonts w:eastAsia="Times New Roman"/>
                      <w:color w:val="000000"/>
                      <w:sz w:val="22"/>
                      <w:szCs w:val="22"/>
                      <w:lang w:eastAsia="en-US"/>
                    </w:rPr>
                    <w:t>Age, median (</w:t>
                  </w:r>
                  <w:r w:rsidR="00921C00">
                    <w:rPr>
                      <w:rFonts w:eastAsia="Times New Roman"/>
                      <w:color w:val="000000"/>
                      <w:sz w:val="22"/>
                      <w:szCs w:val="22"/>
                      <w:lang w:eastAsia="en-US"/>
                    </w:rPr>
                    <w:t>IQR</w:t>
                  </w:r>
                  <w:r w:rsidRPr="004A1730">
                    <w:rPr>
                      <w:rFonts w:eastAsia="Times New Roman"/>
                      <w:color w:val="000000"/>
                      <w:sz w:val="22"/>
                      <w:szCs w:val="22"/>
                      <w:lang w:eastAsia="en-US"/>
                    </w:rPr>
                    <w:t>)</w:t>
                  </w:r>
                </w:p>
              </w:tc>
              <w:tc>
                <w:tcPr>
                  <w:tcW w:w="1880" w:type="dxa"/>
                  <w:shd w:val="clear" w:color="auto" w:fill="auto"/>
                  <w:hideMark/>
                </w:tcPr>
                <w:p w14:paraId="46D19240" w14:textId="46BD7DFB" w:rsidR="00C17E58" w:rsidRPr="004A1730" w:rsidRDefault="00921C00" w:rsidP="00C17E58">
                  <w:pPr>
                    <w:jc w:val="center"/>
                    <w:rPr>
                      <w:rFonts w:eastAsia="Times New Roman"/>
                      <w:color w:val="000000"/>
                      <w:lang w:eastAsia="en-US"/>
                    </w:rPr>
                  </w:pPr>
                  <w:r>
                    <w:rPr>
                      <w:rFonts w:eastAsia="Times New Roman"/>
                      <w:color w:val="000000"/>
                      <w:sz w:val="22"/>
                      <w:szCs w:val="22"/>
                      <w:lang w:eastAsia="en-US"/>
                    </w:rPr>
                    <w:t>63</w:t>
                  </w:r>
                  <w:r w:rsidR="00C17E58" w:rsidRPr="004A1730">
                    <w:rPr>
                      <w:rFonts w:eastAsia="Times New Roman"/>
                      <w:color w:val="000000"/>
                      <w:sz w:val="22"/>
                      <w:szCs w:val="22"/>
                      <w:lang w:eastAsia="en-US"/>
                    </w:rPr>
                    <w:t xml:space="preserve"> (</w:t>
                  </w:r>
                  <w:r w:rsidR="00C17E58">
                    <w:rPr>
                      <w:rFonts w:eastAsia="Times New Roman"/>
                      <w:color w:val="000000"/>
                      <w:sz w:val="22"/>
                      <w:szCs w:val="22"/>
                      <w:lang w:eastAsia="en-US"/>
                    </w:rPr>
                    <w:t>56, 69</w:t>
                  </w:r>
                  <w:r w:rsidR="00C17E58" w:rsidRPr="004A1730">
                    <w:rPr>
                      <w:rFonts w:eastAsia="Times New Roman"/>
                      <w:color w:val="000000"/>
                      <w:sz w:val="22"/>
                      <w:szCs w:val="22"/>
                      <w:lang w:eastAsia="en-US"/>
                    </w:rPr>
                    <w:t>)</w:t>
                  </w:r>
                </w:p>
              </w:tc>
              <w:tc>
                <w:tcPr>
                  <w:tcW w:w="1651" w:type="dxa"/>
                </w:tcPr>
                <w:p w14:paraId="70E485E0"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64 (58, 69</w:t>
                  </w:r>
                  <w:r w:rsidRPr="004A1730">
                    <w:rPr>
                      <w:rFonts w:eastAsia="Times New Roman"/>
                      <w:color w:val="000000"/>
                      <w:sz w:val="22"/>
                      <w:szCs w:val="22"/>
                      <w:lang w:eastAsia="en-US"/>
                    </w:rPr>
                    <w:t>)</w:t>
                  </w:r>
                </w:p>
              </w:tc>
            </w:tr>
            <w:tr w:rsidR="00C17E58" w:rsidRPr="004A1730" w14:paraId="6C0CD00B" w14:textId="77777777" w:rsidTr="00C17E58">
              <w:trPr>
                <w:trHeight w:val="352"/>
              </w:trPr>
              <w:tc>
                <w:tcPr>
                  <w:tcW w:w="4456" w:type="dxa"/>
                  <w:shd w:val="clear" w:color="auto" w:fill="auto"/>
                  <w:hideMark/>
                </w:tcPr>
                <w:p w14:paraId="78DDBD56"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Female sex</w:t>
                  </w:r>
                  <w:r w:rsidRPr="004A1730">
                    <w:rPr>
                      <w:rFonts w:eastAsia="Times New Roman"/>
                      <w:color w:val="000000"/>
                      <w:sz w:val="22"/>
                      <w:szCs w:val="22"/>
                      <w:lang w:eastAsia="en-US"/>
                    </w:rPr>
                    <w:t>, n (%)</w:t>
                  </w:r>
                </w:p>
              </w:tc>
              <w:tc>
                <w:tcPr>
                  <w:tcW w:w="1880" w:type="dxa"/>
                  <w:shd w:val="clear" w:color="auto" w:fill="auto"/>
                  <w:hideMark/>
                </w:tcPr>
                <w:p w14:paraId="6DB577FD"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5743 (24.0</w:t>
                  </w:r>
                  <w:r w:rsidRPr="004A1730">
                    <w:rPr>
                      <w:rFonts w:eastAsia="Times New Roman"/>
                      <w:color w:val="000000"/>
                      <w:sz w:val="22"/>
                      <w:szCs w:val="22"/>
                      <w:lang w:eastAsia="en-US"/>
                    </w:rPr>
                    <w:t>)</w:t>
                  </w:r>
                </w:p>
              </w:tc>
              <w:tc>
                <w:tcPr>
                  <w:tcW w:w="1651" w:type="dxa"/>
                </w:tcPr>
                <w:p w14:paraId="65C9068A"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1026</w:t>
                  </w:r>
                  <w:r w:rsidRPr="004A1730">
                    <w:rPr>
                      <w:rFonts w:eastAsia="Times New Roman"/>
                      <w:color w:val="000000"/>
                      <w:sz w:val="22"/>
                      <w:szCs w:val="22"/>
                      <w:lang w:eastAsia="en-US"/>
                    </w:rPr>
                    <w:t xml:space="preserve"> (</w:t>
                  </w:r>
                  <w:r>
                    <w:rPr>
                      <w:rFonts w:eastAsia="Times New Roman"/>
                      <w:color w:val="000000"/>
                      <w:sz w:val="22"/>
                      <w:szCs w:val="22"/>
                      <w:lang w:eastAsia="en-US"/>
                    </w:rPr>
                    <w:t>28.2</w:t>
                  </w:r>
                  <w:r w:rsidRPr="004A1730">
                    <w:rPr>
                      <w:rFonts w:eastAsia="Times New Roman"/>
                      <w:color w:val="000000"/>
                      <w:sz w:val="22"/>
                      <w:szCs w:val="22"/>
                      <w:lang w:eastAsia="en-US"/>
                    </w:rPr>
                    <w:t>)</w:t>
                  </w:r>
                </w:p>
              </w:tc>
            </w:tr>
            <w:tr w:rsidR="00C17E58" w:rsidRPr="004A1730" w14:paraId="66BDA62C" w14:textId="77777777" w:rsidTr="00C17E58">
              <w:trPr>
                <w:trHeight w:val="352"/>
              </w:trPr>
              <w:tc>
                <w:tcPr>
                  <w:tcW w:w="4456" w:type="dxa"/>
                  <w:shd w:val="clear" w:color="auto" w:fill="auto"/>
                  <w:hideMark/>
                </w:tcPr>
                <w:p w14:paraId="42963620" w14:textId="1B7E4067" w:rsidR="00C17E58" w:rsidRPr="004A1730" w:rsidRDefault="00C17E58" w:rsidP="00921C00">
                  <w:pPr>
                    <w:rPr>
                      <w:rFonts w:eastAsia="Times New Roman"/>
                      <w:color w:val="000000"/>
                      <w:lang w:eastAsia="en-US"/>
                    </w:rPr>
                  </w:pPr>
                  <w:r w:rsidRPr="004A1730">
                    <w:rPr>
                      <w:rFonts w:eastAsia="Times New Roman"/>
                      <w:color w:val="000000"/>
                      <w:sz w:val="22"/>
                      <w:szCs w:val="22"/>
                      <w:lang w:eastAsia="en-US"/>
                    </w:rPr>
                    <w:t>Body Mass Index, median (</w:t>
                  </w:r>
                  <w:r w:rsidR="00921C00">
                    <w:rPr>
                      <w:rFonts w:eastAsia="Times New Roman"/>
                      <w:color w:val="000000"/>
                      <w:sz w:val="22"/>
                      <w:szCs w:val="22"/>
                      <w:lang w:eastAsia="en-US"/>
                    </w:rPr>
                    <w:t>IQR</w:t>
                  </w:r>
                  <w:r w:rsidRPr="004A1730">
                    <w:rPr>
                      <w:rFonts w:eastAsia="Times New Roman"/>
                      <w:color w:val="000000"/>
                      <w:sz w:val="22"/>
                      <w:szCs w:val="22"/>
                      <w:lang w:eastAsia="en-US"/>
                    </w:rPr>
                    <w:t>)</w:t>
                  </w:r>
                </w:p>
              </w:tc>
              <w:tc>
                <w:tcPr>
                  <w:tcW w:w="1880" w:type="dxa"/>
                  <w:shd w:val="clear" w:color="auto" w:fill="auto"/>
                  <w:hideMark/>
                </w:tcPr>
                <w:p w14:paraId="17A7347B"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29</w:t>
                  </w:r>
                  <w:r w:rsidRPr="004A1730">
                    <w:rPr>
                      <w:rFonts w:eastAsia="Times New Roman"/>
                      <w:color w:val="000000"/>
                      <w:sz w:val="22"/>
                      <w:szCs w:val="22"/>
                      <w:lang w:eastAsia="en-US"/>
                    </w:rPr>
                    <w:t xml:space="preserve"> (</w:t>
                  </w:r>
                  <w:r>
                    <w:rPr>
                      <w:rFonts w:eastAsia="Times New Roman"/>
                      <w:color w:val="000000"/>
                      <w:sz w:val="22"/>
                      <w:szCs w:val="22"/>
                      <w:lang w:eastAsia="en-US"/>
                    </w:rPr>
                    <w:t>26</w:t>
                  </w:r>
                  <w:r w:rsidRPr="004A1730">
                    <w:rPr>
                      <w:rFonts w:eastAsia="Times New Roman"/>
                      <w:color w:val="000000"/>
                      <w:sz w:val="22"/>
                      <w:szCs w:val="22"/>
                      <w:lang w:eastAsia="en-US"/>
                    </w:rPr>
                    <w:t xml:space="preserve">, </w:t>
                  </w:r>
                  <w:r>
                    <w:rPr>
                      <w:rFonts w:eastAsia="Times New Roman"/>
                      <w:color w:val="000000"/>
                      <w:sz w:val="22"/>
                      <w:szCs w:val="22"/>
                      <w:lang w:eastAsia="en-US"/>
                    </w:rPr>
                    <w:t>32</w:t>
                  </w:r>
                  <w:r w:rsidRPr="004A1730">
                    <w:rPr>
                      <w:rFonts w:eastAsia="Times New Roman"/>
                      <w:color w:val="000000"/>
                      <w:sz w:val="22"/>
                      <w:szCs w:val="22"/>
                      <w:lang w:eastAsia="en-US"/>
                    </w:rPr>
                    <w:t>)</w:t>
                  </w:r>
                </w:p>
              </w:tc>
              <w:tc>
                <w:tcPr>
                  <w:tcW w:w="1651" w:type="dxa"/>
                </w:tcPr>
                <w:p w14:paraId="049517C5"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29</w:t>
                  </w:r>
                  <w:r w:rsidRPr="004A1730">
                    <w:rPr>
                      <w:rFonts w:eastAsia="Times New Roman"/>
                      <w:color w:val="000000"/>
                      <w:sz w:val="22"/>
                      <w:szCs w:val="22"/>
                      <w:lang w:eastAsia="en-US"/>
                    </w:rPr>
                    <w:t xml:space="preserve"> (</w:t>
                  </w:r>
                  <w:r>
                    <w:rPr>
                      <w:rFonts w:eastAsia="Times New Roman"/>
                      <w:color w:val="000000"/>
                      <w:sz w:val="22"/>
                      <w:szCs w:val="22"/>
                      <w:lang w:eastAsia="en-US"/>
                    </w:rPr>
                    <w:t>26</w:t>
                  </w:r>
                  <w:r w:rsidRPr="004A1730">
                    <w:rPr>
                      <w:rFonts w:eastAsia="Times New Roman"/>
                      <w:color w:val="000000"/>
                      <w:sz w:val="22"/>
                      <w:szCs w:val="22"/>
                      <w:lang w:eastAsia="en-US"/>
                    </w:rPr>
                    <w:t xml:space="preserve">, </w:t>
                  </w:r>
                  <w:r>
                    <w:rPr>
                      <w:rFonts w:eastAsia="Times New Roman"/>
                      <w:color w:val="000000"/>
                      <w:sz w:val="22"/>
                      <w:szCs w:val="22"/>
                      <w:lang w:eastAsia="en-US"/>
                    </w:rPr>
                    <w:t>32</w:t>
                  </w:r>
                  <w:r w:rsidRPr="004A1730">
                    <w:rPr>
                      <w:rFonts w:eastAsia="Times New Roman"/>
                      <w:color w:val="000000"/>
                      <w:sz w:val="22"/>
                      <w:szCs w:val="22"/>
                      <w:lang w:eastAsia="en-US"/>
                    </w:rPr>
                    <w:t>)</w:t>
                  </w:r>
                </w:p>
              </w:tc>
            </w:tr>
            <w:tr w:rsidR="00C17E58" w:rsidRPr="004A1730" w14:paraId="1A962FFA" w14:textId="77777777" w:rsidTr="00C17E58">
              <w:trPr>
                <w:trHeight w:val="352"/>
              </w:trPr>
              <w:tc>
                <w:tcPr>
                  <w:tcW w:w="4456" w:type="dxa"/>
                  <w:shd w:val="clear" w:color="auto" w:fill="auto"/>
                  <w:hideMark/>
                </w:tcPr>
                <w:p w14:paraId="149CDC60" w14:textId="77777777" w:rsidR="00C17E58" w:rsidRPr="004A1730" w:rsidRDefault="00C17E58" w:rsidP="00C17E58">
                  <w:pPr>
                    <w:rPr>
                      <w:rFonts w:eastAsia="Times New Roman"/>
                      <w:color w:val="000000"/>
                      <w:lang w:eastAsia="en-US"/>
                    </w:rPr>
                  </w:pPr>
                  <w:r w:rsidRPr="004A1730">
                    <w:rPr>
                      <w:rFonts w:eastAsia="Times New Roman"/>
                      <w:color w:val="000000"/>
                      <w:sz w:val="22"/>
                      <w:szCs w:val="22"/>
                      <w:lang w:eastAsia="en-US"/>
                    </w:rPr>
                    <w:t>Caucasian, n (%)</w:t>
                  </w:r>
                </w:p>
              </w:tc>
              <w:tc>
                <w:tcPr>
                  <w:tcW w:w="1880" w:type="dxa"/>
                  <w:shd w:val="clear" w:color="auto" w:fill="auto"/>
                  <w:hideMark/>
                </w:tcPr>
                <w:p w14:paraId="60BF020D"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20156</w:t>
                  </w:r>
                  <w:r w:rsidRPr="004A1730">
                    <w:rPr>
                      <w:rFonts w:eastAsia="Times New Roman"/>
                      <w:color w:val="000000"/>
                      <w:sz w:val="22"/>
                      <w:szCs w:val="22"/>
                      <w:lang w:eastAsia="en-US"/>
                    </w:rPr>
                    <w:t xml:space="preserve"> (</w:t>
                  </w:r>
                  <w:r>
                    <w:rPr>
                      <w:rFonts w:eastAsia="Times New Roman"/>
                      <w:color w:val="000000"/>
                      <w:sz w:val="22"/>
                      <w:szCs w:val="22"/>
                      <w:lang w:eastAsia="en-US"/>
                    </w:rPr>
                    <w:t>84.3</w:t>
                  </w:r>
                  <w:r w:rsidRPr="004A1730">
                    <w:rPr>
                      <w:rFonts w:eastAsia="Times New Roman"/>
                      <w:color w:val="000000"/>
                      <w:sz w:val="22"/>
                      <w:szCs w:val="22"/>
                      <w:lang w:eastAsia="en-US"/>
                    </w:rPr>
                    <w:t>)</w:t>
                  </w:r>
                </w:p>
              </w:tc>
              <w:tc>
                <w:tcPr>
                  <w:tcW w:w="1651" w:type="dxa"/>
                </w:tcPr>
                <w:p w14:paraId="1ABE88E3"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3302</w:t>
                  </w:r>
                  <w:r w:rsidRPr="004A1730">
                    <w:rPr>
                      <w:rFonts w:eastAsia="Times New Roman"/>
                      <w:color w:val="000000"/>
                      <w:sz w:val="22"/>
                      <w:szCs w:val="22"/>
                      <w:lang w:eastAsia="en-US"/>
                    </w:rPr>
                    <w:t xml:space="preserve"> (</w:t>
                  </w:r>
                  <w:r>
                    <w:rPr>
                      <w:rFonts w:eastAsia="Times New Roman"/>
                      <w:color w:val="000000"/>
                      <w:sz w:val="22"/>
                      <w:szCs w:val="22"/>
                      <w:lang w:eastAsia="en-US"/>
                    </w:rPr>
                    <w:t>90.7</w:t>
                  </w:r>
                  <w:r w:rsidRPr="004A1730">
                    <w:rPr>
                      <w:rFonts w:eastAsia="Times New Roman"/>
                      <w:color w:val="000000"/>
                      <w:sz w:val="22"/>
                      <w:szCs w:val="22"/>
                      <w:lang w:eastAsia="en-US"/>
                    </w:rPr>
                    <w:t>)</w:t>
                  </w:r>
                </w:p>
              </w:tc>
            </w:tr>
            <w:tr w:rsidR="00C17E58" w:rsidRPr="004A1730" w14:paraId="54D2626A" w14:textId="77777777" w:rsidTr="00C17E58">
              <w:trPr>
                <w:trHeight w:val="352"/>
              </w:trPr>
              <w:tc>
                <w:tcPr>
                  <w:tcW w:w="4456" w:type="dxa"/>
                  <w:shd w:val="clear" w:color="auto" w:fill="auto"/>
                  <w:hideMark/>
                </w:tcPr>
                <w:p w14:paraId="0EBB568D" w14:textId="77777777" w:rsidR="00C17E58" w:rsidRPr="004A1730" w:rsidRDefault="00C17E58" w:rsidP="00C17E58">
                  <w:pPr>
                    <w:rPr>
                      <w:rFonts w:eastAsia="Times New Roman"/>
                      <w:color w:val="000000"/>
                      <w:lang w:eastAsia="en-US"/>
                    </w:rPr>
                  </w:pPr>
                  <w:r w:rsidRPr="004A1730">
                    <w:rPr>
                      <w:rFonts w:eastAsia="Times New Roman"/>
                      <w:color w:val="000000"/>
                      <w:sz w:val="22"/>
                      <w:szCs w:val="22"/>
                      <w:lang w:eastAsia="en-US"/>
                    </w:rPr>
                    <w:t>History Hypertension, n (%)</w:t>
                  </w:r>
                </w:p>
              </w:tc>
              <w:tc>
                <w:tcPr>
                  <w:tcW w:w="1880" w:type="dxa"/>
                  <w:shd w:val="clear" w:color="auto" w:fill="auto"/>
                  <w:hideMark/>
                </w:tcPr>
                <w:p w14:paraId="43F412B3"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18993</w:t>
                  </w:r>
                  <w:r w:rsidRPr="004A1730">
                    <w:rPr>
                      <w:rFonts w:eastAsia="Times New Roman"/>
                      <w:color w:val="000000"/>
                      <w:sz w:val="22"/>
                      <w:szCs w:val="22"/>
                      <w:lang w:eastAsia="en-US"/>
                    </w:rPr>
                    <w:t xml:space="preserve"> (</w:t>
                  </w:r>
                  <w:r>
                    <w:rPr>
                      <w:rFonts w:eastAsia="Times New Roman"/>
                      <w:color w:val="000000"/>
                      <w:sz w:val="22"/>
                      <w:szCs w:val="22"/>
                      <w:lang w:eastAsia="en-US"/>
                    </w:rPr>
                    <w:t>79.4</w:t>
                  </w:r>
                  <w:r w:rsidRPr="004A1730">
                    <w:rPr>
                      <w:rFonts w:eastAsia="Times New Roman"/>
                      <w:color w:val="000000"/>
                      <w:sz w:val="22"/>
                      <w:szCs w:val="22"/>
                      <w:lang w:eastAsia="en-US"/>
                    </w:rPr>
                    <w:t>)</w:t>
                  </w:r>
                </w:p>
              </w:tc>
              <w:tc>
                <w:tcPr>
                  <w:tcW w:w="1651" w:type="dxa"/>
                </w:tcPr>
                <w:p w14:paraId="057E2EB4"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3091</w:t>
                  </w:r>
                  <w:r w:rsidRPr="004A1730">
                    <w:rPr>
                      <w:rFonts w:eastAsia="Times New Roman"/>
                      <w:color w:val="000000"/>
                      <w:sz w:val="22"/>
                      <w:szCs w:val="22"/>
                      <w:lang w:eastAsia="en-US"/>
                    </w:rPr>
                    <w:t xml:space="preserve"> (</w:t>
                  </w:r>
                  <w:r>
                    <w:rPr>
                      <w:rFonts w:eastAsia="Times New Roman"/>
                      <w:color w:val="000000"/>
                      <w:sz w:val="22"/>
                      <w:szCs w:val="22"/>
                      <w:lang w:eastAsia="en-US"/>
                    </w:rPr>
                    <w:t>84.9</w:t>
                  </w:r>
                  <w:r w:rsidRPr="004A1730">
                    <w:rPr>
                      <w:rFonts w:eastAsia="Times New Roman"/>
                      <w:color w:val="000000"/>
                      <w:sz w:val="22"/>
                      <w:szCs w:val="22"/>
                      <w:lang w:eastAsia="en-US"/>
                    </w:rPr>
                    <w:t>)</w:t>
                  </w:r>
                </w:p>
              </w:tc>
            </w:tr>
            <w:tr w:rsidR="00C17E58" w:rsidRPr="004A1730" w14:paraId="78D94BB9" w14:textId="77777777" w:rsidTr="00C17E58">
              <w:trPr>
                <w:trHeight w:val="352"/>
              </w:trPr>
              <w:tc>
                <w:tcPr>
                  <w:tcW w:w="4456" w:type="dxa"/>
                  <w:shd w:val="clear" w:color="auto" w:fill="auto"/>
                  <w:hideMark/>
                </w:tcPr>
                <w:p w14:paraId="26167119" w14:textId="77777777" w:rsidR="00C17E58" w:rsidRPr="004A1730" w:rsidRDefault="00C17E58" w:rsidP="00C17E58">
                  <w:pPr>
                    <w:rPr>
                      <w:rFonts w:eastAsia="Times New Roman"/>
                      <w:color w:val="000000"/>
                      <w:lang w:eastAsia="en-US"/>
                    </w:rPr>
                  </w:pPr>
                  <w:r w:rsidRPr="004A1730">
                    <w:rPr>
                      <w:rFonts w:eastAsia="Times New Roman"/>
                      <w:color w:val="000000"/>
                      <w:sz w:val="22"/>
                      <w:szCs w:val="22"/>
                      <w:lang w:eastAsia="en-US"/>
                    </w:rPr>
                    <w:t>Current Smoker, n (%)</w:t>
                  </w:r>
                </w:p>
              </w:tc>
              <w:tc>
                <w:tcPr>
                  <w:tcW w:w="1880" w:type="dxa"/>
                  <w:shd w:val="clear" w:color="auto" w:fill="auto"/>
                  <w:hideMark/>
                </w:tcPr>
                <w:p w14:paraId="45FD97D6" w14:textId="5CB14E0E" w:rsidR="00C17E58" w:rsidRPr="004A1730" w:rsidRDefault="00921C00" w:rsidP="00921C00">
                  <w:pPr>
                    <w:jc w:val="center"/>
                    <w:rPr>
                      <w:rFonts w:eastAsia="Times New Roman"/>
                      <w:color w:val="000000"/>
                      <w:lang w:eastAsia="en-US"/>
                    </w:rPr>
                  </w:pPr>
                  <w:r>
                    <w:rPr>
                      <w:rFonts w:eastAsia="Times New Roman"/>
                      <w:color w:val="000000"/>
                      <w:sz w:val="22"/>
                      <w:szCs w:val="22"/>
                      <w:lang w:eastAsia="en-US"/>
                    </w:rPr>
                    <w:t>6451</w:t>
                  </w:r>
                  <w:r w:rsidR="00C17E58" w:rsidRPr="004A1730">
                    <w:rPr>
                      <w:rFonts w:eastAsia="Times New Roman"/>
                      <w:color w:val="000000"/>
                      <w:sz w:val="22"/>
                      <w:szCs w:val="22"/>
                      <w:lang w:eastAsia="en-US"/>
                    </w:rPr>
                    <w:t xml:space="preserve"> (</w:t>
                  </w:r>
                  <w:r>
                    <w:rPr>
                      <w:rFonts w:eastAsia="Times New Roman"/>
                      <w:color w:val="000000"/>
                      <w:sz w:val="22"/>
                      <w:szCs w:val="22"/>
                      <w:lang w:eastAsia="en-US"/>
                    </w:rPr>
                    <w:t>27.0</w:t>
                  </w:r>
                  <w:r w:rsidR="00C17E58" w:rsidRPr="004A1730">
                    <w:rPr>
                      <w:rFonts w:eastAsia="Times New Roman"/>
                      <w:color w:val="000000"/>
                      <w:sz w:val="22"/>
                      <w:szCs w:val="22"/>
                      <w:lang w:eastAsia="en-US"/>
                    </w:rPr>
                    <w:t>)</w:t>
                  </w:r>
                </w:p>
              </w:tc>
              <w:tc>
                <w:tcPr>
                  <w:tcW w:w="1651" w:type="dxa"/>
                </w:tcPr>
                <w:p w14:paraId="2CB6B8B9" w14:textId="685D2C94" w:rsidR="00C17E58" w:rsidRPr="004A1730" w:rsidRDefault="00921C00" w:rsidP="00921C00">
                  <w:pPr>
                    <w:jc w:val="center"/>
                    <w:rPr>
                      <w:rFonts w:eastAsia="Times New Roman"/>
                      <w:color w:val="000000"/>
                      <w:lang w:eastAsia="en-US"/>
                    </w:rPr>
                  </w:pPr>
                  <w:r>
                    <w:rPr>
                      <w:rFonts w:eastAsia="Times New Roman"/>
                      <w:color w:val="000000"/>
                      <w:sz w:val="22"/>
                      <w:szCs w:val="22"/>
                      <w:lang w:eastAsia="en-US"/>
                    </w:rPr>
                    <w:t>1326</w:t>
                  </w:r>
                  <w:r w:rsidR="00C17E58">
                    <w:rPr>
                      <w:rFonts w:eastAsia="Times New Roman"/>
                      <w:color w:val="000000"/>
                      <w:sz w:val="22"/>
                      <w:szCs w:val="22"/>
                      <w:lang w:eastAsia="en-US"/>
                    </w:rPr>
                    <w:t xml:space="preserve"> </w:t>
                  </w:r>
                  <w:r w:rsidR="00C17E58" w:rsidRPr="004A1730">
                    <w:rPr>
                      <w:rFonts w:eastAsia="Times New Roman"/>
                      <w:color w:val="000000"/>
                      <w:sz w:val="22"/>
                      <w:szCs w:val="22"/>
                      <w:lang w:eastAsia="en-US"/>
                    </w:rPr>
                    <w:t>(</w:t>
                  </w:r>
                  <w:r>
                    <w:rPr>
                      <w:rFonts w:eastAsia="Times New Roman"/>
                      <w:color w:val="000000"/>
                      <w:sz w:val="22"/>
                      <w:szCs w:val="22"/>
                      <w:lang w:eastAsia="en-US"/>
                    </w:rPr>
                    <w:t>36.4</w:t>
                  </w:r>
                  <w:r w:rsidR="00C17E58" w:rsidRPr="004A1730">
                    <w:rPr>
                      <w:rFonts w:eastAsia="Times New Roman"/>
                      <w:color w:val="000000"/>
                      <w:sz w:val="22"/>
                      <w:szCs w:val="22"/>
                      <w:lang w:eastAsia="en-US"/>
                    </w:rPr>
                    <w:t>)</w:t>
                  </w:r>
                </w:p>
              </w:tc>
            </w:tr>
            <w:tr w:rsidR="00C17E58" w:rsidRPr="004A1730" w14:paraId="78C6DF40" w14:textId="77777777" w:rsidTr="00C17E58">
              <w:trPr>
                <w:trHeight w:val="352"/>
              </w:trPr>
              <w:tc>
                <w:tcPr>
                  <w:tcW w:w="4456" w:type="dxa"/>
                  <w:shd w:val="clear" w:color="auto" w:fill="auto"/>
                  <w:hideMark/>
                </w:tcPr>
                <w:p w14:paraId="433AF317"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Renal Insufficiency</w:t>
                  </w:r>
                  <w:r w:rsidRPr="004A1730">
                    <w:rPr>
                      <w:rFonts w:eastAsia="Times New Roman"/>
                      <w:color w:val="000000"/>
                      <w:sz w:val="22"/>
                      <w:szCs w:val="22"/>
                      <w:lang w:eastAsia="en-US"/>
                    </w:rPr>
                    <w:t>, n (%)</w:t>
                  </w:r>
                </w:p>
              </w:tc>
              <w:tc>
                <w:tcPr>
                  <w:tcW w:w="1880" w:type="dxa"/>
                  <w:shd w:val="clear" w:color="auto" w:fill="auto"/>
                  <w:hideMark/>
                </w:tcPr>
                <w:p w14:paraId="478C8F00"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1323</w:t>
                  </w:r>
                  <w:r w:rsidRPr="004A1730">
                    <w:rPr>
                      <w:rFonts w:eastAsia="Times New Roman"/>
                      <w:color w:val="000000"/>
                      <w:sz w:val="22"/>
                      <w:szCs w:val="22"/>
                      <w:lang w:eastAsia="en-US"/>
                    </w:rPr>
                    <w:t xml:space="preserve"> (</w:t>
                  </w:r>
                  <w:r>
                    <w:rPr>
                      <w:rFonts w:eastAsia="Times New Roman"/>
                      <w:color w:val="000000"/>
                      <w:sz w:val="22"/>
                      <w:szCs w:val="22"/>
                      <w:lang w:eastAsia="en-US"/>
                    </w:rPr>
                    <w:t>5.5</w:t>
                  </w:r>
                  <w:r w:rsidRPr="004A1730">
                    <w:rPr>
                      <w:rFonts w:eastAsia="Times New Roman"/>
                      <w:color w:val="000000"/>
                      <w:sz w:val="22"/>
                      <w:szCs w:val="22"/>
                      <w:lang w:eastAsia="en-US"/>
                    </w:rPr>
                    <w:t>)</w:t>
                  </w:r>
                </w:p>
              </w:tc>
              <w:tc>
                <w:tcPr>
                  <w:tcW w:w="1651" w:type="dxa"/>
                </w:tcPr>
                <w:p w14:paraId="7656BE13"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340</w:t>
                  </w:r>
                  <w:r w:rsidRPr="004A1730">
                    <w:rPr>
                      <w:rFonts w:eastAsia="Times New Roman"/>
                      <w:color w:val="000000"/>
                      <w:sz w:val="22"/>
                      <w:szCs w:val="22"/>
                      <w:lang w:eastAsia="en-US"/>
                    </w:rPr>
                    <w:t xml:space="preserve"> (</w:t>
                  </w:r>
                  <w:r>
                    <w:rPr>
                      <w:rFonts w:eastAsia="Times New Roman"/>
                      <w:color w:val="000000"/>
                      <w:sz w:val="22"/>
                      <w:szCs w:val="22"/>
                      <w:lang w:eastAsia="en-US"/>
                    </w:rPr>
                    <w:t>9.3</w:t>
                  </w:r>
                  <w:r w:rsidRPr="004A1730">
                    <w:rPr>
                      <w:rFonts w:eastAsia="Times New Roman"/>
                      <w:color w:val="000000"/>
                      <w:sz w:val="22"/>
                      <w:szCs w:val="22"/>
                      <w:lang w:eastAsia="en-US"/>
                    </w:rPr>
                    <w:t>)</w:t>
                  </w:r>
                </w:p>
              </w:tc>
            </w:tr>
            <w:tr w:rsidR="00C17E58" w:rsidRPr="004A1730" w14:paraId="3628C50A" w14:textId="77777777" w:rsidTr="00C17E58">
              <w:trPr>
                <w:trHeight w:val="352"/>
              </w:trPr>
              <w:tc>
                <w:tcPr>
                  <w:tcW w:w="4456" w:type="dxa"/>
                  <w:shd w:val="clear" w:color="auto" w:fill="auto"/>
                </w:tcPr>
                <w:p w14:paraId="006FA04D"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History of Atrial Fibrillation, n (%)</w:t>
                  </w:r>
                </w:p>
              </w:tc>
              <w:tc>
                <w:tcPr>
                  <w:tcW w:w="1880" w:type="dxa"/>
                  <w:shd w:val="clear" w:color="auto" w:fill="auto"/>
                </w:tcPr>
                <w:p w14:paraId="55655BCD" w14:textId="77777777" w:rsidR="00C17E58" w:rsidRDefault="00C17E58" w:rsidP="00C17E58">
                  <w:pPr>
                    <w:jc w:val="center"/>
                    <w:rPr>
                      <w:rFonts w:eastAsia="Times New Roman"/>
                      <w:color w:val="000000"/>
                      <w:lang w:eastAsia="en-US"/>
                    </w:rPr>
                  </w:pPr>
                  <w:r>
                    <w:rPr>
                      <w:rFonts w:eastAsia="Times New Roman"/>
                      <w:color w:val="000000"/>
                      <w:sz w:val="22"/>
                      <w:szCs w:val="22"/>
                      <w:lang w:eastAsia="en-US"/>
                    </w:rPr>
                    <w:t>2022 (8.5)</w:t>
                  </w:r>
                </w:p>
              </w:tc>
              <w:tc>
                <w:tcPr>
                  <w:tcW w:w="1651" w:type="dxa"/>
                </w:tcPr>
                <w:p w14:paraId="2C7F994C" w14:textId="77777777" w:rsidR="00C17E58" w:rsidRDefault="00C17E58" w:rsidP="00C17E58">
                  <w:pPr>
                    <w:jc w:val="center"/>
                    <w:rPr>
                      <w:rFonts w:eastAsia="Times New Roman"/>
                      <w:color w:val="000000"/>
                      <w:lang w:eastAsia="en-US"/>
                    </w:rPr>
                  </w:pPr>
                  <w:r>
                    <w:rPr>
                      <w:rFonts w:eastAsia="Times New Roman"/>
                      <w:color w:val="000000"/>
                      <w:sz w:val="22"/>
                      <w:szCs w:val="22"/>
                      <w:lang w:eastAsia="en-US"/>
                    </w:rPr>
                    <w:t>320 (8.8)</w:t>
                  </w:r>
                </w:p>
              </w:tc>
            </w:tr>
            <w:tr w:rsidR="00C17E58" w:rsidRPr="004A1730" w14:paraId="71BDCC88" w14:textId="77777777" w:rsidTr="00C17E58">
              <w:trPr>
                <w:trHeight w:val="352"/>
              </w:trPr>
              <w:tc>
                <w:tcPr>
                  <w:tcW w:w="4456" w:type="dxa"/>
                  <w:shd w:val="clear" w:color="auto" w:fill="auto"/>
                  <w:hideMark/>
                </w:tcPr>
                <w:p w14:paraId="551BCE99" w14:textId="77777777" w:rsidR="00C17E58" w:rsidRPr="00921C00" w:rsidRDefault="00C17E58" w:rsidP="00C17E58">
                  <w:pPr>
                    <w:rPr>
                      <w:rFonts w:eastAsia="Times New Roman"/>
                      <w:color w:val="000000"/>
                      <w:sz w:val="22"/>
                      <w:szCs w:val="22"/>
                      <w:lang w:eastAsia="en-US"/>
                    </w:rPr>
                  </w:pPr>
                  <w:r w:rsidRPr="00921C00">
                    <w:rPr>
                      <w:rFonts w:eastAsia="Times New Roman"/>
                      <w:color w:val="000000"/>
                      <w:sz w:val="22"/>
                      <w:szCs w:val="22"/>
                      <w:lang w:eastAsia="en-US"/>
                    </w:rPr>
                    <w:t>History of Diabetes, n (%)</w:t>
                  </w:r>
                </w:p>
              </w:tc>
              <w:tc>
                <w:tcPr>
                  <w:tcW w:w="1880" w:type="dxa"/>
                  <w:shd w:val="clear" w:color="auto" w:fill="auto"/>
                  <w:hideMark/>
                </w:tcPr>
                <w:p w14:paraId="26D1A5BD"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8501</w:t>
                  </w:r>
                  <w:r w:rsidRPr="004A1730">
                    <w:rPr>
                      <w:rFonts w:eastAsia="Times New Roman"/>
                      <w:color w:val="000000"/>
                      <w:sz w:val="22"/>
                      <w:szCs w:val="22"/>
                      <w:lang w:eastAsia="en-US"/>
                    </w:rPr>
                    <w:t xml:space="preserve"> (</w:t>
                  </w:r>
                  <w:r>
                    <w:rPr>
                      <w:rFonts w:eastAsia="Times New Roman"/>
                      <w:color w:val="000000"/>
                      <w:sz w:val="22"/>
                      <w:szCs w:val="22"/>
                      <w:lang w:eastAsia="en-US"/>
                    </w:rPr>
                    <w:t>35.5</w:t>
                  </w:r>
                  <w:r w:rsidRPr="004A1730">
                    <w:rPr>
                      <w:rFonts w:eastAsia="Times New Roman"/>
                      <w:color w:val="000000"/>
                      <w:sz w:val="22"/>
                      <w:szCs w:val="22"/>
                      <w:lang w:eastAsia="en-US"/>
                    </w:rPr>
                    <w:t>)</w:t>
                  </w:r>
                </w:p>
              </w:tc>
              <w:tc>
                <w:tcPr>
                  <w:tcW w:w="1651" w:type="dxa"/>
                </w:tcPr>
                <w:p w14:paraId="53D01B8D"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1580</w:t>
                  </w:r>
                  <w:r w:rsidRPr="004A1730">
                    <w:rPr>
                      <w:rFonts w:eastAsia="Times New Roman"/>
                      <w:color w:val="000000"/>
                      <w:sz w:val="22"/>
                      <w:szCs w:val="22"/>
                      <w:lang w:eastAsia="en-US"/>
                    </w:rPr>
                    <w:t xml:space="preserve"> (</w:t>
                  </w:r>
                  <w:r>
                    <w:rPr>
                      <w:rFonts w:eastAsia="Times New Roman"/>
                      <w:color w:val="000000"/>
                      <w:sz w:val="22"/>
                      <w:szCs w:val="22"/>
                      <w:lang w:eastAsia="en-US"/>
                    </w:rPr>
                    <w:t>43.4</w:t>
                  </w:r>
                  <w:r w:rsidRPr="004A1730">
                    <w:rPr>
                      <w:rFonts w:eastAsia="Times New Roman"/>
                      <w:color w:val="000000"/>
                      <w:sz w:val="22"/>
                      <w:szCs w:val="22"/>
                      <w:lang w:eastAsia="en-US"/>
                    </w:rPr>
                    <w:t>)</w:t>
                  </w:r>
                </w:p>
              </w:tc>
            </w:tr>
            <w:tr w:rsidR="00C17E58" w:rsidRPr="004A1730" w14:paraId="6B94E2D3" w14:textId="77777777" w:rsidTr="00C17E58">
              <w:trPr>
                <w:trHeight w:val="352"/>
              </w:trPr>
              <w:tc>
                <w:tcPr>
                  <w:tcW w:w="4456" w:type="dxa"/>
                  <w:shd w:val="clear" w:color="auto" w:fill="auto"/>
                </w:tcPr>
                <w:p w14:paraId="195C7538" w14:textId="77777777" w:rsidR="00C17E58" w:rsidRPr="00921C00" w:rsidRDefault="00C17E58" w:rsidP="00C17E58">
                  <w:pPr>
                    <w:rPr>
                      <w:rFonts w:eastAsia="Times New Roman"/>
                      <w:color w:val="000000"/>
                      <w:sz w:val="22"/>
                      <w:szCs w:val="22"/>
                      <w:lang w:eastAsia="en-US"/>
                    </w:rPr>
                  </w:pPr>
                  <w:r w:rsidRPr="00921C00">
                    <w:rPr>
                      <w:rFonts w:eastAsia="Times New Roman"/>
                      <w:color w:val="000000"/>
                      <w:sz w:val="22"/>
                      <w:szCs w:val="22"/>
                      <w:lang w:eastAsia="en-US"/>
                    </w:rPr>
                    <w:t>History of Stroke/TIA, n (%)</w:t>
                  </w:r>
                </w:p>
              </w:tc>
              <w:tc>
                <w:tcPr>
                  <w:tcW w:w="1880" w:type="dxa"/>
                  <w:shd w:val="clear" w:color="auto" w:fill="auto"/>
                </w:tcPr>
                <w:p w14:paraId="0B09A9E8"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5101 (21.3)</w:t>
                  </w:r>
                </w:p>
              </w:tc>
              <w:tc>
                <w:tcPr>
                  <w:tcW w:w="1651" w:type="dxa"/>
                </w:tcPr>
                <w:p w14:paraId="0CC7E47A"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685 (18.8)</w:t>
                  </w:r>
                </w:p>
              </w:tc>
            </w:tr>
            <w:tr w:rsidR="00C17E58" w:rsidRPr="004A1730" w14:paraId="6782B7F8" w14:textId="77777777" w:rsidTr="00C17E58">
              <w:trPr>
                <w:trHeight w:val="352"/>
              </w:trPr>
              <w:tc>
                <w:tcPr>
                  <w:tcW w:w="4456" w:type="dxa"/>
                  <w:shd w:val="clear" w:color="auto" w:fill="auto"/>
                </w:tcPr>
                <w:p w14:paraId="49CEB5EF" w14:textId="77777777" w:rsidR="00C17E58" w:rsidRPr="00921C00" w:rsidRDefault="00C17E58" w:rsidP="00C17E58">
                  <w:pPr>
                    <w:rPr>
                      <w:rFonts w:eastAsia="Times New Roman"/>
                      <w:color w:val="000000"/>
                      <w:sz w:val="22"/>
                      <w:szCs w:val="22"/>
                      <w:lang w:eastAsia="en-US"/>
                    </w:rPr>
                  </w:pPr>
                  <w:r w:rsidRPr="00921C00">
                    <w:rPr>
                      <w:rFonts w:eastAsia="Times New Roman"/>
                      <w:color w:val="000000"/>
                      <w:sz w:val="22"/>
                      <w:szCs w:val="22"/>
                      <w:lang w:eastAsia="en-US"/>
                    </w:rPr>
                    <w:t>History of Myocardial Infarction, n (%)</w:t>
                  </w:r>
                </w:p>
              </w:tc>
              <w:tc>
                <w:tcPr>
                  <w:tcW w:w="1880" w:type="dxa"/>
                  <w:shd w:val="clear" w:color="auto" w:fill="auto"/>
                </w:tcPr>
                <w:p w14:paraId="1A266047"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20539 (85.9)</w:t>
                  </w:r>
                </w:p>
              </w:tc>
              <w:tc>
                <w:tcPr>
                  <w:tcW w:w="1651" w:type="dxa"/>
                </w:tcPr>
                <w:p w14:paraId="4D483E16"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1812 (49.8)</w:t>
                  </w:r>
                </w:p>
              </w:tc>
            </w:tr>
            <w:tr w:rsidR="00C17E58" w:rsidRPr="004A1730" w14:paraId="440D945F" w14:textId="77777777" w:rsidTr="00C17E58">
              <w:trPr>
                <w:trHeight w:val="352"/>
              </w:trPr>
              <w:tc>
                <w:tcPr>
                  <w:tcW w:w="4456" w:type="dxa"/>
                  <w:shd w:val="clear" w:color="auto" w:fill="auto"/>
                </w:tcPr>
                <w:p w14:paraId="1CD8871A" w14:textId="77777777" w:rsidR="00C17E58" w:rsidRPr="00921C00" w:rsidRDefault="00C17E58" w:rsidP="00C17E58">
                  <w:pPr>
                    <w:rPr>
                      <w:rFonts w:eastAsia="Times New Roman"/>
                      <w:color w:val="000000"/>
                      <w:sz w:val="22"/>
                      <w:szCs w:val="22"/>
                      <w:lang w:eastAsia="en-US"/>
                    </w:rPr>
                  </w:pPr>
                  <w:r w:rsidRPr="00921C00">
                    <w:rPr>
                      <w:rFonts w:eastAsia="Times New Roman"/>
                      <w:color w:val="000000"/>
                      <w:sz w:val="22"/>
                      <w:szCs w:val="22"/>
                      <w:lang w:eastAsia="en-US"/>
                    </w:rPr>
                    <w:t>History of CHF, n (%)</w:t>
                  </w:r>
                </w:p>
              </w:tc>
              <w:tc>
                <w:tcPr>
                  <w:tcW w:w="1880" w:type="dxa"/>
                  <w:shd w:val="clear" w:color="auto" w:fill="auto"/>
                </w:tcPr>
                <w:p w14:paraId="39C3BA66"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5625 (23.5)</w:t>
                  </w:r>
                </w:p>
              </w:tc>
              <w:tc>
                <w:tcPr>
                  <w:tcW w:w="1651" w:type="dxa"/>
                </w:tcPr>
                <w:p w14:paraId="24D2BF9C"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769 (21.1)</w:t>
                  </w:r>
                </w:p>
              </w:tc>
            </w:tr>
            <w:tr w:rsidR="00C17E58" w:rsidRPr="004A1730" w14:paraId="3B0AF8A1" w14:textId="77777777" w:rsidTr="00C17E58">
              <w:trPr>
                <w:trHeight w:val="352"/>
              </w:trPr>
              <w:tc>
                <w:tcPr>
                  <w:tcW w:w="4456" w:type="dxa"/>
                  <w:shd w:val="clear" w:color="auto" w:fill="auto"/>
                  <w:hideMark/>
                </w:tcPr>
                <w:p w14:paraId="5801CC0A" w14:textId="77777777" w:rsidR="00C17E58" w:rsidRPr="00921C00" w:rsidRDefault="00C17E58" w:rsidP="00C17E58">
                  <w:pPr>
                    <w:rPr>
                      <w:rFonts w:eastAsia="Times New Roman"/>
                      <w:color w:val="000000"/>
                      <w:sz w:val="22"/>
                      <w:szCs w:val="22"/>
                      <w:lang w:eastAsia="en-US"/>
                    </w:rPr>
                  </w:pPr>
                  <w:r w:rsidRPr="00921C00">
                    <w:rPr>
                      <w:rFonts w:eastAsia="Times New Roman"/>
                      <w:color w:val="000000"/>
                      <w:sz w:val="22"/>
                      <w:szCs w:val="22"/>
                      <w:lang w:eastAsia="en-US"/>
                    </w:rPr>
                    <w:t>Prior CABG, n (%)</w:t>
                  </w:r>
                </w:p>
              </w:tc>
              <w:tc>
                <w:tcPr>
                  <w:tcW w:w="1880" w:type="dxa"/>
                  <w:shd w:val="clear" w:color="auto" w:fill="auto"/>
                  <w:hideMark/>
                </w:tcPr>
                <w:p w14:paraId="57FD7911"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4387 (18.4)</w:t>
                  </w:r>
                </w:p>
              </w:tc>
              <w:tc>
                <w:tcPr>
                  <w:tcW w:w="1651" w:type="dxa"/>
                </w:tcPr>
                <w:p w14:paraId="321A6E6C" w14:textId="77777777" w:rsidR="00C17E58" w:rsidRPr="00921C00" w:rsidRDefault="00C17E58" w:rsidP="00C17E58">
                  <w:pPr>
                    <w:jc w:val="center"/>
                    <w:rPr>
                      <w:rFonts w:eastAsia="Times New Roman"/>
                      <w:color w:val="000000"/>
                      <w:sz w:val="22"/>
                      <w:szCs w:val="22"/>
                      <w:lang w:eastAsia="en-US"/>
                    </w:rPr>
                  </w:pPr>
                  <w:r w:rsidRPr="00921C00">
                    <w:rPr>
                      <w:rFonts w:eastAsia="Times New Roman"/>
                      <w:color w:val="000000"/>
                      <w:sz w:val="22"/>
                      <w:szCs w:val="22"/>
                      <w:lang w:eastAsia="en-US"/>
                    </w:rPr>
                    <w:t>839 (23.0)</w:t>
                  </w:r>
                </w:p>
              </w:tc>
            </w:tr>
            <w:tr w:rsidR="00C17E58" w:rsidRPr="004A1730" w14:paraId="3AC6D8A0" w14:textId="77777777" w:rsidTr="00C17E58">
              <w:trPr>
                <w:trHeight w:val="352"/>
              </w:trPr>
              <w:tc>
                <w:tcPr>
                  <w:tcW w:w="4456" w:type="dxa"/>
                  <w:shd w:val="clear" w:color="auto" w:fill="auto"/>
                  <w:hideMark/>
                </w:tcPr>
                <w:p w14:paraId="2EF118B3" w14:textId="77777777" w:rsidR="00C17E58" w:rsidRPr="00921C00" w:rsidRDefault="00C17E58" w:rsidP="00C17E58">
                  <w:pPr>
                    <w:rPr>
                      <w:rFonts w:eastAsia="Times New Roman"/>
                      <w:color w:val="000000"/>
                      <w:sz w:val="22"/>
                      <w:szCs w:val="22"/>
                      <w:lang w:eastAsia="en-US"/>
                    </w:rPr>
                  </w:pPr>
                  <w:r w:rsidRPr="00921C00">
                    <w:rPr>
                      <w:rFonts w:eastAsia="Times New Roman"/>
                      <w:color w:val="000000"/>
                      <w:sz w:val="22"/>
                      <w:szCs w:val="22"/>
                      <w:lang w:eastAsia="en-US"/>
                    </w:rPr>
                    <w:t>History of PCI, n (%)</w:t>
                  </w:r>
                </w:p>
              </w:tc>
              <w:tc>
                <w:tcPr>
                  <w:tcW w:w="1880" w:type="dxa"/>
                  <w:shd w:val="clear" w:color="auto" w:fill="auto"/>
                  <w:hideMark/>
                </w:tcPr>
                <w:p w14:paraId="724D4731"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14029</w:t>
                  </w:r>
                  <w:r w:rsidRPr="004A1730">
                    <w:rPr>
                      <w:rFonts w:eastAsia="Times New Roman"/>
                      <w:color w:val="000000"/>
                      <w:sz w:val="22"/>
                      <w:szCs w:val="22"/>
                      <w:lang w:eastAsia="en-US"/>
                    </w:rPr>
                    <w:t xml:space="preserve"> (</w:t>
                  </w:r>
                  <w:r>
                    <w:rPr>
                      <w:rFonts w:eastAsia="Times New Roman"/>
                      <w:color w:val="000000"/>
                      <w:sz w:val="22"/>
                      <w:szCs w:val="22"/>
                      <w:lang w:eastAsia="en-US"/>
                    </w:rPr>
                    <w:t>58.7</w:t>
                  </w:r>
                  <w:r w:rsidRPr="004A1730">
                    <w:rPr>
                      <w:rFonts w:eastAsia="Times New Roman"/>
                      <w:color w:val="000000"/>
                      <w:sz w:val="22"/>
                      <w:szCs w:val="22"/>
                      <w:lang w:eastAsia="en-US"/>
                    </w:rPr>
                    <w:t>)</w:t>
                  </w:r>
                </w:p>
              </w:tc>
              <w:tc>
                <w:tcPr>
                  <w:tcW w:w="1651" w:type="dxa"/>
                </w:tcPr>
                <w:p w14:paraId="19B11D89"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1444</w:t>
                  </w:r>
                  <w:r w:rsidRPr="004A1730">
                    <w:rPr>
                      <w:rFonts w:eastAsia="Times New Roman"/>
                      <w:color w:val="000000"/>
                      <w:sz w:val="22"/>
                      <w:szCs w:val="22"/>
                      <w:lang w:eastAsia="en-US"/>
                    </w:rPr>
                    <w:t xml:space="preserve"> (</w:t>
                  </w:r>
                  <w:r>
                    <w:rPr>
                      <w:rFonts w:eastAsia="Times New Roman"/>
                      <w:color w:val="000000"/>
                      <w:sz w:val="22"/>
                      <w:szCs w:val="22"/>
                      <w:lang w:eastAsia="en-US"/>
                    </w:rPr>
                    <w:t>39.7</w:t>
                  </w:r>
                  <w:r w:rsidRPr="004A1730">
                    <w:rPr>
                      <w:rFonts w:eastAsia="Times New Roman"/>
                      <w:color w:val="000000"/>
                      <w:sz w:val="22"/>
                      <w:szCs w:val="22"/>
                      <w:lang w:eastAsia="en-US"/>
                    </w:rPr>
                    <w:t>)</w:t>
                  </w:r>
                </w:p>
              </w:tc>
            </w:tr>
            <w:tr w:rsidR="00C17E58" w:rsidRPr="004A1730" w14:paraId="2FD7935F" w14:textId="77777777" w:rsidTr="00C17E58">
              <w:trPr>
                <w:trHeight w:val="352"/>
              </w:trPr>
              <w:tc>
                <w:tcPr>
                  <w:tcW w:w="4456" w:type="dxa"/>
                  <w:shd w:val="clear" w:color="auto" w:fill="auto"/>
                </w:tcPr>
                <w:p w14:paraId="79715361" w14:textId="77777777" w:rsidR="00C17E58" w:rsidRPr="00EB4052" w:rsidRDefault="00C17E58" w:rsidP="00C17E58">
                  <w:pPr>
                    <w:rPr>
                      <w:rFonts w:eastAsia="Times New Roman"/>
                      <w:b/>
                      <w:i/>
                      <w:color w:val="000000"/>
                      <w:lang w:eastAsia="en-US"/>
                    </w:rPr>
                  </w:pPr>
                  <w:r w:rsidRPr="00EB4052">
                    <w:rPr>
                      <w:rFonts w:eastAsia="Times New Roman"/>
                      <w:b/>
                      <w:i/>
                      <w:color w:val="000000"/>
                      <w:sz w:val="22"/>
                      <w:szCs w:val="22"/>
                      <w:lang w:eastAsia="en-US"/>
                    </w:rPr>
                    <w:t>Peripheral Artery Disease History</w:t>
                  </w:r>
                </w:p>
              </w:tc>
              <w:tc>
                <w:tcPr>
                  <w:tcW w:w="1880" w:type="dxa"/>
                  <w:shd w:val="clear" w:color="auto" w:fill="auto"/>
                </w:tcPr>
                <w:p w14:paraId="0B98A79A" w14:textId="77777777" w:rsidR="00C17E58" w:rsidRDefault="00C17E58" w:rsidP="00C17E58">
                  <w:pPr>
                    <w:jc w:val="center"/>
                    <w:rPr>
                      <w:rFonts w:eastAsia="Times New Roman"/>
                      <w:color w:val="000000"/>
                      <w:lang w:eastAsia="en-US"/>
                    </w:rPr>
                  </w:pPr>
                </w:p>
              </w:tc>
              <w:tc>
                <w:tcPr>
                  <w:tcW w:w="1651" w:type="dxa"/>
                </w:tcPr>
                <w:p w14:paraId="7A62800E" w14:textId="77777777" w:rsidR="00C17E58" w:rsidRPr="004A1730" w:rsidRDefault="00C17E58" w:rsidP="00C17E58">
                  <w:pPr>
                    <w:tabs>
                      <w:tab w:val="center" w:pos="362"/>
                    </w:tabs>
                    <w:jc w:val="center"/>
                    <w:rPr>
                      <w:rFonts w:eastAsia="Times New Roman"/>
                      <w:color w:val="000000"/>
                      <w:lang w:eastAsia="en-US"/>
                    </w:rPr>
                  </w:pPr>
                </w:p>
              </w:tc>
            </w:tr>
            <w:tr w:rsidR="00C17E58" w:rsidRPr="004A1730" w14:paraId="20A883B4" w14:textId="77777777" w:rsidTr="00C17E58">
              <w:trPr>
                <w:trHeight w:val="352"/>
              </w:trPr>
              <w:tc>
                <w:tcPr>
                  <w:tcW w:w="4456" w:type="dxa"/>
                  <w:shd w:val="clear" w:color="auto" w:fill="auto"/>
                </w:tcPr>
                <w:p w14:paraId="7C3D67C5" w14:textId="77777777" w:rsidR="00C17E58" w:rsidRDefault="00C17E58" w:rsidP="00C17E58">
                  <w:pPr>
                    <w:rPr>
                      <w:rFonts w:eastAsia="Times New Roman"/>
                      <w:color w:val="000000"/>
                      <w:lang w:eastAsia="en-US"/>
                    </w:rPr>
                  </w:pPr>
                  <w:r>
                    <w:rPr>
                      <w:rFonts w:eastAsia="Times New Roman"/>
                      <w:color w:val="000000"/>
                      <w:sz w:val="22"/>
                      <w:szCs w:val="22"/>
                      <w:lang w:eastAsia="en-US"/>
                    </w:rPr>
                    <w:t>Symptomatic Peripheral Artery Disease and no prior MI or Stroke</w:t>
                  </w:r>
                </w:p>
              </w:tc>
              <w:tc>
                <w:tcPr>
                  <w:tcW w:w="1880" w:type="dxa"/>
                  <w:shd w:val="clear" w:color="auto" w:fill="auto"/>
                </w:tcPr>
                <w:p w14:paraId="5AC2DC9D" w14:textId="77777777" w:rsidR="00C17E58" w:rsidRDefault="00C17E58" w:rsidP="00C17E58">
                  <w:pPr>
                    <w:jc w:val="center"/>
                    <w:rPr>
                      <w:rFonts w:eastAsia="Times New Roman"/>
                      <w:color w:val="000000"/>
                      <w:lang w:eastAsia="en-US"/>
                    </w:rPr>
                  </w:pPr>
                  <w:r>
                    <w:rPr>
                      <w:rFonts w:eastAsia="Times New Roman"/>
                      <w:color w:val="000000"/>
                      <w:sz w:val="22"/>
                      <w:szCs w:val="22"/>
                      <w:lang w:eastAsia="en-US"/>
                    </w:rPr>
                    <w:t>0</w:t>
                  </w:r>
                </w:p>
              </w:tc>
              <w:tc>
                <w:tcPr>
                  <w:tcW w:w="1651" w:type="dxa"/>
                </w:tcPr>
                <w:p w14:paraId="00964A2E" w14:textId="77777777" w:rsidR="00C17E58" w:rsidRDefault="00C17E58" w:rsidP="00C17E58">
                  <w:pPr>
                    <w:tabs>
                      <w:tab w:val="center" w:pos="362"/>
                    </w:tabs>
                    <w:jc w:val="center"/>
                    <w:rPr>
                      <w:rFonts w:eastAsia="Times New Roman"/>
                      <w:color w:val="000000"/>
                      <w:lang w:eastAsia="en-US"/>
                    </w:rPr>
                  </w:pPr>
                  <w:r>
                    <w:rPr>
                      <w:rFonts w:eastAsia="Times New Roman"/>
                      <w:color w:val="000000"/>
                      <w:sz w:val="22"/>
                      <w:szCs w:val="22"/>
                      <w:lang w:eastAsia="en-US"/>
                    </w:rPr>
                    <w:t>1505 (41.3)</w:t>
                  </w:r>
                </w:p>
              </w:tc>
            </w:tr>
            <w:tr w:rsidR="00C17E58" w:rsidRPr="004A1730" w14:paraId="6BD0D0A1" w14:textId="77777777" w:rsidTr="00C17E58">
              <w:trPr>
                <w:trHeight w:val="352"/>
              </w:trPr>
              <w:tc>
                <w:tcPr>
                  <w:tcW w:w="4456" w:type="dxa"/>
                  <w:shd w:val="clear" w:color="auto" w:fill="auto"/>
                </w:tcPr>
                <w:p w14:paraId="7BD164AF" w14:textId="77777777" w:rsidR="00C17E58" w:rsidRDefault="00C17E58" w:rsidP="00C17E58">
                  <w:pPr>
                    <w:rPr>
                      <w:rFonts w:eastAsia="Times New Roman"/>
                      <w:color w:val="000000"/>
                      <w:lang w:eastAsia="en-US"/>
                    </w:rPr>
                  </w:pPr>
                  <w:r>
                    <w:rPr>
                      <w:rFonts w:eastAsia="Times New Roman"/>
                      <w:color w:val="000000"/>
                      <w:sz w:val="22"/>
                      <w:szCs w:val="22"/>
                      <w:lang w:eastAsia="en-US"/>
                    </w:rPr>
                    <w:t xml:space="preserve">Current intermittent claudication &amp; </w:t>
                  </w:r>
                </w:p>
                <w:p w14:paraId="2B10802E"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ABI &lt; 0.85, n (%)</w:t>
                  </w:r>
                </w:p>
              </w:tc>
              <w:tc>
                <w:tcPr>
                  <w:tcW w:w="1880" w:type="dxa"/>
                  <w:shd w:val="clear" w:color="auto" w:fill="auto"/>
                </w:tcPr>
                <w:p w14:paraId="3312247A" w14:textId="77777777" w:rsidR="00C17E58" w:rsidRDefault="00C17E58" w:rsidP="00C17E58">
                  <w:pPr>
                    <w:jc w:val="center"/>
                    <w:rPr>
                      <w:rFonts w:eastAsia="Times New Roman"/>
                      <w:color w:val="000000"/>
                      <w:lang w:eastAsia="en-US"/>
                    </w:rPr>
                  </w:pPr>
                  <w:r>
                    <w:rPr>
                      <w:rFonts w:eastAsia="Times New Roman"/>
                      <w:color w:val="000000"/>
                      <w:sz w:val="22"/>
                      <w:szCs w:val="22"/>
                      <w:lang w:eastAsia="en-US"/>
                    </w:rPr>
                    <w:t>0</w:t>
                  </w:r>
                </w:p>
              </w:tc>
              <w:tc>
                <w:tcPr>
                  <w:tcW w:w="1651" w:type="dxa"/>
                </w:tcPr>
                <w:p w14:paraId="5A0E25E6" w14:textId="77777777" w:rsidR="00C17E58" w:rsidRDefault="00C17E58" w:rsidP="00C17E58">
                  <w:pPr>
                    <w:tabs>
                      <w:tab w:val="center" w:pos="362"/>
                    </w:tabs>
                    <w:jc w:val="center"/>
                    <w:rPr>
                      <w:rFonts w:eastAsia="Times New Roman"/>
                      <w:color w:val="000000"/>
                      <w:lang w:eastAsia="en-US"/>
                    </w:rPr>
                  </w:pPr>
                  <w:r>
                    <w:rPr>
                      <w:rFonts w:eastAsia="Times New Roman"/>
                      <w:color w:val="000000"/>
                      <w:sz w:val="22"/>
                      <w:szCs w:val="22"/>
                      <w:lang w:eastAsia="en-US"/>
                    </w:rPr>
                    <w:t>2518 (69.3)</w:t>
                  </w:r>
                </w:p>
              </w:tc>
            </w:tr>
            <w:tr w:rsidR="00C17E58" w:rsidRPr="004A1730" w14:paraId="06797E6B" w14:textId="77777777" w:rsidTr="00C17E58">
              <w:trPr>
                <w:trHeight w:val="352"/>
              </w:trPr>
              <w:tc>
                <w:tcPr>
                  <w:tcW w:w="4456" w:type="dxa"/>
                  <w:shd w:val="clear" w:color="auto" w:fill="auto"/>
                  <w:hideMark/>
                </w:tcPr>
                <w:p w14:paraId="44E095CB"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 xml:space="preserve">Prior </w:t>
                  </w:r>
                  <w:r w:rsidRPr="004A1730">
                    <w:rPr>
                      <w:rFonts w:eastAsia="Times New Roman"/>
                      <w:color w:val="000000"/>
                      <w:sz w:val="22"/>
                      <w:szCs w:val="22"/>
                      <w:lang w:eastAsia="en-US"/>
                    </w:rPr>
                    <w:t>Peripheral Revascularization, n (%)</w:t>
                  </w:r>
                </w:p>
              </w:tc>
              <w:tc>
                <w:tcPr>
                  <w:tcW w:w="1880" w:type="dxa"/>
                  <w:shd w:val="clear" w:color="auto" w:fill="auto"/>
                  <w:hideMark/>
                </w:tcPr>
                <w:p w14:paraId="76DF5666"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0</w:t>
                  </w:r>
                </w:p>
              </w:tc>
              <w:tc>
                <w:tcPr>
                  <w:tcW w:w="1651" w:type="dxa"/>
                </w:tcPr>
                <w:p w14:paraId="71027619" w14:textId="77777777" w:rsidR="00C17E58" w:rsidRDefault="00C17E58" w:rsidP="00C17E58">
                  <w:pPr>
                    <w:tabs>
                      <w:tab w:val="center" w:pos="362"/>
                    </w:tabs>
                    <w:jc w:val="center"/>
                    <w:rPr>
                      <w:rFonts w:eastAsia="Times New Roman"/>
                      <w:color w:val="000000"/>
                      <w:lang w:eastAsia="en-US"/>
                    </w:rPr>
                  </w:pPr>
                  <w:r>
                    <w:rPr>
                      <w:rFonts w:eastAsia="Times New Roman"/>
                      <w:color w:val="000000"/>
                      <w:sz w:val="22"/>
                      <w:szCs w:val="22"/>
                      <w:lang w:eastAsia="en-US"/>
                    </w:rPr>
                    <w:t>2067</w:t>
                  </w:r>
                  <w:r w:rsidRPr="004A1730">
                    <w:rPr>
                      <w:rFonts w:eastAsia="Times New Roman"/>
                      <w:color w:val="000000"/>
                      <w:sz w:val="22"/>
                      <w:szCs w:val="22"/>
                      <w:lang w:eastAsia="en-US"/>
                    </w:rPr>
                    <w:t xml:space="preserve"> (</w:t>
                  </w:r>
                  <w:r>
                    <w:rPr>
                      <w:rFonts w:eastAsia="Times New Roman"/>
                      <w:color w:val="000000"/>
                      <w:sz w:val="22"/>
                      <w:szCs w:val="22"/>
                      <w:lang w:eastAsia="en-US"/>
                    </w:rPr>
                    <w:t>56.8</w:t>
                  </w:r>
                  <w:r w:rsidRPr="004A1730">
                    <w:rPr>
                      <w:rFonts w:eastAsia="Times New Roman"/>
                      <w:color w:val="000000"/>
                      <w:sz w:val="22"/>
                      <w:szCs w:val="22"/>
                      <w:lang w:eastAsia="en-US"/>
                    </w:rPr>
                    <w:t>)</w:t>
                  </w:r>
                </w:p>
              </w:tc>
            </w:tr>
            <w:tr w:rsidR="00C17E58" w:rsidRPr="004A1730" w14:paraId="7AAC36C8" w14:textId="77777777" w:rsidTr="00C17E58">
              <w:trPr>
                <w:trHeight w:val="352"/>
              </w:trPr>
              <w:tc>
                <w:tcPr>
                  <w:tcW w:w="4456" w:type="dxa"/>
                  <w:shd w:val="clear" w:color="auto" w:fill="auto"/>
                  <w:hideMark/>
                </w:tcPr>
                <w:p w14:paraId="7DF3808C" w14:textId="77777777" w:rsidR="00C17E58" w:rsidRDefault="00C17E58" w:rsidP="00C17E58">
                  <w:pPr>
                    <w:rPr>
                      <w:rFonts w:eastAsia="Times New Roman"/>
                      <w:color w:val="000000"/>
                      <w:lang w:eastAsia="en-US"/>
                    </w:rPr>
                  </w:pPr>
                  <w:r>
                    <w:rPr>
                      <w:rFonts w:eastAsia="Times New Roman"/>
                      <w:color w:val="000000"/>
                      <w:sz w:val="22"/>
                      <w:szCs w:val="22"/>
                      <w:lang w:eastAsia="en-US"/>
                    </w:rPr>
                    <w:t xml:space="preserve">Time from Peripheral Revascularization, </w:t>
                  </w:r>
                </w:p>
                <w:p w14:paraId="0197651D" w14:textId="56D9233B" w:rsidR="00C17E58" w:rsidRPr="004A1730" w:rsidRDefault="00C17E58" w:rsidP="00833A2E">
                  <w:pPr>
                    <w:rPr>
                      <w:rFonts w:eastAsia="Times New Roman"/>
                      <w:color w:val="000000"/>
                      <w:lang w:eastAsia="en-US"/>
                    </w:rPr>
                  </w:pPr>
                  <w:r>
                    <w:rPr>
                      <w:rFonts w:eastAsia="Times New Roman"/>
                      <w:color w:val="000000"/>
                      <w:sz w:val="22"/>
                      <w:szCs w:val="22"/>
                      <w:lang w:eastAsia="en-US"/>
                    </w:rPr>
                    <w:t>years, median (</w:t>
                  </w:r>
                  <w:r w:rsidR="00833A2E">
                    <w:rPr>
                      <w:rFonts w:eastAsia="Times New Roman"/>
                      <w:color w:val="000000"/>
                      <w:sz w:val="22"/>
                      <w:szCs w:val="22"/>
                      <w:lang w:eastAsia="en-US"/>
                    </w:rPr>
                    <w:t>IQR</w:t>
                  </w:r>
                  <w:r>
                    <w:rPr>
                      <w:rFonts w:eastAsia="Times New Roman"/>
                      <w:color w:val="000000"/>
                      <w:sz w:val="22"/>
                      <w:szCs w:val="22"/>
                      <w:lang w:eastAsia="en-US"/>
                    </w:rPr>
                    <w:t>)</w:t>
                  </w:r>
                </w:p>
              </w:tc>
              <w:tc>
                <w:tcPr>
                  <w:tcW w:w="1880" w:type="dxa"/>
                  <w:shd w:val="clear" w:color="auto" w:fill="auto"/>
                  <w:hideMark/>
                </w:tcPr>
                <w:p w14:paraId="280EAC87"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0</w:t>
                  </w:r>
                </w:p>
              </w:tc>
              <w:tc>
                <w:tcPr>
                  <w:tcW w:w="1651" w:type="dxa"/>
                </w:tcPr>
                <w:p w14:paraId="55FD8A37" w14:textId="77777777" w:rsidR="00C17E58" w:rsidRDefault="00C17E58" w:rsidP="00C17E58">
                  <w:pPr>
                    <w:jc w:val="center"/>
                    <w:rPr>
                      <w:rFonts w:eastAsia="Times New Roman"/>
                      <w:color w:val="000000"/>
                      <w:lang w:eastAsia="en-US"/>
                    </w:rPr>
                  </w:pPr>
                  <w:r>
                    <w:rPr>
                      <w:rFonts w:eastAsia="Times New Roman"/>
                      <w:color w:val="000000"/>
                      <w:sz w:val="22"/>
                      <w:szCs w:val="22"/>
                      <w:lang w:eastAsia="en-US"/>
                    </w:rPr>
                    <w:t>3.7 (1.3, 7.8)</w:t>
                  </w:r>
                </w:p>
              </w:tc>
            </w:tr>
            <w:tr w:rsidR="00C17E58" w:rsidRPr="004A1730" w14:paraId="1AA716CE" w14:textId="77777777" w:rsidTr="00C17E58">
              <w:trPr>
                <w:trHeight w:val="352"/>
              </w:trPr>
              <w:tc>
                <w:tcPr>
                  <w:tcW w:w="4456" w:type="dxa"/>
                  <w:shd w:val="clear" w:color="auto" w:fill="auto"/>
                </w:tcPr>
                <w:p w14:paraId="3BBE943D" w14:textId="77777777" w:rsidR="00C17E58" w:rsidRPr="00EB4052" w:rsidRDefault="00C17E58" w:rsidP="00C17E58">
                  <w:pPr>
                    <w:rPr>
                      <w:rFonts w:eastAsia="Times New Roman"/>
                      <w:color w:val="000000"/>
                      <w:lang w:eastAsia="en-US"/>
                    </w:rPr>
                  </w:pPr>
                  <w:r>
                    <w:rPr>
                      <w:rFonts w:eastAsia="Times New Roman"/>
                      <w:color w:val="000000"/>
                      <w:sz w:val="22"/>
                      <w:szCs w:val="22"/>
                      <w:lang w:eastAsia="en-US"/>
                    </w:rPr>
                    <w:t>Limb amputation for vascular cause, n (%)</w:t>
                  </w:r>
                </w:p>
              </w:tc>
              <w:tc>
                <w:tcPr>
                  <w:tcW w:w="1880" w:type="dxa"/>
                  <w:shd w:val="clear" w:color="auto" w:fill="auto"/>
                </w:tcPr>
                <w:p w14:paraId="1949AC1F" w14:textId="77777777" w:rsidR="00C17E58" w:rsidRPr="004A1730" w:rsidRDefault="00C17E58" w:rsidP="00C17E58">
                  <w:pPr>
                    <w:jc w:val="center"/>
                    <w:rPr>
                      <w:rFonts w:eastAsia="Times New Roman"/>
                      <w:color w:val="000000"/>
                      <w:lang w:eastAsia="en-US"/>
                    </w:rPr>
                  </w:pPr>
                  <w:r>
                    <w:rPr>
                      <w:rFonts w:eastAsia="Times New Roman"/>
                      <w:color w:val="000000"/>
                      <w:lang w:eastAsia="en-US"/>
                    </w:rPr>
                    <w:t>0</w:t>
                  </w:r>
                </w:p>
              </w:tc>
              <w:tc>
                <w:tcPr>
                  <w:tcW w:w="1651" w:type="dxa"/>
                </w:tcPr>
                <w:p w14:paraId="3A5CF170" w14:textId="77777777" w:rsidR="00C17E58" w:rsidRPr="00AC55DC" w:rsidRDefault="00C17E58" w:rsidP="00C17E58">
                  <w:pPr>
                    <w:jc w:val="center"/>
                    <w:rPr>
                      <w:rFonts w:eastAsia="Times New Roman"/>
                      <w:color w:val="000000"/>
                      <w:sz w:val="22"/>
                      <w:szCs w:val="22"/>
                      <w:lang w:eastAsia="en-US"/>
                    </w:rPr>
                  </w:pPr>
                  <w:r w:rsidRPr="00AC55DC">
                    <w:rPr>
                      <w:rFonts w:eastAsia="Times New Roman"/>
                      <w:color w:val="000000"/>
                      <w:sz w:val="22"/>
                      <w:szCs w:val="22"/>
                      <w:lang w:eastAsia="en-US"/>
                    </w:rPr>
                    <w:t>126 (3.5)</w:t>
                  </w:r>
                </w:p>
              </w:tc>
            </w:tr>
            <w:tr w:rsidR="00C17E58" w:rsidRPr="004A1730" w14:paraId="77FBCD24" w14:textId="77777777" w:rsidTr="00C17E58">
              <w:trPr>
                <w:trHeight w:val="352"/>
              </w:trPr>
              <w:tc>
                <w:tcPr>
                  <w:tcW w:w="4456" w:type="dxa"/>
                  <w:shd w:val="clear" w:color="auto" w:fill="auto"/>
                </w:tcPr>
                <w:p w14:paraId="17228A65" w14:textId="77777777" w:rsidR="00C17E58" w:rsidRPr="00EB4052" w:rsidRDefault="00C17E58" w:rsidP="00C17E58">
                  <w:pPr>
                    <w:rPr>
                      <w:rFonts w:eastAsia="Times New Roman"/>
                      <w:b/>
                      <w:color w:val="000000"/>
                      <w:lang w:eastAsia="en-US"/>
                    </w:rPr>
                  </w:pPr>
                  <w:r w:rsidRPr="00EB4052">
                    <w:rPr>
                      <w:rFonts w:eastAsia="Times New Roman"/>
                      <w:b/>
                      <w:i/>
                      <w:color w:val="000000"/>
                      <w:sz w:val="22"/>
                      <w:szCs w:val="22"/>
                      <w:lang w:eastAsia="en-US"/>
                    </w:rPr>
                    <w:t>Medications at Baseline</w:t>
                  </w:r>
                </w:p>
              </w:tc>
              <w:tc>
                <w:tcPr>
                  <w:tcW w:w="1880" w:type="dxa"/>
                  <w:shd w:val="clear" w:color="auto" w:fill="auto"/>
                </w:tcPr>
                <w:p w14:paraId="232408F4" w14:textId="77777777" w:rsidR="00C17E58" w:rsidRPr="004A1730" w:rsidRDefault="00C17E58" w:rsidP="00C17E58">
                  <w:pPr>
                    <w:jc w:val="center"/>
                    <w:rPr>
                      <w:rFonts w:eastAsia="Times New Roman"/>
                      <w:color w:val="000000"/>
                      <w:lang w:eastAsia="en-US"/>
                    </w:rPr>
                  </w:pPr>
                </w:p>
              </w:tc>
              <w:tc>
                <w:tcPr>
                  <w:tcW w:w="1651" w:type="dxa"/>
                </w:tcPr>
                <w:p w14:paraId="38783E53" w14:textId="77777777" w:rsidR="00C17E58" w:rsidRPr="004A1730" w:rsidRDefault="00C17E58" w:rsidP="00C17E58">
                  <w:pPr>
                    <w:jc w:val="center"/>
                    <w:rPr>
                      <w:rFonts w:eastAsia="Times New Roman"/>
                      <w:color w:val="000000"/>
                      <w:lang w:eastAsia="en-US"/>
                    </w:rPr>
                  </w:pPr>
                </w:p>
              </w:tc>
            </w:tr>
            <w:tr w:rsidR="00C17E58" w:rsidRPr="004A1730" w14:paraId="3878570B" w14:textId="77777777" w:rsidTr="00C17E58">
              <w:trPr>
                <w:trHeight w:val="352"/>
              </w:trPr>
              <w:tc>
                <w:tcPr>
                  <w:tcW w:w="4456" w:type="dxa"/>
                  <w:shd w:val="clear" w:color="auto" w:fill="auto"/>
                  <w:hideMark/>
                </w:tcPr>
                <w:p w14:paraId="11F9D9DD"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 xml:space="preserve">High Intensity </w:t>
                  </w:r>
                  <w:r w:rsidRPr="004A1730">
                    <w:rPr>
                      <w:rFonts w:eastAsia="Times New Roman"/>
                      <w:color w:val="000000"/>
                      <w:sz w:val="22"/>
                      <w:szCs w:val="22"/>
                      <w:lang w:eastAsia="en-US"/>
                    </w:rPr>
                    <w:t>Statin use at baseline, n (%)</w:t>
                  </w:r>
                </w:p>
              </w:tc>
              <w:tc>
                <w:tcPr>
                  <w:tcW w:w="1880" w:type="dxa"/>
                  <w:shd w:val="clear" w:color="auto" w:fill="auto"/>
                  <w:hideMark/>
                </w:tcPr>
                <w:p w14:paraId="3927A976"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16579</w:t>
                  </w:r>
                  <w:r w:rsidRPr="004A1730">
                    <w:rPr>
                      <w:rFonts w:eastAsia="Times New Roman"/>
                      <w:color w:val="000000"/>
                      <w:sz w:val="22"/>
                      <w:szCs w:val="22"/>
                      <w:lang w:eastAsia="en-US"/>
                    </w:rPr>
                    <w:t xml:space="preserve"> (</w:t>
                  </w:r>
                  <w:r>
                    <w:rPr>
                      <w:rFonts w:eastAsia="Times New Roman"/>
                      <w:color w:val="000000"/>
                      <w:sz w:val="22"/>
                      <w:szCs w:val="22"/>
                      <w:lang w:eastAsia="en-US"/>
                    </w:rPr>
                    <w:t>69.3</w:t>
                  </w:r>
                  <w:r w:rsidRPr="004A1730">
                    <w:rPr>
                      <w:rFonts w:eastAsia="Times New Roman"/>
                      <w:color w:val="000000"/>
                      <w:sz w:val="22"/>
                      <w:szCs w:val="22"/>
                      <w:lang w:eastAsia="en-US"/>
                    </w:rPr>
                    <w:t>)</w:t>
                  </w:r>
                </w:p>
              </w:tc>
              <w:tc>
                <w:tcPr>
                  <w:tcW w:w="1651" w:type="dxa"/>
                </w:tcPr>
                <w:p w14:paraId="419CD3DB"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2524</w:t>
                  </w:r>
                  <w:r w:rsidRPr="004A1730">
                    <w:rPr>
                      <w:rFonts w:eastAsia="Times New Roman"/>
                      <w:color w:val="000000"/>
                      <w:sz w:val="22"/>
                      <w:szCs w:val="22"/>
                      <w:lang w:eastAsia="en-US"/>
                    </w:rPr>
                    <w:t xml:space="preserve"> (</w:t>
                  </w:r>
                  <w:r>
                    <w:rPr>
                      <w:rFonts w:eastAsia="Times New Roman"/>
                      <w:color w:val="000000"/>
                      <w:sz w:val="22"/>
                      <w:szCs w:val="22"/>
                      <w:lang w:eastAsia="en-US"/>
                    </w:rPr>
                    <w:t>69.3</w:t>
                  </w:r>
                  <w:r w:rsidRPr="004A1730">
                    <w:rPr>
                      <w:rFonts w:eastAsia="Times New Roman"/>
                      <w:color w:val="000000"/>
                      <w:sz w:val="22"/>
                      <w:szCs w:val="22"/>
                      <w:lang w:eastAsia="en-US"/>
                    </w:rPr>
                    <w:t>)</w:t>
                  </w:r>
                </w:p>
              </w:tc>
            </w:tr>
            <w:tr w:rsidR="00C17E58" w:rsidRPr="004A1730" w14:paraId="4E6DA6B8" w14:textId="77777777" w:rsidTr="00C17E58">
              <w:trPr>
                <w:trHeight w:val="352"/>
              </w:trPr>
              <w:tc>
                <w:tcPr>
                  <w:tcW w:w="4456" w:type="dxa"/>
                  <w:shd w:val="clear" w:color="auto" w:fill="auto"/>
                </w:tcPr>
                <w:p w14:paraId="7BB01CB4" w14:textId="77777777" w:rsidR="00C17E58" w:rsidRDefault="00C17E58" w:rsidP="00C17E58">
                  <w:pPr>
                    <w:rPr>
                      <w:rFonts w:eastAsia="Times New Roman"/>
                      <w:color w:val="000000"/>
                      <w:sz w:val="22"/>
                      <w:szCs w:val="22"/>
                      <w:lang w:eastAsia="en-US"/>
                    </w:rPr>
                  </w:pPr>
                  <w:r>
                    <w:rPr>
                      <w:rFonts w:eastAsia="Times New Roman"/>
                      <w:color w:val="000000"/>
                      <w:sz w:val="22"/>
                      <w:szCs w:val="22"/>
                      <w:lang w:eastAsia="en-US"/>
                    </w:rPr>
                    <w:t xml:space="preserve">Moderate Intensity </w:t>
                  </w:r>
                  <w:r w:rsidRPr="004A1730">
                    <w:rPr>
                      <w:rFonts w:eastAsia="Times New Roman"/>
                      <w:color w:val="000000"/>
                      <w:sz w:val="22"/>
                      <w:szCs w:val="22"/>
                      <w:lang w:eastAsia="en-US"/>
                    </w:rPr>
                    <w:t>Statin use at baseline, n (%)</w:t>
                  </w:r>
                </w:p>
              </w:tc>
              <w:tc>
                <w:tcPr>
                  <w:tcW w:w="1880" w:type="dxa"/>
                  <w:shd w:val="clear" w:color="auto" w:fill="auto"/>
                </w:tcPr>
                <w:p w14:paraId="2E4A322F" w14:textId="77777777" w:rsidR="00C17E58" w:rsidRDefault="00C17E58" w:rsidP="00C17E58">
                  <w:pPr>
                    <w:jc w:val="center"/>
                    <w:rPr>
                      <w:rFonts w:eastAsia="Times New Roman"/>
                      <w:color w:val="000000"/>
                      <w:sz w:val="22"/>
                      <w:szCs w:val="22"/>
                      <w:lang w:eastAsia="en-US"/>
                    </w:rPr>
                  </w:pPr>
                  <w:r>
                    <w:rPr>
                      <w:rFonts w:eastAsia="Times New Roman"/>
                      <w:color w:val="000000"/>
                      <w:sz w:val="22"/>
                      <w:szCs w:val="22"/>
                      <w:lang w:eastAsia="en-US"/>
                    </w:rPr>
                    <w:t>7282 (30.4)</w:t>
                  </w:r>
                </w:p>
              </w:tc>
              <w:tc>
                <w:tcPr>
                  <w:tcW w:w="1651" w:type="dxa"/>
                </w:tcPr>
                <w:p w14:paraId="6F73F43C" w14:textId="77777777" w:rsidR="00C17E58" w:rsidRDefault="00C17E58" w:rsidP="00C17E58">
                  <w:pPr>
                    <w:jc w:val="center"/>
                    <w:rPr>
                      <w:rFonts w:eastAsia="Times New Roman"/>
                      <w:color w:val="000000"/>
                      <w:sz w:val="22"/>
                      <w:szCs w:val="22"/>
                      <w:lang w:eastAsia="en-US"/>
                    </w:rPr>
                  </w:pPr>
                  <w:r>
                    <w:rPr>
                      <w:rFonts w:eastAsia="Times New Roman"/>
                      <w:color w:val="000000"/>
                      <w:sz w:val="22"/>
                      <w:szCs w:val="22"/>
                      <w:lang w:eastAsia="en-US"/>
                    </w:rPr>
                    <w:t>1110 (30.5)</w:t>
                  </w:r>
                </w:p>
              </w:tc>
            </w:tr>
            <w:tr w:rsidR="00C17E58" w:rsidRPr="004A1730" w14:paraId="2C31315A" w14:textId="77777777" w:rsidTr="00C17E58">
              <w:trPr>
                <w:trHeight w:val="352"/>
              </w:trPr>
              <w:tc>
                <w:tcPr>
                  <w:tcW w:w="4456" w:type="dxa"/>
                  <w:shd w:val="clear" w:color="auto" w:fill="auto"/>
                </w:tcPr>
                <w:p w14:paraId="5FA1C3AC" w14:textId="77777777" w:rsidR="00C17E58" w:rsidRDefault="00C17E58" w:rsidP="00C17E58">
                  <w:pPr>
                    <w:rPr>
                      <w:rFonts w:eastAsia="Times New Roman"/>
                      <w:color w:val="000000"/>
                      <w:sz w:val="22"/>
                      <w:szCs w:val="22"/>
                      <w:lang w:eastAsia="en-US"/>
                    </w:rPr>
                  </w:pPr>
                  <w:r>
                    <w:rPr>
                      <w:rFonts w:eastAsia="Times New Roman"/>
                      <w:color w:val="000000"/>
                      <w:sz w:val="22"/>
                      <w:szCs w:val="22"/>
                      <w:lang w:eastAsia="en-US"/>
                    </w:rPr>
                    <w:t xml:space="preserve">Low Intensity </w:t>
                  </w:r>
                  <w:r w:rsidRPr="004A1730">
                    <w:rPr>
                      <w:rFonts w:eastAsia="Times New Roman"/>
                      <w:color w:val="000000"/>
                      <w:sz w:val="22"/>
                      <w:szCs w:val="22"/>
                      <w:lang w:eastAsia="en-US"/>
                    </w:rPr>
                    <w:t>Statin use at baseline, n (%)</w:t>
                  </w:r>
                </w:p>
              </w:tc>
              <w:tc>
                <w:tcPr>
                  <w:tcW w:w="1880" w:type="dxa"/>
                  <w:shd w:val="clear" w:color="auto" w:fill="auto"/>
                </w:tcPr>
                <w:p w14:paraId="5BDC8DBA" w14:textId="77777777" w:rsidR="00C17E58" w:rsidRDefault="00C17E58" w:rsidP="00C17E58">
                  <w:pPr>
                    <w:jc w:val="center"/>
                    <w:rPr>
                      <w:rFonts w:eastAsia="Times New Roman"/>
                      <w:color w:val="000000"/>
                      <w:sz w:val="22"/>
                      <w:szCs w:val="22"/>
                      <w:lang w:eastAsia="en-US"/>
                    </w:rPr>
                  </w:pPr>
                  <w:r>
                    <w:rPr>
                      <w:rFonts w:eastAsia="Times New Roman"/>
                      <w:color w:val="000000"/>
                      <w:sz w:val="22"/>
                      <w:szCs w:val="22"/>
                      <w:lang w:eastAsia="en-US"/>
                    </w:rPr>
                    <w:t>51 (0.2)</w:t>
                  </w:r>
                </w:p>
              </w:tc>
              <w:tc>
                <w:tcPr>
                  <w:tcW w:w="1651" w:type="dxa"/>
                </w:tcPr>
                <w:p w14:paraId="3735F628" w14:textId="77777777" w:rsidR="00C17E58" w:rsidRDefault="00C17E58" w:rsidP="00C17E58">
                  <w:pPr>
                    <w:jc w:val="center"/>
                    <w:rPr>
                      <w:rFonts w:eastAsia="Times New Roman"/>
                      <w:color w:val="000000"/>
                      <w:sz w:val="22"/>
                      <w:szCs w:val="22"/>
                      <w:lang w:eastAsia="en-US"/>
                    </w:rPr>
                  </w:pPr>
                  <w:r>
                    <w:rPr>
                      <w:rFonts w:eastAsia="Times New Roman"/>
                      <w:color w:val="000000"/>
                      <w:sz w:val="22"/>
                      <w:szCs w:val="22"/>
                      <w:lang w:eastAsia="en-US"/>
                    </w:rPr>
                    <w:t>5 (0.1)</w:t>
                  </w:r>
                </w:p>
              </w:tc>
            </w:tr>
            <w:tr w:rsidR="00C17E58" w:rsidRPr="004A1730" w14:paraId="5E0256E5" w14:textId="77777777" w:rsidTr="00C17E58">
              <w:trPr>
                <w:trHeight w:val="352"/>
              </w:trPr>
              <w:tc>
                <w:tcPr>
                  <w:tcW w:w="4456" w:type="dxa"/>
                  <w:shd w:val="clear" w:color="auto" w:fill="auto"/>
                </w:tcPr>
                <w:p w14:paraId="68373FDF" w14:textId="77777777" w:rsidR="00C17E58" w:rsidRDefault="00C17E58" w:rsidP="00C17E58">
                  <w:pPr>
                    <w:rPr>
                      <w:rFonts w:eastAsia="Times New Roman"/>
                      <w:color w:val="000000"/>
                      <w:sz w:val="22"/>
                      <w:szCs w:val="22"/>
                      <w:lang w:eastAsia="en-US"/>
                    </w:rPr>
                  </w:pPr>
                  <w:r>
                    <w:rPr>
                      <w:rFonts w:eastAsia="Times New Roman"/>
                      <w:color w:val="000000"/>
                      <w:sz w:val="22"/>
                      <w:szCs w:val="22"/>
                      <w:lang w:eastAsia="en-US"/>
                    </w:rPr>
                    <w:t>Ezetimibe</w:t>
                  </w:r>
                  <w:r w:rsidRPr="004A1730">
                    <w:rPr>
                      <w:rFonts w:eastAsia="Times New Roman"/>
                      <w:color w:val="000000"/>
                      <w:sz w:val="22"/>
                      <w:szCs w:val="22"/>
                      <w:lang w:eastAsia="en-US"/>
                    </w:rPr>
                    <w:t xml:space="preserve"> use at baseline, n (%)</w:t>
                  </w:r>
                </w:p>
              </w:tc>
              <w:tc>
                <w:tcPr>
                  <w:tcW w:w="1880" w:type="dxa"/>
                  <w:shd w:val="clear" w:color="auto" w:fill="auto"/>
                </w:tcPr>
                <w:p w14:paraId="2A9A4779" w14:textId="77777777" w:rsidR="00C17E58" w:rsidRDefault="00C17E58" w:rsidP="00C17E58">
                  <w:pPr>
                    <w:jc w:val="center"/>
                    <w:rPr>
                      <w:rFonts w:eastAsia="Times New Roman"/>
                      <w:color w:val="000000"/>
                      <w:sz w:val="22"/>
                      <w:szCs w:val="22"/>
                      <w:lang w:eastAsia="en-US"/>
                    </w:rPr>
                  </w:pPr>
                  <w:r>
                    <w:rPr>
                      <w:rFonts w:eastAsia="Times New Roman"/>
                      <w:color w:val="000000"/>
                      <w:sz w:val="22"/>
                      <w:szCs w:val="22"/>
                      <w:lang w:eastAsia="en-US"/>
                    </w:rPr>
                    <w:t>1200 (5.0)</w:t>
                  </w:r>
                </w:p>
              </w:tc>
              <w:tc>
                <w:tcPr>
                  <w:tcW w:w="1651" w:type="dxa"/>
                </w:tcPr>
                <w:p w14:paraId="7BB4B14A" w14:textId="77777777" w:rsidR="00C17E58" w:rsidRDefault="00C17E58" w:rsidP="00C17E58">
                  <w:pPr>
                    <w:jc w:val="center"/>
                    <w:rPr>
                      <w:rFonts w:eastAsia="Times New Roman"/>
                      <w:color w:val="000000"/>
                      <w:sz w:val="22"/>
                      <w:szCs w:val="22"/>
                      <w:lang w:eastAsia="en-US"/>
                    </w:rPr>
                  </w:pPr>
                  <w:r>
                    <w:rPr>
                      <w:rFonts w:eastAsia="Times New Roman"/>
                      <w:color w:val="000000"/>
                      <w:sz w:val="22"/>
                      <w:szCs w:val="22"/>
                      <w:lang w:eastAsia="en-US"/>
                    </w:rPr>
                    <w:t>240 (6.6)</w:t>
                  </w:r>
                </w:p>
              </w:tc>
            </w:tr>
            <w:tr w:rsidR="00C17E58" w:rsidRPr="004A1730" w14:paraId="69051DEB" w14:textId="77777777" w:rsidTr="00C17E58">
              <w:trPr>
                <w:trHeight w:val="352"/>
              </w:trPr>
              <w:tc>
                <w:tcPr>
                  <w:tcW w:w="4456" w:type="dxa"/>
                  <w:shd w:val="clear" w:color="auto" w:fill="auto"/>
                  <w:hideMark/>
                </w:tcPr>
                <w:p w14:paraId="1ACC8881"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Antiplatelet therapy</w:t>
                  </w:r>
                  <w:r w:rsidRPr="004A1730">
                    <w:rPr>
                      <w:rFonts w:eastAsia="Times New Roman"/>
                      <w:color w:val="000000"/>
                      <w:sz w:val="22"/>
                      <w:szCs w:val="22"/>
                      <w:lang w:eastAsia="en-US"/>
                    </w:rPr>
                    <w:t>, n (%)</w:t>
                  </w:r>
                </w:p>
              </w:tc>
              <w:tc>
                <w:tcPr>
                  <w:tcW w:w="1880" w:type="dxa"/>
                  <w:shd w:val="clear" w:color="auto" w:fill="auto"/>
                  <w:hideMark/>
                </w:tcPr>
                <w:p w14:paraId="339D7343"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22216</w:t>
                  </w:r>
                  <w:r w:rsidRPr="004A1730">
                    <w:rPr>
                      <w:rFonts w:eastAsia="Times New Roman"/>
                      <w:color w:val="000000"/>
                      <w:sz w:val="22"/>
                      <w:szCs w:val="22"/>
                      <w:lang w:eastAsia="en-US"/>
                    </w:rPr>
                    <w:t xml:space="preserve"> (</w:t>
                  </w:r>
                  <w:r>
                    <w:rPr>
                      <w:rFonts w:eastAsia="Times New Roman"/>
                      <w:color w:val="000000"/>
                      <w:sz w:val="22"/>
                      <w:szCs w:val="22"/>
                      <w:lang w:eastAsia="en-US"/>
                    </w:rPr>
                    <w:t>92.9</w:t>
                  </w:r>
                  <w:r w:rsidRPr="004A1730">
                    <w:rPr>
                      <w:rFonts w:eastAsia="Times New Roman"/>
                      <w:color w:val="000000"/>
                      <w:sz w:val="22"/>
                      <w:szCs w:val="22"/>
                      <w:lang w:eastAsia="en-US"/>
                    </w:rPr>
                    <w:t>)</w:t>
                  </w:r>
                </w:p>
              </w:tc>
              <w:tc>
                <w:tcPr>
                  <w:tcW w:w="1651" w:type="dxa"/>
                </w:tcPr>
                <w:p w14:paraId="3A5BA63C" w14:textId="47E547D7" w:rsidR="00C17E58" w:rsidRPr="004A1730" w:rsidRDefault="00833A2E" w:rsidP="00C17E58">
                  <w:pPr>
                    <w:jc w:val="center"/>
                    <w:rPr>
                      <w:rFonts w:eastAsia="Times New Roman"/>
                      <w:color w:val="000000"/>
                      <w:lang w:eastAsia="en-US"/>
                    </w:rPr>
                  </w:pPr>
                  <w:r>
                    <w:rPr>
                      <w:rFonts w:eastAsia="Times New Roman"/>
                      <w:color w:val="000000"/>
                      <w:sz w:val="22"/>
                      <w:szCs w:val="22"/>
                      <w:lang w:eastAsia="en-US"/>
                    </w:rPr>
                    <w:t>3246</w:t>
                  </w:r>
                  <w:r w:rsidR="00C17E58" w:rsidRPr="004A1730">
                    <w:rPr>
                      <w:rFonts w:eastAsia="Times New Roman"/>
                      <w:color w:val="000000"/>
                      <w:sz w:val="22"/>
                      <w:szCs w:val="22"/>
                      <w:lang w:eastAsia="en-US"/>
                    </w:rPr>
                    <w:t xml:space="preserve"> (</w:t>
                  </w:r>
                  <w:r w:rsidR="00C17E58">
                    <w:rPr>
                      <w:rFonts w:eastAsia="Times New Roman"/>
                      <w:color w:val="000000"/>
                      <w:sz w:val="22"/>
                      <w:szCs w:val="22"/>
                      <w:lang w:eastAsia="en-US"/>
                    </w:rPr>
                    <w:t>89.3</w:t>
                  </w:r>
                  <w:r w:rsidR="00C17E58" w:rsidRPr="004A1730">
                    <w:rPr>
                      <w:rFonts w:eastAsia="Times New Roman"/>
                      <w:color w:val="000000"/>
                      <w:sz w:val="22"/>
                      <w:szCs w:val="22"/>
                      <w:lang w:eastAsia="en-US"/>
                    </w:rPr>
                    <w:t>)</w:t>
                  </w:r>
                </w:p>
              </w:tc>
            </w:tr>
            <w:tr w:rsidR="00C17E58" w:rsidRPr="004A1730" w14:paraId="12D5F6D8" w14:textId="77777777" w:rsidTr="00C17E58">
              <w:trPr>
                <w:trHeight w:val="352"/>
              </w:trPr>
              <w:tc>
                <w:tcPr>
                  <w:tcW w:w="4456" w:type="dxa"/>
                  <w:shd w:val="clear" w:color="auto" w:fill="auto"/>
                </w:tcPr>
                <w:p w14:paraId="04599D36" w14:textId="77777777" w:rsidR="00C17E58" w:rsidRPr="004A1730" w:rsidRDefault="00C17E58" w:rsidP="00C17E58">
                  <w:pPr>
                    <w:rPr>
                      <w:rFonts w:eastAsia="Times New Roman"/>
                      <w:color w:val="000000"/>
                      <w:lang w:eastAsia="en-US"/>
                    </w:rPr>
                  </w:pPr>
                  <w:r>
                    <w:rPr>
                      <w:rFonts w:eastAsia="Times New Roman"/>
                      <w:color w:val="000000"/>
                      <w:sz w:val="22"/>
                      <w:szCs w:val="22"/>
                      <w:lang w:eastAsia="en-US"/>
                    </w:rPr>
                    <w:t>Anticoagulant therapy, n (%)</w:t>
                  </w:r>
                </w:p>
              </w:tc>
              <w:tc>
                <w:tcPr>
                  <w:tcW w:w="1880" w:type="dxa"/>
                  <w:shd w:val="clear" w:color="auto" w:fill="auto"/>
                </w:tcPr>
                <w:p w14:paraId="7CF0D61D"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1805 (7.6)</w:t>
                  </w:r>
                </w:p>
              </w:tc>
              <w:tc>
                <w:tcPr>
                  <w:tcW w:w="1651" w:type="dxa"/>
                </w:tcPr>
                <w:p w14:paraId="3E530AE6"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391 (10.8)</w:t>
                  </w:r>
                </w:p>
              </w:tc>
            </w:tr>
            <w:tr w:rsidR="00C17E58" w:rsidRPr="004A1730" w14:paraId="5DF45A47" w14:textId="77777777" w:rsidTr="00C17E58">
              <w:trPr>
                <w:trHeight w:val="352"/>
              </w:trPr>
              <w:tc>
                <w:tcPr>
                  <w:tcW w:w="4456" w:type="dxa"/>
                  <w:shd w:val="clear" w:color="auto" w:fill="auto"/>
                  <w:hideMark/>
                </w:tcPr>
                <w:p w14:paraId="356B756A" w14:textId="77777777" w:rsidR="00C17E58" w:rsidRPr="004A1730" w:rsidRDefault="00C17E58" w:rsidP="00C17E58">
                  <w:pPr>
                    <w:rPr>
                      <w:rFonts w:eastAsia="Times New Roman"/>
                      <w:color w:val="000000"/>
                      <w:lang w:eastAsia="en-US"/>
                    </w:rPr>
                  </w:pPr>
                  <w:r w:rsidRPr="004A1730">
                    <w:rPr>
                      <w:rFonts w:eastAsia="Times New Roman"/>
                      <w:color w:val="000000"/>
                      <w:sz w:val="22"/>
                      <w:szCs w:val="22"/>
                      <w:lang w:eastAsia="en-US"/>
                    </w:rPr>
                    <w:t>ACE-I or ARB use at baseline, n (%)</w:t>
                  </w:r>
                </w:p>
              </w:tc>
              <w:tc>
                <w:tcPr>
                  <w:tcW w:w="1880" w:type="dxa"/>
                  <w:shd w:val="clear" w:color="auto" w:fill="auto"/>
                  <w:hideMark/>
                </w:tcPr>
                <w:p w14:paraId="76843F24"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18526</w:t>
                  </w:r>
                  <w:r w:rsidRPr="004A1730">
                    <w:rPr>
                      <w:rFonts w:eastAsia="Times New Roman"/>
                      <w:color w:val="000000"/>
                      <w:sz w:val="22"/>
                      <w:szCs w:val="22"/>
                      <w:lang w:eastAsia="en-US"/>
                    </w:rPr>
                    <w:t xml:space="preserve"> (</w:t>
                  </w:r>
                  <w:r>
                    <w:rPr>
                      <w:rFonts w:eastAsia="Times New Roman"/>
                      <w:color w:val="000000"/>
                      <w:sz w:val="22"/>
                      <w:szCs w:val="22"/>
                      <w:lang w:eastAsia="en-US"/>
                    </w:rPr>
                    <w:t>77.5</w:t>
                  </w:r>
                  <w:r w:rsidRPr="004A1730">
                    <w:rPr>
                      <w:rFonts w:eastAsia="Times New Roman"/>
                      <w:color w:val="000000"/>
                      <w:sz w:val="22"/>
                      <w:szCs w:val="22"/>
                      <w:lang w:eastAsia="en-US"/>
                    </w:rPr>
                    <w:t>)</w:t>
                  </w:r>
                </w:p>
              </w:tc>
              <w:tc>
                <w:tcPr>
                  <w:tcW w:w="1651" w:type="dxa"/>
                </w:tcPr>
                <w:p w14:paraId="4A774DE6" w14:textId="77777777" w:rsidR="00C17E58" w:rsidRPr="004A1730" w:rsidRDefault="00C17E58" w:rsidP="00C17E58">
                  <w:pPr>
                    <w:jc w:val="center"/>
                    <w:rPr>
                      <w:rFonts w:eastAsia="Times New Roman"/>
                      <w:color w:val="000000"/>
                      <w:lang w:eastAsia="en-US"/>
                    </w:rPr>
                  </w:pPr>
                  <w:r>
                    <w:rPr>
                      <w:rFonts w:eastAsia="Times New Roman"/>
                      <w:color w:val="000000"/>
                      <w:sz w:val="22"/>
                      <w:szCs w:val="22"/>
                      <w:lang w:eastAsia="en-US"/>
                    </w:rPr>
                    <w:t>2747</w:t>
                  </w:r>
                  <w:r w:rsidRPr="004A1730">
                    <w:rPr>
                      <w:rFonts w:eastAsia="Times New Roman"/>
                      <w:color w:val="000000"/>
                      <w:sz w:val="22"/>
                      <w:szCs w:val="22"/>
                      <w:lang w:eastAsia="en-US"/>
                    </w:rPr>
                    <w:t xml:space="preserve"> (</w:t>
                  </w:r>
                  <w:r>
                    <w:rPr>
                      <w:rFonts w:eastAsia="Times New Roman"/>
                      <w:color w:val="000000"/>
                      <w:sz w:val="22"/>
                      <w:szCs w:val="22"/>
                      <w:lang w:eastAsia="en-US"/>
                    </w:rPr>
                    <w:t>75.6</w:t>
                  </w:r>
                  <w:r w:rsidRPr="004A1730">
                    <w:rPr>
                      <w:rFonts w:eastAsia="Times New Roman"/>
                      <w:color w:val="000000"/>
                      <w:sz w:val="22"/>
                      <w:szCs w:val="22"/>
                      <w:lang w:eastAsia="en-US"/>
                    </w:rPr>
                    <w:t>)</w:t>
                  </w:r>
                </w:p>
              </w:tc>
            </w:tr>
            <w:tr w:rsidR="00C17E58" w:rsidRPr="004A1730" w14:paraId="423A37FF" w14:textId="77777777" w:rsidTr="00C17E58">
              <w:trPr>
                <w:trHeight w:val="352"/>
              </w:trPr>
              <w:tc>
                <w:tcPr>
                  <w:tcW w:w="7987" w:type="dxa"/>
                  <w:gridSpan w:val="3"/>
                  <w:shd w:val="clear" w:color="auto" w:fill="auto"/>
                </w:tcPr>
                <w:p w14:paraId="5FA852CB" w14:textId="77777777" w:rsidR="00C17E58" w:rsidRDefault="00C17E58" w:rsidP="00C17E58">
                  <w:pPr>
                    <w:rPr>
                      <w:rFonts w:eastAsia="Times New Roman"/>
                      <w:i/>
                      <w:color w:val="000000"/>
                      <w:sz w:val="22"/>
                      <w:szCs w:val="22"/>
                      <w:lang w:eastAsia="en-US"/>
                    </w:rPr>
                  </w:pPr>
                  <w:r w:rsidRPr="002C7D74">
                    <w:rPr>
                      <w:rFonts w:eastAsia="Times New Roman"/>
                      <w:i/>
                      <w:color w:val="000000"/>
                      <w:sz w:val="22"/>
                      <w:szCs w:val="22"/>
                      <w:lang w:eastAsia="en-US"/>
                    </w:rPr>
                    <w:t>All p-values &lt; 0.05 except history of atrial fibrillation (p=0.50) and statin use/intensity (p=0.57)</w:t>
                  </w:r>
                </w:p>
                <w:p w14:paraId="02383AF3" w14:textId="577D2384" w:rsidR="00076B14" w:rsidRPr="002C7D74" w:rsidRDefault="00076B14" w:rsidP="00C17E58">
                  <w:pPr>
                    <w:rPr>
                      <w:rFonts w:eastAsia="Times New Roman"/>
                      <w:i/>
                      <w:color w:val="000000"/>
                      <w:sz w:val="22"/>
                      <w:szCs w:val="22"/>
                      <w:lang w:eastAsia="en-US"/>
                    </w:rPr>
                  </w:pPr>
                  <w:r>
                    <w:rPr>
                      <w:rFonts w:eastAsia="Times New Roman"/>
                      <w:i/>
                      <w:color w:val="000000"/>
                      <w:sz w:val="22"/>
                      <w:szCs w:val="22"/>
                      <w:lang w:eastAsia="en-US"/>
                    </w:rPr>
                    <w:t>Statin dose at baseline missing in 10 (0.0%) without PAD and 3 (0.1%) with PAD</w:t>
                  </w:r>
                </w:p>
              </w:tc>
            </w:tr>
          </w:tbl>
          <w:p w14:paraId="28A6D50F" w14:textId="2906434A" w:rsidR="0037511E" w:rsidRPr="00ED7198" w:rsidRDefault="0037511E" w:rsidP="001C0903">
            <w:pPr>
              <w:rPr>
                <w:sz w:val="20"/>
                <w:szCs w:val="20"/>
              </w:rPr>
            </w:pPr>
          </w:p>
        </w:tc>
        <w:tc>
          <w:tcPr>
            <w:tcW w:w="222" w:type="dxa"/>
          </w:tcPr>
          <w:p w14:paraId="234869BB" w14:textId="77777777" w:rsidR="00B945BD" w:rsidRPr="00ED7198" w:rsidRDefault="00B945BD" w:rsidP="001C0903">
            <w:pPr>
              <w:jc w:val="center"/>
              <w:rPr>
                <w:sz w:val="20"/>
                <w:szCs w:val="20"/>
              </w:rPr>
            </w:pPr>
          </w:p>
        </w:tc>
        <w:tc>
          <w:tcPr>
            <w:tcW w:w="222" w:type="dxa"/>
          </w:tcPr>
          <w:p w14:paraId="2C0CF723" w14:textId="77777777" w:rsidR="00B945BD" w:rsidRPr="00ED7198" w:rsidRDefault="00B945BD" w:rsidP="001C0903">
            <w:pPr>
              <w:jc w:val="center"/>
              <w:rPr>
                <w:sz w:val="20"/>
                <w:szCs w:val="20"/>
              </w:rPr>
            </w:pPr>
          </w:p>
        </w:tc>
        <w:tc>
          <w:tcPr>
            <w:tcW w:w="222" w:type="dxa"/>
          </w:tcPr>
          <w:p w14:paraId="0871C924" w14:textId="77777777" w:rsidR="00B945BD" w:rsidRPr="00ED7198" w:rsidRDefault="00B945BD" w:rsidP="001C0903">
            <w:pPr>
              <w:ind w:right="66"/>
              <w:jc w:val="center"/>
              <w:rPr>
                <w:sz w:val="20"/>
                <w:szCs w:val="20"/>
              </w:rPr>
            </w:pPr>
          </w:p>
        </w:tc>
      </w:tr>
      <w:tr w:rsidR="00B945BD" w:rsidRPr="005354E0" w14:paraId="3F42B2BA" w14:textId="77777777" w:rsidTr="008929F6">
        <w:trPr>
          <w:jc w:val="center"/>
        </w:trPr>
        <w:tc>
          <w:tcPr>
            <w:tcW w:w="12067" w:type="dxa"/>
          </w:tcPr>
          <w:p w14:paraId="43B28C3E" w14:textId="77777777" w:rsidR="00B945BD" w:rsidRPr="00ED7198" w:rsidRDefault="00B945BD" w:rsidP="001C0903">
            <w:pPr>
              <w:rPr>
                <w:sz w:val="20"/>
                <w:szCs w:val="20"/>
              </w:rPr>
            </w:pPr>
          </w:p>
        </w:tc>
        <w:tc>
          <w:tcPr>
            <w:tcW w:w="222" w:type="dxa"/>
          </w:tcPr>
          <w:p w14:paraId="33BAFBF2" w14:textId="77777777" w:rsidR="00B945BD" w:rsidRPr="00ED7198" w:rsidRDefault="00B945BD" w:rsidP="001C0903">
            <w:pPr>
              <w:jc w:val="center"/>
              <w:rPr>
                <w:sz w:val="20"/>
                <w:szCs w:val="20"/>
              </w:rPr>
            </w:pPr>
          </w:p>
        </w:tc>
        <w:tc>
          <w:tcPr>
            <w:tcW w:w="222" w:type="dxa"/>
          </w:tcPr>
          <w:p w14:paraId="2760348E" w14:textId="77777777" w:rsidR="00B945BD" w:rsidRPr="00ED7198" w:rsidRDefault="00B945BD" w:rsidP="001C0903">
            <w:pPr>
              <w:jc w:val="center"/>
              <w:rPr>
                <w:sz w:val="20"/>
                <w:szCs w:val="20"/>
              </w:rPr>
            </w:pPr>
          </w:p>
        </w:tc>
        <w:tc>
          <w:tcPr>
            <w:tcW w:w="222" w:type="dxa"/>
          </w:tcPr>
          <w:p w14:paraId="30CCE38F" w14:textId="77777777" w:rsidR="00B945BD" w:rsidRPr="00ED7198" w:rsidRDefault="00B945BD" w:rsidP="001C0903">
            <w:pPr>
              <w:tabs>
                <w:tab w:val="left" w:pos="190"/>
                <w:tab w:val="center" w:pos="442"/>
              </w:tabs>
              <w:ind w:right="66"/>
              <w:jc w:val="center"/>
              <w:rPr>
                <w:sz w:val="20"/>
                <w:szCs w:val="20"/>
              </w:rPr>
            </w:pPr>
          </w:p>
        </w:tc>
      </w:tr>
      <w:tr w:rsidR="00B945BD" w:rsidRPr="005354E0" w14:paraId="613EDA13" w14:textId="77777777" w:rsidTr="008929F6">
        <w:trPr>
          <w:trHeight w:val="71"/>
          <w:jc w:val="center"/>
        </w:trPr>
        <w:tc>
          <w:tcPr>
            <w:tcW w:w="12067" w:type="dxa"/>
          </w:tcPr>
          <w:p w14:paraId="7CCF51DF" w14:textId="77777777" w:rsidR="00B945BD" w:rsidRPr="00ED7198" w:rsidRDefault="00B945BD" w:rsidP="001C0903">
            <w:pPr>
              <w:rPr>
                <w:sz w:val="20"/>
                <w:szCs w:val="20"/>
              </w:rPr>
            </w:pPr>
          </w:p>
        </w:tc>
        <w:tc>
          <w:tcPr>
            <w:tcW w:w="222" w:type="dxa"/>
          </w:tcPr>
          <w:p w14:paraId="3884E314" w14:textId="77777777" w:rsidR="00B945BD" w:rsidRPr="00ED7198" w:rsidRDefault="00B945BD" w:rsidP="001C0903">
            <w:pPr>
              <w:jc w:val="center"/>
              <w:rPr>
                <w:sz w:val="20"/>
                <w:szCs w:val="20"/>
              </w:rPr>
            </w:pPr>
          </w:p>
        </w:tc>
        <w:tc>
          <w:tcPr>
            <w:tcW w:w="222" w:type="dxa"/>
          </w:tcPr>
          <w:p w14:paraId="5D0854E6" w14:textId="77777777" w:rsidR="00B945BD" w:rsidRPr="00ED7198" w:rsidRDefault="00B945BD" w:rsidP="001C0903">
            <w:pPr>
              <w:jc w:val="center"/>
              <w:rPr>
                <w:sz w:val="20"/>
                <w:szCs w:val="20"/>
              </w:rPr>
            </w:pPr>
          </w:p>
        </w:tc>
        <w:tc>
          <w:tcPr>
            <w:tcW w:w="222" w:type="dxa"/>
          </w:tcPr>
          <w:p w14:paraId="23ADE535" w14:textId="77777777" w:rsidR="00B945BD" w:rsidRPr="00ED7198" w:rsidRDefault="00B945BD" w:rsidP="001C0903">
            <w:pPr>
              <w:tabs>
                <w:tab w:val="left" w:pos="190"/>
                <w:tab w:val="center" w:pos="442"/>
              </w:tabs>
              <w:ind w:right="66"/>
              <w:jc w:val="center"/>
              <w:rPr>
                <w:sz w:val="20"/>
                <w:szCs w:val="20"/>
              </w:rPr>
            </w:pPr>
          </w:p>
        </w:tc>
      </w:tr>
    </w:tbl>
    <w:p w14:paraId="4340F11B" w14:textId="77777777" w:rsidR="001130D6" w:rsidRDefault="001130D6" w:rsidP="009C3868">
      <w:pPr>
        <w:spacing w:line="480" w:lineRule="auto"/>
        <w:sectPr w:rsidR="001130D6" w:rsidSect="008311E0">
          <w:footerReference w:type="default" r:id="rId12"/>
          <w:pgSz w:w="12240" w:h="15840" w:code="1"/>
          <w:pgMar w:top="1440" w:right="1800" w:bottom="1440" w:left="1800" w:header="720" w:footer="720" w:gutter="0"/>
          <w:cols w:space="720"/>
          <w:titlePg/>
          <w:docGrid w:linePitch="360"/>
        </w:sectPr>
      </w:pPr>
    </w:p>
    <w:p w14:paraId="28720217" w14:textId="4F680DEB" w:rsidR="003A195E" w:rsidRDefault="003A195E" w:rsidP="003A195E">
      <w:pPr>
        <w:spacing w:line="480" w:lineRule="auto"/>
      </w:pPr>
      <w:r w:rsidRPr="00165ADD">
        <w:rPr>
          <w:b/>
        </w:rPr>
        <w:lastRenderedPageBreak/>
        <w:t xml:space="preserve">Table </w:t>
      </w:r>
      <w:r>
        <w:rPr>
          <w:b/>
        </w:rPr>
        <w:t>2.</w:t>
      </w:r>
      <w:r>
        <w:t xml:space="preserve"> Efficacy</w:t>
      </w:r>
      <w:r w:rsidR="00005368">
        <w:t xml:space="preserve"> of</w:t>
      </w:r>
      <w:r>
        <w:t xml:space="preserve"> Evolocumab in Patients with Peripheral Artery Disease</w:t>
      </w:r>
    </w:p>
    <w:tbl>
      <w:tblPr>
        <w:tblStyle w:val="TableGrid"/>
        <w:tblW w:w="14925" w:type="dxa"/>
        <w:tblInd w:w="-792" w:type="dxa"/>
        <w:tblBorders>
          <w:left w:val="none" w:sz="0" w:space="0" w:color="auto"/>
          <w:right w:val="none" w:sz="0" w:space="0" w:color="auto"/>
          <w:insideV w:val="none" w:sz="0" w:space="0" w:color="auto"/>
        </w:tblBorders>
        <w:tblLook w:val="04A0" w:firstRow="1" w:lastRow="0" w:firstColumn="1" w:lastColumn="0" w:noHBand="0" w:noVBand="1"/>
      </w:tblPr>
      <w:tblGrid>
        <w:gridCol w:w="3330"/>
        <w:gridCol w:w="1507"/>
        <w:gridCol w:w="1697"/>
        <w:gridCol w:w="1566"/>
        <w:gridCol w:w="990"/>
        <w:gridCol w:w="1424"/>
        <w:gridCol w:w="1530"/>
        <w:gridCol w:w="1711"/>
        <w:gridCol w:w="1170"/>
      </w:tblGrid>
      <w:tr w:rsidR="00E84D9A" w14:paraId="1FF107C5" w14:textId="77777777" w:rsidTr="004505FA">
        <w:tc>
          <w:tcPr>
            <w:tcW w:w="3330" w:type="dxa"/>
          </w:tcPr>
          <w:p w14:paraId="456547EC" w14:textId="77777777" w:rsidR="00E84D9A" w:rsidRPr="004505FA" w:rsidRDefault="00E84D9A" w:rsidP="006A0F54">
            <w:pPr>
              <w:rPr>
                <w:sz w:val="22"/>
                <w:szCs w:val="22"/>
              </w:rPr>
            </w:pPr>
            <w:r w:rsidRPr="004505FA">
              <w:rPr>
                <w:b/>
                <w:i/>
                <w:sz w:val="22"/>
                <w:szCs w:val="22"/>
              </w:rPr>
              <w:t>Efficacy Outcomes</w:t>
            </w:r>
          </w:p>
        </w:tc>
        <w:tc>
          <w:tcPr>
            <w:tcW w:w="3204" w:type="dxa"/>
            <w:gridSpan w:val="2"/>
          </w:tcPr>
          <w:p w14:paraId="598510A9" w14:textId="5C194292" w:rsidR="00E84D9A" w:rsidRPr="004505FA" w:rsidRDefault="00DC481D" w:rsidP="006A0F54">
            <w:pPr>
              <w:jc w:val="center"/>
              <w:rPr>
                <w:b/>
                <w:sz w:val="22"/>
                <w:szCs w:val="22"/>
              </w:rPr>
            </w:pPr>
            <w:r w:rsidRPr="004505FA">
              <w:rPr>
                <w:b/>
                <w:sz w:val="22"/>
                <w:szCs w:val="22"/>
              </w:rPr>
              <w:t>Symptomatic</w:t>
            </w:r>
            <w:r w:rsidR="00E84D9A" w:rsidRPr="004505FA">
              <w:rPr>
                <w:b/>
                <w:sz w:val="22"/>
                <w:szCs w:val="22"/>
              </w:rPr>
              <w:t xml:space="preserve"> PAD</w:t>
            </w:r>
          </w:p>
        </w:tc>
        <w:tc>
          <w:tcPr>
            <w:tcW w:w="1566" w:type="dxa"/>
          </w:tcPr>
          <w:p w14:paraId="60DCFAC2" w14:textId="77777777" w:rsidR="00E84D9A" w:rsidRPr="004505FA" w:rsidRDefault="00E84D9A" w:rsidP="006A0F54">
            <w:pPr>
              <w:jc w:val="center"/>
              <w:rPr>
                <w:b/>
                <w:sz w:val="22"/>
                <w:szCs w:val="22"/>
              </w:rPr>
            </w:pPr>
          </w:p>
        </w:tc>
        <w:tc>
          <w:tcPr>
            <w:tcW w:w="990" w:type="dxa"/>
          </w:tcPr>
          <w:p w14:paraId="188CDCBD" w14:textId="77777777" w:rsidR="00E84D9A" w:rsidRPr="004505FA" w:rsidRDefault="00E84D9A" w:rsidP="006A0F54">
            <w:pPr>
              <w:jc w:val="center"/>
              <w:rPr>
                <w:b/>
                <w:sz w:val="22"/>
                <w:szCs w:val="22"/>
              </w:rPr>
            </w:pPr>
          </w:p>
        </w:tc>
        <w:tc>
          <w:tcPr>
            <w:tcW w:w="5835" w:type="dxa"/>
            <w:gridSpan w:val="4"/>
          </w:tcPr>
          <w:p w14:paraId="5986B595" w14:textId="25CB63AF" w:rsidR="00E84D9A" w:rsidRPr="004505FA" w:rsidRDefault="00E84D9A" w:rsidP="00E84D9A">
            <w:pPr>
              <w:jc w:val="center"/>
              <w:rPr>
                <w:b/>
                <w:sz w:val="22"/>
                <w:szCs w:val="22"/>
              </w:rPr>
            </w:pPr>
            <w:r w:rsidRPr="004505FA">
              <w:rPr>
                <w:b/>
                <w:sz w:val="22"/>
                <w:szCs w:val="22"/>
              </w:rPr>
              <w:t>Symptomatic PAD without prior MI or Stroke</w:t>
            </w:r>
          </w:p>
        </w:tc>
      </w:tr>
      <w:tr w:rsidR="003A195E" w14:paraId="2CF5E2D1" w14:textId="77777777" w:rsidTr="004505FA">
        <w:tc>
          <w:tcPr>
            <w:tcW w:w="3330" w:type="dxa"/>
          </w:tcPr>
          <w:p w14:paraId="7CC3E6F5" w14:textId="1B14976A" w:rsidR="003A195E" w:rsidRPr="004505FA" w:rsidRDefault="003A195E" w:rsidP="006A0F54">
            <w:pPr>
              <w:rPr>
                <w:b/>
                <w:sz w:val="22"/>
                <w:szCs w:val="22"/>
              </w:rPr>
            </w:pPr>
            <w:r w:rsidRPr="004505FA">
              <w:rPr>
                <w:b/>
                <w:sz w:val="22"/>
                <w:szCs w:val="22"/>
              </w:rPr>
              <w:br w:type="page"/>
              <w:t>Outcome</w:t>
            </w:r>
            <w:r w:rsidR="00E84D9A" w:rsidRPr="004505FA">
              <w:rPr>
                <w:b/>
                <w:sz w:val="22"/>
                <w:szCs w:val="22"/>
              </w:rPr>
              <w:t xml:space="preserve">, </w:t>
            </w:r>
          </w:p>
        </w:tc>
        <w:tc>
          <w:tcPr>
            <w:tcW w:w="1507" w:type="dxa"/>
          </w:tcPr>
          <w:p w14:paraId="02802F68" w14:textId="77777777" w:rsidR="003A195E" w:rsidRPr="004505FA" w:rsidRDefault="003A195E" w:rsidP="006A0F54">
            <w:pPr>
              <w:jc w:val="center"/>
              <w:rPr>
                <w:b/>
                <w:sz w:val="22"/>
                <w:szCs w:val="20"/>
              </w:rPr>
            </w:pPr>
            <w:r w:rsidRPr="004505FA">
              <w:rPr>
                <w:b/>
                <w:sz w:val="22"/>
                <w:szCs w:val="20"/>
              </w:rPr>
              <w:t>Placebo</w:t>
            </w:r>
          </w:p>
          <w:p w14:paraId="27FB83D5" w14:textId="77777777" w:rsidR="003A195E" w:rsidRDefault="003A195E" w:rsidP="00E84D9A">
            <w:pPr>
              <w:jc w:val="center"/>
              <w:rPr>
                <w:b/>
                <w:sz w:val="22"/>
                <w:szCs w:val="20"/>
              </w:rPr>
            </w:pPr>
            <w:r w:rsidRPr="004505FA">
              <w:rPr>
                <w:b/>
                <w:sz w:val="22"/>
                <w:szCs w:val="20"/>
              </w:rPr>
              <w:t>N=1,784</w:t>
            </w:r>
          </w:p>
          <w:p w14:paraId="5123A64E" w14:textId="5EF31F61" w:rsidR="00BD41D8" w:rsidRPr="004505FA" w:rsidRDefault="00BD41D8" w:rsidP="00E84D9A">
            <w:pPr>
              <w:jc w:val="center"/>
              <w:rPr>
                <w:b/>
                <w:sz w:val="22"/>
                <w:szCs w:val="20"/>
              </w:rPr>
            </w:pPr>
            <w:r w:rsidRPr="004505FA">
              <w:rPr>
                <w:b/>
                <w:sz w:val="22"/>
                <w:szCs w:val="22"/>
              </w:rPr>
              <w:t xml:space="preserve">2.5 </w:t>
            </w:r>
            <w:proofErr w:type="spellStart"/>
            <w:r w:rsidRPr="004505FA">
              <w:rPr>
                <w:b/>
                <w:sz w:val="22"/>
                <w:szCs w:val="22"/>
              </w:rPr>
              <w:t>yr</w:t>
            </w:r>
            <w:proofErr w:type="spellEnd"/>
            <w:r w:rsidRPr="004505FA">
              <w:rPr>
                <w:b/>
                <w:sz w:val="22"/>
                <w:szCs w:val="22"/>
              </w:rPr>
              <w:t xml:space="preserve"> KM rate (%)</w:t>
            </w:r>
          </w:p>
        </w:tc>
        <w:tc>
          <w:tcPr>
            <w:tcW w:w="1697" w:type="dxa"/>
          </w:tcPr>
          <w:p w14:paraId="5FAFE99F" w14:textId="77777777" w:rsidR="003A195E" w:rsidRPr="004505FA" w:rsidRDefault="003A195E" w:rsidP="006A0F54">
            <w:pPr>
              <w:jc w:val="center"/>
              <w:rPr>
                <w:b/>
                <w:sz w:val="22"/>
                <w:szCs w:val="20"/>
              </w:rPr>
            </w:pPr>
            <w:r w:rsidRPr="004505FA">
              <w:rPr>
                <w:b/>
                <w:sz w:val="22"/>
                <w:szCs w:val="20"/>
              </w:rPr>
              <w:t>Evolocumab</w:t>
            </w:r>
          </w:p>
          <w:p w14:paraId="639DEBF0" w14:textId="77777777" w:rsidR="003A195E" w:rsidRDefault="003A195E" w:rsidP="00E84D9A">
            <w:pPr>
              <w:jc w:val="center"/>
              <w:rPr>
                <w:b/>
                <w:sz w:val="22"/>
                <w:szCs w:val="20"/>
              </w:rPr>
            </w:pPr>
            <w:r w:rsidRPr="004505FA">
              <w:rPr>
                <w:b/>
                <w:sz w:val="22"/>
                <w:szCs w:val="20"/>
              </w:rPr>
              <w:t>N=1,858</w:t>
            </w:r>
          </w:p>
          <w:p w14:paraId="445E008B" w14:textId="37628EFD" w:rsidR="00BD41D8" w:rsidRPr="004505FA" w:rsidRDefault="00BD41D8" w:rsidP="00E84D9A">
            <w:pPr>
              <w:jc w:val="center"/>
              <w:rPr>
                <w:b/>
                <w:sz w:val="22"/>
                <w:szCs w:val="20"/>
              </w:rPr>
            </w:pPr>
            <w:r w:rsidRPr="004505FA">
              <w:rPr>
                <w:b/>
                <w:sz w:val="22"/>
                <w:szCs w:val="22"/>
              </w:rPr>
              <w:t xml:space="preserve">2.5 </w:t>
            </w:r>
            <w:proofErr w:type="spellStart"/>
            <w:r w:rsidRPr="004505FA">
              <w:rPr>
                <w:b/>
                <w:sz w:val="22"/>
                <w:szCs w:val="22"/>
              </w:rPr>
              <w:t>yr</w:t>
            </w:r>
            <w:proofErr w:type="spellEnd"/>
            <w:r w:rsidRPr="004505FA">
              <w:rPr>
                <w:b/>
                <w:sz w:val="22"/>
                <w:szCs w:val="22"/>
              </w:rPr>
              <w:t xml:space="preserve"> KM rate (%)</w:t>
            </w:r>
          </w:p>
        </w:tc>
        <w:tc>
          <w:tcPr>
            <w:tcW w:w="1566" w:type="dxa"/>
          </w:tcPr>
          <w:p w14:paraId="6547AA23" w14:textId="77777777" w:rsidR="003A195E" w:rsidRPr="004505FA" w:rsidRDefault="003A195E" w:rsidP="006A0F54">
            <w:pPr>
              <w:jc w:val="center"/>
              <w:rPr>
                <w:b/>
                <w:sz w:val="22"/>
                <w:szCs w:val="22"/>
              </w:rPr>
            </w:pPr>
            <w:r w:rsidRPr="004505FA">
              <w:rPr>
                <w:b/>
                <w:sz w:val="22"/>
                <w:szCs w:val="22"/>
              </w:rPr>
              <w:t>Hazard Ratio</w:t>
            </w:r>
          </w:p>
          <w:p w14:paraId="0956F229" w14:textId="77777777" w:rsidR="003A195E" w:rsidRPr="004505FA" w:rsidRDefault="003A195E" w:rsidP="006A0F54">
            <w:pPr>
              <w:jc w:val="center"/>
              <w:rPr>
                <w:b/>
                <w:sz w:val="22"/>
                <w:szCs w:val="22"/>
              </w:rPr>
            </w:pPr>
            <w:r w:rsidRPr="004505FA">
              <w:rPr>
                <w:b/>
                <w:sz w:val="22"/>
                <w:szCs w:val="22"/>
              </w:rPr>
              <w:t>(95% CI)</w:t>
            </w:r>
          </w:p>
        </w:tc>
        <w:tc>
          <w:tcPr>
            <w:tcW w:w="990" w:type="dxa"/>
          </w:tcPr>
          <w:p w14:paraId="6794C285" w14:textId="77777777" w:rsidR="003A195E" w:rsidRPr="004505FA" w:rsidRDefault="003A195E" w:rsidP="006A0F54">
            <w:pPr>
              <w:jc w:val="center"/>
              <w:rPr>
                <w:b/>
                <w:sz w:val="22"/>
                <w:szCs w:val="22"/>
              </w:rPr>
            </w:pPr>
            <w:r w:rsidRPr="004505FA">
              <w:rPr>
                <w:b/>
                <w:sz w:val="22"/>
                <w:szCs w:val="22"/>
              </w:rPr>
              <w:t>p-value</w:t>
            </w:r>
          </w:p>
        </w:tc>
        <w:tc>
          <w:tcPr>
            <w:tcW w:w="1424" w:type="dxa"/>
          </w:tcPr>
          <w:p w14:paraId="50F747ED" w14:textId="77777777" w:rsidR="003A195E" w:rsidRPr="004505FA" w:rsidRDefault="003A195E" w:rsidP="006A0F54">
            <w:pPr>
              <w:jc w:val="center"/>
              <w:rPr>
                <w:b/>
                <w:sz w:val="22"/>
                <w:szCs w:val="22"/>
              </w:rPr>
            </w:pPr>
            <w:r w:rsidRPr="004505FA">
              <w:rPr>
                <w:b/>
                <w:sz w:val="22"/>
                <w:szCs w:val="22"/>
              </w:rPr>
              <w:t>Placebo</w:t>
            </w:r>
          </w:p>
          <w:p w14:paraId="2C2C52BE" w14:textId="77777777" w:rsidR="003A195E" w:rsidRDefault="003A195E" w:rsidP="00E84D9A">
            <w:pPr>
              <w:jc w:val="center"/>
              <w:rPr>
                <w:b/>
                <w:sz w:val="22"/>
                <w:szCs w:val="22"/>
              </w:rPr>
            </w:pPr>
            <w:r w:rsidRPr="004505FA">
              <w:rPr>
                <w:b/>
                <w:sz w:val="22"/>
                <w:szCs w:val="22"/>
              </w:rPr>
              <w:t>N=748</w:t>
            </w:r>
          </w:p>
          <w:p w14:paraId="42D4DFDC" w14:textId="4888E95F" w:rsidR="00BD41D8" w:rsidRPr="004505FA" w:rsidRDefault="00BD41D8" w:rsidP="00E84D9A">
            <w:pPr>
              <w:jc w:val="center"/>
              <w:rPr>
                <w:b/>
                <w:sz w:val="22"/>
                <w:szCs w:val="22"/>
              </w:rPr>
            </w:pPr>
            <w:r w:rsidRPr="004505FA">
              <w:rPr>
                <w:b/>
                <w:sz w:val="22"/>
                <w:szCs w:val="22"/>
              </w:rPr>
              <w:t xml:space="preserve">2.5 </w:t>
            </w:r>
            <w:proofErr w:type="spellStart"/>
            <w:r w:rsidRPr="004505FA">
              <w:rPr>
                <w:b/>
                <w:sz w:val="22"/>
                <w:szCs w:val="22"/>
              </w:rPr>
              <w:t>yr</w:t>
            </w:r>
            <w:proofErr w:type="spellEnd"/>
            <w:r w:rsidRPr="004505FA">
              <w:rPr>
                <w:b/>
                <w:sz w:val="22"/>
                <w:szCs w:val="22"/>
              </w:rPr>
              <w:t xml:space="preserve"> KM rate (%)</w:t>
            </w:r>
          </w:p>
        </w:tc>
        <w:tc>
          <w:tcPr>
            <w:tcW w:w="1530" w:type="dxa"/>
          </w:tcPr>
          <w:p w14:paraId="7B9CE5FE" w14:textId="77777777" w:rsidR="003A195E" w:rsidRPr="004505FA" w:rsidRDefault="003A195E" w:rsidP="006A0F54">
            <w:pPr>
              <w:jc w:val="center"/>
              <w:rPr>
                <w:b/>
                <w:sz w:val="22"/>
                <w:szCs w:val="22"/>
              </w:rPr>
            </w:pPr>
            <w:r w:rsidRPr="004505FA">
              <w:rPr>
                <w:b/>
                <w:sz w:val="22"/>
                <w:szCs w:val="22"/>
              </w:rPr>
              <w:t>Evolocumab</w:t>
            </w:r>
          </w:p>
          <w:p w14:paraId="2E75BE3E" w14:textId="77777777" w:rsidR="003A195E" w:rsidRDefault="003A195E" w:rsidP="00E84D9A">
            <w:pPr>
              <w:jc w:val="center"/>
              <w:rPr>
                <w:b/>
                <w:sz w:val="22"/>
                <w:szCs w:val="22"/>
              </w:rPr>
            </w:pPr>
            <w:r w:rsidRPr="004505FA">
              <w:rPr>
                <w:b/>
                <w:sz w:val="22"/>
                <w:szCs w:val="22"/>
              </w:rPr>
              <w:t>N=757</w:t>
            </w:r>
          </w:p>
          <w:p w14:paraId="4CCBB3D5" w14:textId="4DE129E7" w:rsidR="00BD41D8" w:rsidRPr="004505FA" w:rsidRDefault="00BD41D8" w:rsidP="00E84D9A">
            <w:pPr>
              <w:jc w:val="center"/>
              <w:rPr>
                <w:b/>
                <w:sz w:val="22"/>
                <w:szCs w:val="22"/>
              </w:rPr>
            </w:pPr>
            <w:r w:rsidRPr="004505FA">
              <w:rPr>
                <w:b/>
                <w:sz w:val="22"/>
                <w:szCs w:val="22"/>
              </w:rPr>
              <w:t xml:space="preserve">2.5 </w:t>
            </w:r>
            <w:proofErr w:type="spellStart"/>
            <w:r w:rsidRPr="004505FA">
              <w:rPr>
                <w:b/>
                <w:sz w:val="22"/>
                <w:szCs w:val="22"/>
              </w:rPr>
              <w:t>yr</w:t>
            </w:r>
            <w:proofErr w:type="spellEnd"/>
            <w:r w:rsidRPr="004505FA">
              <w:rPr>
                <w:b/>
                <w:sz w:val="22"/>
                <w:szCs w:val="22"/>
              </w:rPr>
              <w:t xml:space="preserve"> KM rate (%)</w:t>
            </w:r>
          </w:p>
        </w:tc>
        <w:tc>
          <w:tcPr>
            <w:tcW w:w="1711" w:type="dxa"/>
          </w:tcPr>
          <w:p w14:paraId="3DBECA0C" w14:textId="77777777" w:rsidR="003A195E" w:rsidRPr="004505FA" w:rsidRDefault="003A195E" w:rsidP="006A0F54">
            <w:pPr>
              <w:jc w:val="center"/>
              <w:rPr>
                <w:b/>
                <w:sz w:val="22"/>
                <w:szCs w:val="22"/>
              </w:rPr>
            </w:pPr>
            <w:r w:rsidRPr="004505FA">
              <w:rPr>
                <w:b/>
                <w:sz w:val="22"/>
                <w:szCs w:val="22"/>
              </w:rPr>
              <w:t>Hazard Ratio</w:t>
            </w:r>
          </w:p>
          <w:p w14:paraId="5B59F5C4" w14:textId="77777777" w:rsidR="003A195E" w:rsidRPr="004505FA" w:rsidRDefault="003A195E" w:rsidP="006A0F54">
            <w:pPr>
              <w:jc w:val="center"/>
              <w:rPr>
                <w:b/>
                <w:sz w:val="22"/>
                <w:szCs w:val="22"/>
              </w:rPr>
            </w:pPr>
            <w:r w:rsidRPr="004505FA">
              <w:rPr>
                <w:b/>
                <w:sz w:val="22"/>
                <w:szCs w:val="22"/>
              </w:rPr>
              <w:t>(95% CI)</w:t>
            </w:r>
          </w:p>
        </w:tc>
        <w:tc>
          <w:tcPr>
            <w:tcW w:w="1170" w:type="dxa"/>
          </w:tcPr>
          <w:p w14:paraId="25363E04" w14:textId="77777777" w:rsidR="003A195E" w:rsidRPr="004505FA" w:rsidRDefault="003A195E" w:rsidP="006A0F54">
            <w:pPr>
              <w:jc w:val="center"/>
              <w:rPr>
                <w:b/>
                <w:sz w:val="22"/>
                <w:szCs w:val="22"/>
              </w:rPr>
            </w:pPr>
            <w:r w:rsidRPr="004505FA">
              <w:rPr>
                <w:b/>
                <w:sz w:val="22"/>
                <w:szCs w:val="22"/>
              </w:rPr>
              <w:t>p-value</w:t>
            </w:r>
          </w:p>
        </w:tc>
      </w:tr>
      <w:tr w:rsidR="00B80F95" w:rsidRPr="00DE0F3A" w14:paraId="428C3F82" w14:textId="77777777" w:rsidTr="004505FA">
        <w:tc>
          <w:tcPr>
            <w:tcW w:w="3330" w:type="dxa"/>
          </w:tcPr>
          <w:p w14:paraId="1B69D06C" w14:textId="196D2E41" w:rsidR="00B80F95" w:rsidRPr="004505FA" w:rsidRDefault="00B80F95" w:rsidP="006A0F54">
            <w:pPr>
              <w:rPr>
                <w:b/>
                <w:sz w:val="22"/>
                <w:szCs w:val="22"/>
              </w:rPr>
            </w:pPr>
            <w:r w:rsidRPr="004505FA">
              <w:rPr>
                <w:b/>
                <w:sz w:val="22"/>
                <w:szCs w:val="22"/>
              </w:rPr>
              <w:t>Primary Endpoint</w:t>
            </w:r>
          </w:p>
        </w:tc>
        <w:tc>
          <w:tcPr>
            <w:tcW w:w="1507" w:type="dxa"/>
          </w:tcPr>
          <w:p w14:paraId="456D9028" w14:textId="3C088A43" w:rsidR="00B80F95" w:rsidRPr="004505FA" w:rsidRDefault="0011125F" w:rsidP="006A0F54">
            <w:pPr>
              <w:jc w:val="center"/>
              <w:rPr>
                <w:b/>
                <w:sz w:val="22"/>
                <w:szCs w:val="20"/>
              </w:rPr>
            </w:pPr>
            <w:r w:rsidRPr="004505FA">
              <w:rPr>
                <w:b/>
                <w:sz w:val="22"/>
                <w:szCs w:val="20"/>
              </w:rPr>
              <w:t>16.8%</w:t>
            </w:r>
          </w:p>
        </w:tc>
        <w:tc>
          <w:tcPr>
            <w:tcW w:w="1697" w:type="dxa"/>
          </w:tcPr>
          <w:p w14:paraId="17402EF7" w14:textId="5D79C7AA" w:rsidR="00B80F95" w:rsidRPr="004505FA" w:rsidRDefault="0011125F" w:rsidP="006A0F54">
            <w:pPr>
              <w:jc w:val="center"/>
              <w:rPr>
                <w:b/>
                <w:sz w:val="22"/>
                <w:szCs w:val="20"/>
              </w:rPr>
            </w:pPr>
            <w:r w:rsidRPr="004505FA">
              <w:rPr>
                <w:b/>
                <w:sz w:val="22"/>
                <w:szCs w:val="20"/>
              </w:rPr>
              <w:t>13.3%</w:t>
            </w:r>
          </w:p>
        </w:tc>
        <w:tc>
          <w:tcPr>
            <w:tcW w:w="1566" w:type="dxa"/>
          </w:tcPr>
          <w:p w14:paraId="09469FA1" w14:textId="77777777" w:rsidR="00B80F95" w:rsidRPr="004505FA" w:rsidRDefault="0011125F" w:rsidP="006A0F54">
            <w:pPr>
              <w:jc w:val="center"/>
              <w:rPr>
                <w:b/>
                <w:sz w:val="22"/>
                <w:szCs w:val="22"/>
              </w:rPr>
            </w:pPr>
            <w:r w:rsidRPr="004505FA">
              <w:rPr>
                <w:b/>
                <w:sz w:val="22"/>
                <w:szCs w:val="22"/>
              </w:rPr>
              <w:t>0.79</w:t>
            </w:r>
          </w:p>
          <w:p w14:paraId="14568ACE" w14:textId="78ADBD99" w:rsidR="0011125F" w:rsidRPr="004505FA" w:rsidRDefault="0011125F" w:rsidP="006A0F54">
            <w:pPr>
              <w:jc w:val="center"/>
              <w:rPr>
                <w:b/>
                <w:sz w:val="22"/>
                <w:szCs w:val="22"/>
              </w:rPr>
            </w:pPr>
            <w:r w:rsidRPr="004505FA">
              <w:rPr>
                <w:b/>
                <w:sz w:val="22"/>
                <w:szCs w:val="22"/>
              </w:rPr>
              <w:t>(0.66 – 0.94)</w:t>
            </w:r>
          </w:p>
        </w:tc>
        <w:tc>
          <w:tcPr>
            <w:tcW w:w="990" w:type="dxa"/>
          </w:tcPr>
          <w:p w14:paraId="5717C8D7" w14:textId="3C4F9C7B" w:rsidR="00B80F95" w:rsidRPr="004505FA" w:rsidRDefault="0011125F" w:rsidP="006A0F54">
            <w:pPr>
              <w:jc w:val="center"/>
              <w:rPr>
                <w:b/>
                <w:sz w:val="22"/>
                <w:szCs w:val="22"/>
              </w:rPr>
            </w:pPr>
            <w:r w:rsidRPr="004505FA">
              <w:rPr>
                <w:b/>
                <w:sz w:val="22"/>
                <w:szCs w:val="22"/>
              </w:rPr>
              <w:t>0.0098</w:t>
            </w:r>
          </w:p>
        </w:tc>
        <w:tc>
          <w:tcPr>
            <w:tcW w:w="1424" w:type="dxa"/>
          </w:tcPr>
          <w:p w14:paraId="4680CF4D" w14:textId="3D93546F" w:rsidR="00B80F95" w:rsidRPr="004505FA" w:rsidRDefault="00821F00" w:rsidP="006A0F54">
            <w:pPr>
              <w:jc w:val="center"/>
              <w:rPr>
                <w:b/>
                <w:sz w:val="22"/>
                <w:szCs w:val="20"/>
              </w:rPr>
            </w:pPr>
            <w:r w:rsidRPr="004505FA">
              <w:rPr>
                <w:b/>
                <w:sz w:val="22"/>
                <w:szCs w:val="20"/>
              </w:rPr>
              <w:t>12.6%</w:t>
            </w:r>
          </w:p>
        </w:tc>
        <w:tc>
          <w:tcPr>
            <w:tcW w:w="1530" w:type="dxa"/>
          </w:tcPr>
          <w:p w14:paraId="569D85BA" w14:textId="64D335D2" w:rsidR="00B80F95" w:rsidRPr="004505FA" w:rsidRDefault="00821F00" w:rsidP="006A0F54">
            <w:pPr>
              <w:jc w:val="center"/>
              <w:rPr>
                <w:b/>
                <w:sz w:val="22"/>
                <w:szCs w:val="20"/>
              </w:rPr>
            </w:pPr>
            <w:r w:rsidRPr="004505FA">
              <w:rPr>
                <w:b/>
                <w:sz w:val="22"/>
                <w:szCs w:val="20"/>
              </w:rPr>
              <w:t>7.7%</w:t>
            </w:r>
          </w:p>
        </w:tc>
        <w:tc>
          <w:tcPr>
            <w:tcW w:w="1711" w:type="dxa"/>
          </w:tcPr>
          <w:p w14:paraId="70CBF55B" w14:textId="77777777" w:rsidR="00B80F95" w:rsidRPr="004505FA" w:rsidRDefault="00821F00" w:rsidP="006A0F54">
            <w:pPr>
              <w:jc w:val="center"/>
              <w:rPr>
                <w:b/>
                <w:sz w:val="22"/>
                <w:szCs w:val="22"/>
              </w:rPr>
            </w:pPr>
            <w:r w:rsidRPr="004505FA">
              <w:rPr>
                <w:b/>
                <w:sz w:val="22"/>
                <w:szCs w:val="22"/>
              </w:rPr>
              <w:t>0.67</w:t>
            </w:r>
          </w:p>
          <w:p w14:paraId="742018B8" w14:textId="4F043665" w:rsidR="00821F00" w:rsidRPr="004505FA" w:rsidRDefault="00821F00" w:rsidP="006A0F54">
            <w:pPr>
              <w:jc w:val="center"/>
              <w:rPr>
                <w:b/>
                <w:sz w:val="22"/>
                <w:szCs w:val="22"/>
              </w:rPr>
            </w:pPr>
            <w:r w:rsidRPr="004505FA">
              <w:rPr>
                <w:b/>
                <w:sz w:val="22"/>
                <w:szCs w:val="22"/>
              </w:rPr>
              <w:t>(0.47 – 0.96)</w:t>
            </w:r>
          </w:p>
        </w:tc>
        <w:tc>
          <w:tcPr>
            <w:tcW w:w="1170" w:type="dxa"/>
          </w:tcPr>
          <w:p w14:paraId="0E61371E" w14:textId="6C6EEAB9" w:rsidR="00B80F95" w:rsidRPr="004505FA" w:rsidRDefault="00821F00" w:rsidP="006A0F54">
            <w:pPr>
              <w:jc w:val="center"/>
              <w:rPr>
                <w:b/>
                <w:sz w:val="22"/>
                <w:szCs w:val="22"/>
              </w:rPr>
            </w:pPr>
            <w:r w:rsidRPr="004505FA">
              <w:rPr>
                <w:b/>
                <w:sz w:val="22"/>
                <w:szCs w:val="22"/>
              </w:rPr>
              <w:t>0.0283</w:t>
            </w:r>
          </w:p>
        </w:tc>
      </w:tr>
      <w:tr w:rsidR="003A195E" w:rsidRPr="00DE0F3A" w14:paraId="7C7B328E" w14:textId="77777777" w:rsidTr="004505FA">
        <w:tc>
          <w:tcPr>
            <w:tcW w:w="3330" w:type="dxa"/>
          </w:tcPr>
          <w:p w14:paraId="5ED87F2C" w14:textId="5B909280" w:rsidR="003A195E" w:rsidRPr="004505FA" w:rsidRDefault="003A195E" w:rsidP="006A0F54">
            <w:pPr>
              <w:rPr>
                <w:b/>
                <w:sz w:val="22"/>
                <w:szCs w:val="22"/>
              </w:rPr>
            </w:pPr>
            <w:r w:rsidRPr="004505FA">
              <w:rPr>
                <w:b/>
                <w:sz w:val="22"/>
                <w:szCs w:val="22"/>
              </w:rPr>
              <w:t>CV Death, MI, Stroke (MACE)</w:t>
            </w:r>
          </w:p>
        </w:tc>
        <w:tc>
          <w:tcPr>
            <w:tcW w:w="1507" w:type="dxa"/>
          </w:tcPr>
          <w:p w14:paraId="3293B545" w14:textId="7DE32CEB" w:rsidR="003A195E" w:rsidRPr="004505FA" w:rsidRDefault="003A195E" w:rsidP="006A0F54">
            <w:pPr>
              <w:jc w:val="center"/>
              <w:rPr>
                <w:b/>
                <w:sz w:val="22"/>
                <w:szCs w:val="20"/>
              </w:rPr>
            </w:pPr>
            <w:r w:rsidRPr="004505FA">
              <w:rPr>
                <w:b/>
                <w:sz w:val="22"/>
                <w:szCs w:val="20"/>
              </w:rPr>
              <w:t>13.0%</w:t>
            </w:r>
          </w:p>
        </w:tc>
        <w:tc>
          <w:tcPr>
            <w:tcW w:w="1697" w:type="dxa"/>
          </w:tcPr>
          <w:p w14:paraId="679DE7CA" w14:textId="71C9C11E" w:rsidR="003A195E" w:rsidRPr="004505FA" w:rsidRDefault="003A195E" w:rsidP="006A0F54">
            <w:pPr>
              <w:jc w:val="center"/>
              <w:rPr>
                <w:b/>
                <w:sz w:val="22"/>
                <w:szCs w:val="20"/>
              </w:rPr>
            </w:pPr>
            <w:r w:rsidRPr="004505FA">
              <w:rPr>
                <w:b/>
                <w:sz w:val="22"/>
                <w:szCs w:val="20"/>
              </w:rPr>
              <w:t>9.5%</w:t>
            </w:r>
          </w:p>
        </w:tc>
        <w:tc>
          <w:tcPr>
            <w:tcW w:w="1566" w:type="dxa"/>
          </w:tcPr>
          <w:p w14:paraId="2FD2146A" w14:textId="77777777" w:rsidR="003A195E" w:rsidRPr="004505FA" w:rsidRDefault="003A195E" w:rsidP="006A0F54">
            <w:pPr>
              <w:jc w:val="center"/>
              <w:rPr>
                <w:b/>
                <w:sz w:val="22"/>
                <w:szCs w:val="22"/>
              </w:rPr>
            </w:pPr>
            <w:r w:rsidRPr="004505FA">
              <w:rPr>
                <w:b/>
                <w:sz w:val="22"/>
                <w:szCs w:val="22"/>
              </w:rPr>
              <w:t xml:space="preserve">0.73 </w:t>
            </w:r>
          </w:p>
          <w:p w14:paraId="2965ECCB" w14:textId="77777777" w:rsidR="003A195E" w:rsidRPr="004505FA" w:rsidRDefault="003A195E" w:rsidP="006A0F54">
            <w:pPr>
              <w:jc w:val="center"/>
              <w:rPr>
                <w:b/>
                <w:sz w:val="22"/>
                <w:szCs w:val="22"/>
              </w:rPr>
            </w:pPr>
            <w:r w:rsidRPr="004505FA">
              <w:rPr>
                <w:b/>
                <w:sz w:val="22"/>
                <w:szCs w:val="22"/>
              </w:rPr>
              <w:t>(0.59 – 0.91)</w:t>
            </w:r>
          </w:p>
        </w:tc>
        <w:tc>
          <w:tcPr>
            <w:tcW w:w="990" w:type="dxa"/>
          </w:tcPr>
          <w:p w14:paraId="4639E9C2" w14:textId="77777777" w:rsidR="003A195E" w:rsidRPr="004505FA" w:rsidRDefault="003A195E" w:rsidP="006A0F54">
            <w:pPr>
              <w:jc w:val="center"/>
              <w:rPr>
                <w:b/>
                <w:sz w:val="22"/>
                <w:szCs w:val="22"/>
              </w:rPr>
            </w:pPr>
            <w:r w:rsidRPr="004505FA">
              <w:rPr>
                <w:b/>
                <w:sz w:val="22"/>
                <w:szCs w:val="22"/>
              </w:rPr>
              <w:t>0.0040</w:t>
            </w:r>
          </w:p>
        </w:tc>
        <w:tc>
          <w:tcPr>
            <w:tcW w:w="1424" w:type="dxa"/>
          </w:tcPr>
          <w:p w14:paraId="36C9924A" w14:textId="6F0FA897" w:rsidR="003A195E" w:rsidRPr="004505FA" w:rsidRDefault="008535BC" w:rsidP="006A0F54">
            <w:pPr>
              <w:jc w:val="center"/>
              <w:rPr>
                <w:b/>
                <w:sz w:val="22"/>
                <w:szCs w:val="20"/>
              </w:rPr>
            </w:pPr>
            <w:r w:rsidRPr="004505FA">
              <w:rPr>
                <w:b/>
                <w:sz w:val="22"/>
                <w:szCs w:val="20"/>
              </w:rPr>
              <w:t>10.3</w:t>
            </w:r>
            <w:r w:rsidR="003A195E" w:rsidRPr="004505FA">
              <w:rPr>
                <w:b/>
                <w:sz w:val="22"/>
                <w:szCs w:val="20"/>
              </w:rPr>
              <w:t>%</w:t>
            </w:r>
          </w:p>
        </w:tc>
        <w:tc>
          <w:tcPr>
            <w:tcW w:w="1530" w:type="dxa"/>
          </w:tcPr>
          <w:p w14:paraId="6DFE006A" w14:textId="7F361950" w:rsidR="003A195E" w:rsidRPr="004505FA" w:rsidRDefault="003A195E" w:rsidP="006A0F54">
            <w:pPr>
              <w:jc w:val="center"/>
              <w:rPr>
                <w:b/>
                <w:sz w:val="22"/>
                <w:szCs w:val="20"/>
              </w:rPr>
            </w:pPr>
            <w:r w:rsidRPr="004505FA">
              <w:rPr>
                <w:b/>
                <w:sz w:val="22"/>
                <w:szCs w:val="20"/>
              </w:rPr>
              <w:t>5.5%</w:t>
            </w:r>
          </w:p>
        </w:tc>
        <w:tc>
          <w:tcPr>
            <w:tcW w:w="1711" w:type="dxa"/>
          </w:tcPr>
          <w:p w14:paraId="4462D30D" w14:textId="77777777" w:rsidR="003A195E" w:rsidRPr="004505FA" w:rsidRDefault="003A195E" w:rsidP="006A0F54">
            <w:pPr>
              <w:jc w:val="center"/>
              <w:rPr>
                <w:b/>
                <w:sz w:val="22"/>
                <w:szCs w:val="22"/>
              </w:rPr>
            </w:pPr>
            <w:r w:rsidRPr="004505FA">
              <w:rPr>
                <w:b/>
                <w:sz w:val="22"/>
                <w:szCs w:val="22"/>
              </w:rPr>
              <w:t>0.57</w:t>
            </w:r>
          </w:p>
          <w:p w14:paraId="1E476CF8" w14:textId="77777777" w:rsidR="003A195E" w:rsidRPr="004505FA" w:rsidRDefault="003A195E" w:rsidP="006A0F54">
            <w:pPr>
              <w:jc w:val="center"/>
              <w:rPr>
                <w:b/>
                <w:sz w:val="22"/>
                <w:szCs w:val="22"/>
              </w:rPr>
            </w:pPr>
            <w:r w:rsidRPr="004505FA">
              <w:rPr>
                <w:b/>
                <w:sz w:val="22"/>
                <w:szCs w:val="22"/>
              </w:rPr>
              <w:t>(0.38 – 0.88)</w:t>
            </w:r>
          </w:p>
        </w:tc>
        <w:tc>
          <w:tcPr>
            <w:tcW w:w="1170" w:type="dxa"/>
          </w:tcPr>
          <w:p w14:paraId="352C385E" w14:textId="77777777" w:rsidR="003A195E" w:rsidRPr="004505FA" w:rsidRDefault="003A195E" w:rsidP="006A0F54">
            <w:pPr>
              <w:jc w:val="center"/>
              <w:rPr>
                <w:b/>
                <w:sz w:val="22"/>
                <w:szCs w:val="22"/>
              </w:rPr>
            </w:pPr>
            <w:r w:rsidRPr="004505FA">
              <w:rPr>
                <w:b/>
                <w:sz w:val="22"/>
                <w:szCs w:val="22"/>
              </w:rPr>
              <w:t>0.0095</w:t>
            </w:r>
          </w:p>
        </w:tc>
      </w:tr>
      <w:tr w:rsidR="003A195E" w:rsidRPr="00DE0F3A" w14:paraId="77F3805B" w14:textId="77777777" w:rsidTr="004505FA">
        <w:tc>
          <w:tcPr>
            <w:tcW w:w="3330" w:type="dxa"/>
          </w:tcPr>
          <w:p w14:paraId="1D4F6B92" w14:textId="77777777" w:rsidR="003A195E" w:rsidRPr="004505FA" w:rsidRDefault="003A195E" w:rsidP="006A0F54">
            <w:pPr>
              <w:rPr>
                <w:sz w:val="22"/>
                <w:szCs w:val="22"/>
              </w:rPr>
            </w:pPr>
            <w:r w:rsidRPr="004505FA">
              <w:rPr>
                <w:rFonts w:eastAsia="Times New Roman"/>
                <w:color w:val="000000"/>
                <w:sz w:val="22"/>
                <w:szCs w:val="22"/>
                <w:lang w:eastAsia="en-US"/>
              </w:rPr>
              <w:t xml:space="preserve">     CVD</w:t>
            </w:r>
          </w:p>
        </w:tc>
        <w:tc>
          <w:tcPr>
            <w:tcW w:w="1507" w:type="dxa"/>
          </w:tcPr>
          <w:p w14:paraId="0ADE8ECB" w14:textId="745573B2" w:rsidR="003A195E" w:rsidRPr="004505FA" w:rsidRDefault="003A195E" w:rsidP="006A0F54">
            <w:pPr>
              <w:jc w:val="center"/>
              <w:rPr>
                <w:sz w:val="22"/>
                <w:szCs w:val="20"/>
              </w:rPr>
            </w:pPr>
            <w:r w:rsidRPr="004505FA">
              <w:rPr>
                <w:sz w:val="22"/>
                <w:szCs w:val="20"/>
              </w:rPr>
              <w:t>3.8%</w:t>
            </w:r>
          </w:p>
        </w:tc>
        <w:tc>
          <w:tcPr>
            <w:tcW w:w="1697" w:type="dxa"/>
          </w:tcPr>
          <w:p w14:paraId="1718B18E" w14:textId="4CE66411" w:rsidR="003A195E" w:rsidRPr="004505FA" w:rsidRDefault="008535BC" w:rsidP="006A0F54">
            <w:pPr>
              <w:jc w:val="center"/>
              <w:rPr>
                <w:sz w:val="22"/>
                <w:szCs w:val="20"/>
              </w:rPr>
            </w:pPr>
            <w:r w:rsidRPr="004505FA">
              <w:rPr>
                <w:sz w:val="22"/>
                <w:szCs w:val="20"/>
              </w:rPr>
              <w:t>4.0</w:t>
            </w:r>
            <w:r w:rsidR="003A195E" w:rsidRPr="004505FA">
              <w:rPr>
                <w:sz w:val="22"/>
                <w:szCs w:val="20"/>
              </w:rPr>
              <w:t>%</w:t>
            </w:r>
          </w:p>
        </w:tc>
        <w:tc>
          <w:tcPr>
            <w:tcW w:w="1566" w:type="dxa"/>
          </w:tcPr>
          <w:p w14:paraId="296043B8" w14:textId="77777777" w:rsidR="003A195E" w:rsidRPr="004505FA" w:rsidRDefault="003A195E" w:rsidP="006A0F54">
            <w:pPr>
              <w:jc w:val="center"/>
              <w:rPr>
                <w:sz w:val="22"/>
                <w:szCs w:val="22"/>
              </w:rPr>
            </w:pPr>
            <w:r w:rsidRPr="004505FA">
              <w:rPr>
                <w:sz w:val="22"/>
                <w:szCs w:val="22"/>
              </w:rPr>
              <w:t>1.02</w:t>
            </w:r>
          </w:p>
          <w:p w14:paraId="6D12A6FC" w14:textId="77777777" w:rsidR="003A195E" w:rsidRPr="004505FA" w:rsidRDefault="003A195E" w:rsidP="006A0F54">
            <w:pPr>
              <w:jc w:val="center"/>
              <w:rPr>
                <w:sz w:val="22"/>
                <w:szCs w:val="22"/>
              </w:rPr>
            </w:pPr>
            <w:r w:rsidRPr="004505FA">
              <w:rPr>
                <w:sz w:val="22"/>
                <w:szCs w:val="22"/>
              </w:rPr>
              <w:t>(0.71 – 1.48)</w:t>
            </w:r>
          </w:p>
        </w:tc>
        <w:tc>
          <w:tcPr>
            <w:tcW w:w="990" w:type="dxa"/>
          </w:tcPr>
          <w:p w14:paraId="7F9CF3C6" w14:textId="77777777" w:rsidR="003A195E" w:rsidRPr="004505FA" w:rsidRDefault="003A195E" w:rsidP="006A0F54">
            <w:pPr>
              <w:jc w:val="center"/>
              <w:rPr>
                <w:sz w:val="22"/>
                <w:szCs w:val="22"/>
              </w:rPr>
            </w:pPr>
          </w:p>
        </w:tc>
        <w:tc>
          <w:tcPr>
            <w:tcW w:w="1424" w:type="dxa"/>
          </w:tcPr>
          <w:p w14:paraId="4340F83A" w14:textId="05B4CED6" w:rsidR="003A195E" w:rsidRPr="004505FA" w:rsidRDefault="003A195E" w:rsidP="006A0F54">
            <w:pPr>
              <w:jc w:val="center"/>
              <w:rPr>
                <w:sz w:val="22"/>
                <w:szCs w:val="20"/>
              </w:rPr>
            </w:pPr>
            <w:r w:rsidRPr="004505FA">
              <w:rPr>
                <w:sz w:val="22"/>
                <w:szCs w:val="20"/>
              </w:rPr>
              <w:t>4.4%</w:t>
            </w:r>
          </w:p>
        </w:tc>
        <w:tc>
          <w:tcPr>
            <w:tcW w:w="1530" w:type="dxa"/>
          </w:tcPr>
          <w:p w14:paraId="2E7FA84E" w14:textId="687D0E95" w:rsidR="003A195E" w:rsidRPr="004505FA" w:rsidRDefault="003A195E" w:rsidP="006A0F54">
            <w:pPr>
              <w:jc w:val="center"/>
              <w:rPr>
                <w:sz w:val="22"/>
                <w:szCs w:val="20"/>
              </w:rPr>
            </w:pPr>
            <w:r w:rsidRPr="004505FA">
              <w:rPr>
                <w:sz w:val="22"/>
                <w:szCs w:val="20"/>
              </w:rPr>
              <w:t>2.9%</w:t>
            </w:r>
          </w:p>
        </w:tc>
        <w:tc>
          <w:tcPr>
            <w:tcW w:w="1711" w:type="dxa"/>
          </w:tcPr>
          <w:p w14:paraId="72688D01" w14:textId="77777777" w:rsidR="003A195E" w:rsidRPr="004505FA" w:rsidRDefault="003A195E" w:rsidP="006A0F54">
            <w:pPr>
              <w:jc w:val="center"/>
              <w:rPr>
                <w:sz w:val="22"/>
                <w:szCs w:val="22"/>
              </w:rPr>
            </w:pPr>
            <w:r w:rsidRPr="004505FA">
              <w:rPr>
                <w:sz w:val="22"/>
                <w:szCs w:val="22"/>
              </w:rPr>
              <w:t>0.78</w:t>
            </w:r>
          </w:p>
          <w:p w14:paraId="2FF642F2" w14:textId="77777777" w:rsidR="003A195E" w:rsidRPr="004505FA" w:rsidRDefault="003A195E" w:rsidP="006A0F54">
            <w:pPr>
              <w:jc w:val="center"/>
              <w:rPr>
                <w:sz w:val="22"/>
                <w:szCs w:val="22"/>
              </w:rPr>
            </w:pPr>
            <w:r w:rsidRPr="004505FA">
              <w:rPr>
                <w:sz w:val="22"/>
                <w:szCs w:val="22"/>
              </w:rPr>
              <w:t>(0.39 – 1.57)</w:t>
            </w:r>
          </w:p>
        </w:tc>
        <w:tc>
          <w:tcPr>
            <w:tcW w:w="1170" w:type="dxa"/>
          </w:tcPr>
          <w:p w14:paraId="157300D4" w14:textId="77777777" w:rsidR="003A195E" w:rsidRPr="004505FA" w:rsidRDefault="003A195E" w:rsidP="006A0F54">
            <w:pPr>
              <w:jc w:val="center"/>
              <w:rPr>
                <w:sz w:val="22"/>
                <w:szCs w:val="22"/>
              </w:rPr>
            </w:pPr>
          </w:p>
        </w:tc>
      </w:tr>
      <w:tr w:rsidR="003A195E" w:rsidRPr="00DE0F3A" w14:paraId="3C8B25E2" w14:textId="77777777" w:rsidTr="004505FA">
        <w:tc>
          <w:tcPr>
            <w:tcW w:w="3330" w:type="dxa"/>
          </w:tcPr>
          <w:p w14:paraId="53901DDD" w14:textId="77777777" w:rsidR="003A195E" w:rsidRPr="004505FA" w:rsidRDefault="003A195E" w:rsidP="006A0F54">
            <w:pPr>
              <w:rPr>
                <w:sz w:val="22"/>
                <w:szCs w:val="22"/>
              </w:rPr>
            </w:pPr>
            <w:r w:rsidRPr="004505FA">
              <w:rPr>
                <w:rFonts w:eastAsia="Times New Roman"/>
                <w:color w:val="000000"/>
                <w:sz w:val="22"/>
                <w:szCs w:val="22"/>
                <w:lang w:eastAsia="en-US"/>
              </w:rPr>
              <w:t xml:space="preserve">     MI</w:t>
            </w:r>
          </w:p>
        </w:tc>
        <w:tc>
          <w:tcPr>
            <w:tcW w:w="1507" w:type="dxa"/>
          </w:tcPr>
          <w:p w14:paraId="5AD69C66" w14:textId="705D2335" w:rsidR="003A195E" w:rsidRPr="004505FA" w:rsidRDefault="003A195E" w:rsidP="006A0F54">
            <w:pPr>
              <w:jc w:val="center"/>
              <w:rPr>
                <w:sz w:val="22"/>
                <w:szCs w:val="20"/>
              </w:rPr>
            </w:pPr>
            <w:r w:rsidRPr="004505FA">
              <w:rPr>
                <w:sz w:val="22"/>
                <w:szCs w:val="20"/>
              </w:rPr>
              <w:t>7.9%</w:t>
            </w:r>
          </w:p>
        </w:tc>
        <w:tc>
          <w:tcPr>
            <w:tcW w:w="1697" w:type="dxa"/>
          </w:tcPr>
          <w:p w14:paraId="763ACB38" w14:textId="389F2435" w:rsidR="003A195E" w:rsidRPr="004505FA" w:rsidRDefault="003A195E" w:rsidP="006A0F54">
            <w:pPr>
              <w:jc w:val="center"/>
              <w:rPr>
                <w:sz w:val="22"/>
                <w:szCs w:val="20"/>
              </w:rPr>
            </w:pPr>
            <w:r w:rsidRPr="004505FA">
              <w:rPr>
                <w:sz w:val="22"/>
                <w:szCs w:val="20"/>
              </w:rPr>
              <w:t>5.2%</w:t>
            </w:r>
          </w:p>
        </w:tc>
        <w:tc>
          <w:tcPr>
            <w:tcW w:w="1566" w:type="dxa"/>
          </w:tcPr>
          <w:p w14:paraId="48931F33" w14:textId="77777777" w:rsidR="003A195E" w:rsidRPr="004505FA" w:rsidRDefault="003A195E" w:rsidP="006A0F54">
            <w:pPr>
              <w:jc w:val="center"/>
              <w:rPr>
                <w:sz w:val="22"/>
                <w:szCs w:val="22"/>
              </w:rPr>
            </w:pPr>
            <w:r w:rsidRPr="004505FA">
              <w:rPr>
                <w:sz w:val="22"/>
                <w:szCs w:val="22"/>
              </w:rPr>
              <w:t>0.69</w:t>
            </w:r>
          </w:p>
          <w:p w14:paraId="4F20CB1B" w14:textId="77777777" w:rsidR="003A195E" w:rsidRPr="004505FA" w:rsidRDefault="003A195E" w:rsidP="006A0F54">
            <w:pPr>
              <w:jc w:val="center"/>
              <w:rPr>
                <w:sz w:val="22"/>
                <w:szCs w:val="22"/>
              </w:rPr>
            </w:pPr>
            <w:r w:rsidRPr="004505FA">
              <w:rPr>
                <w:sz w:val="22"/>
                <w:szCs w:val="22"/>
              </w:rPr>
              <w:t>(0.52 – 0.91)</w:t>
            </w:r>
          </w:p>
        </w:tc>
        <w:tc>
          <w:tcPr>
            <w:tcW w:w="990" w:type="dxa"/>
          </w:tcPr>
          <w:p w14:paraId="381CB402" w14:textId="77777777" w:rsidR="003A195E" w:rsidRPr="004505FA" w:rsidRDefault="003A195E" w:rsidP="006A0F54">
            <w:pPr>
              <w:jc w:val="center"/>
              <w:rPr>
                <w:sz w:val="22"/>
                <w:szCs w:val="22"/>
              </w:rPr>
            </w:pPr>
          </w:p>
        </w:tc>
        <w:tc>
          <w:tcPr>
            <w:tcW w:w="1424" w:type="dxa"/>
          </w:tcPr>
          <w:p w14:paraId="40328B77" w14:textId="2B034763" w:rsidR="003A195E" w:rsidRPr="004505FA" w:rsidRDefault="003A195E" w:rsidP="006A0F54">
            <w:pPr>
              <w:jc w:val="center"/>
              <w:rPr>
                <w:sz w:val="22"/>
                <w:szCs w:val="20"/>
              </w:rPr>
            </w:pPr>
            <w:r w:rsidRPr="004505FA">
              <w:rPr>
                <w:sz w:val="22"/>
                <w:szCs w:val="20"/>
              </w:rPr>
              <w:t>5.7%</w:t>
            </w:r>
          </w:p>
        </w:tc>
        <w:tc>
          <w:tcPr>
            <w:tcW w:w="1530" w:type="dxa"/>
          </w:tcPr>
          <w:p w14:paraId="6E1D2CCB" w14:textId="118B182D" w:rsidR="003A195E" w:rsidRPr="004505FA" w:rsidRDefault="003A195E" w:rsidP="006A0F54">
            <w:pPr>
              <w:jc w:val="center"/>
              <w:rPr>
                <w:sz w:val="22"/>
                <w:szCs w:val="20"/>
              </w:rPr>
            </w:pPr>
            <w:r w:rsidRPr="004505FA">
              <w:rPr>
                <w:sz w:val="22"/>
                <w:szCs w:val="20"/>
              </w:rPr>
              <w:t>2.9%</w:t>
            </w:r>
          </w:p>
        </w:tc>
        <w:tc>
          <w:tcPr>
            <w:tcW w:w="1711" w:type="dxa"/>
          </w:tcPr>
          <w:p w14:paraId="704C5C68" w14:textId="77777777" w:rsidR="003A195E" w:rsidRPr="004505FA" w:rsidRDefault="003A195E" w:rsidP="006A0F54">
            <w:pPr>
              <w:jc w:val="center"/>
              <w:rPr>
                <w:sz w:val="22"/>
                <w:szCs w:val="22"/>
              </w:rPr>
            </w:pPr>
            <w:r w:rsidRPr="004505FA">
              <w:rPr>
                <w:sz w:val="22"/>
                <w:szCs w:val="22"/>
              </w:rPr>
              <w:t xml:space="preserve">0.66 </w:t>
            </w:r>
          </w:p>
          <w:p w14:paraId="3C81FAF1" w14:textId="77777777" w:rsidR="003A195E" w:rsidRPr="004505FA" w:rsidRDefault="003A195E" w:rsidP="006A0F54">
            <w:pPr>
              <w:jc w:val="center"/>
              <w:rPr>
                <w:sz w:val="22"/>
                <w:szCs w:val="22"/>
              </w:rPr>
            </w:pPr>
            <w:r w:rsidRPr="004505FA">
              <w:rPr>
                <w:sz w:val="22"/>
                <w:szCs w:val="22"/>
              </w:rPr>
              <w:t>(0.38 – 1.14)</w:t>
            </w:r>
          </w:p>
        </w:tc>
        <w:tc>
          <w:tcPr>
            <w:tcW w:w="1170" w:type="dxa"/>
          </w:tcPr>
          <w:p w14:paraId="6184BE73" w14:textId="77777777" w:rsidR="003A195E" w:rsidRPr="004505FA" w:rsidRDefault="003A195E" w:rsidP="006A0F54">
            <w:pPr>
              <w:jc w:val="center"/>
              <w:rPr>
                <w:sz w:val="22"/>
                <w:szCs w:val="22"/>
              </w:rPr>
            </w:pPr>
          </w:p>
        </w:tc>
      </w:tr>
      <w:tr w:rsidR="00DC481D" w:rsidRPr="00DE0F3A" w14:paraId="46B2A20B" w14:textId="77777777" w:rsidTr="004505FA">
        <w:tc>
          <w:tcPr>
            <w:tcW w:w="3330" w:type="dxa"/>
          </w:tcPr>
          <w:p w14:paraId="54312DD4" w14:textId="39420774" w:rsidR="00DC481D" w:rsidRPr="004505FA" w:rsidRDefault="00DC481D" w:rsidP="006A0F54">
            <w:pPr>
              <w:rPr>
                <w:rFonts w:eastAsia="Times New Roman"/>
                <w:color w:val="000000"/>
                <w:sz w:val="22"/>
                <w:szCs w:val="22"/>
                <w:lang w:eastAsia="en-US"/>
              </w:rPr>
            </w:pPr>
            <w:r w:rsidRPr="004505FA">
              <w:rPr>
                <w:rFonts w:eastAsia="Times New Roman"/>
                <w:color w:val="000000"/>
                <w:sz w:val="22"/>
                <w:szCs w:val="22"/>
                <w:lang w:eastAsia="en-US"/>
              </w:rPr>
              <w:t xml:space="preserve">     Stroke</w:t>
            </w:r>
          </w:p>
        </w:tc>
        <w:tc>
          <w:tcPr>
            <w:tcW w:w="1507" w:type="dxa"/>
          </w:tcPr>
          <w:p w14:paraId="7DB7FCDF" w14:textId="346918C9" w:rsidR="00DC481D" w:rsidRPr="004505FA" w:rsidRDefault="00DC481D" w:rsidP="006A0F54">
            <w:pPr>
              <w:jc w:val="center"/>
              <w:rPr>
                <w:sz w:val="22"/>
                <w:szCs w:val="20"/>
              </w:rPr>
            </w:pPr>
            <w:r w:rsidRPr="004505FA">
              <w:rPr>
                <w:sz w:val="22"/>
                <w:szCs w:val="20"/>
              </w:rPr>
              <w:t>3.1%</w:t>
            </w:r>
          </w:p>
        </w:tc>
        <w:tc>
          <w:tcPr>
            <w:tcW w:w="1697" w:type="dxa"/>
          </w:tcPr>
          <w:p w14:paraId="166CF592" w14:textId="0EFA3F0E" w:rsidR="00DC481D" w:rsidRPr="004505FA" w:rsidRDefault="00DC481D" w:rsidP="006A0F54">
            <w:pPr>
              <w:jc w:val="center"/>
              <w:rPr>
                <w:sz w:val="22"/>
                <w:szCs w:val="20"/>
              </w:rPr>
            </w:pPr>
            <w:r w:rsidRPr="004505FA">
              <w:rPr>
                <w:sz w:val="22"/>
                <w:szCs w:val="20"/>
              </w:rPr>
              <w:t>1.8%</w:t>
            </w:r>
          </w:p>
        </w:tc>
        <w:tc>
          <w:tcPr>
            <w:tcW w:w="1566" w:type="dxa"/>
          </w:tcPr>
          <w:p w14:paraId="66854AF1" w14:textId="77777777" w:rsidR="00DC481D" w:rsidRPr="004505FA" w:rsidRDefault="00DC481D" w:rsidP="00247494">
            <w:pPr>
              <w:jc w:val="center"/>
              <w:rPr>
                <w:sz w:val="22"/>
                <w:szCs w:val="22"/>
              </w:rPr>
            </w:pPr>
            <w:r w:rsidRPr="004505FA">
              <w:rPr>
                <w:sz w:val="22"/>
                <w:szCs w:val="22"/>
              </w:rPr>
              <w:t>0.59</w:t>
            </w:r>
          </w:p>
          <w:p w14:paraId="6D158D92" w14:textId="2298EAC6" w:rsidR="00DC481D" w:rsidRPr="004505FA" w:rsidRDefault="00DC481D" w:rsidP="006A0F54">
            <w:pPr>
              <w:jc w:val="center"/>
              <w:rPr>
                <w:sz w:val="22"/>
                <w:szCs w:val="22"/>
              </w:rPr>
            </w:pPr>
            <w:r w:rsidRPr="004505FA">
              <w:rPr>
                <w:sz w:val="22"/>
                <w:szCs w:val="22"/>
              </w:rPr>
              <w:t>(0.38 – 0.92)</w:t>
            </w:r>
          </w:p>
        </w:tc>
        <w:tc>
          <w:tcPr>
            <w:tcW w:w="990" w:type="dxa"/>
          </w:tcPr>
          <w:p w14:paraId="6EE50855" w14:textId="77777777" w:rsidR="00DC481D" w:rsidRPr="004505FA" w:rsidRDefault="00DC481D" w:rsidP="006A0F54">
            <w:pPr>
              <w:jc w:val="center"/>
              <w:rPr>
                <w:sz w:val="22"/>
                <w:szCs w:val="22"/>
              </w:rPr>
            </w:pPr>
          </w:p>
        </w:tc>
        <w:tc>
          <w:tcPr>
            <w:tcW w:w="1424" w:type="dxa"/>
          </w:tcPr>
          <w:p w14:paraId="637D8D1A" w14:textId="079DB8B7" w:rsidR="00DC481D" w:rsidRPr="004505FA" w:rsidRDefault="00DC481D" w:rsidP="006A0F54">
            <w:pPr>
              <w:jc w:val="center"/>
              <w:rPr>
                <w:sz w:val="22"/>
                <w:szCs w:val="20"/>
              </w:rPr>
            </w:pPr>
            <w:r w:rsidRPr="004505FA">
              <w:rPr>
                <w:sz w:val="22"/>
                <w:szCs w:val="20"/>
              </w:rPr>
              <w:t>2.5%</w:t>
            </w:r>
          </w:p>
        </w:tc>
        <w:tc>
          <w:tcPr>
            <w:tcW w:w="1530" w:type="dxa"/>
          </w:tcPr>
          <w:p w14:paraId="629B11C2" w14:textId="63283F90" w:rsidR="00DC481D" w:rsidRPr="004505FA" w:rsidRDefault="008535BC" w:rsidP="006A0F54">
            <w:pPr>
              <w:jc w:val="center"/>
              <w:rPr>
                <w:sz w:val="22"/>
                <w:szCs w:val="20"/>
              </w:rPr>
            </w:pPr>
            <w:r w:rsidRPr="004505FA">
              <w:rPr>
                <w:sz w:val="22"/>
                <w:szCs w:val="20"/>
              </w:rPr>
              <w:t>0.7</w:t>
            </w:r>
            <w:r w:rsidR="00DC481D" w:rsidRPr="004505FA">
              <w:rPr>
                <w:sz w:val="22"/>
                <w:szCs w:val="20"/>
              </w:rPr>
              <w:t>%</w:t>
            </w:r>
          </w:p>
        </w:tc>
        <w:tc>
          <w:tcPr>
            <w:tcW w:w="1711" w:type="dxa"/>
          </w:tcPr>
          <w:p w14:paraId="47944998" w14:textId="77777777" w:rsidR="00DC481D" w:rsidRPr="004505FA" w:rsidRDefault="00DC481D" w:rsidP="00247494">
            <w:pPr>
              <w:jc w:val="center"/>
              <w:rPr>
                <w:sz w:val="22"/>
                <w:szCs w:val="22"/>
              </w:rPr>
            </w:pPr>
            <w:r w:rsidRPr="004505FA">
              <w:rPr>
                <w:sz w:val="22"/>
                <w:szCs w:val="22"/>
              </w:rPr>
              <w:t>0.30</w:t>
            </w:r>
          </w:p>
          <w:p w14:paraId="72052E38" w14:textId="1ED832F3" w:rsidR="00DC481D" w:rsidRPr="004505FA" w:rsidRDefault="00DC481D" w:rsidP="006A0F54">
            <w:pPr>
              <w:jc w:val="center"/>
              <w:rPr>
                <w:sz w:val="22"/>
                <w:szCs w:val="22"/>
              </w:rPr>
            </w:pPr>
            <w:r w:rsidRPr="004505FA">
              <w:rPr>
                <w:sz w:val="22"/>
                <w:szCs w:val="22"/>
              </w:rPr>
              <w:t>(0.11 – 0.82)</w:t>
            </w:r>
          </w:p>
        </w:tc>
        <w:tc>
          <w:tcPr>
            <w:tcW w:w="1170" w:type="dxa"/>
          </w:tcPr>
          <w:p w14:paraId="4BCB0604" w14:textId="77777777" w:rsidR="00DC481D" w:rsidRPr="004505FA" w:rsidRDefault="00DC481D" w:rsidP="006A0F54">
            <w:pPr>
              <w:jc w:val="center"/>
              <w:rPr>
                <w:sz w:val="22"/>
                <w:szCs w:val="22"/>
              </w:rPr>
            </w:pPr>
          </w:p>
        </w:tc>
      </w:tr>
      <w:tr w:rsidR="00DC481D" w:rsidRPr="00DE0F3A" w14:paraId="4DD784B7" w14:textId="77777777" w:rsidTr="004505FA">
        <w:tc>
          <w:tcPr>
            <w:tcW w:w="3330" w:type="dxa"/>
          </w:tcPr>
          <w:p w14:paraId="0DD61DAC" w14:textId="672748E0" w:rsidR="00DC481D" w:rsidRPr="004505FA" w:rsidRDefault="00DC481D" w:rsidP="006A0F54">
            <w:pPr>
              <w:rPr>
                <w:rFonts w:eastAsia="Times New Roman"/>
                <w:color w:val="000000"/>
                <w:sz w:val="22"/>
                <w:szCs w:val="22"/>
                <w:lang w:eastAsia="en-US"/>
              </w:rPr>
            </w:pPr>
            <w:r w:rsidRPr="004505FA">
              <w:rPr>
                <w:rFonts w:eastAsia="Times New Roman"/>
                <w:color w:val="000000"/>
                <w:sz w:val="22"/>
                <w:szCs w:val="22"/>
                <w:lang w:eastAsia="en-US"/>
              </w:rPr>
              <w:t xml:space="preserve">     Ischemic Stroke</w:t>
            </w:r>
          </w:p>
        </w:tc>
        <w:tc>
          <w:tcPr>
            <w:tcW w:w="1507" w:type="dxa"/>
          </w:tcPr>
          <w:p w14:paraId="6A3D1AC9" w14:textId="636C6A80" w:rsidR="00DC481D" w:rsidRPr="004505FA" w:rsidRDefault="00DC481D" w:rsidP="006A0F54">
            <w:pPr>
              <w:jc w:val="center"/>
              <w:rPr>
                <w:sz w:val="22"/>
                <w:szCs w:val="20"/>
              </w:rPr>
            </w:pPr>
            <w:r w:rsidRPr="004505FA">
              <w:rPr>
                <w:sz w:val="22"/>
                <w:szCs w:val="20"/>
              </w:rPr>
              <w:t>2.9%</w:t>
            </w:r>
          </w:p>
        </w:tc>
        <w:tc>
          <w:tcPr>
            <w:tcW w:w="1697" w:type="dxa"/>
          </w:tcPr>
          <w:p w14:paraId="45397FEA" w14:textId="6920539D" w:rsidR="00DC481D" w:rsidRPr="004505FA" w:rsidRDefault="00DC481D" w:rsidP="006A0F54">
            <w:pPr>
              <w:jc w:val="center"/>
              <w:rPr>
                <w:sz w:val="22"/>
                <w:szCs w:val="20"/>
              </w:rPr>
            </w:pPr>
            <w:r w:rsidRPr="004505FA">
              <w:rPr>
                <w:sz w:val="22"/>
                <w:szCs w:val="20"/>
              </w:rPr>
              <w:t>1.7%</w:t>
            </w:r>
          </w:p>
        </w:tc>
        <w:tc>
          <w:tcPr>
            <w:tcW w:w="1566" w:type="dxa"/>
          </w:tcPr>
          <w:p w14:paraId="6B8C1D69" w14:textId="77777777" w:rsidR="00DC481D" w:rsidRPr="004505FA" w:rsidRDefault="00DC481D" w:rsidP="00247494">
            <w:pPr>
              <w:jc w:val="center"/>
              <w:rPr>
                <w:sz w:val="22"/>
                <w:szCs w:val="22"/>
              </w:rPr>
            </w:pPr>
            <w:r w:rsidRPr="004505FA">
              <w:rPr>
                <w:sz w:val="22"/>
                <w:szCs w:val="22"/>
              </w:rPr>
              <w:t xml:space="preserve">0.57 </w:t>
            </w:r>
          </w:p>
          <w:p w14:paraId="49ED0741" w14:textId="795128CC" w:rsidR="00DC481D" w:rsidRPr="004505FA" w:rsidRDefault="00DC481D" w:rsidP="006A0F54">
            <w:pPr>
              <w:jc w:val="center"/>
              <w:rPr>
                <w:sz w:val="22"/>
                <w:szCs w:val="22"/>
              </w:rPr>
            </w:pPr>
            <w:r w:rsidRPr="004505FA">
              <w:rPr>
                <w:sz w:val="22"/>
                <w:szCs w:val="22"/>
              </w:rPr>
              <w:t>(0.35 – 0.90)</w:t>
            </w:r>
          </w:p>
        </w:tc>
        <w:tc>
          <w:tcPr>
            <w:tcW w:w="990" w:type="dxa"/>
          </w:tcPr>
          <w:p w14:paraId="253C1AE3" w14:textId="77777777" w:rsidR="00DC481D" w:rsidRPr="004505FA" w:rsidRDefault="00DC481D" w:rsidP="006A0F54">
            <w:pPr>
              <w:jc w:val="center"/>
              <w:rPr>
                <w:sz w:val="22"/>
                <w:szCs w:val="22"/>
              </w:rPr>
            </w:pPr>
          </w:p>
        </w:tc>
        <w:tc>
          <w:tcPr>
            <w:tcW w:w="1424" w:type="dxa"/>
          </w:tcPr>
          <w:p w14:paraId="0DE03AE1" w14:textId="18BC3671" w:rsidR="00DC481D" w:rsidRPr="004505FA" w:rsidRDefault="00DC481D" w:rsidP="006A0F54">
            <w:pPr>
              <w:jc w:val="center"/>
              <w:rPr>
                <w:sz w:val="22"/>
                <w:szCs w:val="20"/>
              </w:rPr>
            </w:pPr>
            <w:r w:rsidRPr="004505FA">
              <w:rPr>
                <w:sz w:val="22"/>
                <w:szCs w:val="20"/>
              </w:rPr>
              <w:t>2.4%</w:t>
            </w:r>
          </w:p>
        </w:tc>
        <w:tc>
          <w:tcPr>
            <w:tcW w:w="1530" w:type="dxa"/>
          </w:tcPr>
          <w:p w14:paraId="6E3F76FE" w14:textId="16307935" w:rsidR="00DC481D" w:rsidRPr="004505FA" w:rsidRDefault="008535BC" w:rsidP="006A0F54">
            <w:pPr>
              <w:jc w:val="center"/>
              <w:rPr>
                <w:sz w:val="22"/>
                <w:szCs w:val="20"/>
              </w:rPr>
            </w:pPr>
            <w:r w:rsidRPr="004505FA">
              <w:rPr>
                <w:sz w:val="22"/>
                <w:szCs w:val="20"/>
              </w:rPr>
              <w:t>0.5</w:t>
            </w:r>
            <w:r w:rsidR="00DC481D" w:rsidRPr="004505FA">
              <w:rPr>
                <w:sz w:val="22"/>
                <w:szCs w:val="20"/>
              </w:rPr>
              <w:t>%</w:t>
            </w:r>
          </w:p>
        </w:tc>
        <w:tc>
          <w:tcPr>
            <w:tcW w:w="1711" w:type="dxa"/>
          </w:tcPr>
          <w:p w14:paraId="7B4874BC" w14:textId="77777777" w:rsidR="00DC481D" w:rsidRPr="004505FA" w:rsidRDefault="00DC481D" w:rsidP="00247494">
            <w:pPr>
              <w:jc w:val="center"/>
              <w:rPr>
                <w:sz w:val="22"/>
                <w:szCs w:val="22"/>
              </w:rPr>
            </w:pPr>
            <w:r w:rsidRPr="004505FA">
              <w:rPr>
                <w:sz w:val="22"/>
                <w:szCs w:val="22"/>
              </w:rPr>
              <w:t>0.25</w:t>
            </w:r>
          </w:p>
          <w:p w14:paraId="13C4E364" w14:textId="25B33E38" w:rsidR="00DC481D" w:rsidRPr="004505FA" w:rsidRDefault="00DC481D" w:rsidP="006A0F54">
            <w:pPr>
              <w:jc w:val="center"/>
              <w:rPr>
                <w:sz w:val="22"/>
                <w:szCs w:val="22"/>
              </w:rPr>
            </w:pPr>
            <w:r w:rsidRPr="004505FA">
              <w:rPr>
                <w:sz w:val="22"/>
                <w:szCs w:val="22"/>
              </w:rPr>
              <w:t>(0.08 – 0.77)</w:t>
            </w:r>
          </w:p>
        </w:tc>
        <w:tc>
          <w:tcPr>
            <w:tcW w:w="1170" w:type="dxa"/>
          </w:tcPr>
          <w:p w14:paraId="03542336" w14:textId="77777777" w:rsidR="00DC481D" w:rsidRPr="004505FA" w:rsidRDefault="00DC481D" w:rsidP="006A0F54">
            <w:pPr>
              <w:jc w:val="center"/>
              <w:rPr>
                <w:sz w:val="22"/>
                <w:szCs w:val="22"/>
              </w:rPr>
            </w:pPr>
          </w:p>
        </w:tc>
      </w:tr>
      <w:tr w:rsidR="00DC481D" w:rsidRPr="00DE0F3A" w14:paraId="14F4F27A" w14:textId="77777777" w:rsidTr="004505FA">
        <w:tc>
          <w:tcPr>
            <w:tcW w:w="3330" w:type="dxa"/>
          </w:tcPr>
          <w:p w14:paraId="14CF8A29" w14:textId="14070079" w:rsidR="00DC481D" w:rsidRPr="004505FA" w:rsidRDefault="00DC481D" w:rsidP="006A0F54">
            <w:pPr>
              <w:rPr>
                <w:rFonts w:eastAsia="Times New Roman"/>
                <w:color w:val="000000"/>
                <w:sz w:val="22"/>
                <w:szCs w:val="22"/>
                <w:lang w:eastAsia="en-US"/>
              </w:rPr>
            </w:pPr>
            <w:r w:rsidRPr="004505FA">
              <w:rPr>
                <w:rFonts w:eastAsia="Times New Roman"/>
                <w:color w:val="000000"/>
                <w:sz w:val="22"/>
                <w:szCs w:val="22"/>
                <w:lang w:eastAsia="en-US"/>
              </w:rPr>
              <w:t xml:space="preserve">     Coronary revascularization</w:t>
            </w:r>
          </w:p>
        </w:tc>
        <w:tc>
          <w:tcPr>
            <w:tcW w:w="1507" w:type="dxa"/>
          </w:tcPr>
          <w:p w14:paraId="78F409E1" w14:textId="260F6F2C" w:rsidR="00DC481D" w:rsidRPr="004505FA" w:rsidRDefault="00DC481D" w:rsidP="006A0F54">
            <w:pPr>
              <w:jc w:val="center"/>
              <w:rPr>
                <w:sz w:val="22"/>
                <w:szCs w:val="20"/>
              </w:rPr>
            </w:pPr>
            <w:r w:rsidRPr="004505FA">
              <w:rPr>
                <w:sz w:val="22"/>
                <w:szCs w:val="20"/>
              </w:rPr>
              <w:t>9.6%</w:t>
            </w:r>
          </w:p>
        </w:tc>
        <w:tc>
          <w:tcPr>
            <w:tcW w:w="1697" w:type="dxa"/>
          </w:tcPr>
          <w:p w14:paraId="452BE56A" w14:textId="3A8091EB" w:rsidR="00DC481D" w:rsidRPr="004505FA" w:rsidRDefault="00DC481D" w:rsidP="006A0F54">
            <w:pPr>
              <w:jc w:val="center"/>
              <w:rPr>
                <w:sz w:val="22"/>
                <w:szCs w:val="20"/>
              </w:rPr>
            </w:pPr>
            <w:r w:rsidRPr="004505FA">
              <w:rPr>
                <w:sz w:val="22"/>
                <w:szCs w:val="20"/>
              </w:rPr>
              <w:t>7.0%</w:t>
            </w:r>
          </w:p>
        </w:tc>
        <w:tc>
          <w:tcPr>
            <w:tcW w:w="1566" w:type="dxa"/>
          </w:tcPr>
          <w:p w14:paraId="53D50597" w14:textId="77777777" w:rsidR="00DC481D" w:rsidRPr="004505FA" w:rsidRDefault="00DC481D" w:rsidP="006A0F54">
            <w:pPr>
              <w:jc w:val="center"/>
              <w:rPr>
                <w:sz w:val="22"/>
                <w:szCs w:val="22"/>
              </w:rPr>
            </w:pPr>
            <w:r w:rsidRPr="004505FA">
              <w:rPr>
                <w:sz w:val="22"/>
                <w:szCs w:val="22"/>
              </w:rPr>
              <w:t>0.79</w:t>
            </w:r>
          </w:p>
          <w:p w14:paraId="400CE3E8" w14:textId="1A313FFB" w:rsidR="00DC481D" w:rsidRPr="004505FA" w:rsidRDefault="00DC481D" w:rsidP="006A0F54">
            <w:pPr>
              <w:jc w:val="center"/>
              <w:rPr>
                <w:sz w:val="22"/>
                <w:szCs w:val="22"/>
              </w:rPr>
            </w:pPr>
            <w:r w:rsidRPr="004505FA">
              <w:rPr>
                <w:sz w:val="22"/>
                <w:szCs w:val="22"/>
              </w:rPr>
              <w:t>(0.62 – 1.01)</w:t>
            </w:r>
          </w:p>
        </w:tc>
        <w:tc>
          <w:tcPr>
            <w:tcW w:w="990" w:type="dxa"/>
          </w:tcPr>
          <w:p w14:paraId="4990114C" w14:textId="77777777" w:rsidR="00DC481D" w:rsidRPr="004505FA" w:rsidRDefault="00DC481D" w:rsidP="006A0F54">
            <w:pPr>
              <w:jc w:val="center"/>
              <w:rPr>
                <w:sz w:val="22"/>
                <w:szCs w:val="22"/>
              </w:rPr>
            </w:pPr>
          </w:p>
        </w:tc>
        <w:tc>
          <w:tcPr>
            <w:tcW w:w="1424" w:type="dxa"/>
          </w:tcPr>
          <w:p w14:paraId="36F47E88" w14:textId="357F728E" w:rsidR="00DC481D" w:rsidRPr="004505FA" w:rsidRDefault="00DC481D" w:rsidP="006A0F54">
            <w:pPr>
              <w:jc w:val="center"/>
              <w:rPr>
                <w:sz w:val="22"/>
                <w:szCs w:val="20"/>
              </w:rPr>
            </w:pPr>
            <w:r w:rsidRPr="004505FA">
              <w:rPr>
                <w:sz w:val="22"/>
                <w:szCs w:val="20"/>
              </w:rPr>
              <w:t>6.9%</w:t>
            </w:r>
          </w:p>
        </w:tc>
        <w:tc>
          <w:tcPr>
            <w:tcW w:w="1530" w:type="dxa"/>
          </w:tcPr>
          <w:p w14:paraId="5CA6ECCA" w14:textId="7BB8ADF0" w:rsidR="00DC481D" w:rsidRPr="004505FA" w:rsidRDefault="00DC481D" w:rsidP="006A0F54">
            <w:pPr>
              <w:jc w:val="center"/>
              <w:rPr>
                <w:sz w:val="22"/>
                <w:szCs w:val="20"/>
              </w:rPr>
            </w:pPr>
            <w:r w:rsidRPr="004505FA">
              <w:rPr>
                <w:sz w:val="22"/>
                <w:szCs w:val="20"/>
              </w:rPr>
              <w:t>4.0%</w:t>
            </w:r>
          </w:p>
        </w:tc>
        <w:tc>
          <w:tcPr>
            <w:tcW w:w="1711" w:type="dxa"/>
          </w:tcPr>
          <w:p w14:paraId="3AC19602" w14:textId="77777777" w:rsidR="00DC481D" w:rsidRPr="004505FA" w:rsidRDefault="00DC481D" w:rsidP="006A0F54">
            <w:pPr>
              <w:jc w:val="center"/>
              <w:rPr>
                <w:sz w:val="22"/>
                <w:szCs w:val="22"/>
              </w:rPr>
            </w:pPr>
            <w:r w:rsidRPr="004505FA">
              <w:rPr>
                <w:sz w:val="22"/>
                <w:szCs w:val="22"/>
              </w:rPr>
              <w:t>0.70</w:t>
            </w:r>
          </w:p>
          <w:p w14:paraId="0AD6E2DE" w14:textId="7F88AADA" w:rsidR="00DC481D" w:rsidRPr="004505FA" w:rsidRDefault="00DC481D" w:rsidP="006A0F54">
            <w:pPr>
              <w:jc w:val="center"/>
              <w:rPr>
                <w:sz w:val="22"/>
                <w:szCs w:val="22"/>
              </w:rPr>
            </w:pPr>
            <w:r w:rsidRPr="004505FA">
              <w:rPr>
                <w:sz w:val="22"/>
                <w:szCs w:val="22"/>
              </w:rPr>
              <w:t>(0.44 – 1.13)</w:t>
            </w:r>
          </w:p>
        </w:tc>
        <w:tc>
          <w:tcPr>
            <w:tcW w:w="1170" w:type="dxa"/>
          </w:tcPr>
          <w:p w14:paraId="70CA1E2F" w14:textId="77777777" w:rsidR="00DC481D" w:rsidRPr="004505FA" w:rsidRDefault="00DC481D" w:rsidP="006A0F54">
            <w:pPr>
              <w:jc w:val="center"/>
              <w:rPr>
                <w:sz w:val="22"/>
                <w:szCs w:val="22"/>
              </w:rPr>
            </w:pPr>
          </w:p>
        </w:tc>
      </w:tr>
      <w:tr w:rsidR="00DC481D" w:rsidRPr="00DE0F3A" w14:paraId="5F180E03" w14:textId="77777777" w:rsidTr="004505FA">
        <w:tc>
          <w:tcPr>
            <w:tcW w:w="3330" w:type="dxa"/>
          </w:tcPr>
          <w:p w14:paraId="247F13F7" w14:textId="77777777" w:rsidR="00DC481D" w:rsidRPr="004505FA" w:rsidRDefault="00DC481D" w:rsidP="006A0F54">
            <w:pPr>
              <w:rPr>
                <w:b/>
                <w:i/>
                <w:sz w:val="22"/>
                <w:szCs w:val="22"/>
              </w:rPr>
            </w:pPr>
            <w:r w:rsidRPr="004505FA">
              <w:rPr>
                <w:rFonts w:eastAsia="Times New Roman"/>
                <w:color w:val="000000"/>
                <w:sz w:val="22"/>
                <w:szCs w:val="22"/>
                <w:lang w:eastAsia="en-US"/>
              </w:rPr>
              <w:t>All death</w:t>
            </w:r>
          </w:p>
        </w:tc>
        <w:tc>
          <w:tcPr>
            <w:tcW w:w="1507" w:type="dxa"/>
          </w:tcPr>
          <w:p w14:paraId="3A2DBB34" w14:textId="296D69B7" w:rsidR="00DC481D" w:rsidRPr="004505FA" w:rsidRDefault="00DC481D" w:rsidP="006A0F54">
            <w:pPr>
              <w:jc w:val="center"/>
              <w:rPr>
                <w:sz w:val="22"/>
                <w:szCs w:val="20"/>
              </w:rPr>
            </w:pPr>
            <w:r w:rsidRPr="004505FA">
              <w:rPr>
                <w:sz w:val="22"/>
                <w:szCs w:val="20"/>
              </w:rPr>
              <w:t>6.7%</w:t>
            </w:r>
          </w:p>
        </w:tc>
        <w:tc>
          <w:tcPr>
            <w:tcW w:w="1697" w:type="dxa"/>
          </w:tcPr>
          <w:p w14:paraId="077396E1" w14:textId="36063CF5" w:rsidR="00DC481D" w:rsidRPr="004505FA" w:rsidRDefault="00DC481D" w:rsidP="006A0F54">
            <w:pPr>
              <w:jc w:val="center"/>
              <w:rPr>
                <w:sz w:val="22"/>
                <w:szCs w:val="20"/>
              </w:rPr>
            </w:pPr>
            <w:r w:rsidRPr="004505FA">
              <w:rPr>
                <w:sz w:val="22"/>
                <w:szCs w:val="20"/>
              </w:rPr>
              <w:t>6.2%</w:t>
            </w:r>
          </w:p>
        </w:tc>
        <w:tc>
          <w:tcPr>
            <w:tcW w:w="1566" w:type="dxa"/>
          </w:tcPr>
          <w:p w14:paraId="786FF92C" w14:textId="77777777" w:rsidR="00DC481D" w:rsidRPr="004505FA" w:rsidRDefault="00DC481D" w:rsidP="006A0F54">
            <w:pPr>
              <w:jc w:val="center"/>
              <w:rPr>
                <w:sz w:val="22"/>
                <w:szCs w:val="22"/>
              </w:rPr>
            </w:pPr>
            <w:r w:rsidRPr="004505FA">
              <w:rPr>
                <w:sz w:val="22"/>
                <w:szCs w:val="22"/>
              </w:rPr>
              <w:t>0.92</w:t>
            </w:r>
          </w:p>
          <w:p w14:paraId="7AB6F91A" w14:textId="77777777" w:rsidR="00DC481D" w:rsidRPr="004505FA" w:rsidRDefault="00DC481D" w:rsidP="006A0F54">
            <w:pPr>
              <w:jc w:val="center"/>
              <w:rPr>
                <w:sz w:val="22"/>
                <w:szCs w:val="22"/>
              </w:rPr>
            </w:pPr>
            <w:r w:rsidRPr="004505FA">
              <w:rPr>
                <w:sz w:val="22"/>
                <w:szCs w:val="22"/>
              </w:rPr>
              <w:t>(0.69 – 1.23)</w:t>
            </w:r>
          </w:p>
        </w:tc>
        <w:tc>
          <w:tcPr>
            <w:tcW w:w="990" w:type="dxa"/>
          </w:tcPr>
          <w:p w14:paraId="587F5ED8" w14:textId="338B452F" w:rsidR="00DC481D" w:rsidRPr="004505FA" w:rsidRDefault="00DC481D" w:rsidP="006A0F54">
            <w:pPr>
              <w:jc w:val="center"/>
              <w:rPr>
                <w:sz w:val="22"/>
                <w:szCs w:val="22"/>
              </w:rPr>
            </w:pPr>
          </w:p>
        </w:tc>
        <w:tc>
          <w:tcPr>
            <w:tcW w:w="1424" w:type="dxa"/>
          </w:tcPr>
          <w:p w14:paraId="29665CD0" w14:textId="277DC520" w:rsidR="00DC481D" w:rsidRPr="004505FA" w:rsidRDefault="00DC481D" w:rsidP="006A0F54">
            <w:pPr>
              <w:jc w:val="center"/>
              <w:rPr>
                <w:sz w:val="22"/>
                <w:szCs w:val="20"/>
              </w:rPr>
            </w:pPr>
            <w:r w:rsidRPr="004505FA">
              <w:rPr>
                <w:sz w:val="22"/>
                <w:szCs w:val="20"/>
              </w:rPr>
              <w:t>6.4%</w:t>
            </w:r>
          </w:p>
        </w:tc>
        <w:tc>
          <w:tcPr>
            <w:tcW w:w="1530" w:type="dxa"/>
          </w:tcPr>
          <w:p w14:paraId="570350F5" w14:textId="3EB83F50" w:rsidR="00DC481D" w:rsidRPr="004505FA" w:rsidRDefault="00DC481D" w:rsidP="006A0F54">
            <w:pPr>
              <w:jc w:val="center"/>
              <w:rPr>
                <w:sz w:val="22"/>
                <w:szCs w:val="20"/>
              </w:rPr>
            </w:pPr>
            <w:r w:rsidRPr="004505FA">
              <w:rPr>
                <w:sz w:val="22"/>
                <w:szCs w:val="20"/>
              </w:rPr>
              <w:t>4.9%</w:t>
            </w:r>
          </w:p>
        </w:tc>
        <w:tc>
          <w:tcPr>
            <w:tcW w:w="1711" w:type="dxa"/>
          </w:tcPr>
          <w:p w14:paraId="3545A617" w14:textId="77777777" w:rsidR="00DC481D" w:rsidRPr="004505FA" w:rsidRDefault="00DC481D" w:rsidP="006A0F54">
            <w:pPr>
              <w:jc w:val="center"/>
              <w:rPr>
                <w:sz w:val="22"/>
                <w:szCs w:val="22"/>
              </w:rPr>
            </w:pPr>
            <w:r w:rsidRPr="004505FA">
              <w:rPr>
                <w:sz w:val="22"/>
                <w:szCs w:val="22"/>
              </w:rPr>
              <w:t>0.86</w:t>
            </w:r>
          </w:p>
          <w:p w14:paraId="4C018716" w14:textId="77777777" w:rsidR="00DC481D" w:rsidRPr="004505FA" w:rsidRDefault="00DC481D" w:rsidP="006A0F54">
            <w:pPr>
              <w:jc w:val="center"/>
              <w:rPr>
                <w:sz w:val="22"/>
                <w:szCs w:val="22"/>
              </w:rPr>
            </w:pPr>
            <w:r w:rsidRPr="004505FA">
              <w:rPr>
                <w:sz w:val="22"/>
                <w:szCs w:val="22"/>
              </w:rPr>
              <w:t>(0.51 – 1.45)</w:t>
            </w:r>
          </w:p>
        </w:tc>
        <w:tc>
          <w:tcPr>
            <w:tcW w:w="1170" w:type="dxa"/>
          </w:tcPr>
          <w:p w14:paraId="71A842D0" w14:textId="560332D7" w:rsidR="00DC481D" w:rsidRPr="004505FA" w:rsidRDefault="00DC481D" w:rsidP="006A0F54">
            <w:pPr>
              <w:jc w:val="center"/>
              <w:rPr>
                <w:sz w:val="22"/>
                <w:szCs w:val="22"/>
              </w:rPr>
            </w:pPr>
          </w:p>
        </w:tc>
      </w:tr>
    </w:tbl>
    <w:p w14:paraId="012C1FFE" w14:textId="77777777" w:rsidR="003A195E" w:rsidRPr="00A66AE9" w:rsidRDefault="003A195E" w:rsidP="003A195E">
      <w:pPr>
        <w:rPr>
          <w:b/>
        </w:rPr>
        <w:sectPr w:rsidR="003A195E" w:rsidRPr="00A66AE9" w:rsidSect="00307F3C">
          <w:pgSz w:w="15840" w:h="12240" w:orient="landscape" w:code="1"/>
          <w:pgMar w:top="1350" w:right="1440" w:bottom="1800" w:left="1440" w:header="720" w:footer="720" w:gutter="0"/>
          <w:cols w:space="720"/>
          <w:titlePg/>
          <w:docGrid w:linePitch="360"/>
        </w:sectPr>
      </w:pPr>
    </w:p>
    <w:p w14:paraId="673B5FD5" w14:textId="60B16C03" w:rsidR="00C3264B" w:rsidRDefault="006F0D94" w:rsidP="006F0D94">
      <w:pPr>
        <w:spacing w:line="480" w:lineRule="auto"/>
      </w:pPr>
      <w:r w:rsidRPr="00165ADD">
        <w:rPr>
          <w:b/>
        </w:rPr>
        <w:lastRenderedPageBreak/>
        <w:t xml:space="preserve">Table </w:t>
      </w:r>
      <w:r w:rsidR="006F6A51">
        <w:rPr>
          <w:b/>
        </w:rPr>
        <w:t>3</w:t>
      </w:r>
      <w:r>
        <w:rPr>
          <w:b/>
        </w:rPr>
        <w:t>.</w:t>
      </w:r>
      <w:r>
        <w:t xml:space="preserve"> Major Adverse Limb Outcomes with Evolocumab</w:t>
      </w:r>
      <w:r w:rsidR="00005368">
        <w:t xml:space="preserve"> vs Placebo </w:t>
      </w:r>
      <w:r w:rsidR="00C3264B">
        <w:t>in the Overall Population</w:t>
      </w:r>
    </w:p>
    <w:tbl>
      <w:tblPr>
        <w:tblStyle w:val="TableGrid"/>
        <w:tblW w:w="14940" w:type="dxa"/>
        <w:tblInd w:w="-792" w:type="dxa"/>
        <w:tblBorders>
          <w:left w:val="none" w:sz="0" w:space="0" w:color="auto"/>
          <w:right w:val="none" w:sz="0" w:space="0" w:color="auto"/>
          <w:insideV w:val="none" w:sz="0" w:space="0" w:color="auto"/>
        </w:tblBorders>
        <w:tblLayout w:type="fixed"/>
        <w:tblLook w:val="04A0" w:firstRow="1" w:lastRow="0" w:firstColumn="1" w:lastColumn="0" w:noHBand="0" w:noVBand="1"/>
      </w:tblPr>
      <w:tblGrid>
        <w:gridCol w:w="2470"/>
        <w:gridCol w:w="1206"/>
        <w:gridCol w:w="1538"/>
        <w:gridCol w:w="1555"/>
        <w:gridCol w:w="1097"/>
        <w:gridCol w:w="1412"/>
        <w:gridCol w:w="1514"/>
        <w:gridCol w:w="1054"/>
        <w:gridCol w:w="1507"/>
        <w:gridCol w:w="1587"/>
      </w:tblGrid>
      <w:tr w:rsidR="00BD41D8" w:rsidRPr="006F0D94" w14:paraId="4A7D5F9E" w14:textId="77777777" w:rsidTr="00BD41D8">
        <w:trPr>
          <w:trHeight w:val="335"/>
        </w:trPr>
        <w:tc>
          <w:tcPr>
            <w:tcW w:w="2470" w:type="dxa"/>
          </w:tcPr>
          <w:p w14:paraId="15EC971D" w14:textId="77777777" w:rsidR="00BD41D8" w:rsidRPr="007456E0" w:rsidRDefault="00BD41D8" w:rsidP="00BD41D8">
            <w:pPr>
              <w:rPr>
                <w:sz w:val="22"/>
                <w:szCs w:val="22"/>
              </w:rPr>
            </w:pPr>
            <w:r w:rsidRPr="007456E0">
              <w:rPr>
                <w:b/>
                <w:i/>
                <w:sz w:val="22"/>
                <w:szCs w:val="22"/>
              </w:rPr>
              <w:t>Efficacy Outcomes</w:t>
            </w:r>
          </w:p>
        </w:tc>
        <w:tc>
          <w:tcPr>
            <w:tcW w:w="4299" w:type="dxa"/>
            <w:gridSpan w:val="3"/>
          </w:tcPr>
          <w:p w14:paraId="306DF626" w14:textId="77777777" w:rsidR="00BD41D8" w:rsidRPr="007456E0" w:rsidRDefault="00BD41D8" w:rsidP="00BD41D8">
            <w:pPr>
              <w:jc w:val="center"/>
              <w:rPr>
                <w:b/>
                <w:sz w:val="22"/>
                <w:szCs w:val="22"/>
              </w:rPr>
            </w:pPr>
            <w:r w:rsidRPr="007456E0">
              <w:rPr>
                <w:b/>
                <w:sz w:val="22"/>
                <w:szCs w:val="22"/>
              </w:rPr>
              <w:t>Overall Population</w:t>
            </w:r>
          </w:p>
        </w:tc>
        <w:tc>
          <w:tcPr>
            <w:tcW w:w="4023" w:type="dxa"/>
            <w:gridSpan w:val="3"/>
          </w:tcPr>
          <w:p w14:paraId="0588D5A4" w14:textId="77777777" w:rsidR="00BD41D8" w:rsidRPr="007456E0" w:rsidRDefault="00BD41D8" w:rsidP="00BD41D8">
            <w:pPr>
              <w:jc w:val="center"/>
              <w:rPr>
                <w:b/>
                <w:sz w:val="22"/>
                <w:szCs w:val="22"/>
              </w:rPr>
            </w:pPr>
            <w:r w:rsidRPr="007456E0">
              <w:rPr>
                <w:b/>
                <w:sz w:val="22"/>
                <w:szCs w:val="22"/>
              </w:rPr>
              <w:t>Patients with PAD</w:t>
            </w:r>
          </w:p>
        </w:tc>
        <w:tc>
          <w:tcPr>
            <w:tcW w:w="4148" w:type="dxa"/>
            <w:gridSpan w:val="3"/>
          </w:tcPr>
          <w:p w14:paraId="6D78B324" w14:textId="77777777" w:rsidR="00BD41D8" w:rsidRPr="007456E0" w:rsidRDefault="00BD41D8" w:rsidP="00BD41D8">
            <w:pPr>
              <w:jc w:val="center"/>
              <w:rPr>
                <w:b/>
                <w:sz w:val="22"/>
                <w:szCs w:val="22"/>
              </w:rPr>
            </w:pPr>
            <w:r w:rsidRPr="007456E0">
              <w:rPr>
                <w:b/>
                <w:sz w:val="22"/>
                <w:szCs w:val="22"/>
              </w:rPr>
              <w:t>Patients with PAD and no MI or Stroke</w:t>
            </w:r>
          </w:p>
        </w:tc>
      </w:tr>
      <w:tr w:rsidR="00BD41D8" w:rsidRPr="006F0D94" w14:paraId="2E2DA643" w14:textId="77777777" w:rsidTr="00BD41D8">
        <w:trPr>
          <w:trHeight w:val="714"/>
        </w:trPr>
        <w:tc>
          <w:tcPr>
            <w:tcW w:w="2470" w:type="dxa"/>
          </w:tcPr>
          <w:p w14:paraId="46CA0DD5" w14:textId="77777777" w:rsidR="00BD41D8" w:rsidRPr="007456E0" w:rsidRDefault="00BD41D8" w:rsidP="00BD41D8">
            <w:pPr>
              <w:rPr>
                <w:b/>
                <w:sz w:val="22"/>
                <w:szCs w:val="22"/>
              </w:rPr>
            </w:pPr>
            <w:r w:rsidRPr="007456E0">
              <w:rPr>
                <w:b/>
                <w:sz w:val="22"/>
                <w:szCs w:val="22"/>
              </w:rPr>
              <w:br w:type="page"/>
              <w:t>Outcome</w:t>
            </w:r>
          </w:p>
          <w:p w14:paraId="508191A0" w14:textId="77777777" w:rsidR="00BD41D8" w:rsidRPr="007456E0" w:rsidRDefault="00BD41D8" w:rsidP="00BD41D8">
            <w:pPr>
              <w:rPr>
                <w:b/>
                <w:sz w:val="22"/>
                <w:szCs w:val="22"/>
              </w:rPr>
            </w:pPr>
          </w:p>
          <w:p w14:paraId="15BC7A86" w14:textId="77777777" w:rsidR="00BD41D8" w:rsidRPr="007456E0" w:rsidRDefault="00BD41D8" w:rsidP="00BD41D8">
            <w:pPr>
              <w:rPr>
                <w:b/>
                <w:sz w:val="22"/>
                <w:szCs w:val="22"/>
              </w:rPr>
            </w:pPr>
            <w:proofErr w:type="gramStart"/>
            <w:r w:rsidRPr="007456E0">
              <w:rPr>
                <w:b/>
                <w:sz w:val="22"/>
                <w:szCs w:val="22"/>
              </w:rPr>
              <w:t>n</w:t>
            </w:r>
            <w:proofErr w:type="gramEnd"/>
            <w:r w:rsidRPr="007456E0">
              <w:rPr>
                <w:b/>
                <w:sz w:val="22"/>
                <w:szCs w:val="22"/>
              </w:rPr>
              <w:t>, 2.5yr KM rate (%)</w:t>
            </w:r>
          </w:p>
        </w:tc>
        <w:tc>
          <w:tcPr>
            <w:tcW w:w="1206" w:type="dxa"/>
          </w:tcPr>
          <w:p w14:paraId="7AB52085" w14:textId="77777777" w:rsidR="00BD41D8" w:rsidRPr="007456E0" w:rsidRDefault="00BD41D8" w:rsidP="00BD41D8">
            <w:pPr>
              <w:jc w:val="center"/>
              <w:rPr>
                <w:b/>
                <w:sz w:val="22"/>
                <w:szCs w:val="22"/>
              </w:rPr>
            </w:pPr>
            <w:r w:rsidRPr="007456E0">
              <w:rPr>
                <w:b/>
                <w:sz w:val="22"/>
                <w:szCs w:val="22"/>
              </w:rPr>
              <w:t>Placebo</w:t>
            </w:r>
          </w:p>
          <w:p w14:paraId="11AD9737" w14:textId="77777777" w:rsidR="00BD41D8" w:rsidRPr="007456E0" w:rsidRDefault="00BD41D8" w:rsidP="00BD41D8">
            <w:pPr>
              <w:jc w:val="center"/>
              <w:rPr>
                <w:b/>
                <w:sz w:val="22"/>
                <w:szCs w:val="22"/>
              </w:rPr>
            </w:pPr>
            <w:r w:rsidRPr="007456E0">
              <w:rPr>
                <w:b/>
                <w:sz w:val="22"/>
                <w:szCs w:val="22"/>
              </w:rPr>
              <w:t>N=13,780</w:t>
            </w:r>
          </w:p>
          <w:p w14:paraId="4B8EC710" w14:textId="77777777" w:rsidR="00BD41D8" w:rsidRPr="007456E0" w:rsidRDefault="00BD41D8" w:rsidP="00BD41D8">
            <w:pPr>
              <w:jc w:val="center"/>
              <w:rPr>
                <w:b/>
                <w:sz w:val="22"/>
                <w:szCs w:val="22"/>
              </w:rPr>
            </w:pPr>
          </w:p>
        </w:tc>
        <w:tc>
          <w:tcPr>
            <w:tcW w:w="1538" w:type="dxa"/>
          </w:tcPr>
          <w:p w14:paraId="3F777F7D" w14:textId="77777777" w:rsidR="00BD41D8" w:rsidRPr="007456E0" w:rsidRDefault="00BD41D8" w:rsidP="00BD41D8">
            <w:pPr>
              <w:jc w:val="center"/>
              <w:rPr>
                <w:b/>
                <w:sz w:val="22"/>
                <w:szCs w:val="22"/>
              </w:rPr>
            </w:pPr>
            <w:r w:rsidRPr="007456E0">
              <w:rPr>
                <w:b/>
                <w:sz w:val="22"/>
                <w:szCs w:val="22"/>
              </w:rPr>
              <w:t>Evolocumab</w:t>
            </w:r>
          </w:p>
          <w:p w14:paraId="6662AD9B" w14:textId="77777777" w:rsidR="00BD41D8" w:rsidRPr="007456E0" w:rsidRDefault="00BD41D8" w:rsidP="00BD41D8">
            <w:pPr>
              <w:jc w:val="center"/>
              <w:rPr>
                <w:b/>
                <w:sz w:val="22"/>
                <w:szCs w:val="22"/>
              </w:rPr>
            </w:pPr>
            <w:r w:rsidRPr="007456E0">
              <w:rPr>
                <w:b/>
                <w:sz w:val="22"/>
                <w:szCs w:val="22"/>
              </w:rPr>
              <w:t>N=13,784</w:t>
            </w:r>
          </w:p>
          <w:p w14:paraId="72AB1349" w14:textId="77777777" w:rsidR="00BD41D8" w:rsidRPr="007456E0" w:rsidRDefault="00BD41D8" w:rsidP="00BD41D8">
            <w:pPr>
              <w:jc w:val="center"/>
              <w:rPr>
                <w:b/>
                <w:sz w:val="22"/>
                <w:szCs w:val="22"/>
              </w:rPr>
            </w:pPr>
          </w:p>
        </w:tc>
        <w:tc>
          <w:tcPr>
            <w:tcW w:w="1555" w:type="dxa"/>
            <w:shd w:val="clear" w:color="auto" w:fill="F2F2F2" w:themeFill="background1" w:themeFillShade="F2"/>
          </w:tcPr>
          <w:p w14:paraId="280FBAA7" w14:textId="77777777" w:rsidR="00BD41D8" w:rsidRPr="007456E0" w:rsidRDefault="00BD41D8" w:rsidP="00BD41D8">
            <w:pPr>
              <w:jc w:val="center"/>
              <w:rPr>
                <w:b/>
                <w:sz w:val="22"/>
                <w:szCs w:val="22"/>
              </w:rPr>
            </w:pPr>
            <w:r w:rsidRPr="007456E0">
              <w:rPr>
                <w:b/>
                <w:sz w:val="22"/>
                <w:szCs w:val="22"/>
              </w:rPr>
              <w:t>Hazard Ratio</w:t>
            </w:r>
          </w:p>
          <w:p w14:paraId="7E785821" w14:textId="77777777" w:rsidR="00BD41D8" w:rsidRPr="007456E0" w:rsidRDefault="00BD41D8" w:rsidP="00BD41D8">
            <w:pPr>
              <w:jc w:val="center"/>
              <w:rPr>
                <w:b/>
                <w:sz w:val="22"/>
                <w:szCs w:val="22"/>
              </w:rPr>
            </w:pPr>
            <w:r w:rsidRPr="007456E0">
              <w:rPr>
                <w:b/>
                <w:sz w:val="22"/>
                <w:szCs w:val="22"/>
              </w:rPr>
              <w:t>(95% CI)</w:t>
            </w:r>
          </w:p>
        </w:tc>
        <w:tc>
          <w:tcPr>
            <w:tcW w:w="1097" w:type="dxa"/>
          </w:tcPr>
          <w:p w14:paraId="69D9E46B" w14:textId="77777777" w:rsidR="00BD41D8" w:rsidRPr="007456E0" w:rsidRDefault="00BD41D8" w:rsidP="00BD41D8">
            <w:pPr>
              <w:jc w:val="center"/>
              <w:rPr>
                <w:b/>
                <w:sz w:val="22"/>
                <w:szCs w:val="22"/>
              </w:rPr>
            </w:pPr>
            <w:r w:rsidRPr="007456E0">
              <w:rPr>
                <w:b/>
                <w:sz w:val="22"/>
                <w:szCs w:val="22"/>
              </w:rPr>
              <w:t>Placebo</w:t>
            </w:r>
          </w:p>
          <w:p w14:paraId="671CD594" w14:textId="77777777" w:rsidR="00BD41D8" w:rsidRPr="007456E0" w:rsidRDefault="00BD41D8" w:rsidP="00BD41D8">
            <w:pPr>
              <w:jc w:val="center"/>
              <w:rPr>
                <w:b/>
                <w:sz w:val="22"/>
                <w:szCs w:val="22"/>
              </w:rPr>
            </w:pPr>
            <w:r w:rsidRPr="007456E0">
              <w:rPr>
                <w:b/>
                <w:sz w:val="22"/>
                <w:szCs w:val="22"/>
              </w:rPr>
              <w:t>N=1,784</w:t>
            </w:r>
          </w:p>
        </w:tc>
        <w:tc>
          <w:tcPr>
            <w:tcW w:w="1412" w:type="dxa"/>
          </w:tcPr>
          <w:p w14:paraId="583A8081" w14:textId="77777777" w:rsidR="00BD41D8" w:rsidRPr="007456E0" w:rsidRDefault="00BD41D8" w:rsidP="00BD41D8">
            <w:pPr>
              <w:jc w:val="center"/>
              <w:rPr>
                <w:b/>
                <w:sz w:val="22"/>
                <w:szCs w:val="22"/>
              </w:rPr>
            </w:pPr>
            <w:r w:rsidRPr="007456E0">
              <w:rPr>
                <w:b/>
                <w:sz w:val="22"/>
                <w:szCs w:val="22"/>
              </w:rPr>
              <w:t>Evolocumab</w:t>
            </w:r>
          </w:p>
          <w:p w14:paraId="5760CAB9" w14:textId="77777777" w:rsidR="00BD41D8" w:rsidRPr="007456E0" w:rsidRDefault="00BD41D8" w:rsidP="00BD41D8">
            <w:pPr>
              <w:jc w:val="center"/>
              <w:rPr>
                <w:b/>
                <w:sz w:val="22"/>
                <w:szCs w:val="22"/>
              </w:rPr>
            </w:pPr>
            <w:r w:rsidRPr="007456E0">
              <w:rPr>
                <w:b/>
                <w:sz w:val="22"/>
                <w:szCs w:val="22"/>
              </w:rPr>
              <w:t>N=1,858</w:t>
            </w:r>
          </w:p>
        </w:tc>
        <w:tc>
          <w:tcPr>
            <w:tcW w:w="1514" w:type="dxa"/>
            <w:shd w:val="clear" w:color="auto" w:fill="F2F2F2" w:themeFill="background1" w:themeFillShade="F2"/>
          </w:tcPr>
          <w:p w14:paraId="374E10B2" w14:textId="77777777" w:rsidR="00BD41D8" w:rsidRPr="007456E0" w:rsidRDefault="00BD41D8" w:rsidP="00BD41D8">
            <w:pPr>
              <w:jc w:val="center"/>
              <w:rPr>
                <w:b/>
                <w:sz w:val="22"/>
                <w:szCs w:val="22"/>
              </w:rPr>
            </w:pPr>
            <w:r w:rsidRPr="007456E0">
              <w:rPr>
                <w:b/>
                <w:sz w:val="22"/>
                <w:szCs w:val="22"/>
              </w:rPr>
              <w:t>Hazard Ratio</w:t>
            </w:r>
          </w:p>
          <w:p w14:paraId="48E34F4F" w14:textId="77777777" w:rsidR="00BD41D8" w:rsidRPr="007456E0" w:rsidRDefault="00BD41D8" w:rsidP="00BD41D8">
            <w:pPr>
              <w:jc w:val="center"/>
              <w:rPr>
                <w:b/>
                <w:sz w:val="22"/>
                <w:szCs w:val="22"/>
              </w:rPr>
            </w:pPr>
            <w:r w:rsidRPr="007456E0">
              <w:rPr>
                <w:b/>
                <w:sz w:val="22"/>
                <w:szCs w:val="22"/>
              </w:rPr>
              <w:t>(95% CI)</w:t>
            </w:r>
          </w:p>
        </w:tc>
        <w:tc>
          <w:tcPr>
            <w:tcW w:w="1054" w:type="dxa"/>
          </w:tcPr>
          <w:p w14:paraId="536670F3" w14:textId="77777777" w:rsidR="00BD41D8" w:rsidRPr="007456E0" w:rsidRDefault="00BD41D8" w:rsidP="00BD41D8">
            <w:pPr>
              <w:jc w:val="center"/>
              <w:rPr>
                <w:b/>
                <w:sz w:val="22"/>
                <w:szCs w:val="22"/>
              </w:rPr>
            </w:pPr>
            <w:r w:rsidRPr="007456E0">
              <w:rPr>
                <w:b/>
                <w:sz w:val="22"/>
                <w:szCs w:val="22"/>
              </w:rPr>
              <w:t>Placebo</w:t>
            </w:r>
          </w:p>
          <w:p w14:paraId="1C07FFA8" w14:textId="77777777" w:rsidR="00BD41D8" w:rsidRPr="007456E0" w:rsidRDefault="00BD41D8" w:rsidP="00BD41D8">
            <w:pPr>
              <w:jc w:val="center"/>
              <w:rPr>
                <w:b/>
                <w:sz w:val="22"/>
                <w:szCs w:val="22"/>
              </w:rPr>
            </w:pPr>
            <w:r w:rsidRPr="007456E0">
              <w:rPr>
                <w:b/>
                <w:sz w:val="22"/>
                <w:szCs w:val="22"/>
              </w:rPr>
              <w:t>N=748</w:t>
            </w:r>
          </w:p>
        </w:tc>
        <w:tc>
          <w:tcPr>
            <w:tcW w:w="1507" w:type="dxa"/>
          </w:tcPr>
          <w:p w14:paraId="79E7A0A7" w14:textId="77777777" w:rsidR="00BD41D8" w:rsidRPr="007456E0" w:rsidRDefault="00BD41D8" w:rsidP="00BD41D8">
            <w:pPr>
              <w:jc w:val="center"/>
              <w:rPr>
                <w:b/>
                <w:sz w:val="22"/>
                <w:szCs w:val="22"/>
              </w:rPr>
            </w:pPr>
            <w:r w:rsidRPr="007456E0">
              <w:rPr>
                <w:b/>
                <w:sz w:val="22"/>
                <w:szCs w:val="22"/>
              </w:rPr>
              <w:t>Evolocumab</w:t>
            </w:r>
          </w:p>
          <w:p w14:paraId="460B1197" w14:textId="77777777" w:rsidR="00BD41D8" w:rsidRPr="007456E0" w:rsidRDefault="00BD41D8" w:rsidP="00BD41D8">
            <w:pPr>
              <w:jc w:val="center"/>
              <w:rPr>
                <w:b/>
                <w:sz w:val="22"/>
                <w:szCs w:val="22"/>
              </w:rPr>
            </w:pPr>
            <w:r w:rsidRPr="007456E0">
              <w:rPr>
                <w:b/>
                <w:sz w:val="22"/>
                <w:szCs w:val="22"/>
              </w:rPr>
              <w:t>N=757</w:t>
            </w:r>
          </w:p>
        </w:tc>
        <w:tc>
          <w:tcPr>
            <w:tcW w:w="1587" w:type="dxa"/>
            <w:shd w:val="clear" w:color="auto" w:fill="F2F2F2" w:themeFill="background1" w:themeFillShade="F2"/>
          </w:tcPr>
          <w:p w14:paraId="31AEAF7D" w14:textId="77777777" w:rsidR="00BD41D8" w:rsidRPr="007456E0" w:rsidRDefault="00BD41D8" w:rsidP="00BD41D8">
            <w:pPr>
              <w:jc w:val="center"/>
              <w:rPr>
                <w:b/>
                <w:sz w:val="22"/>
                <w:szCs w:val="22"/>
              </w:rPr>
            </w:pPr>
            <w:r w:rsidRPr="007456E0">
              <w:rPr>
                <w:b/>
                <w:sz w:val="22"/>
                <w:szCs w:val="22"/>
              </w:rPr>
              <w:t>Hazard Ratio</w:t>
            </w:r>
          </w:p>
          <w:p w14:paraId="158F1BE4" w14:textId="77777777" w:rsidR="00BD41D8" w:rsidRPr="007456E0" w:rsidRDefault="00BD41D8" w:rsidP="00BD41D8">
            <w:pPr>
              <w:jc w:val="center"/>
              <w:rPr>
                <w:b/>
                <w:sz w:val="22"/>
                <w:szCs w:val="22"/>
              </w:rPr>
            </w:pPr>
            <w:r w:rsidRPr="007456E0">
              <w:rPr>
                <w:b/>
                <w:sz w:val="22"/>
                <w:szCs w:val="22"/>
              </w:rPr>
              <w:t>(95% CI)</w:t>
            </w:r>
          </w:p>
        </w:tc>
      </w:tr>
      <w:tr w:rsidR="00BD41D8" w:rsidRPr="006F0D94" w14:paraId="2FFD6DE1" w14:textId="77777777" w:rsidTr="00BD41D8">
        <w:trPr>
          <w:trHeight w:val="352"/>
        </w:trPr>
        <w:tc>
          <w:tcPr>
            <w:tcW w:w="2470" w:type="dxa"/>
          </w:tcPr>
          <w:p w14:paraId="2850272B" w14:textId="77777777" w:rsidR="00BD41D8" w:rsidRPr="007456E0" w:rsidRDefault="00BD41D8" w:rsidP="00BD41D8">
            <w:pPr>
              <w:rPr>
                <w:b/>
                <w:i/>
                <w:sz w:val="22"/>
                <w:szCs w:val="22"/>
              </w:rPr>
            </w:pPr>
            <w:r w:rsidRPr="007456E0">
              <w:rPr>
                <w:b/>
                <w:i/>
                <w:sz w:val="22"/>
                <w:szCs w:val="22"/>
              </w:rPr>
              <w:t>Limb Outcomes</w:t>
            </w:r>
          </w:p>
        </w:tc>
        <w:tc>
          <w:tcPr>
            <w:tcW w:w="1206" w:type="dxa"/>
          </w:tcPr>
          <w:p w14:paraId="25FB5365" w14:textId="77777777" w:rsidR="00BD41D8" w:rsidRPr="007456E0" w:rsidRDefault="00BD41D8" w:rsidP="00BD41D8">
            <w:pPr>
              <w:jc w:val="center"/>
              <w:rPr>
                <w:sz w:val="22"/>
                <w:szCs w:val="22"/>
              </w:rPr>
            </w:pPr>
          </w:p>
        </w:tc>
        <w:tc>
          <w:tcPr>
            <w:tcW w:w="1538" w:type="dxa"/>
          </w:tcPr>
          <w:p w14:paraId="35BB1B11" w14:textId="77777777" w:rsidR="00BD41D8" w:rsidRPr="007456E0" w:rsidRDefault="00BD41D8" w:rsidP="00BD41D8">
            <w:pPr>
              <w:jc w:val="center"/>
              <w:rPr>
                <w:sz w:val="22"/>
                <w:szCs w:val="22"/>
              </w:rPr>
            </w:pPr>
          </w:p>
        </w:tc>
        <w:tc>
          <w:tcPr>
            <w:tcW w:w="1555" w:type="dxa"/>
            <w:shd w:val="clear" w:color="auto" w:fill="F2F2F2" w:themeFill="background1" w:themeFillShade="F2"/>
          </w:tcPr>
          <w:p w14:paraId="660A18B1" w14:textId="77777777" w:rsidR="00BD41D8" w:rsidRPr="007456E0" w:rsidRDefault="00BD41D8" w:rsidP="00BD41D8">
            <w:pPr>
              <w:jc w:val="center"/>
              <w:rPr>
                <w:sz w:val="22"/>
                <w:szCs w:val="22"/>
              </w:rPr>
            </w:pPr>
          </w:p>
        </w:tc>
        <w:tc>
          <w:tcPr>
            <w:tcW w:w="1097" w:type="dxa"/>
          </w:tcPr>
          <w:p w14:paraId="2C621D03" w14:textId="77777777" w:rsidR="00BD41D8" w:rsidRPr="007456E0" w:rsidRDefault="00BD41D8" w:rsidP="00BD41D8">
            <w:pPr>
              <w:jc w:val="center"/>
              <w:rPr>
                <w:sz w:val="22"/>
                <w:szCs w:val="22"/>
              </w:rPr>
            </w:pPr>
          </w:p>
        </w:tc>
        <w:tc>
          <w:tcPr>
            <w:tcW w:w="1412" w:type="dxa"/>
          </w:tcPr>
          <w:p w14:paraId="4AFFC658" w14:textId="77777777" w:rsidR="00BD41D8" w:rsidRPr="007456E0" w:rsidRDefault="00BD41D8" w:rsidP="00BD41D8">
            <w:pPr>
              <w:jc w:val="center"/>
              <w:rPr>
                <w:sz w:val="22"/>
                <w:szCs w:val="22"/>
              </w:rPr>
            </w:pPr>
          </w:p>
        </w:tc>
        <w:tc>
          <w:tcPr>
            <w:tcW w:w="1514" w:type="dxa"/>
            <w:shd w:val="clear" w:color="auto" w:fill="F2F2F2" w:themeFill="background1" w:themeFillShade="F2"/>
          </w:tcPr>
          <w:p w14:paraId="5168F808" w14:textId="77777777" w:rsidR="00BD41D8" w:rsidRPr="007456E0" w:rsidRDefault="00BD41D8" w:rsidP="00BD41D8">
            <w:pPr>
              <w:jc w:val="center"/>
              <w:rPr>
                <w:sz w:val="22"/>
                <w:szCs w:val="22"/>
              </w:rPr>
            </w:pPr>
          </w:p>
        </w:tc>
        <w:tc>
          <w:tcPr>
            <w:tcW w:w="1054" w:type="dxa"/>
          </w:tcPr>
          <w:p w14:paraId="4300317C" w14:textId="77777777" w:rsidR="00BD41D8" w:rsidRPr="007456E0" w:rsidRDefault="00BD41D8" w:rsidP="00BD41D8">
            <w:pPr>
              <w:jc w:val="center"/>
              <w:rPr>
                <w:sz w:val="22"/>
                <w:szCs w:val="22"/>
              </w:rPr>
            </w:pPr>
          </w:p>
        </w:tc>
        <w:tc>
          <w:tcPr>
            <w:tcW w:w="1507" w:type="dxa"/>
          </w:tcPr>
          <w:p w14:paraId="79772F12" w14:textId="77777777" w:rsidR="00BD41D8" w:rsidRPr="007456E0" w:rsidRDefault="00BD41D8" w:rsidP="00BD41D8">
            <w:pPr>
              <w:jc w:val="center"/>
              <w:rPr>
                <w:sz w:val="22"/>
                <w:szCs w:val="22"/>
              </w:rPr>
            </w:pPr>
          </w:p>
        </w:tc>
        <w:tc>
          <w:tcPr>
            <w:tcW w:w="1587" w:type="dxa"/>
            <w:shd w:val="clear" w:color="auto" w:fill="F2F2F2" w:themeFill="background1" w:themeFillShade="F2"/>
          </w:tcPr>
          <w:p w14:paraId="6C55BB40" w14:textId="77777777" w:rsidR="00BD41D8" w:rsidRPr="007456E0" w:rsidRDefault="00BD41D8" w:rsidP="00BD41D8">
            <w:pPr>
              <w:jc w:val="center"/>
              <w:rPr>
                <w:sz w:val="22"/>
                <w:szCs w:val="22"/>
              </w:rPr>
            </w:pPr>
          </w:p>
        </w:tc>
      </w:tr>
      <w:tr w:rsidR="00BD41D8" w:rsidRPr="006F0D94" w14:paraId="6E6ED9A5" w14:textId="77777777" w:rsidTr="00BD41D8">
        <w:trPr>
          <w:trHeight w:val="644"/>
        </w:trPr>
        <w:tc>
          <w:tcPr>
            <w:tcW w:w="2470" w:type="dxa"/>
          </w:tcPr>
          <w:p w14:paraId="286D0C4F" w14:textId="77777777" w:rsidR="00BD41D8" w:rsidRPr="007456E0" w:rsidRDefault="00BD41D8" w:rsidP="00BD41D8">
            <w:pPr>
              <w:rPr>
                <w:b/>
                <w:sz w:val="22"/>
                <w:szCs w:val="22"/>
              </w:rPr>
            </w:pPr>
            <w:r w:rsidRPr="007456E0">
              <w:rPr>
                <w:b/>
                <w:sz w:val="22"/>
                <w:szCs w:val="22"/>
              </w:rPr>
              <w:t>MALE</w:t>
            </w:r>
          </w:p>
        </w:tc>
        <w:tc>
          <w:tcPr>
            <w:tcW w:w="1206" w:type="dxa"/>
          </w:tcPr>
          <w:p w14:paraId="7A7DF5AF" w14:textId="77777777" w:rsidR="00BD41D8" w:rsidRPr="007456E0" w:rsidRDefault="00BD41D8" w:rsidP="00BD41D8">
            <w:pPr>
              <w:jc w:val="center"/>
              <w:rPr>
                <w:b/>
                <w:sz w:val="22"/>
                <w:szCs w:val="22"/>
              </w:rPr>
            </w:pPr>
            <w:r w:rsidRPr="007456E0">
              <w:rPr>
                <w:b/>
                <w:sz w:val="22"/>
                <w:szCs w:val="22"/>
              </w:rPr>
              <w:t>0.45%</w:t>
            </w:r>
          </w:p>
        </w:tc>
        <w:tc>
          <w:tcPr>
            <w:tcW w:w="1538" w:type="dxa"/>
          </w:tcPr>
          <w:p w14:paraId="4D472340" w14:textId="77777777" w:rsidR="00BD41D8" w:rsidRPr="007456E0" w:rsidRDefault="00BD41D8" w:rsidP="00BD41D8">
            <w:pPr>
              <w:jc w:val="center"/>
              <w:rPr>
                <w:b/>
                <w:sz w:val="22"/>
                <w:szCs w:val="22"/>
              </w:rPr>
            </w:pPr>
            <w:r w:rsidRPr="007456E0">
              <w:rPr>
                <w:b/>
                <w:sz w:val="22"/>
                <w:szCs w:val="22"/>
              </w:rPr>
              <w:t>0.27%</w:t>
            </w:r>
          </w:p>
        </w:tc>
        <w:tc>
          <w:tcPr>
            <w:tcW w:w="1555" w:type="dxa"/>
            <w:shd w:val="clear" w:color="auto" w:fill="F2F2F2" w:themeFill="background1" w:themeFillShade="F2"/>
          </w:tcPr>
          <w:p w14:paraId="3D201EA6" w14:textId="77777777" w:rsidR="00BD41D8" w:rsidRPr="007456E0" w:rsidRDefault="00BD41D8" w:rsidP="00BD41D8">
            <w:pPr>
              <w:jc w:val="center"/>
              <w:rPr>
                <w:b/>
                <w:sz w:val="22"/>
                <w:szCs w:val="22"/>
              </w:rPr>
            </w:pPr>
            <w:r w:rsidRPr="007456E0">
              <w:rPr>
                <w:b/>
                <w:sz w:val="22"/>
                <w:szCs w:val="22"/>
              </w:rPr>
              <w:t>0.58</w:t>
            </w:r>
          </w:p>
          <w:p w14:paraId="14449C53" w14:textId="77777777" w:rsidR="00BD41D8" w:rsidRPr="007456E0" w:rsidRDefault="00BD41D8" w:rsidP="00BD41D8">
            <w:pPr>
              <w:jc w:val="center"/>
              <w:rPr>
                <w:b/>
                <w:sz w:val="22"/>
                <w:szCs w:val="22"/>
              </w:rPr>
            </w:pPr>
            <w:r w:rsidRPr="007456E0">
              <w:rPr>
                <w:b/>
                <w:sz w:val="22"/>
                <w:szCs w:val="22"/>
              </w:rPr>
              <w:t>(0.38 – 0.88)</w:t>
            </w:r>
          </w:p>
          <w:p w14:paraId="272DE3B6" w14:textId="77777777" w:rsidR="00BD41D8" w:rsidRPr="007456E0" w:rsidRDefault="00BD41D8" w:rsidP="00BD41D8">
            <w:pPr>
              <w:jc w:val="center"/>
              <w:rPr>
                <w:b/>
                <w:sz w:val="22"/>
                <w:szCs w:val="22"/>
              </w:rPr>
            </w:pPr>
            <w:r w:rsidRPr="007456E0">
              <w:rPr>
                <w:b/>
                <w:sz w:val="22"/>
                <w:szCs w:val="22"/>
              </w:rPr>
              <w:t>p=0.0093</w:t>
            </w:r>
          </w:p>
        </w:tc>
        <w:tc>
          <w:tcPr>
            <w:tcW w:w="1097" w:type="dxa"/>
          </w:tcPr>
          <w:p w14:paraId="26858281" w14:textId="77777777" w:rsidR="00BD41D8" w:rsidRPr="007456E0" w:rsidRDefault="00BD41D8" w:rsidP="00BD41D8">
            <w:pPr>
              <w:jc w:val="center"/>
              <w:rPr>
                <w:b/>
                <w:sz w:val="22"/>
                <w:szCs w:val="22"/>
              </w:rPr>
            </w:pPr>
            <w:r w:rsidRPr="007456E0">
              <w:rPr>
                <w:b/>
                <w:sz w:val="22"/>
                <w:szCs w:val="22"/>
              </w:rPr>
              <w:t>2.4%</w:t>
            </w:r>
          </w:p>
        </w:tc>
        <w:tc>
          <w:tcPr>
            <w:tcW w:w="1412" w:type="dxa"/>
          </w:tcPr>
          <w:p w14:paraId="6AEC49FB" w14:textId="77777777" w:rsidR="00BD41D8" w:rsidRPr="007456E0" w:rsidRDefault="00BD41D8" w:rsidP="00BD41D8">
            <w:pPr>
              <w:jc w:val="center"/>
              <w:rPr>
                <w:b/>
                <w:sz w:val="22"/>
                <w:szCs w:val="22"/>
              </w:rPr>
            </w:pPr>
            <w:r w:rsidRPr="007456E0">
              <w:rPr>
                <w:b/>
                <w:sz w:val="22"/>
                <w:szCs w:val="22"/>
              </w:rPr>
              <w:t>1.5%</w:t>
            </w:r>
          </w:p>
        </w:tc>
        <w:tc>
          <w:tcPr>
            <w:tcW w:w="1514" w:type="dxa"/>
            <w:shd w:val="clear" w:color="auto" w:fill="F2F2F2" w:themeFill="background1" w:themeFillShade="F2"/>
          </w:tcPr>
          <w:p w14:paraId="05DF0817" w14:textId="77777777" w:rsidR="00BD41D8" w:rsidRPr="007456E0" w:rsidRDefault="00BD41D8" w:rsidP="00BD41D8">
            <w:pPr>
              <w:jc w:val="center"/>
              <w:rPr>
                <w:b/>
                <w:sz w:val="22"/>
                <w:szCs w:val="22"/>
              </w:rPr>
            </w:pPr>
            <w:r w:rsidRPr="007456E0">
              <w:rPr>
                <w:b/>
                <w:sz w:val="22"/>
                <w:szCs w:val="22"/>
              </w:rPr>
              <w:t>0.63</w:t>
            </w:r>
          </w:p>
          <w:p w14:paraId="58460F07" w14:textId="77777777" w:rsidR="00BD41D8" w:rsidRPr="007456E0" w:rsidRDefault="00BD41D8" w:rsidP="00BD41D8">
            <w:pPr>
              <w:jc w:val="center"/>
              <w:rPr>
                <w:b/>
                <w:sz w:val="22"/>
                <w:szCs w:val="22"/>
              </w:rPr>
            </w:pPr>
            <w:r w:rsidRPr="007456E0">
              <w:rPr>
                <w:b/>
                <w:sz w:val="22"/>
                <w:szCs w:val="22"/>
              </w:rPr>
              <w:t>(0.39 – 1.03)</w:t>
            </w:r>
          </w:p>
          <w:p w14:paraId="12BB73FC" w14:textId="77777777" w:rsidR="00BD41D8" w:rsidRPr="007456E0" w:rsidRDefault="00BD41D8" w:rsidP="00BD41D8">
            <w:pPr>
              <w:jc w:val="center"/>
              <w:rPr>
                <w:b/>
                <w:sz w:val="22"/>
                <w:szCs w:val="22"/>
              </w:rPr>
            </w:pPr>
            <w:r w:rsidRPr="007456E0">
              <w:rPr>
                <w:b/>
                <w:sz w:val="22"/>
                <w:szCs w:val="22"/>
              </w:rPr>
              <w:t>p=0.063</w:t>
            </w:r>
          </w:p>
        </w:tc>
        <w:tc>
          <w:tcPr>
            <w:tcW w:w="1054" w:type="dxa"/>
          </w:tcPr>
          <w:p w14:paraId="3C5D485D" w14:textId="77777777" w:rsidR="00BD41D8" w:rsidRPr="007456E0" w:rsidRDefault="00BD41D8" w:rsidP="00BD41D8">
            <w:pPr>
              <w:jc w:val="center"/>
              <w:rPr>
                <w:b/>
                <w:sz w:val="22"/>
                <w:szCs w:val="22"/>
              </w:rPr>
            </w:pPr>
            <w:r w:rsidRPr="007456E0">
              <w:rPr>
                <w:b/>
                <w:sz w:val="22"/>
                <w:szCs w:val="22"/>
              </w:rPr>
              <w:t>2.6%</w:t>
            </w:r>
          </w:p>
        </w:tc>
        <w:tc>
          <w:tcPr>
            <w:tcW w:w="1507" w:type="dxa"/>
          </w:tcPr>
          <w:p w14:paraId="61ADEC01" w14:textId="77777777" w:rsidR="00BD41D8" w:rsidRPr="007456E0" w:rsidRDefault="00BD41D8" w:rsidP="00BD41D8">
            <w:pPr>
              <w:jc w:val="center"/>
              <w:rPr>
                <w:b/>
                <w:sz w:val="22"/>
                <w:szCs w:val="22"/>
              </w:rPr>
            </w:pPr>
            <w:r w:rsidRPr="007456E0">
              <w:rPr>
                <w:b/>
                <w:sz w:val="22"/>
                <w:szCs w:val="22"/>
              </w:rPr>
              <w:t>1.3%</w:t>
            </w:r>
          </w:p>
        </w:tc>
        <w:tc>
          <w:tcPr>
            <w:tcW w:w="1587" w:type="dxa"/>
            <w:shd w:val="clear" w:color="auto" w:fill="F2F2F2" w:themeFill="background1" w:themeFillShade="F2"/>
          </w:tcPr>
          <w:p w14:paraId="6843C27F" w14:textId="77777777" w:rsidR="00BD41D8" w:rsidRPr="007456E0" w:rsidRDefault="00BD41D8" w:rsidP="00BD41D8">
            <w:pPr>
              <w:jc w:val="center"/>
              <w:rPr>
                <w:b/>
                <w:sz w:val="22"/>
                <w:szCs w:val="22"/>
              </w:rPr>
            </w:pPr>
            <w:r w:rsidRPr="007456E0">
              <w:rPr>
                <w:b/>
                <w:sz w:val="22"/>
                <w:szCs w:val="22"/>
              </w:rPr>
              <w:t xml:space="preserve">0.43 </w:t>
            </w:r>
          </w:p>
          <w:p w14:paraId="0A895DB4" w14:textId="77777777" w:rsidR="00BD41D8" w:rsidRPr="007456E0" w:rsidRDefault="00BD41D8" w:rsidP="00BD41D8">
            <w:pPr>
              <w:jc w:val="center"/>
              <w:rPr>
                <w:b/>
                <w:sz w:val="22"/>
                <w:szCs w:val="22"/>
              </w:rPr>
            </w:pPr>
            <w:r w:rsidRPr="007456E0">
              <w:rPr>
                <w:b/>
                <w:sz w:val="22"/>
                <w:szCs w:val="22"/>
              </w:rPr>
              <w:t>(0.19 – 0.99)</w:t>
            </w:r>
          </w:p>
          <w:p w14:paraId="52DC7484" w14:textId="77777777" w:rsidR="00BD41D8" w:rsidRPr="007456E0" w:rsidRDefault="00BD41D8" w:rsidP="00BD41D8">
            <w:pPr>
              <w:jc w:val="center"/>
              <w:rPr>
                <w:b/>
                <w:sz w:val="22"/>
                <w:szCs w:val="22"/>
              </w:rPr>
            </w:pPr>
            <w:r w:rsidRPr="007456E0">
              <w:rPr>
                <w:b/>
                <w:sz w:val="22"/>
                <w:szCs w:val="22"/>
              </w:rPr>
              <w:t>P=0.042</w:t>
            </w:r>
          </w:p>
        </w:tc>
      </w:tr>
      <w:tr w:rsidR="00BD41D8" w:rsidRPr="006F0D94" w14:paraId="5A7CA393" w14:textId="77777777" w:rsidTr="00BD41D8">
        <w:trPr>
          <w:trHeight w:val="553"/>
        </w:trPr>
        <w:tc>
          <w:tcPr>
            <w:tcW w:w="2470" w:type="dxa"/>
          </w:tcPr>
          <w:p w14:paraId="2DA08C26" w14:textId="77777777" w:rsidR="00BD41D8" w:rsidRPr="007456E0" w:rsidRDefault="00BD41D8" w:rsidP="00BD41D8">
            <w:pPr>
              <w:rPr>
                <w:sz w:val="22"/>
                <w:szCs w:val="22"/>
              </w:rPr>
            </w:pPr>
            <w:r w:rsidRPr="007456E0">
              <w:rPr>
                <w:sz w:val="22"/>
                <w:szCs w:val="22"/>
              </w:rPr>
              <w:t xml:space="preserve">     ALI or major      </w:t>
            </w:r>
          </w:p>
          <w:p w14:paraId="032D555E" w14:textId="77777777" w:rsidR="00BD41D8" w:rsidRPr="007456E0" w:rsidRDefault="00BD41D8" w:rsidP="00BD41D8">
            <w:pPr>
              <w:rPr>
                <w:sz w:val="22"/>
                <w:szCs w:val="22"/>
              </w:rPr>
            </w:pPr>
            <w:r w:rsidRPr="007456E0">
              <w:rPr>
                <w:sz w:val="22"/>
                <w:szCs w:val="22"/>
              </w:rPr>
              <w:t xml:space="preserve">     amputation</w:t>
            </w:r>
          </w:p>
        </w:tc>
        <w:tc>
          <w:tcPr>
            <w:tcW w:w="1206" w:type="dxa"/>
          </w:tcPr>
          <w:p w14:paraId="7D30962A" w14:textId="77777777" w:rsidR="00BD41D8" w:rsidRPr="007456E0" w:rsidRDefault="00BD41D8" w:rsidP="00BD41D8">
            <w:pPr>
              <w:jc w:val="center"/>
              <w:rPr>
                <w:sz w:val="22"/>
                <w:szCs w:val="22"/>
              </w:rPr>
            </w:pPr>
            <w:r w:rsidRPr="007456E0">
              <w:rPr>
                <w:sz w:val="22"/>
                <w:szCs w:val="22"/>
              </w:rPr>
              <w:t>0.29%</w:t>
            </w:r>
          </w:p>
        </w:tc>
        <w:tc>
          <w:tcPr>
            <w:tcW w:w="1538" w:type="dxa"/>
          </w:tcPr>
          <w:p w14:paraId="4BFDD11B" w14:textId="77777777" w:rsidR="00BD41D8" w:rsidRPr="007456E0" w:rsidRDefault="00BD41D8" w:rsidP="00BD41D8">
            <w:pPr>
              <w:jc w:val="center"/>
              <w:rPr>
                <w:sz w:val="22"/>
                <w:szCs w:val="22"/>
              </w:rPr>
            </w:pPr>
            <w:r w:rsidRPr="007456E0">
              <w:rPr>
                <w:sz w:val="22"/>
                <w:szCs w:val="22"/>
              </w:rPr>
              <w:t>0.17%</w:t>
            </w:r>
          </w:p>
        </w:tc>
        <w:tc>
          <w:tcPr>
            <w:tcW w:w="1555" w:type="dxa"/>
            <w:shd w:val="clear" w:color="auto" w:fill="F2F2F2" w:themeFill="background1" w:themeFillShade="F2"/>
          </w:tcPr>
          <w:p w14:paraId="634BCF59" w14:textId="77777777" w:rsidR="00BD41D8" w:rsidRPr="007456E0" w:rsidRDefault="00BD41D8" w:rsidP="00BD41D8">
            <w:pPr>
              <w:jc w:val="center"/>
              <w:rPr>
                <w:sz w:val="22"/>
                <w:szCs w:val="22"/>
              </w:rPr>
            </w:pPr>
            <w:r w:rsidRPr="007456E0">
              <w:rPr>
                <w:sz w:val="22"/>
                <w:szCs w:val="22"/>
              </w:rPr>
              <w:t>0.52</w:t>
            </w:r>
          </w:p>
          <w:p w14:paraId="6E5E81AA" w14:textId="77777777" w:rsidR="00BD41D8" w:rsidRPr="007456E0" w:rsidRDefault="00BD41D8" w:rsidP="00BD41D8">
            <w:pPr>
              <w:jc w:val="center"/>
              <w:rPr>
                <w:sz w:val="22"/>
                <w:szCs w:val="22"/>
              </w:rPr>
            </w:pPr>
            <w:r w:rsidRPr="007456E0">
              <w:rPr>
                <w:sz w:val="22"/>
                <w:szCs w:val="22"/>
              </w:rPr>
              <w:t>(0.31 – 0.89)</w:t>
            </w:r>
          </w:p>
        </w:tc>
        <w:tc>
          <w:tcPr>
            <w:tcW w:w="1097" w:type="dxa"/>
          </w:tcPr>
          <w:p w14:paraId="3AA14C05" w14:textId="77777777" w:rsidR="00BD41D8" w:rsidRPr="007456E0" w:rsidRDefault="00BD41D8" w:rsidP="00BD41D8">
            <w:pPr>
              <w:jc w:val="center"/>
              <w:rPr>
                <w:sz w:val="22"/>
                <w:szCs w:val="22"/>
              </w:rPr>
            </w:pPr>
            <w:r w:rsidRPr="007456E0">
              <w:rPr>
                <w:sz w:val="22"/>
                <w:szCs w:val="22"/>
              </w:rPr>
              <w:t>1.5%</w:t>
            </w:r>
          </w:p>
        </w:tc>
        <w:tc>
          <w:tcPr>
            <w:tcW w:w="1412" w:type="dxa"/>
          </w:tcPr>
          <w:p w14:paraId="58EE3FFF" w14:textId="77777777" w:rsidR="00BD41D8" w:rsidRPr="007456E0" w:rsidRDefault="00BD41D8" w:rsidP="00BD41D8">
            <w:pPr>
              <w:jc w:val="center"/>
              <w:rPr>
                <w:sz w:val="22"/>
                <w:szCs w:val="22"/>
              </w:rPr>
            </w:pPr>
            <w:r w:rsidRPr="007456E0">
              <w:rPr>
                <w:sz w:val="22"/>
                <w:szCs w:val="22"/>
              </w:rPr>
              <w:t>0.9%</w:t>
            </w:r>
          </w:p>
        </w:tc>
        <w:tc>
          <w:tcPr>
            <w:tcW w:w="1514" w:type="dxa"/>
            <w:shd w:val="clear" w:color="auto" w:fill="F2F2F2" w:themeFill="background1" w:themeFillShade="F2"/>
          </w:tcPr>
          <w:p w14:paraId="4719EDDB" w14:textId="77777777" w:rsidR="00BD41D8" w:rsidRPr="007456E0" w:rsidRDefault="00BD41D8" w:rsidP="00BD41D8">
            <w:pPr>
              <w:jc w:val="center"/>
              <w:rPr>
                <w:sz w:val="22"/>
                <w:szCs w:val="22"/>
              </w:rPr>
            </w:pPr>
            <w:r w:rsidRPr="007456E0">
              <w:rPr>
                <w:sz w:val="22"/>
                <w:szCs w:val="22"/>
              </w:rPr>
              <w:t>0.60</w:t>
            </w:r>
          </w:p>
          <w:p w14:paraId="48C6CAB1" w14:textId="77777777" w:rsidR="00BD41D8" w:rsidRPr="007456E0" w:rsidRDefault="00BD41D8" w:rsidP="00BD41D8">
            <w:pPr>
              <w:jc w:val="center"/>
              <w:rPr>
                <w:sz w:val="22"/>
                <w:szCs w:val="22"/>
              </w:rPr>
            </w:pPr>
            <w:r w:rsidRPr="007456E0">
              <w:rPr>
                <w:sz w:val="22"/>
                <w:szCs w:val="22"/>
              </w:rPr>
              <w:t>(0.32 – 1.13)</w:t>
            </w:r>
          </w:p>
        </w:tc>
        <w:tc>
          <w:tcPr>
            <w:tcW w:w="1054" w:type="dxa"/>
          </w:tcPr>
          <w:p w14:paraId="0D5AC3DE" w14:textId="77777777" w:rsidR="00BD41D8" w:rsidRPr="007456E0" w:rsidRDefault="00BD41D8" w:rsidP="00BD41D8">
            <w:pPr>
              <w:jc w:val="center"/>
              <w:rPr>
                <w:sz w:val="22"/>
                <w:szCs w:val="22"/>
              </w:rPr>
            </w:pPr>
            <w:r w:rsidRPr="007456E0">
              <w:rPr>
                <w:sz w:val="22"/>
                <w:szCs w:val="22"/>
              </w:rPr>
              <w:t>1.8%</w:t>
            </w:r>
          </w:p>
        </w:tc>
        <w:tc>
          <w:tcPr>
            <w:tcW w:w="1507" w:type="dxa"/>
          </w:tcPr>
          <w:p w14:paraId="6E18CDC6" w14:textId="77777777" w:rsidR="00BD41D8" w:rsidRPr="007456E0" w:rsidRDefault="00BD41D8" w:rsidP="00BD41D8">
            <w:pPr>
              <w:jc w:val="center"/>
              <w:rPr>
                <w:sz w:val="22"/>
                <w:szCs w:val="22"/>
              </w:rPr>
            </w:pPr>
            <w:r w:rsidRPr="007456E0">
              <w:rPr>
                <w:sz w:val="22"/>
                <w:szCs w:val="22"/>
              </w:rPr>
              <w:t>0.6%</w:t>
            </w:r>
          </w:p>
        </w:tc>
        <w:tc>
          <w:tcPr>
            <w:tcW w:w="1587" w:type="dxa"/>
            <w:shd w:val="clear" w:color="auto" w:fill="F2F2F2" w:themeFill="background1" w:themeFillShade="F2"/>
          </w:tcPr>
          <w:p w14:paraId="489B12A0" w14:textId="77777777" w:rsidR="00BD41D8" w:rsidRPr="007456E0" w:rsidRDefault="00BD41D8" w:rsidP="00BD41D8">
            <w:pPr>
              <w:jc w:val="center"/>
              <w:rPr>
                <w:sz w:val="22"/>
                <w:szCs w:val="22"/>
              </w:rPr>
            </w:pPr>
            <w:r w:rsidRPr="007456E0">
              <w:rPr>
                <w:sz w:val="22"/>
                <w:szCs w:val="22"/>
              </w:rPr>
              <w:t>0.33</w:t>
            </w:r>
          </w:p>
          <w:p w14:paraId="00265AF9" w14:textId="77777777" w:rsidR="00BD41D8" w:rsidRPr="007456E0" w:rsidRDefault="00BD41D8" w:rsidP="00BD41D8">
            <w:pPr>
              <w:jc w:val="center"/>
              <w:rPr>
                <w:sz w:val="22"/>
                <w:szCs w:val="22"/>
              </w:rPr>
            </w:pPr>
            <w:r w:rsidRPr="007456E0">
              <w:rPr>
                <w:sz w:val="22"/>
                <w:szCs w:val="22"/>
              </w:rPr>
              <w:t>(0.10 – 1.01)</w:t>
            </w:r>
          </w:p>
        </w:tc>
      </w:tr>
      <w:tr w:rsidR="00BD41D8" w:rsidRPr="006F0D94" w14:paraId="638FC4B0" w14:textId="77777777" w:rsidTr="00BD41D8">
        <w:trPr>
          <w:trHeight w:val="464"/>
        </w:trPr>
        <w:tc>
          <w:tcPr>
            <w:tcW w:w="2470" w:type="dxa"/>
          </w:tcPr>
          <w:p w14:paraId="7A9C232E" w14:textId="77777777" w:rsidR="00BD41D8" w:rsidRPr="007456E0" w:rsidRDefault="00BD41D8" w:rsidP="00BD41D8">
            <w:pPr>
              <w:rPr>
                <w:sz w:val="22"/>
                <w:szCs w:val="22"/>
              </w:rPr>
            </w:pPr>
            <w:r w:rsidRPr="007456E0">
              <w:rPr>
                <w:sz w:val="22"/>
                <w:szCs w:val="22"/>
              </w:rPr>
              <w:t xml:space="preserve">     ALI</w:t>
            </w:r>
          </w:p>
        </w:tc>
        <w:tc>
          <w:tcPr>
            <w:tcW w:w="1206" w:type="dxa"/>
          </w:tcPr>
          <w:p w14:paraId="52FE8FB3" w14:textId="77777777" w:rsidR="00BD41D8" w:rsidRPr="007456E0" w:rsidRDefault="00BD41D8" w:rsidP="00BD41D8">
            <w:pPr>
              <w:jc w:val="center"/>
              <w:rPr>
                <w:sz w:val="22"/>
                <w:szCs w:val="22"/>
              </w:rPr>
            </w:pPr>
            <w:r w:rsidRPr="007456E0">
              <w:rPr>
                <w:sz w:val="22"/>
                <w:szCs w:val="22"/>
              </w:rPr>
              <w:t>0.24%</w:t>
            </w:r>
          </w:p>
        </w:tc>
        <w:tc>
          <w:tcPr>
            <w:tcW w:w="1538" w:type="dxa"/>
          </w:tcPr>
          <w:p w14:paraId="0ADBA6C3" w14:textId="77777777" w:rsidR="00BD41D8" w:rsidRPr="007456E0" w:rsidRDefault="00BD41D8" w:rsidP="00BD41D8">
            <w:pPr>
              <w:jc w:val="center"/>
              <w:rPr>
                <w:sz w:val="22"/>
                <w:szCs w:val="22"/>
              </w:rPr>
            </w:pPr>
            <w:r w:rsidRPr="007456E0">
              <w:rPr>
                <w:sz w:val="22"/>
                <w:szCs w:val="22"/>
              </w:rPr>
              <w:t>0.15%</w:t>
            </w:r>
          </w:p>
        </w:tc>
        <w:tc>
          <w:tcPr>
            <w:tcW w:w="1555" w:type="dxa"/>
            <w:shd w:val="clear" w:color="auto" w:fill="F2F2F2" w:themeFill="background1" w:themeFillShade="F2"/>
          </w:tcPr>
          <w:p w14:paraId="27994D6D" w14:textId="77777777" w:rsidR="00BD41D8" w:rsidRPr="007456E0" w:rsidRDefault="00BD41D8" w:rsidP="00BD41D8">
            <w:pPr>
              <w:jc w:val="center"/>
              <w:rPr>
                <w:sz w:val="22"/>
                <w:szCs w:val="22"/>
              </w:rPr>
            </w:pPr>
            <w:r w:rsidRPr="007456E0">
              <w:rPr>
                <w:sz w:val="22"/>
                <w:szCs w:val="22"/>
              </w:rPr>
              <w:t>0.55</w:t>
            </w:r>
          </w:p>
          <w:p w14:paraId="3F3C061F" w14:textId="77777777" w:rsidR="00BD41D8" w:rsidRPr="007456E0" w:rsidRDefault="00BD41D8" w:rsidP="00BD41D8">
            <w:pPr>
              <w:jc w:val="center"/>
              <w:rPr>
                <w:sz w:val="22"/>
                <w:szCs w:val="22"/>
              </w:rPr>
            </w:pPr>
            <w:r w:rsidRPr="007456E0">
              <w:rPr>
                <w:sz w:val="22"/>
                <w:szCs w:val="22"/>
              </w:rPr>
              <w:t>(0.31 – 0.97)</w:t>
            </w:r>
          </w:p>
        </w:tc>
        <w:tc>
          <w:tcPr>
            <w:tcW w:w="1097" w:type="dxa"/>
          </w:tcPr>
          <w:p w14:paraId="7CC39D96" w14:textId="77777777" w:rsidR="00BD41D8" w:rsidRPr="007456E0" w:rsidRDefault="00BD41D8" w:rsidP="00BD41D8">
            <w:pPr>
              <w:jc w:val="center"/>
              <w:rPr>
                <w:sz w:val="22"/>
                <w:szCs w:val="22"/>
              </w:rPr>
            </w:pPr>
            <w:r w:rsidRPr="007456E0">
              <w:rPr>
                <w:sz w:val="22"/>
                <w:szCs w:val="22"/>
              </w:rPr>
              <w:t>1.1%</w:t>
            </w:r>
          </w:p>
        </w:tc>
        <w:tc>
          <w:tcPr>
            <w:tcW w:w="1412" w:type="dxa"/>
          </w:tcPr>
          <w:p w14:paraId="77818AE2" w14:textId="77777777" w:rsidR="00BD41D8" w:rsidRPr="007456E0" w:rsidRDefault="00BD41D8" w:rsidP="00BD41D8">
            <w:pPr>
              <w:jc w:val="center"/>
              <w:rPr>
                <w:sz w:val="22"/>
                <w:szCs w:val="22"/>
              </w:rPr>
            </w:pPr>
            <w:r w:rsidRPr="007456E0">
              <w:rPr>
                <w:sz w:val="22"/>
                <w:szCs w:val="22"/>
              </w:rPr>
              <w:t>0.8%</w:t>
            </w:r>
          </w:p>
        </w:tc>
        <w:tc>
          <w:tcPr>
            <w:tcW w:w="1514" w:type="dxa"/>
            <w:shd w:val="clear" w:color="auto" w:fill="F2F2F2" w:themeFill="background1" w:themeFillShade="F2"/>
          </w:tcPr>
          <w:p w14:paraId="3FBA08FF" w14:textId="77777777" w:rsidR="00BD41D8" w:rsidRPr="007456E0" w:rsidRDefault="00BD41D8" w:rsidP="00BD41D8">
            <w:pPr>
              <w:jc w:val="center"/>
              <w:rPr>
                <w:sz w:val="22"/>
                <w:szCs w:val="22"/>
              </w:rPr>
            </w:pPr>
            <w:r w:rsidRPr="007456E0">
              <w:rPr>
                <w:sz w:val="22"/>
                <w:szCs w:val="22"/>
              </w:rPr>
              <w:t>0.73</w:t>
            </w:r>
          </w:p>
          <w:p w14:paraId="5EF7F314" w14:textId="77777777" w:rsidR="00BD41D8" w:rsidRPr="007456E0" w:rsidRDefault="00BD41D8" w:rsidP="00BD41D8">
            <w:pPr>
              <w:jc w:val="center"/>
              <w:rPr>
                <w:sz w:val="22"/>
                <w:szCs w:val="22"/>
              </w:rPr>
            </w:pPr>
            <w:r w:rsidRPr="007456E0">
              <w:rPr>
                <w:sz w:val="22"/>
                <w:szCs w:val="22"/>
              </w:rPr>
              <w:t>(0.37 – 1.48)</w:t>
            </w:r>
          </w:p>
        </w:tc>
        <w:tc>
          <w:tcPr>
            <w:tcW w:w="1054" w:type="dxa"/>
          </w:tcPr>
          <w:p w14:paraId="69353B4D" w14:textId="77777777" w:rsidR="00BD41D8" w:rsidRPr="007456E0" w:rsidRDefault="00BD41D8" w:rsidP="00BD41D8">
            <w:pPr>
              <w:jc w:val="center"/>
              <w:rPr>
                <w:sz w:val="22"/>
                <w:szCs w:val="22"/>
              </w:rPr>
            </w:pPr>
            <w:r w:rsidRPr="007456E0">
              <w:rPr>
                <w:sz w:val="22"/>
                <w:szCs w:val="22"/>
              </w:rPr>
              <w:t>1.2%</w:t>
            </w:r>
          </w:p>
        </w:tc>
        <w:tc>
          <w:tcPr>
            <w:tcW w:w="1507" w:type="dxa"/>
          </w:tcPr>
          <w:p w14:paraId="3A30EE89" w14:textId="77777777" w:rsidR="00BD41D8" w:rsidRPr="007456E0" w:rsidRDefault="00BD41D8" w:rsidP="00BD41D8">
            <w:pPr>
              <w:jc w:val="center"/>
              <w:rPr>
                <w:sz w:val="22"/>
                <w:szCs w:val="22"/>
              </w:rPr>
            </w:pPr>
            <w:r w:rsidRPr="007456E0">
              <w:rPr>
                <w:sz w:val="22"/>
                <w:szCs w:val="22"/>
              </w:rPr>
              <w:t>0.6%</w:t>
            </w:r>
          </w:p>
        </w:tc>
        <w:tc>
          <w:tcPr>
            <w:tcW w:w="1587" w:type="dxa"/>
            <w:shd w:val="clear" w:color="auto" w:fill="F2F2F2" w:themeFill="background1" w:themeFillShade="F2"/>
          </w:tcPr>
          <w:p w14:paraId="023BD763" w14:textId="77777777" w:rsidR="00BD41D8" w:rsidRPr="007456E0" w:rsidRDefault="00BD41D8" w:rsidP="00BD41D8">
            <w:pPr>
              <w:jc w:val="center"/>
              <w:rPr>
                <w:sz w:val="22"/>
                <w:szCs w:val="22"/>
              </w:rPr>
            </w:pPr>
            <w:r w:rsidRPr="007456E0">
              <w:rPr>
                <w:sz w:val="22"/>
                <w:szCs w:val="22"/>
              </w:rPr>
              <w:t>0.48</w:t>
            </w:r>
          </w:p>
          <w:p w14:paraId="4CC2ADBB" w14:textId="77777777" w:rsidR="00BD41D8" w:rsidRPr="007456E0" w:rsidRDefault="00BD41D8" w:rsidP="00BD41D8">
            <w:pPr>
              <w:jc w:val="center"/>
              <w:rPr>
                <w:sz w:val="22"/>
                <w:szCs w:val="22"/>
              </w:rPr>
            </w:pPr>
            <w:r w:rsidRPr="007456E0">
              <w:rPr>
                <w:sz w:val="22"/>
                <w:szCs w:val="22"/>
              </w:rPr>
              <w:t>(0.15 – 1.61)</w:t>
            </w:r>
          </w:p>
        </w:tc>
      </w:tr>
      <w:tr w:rsidR="00BD41D8" w:rsidRPr="006F0D94" w14:paraId="02549900" w14:textId="77777777" w:rsidTr="00BD41D8">
        <w:trPr>
          <w:trHeight w:val="464"/>
        </w:trPr>
        <w:tc>
          <w:tcPr>
            <w:tcW w:w="2470" w:type="dxa"/>
          </w:tcPr>
          <w:p w14:paraId="1D79780B" w14:textId="77777777" w:rsidR="00BD41D8" w:rsidRPr="007456E0" w:rsidRDefault="00BD41D8" w:rsidP="00BD41D8">
            <w:pPr>
              <w:rPr>
                <w:sz w:val="22"/>
                <w:szCs w:val="22"/>
              </w:rPr>
            </w:pPr>
            <w:r w:rsidRPr="007456E0">
              <w:rPr>
                <w:sz w:val="22"/>
                <w:szCs w:val="22"/>
              </w:rPr>
              <w:t xml:space="preserve">     Major amputation</w:t>
            </w:r>
          </w:p>
        </w:tc>
        <w:tc>
          <w:tcPr>
            <w:tcW w:w="1206" w:type="dxa"/>
          </w:tcPr>
          <w:p w14:paraId="57FF0B3F" w14:textId="77777777" w:rsidR="00BD41D8" w:rsidRPr="007456E0" w:rsidRDefault="00BD41D8" w:rsidP="00BD41D8">
            <w:pPr>
              <w:jc w:val="center"/>
              <w:rPr>
                <w:sz w:val="22"/>
                <w:szCs w:val="22"/>
              </w:rPr>
            </w:pPr>
            <w:r w:rsidRPr="007456E0">
              <w:rPr>
                <w:sz w:val="22"/>
                <w:szCs w:val="22"/>
              </w:rPr>
              <w:t>0.05%</w:t>
            </w:r>
          </w:p>
        </w:tc>
        <w:tc>
          <w:tcPr>
            <w:tcW w:w="1538" w:type="dxa"/>
          </w:tcPr>
          <w:p w14:paraId="6E5F5423" w14:textId="77777777" w:rsidR="00BD41D8" w:rsidRPr="007456E0" w:rsidRDefault="00BD41D8" w:rsidP="00BD41D8">
            <w:pPr>
              <w:jc w:val="center"/>
              <w:rPr>
                <w:sz w:val="22"/>
                <w:szCs w:val="22"/>
              </w:rPr>
            </w:pPr>
            <w:r w:rsidRPr="007456E0">
              <w:rPr>
                <w:sz w:val="22"/>
                <w:szCs w:val="22"/>
              </w:rPr>
              <w:t>0.03%</w:t>
            </w:r>
          </w:p>
        </w:tc>
        <w:tc>
          <w:tcPr>
            <w:tcW w:w="1555" w:type="dxa"/>
            <w:shd w:val="clear" w:color="auto" w:fill="F2F2F2" w:themeFill="background1" w:themeFillShade="F2"/>
          </w:tcPr>
          <w:p w14:paraId="5A2BC444" w14:textId="77777777" w:rsidR="00BD41D8" w:rsidRPr="007456E0" w:rsidRDefault="00BD41D8" w:rsidP="00BD41D8">
            <w:pPr>
              <w:jc w:val="center"/>
              <w:rPr>
                <w:sz w:val="22"/>
                <w:szCs w:val="22"/>
              </w:rPr>
            </w:pPr>
            <w:r w:rsidRPr="007456E0">
              <w:rPr>
                <w:sz w:val="22"/>
                <w:szCs w:val="22"/>
              </w:rPr>
              <w:t>0.57</w:t>
            </w:r>
          </w:p>
          <w:p w14:paraId="5C1540CA" w14:textId="77777777" w:rsidR="00BD41D8" w:rsidRPr="007456E0" w:rsidRDefault="00BD41D8" w:rsidP="00BD41D8">
            <w:pPr>
              <w:jc w:val="center"/>
              <w:rPr>
                <w:sz w:val="22"/>
                <w:szCs w:val="22"/>
              </w:rPr>
            </w:pPr>
            <w:r w:rsidRPr="007456E0">
              <w:rPr>
                <w:sz w:val="22"/>
                <w:szCs w:val="22"/>
              </w:rPr>
              <w:t>(0.17 – 1.95)</w:t>
            </w:r>
          </w:p>
        </w:tc>
        <w:tc>
          <w:tcPr>
            <w:tcW w:w="1097" w:type="dxa"/>
          </w:tcPr>
          <w:p w14:paraId="3663684A" w14:textId="77777777" w:rsidR="00BD41D8" w:rsidRPr="007456E0" w:rsidRDefault="00BD41D8" w:rsidP="00BD41D8">
            <w:pPr>
              <w:jc w:val="center"/>
              <w:rPr>
                <w:sz w:val="22"/>
                <w:szCs w:val="22"/>
              </w:rPr>
            </w:pPr>
            <w:r w:rsidRPr="007456E0">
              <w:rPr>
                <w:sz w:val="22"/>
                <w:szCs w:val="22"/>
              </w:rPr>
              <w:t>0.4%</w:t>
            </w:r>
          </w:p>
        </w:tc>
        <w:tc>
          <w:tcPr>
            <w:tcW w:w="1412" w:type="dxa"/>
          </w:tcPr>
          <w:p w14:paraId="1EA4AFBC" w14:textId="77777777" w:rsidR="00BD41D8" w:rsidRPr="007456E0" w:rsidRDefault="00BD41D8" w:rsidP="00BD41D8">
            <w:pPr>
              <w:jc w:val="center"/>
              <w:rPr>
                <w:sz w:val="22"/>
                <w:szCs w:val="22"/>
              </w:rPr>
            </w:pPr>
            <w:r w:rsidRPr="007456E0">
              <w:rPr>
                <w:sz w:val="22"/>
                <w:szCs w:val="22"/>
              </w:rPr>
              <w:t>0.2%</w:t>
            </w:r>
          </w:p>
        </w:tc>
        <w:tc>
          <w:tcPr>
            <w:tcW w:w="1514" w:type="dxa"/>
            <w:shd w:val="clear" w:color="auto" w:fill="F2F2F2" w:themeFill="background1" w:themeFillShade="F2"/>
          </w:tcPr>
          <w:p w14:paraId="2EF67266" w14:textId="77777777" w:rsidR="00BD41D8" w:rsidRPr="007456E0" w:rsidRDefault="00BD41D8" w:rsidP="00BD41D8">
            <w:pPr>
              <w:jc w:val="center"/>
              <w:rPr>
                <w:sz w:val="22"/>
                <w:szCs w:val="22"/>
              </w:rPr>
            </w:pPr>
            <w:r w:rsidRPr="007456E0">
              <w:rPr>
                <w:sz w:val="22"/>
                <w:szCs w:val="22"/>
              </w:rPr>
              <w:t>0.41</w:t>
            </w:r>
          </w:p>
          <w:p w14:paraId="3F8F8840" w14:textId="77777777" w:rsidR="00BD41D8" w:rsidRPr="007456E0" w:rsidRDefault="00BD41D8" w:rsidP="00BD41D8">
            <w:pPr>
              <w:jc w:val="center"/>
              <w:rPr>
                <w:sz w:val="22"/>
                <w:szCs w:val="22"/>
              </w:rPr>
            </w:pPr>
            <w:r w:rsidRPr="007456E0">
              <w:rPr>
                <w:sz w:val="22"/>
                <w:szCs w:val="22"/>
              </w:rPr>
              <w:t>(0.11 – 1.57)</w:t>
            </w:r>
          </w:p>
        </w:tc>
        <w:tc>
          <w:tcPr>
            <w:tcW w:w="1054" w:type="dxa"/>
          </w:tcPr>
          <w:p w14:paraId="006AC6E3" w14:textId="77777777" w:rsidR="00BD41D8" w:rsidRPr="007456E0" w:rsidRDefault="00BD41D8" w:rsidP="00BD41D8">
            <w:pPr>
              <w:jc w:val="center"/>
              <w:rPr>
                <w:sz w:val="22"/>
                <w:szCs w:val="22"/>
              </w:rPr>
            </w:pPr>
            <w:r w:rsidRPr="007456E0">
              <w:rPr>
                <w:sz w:val="22"/>
                <w:szCs w:val="22"/>
              </w:rPr>
              <w:t>0.58%</w:t>
            </w:r>
          </w:p>
        </w:tc>
        <w:tc>
          <w:tcPr>
            <w:tcW w:w="1507" w:type="dxa"/>
          </w:tcPr>
          <w:p w14:paraId="1B5C9875" w14:textId="77777777" w:rsidR="00BD41D8" w:rsidRPr="007456E0" w:rsidRDefault="00BD41D8" w:rsidP="00BD41D8">
            <w:pPr>
              <w:jc w:val="center"/>
              <w:rPr>
                <w:sz w:val="22"/>
                <w:szCs w:val="22"/>
              </w:rPr>
            </w:pPr>
            <w:r w:rsidRPr="007456E0">
              <w:rPr>
                <w:sz w:val="22"/>
                <w:szCs w:val="22"/>
              </w:rPr>
              <w:t>0.1%</w:t>
            </w:r>
          </w:p>
        </w:tc>
        <w:tc>
          <w:tcPr>
            <w:tcW w:w="1587" w:type="dxa"/>
            <w:shd w:val="clear" w:color="auto" w:fill="F2F2F2" w:themeFill="background1" w:themeFillShade="F2"/>
          </w:tcPr>
          <w:p w14:paraId="4A517781" w14:textId="77777777" w:rsidR="00BD41D8" w:rsidRPr="007456E0" w:rsidRDefault="00BD41D8" w:rsidP="00BD41D8">
            <w:pPr>
              <w:jc w:val="center"/>
              <w:rPr>
                <w:sz w:val="22"/>
                <w:szCs w:val="22"/>
              </w:rPr>
            </w:pPr>
            <w:r w:rsidRPr="007456E0">
              <w:rPr>
                <w:sz w:val="22"/>
                <w:szCs w:val="22"/>
              </w:rPr>
              <w:t>0.26</w:t>
            </w:r>
          </w:p>
          <w:p w14:paraId="32625B48" w14:textId="77777777" w:rsidR="00BD41D8" w:rsidRPr="007456E0" w:rsidRDefault="00BD41D8" w:rsidP="00BD41D8">
            <w:pPr>
              <w:jc w:val="center"/>
              <w:rPr>
                <w:sz w:val="22"/>
                <w:szCs w:val="22"/>
              </w:rPr>
            </w:pPr>
            <w:r w:rsidRPr="007456E0">
              <w:rPr>
                <w:sz w:val="22"/>
                <w:szCs w:val="22"/>
              </w:rPr>
              <w:t>(0.03 – 2.32)</w:t>
            </w:r>
          </w:p>
        </w:tc>
      </w:tr>
      <w:tr w:rsidR="00BD41D8" w:rsidRPr="006F0D94" w14:paraId="4EA7228A" w14:textId="77777777" w:rsidTr="00BD41D8">
        <w:trPr>
          <w:trHeight w:val="464"/>
        </w:trPr>
        <w:tc>
          <w:tcPr>
            <w:tcW w:w="2470" w:type="dxa"/>
          </w:tcPr>
          <w:p w14:paraId="027E3F30" w14:textId="77777777" w:rsidR="00BD41D8" w:rsidRPr="007456E0" w:rsidRDefault="00BD41D8" w:rsidP="00BD41D8">
            <w:pPr>
              <w:rPr>
                <w:sz w:val="22"/>
                <w:szCs w:val="22"/>
              </w:rPr>
            </w:pPr>
            <w:r w:rsidRPr="007456E0">
              <w:rPr>
                <w:sz w:val="22"/>
                <w:szCs w:val="22"/>
              </w:rPr>
              <w:t xml:space="preserve">     Urgent    </w:t>
            </w:r>
          </w:p>
          <w:p w14:paraId="404AD208" w14:textId="77777777" w:rsidR="00BD41D8" w:rsidRPr="007456E0" w:rsidRDefault="00BD41D8" w:rsidP="00BD41D8">
            <w:pPr>
              <w:rPr>
                <w:sz w:val="22"/>
                <w:szCs w:val="22"/>
              </w:rPr>
            </w:pPr>
            <w:r w:rsidRPr="007456E0">
              <w:rPr>
                <w:sz w:val="22"/>
                <w:szCs w:val="22"/>
              </w:rPr>
              <w:t xml:space="preserve">     revascularization</w:t>
            </w:r>
          </w:p>
        </w:tc>
        <w:tc>
          <w:tcPr>
            <w:tcW w:w="1206" w:type="dxa"/>
          </w:tcPr>
          <w:p w14:paraId="11685339" w14:textId="77777777" w:rsidR="00BD41D8" w:rsidRPr="007456E0" w:rsidRDefault="00BD41D8" w:rsidP="00BD41D8">
            <w:pPr>
              <w:jc w:val="center"/>
              <w:rPr>
                <w:sz w:val="22"/>
                <w:szCs w:val="22"/>
              </w:rPr>
            </w:pPr>
            <w:r w:rsidRPr="007456E0">
              <w:rPr>
                <w:sz w:val="22"/>
                <w:szCs w:val="22"/>
              </w:rPr>
              <w:t>0.21%</w:t>
            </w:r>
          </w:p>
        </w:tc>
        <w:tc>
          <w:tcPr>
            <w:tcW w:w="1538" w:type="dxa"/>
          </w:tcPr>
          <w:p w14:paraId="6A4D6721" w14:textId="77777777" w:rsidR="00BD41D8" w:rsidRPr="007456E0" w:rsidRDefault="00BD41D8" w:rsidP="00BD41D8">
            <w:pPr>
              <w:jc w:val="center"/>
              <w:rPr>
                <w:sz w:val="22"/>
                <w:szCs w:val="22"/>
              </w:rPr>
            </w:pPr>
            <w:r w:rsidRPr="007456E0">
              <w:rPr>
                <w:sz w:val="22"/>
                <w:szCs w:val="22"/>
              </w:rPr>
              <w:t>0.13%</w:t>
            </w:r>
          </w:p>
        </w:tc>
        <w:tc>
          <w:tcPr>
            <w:tcW w:w="1555" w:type="dxa"/>
            <w:shd w:val="clear" w:color="auto" w:fill="F2F2F2" w:themeFill="background1" w:themeFillShade="F2"/>
          </w:tcPr>
          <w:p w14:paraId="367A4A62" w14:textId="77777777" w:rsidR="00BD41D8" w:rsidRPr="007456E0" w:rsidRDefault="00BD41D8" w:rsidP="00BD41D8">
            <w:pPr>
              <w:jc w:val="center"/>
              <w:rPr>
                <w:sz w:val="22"/>
                <w:szCs w:val="22"/>
              </w:rPr>
            </w:pPr>
            <w:r w:rsidRPr="007456E0">
              <w:rPr>
                <w:sz w:val="22"/>
                <w:szCs w:val="22"/>
              </w:rPr>
              <w:t>0.69</w:t>
            </w:r>
          </w:p>
          <w:p w14:paraId="0C8472F0" w14:textId="77777777" w:rsidR="00BD41D8" w:rsidRPr="007456E0" w:rsidRDefault="00BD41D8" w:rsidP="00BD41D8">
            <w:pPr>
              <w:jc w:val="center"/>
              <w:rPr>
                <w:sz w:val="22"/>
                <w:szCs w:val="22"/>
              </w:rPr>
            </w:pPr>
            <w:r w:rsidRPr="007456E0">
              <w:rPr>
                <w:sz w:val="22"/>
                <w:szCs w:val="22"/>
              </w:rPr>
              <w:t>(0.38 – 1.26)</w:t>
            </w:r>
          </w:p>
        </w:tc>
        <w:tc>
          <w:tcPr>
            <w:tcW w:w="1097" w:type="dxa"/>
          </w:tcPr>
          <w:p w14:paraId="503A12CA" w14:textId="77777777" w:rsidR="00BD41D8" w:rsidRPr="007456E0" w:rsidRDefault="00BD41D8" w:rsidP="00BD41D8">
            <w:pPr>
              <w:jc w:val="center"/>
              <w:rPr>
                <w:sz w:val="22"/>
                <w:szCs w:val="22"/>
              </w:rPr>
            </w:pPr>
            <w:r w:rsidRPr="007456E0">
              <w:rPr>
                <w:sz w:val="22"/>
                <w:szCs w:val="22"/>
              </w:rPr>
              <w:t>1.2%</w:t>
            </w:r>
          </w:p>
        </w:tc>
        <w:tc>
          <w:tcPr>
            <w:tcW w:w="1412" w:type="dxa"/>
          </w:tcPr>
          <w:p w14:paraId="5EEFB2A9" w14:textId="77777777" w:rsidR="00BD41D8" w:rsidRPr="007456E0" w:rsidRDefault="00BD41D8" w:rsidP="00BD41D8">
            <w:pPr>
              <w:jc w:val="center"/>
              <w:rPr>
                <w:sz w:val="22"/>
                <w:szCs w:val="22"/>
              </w:rPr>
            </w:pPr>
            <w:r w:rsidRPr="007456E0">
              <w:rPr>
                <w:sz w:val="22"/>
                <w:szCs w:val="22"/>
              </w:rPr>
              <w:t>0.9%</w:t>
            </w:r>
          </w:p>
        </w:tc>
        <w:tc>
          <w:tcPr>
            <w:tcW w:w="1514" w:type="dxa"/>
            <w:shd w:val="clear" w:color="auto" w:fill="F2F2F2" w:themeFill="background1" w:themeFillShade="F2"/>
          </w:tcPr>
          <w:p w14:paraId="2CA5F116" w14:textId="77777777" w:rsidR="00BD41D8" w:rsidRPr="007456E0" w:rsidRDefault="00BD41D8" w:rsidP="00BD41D8">
            <w:pPr>
              <w:jc w:val="center"/>
              <w:rPr>
                <w:sz w:val="22"/>
                <w:szCs w:val="22"/>
              </w:rPr>
            </w:pPr>
            <w:r w:rsidRPr="007456E0">
              <w:rPr>
                <w:sz w:val="22"/>
                <w:szCs w:val="22"/>
              </w:rPr>
              <w:t xml:space="preserve">0.75 </w:t>
            </w:r>
          </w:p>
          <w:p w14:paraId="751E9DD9" w14:textId="77777777" w:rsidR="00BD41D8" w:rsidRPr="007456E0" w:rsidRDefault="00BD41D8" w:rsidP="00BD41D8">
            <w:pPr>
              <w:jc w:val="center"/>
              <w:rPr>
                <w:sz w:val="22"/>
                <w:szCs w:val="22"/>
              </w:rPr>
            </w:pPr>
            <w:r w:rsidRPr="007456E0">
              <w:rPr>
                <w:sz w:val="22"/>
                <w:szCs w:val="22"/>
              </w:rPr>
              <w:t>(0.39 – 1.45)</w:t>
            </w:r>
          </w:p>
        </w:tc>
        <w:tc>
          <w:tcPr>
            <w:tcW w:w="1054" w:type="dxa"/>
          </w:tcPr>
          <w:p w14:paraId="329A8B43" w14:textId="77777777" w:rsidR="00BD41D8" w:rsidRPr="007456E0" w:rsidRDefault="00BD41D8" w:rsidP="00BD41D8">
            <w:pPr>
              <w:jc w:val="center"/>
              <w:rPr>
                <w:sz w:val="22"/>
                <w:szCs w:val="22"/>
              </w:rPr>
            </w:pPr>
            <w:r w:rsidRPr="007456E0">
              <w:rPr>
                <w:sz w:val="22"/>
                <w:szCs w:val="22"/>
              </w:rPr>
              <w:t>1.2%</w:t>
            </w:r>
          </w:p>
        </w:tc>
        <w:tc>
          <w:tcPr>
            <w:tcW w:w="1507" w:type="dxa"/>
          </w:tcPr>
          <w:p w14:paraId="6DDD65E0" w14:textId="77777777" w:rsidR="00BD41D8" w:rsidRPr="007456E0" w:rsidRDefault="00BD41D8" w:rsidP="00BD41D8">
            <w:pPr>
              <w:jc w:val="center"/>
              <w:rPr>
                <w:sz w:val="22"/>
                <w:szCs w:val="22"/>
              </w:rPr>
            </w:pPr>
            <w:r w:rsidRPr="007456E0">
              <w:rPr>
                <w:sz w:val="22"/>
                <w:szCs w:val="22"/>
              </w:rPr>
              <w:t>0.9%</w:t>
            </w:r>
          </w:p>
        </w:tc>
        <w:tc>
          <w:tcPr>
            <w:tcW w:w="1587" w:type="dxa"/>
            <w:shd w:val="clear" w:color="auto" w:fill="F2F2F2" w:themeFill="background1" w:themeFillShade="F2"/>
          </w:tcPr>
          <w:p w14:paraId="619A28BA" w14:textId="77777777" w:rsidR="00BD41D8" w:rsidRPr="007456E0" w:rsidRDefault="00BD41D8" w:rsidP="00BD41D8">
            <w:pPr>
              <w:jc w:val="center"/>
              <w:rPr>
                <w:sz w:val="22"/>
                <w:szCs w:val="22"/>
              </w:rPr>
            </w:pPr>
            <w:r w:rsidRPr="007456E0">
              <w:rPr>
                <w:sz w:val="22"/>
                <w:szCs w:val="22"/>
              </w:rPr>
              <w:t xml:space="preserve">0.72 </w:t>
            </w:r>
          </w:p>
          <w:p w14:paraId="72194634" w14:textId="77777777" w:rsidR="00BD41D8" w:rsidRPr="007456E0" w:rsidRDefault="00BD41D8" w:rsidP="00BD41D8">
            <w:pPr>
              <w:jc w:val="center"/>
              <w:rPr>
                <w:sz w:val="22"/>
                <w:szCs w:val="22"/>
              </w:rPr>
            </w:pPr>
            <w:r w:rsidRPr="007456E0">
              <w:rPr>
                <w:sz w:val="22"/>
                <w:szCs w:val="22"/>
              </w:rPr>
              <w:t>(0.25 – 2.08)</w:t>
            </w:r>
          </w:p>
        </w:tc>
      </w:tr>
      <w:tr w:rsidR="00BD41D8" w:rsidRPr="006F0D94" w14:paraId="00FB5362" w14:textId="77777777" w:rsidTr="00BD41D8">
        <w:trPr>
          <w:trHeight w:val="464"/>
        </w:trPr>
        <w:tc>
          <w:tcPr>
            <w:tcW w:w="2470" w:type="dxa"/>
          </w:tcPr>
          <w:p w14:paraId="7CE4E677" w14:textId="77777777" w:rsidR="00BD41D8" w:rsidRPr="007456E0" w:rsidRDefault="00BD41D8" w:rsidP="00BD41D8">
            <w:pPr>
              <w:rPr>
                <w:sz w:val="22"/>
                <w:szCs w:val="22"/>
                <w:highlight w:val="yellow"/>
              </w:rPr>
            </w:pPr>
            <w:r w:rsidRPr="007456E0">
              <w:rPr>
                <w:sz w:val="22"/>
                <w:szCs w:val="22"/>
              </w:rPr>
              <w:t>Any peripheral revascularization</w:t>
            </w:r>
          </w:p>
        </w:tc>
        <w:tc>
          <w:tcPr>
            <w:tcW w:w="1206" w:type="dxa"/>
          </w:tcPr>
          <w:p w14:paraId="746A575E" w14:textId="77777777" w:rsidR="00BD41D8" w:rsidRPr="007456E0" w:rsidRDefault="00BD41D8" w:rsidP="00BD41D8">
            <w:pPr>
              <w:jc w:val="center"/>
              <w:rPr>
                <w:sz w:val="22"/>
                <w:szCs w:val="22"/>
              </w:rPr>
            </w:pPr>
            <w:r w:rsidRPr="007456E0">
              <w:rPr>
                <w:sz w:val="22"/>
                <w:szCs w:val="22"/>
              </w:rPr>
              <w:t>2.37%</w:t>
            </w:r>
          </w:p>
        </w:tc>
        <w:tc>
          <w:tcPr>
            <w:tcW w:w="1538" w:type="dxa"/>
          </w:tcPr>
          <w:p w14:paraId="2EA69FF8" w14:textId="77777777" w:rsidR="00BD41D8" w:rsidRPr="007456E0" w:rsidRDefault="00BD41D8" w:rsidP="00BD41D8">
            <w:pPr>
              <w:jc w:val="center"/>
              <w:rPr>
                <w:sz w:val="22"/>
                <w:szCs w:val="22"/>
              </w:rPr>
            </w:pPr>
            <w:r w:rsidRPr="007456E0">
              <w:rPr>
                <w:sz w:val="22"/>
                <w:szCs w:val="22"/>
              </w:rPr>
              <w:t>2.59%</w:t>
            </w:r>
          </w:p>
        </w:tc>
        <w:tc>
          <w:tcPr>
            <w:tcW w:w="1555" w:type="dxa"/>
            <w:shd w:val="clear" w:color="auto" w:fill="F2F2F2" w:themeFill="background1" w:themeFillShade="F2"/>
          </w:tcPr>
          <w:p w14:paraId="4953B972" w14:textId="77777777" w:rsidR="00BD41D8" w:rsidRPr="007456E0" w:rsidRDefault="00BD41D8" w:rsidP="00BD41D8">
            <w:pPr>
              <w:jc w:val="center"/>
              <w:rPr>
                <w:sz w:val="22"/>
                <w:szCs w:val="22"/>
              </w:rPr>
            </w:pPr>
            <w:r w:rsidRPr="007456E0">
              <w:rPr>
                <w:sz w:val="22"/>
                <w:szCs w:val="22"/>
              </w:rPr>
              <w:t>1.08</w:t>
            </w:r>
          </w:p>
          <w:p w14:paraId="2BFE27C7" w14:textId="77777777" w:rsidR="00BD41D8" w:rsidRPr="007456E0" w:rsidRDefault="00BD41D8" w:rsidP="00BD41D8">
            <w:pPr>
              <w:jc w:val="center"/>
              <w:rPr>
                <w:sz w:val="22"/>
                <w:szCs w:val="22"/>
              </w:rPr>
            </w:pPr>
            <w:r w:rsidRPr="007456E0">
              <w:rPr>
                <w:sz w:val="22"/>
                <w:szCs w:val="22"/>
              </w:rPr>
              <w:t>(0.92 – 1.27)</w:t>
            </w:r>
          </w:p>
          <w:p w14:paraId="5048BD35" w14:textId="77777777" w:rsidR="00BD41D8" w:rsidRPr="007456E0" w:rsidRDefault="00BD41D8" w:rsidP="00BD41D8">
            <w:pPr>
              <w:jc w:val="center"/>
              <w:rPr>
                <w:sz w:val="22"/>
                <w:szCs w:val="22"/>
              </w:rPr>
            </w:pPr>
            <w:r w:rsidRPr="007456E0">
              <w:rPr>
                <w:sz w:val="22"/>
                <w:szCs w:val="22"/>
              </w:rPr>
              <w:t>P=0.33</w:t>
            </w:r>
          </w:p>
        </w:tc>
        <w:tc>
          <w:tcPr>
            <w:tcW w:w="1097" w:type="dxa"/>
          </w:tcPr>
          <w:p w14:paraId="118F71C6" w14:textId="77777777" w:rsidR="00BD41D8" w:rsidRPr="007456E0" w:rsidRDefault="00BD41D8" w:rsidP="00BD41D8">
            <w:pPr>
              <w:jc w:val="center"/>
              <w:rPr>
                <w:sz w:val="22"/>
                <w:szCs w:val="22"/>
              </w:rPr>
            </w:pPr>
            <w:r w:rsidRPr="007456E0">
              <w:rPr>
                <w:sz w:val="22"/>
                <w:szCs w:val="22"/>
              </w:rPr>
              <w:t>12.4%</w:t>
            </w:r>
          </w:p>
        </w:tc>
        <w:tc>
          <w:tcPr>
            <w:tcW w:w="1412" w:type="dxa"/>
          </w:tcPr>
          <w:p w14:paraId="470C7266" w14:textId="77777777" w:rsidR="00BD41D8" w:rsidRPr="007456E0" w:rsidRDefault="00BD41D8" w:rsidP="00BD41D8">
            <w:pPr>
              <w:jc w:val="center"/>
              <w:rPr>
                <w:sz w:val="22"/>
                <w:szCs w:val="22"/>
              </w:rPr>
            </w:pPr>
            <w:r w:rsidRPr="007456E0">
              <w:rPr>
                <w:sz w:val="22"/>
                <w:szCs w:val="22"/>
              </w:rPr>
              <w:t>13.2%</w:t>
            </w:r>
          </w:p>
        </w:tc>
        <w:tc>
          <w:tcPr>
            <w:tcW w:w="1514" w:type="dxa"/>
            <w:shd w:val="clear" w:color="auto" w:fill="F2F2F2" w:themeFill="background1" w:themeFillShade="F2"/>
          </w:tcPr>
          <w:p w14:paraId="438D991B" w14:textId="77777777" w:rsidR="00BD41D8" w:rsidRPr="007456E0" w:rsidRDefault="00BD41D8" w:rsidP="00BD41D8">
            <w:pPr>
              <w:jc w:val="center"/>
              <w:rPr>
                <w:sz w:val="22"/>
                <w:szCs w:val="22"/>
              </w:rPr>
            </w:pPr>
            <w:r w:rsidRPr="007456E0">
              <w:rPr>
                <w:sz w:val="22"/>
                <w:szCs w:val="22"/>
              </w:rPr>
              <w:t>1.01</w:t>
            </w:r>
          </w:p>
          <w:p w14:paraId="2A3789C9" w14:textId="77777777" w:rsidR="00BD41D8" w:rsidRPr="007456E0" w:rsidRDefault="00BD41D8" w:rsidP="00BD41D8">
            <w:pPr>
              <w:jc w:val="center"/>
              <w:rPr>
                <w:sz w:val="22"/>
                <w:szCs w:val="22"/>
              </w:rPr>
            </w:pPr>
            <w:r w:rsidRPr="007456E0">
              <w:rPr>
                <w:sz w:val="22"/>
                <w:szCs w:val="22"/>
              </w:rPr>
              <w:t>(0.84 – 1.23)</w:t>
            </w:r>
          </w:p>
          <w:p w14:paraId="2FADA9DB" w14:textId="77777777" w:rsidR="00BD41D8" w:rsidRPr="007456E0" w:rsidRDefault="00BD41D8" w:rsidP="00BD41D8">
            <w:pPr>
              <w:jc w:val="center"/>
              <w:rPr>
                <w:sz w:val="22"/>
                <w:szCs w:val="22"/>
              </w:rPr>
            </w:pPr>
            <w:r w:rsidRPr="007456E0">
              <w:rPr>
                <w:sz w:val="22"/>
                <w:szCs w:val="22"/>
              </w:rPr>
              <w:t>P=0.88</w:t>
            </w:r>
          </w:p>
        </w:tc>
        <w:tc>
          <w:tcPr>
            <w:tcW w:w="1054" w:type="dxa"/>
          </w:tcPr>
          <w:p w14:paraId="3459F520" w14:textId="77777777" w:rsidR="00BD41D8" w:rsidRPr="007456E0" w:rsidRDefault="00BD41D8" w:rsidP="00BD41D8">
            <w:pPr>
              <w:jc w:val="center"/>
              <w:rPr>
                <w:sz w:val="22"/>
                <w:szCs w:val="22"/>
              </w:rPr>
            </w:pPr>
            <w:r w:rsidRPr="007456E0">
              <w:rPr>
                <w:sz w:val="22"/>
                <w:szCs w:val="22"/>
              </w:rPr>
              <w:t>12.1%</w:t>
            </w:r>
          </w:p>
        </w:tc>
        <w:tc>
          <w:tcPr>
            <w:tcW w:w="1507" w:type="dxa"/>
          </w:tcPr>
          <w:p w14:paraId="7A1D99CC" w14:textId="77777777" w:rsidR="00BD41D8" w:rsidRPr="007456E0" w:rsidRDefault="00BD41D8" w:rsidP="00BD41D8">
            <w:pPr>
              <w:jc w:val="center"/>
              <w:rPr>
                <w:sz w:val="22"/>
                <w:szCs w:val="22"/>
              </w:rPr>
            </w:pPr>
            <w:r w:rsidRPr="007456E0">
              <w:rPr>
                <w:sz w:val="22"/>
                <w:szCs w:val="22"/>
              </w:rPr>
              <w:t>14.9%</w:t>
            </w:r>
          </w:p>
        </w:tc>
        <w:tc>
          <w:tcPr>
            <w:tcW w:w="1587" w:type="dxa"/>
            <w:shd w:val="clear" w:color="auto" w:fill="F2F2F2" w:themeFill="background1" w:themeFillShade="F2"/>
          </w:tcPr>
          <w:p w14:paraId="5CA22AC2" w14:textId="77777777" w:rsidR="00BD41D8" w:rsidRPr="007456E0" w:rsidRDefault="00BD41D8" w:rsidP="00BD41D8">
            <w:pPr>
              <w:jc w:val="center"/>
              <w:rPr>
                <w:sz w:val="22"/>
                <w:szCs w:val="22"/>
              </w:rPr>
            </w:pPr>
            <w:r w:rsidRPr="007456E0">
              <w:rPr>
                <w:sz w:val="22"/>
                <w:szCs w:val="22"/>
              </w:rPr>
              <w:t xml:space="preserve">1.17 </w:t>
            </w:r>
          </w:p>
          <w:p w14:paraId="544F33DC" w14:textId="77777777" w:rsidR="00BD41D8" w:rsidRPr="007456E0" w:rsidRDefault="00BD41D8" w:rsidP="00BD41D8">
            <w:pPr>
              <w:jc w:val="center"/>
              <w:rPr>
                <w:sz w:val="22"/>
                <w:szCs w:val="22"/>
              </w:rPr>
            </w:pPr>
            <w:r w:rsidRPr="007456E0">
              <w:rPr>
                <w:sz w:val="22"/>
                <w:szCs w:val="22"/>
              </w:rPr>
              <w:t>(0.87 – 1.57)</w:t>
            </w:r>
          </w:p>
          <w:p w14:paraId="7D856186" w14:textId="77777777" w:rsidR="00BD41D8" w:rsidRPr="007456E0" w:rsidRDefault="00BD41D8" w:rsidP="00BD41D8">
            <w:pPr>
              <w:jc w:val="center"/>
              <w:rPr>
                <w:sz w:val="22"/>
                <w:szCs w:val="22"/>
              </w:rPr>
            </w:pPr>
            <w:r w:rsidRPr="007456E0">
              <w:rPr>
                <w:sz w:val="22"/>
                <w:szCs w:val="22"/>
              </w:rPr>
              <w:t>P=0.30</w:t>
            </w:r>
          </w:p>
        </w:tc>
      </w:tr>
      <w:tr w:rsidR="00BD41D8" w:rsidRPr="006F0D94" w14:paraId="713A2926" w14:textId="77777777" w:rsidTr="00BD41D8">
        <w:trPr>
          <w:trHeight w:val="464"/>
        </w:trPr>
        <w:tc>
          <w:tcPr>
            <w:tcW w:w="2470" w:type="dxa"/>
          </w:tcPr>
          <w:p w14:paraId="44BA9A43" w14:textId="77777777" w:rsidR="00BD41D8" w:rsidRPr="007456E0" w:rsidRDefault="00BD41D8" w:rsidP="00BD41D8">
            <w:pPr>
              <w:rPr>
                <w:b/>
                <w:sz w:val="22"/>
                <w:szCs w:val="22"/>
              </w:rPr>
            </w:pPr>
            <w:r w:rsidRPr="007456E0">
              <w:rPr>
                <w:b/>
                <w:sz w:val="22"/>
                <w:szCs w:val="22"/>
              </w:rPr>
              <w:t>CV Death, MI, Stroke, MALE</w:t>
            </w:r>
          </w:p>
        </w:tc>
        <w:tc>
          <w:tcPr>
            <w:tcW w:w="1206" w:type="dxa"/>
          </w:tcPr>
          <w:p w14:paraId="45BCD701" w14:textId="77777777" w:rsidR="00BD41D8" w:rsidRPr="007456E0" w:rsidRDefault="00BD41D8" w:rsidP="00BD41D8">
            <w:pPr>
              <w:jc w:val="center"/>
              <w:rPr>
                <w:b/>
                <w:sz w:val="22"/>
                <w:szCs w:val="22"/>
              </w:rPr>
            </w:pPr>
            <w:r w:rsidRPr="007456E0">
              <w:rPr>
                <w:b/>
                <w:sz w:val="22"/>
                <w:szCs w:val="22"/>
              </w:rPr>
              <w:t>8.70%</w:t>
            </w:r>
          </w:p>
        </w:tc>
        <w:tc>
          <w:tcPr>
            <w:tcW w:w="1538" w:type="dxa"/>
          </w:tcPr>
          <w:p w14:paraId="78911E6C" w14:textId="77777777" w:rsidR="00BD41D8" w:rsidRPr="007456E0" w:rsidRDefault="00BD41D8" w:rsidP="00BD41D8">
            <w:pPr>
              <w:jc w:val="center"/>
              <w:rPr>
                <w:b/>
                <w:sz w:val="22"/>
                <w:szCs w:val="22"/>
              </w:rPr>
            </w:pPr>
            <w:r w:rsidRPr="007456E0">
              <w:rPr>
                <w:b/>
                <w:sz w:val="22"/>
                <w:szCs w:val="22"/>
              </w:rPr>
              <w:t>6.91%</w:t>
            </w:r>
          </w:p>
        </w:tc>
        <w:tc>
          <w:tcPr>
            <w:tcW w:w="1555" w:type="dxa"/>
            <w:shd w:val="clear" w:color="auto" w:fill="F2F2F2" w:themeFill="background1" w:themeFillShade="F2"/>
          </w:tcPr>
          <w:p w14:paraId="72490600" w14:textId="77777777" w:rsidR="00BD41D8" w:rsidRPr="007456E0" w:rsidRDefault="00BD41D8" w:rsidP="00BD41D8">
            <w:pPr>
              <w:jc w:val="center"/>
              <w:rPr>
                <w:b/>
                <w:sz w:val="22"/>
                <w:szCs w:val="22"/>
              </w:rPr>
            </w:pPr>
            <w:r w:rsidRPr="007456E0">
              <w:rPr>
                <w:b/>
                <w:sz w:val="22"/>
                <w:szCs w:val="22"/>
              </w:rPr>
              <w:t>0.79</w:t>
            </w:r>
          </w:p>
          <w:p w14:paraId="76781613" w14:textId="77777777" w:rsidR="00BD41D8" w:rsidRPr="007456E0" w:rsidRDefault="00BD41D8" w:rsidP="00BD41D8">
            <w:pPr>
              <w:jc w:val="center"/>
              <w:rPr>
                <w:b/>
                <w:sz w:val="22"/>
                <w:szCs w:val="22"/>
              </w:rPr>
            </w:pPr>
            <w:r w:rsidRPr="007456E0">
              <w:rPr>
                <w:b/>
                <w:sz w:val="22"/>
                <w:szCs w:val="22"/>
              </w:rPr>
              <w:t>(0.72 – 0.87)</w:t>
            </w:r>
          </w:p>
          <w:p w14:paraId="77F3BC47" w14:textId="77777777" w:rsidR="00BD41D8" w:rsidRPr="007456E0" w:rsidRDefault="00BD41D8" w:rsidP="00BD41D8">
            <w:pPr>
              <w:jc w:val="center"/>
              <w:rPr>
                <w:b/>
                <w:sz w:val="22"/>
                <w:szCs w:val="22"/>
              </w:rPr>
            </w:pPr>
            <w:r w:rsidRPr="007456E0">
              <w:rPr>
                <w:b/>
                <w:sz w:val="22"/>
                <w:szCs w:val="22"/>
              </w:rPr>
              <w:t>p&lt;0.001</w:t>
            </w:r>
          </w:p>
        </w:tc>
        <w:tc>
          <w:tcPr>
            <w:tcW w:w="1097" w:type="dxa"/>
          </w:tcPr>
          <w:p w14:paraId="5C8AE6DA" w14:textId="77777777" w:rsidR="00BD41D8" w:rsidRPr="007456E0" w:rsidRDefault="00BD41D8" w:rsidP="00BD41D8">
            <w:pPr>
              <w:jc w:val="center"/>
              <w:rPr>
                <w:b/>
                <w:sz w:val="22"/>
                <w:szCs w:val="22"/>
              </w:rPr>
            </w:pPr>
            <w:r w:rsidRPr="007456E0">
              <w:rPr>
                <w:b/>
                <w:sz w:val="22"/>
                <w:szCs w:val="22"/>
              </w:rPr>
              <w:t>15.0%</w:t>
            </w:r>
          </w:p>
        </w:tc>
        <w:tc>
          <w:tcPr>
            <w:tcW w:w="1412" w:type="dxa"/>
          </w:tcPr>
          <w:p w14:paraId="57C72B29" w14:textId="77777777" w:rsidR="00BD41D8" w:rsidRPr="007456E0" w:rsidRDefault="00BD41D8" w:rsidP="00BD41D8">
            <w:pPr>
              <w:jc w:val="center"/>
              <w:rPr>
                <w:b/>
                <w:sz w:val="22"/>
                <w:szCs w:val="22"/>
              </w:rPr>
            </w:pPr>
            <w:r w:rsidRPr="007456E0">
              <w:rPr>
                <w:b/>
                <w:sz w:val="22"/>
                <w:szCs w:val="22"/>
              </w:rPr>
              <w:t>10.9%</w:t>
            </w:r>
          </w:p>
        </w:tc>
        <w:tc>
          <w:tcPr>
            <w:tcW w:w="1514" w:type="dxa"/>
            <w:shd w:val="clear" w:color="auto" w:fill="F2F2F2" w:themeFill="background1" w:themeFillShade="F2"/>
          </w:tcPr>
          <w:p w14:paraId="0ECFA84D" w14:textId="77777777" w:rsidR="00BD41D8" w:rsidRPr="007456E0" w:rsidRDefault="00BD41D8" w:rsidP="00BD41D8">
            <w:pPr>
              <w:jc w:val="center"/>
              <w:rPr>
                <w:b/>
                <w:sz w:val="22"/>
                <w:szCs w:val="22"/>
              </w:rPr>
            </w:pPr>
            <w:r w:rsidRPr="007456E0">
              <w:rPr>
                <w:b/>
                <w:sz w:val="22"/>
                <w:szCs w:val="22"/>
              </w:rPr>
              <w:t>0.73</w:t>
            </w:r>
          </w:p>
          <w:p w14:paraId="4F7854BC" w14:textId="77777777" w:rsidR="00BD41D8" w:rsidRPr="007456E0" w:rsidRDefault="00BD41D8" w:rsidP="00BD41D8">
            <w:pPr>
              <w:jc w:val="center"/>
              <w:rPr>
                <w:b/>
                <w:sz w:val="22"/>
                <w:szCs w:val="22"/>
              </w:rPr>
            </w:pPr>
            <w:r w:rsidRPr="007456E0">
              <w:rPr>
                <w:b/>
                <w:sz w:val="22"/>
                <w:szCs w:val="22"/>
              </w:rPr>
              <w:t>(0.60 – 0.88)</w:t>
            </w:r>
          </w:p>
          <w:p w14:paraId="56578411" w14:textId="77777777" w:rsidR="00BD41D8" w:rsidRPr="007456E0" w:rsidRDefault="00BD41D8" w:rsidP="00BD41D8">
            <w:pPr>
              <w:jc w:val="center"/>
              <w:rPr>
                <w:b/>
                <w:sz w:val="22"/>
                <w:szCs w:val="22"/>
              </w:rPr>
            </w:pPr>
            <w:r w:rsidRPr="007456E0">
              <w:rPr>
                <w:b/>
                <w:sz w:val="22"/>
                <w:szCs w:val="22"/>
              </w:rPr>
              <w:t>p=0.0014</w:t>
            </w:r>
          </w:p>
        </w:tc>
        <w:tc>
          <w:tcPr>
            <w:tcW w:w="1054" w:type="dxa"/>
          </w:tcPr>
          <w:p w14:paraId="76725CDC" w14:textId="77777777" w:rsidR="00BD41D8" w:rsidRPr="007456E0" w:rsidRDefault="00BD41D8" w:rsidP="00BD41D8">
            <w:pPr>
              <w:jc w:val="center"/>
              <w:rPr>
                <w:b/>
                <w:sz w:val="22"/>
                <w:szCs w:val="22"/>
              </w:rPr>
            </w:pPr>
            <w:r w:rsidRPr="007456E0">
              <w:rPr>
                <w:b/>
                <w:sz w:val="22"/>
                <w:szCs w:val="22"/>
              </w:rPr>
              <w:t>12.8%</w:t>
            </w:r>
          </w:p>
        </w:tc>
        <w:tc>
          <w:tcPr>
            <w:tcW w:w="1507" w:type="dxa"/>
          </w:tcPr>
          <w:p w14:paraId="1C615837" w14:textId="77777777" w:rsidR="00BD41D8" w:rsidRPr="007456E0" w:rsidRDefault="00BD41D8" w:rsidP="00BD41D8">
            <w:pPr>
              <w:jc w:val="center"/>
              <w:rPr>
                <w:b/>
                <w:sz w:val="22"/>
                <w:szCs w:val="22"/>
              </w:rPr>
            </w:pPr>
            <w:r w:rsidRPr="007456E0">
              <w:rPr>
                <w:b/>
                <w:sz w:val="22"/>
                <w:szCs w:val="22"/>
              </w:rPr>
              <w:t>6.5%</w:t>
            </w:r>
          </w:p>
        </w:tc>
        <w:tc>
          <w:tcPr>
            <w:tcW w:w="1587" w:type="dxa"/>
            <w:shd w:val="clear" w:color="auto" w:fill="F2F2F2" w:themeFill="background1" w:themeFillShade="F2"/>
          </w:tcPr>
          <w:p w14:paraId="5D81E5DC" w14:textId="77777777" w:rsidR="00BD41D8" w:rsidRPr="007456E0" w:rsidRDefault="00BD41D8" w:rsidP="00BD41D8">
            <w:pPr>
              <w:jc w:val="center"/>
              <w:rPr>
                <w:b/>
                <w:sz w:val="22"/>
                <w:szCs w:val="22"/>
              </w:rPr>
            </w:pPr>
            <w:r w:rsidRPr="007456E0">
              <w:rPr>
                <w:b/>
                <w:sz w:val="22"/>
                <w:szCs w:val="22"/>
              </w:rPr>
              <w:t>0.52</w:t>
            </w:r>
          </w:p>
          <w:p w14:paraId="5B5C0562" w14:textId="77777777" w:rsidR="00BD41D8" w:rsidRPr="007456E0" w:rsidRDefault="00BD41D8" w:rsidP="00BD41D8">
            <w:pPr>
              <w:jc w:val="center"/>
              <w:rPr>
                <w:b/>
                <w:sz w:val="22"/>
                <w:szCs w:val="22"/>
              </w:rPr>
            </w:pPr>
            <w:r w:rsidRPr="007456E0">
              <w:rPr>
                <w:b/>
                <w:sz w:val="22"/>
                <w:szCs w:val="22"/>
              </w:rPr>
              <w:t>(0.35 – 0.76)</w:t>
            </w:r>
          </w:p>
          <w:p w14:paraId="74475FFB" w14:textId="77777777" w:rsidR="00BD41D8" w:rsidRPr="007456E0" w:rsidRDefault="00BD41D8" w:rsidP="00BD41D8">
            <w:pPr>
              <w:jc w:val="center"/>
              <w:rPr>
                <w:b/>
                <w:sz w:val="22"/>
                <w:szCs w:val="22"/>
              </w:rPr>
            </w:pPr>
            <w:r w:rsidRPr="007456E0">
              <w:rPr>
                <w:b/>
                <w:sz w:val="22"/>
                <w:szCs w:val="22"/>
              </w:rPr>
              <w:t>P=0.0006</w:t>
            </w:r>
          </w:p>
        </w:tc>
      </w:tr>
      <w:tr w:rsidR="00BD41D8" w:rsidRPr="006F0D94" w14:paraId="4D19BD21" w14:textId="77777777" w:rsidTr="00BD41D8">
        <w:trPr>
          <w:trHeight w:val="464"/>
        </w:trPr>
        <w:tc>
          <w:tcPr>
            <w:tcW w:w="14940" w:type="dxa"/>
            <w:gridSpan w:val="10"/>
          </w:tcPr>
          <w:p w14:paraId="5F499881" w14:textId="77777777" w:rsidR="00BD41D8" w:rsidRDefault="00BD41D8" w:rsidP="00BD41D8">
            <w:pPr>
              <w:keepNext/>
              <w:adjustRightInd w:val="0"/>
              <w:spacing w:before="67" w:after="67"/>
              <w:rPr>
                <w:color w:val="000000"/>
                <w:sz w:val="20"/>
                <w:szCs w:val="20"/>
              </w:rPr>
            </w:pPr>
            <w:r>
              <w:rPr>
                <w:color w:val="000000"/>
                <w:sz w:val="20"/>
                <w:szCs w:val="20"/>
              </w:rPr>
              <w:t>MALE – composite of acute limb ischemia (ALI), major amputation (AKA or BKA), or urgent peripheral revascularization for ischemia</w:t>
            </w:r>
          </w:p>
          <w:p w14:paraId="256C76E4" w14:textId="77777777" w:rsidR="00BD41D8" w:rsidRDefault="00BD41D8" w:rsidP="00BD41D8">
            <w:r w:rsidRPr="00443179">
              <w:rPr>
                <w:color w:val="000000"/>
                <w:sz w:val="20"/>
                <w:szCs w:val="20"/>
              </w:rPr>
              <w:t>MI=myocardial infarction, AKA=above knee amputation, BKA=below knee amputation,</w:t>
            </w:r>
            <w:r>
              <w:rPr>
                <w:color w:val="000000"/>
                <w:sz w:val="20"/>
                <w:szCs w:val="20"/>
              </w:rPr>
              <w:t xml:space="preserve"> ALI=acute limb ischemia</w:t>
            </w:r>
          </w:p>
        </w:tc>
      </w:tr>
    </w:tbl>
    <w:p w14:paraId="2C17493D" w14:textId="17D2D73C" w:rsidR="00C3264B" w:rsidRDefault="00C3264B"/>
    <w:sectPr w:rsidR="00C3264B" w:rsidSect="00EB230B">
      <w:pgSz w:w="15840" w:h="12240" w:orient="landscape" w:code="1"/>
      <w:pgMar w:top="1800" w:right="1440" w:bottom="135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839C2A6" w14:textId="77777777" w:rsidR="00A502C1" w:rsidRDefault="00A502C1">
      <w:r>
        <w:separator/>
      </w:r>
    </w:p>
  </w:endnote>
  <w:endnote w:type="continuationSeparator" w:id="0">
    <w:p w14:paraId="5FA1B45E" w14:textId="77777777" w:rsidR="00A502C1" w:rsidRDefault="00A50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3CD8BBD" w14:textId="615E159B" w:rsidR="00A502C1" w:rsidRDefault="00A502C1" w:rsidP="00471880">
    <w:pPr>
      <w:pStyle w:val="Footer"/>
      <w:jc w:val="center"/>
    </w:pPr>
    <w:r>
      <w:t xml:space="preserve">Page </w:t>
    </w:r>
    <w:r>
      <w:fldChar w:fldCharType="begin"/>
    </w:r>
    <w:r>
      <w:instrText xml:space="preserve"> PAGE </w:instrText>
    </w:r>
    <w:r>
      <w:fldChar w:fldCharType="separate"/>
    </w:r>
    <w:r w:rsidR="00FF1992">
      <w:rPr>
        <w:noProof/>
      </w:rPr>
      <w:t>34</w:t>
    </w:r>
    <w:r>
      <w:rPr>
        <w:noProof/>
      </w:rPr>
      <w:fldChar w:fldCharType="end"/>
    </w:r>
    <w:r>
      <w:t xml:space="preserve"> of </w:t>
    </w:r>
    <w:fldSimple w:instr=" NUMPAGES ">
      <w:r w:rsidR="00FF1992">
        <w:rPr>
          <w:noProof/>
        </w:rPr>
        <w:t>34</w:t>
      </w:r>
    </w:fldSimple>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7EA08A" w14:textId="77777777" w:rsidR="00A502C1" w:rsidRDefault="00A502C1">
      <w:r>
        <w:separator/>
      </w:r>
    </w:p>
  </w:footnote>
  <w:footnote w:type="continuationSeparator" w:id="0">
    <w:p w14:paraId="4AC9D585" w14:textId="77777777" w:rsidR="00A502C1" w:rsidRDefault="00A502C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4151B5"/>
    <w:multiLevelType w:val="hybridMultilevel"/>
    <w:tmpl w:val="B1DCF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E56B57"/>
    <w:multiLevelType w:val="hybridMultilevel"/>
    <w:tmpl w:val="8A0EB392"/>
    <w:lvl w:ilvl="0" w:tplc="017ADC8C">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A57902"/>
    <w:multiLevelType w:val="hybridMultilevel"/>
    <w:tmpl w:val="8BD4D672"/>
    <w:lvl w:ilvl="0" w:tplc="54C2051E">
      <w:start w:val="2"/>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A75CE"/>
    <w:multiLevelType w:val="hybridMultilevel"/>
    <w:tmpl w:val="3E6AF37A"/>
    <w:lvl w:ilvl="0" w:tplc="3A66B712">
      <w:start w:val="1"/>
      <w:numFmt w:val="lowerLetter"/>
      <w:lvlText w:val="%1."/>
      <w:lvlJc w:val="left"/>
      <w:pPr>
        <w:tabs>
          <w:tab w:val="num" w:pos="720"/>
        </w:tabs>
        <w:ind w:left="720" w:hanging="360"/>
      </w:pPr>
    </w:lvl>
    <w:lvl w:ilvl="1" w:tplc="B4C6953A">
      <w:start w:val="1"/>
      <w:numFmt w:val="lowerLetter"/>
      <w:lvlText w:val="%2."/>
      <w:lvlJc w:val="left"/>
      <w:pPr>
        <w:tabs>
          <w:tab w:val="num" w:pos="1440"/>
        </w:tabs>
        <w:ind w:left="1440" w:hanging="360"/>
      </w:pPr>
    </w:lvl>
    <w:lvl w:ilvl="2" w:tplc="7ADA75EC" w:tentative="1">
      <w:start w:val="1"/>
      <w:numFmt w:val="lowerLetter"/>
      <w:lvlText w:val="%3."/>
      <w:lvlJc w:val="left"/>
      <w:pPr>
        <w:tabs>
          <w:tab w:val="num" w:pos="2160"/>
        </w:tabs>
        <w:ind w:left="2160" w:hanging="360"/>
      </w:pPr>
    </w:lvl>
    <w:lvl w:ilvl="3" w:tplc="69844344" w:tentative="1">
      <w:start w:val="1"/>
      <w:numFmt w:val="lowerLetter"/>
      <w:lvlText w:val="%4."/>
      <w:lvlJc w:val="left"/>
      <w:pPr>
        <w:tabs>
          <w:tab w:val="num" w:pos="2880"/>
        </w:tabs>
        <w:ind w:left="2880" w:hanging="360"/>
      </w:pPr>
    </w:lvl>
    <w:lvl w:ilvl="4" w:tplc="E0524436" w:tentative="1">
      <w:start w:val="1"/>
      <w:numFmt w:val="lowerLetter"/>
      <w:lvlText w:val="%5."/>
      <w:lvlJc w:val="left"/>
      <w:pPr>
        <w:tabs>
          <w:tab w:val="num" w:pos="3600"/>
        </w:tabs>
        <w:ind w:left="3600" w:hanging="360"/>
      </w:pPr>
    </w:lvl>
    <w:lvl w:ilvl="5" w:tplc="177E7BE2" w:tentative="1">
      <w:start w:val="1"/>
      <w:numFmt w:val="lowerLetter"/>
      <w:lvlText w:val="%6."/>
      <w:lvlJc w:val="left"/>
      <w:pPr>
        <w:tabs>
          <w:tab w:val="num" w:pos="4320"/>
        </w:tabs>
        <w:ind w:left="4320" w:hanging="360"/>
      </w:pPr>
    </w:lvl>
    <w:lvl w:ilvl="6" w:tplc="149E411A" w:tentative="1">
      <w:start w:val="1"/>
      <w:numFmt w:val="lowerLetter"/>
      <w:lvlText w:val="%7."/>
      <w:lvlJc w:val="left"/>
      <w:pPr>
        <w:tabs>
          <w:tab w:val="num" w:pos="5040"/>
        </w:tabs>
        <w:ind w:left="5040" w:hanging="360"/>
      </w:pPr>
    </w:lvl>
    <w:lvl w:ilvl="7" w:tplc="13D089BA" w:tentative="1">
      <w:start w:val="1"/>
      <w:numFmt w:val="lowerLetter"/>
      <w:lvlText w:val="%8."/>
      <w:lvlJc w:val="left"/>
      <w:pPr>
        <w:tabs>
          <w:tab w:val="num" w:pos="5760"/>
        </w:tabs>
        <w:ind w:left="5760" w:hanging="360"/>
      </w:pPr>
    </w:lvl>
    <w:lvl w:ilvl="8" w:tplc="068C91BA" w:tentative="1">
      <w:start w:val="1"/>
      <w:numFmt w:val="lowerLetter"/>
      <w:lvlText w:val="%9."/>
      <w:lvlJc w:val="left"/>
      <w:pPr>
        <w:tabs>
          <w:tab w:val="num" w:pos="6480"/>
        </w:tabs>
        <w:ind w:left="6480" w:hanging="360"/>
      </w:pPr>
    </w:lvl>
  </w:abstractNum>
  <w:abstractNum w:abstractNumId="4">
    <w:nsid w:val="17597339"/>
    <w:multiLevelType w:val="hybridMultilevel"/>
    <w:tmpl w:val="3E76B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53801B1"/>
    <w:multiLevelType w:val="hybridMultilevel"/>
    <w:tmpl w:val="30AC88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8B6924"/>
    <w:multiLevelType w:val="hybridMultilevel"/>
    <w:tmpl w:val="97121270"/>
    <w:lvl w:ilvl="0" w:tplc="8B1414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8B30769"/>
    <w:multiLevelType w:val="hybridMultilevel"/>
    <w:tmpl w:val="DEF85E50"/>
    <w:lvl w:ilvl="0" w:tplc="BC78CAA8">
      <w:start w:val="2"/>
      <w:numFmt w:val="lowerLetter"/>
      <w:lvlText w:val="%1."/>
      <w:lvlJc w:val="left"/>
      <w:pPr>
        <w:tabs>
          <w:tab w:val="num" w:pos="720"/>
        </w:tabs>
        <w:ind w:left="720" w:hanging="360"/>
      </w:pPr>
    </w:lvl>
    <w:lvl w:ilvl="1" w:tplc="4BC641F4">
      <w:start w:val="1"/>
      <w:numFmt w:val="lowerLetter"/>
      <w:lvlText w:val="%2."/>
      <w:lvlJc w:val="left"/>
      <w:pPr>
        <w:tabs>
          <w:tab w:val="num" w:pos="1440"/>
        </w:tabs>
        <w:ind w:left="1440" w:hanging="360"/>
      </w:pPr>
    </w:lvl>
    <w:lvl w:ilvl="2" w:tplc="A29002CE" w:tentative="1">
      <w:start w:val="1"/>
      <w:numFmt w:val="lowerLetter"/>
      <w:lvlText w:val="%3."/>
      <w:lvlJc w:val="left"/>
      <w:pPr>
        <w:tabs>
          <w:tab w:val="num" w:pos="2160"/>
        </w:tabs>
        <w:ind w:left="2160" w:hanging="360"/>
      </w:pPr>
    </w:lvl>
    <w:lvl w:ilvl="3" w:tplc="E2F6B878" w:tentative="1">
      <w:start w:val="1"/>
      <w:numFmt w:val="lowerLetter"/>
      <w:lvlText w:val="%4."/>
      <w:lvlJc w:val="left"/>
      <w:pPr>
        <w:tabs>
          <w:tab w:val="num" w:pos="2880"/>
        </w:tabs>
        <w:ind w:left="2880" w:hanging="360"/>
      </w:pPr>
    </w:lvl>
    <w:lvl w:ilvl="4" w:tplc="572CACB2" w:tentative="1">
      <w:start w:val="1"/>
      <w:numFmt w:val="lowerLetter"/>
      <w:lvlText w:val="%5."/>
      <w:lvlJc w:val="left"/>
      <w:pPr>
        <w:tabs>
          <w:tab w:val="num" w:pos="3600"/>
        </w:tabs>
        <w:ind w:left="3600" w:hanging="360"/>
      </w:pPr>
    </w:lvl>
    <w:lvl w:ilvl="5" w:tplc="B6B4AD16" w:tentative="1">
      <w:start w:val="1"/>
      <w:numFmt w:val="lowerLetter"/>
      <w:lvlText w:val="%6."/>
      <w:lvlJc w:val="left"/>
      <w:pPr>
        <w:tabs>
          <w:tab w:val="num" w:pos="4320"/>
        </w:tabs>
        <w:ind w:left="4320" w:hanging="360"/>
      </w:pPr>
    </w:lvl>
    <w:lvl w:ilvl="6" w:tplc="B40256C0" w:tentative="1">
      <w:start w:val="1"/>
      <w:numFmt w:val="lowerLetter"/>
      <w:lvlText w:val="%7."/>
      <w:lvlJc w:val="left"/>
      <w:pPr>
        <w:tabs>
          <w:tab w:val="num" w:pos="5040"/>
        </w:tabs>
        <w:ind w:left="5040" w:hanging="360"/>
      </w:pPr>
    </w:lvl>
    <w:lvl w:ilvl="7" w:tplc="76A4CEE8" w:tentative="1">
      <w:start w:val="1"/>
      <w:numFmt w:val="lowerLetter"/>
      <w:lvlText w:val="%8."/>
      <w:lvlJc w:val="left"/>
      <w:pPr>
        <w:tabs>
          <w:tab w:val="num" w:pos="5760"/>
        </w:tabs>
        <w:ind w:left="5760" w:hanging="360"/>
      </w:pPr>
    </w:lvl>
    <w:lvl w:ilvl="8" w:tplc="5776CAE4" w:tentative="1">
      <w:start w:val="1"/>
      <w:numFmt w:val="lowerLetter"/>
      <w:lvlText w:val="%9."/>
      <w:lvlJc w:val="left"/>
      <w:pPr>
        <w:tabs>
          <w:tab w:val="num" w:pos="6480"/>
        </w:tabs>
        <w:ind w:left="6480" w:hanging="360"/>
      </w:pPr>
    </w:lvl>
  </w:abstractNum>
  <w:abstractNum w:abstractNumId="8">
    <w:nsid w:val="30835AF9"/>
    <w:multiLevelType w:val="hybridMultilevel"/>
    <w:tmpl w:val="8BD877CC"/>
    <w:lvl w:ilvl="0" w:tplc="8EF863B4">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314CB1"/>
    <w:multiLevelType w:val="hybridMultilevel"/>
    <w:tmpl w:val="2E249EB0"/>
    <w:lvl w:ilvl="0" w:tplc="AF6A142C">
      <w:numFmt w:val="bullet"/>
      <w:lvlText w:val=""/>
      <w:lvlJc w:val="left"/>
      <w:pPr>
        <w:ind w:left="720" w:hanging="360"/>
      </w:pPr>
      <w:rPr>
        <w:rFonts w:ascii="Symbol" w:eastAsia="MS Mincho"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EBA2F71"/>
    <w:multiLevelType w:val="hybridMultilevel"/>
    <w:tmpl w:val="D6564034"/>
    <w:lvl w:ilvl="0" w:tplc="6980CA86">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53302F38"/>
    <w:multiLevelType w:val="hybridMultilevel"/>
    <w:tmpl w:val="586EDA86"/>
    <w:lvl w:ilvl="0" w:tplc="D8584408">
      <w:start w:val="1"/>
      <w:numFmt w:val="lowerLetter"/>
      <w:lvlText w:val="%1."/>
      <w:lvlJc w:val="left"/>
      <w:pPr>
        <w:tabs>
          <w:tab w:val="num" w:pos="720"/>
        </w:tabs>
        <w:ind w:left="720" w:hanging="360"/>
      </w:pPr>
    </w:lvl>
    <w:lvl w:ilvl="1" w:tplc="6262BFF4">
      <w:start w:val="1"/>
      <w:numFmt w:val="lowerLetter"/>
      <w:lvlText w:val="%2."/>
      <w:lvlJc w:val="left"/>
      <w:pPr>
        <w:tabs>
          <w:tab w:val="num" w:pos="1440"/>
        </w:tabs>
        <w:ind w:left="1440" w:hanging="360"/>
      </w:pPr>
    </w:lvl>
    <w:lvl w:ilvl="2" w:tplc="A2E0FBCC" w:tentative="1">
      <w:start w:val="1"/>
      <w:numFmt w:val="lowerLetter"/>
      <w:lvlText w:val="%3."/>
      <w:lvlJc w:val="left"/>
      <w:pPr>
        <w:tabs>
          <w:tab w:val="num" w:pos="2160"/>
        </w:tabs>
        <w:ind w:left="2160" w:hanging="360"/>
      </w:pPr>
    </w:lvl>
    <w:lvl w:ilvl="3" w:tplc="45BCD27C" w:tentative="1">
      <w:start w:val="1"/>
      <w:numFmt w:val="lowerLetter"/>
      <w:lvlText w:val="%4."/>
      <w:lvlJc w:val="left"/>
      <w:pPr>
        <w:tabs>
          <w:tab w:val="num" w:pos="2880"/>
        </w:tabs>
        <w:ind w:left="2880" w:hanging="360"/>
      </w:pPr>
    </w:lvl>
    <w:lvl w:ilvl="4" w:tplc="74AC5088" w:tentative="1">
      <w:start w:val="1"/>
      <w:numFmt w:val="lowerLetter"/>
      <w:lvlText w:val="%5."/>
      <w:lvlJc w:val="left"/>
      <w:pPr>
        <w:tabs>
          <w:tab w:val="num" w:pos="3600"/>
        </w:tabs>
        <w:ind w:left="3600" w:hanging="360"/>
      </w:pPr>
    </w:lvl>
    <w:lvl w:ilvl="5" w:tplc="DA7C4C62" w:tentative="1">
      <w:start w:val="1"/>
      <w:numFmt w:val="lowerLetter"/>
      <w:lvlText w:val="%6."/>
      <w:lvlJc w:val="left"/>
      <w:pPr>
        <w:tabs>
          <w:tab w:val="num" w:pos="4320"/>
        </w:tabs>
        <w:ind w:left="4320" w:hanging="360"/>
      </w:pPr>
    </w:lvl>
    <w:lvl w:ilvl="6" w:tplc="9B7A061A" w:tentative="1">
      <w:start w:val="1"/>
      <w:numFmt w:val="lowerLetter"/>
      <w:lvlText w:val="%7."/>
      <w:lvlJc w:val="left"/>
      <w:pPr>
        <w:tabs>
          <w:tab w:val="num" w:pos="5040"/>
        </w:tabs>
        <w:ind w:left="5040" w:hanging="360"/>
      </w:pPr>
    </w:lvl>
    <w:lvl w:ilvl="7" w:tplc="7226769C" w:tentative="1">
      <w:start w:val="1"/>
      <w:numFmt w:val="lowerLetter"/>
      <w:lvlText w:val="%8."/>
      <w:lvlJc w:val="left"/>
      <w:pPr>
        <w:tabs>
          <w:tab w:val="num" w:pos="5760"/>
        </w:tabs>
        <w:ind w:left="5760" w:hanging="360"/>
      </w:pPr>
    </w:lvl>
    <w:lvl w:ilvl="8" w:tplc="B156C56A" w:tentative="1">
      <w:start w:val="1"/>
      <w:numFmt w:val="lowerLetter"/>
      <w:lvlText w:val="%9."/>
      <w:lvlJc w:val="left"/>
      <w:pPr>
        <w:tabs>
          <w:tab w:val="num" w:pos="6480"/>
        </w:tabs>
        <w:ind w:left="6480" w:hanging="360"/>
      </w:pPr>
    </w:lvl>
  </w:abstractNum>
  <w:abstractNum w:abstractNumId="12">
    <w:nsid w:val="5AFA6D8E"/>
    <w:multiLevelType w:val="hybridMultilevel"/>
    <w:tmpl w:val="4F2CB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6A2B63"/>
    <w:multiLevelType w:val="hybridMultilevel"/>
    <w:tmpl w:val="4FEC6B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C6B3A12"/>
    <w:multiLevelType w:val="hybridMultilevel"/>
    <w:tmpl w:val="EE9EEC04"/>
    <w:lvl w:ilvl="0" w:tplc="E9CA7214">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nsid w:val="6B0726FE"/>
    <w:multiLevelType w:val="hybridMultilevel"/>
    <w:tmpl w:val="770EC76A"/>
    <w:lvl w:ilvl="0" w:tplc="49966614">
      <w:start w:val="2"/>
      <w:numFmt w:val="bullet"/>
      <w:lvlText w:val="-"/>
      <w:lvlJc w:val="left"/>
      <w:pPr>
        <w:tabs>
          <w:tab w:val="num" w:pos="420"/>
        </w:tabs>
        <w:ind w:left="420" w:hanging="360"/>
      </w:pPr>
      <w:rPr>
        <w:rFonts w:ascii="Times New Roman" w:eastAsia="MS Mincho" w:hAnsi="Times New Roman" w:hint="default"/>
      </w:rPr>
    </w:lvl>
    <w:lvl w:ilvl="1" w:tplc="04090003" w:tentative="1">
      <w:start w:val="1"/>
      <w:numFmt w:val="bullet"/>
      <w:lvlText w:val="o"/>
      <w:lvlJc w:val="left"/>
      <w:pPr>
        <w:tabs>
          <w:tab w:val="num" w:pos="1140"/>
        </w:tabs>
        <w:ind w:left="1140" w:hanging="360"/>
      </w:pPr>
      <w:rPr>
        <w:rFonts w:ascii="Courier New" w:hAnsi="Courier New" w:hint="default"/>
      </w:rPr>
    </w:lvl>
    <w:lvl w:ilvl="2" w:tplc="04090005" w:tentative="1">
      <w:start w:val="1"/>
      <w:numFmt w:val="bullet"/>
      <w:lvlText w:val=""/>
      <w:lvlJc w:val="left"/>
      <w:pPr>
        <w:tabs>
          <w:tab w:val="num" w:pos="1860"/>
        </w:tabs>
        <w:ind w:left="1860" w:hanging="360"/>
      </w:pPr>
      <w:rPr>
        <w:rFonts w:ascii="Wingdings" w:hAnsi="Wingdings" w:hint="default"/>
      </w:rPr>
    </w:lvl>
    <w:lvl w:ilvl="3" w:tplc="04090001" w:tentative="1">
      <w:start w:val="1"/>
      <w:numFmt w:val="bullet"/>
      <w:lvlText w:val=""/>
      <w:lvlJc w:val="left"/>
      <w:pPr>
        <w:tabs>
          <w:tab w:val="num" w:pos="2580"/>
        </w:tabs>
        <w:ind w:left="2580" w:hanging="360"/>
      </w:pPr>
      <w:rPr>
        <w:rFonts w:ascii="Symbol" w:hAnsi="Symbol" w:hint="default"/>
      </w:rPr>
    </w:lvl>
    <w:lvl w:ilvl="4" w:tplc="04090003" w:tentative="1">
      <w:start w:val="1"/>
      <w:numFmt w:val="bullet"/>
      <w:lvlText w:val="o"/>
      <w:lvlJc w:val="left"/>
      <w:pPr>
        <w:tabs>
          <w:tab w:val="num" w:pos="3300"/>
        </w:tabs>
        <w:ind w:left="3300" w:hanging="360"/>
      </w:pPr>
      <w:rPr>
        <w:rFonts w:ascii="Courier New" w:hAnsi="Courier New" w:hint="default"/>
      </w:rPr>
    </w:lvl>
    <w:lvl w:ilvl="5" w:tplc="04090005" w:tentative="1">
      <w:start w:val="1"/>
      <w:numFmt w:val="bullet"/>
      <w:lvlText w:val=""/>
      <w:lvlJc w:val="left"/>
      <w:pPr>
        <w:tabs>
          <w:tab w:val="num" w:pos="4020"/>
        </w:tabs>
        <w:ind w:left="4020" w:hanging="360"/>
      </w:pPr>
      <w:rPr>
        <w:rFonts w:ascii="Wingdings" w:hAnsi="Wingdings" w:hint="default"/>
      </w:rPr>
    </w:lvl>
    <w:lvl w:ilvl="6" w:tplc="04090001" w:tentative="1">
      <w:start w:val="1"/>
      <w:numFmt w:val="bullet"/>
      <w:lvlText w:val=""/>
      <w:lvlJc w:val="left"/>
      <w:pPr>
        <w:tabs>
          <w:tab w:val="num" w:pos="4740"/>
        </w:tabs>
        <w:ind w:left="4740" w:hanging="360"/>
      </w:pPr>
      <w:rPr>
        <w:rFonts w:ascii="Symbol" w:hAnsi="Symbol" w:hint="default"/>
      </w:rPr>
    </w:lvl>
    <w:lvl w:ilvl="7" w:tplc="04090003" w:tentative="1">
      <w:start w:val="1"/>
      <w:numFmt w:val="bullet"/>
      <w:lvlText w:val="o"/>
      <w:lvlJc w:val="left"/>
      <w:pPr>
        <w:tabs>
          <w:tab w:val="num" w:pos="5460"/>
        </w:tabs>
        <w:ind w:left="5460" w:hanging="360"/>
      </w:pPr>
      <w:rPr>
        <w:rFonts w:ascii="Courier New" w:hAnsi="Courier New" w:hint="default"/>
      </w:rPr>
    </w:lvl>
    <w:lvl w:ilvl="8" w:tplc="04090005" w:tentative="1">
      <w:start w:val="1"/>
      <w:numFmt w:val="bullet"/>
      <w:lvlText w:val=""/>
      <w:lvlJc w:val="left"/>
      <w:pPr>
        <w:tabs>
          <w:tab w:val="num" w:pos="6180"/>
        </w:tabs>
        <w:ind w:left="6180" w:hanging="360"/>
      </w:pPr>
      <w:rPr>
        <w:rFonts w:ascii="Wingdings" w:hAnsi="Wingdings" w:hint="default"/>
      </w:rPr>
    </w:lvl>
  </w:abstractNum>
  <w:num w:numId="1">
    <w:abstractNumId w:val="6"/>
  </w:num>
  <w:num w:numId="2">
    <w:abstractNumId w:val="10"/>
  </w:num>
  <w:num w:numId="3">
    <w:abstractNumId w:val="15"/>
  </w:num>
  <w:num w:numId="4">
    <w:abstractNumId w:val="14"/>
  </w:num>
  <w:num w:numId="5">
    <w:abstractNumId w:val="11"/>
  </w:num>
  <w:num w:numId="6">
    <w:abstractNumId w:val="3"/>
  </w:num>
  <w:num w:numId="7">
    <w:abstractNumId w:val="7"/>
  </w:num>
  <w:num w:numId="8">
    <w:abstractNumId w:val="5"/>
  </w:num>
  <w:num w:numId="9">
    <w:abstractNumId w:val="1"/>
  </w:num>
  <w:num w:numId="10">
    <w:abstractNumId w:val="8"/>
  </w:num>
  <w:num w:numId="11">
    <w:abstractNumId w:val="9"/>
  </w:num>
  <w:num w:numId="12">
    <w:abstractNumId w:val="0"/>
  </w:num>
  <w:num w:numId="13">
    <w:abstractNumId w:val="13"/>
  </w:num>
  <w:num w:numId="14">
    <w:abstractNumId w:val="2"/>
  </w:num>
  <w:num w:numId="15">
    <w:abstractNumId w:val="12"/>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gnword-docGUID" w:val="{7CE770A6-3CA1-4B76-868C-53E3A9A4D345}"/>
    <w:docVar w:name="dgnword-eventsink" w:val="121684336"/>
  </w:docVars>
  <w:rsids>
    <w:rsidRoot w:val="00796AD8"/>
    <w:rsid w:val="0000127A"/>
    <w:rsid w:val="00001597"/>
    <w:rsid w:val="0000347E"/>
    <w:rsid w:val="00003CFF"/>
    <w:rsid w:val="00005368"/>
    <w:rsid w:val="000058EE"/>
    <w:rsid w:val="00005E2F"/>
    <w:rsid w:val="00006CFD"/>
    <w:rsid w:val="00007497"/>
    <w:rsid w:val="00007650"/>
    <w:rsid w:val="000077B4"/>
    <w:rsid w:val="00007DB3"/>
    <w:rsid w:val="0001289B"/>
    <w:rsid w:val="00012AC3"/>
    <w:rsid w:val="00014027"/>
    <w:rsid w:val="00014117"/>
    <w:rsid w:val="0001506C"/>
    <w:rsid w:val="00015371"/>
    <w:rsid w:val="00016D54"/>
    <w:rsid w:val="00020F55"/>
    <w:rsid w:val="0002121C"/>
    <w:rsid w:val="0002126A"/>
    <w:rsid w:val="00021A46"/>
    <w:rsid w:val="00023D90"/>
    <w:rsid w:val="00026411"/>
    <w:rsid w:val="000268F1"/>
    <w:rsid w:val="000301E3"/>
    <w:rsid w:val="00030A36"/>
    <w:rsid w:val="00030DE5"/>
    <w:rsid w:val="00030F40"/>
    <w:rsid w:val="00032511"/>
    <w:rsid w:val="000329E4"/>
    <w:rsid w:val="00032D9E"/>
    <w:rsid w:val="0003308E"/>
    <w:rsid w:val="000330C7"/>
    <w:rsid w:val="0003338B"/>
    <w:rsid w:val="00034C79"/>
    <w:rsid w:val="00034DAC"/>
    <w:rsid w:val="00034FA4"/>
    <w:rsid w:val="00036E72"/>
    <w:rsid w:val="00037871"/>
    <w:rsid w:val="00040642"/>
    <w:rsid w:val="00041CD0"/>
    <w:rsid w:val="00042B1A"/>
    <w:rsid w:val="00043C79"/>
    <w:rsid w:val="00044029"/>
    <w:rsid w:val="000440EB"/>
    <w:rsid w:val="000442B7"/>
    <w:rsid w:val="000445E1"/>
    <w:rsid w:val="00044A36"/>
    <w:rsid w:val="00044ED1"/>
    <w:rsid w:val="000475A6"/>
    <w:rsid w:val="000479DF"/>
    <w:rsid w:val="00047CAB"/>
    <w:rsid w:val="0005091E"/>
    <w:rsid w:val="00050DD3"/>
    <w:rsid w:val="00050ED1"/>
    <w:rsid w:val="00051C13"/>
    <w:rsid w:val="00051DD1"/>
    <w:rsid w:val="00051EB1"/>
    <w:rsid w:val="000526DC"/>
    <w:rsid w:val="00053C87"/>
    <w:rsid w:val="00053EDC"/>
    <w:rsid w:val="00055011"/>
    <w:rsid w:val="00055875"/>
    <w:rsid w:val="00056E15"/>
    <w:rsid w:val="00057ED0"/>
    <w:rsid w:val="000603B8"/>
    <w:rsid w:val="0006134E"/>
    <w:rsid w:val="00061453"/>
    <w:rsid w:val="00062705"/>
    <w:rsid w:val="000630AB"/>
    <w:rsid w:val="00065825"/>
    <w:rsid w:val="00065AE9"/>
    <w:rsid w:val="000665F6"/>
    <w:rsid w:val="000674C7"/>
    <w:rsid w:val="000674E2"/>
    <w:rsid w:val="00067A2D"/>
    <w:rsid w:val="00070D2B"/>
    <w:rsid w:val="00071580"/>
    <w:rsid w:val="00071A95"/>
    <w:rsid w:val="00071E02"/>
    <w:rsid w:val="00071E90"/>
    <w:rsid w:val="000720A7"/>
    <w:rsid w:val="00072919"/>
    <w:rsid w:val="0007352D"/>
    <w:rsid w:val="00073D35"/>
    <w:rsid w:val="0007402E"/>
    <w:rsid w:val="000743EA"/>
    <w:rsid w:val="000748BF"/>
    <w:rsid w:val="000751F2"/>
    <w:rsid w:val="00076536"/>
    <w:rsid w:val="000767ED"/>
    <w:rsid w:val="00076B14"/>
    <w:rsid w:val="000773F0"/>
    <w:rsid w:val="0007789F"/>
    <w:rsid w:val="00077D15"/>
    <w:rsid w:val="00080599"/>
    <w:rsid w:val="0008167B"/>
    <w:rsid w:val="00081F8D"/>
    <w:rsid w:val="000827C9"/>
    <w:rsid w:val="00082AE7"/>
    <w:rsid w:val="000830E6"/>
    <w:rsid w:val="00084014"/>
    <w:rsid w:val="00084592"/>
    <w:rsid w:val="00085ABC"/>
    <w:rsid w:val="00085B8F"/>
    <w:rsid w:val="00085BEA"/>
    <w:rsid w:val="00087507"/>
    <w:rsid w:val="00087527"/>
    <w:rsid w:val="00087C32"/>
    <w:rsid w:val="00087F39"/>
    <w:rsid w:val="0009100C"/>
    <w:rsid w:val="000924F4"/>
    <w:rsid w:val="000933AB"/>
    <w:rsid w:val="00095B8C"/>
    <w:rsid w:val="00095F0E"/>
    <w:rsid w:val="00096575"/>
    <w:rsid w:val="00096A72"/>
    <w:rsid w:val="000A05F1"/>
    <w:rsid w:val="000A0B00"/>
    <w:rsid w:val="000A1B64"/>
    <w:rsid w:val="000A2165"/>
    <w:rsid w:val="000A276C"/>
    <w:rsid w:val="000A2DFD"/>
    <w:rsid w:val="000A353C"/>
    <w:rsid w:val="000A355C"/>
    <w:rsid w:val="000A40E3"/>
    <w:rsid w:val="000A4384"/>
    <w:rsid w:val="000A4536"/>
    <w:rsid w:val="000A50C0"/>
    <w:rsid w:val="000A5B32"/>
    <w:rsid w:val="000A701B"/>
    <w:rsid w:val="000A70E9"/>
    <w:rsid w:val="000A7949"/>
    <w:rsid w:val="000B064A"/>
    <w:rsid w:val="000B072D"/>
    <w:rsid w:val="000B0864"/>
    <w:rsid w:val="000B175D"/>
    <w:rsid w:val="000B1BE9"/>
    <w:rsid w:val="000B26A7"/>
    <w:rsid w:val="000B3E44"/>
    <w:rsid w:val="000B4EF6"/>
    <w:rsid w:val="000B50E9"/>
    <w:rsid w:val="000B51B5"/>
    <w:rsid w:val="000B5BC7"/>
    <w:rsid w:val="000B6311"/>
    <w:rsid w:val="000B7B2D"/>
    <w:rsid w:val="000C035C"/>
    <w:rsid w:val="000C1505"/>
    <w:rsid w:val="000C2609"/>
    <w:rsid w:val="000C416F"/>
    <w:rsid w:val="000C4577"/>
    <w:rsid w:val="000C50D5"/>
    <w:rsid w:val="000C5E15"/>
    <w:rsid w:val="000C63BD"/>
    <w:rsid w:val="000C6734"/>
    <w:rsid w:val="000C6A2D"/>
    <w:rsid w:val="000C73A6"/>
    <w:rsid w:val="000C7CB1"/>
    <w:rsid w:val="000D044D"/>
    <w:rsid w:val="000D1388"/>
    <w:rsid w:val="000D19EF"/>
    <w:rsid w:val="000D2889"/>
    <w:rsid w:val="000D3D68"/>
    <w:rsid w:val="000D79D5"/>
    <w:rsid w:val="000D7DD9"/>
    <w:rsid w:val="000E0C47"/>
    <w:rsid w:val="000E1434"/>
    <w:rsid w:val="000E1589"/>
    <w:rsid w:val="000E1692"/>
    <w:rsid w:val="000E1C80"/>
    <w:rsid w:val="000E2947"/>
    <w:rsid w:val="000F04EA"/>
    <w:rsid w:val="000F07B6"/>
    <w:rsid w:val="000F1582"/>
    <w:rsid w:val="000F2BA5"/>
    <w:rsid w:val="000F3BE5"/>
    <w:rsid w:val="000F58A1"/>
    <w:rsid w:val="000F6046"/>
    <w:rsid w:val="000F60B9"/>
    <w:rsid w:val="000F70F2"/>
    <w:rsid w:val="000F77B3"/>
    <w:rsid w:val="0010041A"/>
    <w:rsid w:val="00100E4C"/>
    <w:rsid w:val="001010DE"/>
    <w:rsid w:val="00101283"/>
    <w:rsid w:val="00102573"/>
    <w:rsid w:val="00102861"/>
    <w:rsid w:val="00102E03"/>
    <w:rsid w:val="001031FA"/>
    <w:rsid w:val="0010338F"/>
    <w:rsid w:val="00103597"/>
    <w:rsid w:val="001045A5"/>
    <w:rsid w:val="001048C7"/>
    <w:rsid w:val="00106020"/>
    <w:rsid w:val="00107489"/>
    <w:rsid w:val="00110615"/>
    <w:rsid w:val="001107C9"/>
    <w:rsid w:val="0011125F"/>
    <w:rsid w:val="00112046"/>
    <w:rsid w:val="0011204E"/>
    <w:rsid w:val="0011221C"/>
    <w:rsid w:val="001126B8"/>
    <w:rsid w:val="00112895"/>
    <w:rsid w:val="00112B48"/>
    <w:rsid w:val="00112B58"/>
    <w:rsid w:val="001130D6"/>
    <w:rsid w:val="00113C15"/>
    <w:rsid w:val="001143A9"/>
    <w:rsid w:val="00116231"/>
    <w:rsid w:val="001165DD"/>
    <w:rsid w:val="00116E89"/>
    <w:rsid w:val="00117250"/>
    <w:rsid w:val="001176DB"/>
    <w:rsid w:val="00121F19"/>
    <w:rsid w:val="00123F3A"/>
    <w:rsid w:val="00123F7F"/>
    <w:rsid w:val="0012532F"/>
    <w:rsid w:val="00125F1E"/>
    <w:rsid w:val="00125FB9"/>
    <w:rsid w:val="001263EE"/>
    <w:rsid w:val="00130670"/>
    <w:rsid w:val="0013135D"/>
    <w:rsid w:val="0013273A"/>
    <w:rsid w:val="0013437A"/>
    <w:rsid w:val="00134611"/>
    <w:rsid w:val="0013551B"/>
    <w:rsid w:val="0013611F"/>
    <w:rsid w:val="00137C3E"/>
    <w:rsid w:val="00140FEE"/>
    <w:rsid w:val="0014102D"/>
    <w:rsid w:val="001424E6"/>
    <w:rsid w:val="00142752"/>
    <w:rsid w:val="00142A97"/>
    <w:rsid w:val="001433ED"/>
    <w:rsid w:val="00143954"/>
    <w:rsid w:val="00143FF3"/>
    <w:rsid w:val="0014424C"/>
    <w:rsid w:val="001444F2"/>
    <w:rsid w:val="00144646"/>
    <w:rsid w:val="001449F5"/>
    <w:rsid w:val="00144E10"/>
    <w:rsid w:val="0014513C"/>
    <w:rsid w:val="0014568C"/>
    <w:rsid w:val="00145777"/>
    <w:rsid w:val="00145DAF"/>
    <w:rsid w:val="00146B47"/>
    <w:rsid w:val="001479A4"/>
    <w:rsid w:val="001509D1"/>
    <w:rsid w:val="00150F6F"/>
    <w:rsid w:val="00151356"/>
    <w:rsid w:val="00151AE5"/>
    <w:rsid w:val="00152059"/>
    <w:rsid w:val="00152ACE"/>
    <w:rsid w:val="00152FDF"/>
    <w:rsid w:val="00153EDE"/>
    <w:rsid w:val="00156E72"/>
    <w:rsid w:val="00157816"/>
    <w:rsid w:val="00160992"/>
    <w:rsid w:val="00162093"/>
    <w:rsid w:val="00162830"/>
    <w:rsid w:val="001631D5"/>
    <w:rsid w:val="00165245"/>
    <w:rsid w:val="00165AAB"/>
    <w:rsid w:val="00165ADD"/>
    <w:rsid w:val="00166ABC"/>
    <w:rsid w:val="00166AC8"/>
    <w:rsid w:val="00167A0B"/>
    <w:rsid w:val="0017191C"/>
    <w:rsid w:val="00172698"/>
    <w:rsid w:val="001732FB"/>
    <w:rsid w:val="00173906"/>
    <w:rsid w:val="00173CF6"/>
    <w:rsid w:val="0017463A"/>
    <w:rsid w:val="001747D8"/>
    <w:rsid w:val="00174BA7"/>
    <w:rsid w:val="00175150"/>
    <w:rsid w:val="00176FDA"/>
    <w:rsid w:val="00182616"/>
    <w:rsid w:val="00182FC6"/>
    <w:rsid w:val="00183DA5"/>
    <w:rsid w:val="00183EC8"/>
    <w:rsid w:val="00184A5C"/>
    <w:rsid w:val="0018542B"/>
    <w:rsid w:val="00186B1D"/>
    <w:rsid w:val="00186BF8"/>
    <w:rsid w:val="00186D2C"/>
    <w:rsid w:val="00187C18"/>
    <w:rsid w:val="00192159"/>
    <w:rsid w:val="001926B2"/>
    <w:rsid w:val="00192B9B"/>
    <w:rsid w:val="00192EDE"/>
    <w:rsid w:val="001937EE"/>
    <w:rsid w:val="00197031"/>
    <w:rsid w:val="00197579"/>
    <w:rsid w:val="001976AB"/>
    <w:rsid w:val="001979C0"/>
    <w:rsid w:val="00197A46"/>
    <w:rsid w:val="001A0B64"/>
    <w:rsid w:val="001A0FF6"/>
    <w:rsid w:val="001A2C7B"/>
    <w:rsid w:val="001A55E2"/>
    <w:rsid w:val="001A79F1"/>
    <w:rsid w:val="001A7BFC"/>
    <w:rsid w:val="001B01DD"/>
    <w:rsid w:val="001B02D3"/>
    <w:rsid w:val="001B23ED"/>
    <w:rsid w:val="001B26F2"/>
    <w:rsid w:val="001B3056"/>
    <w:rsid w:val="001B4373"/>
    <w:rsid w:val="001B6144"/>
    <w:rsid w:val="001C0903"/>
    <w:rsid w:val="001C164C"/>
    <w:rsid w:val="001C1D53"/>
    <w:rsid w:val="001C1DC6"/>
    <w:rsid w:val="001C23CE"/>
    <w:rsid w:val="001C37A4"/>
    <w:rsid w:val="001C57D2"/>
    <w:rsid w:val="001C6723"/>
    <w:rsid w:val="001C691B"/>
    <w:rsid w:val="001C6941"/>
    <w:rsid w:val="001C6CD6"/>
    <w:rsid w:val="001C7143"/>
    <w:rsid w:val="001C726C"/>
    <w:rsid w:val="001C74BF"/>
    <w:rsid w:val="001C7521"/>
    <w:rsid w:val="001D03A0"/>
    <w:rsid w:val="001D0F0F"/>
    <w:rsid w:val="001D1ECA"/>
    <w:rsid w:val="001D22D9"/>
    <w:rsid w:val="001D23FF"/>
    <w:rsid w:val="001D4DE7"/>
    <w:rsid w:val="001D532E"/>
    <w:rsid w:val="001D5765"/>
    <w:rsid w:val="001D7DCA"/>
    <w:rsid w:val="001D7FBA"/>
    <w:rsid w:val="001E07EA"/>
    <w:rsid w:val="001E0B5E"/>
    <w:rsid w:val="001E0C3A"/>
    <w:rsid w:val="001E1478"/>
    <w:rsid w:val="001E1536"/>
    <w:rsid w:val="001E222D"/>
    <w:rsid w:val="001E45D9"/>
    <w:rsid w:val="001E47FC"/>
    <w:rsid w:val="001E5425"/>
    <w:rsid w:val="001E5678"/>
    <w:rsid w:val="001E742B"/>
    <w:rsid w:val="001F12D7"/>
    <w:rsid w:val="001F1B20"/>
    <w:rsid w:val="001F31CF"/>
    <w:rsid w:val="001F4C52"/>
    <w:rsid w:val="001F5C57"/>
    <w:rsid w:val="001F795E"/>
    <w:rsid w:val="001F7AD3"/>
    <w:rsid w:val="00200C95"/>
    <w:rsid w:val="00200D8F"/>
    <w:rsid w:val="00201401"/>
    <w:rsid w:val="00201EFD"/>
    <w:rsid w:val="0020298D"/>
    <w:rsid w:val="00203CA6"/>
    <w:rsid w:val="002042C3"/>
    <w:rsid w:val="002064B8"/>
    <w:rsid w:val="002071F6"/>
    <w:rsid w:val="00207984"/>
    <w:rsid w:val="0021084E"/>
    <w:rsid w:val="00210DAF"/>
    <w:rsid w:val="00211F9C"/>
    <w:rsid w:val="002121C6"/>
    <w:rsid w:val="002123DD"/>
    <w:rsid w:val="00213B1A"/>
    <w:rsid w:val="00214205"/>
    <w:rsid w:val="00215BF4"/>
    <w:rsid w:val="00220D3D"/>
    <w:rsid w:val="00221F66"/>
    <w:rsid w:val="00222A63"/>
    <w:rsid w:val="002236C1"/>
    <w:rsid w:val="002238E7"/>
    <w:rsid w:val="00223F70"/>
    <w:rsid w:val="002243A2"/>
    <w:rsid w:val="00224B26"/>
    <w:rsid w:val="00226151"/>
    <w:rsid w:val="00227669"/>
    <w:rsid w:val="002309B9"/>
    <w:rsid w:val="00231479"/>
    <w:rsid w:val="002314BE"/>
    <w:rsid w:val="00231546"/>
    <w:rsid w:val="00233CF0"/>
    <w:rsid w:val="00234210"/>
    <w:rsid w:val="002344E9"/>
    <w:rsid w:val="0023539C"/>
    <w:rsid w:val="00235C33"/>
    <w:rsid w:val="00241549"/>
    <w:rsid w:val="002417E4"/>
    <w:rsid w:val="00243512"/>
    <w:rsid w:val="00244303"/>
    <w:rsid w:val="00244C3D"/>
    <w:rsid w:val="00244F09"/>
    <w:rsid w:val="002459B7"/>
    <w:rsid w:val="00246C87"/>
    <w:rsid w:val="00246F22"/>
    <w:rsid w:val="00247494"/>
    <w:rsid w:val="00247C5F"/>
    <w:rsid w:val="00252252"/>
    <w:rsid w:val="002535C2"/>
    <w:rsid w:val="00254469"/>
    <w:rsid w:val="00254611"/>
    <w:rsid w:val="00255B16"/>
    <w:rsid w:val="00256B9E"/>
    <w:rsid w:val="00257FD3"/>
    <w:rsid w:val="002601E8"/>
    <w:rsid w:val="002603B3"/>
    <w:rsid w:val="002608C2"/>
    <w:rsid w:val="00261AEE"/>
    <w:rsid w:val="002620FA"/>
    <w:rsid w:val="00262832"/>
    <w:rsid w:val="00263225"/>
    <w:rsid w:val="00263CD9"/>
    <w:rsid w:val="00265C59"/>
    <w:rsid w:val="00266151"/>
    <w:rsid w:val="00266374"/>
    <w:rsid w:val="002671BA"/>
    <w:rsid w:val="00267E53"/>
    <w:rsid w:val="002702BD"/>
    <w:rsid w:val="002709A3"/>
    <w:rsid w:val="00272AB6"/>
    <w:rsid w:val="00272B49"/>
    <w:rsid w:val="002753D9"/>
    <w:rsid w:val="00277B69"/>
    <w:rsid w:val="00277EC7"/>
    <w:rsid w:val="002800C5"/>
    <w:rsid w:val="0028055B"/>
    <w:rsid w:val="002805EB"/>
    <w:rsid w:val="00281620"/>
    <w:rsid w:val="002865A0"/>
    <w:rsid w:val="002866EE"/>
    <w:rsid w:val="00286C87"/>
    <w:rsid w:val="00287FE0"/>
    <w:rsid w:val="00290002"/>
    <w:rsid w:val="00290010"/>
    <w:rsid w:val="00290316"/>
    <w:rsid w:val="002905FF"/>
    <w:rsid w:val="0029132B"/>
    <w:rsid w:val="002937FF"/>
    <w:rsid w:val="00293A3A"/>
    <w:rsid w:val="00293E15"/>
    <w:rsid w:val="00293F05"/>
    <w:rsid w:val="002941E8"/>
    <w:rsid w:val="00294373"/>
    <w:rsid w:val="002948CE"/>
    <w:rsid w:val="00296E25"/>
    <w:rsid w:val="00297D59"/>
    <w:rsid w:val="002A0F33"/>
    <w:rsid w:val="002A11F3"/>
    <w:rsid w:val="002A14CB"/>
    <w:rsid w:val="002A18CB"/>
    <w:rsid w:val="002A2C84"/>
    <w:rsid w:val="002A2C90"/>
    <w:rsid w:val="002A2ECD"/>
    <w:rsid w:val="002A413F"/>
    <w:rsid w:val="002A542E"/>
    <w:rsid w:val="002A6D54"/>
    <w:rsid w:val="002A7CF6"/>
    <w:rsid w:val="002B0CD9"/>
    <w:rsid w:val="002B0D23"/>
    <w:rsid w:val="002B22BE"/>
    <w:rsid w:val="002B304A"/>
    <w:rsid w:val="002B31B5"/>
    <w:rsid w:val="002B4E49"/>
    <w:rsid w:val="002B5434"/>
    <w:rsid w:val="002B569D"/>
    <w:rsid w:val="002B625A"/>
    <w:rsid w:val="002B68F4"/>
    <w:rsid w:val="002B6CDA"/>
    <w:rsid w:val="002B7A00"/>
    <w:rsid w:val="002B7C93"/>
    <w:rsid w:val="002B7CF3"/>
    <w:rsid w:val="002C0BF2"/>
    <w:rsid w:val="002C0F11"/>
    <w:rsid w:val="002C1930"/>
    <w:rsid w:val="002C205B"/>
    <w:rsid w:val="002C260D"/>
    <w:rsid w:val="002C4209"/>
    <w:rsid w:val="002C54DE"/>
    <w:rsid w:val="002C5801"/>
    <w:rsid w:val="002C5A2E"/>
    <w:rsid w:val="002C6695"/>
    <w:rsid w:val="002C7206"/>
    <w:rsid w:val="002C79E8"/>
    <w:rsid w:val="002C7D74"/>
    <w:rsid w:val="002D0B01"/>
    <w:rsid w:val="002D19A3"/>
    <w:rsid w:val="002D1E2D"/>
    <w:rsid w:val="002D21C9"/>
    <w:rsid w:val="002D25F6"/>
    <w:rsid w:val="002D44C7"/>
    <w:rsid w:val="002D665B"/>
    <w:rsid w:val="002D786B"/>
    <w:rsid w:val="002D7938"/>
    <w:rsid w:val="002D797C"/>
    <w:rsid w:val="002E031E"/>
    <w:rsid w:val="002E1358"/>
    <w:rsid w:val="002E1D4E"/>
    <w:rsid w:val="002E1FED"/>
    <w:rsid w:val="002E4EAC"/>
    <w:rsid w:val="002E56D6"/>
    <w:rsid w:val="002E58C3"/>
    <w:rsid w:val="002E5CF8"/>
    <w:rsid w:val="002E718E"/>
    <w:rsid w:val="002F049C"/>
    <w:rsid w:val="002F061D"/>
    <w:rsid w:val="002F0D61"/>
    <w:rsid w:val="002F13D1"/>
    <w:rsid w:val="002F1C64"/>
    <w:rsid w:val="002F321D"/>
    <w:rsid w:val="002F342E"/>
    <w:rsid w:val="002F4522"/>
    <w:rsid w:val="002F46F0"/>
    <w:rsid w:val="002F4A38"/>
    <w:rsid w:val="002F5533"/>
    <w:rsid w:val="003003E3"/>
    <w:rsid w:val="00300CC2"/>
    <w:rsid w:val="00302337"/>
    <w:rsid w:val="00303A88"/>
    <w:rsid w:val="003046C1"/>
    <w:rsid w:val="003048DF"/>
    <w:rsid w:val="003052DE"/>
    <w:rsid w:val="00306722"/>
    <w:rsid w:val="00306E5F"/>
    <w:rsid w:val="00307A8E"/>
    <w:rsid w:val="00307CDE"/>
    <w:rsid w:val="00307F3C"/>
    <w:rsid w:val="00310F1D"/>
    <w:rsid w:val="003112D9"/>
    <w:rsid w:val="003136D8"/>
    <w:rsid w:val="00315D6D"/>
    <w:rsid w:val="00316458"/>
    <w:rsid w:val="00316574"/>
    <w:rsid w:val="003166DE"/>
    <w:rsid w:val="00317E79"/>
    <w:rsid w:val="0032049C"/>
    <w:rsid w:val="00321411"/>
    <w:rsid w:val="00321E72"/>
    <w:rsid w:val="00322FDD"/>
    <w:rsid w:val="00322FF8"/>
    <w:rsid w:val="00323314"/>
    <w:rsid w:val="0032352D"/>
    <w:rsid w:val="003236C2"/>
    <w:rsid w:val="00326247"/>
    <w:rsid w:val="00327ACF"/>
    <w:rsid w:val="0033172F"/>
    <w:rsid w:val="0033217C"/>
    <w:rsid w:val="00332FB2"/>
    <w:rsid w:val="00333FEC"/>
    <w:rsid w:val="003345E1"/>
    <w:rsid w:val="003349D4"/>
    <w:rsid w:val="00334B23"/>
    <w:rsid w:val="00334B65"/>
    <w:rsid w:val="003351B7"/>
    <w:rsid w:val="003351DE"/>
    <w:rsid w:val="0033566F"/>
    <w:rsid w:val="0033573D"/>
    <w:rsid w:val="00335C1E"/>
    <w:rsid w:val="00337E8F"/>
    <w:rsid w:val="00340FED"/>
    <w:rsid w:val="00341C92"/>
    <w:rsid w:val="00341DF3"/>
    <w:rsid w:val="00342DCB"/>
    <w:rsid w:val="00342E4A"/>
    <w:rsid w:val="00343000"/>
    <w:rsid w:val="00343245"/>
    <w:rsid w:val="00343DCC"/>
    <w:rsid w:val="00343E88"/>
    <w:rsid w:val="003442FD"/>
    <w:rsid w:val="00344549"/>
    <w:rsid w:val="00344E6B"/>
    <w:rsid w:val="00345D57"/>
    <w:rsid w:val="0034638D"/>
    <w:rsid w:val="0034662D"/>
    <w:rsid w:val="00346D28"/>
    <w:rsid w:val="00347F91"/>
    <w:rsid w:val="00350399"/>
    <w:rsid w:val="00350723"/>
    <w:rsid w:val="00351857"/>
    <w:rsid w:val="0035331C"/>
    <w:rsid w:val="00353BC4"/>
    <w:rsid w:val="003540D5"/>
    <w:rsid w:val="003541F4"/>
    <w:rsid w:val="00355059"/>
    <w:rsid w:val="003554ED"/>
    <w:rsid w:val="00355837"/>
    <w:rsid w:val="003559AB"/>
    <w:rsid w:val="00360056"/>
    <w:rsid w:val="0036258C"/>
    <w:rsid w:val="003625F4"/>
    <w:rsid w:val="003628BE"/>
    <w:rsid w:val="00363642"/>
    <w:rsid w:val="00363B4A"/>
    <w:rsid w:val="00364EA2"/>
    <w:rsid w:val="0036575F"/>
    <w:rsid w:val="00366971"/>
    <w:rsid w:val="00366EC8"/>
    <w:rsid w:val="0036719B"/>
    <w:rsid w:val="00367565"/>
    <w:rsid w:val="003678CF"/>
    <w:rsid w:val="00367E55"/>
    <w:rsid w:val="003715E5"/>
    <w:rsid w:val="00373012"/>
    <w:rsid w:val="00373B05"/>
    <w:rsid w:val="0037511E"/>
    <w:rsid w:val="0037600B"/>
    <w:rsid w:val="003773F8"/>
    <w:rsid w:val="00377785"/>
    <w:rsid w:val="00377858"/>
    <w:rsid w:val="00380B5E"/>
    <w:rsid w:val="00385230"/>
    <w:rsid w:val="00386EF7"/>
    <w:rsid w:val="0038766A"/>
    <w:rsid w:val="00387ED7"/>
    <w:rsid w:val="00391A00"/>
    <w:rsid w:val="00392087"/>
    <w:rsid w:val="00392777"/>
    <w:rsid w:val="00394548"/>
    <w:rsid w:val="0039489F"/>
    <w:rsid w:val="00394C4F"/>
    <w:rsid w:val="003951DC"/>
    <w:rsid w:val="003956C9"/>
    <w:rsid w:val="003959EC"/>
    <w:rsid w:val="00396ECB"/>
    <w:rsid w:val="00396F50"/>
    <w:rsid w:val="003A0387"/>
    <w:rsid w:val="003A0CA2"/>
    <w:rsid w:val="003A195E"/>
    <w:rsid w:val="003A1A89"/>
    <w:rsid w:val="003A201A"/>
    <w:rsid w:val="003A2228"/>
    <w:rsid w:val="003A237F"/>
    <w:rsid w:val="003A46F3"/>
    <w:rsid w:val="003A5076"/>
    <w:rsid w:val="003A5706"/>
    <w:rsid w:val="003A5768"/>
    <w:rsid w:val="003A743A"/>
    <w:rsid w:val="003A76FF"/>
    <w:rsid w:val="003B047C"/>
    <w:rsid w:val="003B0DC2"/>
    <w:rsid w:val="003B18F0"/>
    <w:rsid w:val="003B3E4A"/>
    <w:rsid w:val="003B5AE5"/>
    <w:rsid w:val="003B6447"/>
    <w:rsid w:val="003B6526"/>
    <w:rsid w:val="003B6BDC"/>
    <w:rsid w:val="003B7AD6"/>
    <w:rsid w:val="003B7F26"/>
    <w:rsid w:val="003C0945"/>
    <w:rsid w:val="003C0CEC"/>
    <w:rsid w:val="003C0F58"/>
    <w:rsid w:val="003C16F0"/>
    <w:rsid w:val="003C1C01"/>
    <w:rsid w:val="003C1F76"/>
    <w:rsid w:val="003C2062"/>
    <w:rsid w:val="003C2F20"/>
    <w:rsid w:val="003C3C2A"/>
    <w:rsid w:val="003C418D"/>
    <w:rsid w:val="003C4D96"/>
    <w:rsid w:val="003C5352"/>
    <w:rsid w:val="003C5860"/>
    <w:rsid w:val="003C6187"/>
    <w:rsid w:val="003C7786"/>
    <w:rsid w:val="003C7926"/>
    <w:rsid w:val="003C7939"/>
    <w:rsid w:val="003C7F42"/>
    <w:rsid w:val="003D09FA"/>
    <w:rsid w:val="003D0B0E"/>
    <w:rsid w:val="003D0EAF"/>
    <w:rsid w:val="003D0F1D"/>
    <w:rsid w:val="003D18F0"/>
    <w:rsid w:val="003D1C92"/>
    <w:rsid w:val="003D27BF"/>
    <w:rsid w:val="003D2A5D"/>
    <w:rsid w:val="003D2A7F"/>
    <w:rsid w:val="003D2F44"/>
    <w:rsid w:val="003D33B5"/>
    <w:rsid w:val="003D3CDD"/>
    <w:rsid w:val="003D5FA3"/>
    <w:rsid w:val="003D6504"/>
    <w:rsid w:val="003D748A"/>
    <w:rsid w:val="003E2A97"/>
    <w:rsid w:val="003E3604"/>
    <w:rsid w:val="003E3758"/>
    <w:rsid w:val="003E4E1E"/>
    <w:rsid w:val="003E5194"/>
    <w:rsid w:val="003E561C"/>
    <w:rsid w:val="003E596C"/>
    <w:rsid w:val="003E5A15"/>
    <w:rsid w:val="003E7EF6"/>
    <w:rsid w:val="003F2960"/>
    <w:rsid w:val="003F2FB0"/>
    <w:rsid w:val="003F3336"/>
    <w:rsid w:val="003F3767"/>
    <w:rsid w:val="003F4D0E"/>
    <w:rsid w:val="003F5752"/>
    <w:rsid w:val="003F5B9B"/>
    <w:rsid w:val="003F5D84"/>
    <w:rsid w:val="003F626D"/>
    <w:rsid w:val="003F715B"/>
    <w:rsid w:val="0040094A"/>
    <w:rsid w:val="0040136F"/>
    <w:rsid w:val="00402920"/>
    <w:rsid w:val="004035CF"/>
    <w:rsid w:val="004038BC"/>
    <w:rsid w:val="00403A8E"/>
    <w:rsid w:val="00403BC3"/>
    <w:rsid w:val="004043B1"/>
    <w:rsid w:val="00405E2F"/>
    <w:rsid w:val="00406468"/>
    <w:rsid w:val="00406FF0"/>
    <w:rsid w:val="00407596"/>
    <w:rsid w:val="00410713"/>
    <w:rsid w:val="00410A38"/>
    <w:rsid w:val="004123F2"/>
    <w:rsid w:val="004127C3"/>
    <w:rsid w:val="0041593C"/>
    <w:rsid w:val="00416860"/>
    <w:rsid w:val="004168BA"/>
    <w:rsid w:val="00416C09"/>
    <w:rsid w:val="00416D23"/>
    <w:rsid w:val="004207F7"/>
    <w:rsid w:val="004210B5"/>
    <w:rsid w:val="004217DC"/>
    <w:rsid w:val="00422CA9"/>
    <w:rsid w:val="00423AC3"/>
    <w:rsid w:val="00423DFB"/>
    <w:rsid w:val="00424767"/>
    <w:rsid w:val="00424B40"/>
    <w:rsid w:val="00425446"/>
    <w:rsid w:val="0042558E"/>
    <w:rsid w:val="004258E0"/>
    <w:rsid w:val="00426A60"/>
    <w:rsid w:val="0042731B"/>
    <w:rsid w:val="00427382"/>
    <w:rsid w:val="004304C9"/>
    <w:rsid w:val="0043259A"/>
    <w:rsid w:val="00432751"/>
    <w:rsid w:val="0043294D"/>
    <w:rsid w:val="00435679"/>
    <w:rsid w:val="004363ED"/>
    <w:rsid w:val="00437695"/>
    <w:rsid w:val="00440B69"/>
    <w:rsid w:val="004421D4"/>
    <w:rsid w:val="00442B0C"/>
    <w:rsid w:val="00442B3C"/>
    <w:rsid w:val="00443179"/>
    <w:rsid w:val="004432F0"/>
    <w:rsid w:val="0044372F"/>
    <w:rsid w:val="00443E99"/>
    <w:rsid w:val="0044563A"/>
    <w:rsid w:val="00447F07"/>
    <w:rsid w:val="00450252"/>
    <w:rsid w:val="00450573"/>
    <w:rsid w:val="004505FA"/>
    <w:rsid w:val="00450C97"/>
    <w:rsid w:val="00451A81"/>
    <w:rsid w:val="004533FC"/>
    <w:rsid w:val="00453CFF"/>
    <w:rsid w:val="00454353"/>
    <w:rsid w:val="00455CB4"/>
    <w:rsid w:val="00455E76"/>
    <w:rsid w:val="00456050"/>
    <w:rsid w:val="00457B2C"/>
    <w:rsid w:val="00457DE0"/>
    <w:rsid w:val="00460BC5"/>
    <w:rsid w:val="0046150E"/>
    <w:rsid w:val="0046220C"/>
    <w:rsid w:val="00462E11"/>
    <w:rsid w:val="00463ADB"/>
    <w:rsid w:val="0046438B"/>
    <w:rsid w:val="00465751"/>
    <w:rsid w:val="004658E3"/>
    <w:rsid w:val="00465EF8"/>
    <w:rsid w:val="00466101"/>
    <w:rsid w:val="0046698C"/>
    <w:rsid w:val="00470CE1"/>
    <w:rsid w:val="00471416"/>
    <w:rsid w:val="00471532"/>
    <w:rsid w:val="00471880"/>
    <w:rsid w:val="004733C5"/>
    <w:rsid w:val="00473BC9"/>
    <w:rsid w:val="0047426B"/>
    <w:rsid w:val="0047431D"/>
    <w:rsid w:val="00474C49"/>
    <w:rsid w:val="00476FFD"/>
    <w:rsid w:val="00482895"/>
    <w:rsid w:val="0048347F"/>
    <w:rsid w:val="00483B98"/>
    <w:rsid w:val="004858AD"/>
    <w:rsid w:val="00485F3B"/>
    <w:rsid w:val="004864CE"/>
    <w:rsid w:val="00486AFF"/>
    <w:rsid w:val="00490460"/>
    <w:rsid w:val="004906A8"/>
    <w:rsid w:val="00490E09"/>
    <w:rsid w:val="00491112"/>
    <w:rsid w:val="00491451"/>
    <w:rsid w:val="004914B5"/>
    <w:rsid w:val="0049170D"/>
    <w:rsid w:val="00491938"/>
    <w:rsid w:val="004919BD"/>
    <w:rsid w:val="004923AD"/>
    <w:rsid w:val="00492E48"/>
    <w:rsid w:val="00492FAB"/>
    <w:rsid w:val="00494AD0"/>
    <w:rsid w:val="004A1730"/>
    <w:rsid w:val="004A1AF1"/>
    <w:rsid w:val="004A20F7"/>
    <w:rsid w:val="004A409D"/>
    <w:rsid w:val="004A4EC3"/>
    <w:rsid w:val="004A4F44"/>
    <w:rsid w:val="004A5198"/>
    <w:rsid w:val="004A6742"/>
    <w:rsid w:val="004A6B7A"/>
    <w:rsid w:val="004A6D22"/>
    <w:rsid w:val="004A6FE2"/>
    <w:rsid w:val="004A7DF7"/>
    <w:rsid w:val="004B0224"/>
    <w:rsid w:val="004B02E1"/>
    <w:rsid w:val="004B1221"/>
    <w:rsid w:val="004B1EB2"/>
    <w:rsid w:val="004B242C"/>
    <w:rsid w:val="004B2806"/>
    <w:rsid w:val="004B2850"/>
    <w:rsid w:val="004B339C"/>
    <w:rsid w:val="004B3940"/>
    <w:rsid w:val="004B4337"/>
    <w:rsid w:val="004B44BB"/>
    <w:rsid w:val="004B4722"/>
    <w:rsid w:val="004B4BB6"/>
    <w:rsid w:val="004B51F9"/>
    <w:rsid w:val="004B5428"/>
    <w:rsid w:val="004B7061"/>
    <w:rsid w:val="004C0BAF"/>
    <w:rsid w:val="004C0DBA"/>
    <w:rsid w:val="004C14C9"/>
    <w:rsid w:val="004C1647"/>
    <w:rsid w:val="004C1A20"/>
    <w:rsid w:val="004C1B0E"/>
    <w:rsid w:val="004C2BFE"/>
    <w:rsid w:val="004C3C51"/>
    <w:rsid w:val="004C3FE1"/>
    <w:rsid w:val="004C478B"/>
    <w:rsid w:val="004C5502"/>
    <w:rsid w:val="004C7172"/>
    <w:rsid w:val="004D1D3C"/>
    <w:rsid w:val="004D3485"/>
    <w:rsid w:val="004D43E2"/>
    <w:rsid w:val="004D46F5"/>
    <w:rsid w:val="004D5DE3"/>
    <w:rsid w:val="004D754F"/>
    <w:rsid w:val="004D770C"/>
    <w:rsid w:val="004E0CBA"/>
    <w:rsid w:val="004E2474"/>
    <w:rsid w:val="004E2A52"/>
    <w:rsid w:val="004E411C"/>
    <w:rsid w:val="004E42DF"/>
    <w:rsid w:val="004E536B"/>
    <w:rsid w:val="004E578F"/>
    <w:rsid w:val="004E6FE8"/>
    <w:rsid w:val="004E7149"/>
    <w:rsid w:val="004E7D97"/>
    <w:rsid w:val="004F1114"/>
    <w:rsid w:val="004F1D31"/>
    <w:rsid w:val="004F2A51"/>
    <w:rsid w:val="004F3474"/>
    <w:rsid w:val="004F472C"/>
    <w:rsid w:val="004F59C7"/>
    <w:rsid w:val="004F6161"/>
    <w:rsid w:val="004F6CB9"/>
    <w:rsid w:val="004F7898"/>
    <w:rsid w:val="00500538"/>
    <w:rsid w:val="00500759"/>
    <w:rsid w:val="00500EF6"/>
    <w:rsid w:val="00500F5D"/>
    <w:rsid w:val="00502289"/>
    <w:rsid w:val="005028C5"/>
    <w:rsid w:val="00502C95"/>
    <w:rsid w:val="0050392E"/>
    <w:rsid w:val="00504045"/>
    <w:rsid w:val="0050480C"/>
    <w:rsid w:val="005077FA"/>
    <w:rsid w:val="00510231"/>
    <w:rsid w:val="005113FA"/>
    <w:rsid w:val="0051259C"/>
    <w:rsid w:val="0051373D"/>
    <w:rsid w:val="00513B08"/>
    <w:rsid w:val="00513BB6"/>
    <w:rsid w:val="0051487D"/>
    <w:rsid w:val="00514C01"/>
    <w:rsid w:val="0051509E"/>
    <w:rsid w:val="00515CB6"/>
    <w:rsid w:val="005165C0"/>
    <w:rsid w:val="005167FC"/>
    <w:rsid w:val="00516AB5"/>
    <w:rsid w:val="005173B4"/>
    <w:rsid w:val="00517A80"/>
    <w:rsid w:val="0052093A"/>
    <w:rsid w:val="00521DD6"/>
    <w:rsid w:val="005232FD"/>
    <w:rsid w:val="00524A24"/>
    <w:rsid w:val="00525E31"/>
    <w:rsid w:val="00526A2A"/>
    <w:rsid w:val="00527BB8"/>
    <w:rsid w:val="00532F48"/>
    <w:rsid w:val="0053328C"/>
    <w:rsid w:val="0053388B"/>
    <w:rsid w:val="00533B2F"/>
    <w:rsid w:val="00533E3E"/>
    <w:rsid w:val="005354E0"/>
    <w:rsid w:val="005357F3"/>
    <w:rsid w:val="005358DA"/>
    <w:rsid w:val="00536713"/>
    <w:rsid w:val="00537D61"/>
    <w:rsid w:val="00540280"/>
    <w:rsid w:val="00540D42"/>
    <w:rsid w:val="00541C36"/>
    <w:rsid w:val="00542CBF"/>
    <w:rsid w:val="00542EFC"/>
    <w:rsid w:val="005432AB"/>
    <w:rsid w:val="0054380F"/>
    <w:rsid w:val="00543D48"/>
    <w:rsid w:val="005464EA"/>
    <w:rsid w:val="00546828"/>
    <w:rsid w:val="005476DA"/>
    <w:rsid w:val="005500AD"/>
    <w:rsid w:val="00550878"/>
    <w:rsid w:val="0055147D"/>
    <w:rsid w:val="00551495"/>
    <w:rsid w:val="00552A7A"/>
    <w:rsid w:val="00554646"/>
    <w:rsid w:val="00554C6C"/>
    <w:rsid w:val="00554E5F"/>
    <w:rsid w:val="00554F70"/>
    <w:rsid w:val="0055579F"/>
    <w:rsid w:val="00557B0A"/>
    <w:rsid w:val="005600CE"/>
    <w:rsid w:val="005601A3"/>
    <w:rsid w:val="00561483"/>
    <w:rsid w:val="00561994"/>
    <w:rsid w:val="00561A09"/>
    <w:rsid w:val="00562051"/>
    <w:rsid w:val="00563F29"/>
    <w:rsid w:val="005650E8"/>
    <w:rsid w:val="00566E89"/>
    <w:rsid w:val="00571674"/>
    <w:rsid w:val="00571DCE"/>
    <w:rsid w:val="005731D5"/>
    <w:rsid w:val="00575F22"/>
    <w:rsid w:val="0057633D"/>
    <w:rsid w:val="0057732E"/>
    <w:rsid w:val="00577963"/>
    <w:rsid w:val="00580D74"/>
    <w:rsid w:val="005831BD"/>
    <w:rsid w:val="005843FC"/>
    <w:rsid w:val="005850BF"/>
    <w:rsid w:val="0058742F"/>
    <w:rsid w:val="005874C7"/>
    <w:rsid w:val="00593650"/>
    <w:rsid w:val="005945B7"/>
    <w:rsid w:val="005951B6"/>
    <w:rsid w:val="00595582"/>
    <w:rsid w:val="00596A11"/>
    <w:rsid w:val="00597403"/>
    <w:rsid w:val="005976B3"/>
    <w:rsid w:val="005A2772"/>
    <w:rsid w:val="005A41F7"/>
    <w:rsid w:val="005A6646"/>
    <w:rsid w:val="005A6AC4"/>
    <w:rsid w:val="005A6B1F"/>
    <w:rsid w:val="005A7365"/>
    <w:rsid w:val="005A741E"/>
    <w:rsid w:val="005A77AD"/>
    <w:rsid w:val="005A7DCB"/>
    <w:rsid w:val="005B080C"/>
    <w:rsid w:val="005B1044"/>
    <w:rsid w:val="005B1C90"/>
    <w:rsid w:val="005B1D23"/>
    <w:rsid w:val="005B3958"/>
    <w:rsid w:val="005B485A"/>
    <w:rsid w:val="005B4B3C"/>
    <w:rsid w:val="005B5D86"/>
    <w:rsid w:val="005B6852"/>
    <w:rsid w:val="005B76F6"/>
    <w:rsid w:val="005C0CBF"/>
    <w:rsid w:val="005C1BE2"/>
    <w:rsid w:val="005C250B"/>
    <w:rsid w:val="005C44D9"/>
    <w:rsid w:val="005C45D9"/>
    <w:rsid w:val="005C47A8"/>
    <w:rsid w:val="005C4F6E"/>
    <w:rsid w:val="005C5EAB"/>
    <w:rsid w:val="005C6AD8"/>
    <w:rsid w:val="005C6B04"/>
    <w:rsid w:val="005D033C"/>
    <w:rsid w:val="005D2A8C"/>
    <w:rsid w:val="005D4214"/>
    <w:rsid w:val="005D5417"/>
    <w:rsid w:val="005D62CA"/>
    <w:rsid w:val="005D6810"/>
    <w:rsid w:val="005D6CDB"/>
    <w:rsid w:val="005D7085"/>
    <w:rsid w:val="005E0EC3"/>
    <w:rsid w:val="005E222B"/>
    <w:rsid w:val="005E2C88"/>
    <w:rsid w:val="005E2EAC"/>
    <w:rsid w:val="005E32F4"/>
    <w:rsid w:val="005E363C"/>
    <w:rsid w:val="005E3E3F"/>
    <w:rsid w:val="005E438A"/>
    <w:rsid w:val="005E5F87"/>
    <w:rsid w:val="005E61E2"/>
    <w:rsid w:val="005E6797"/>
    <w:rsid w:val="005E6A54"/>
    <w:rsid w:val="005E6B5C"/>
    <w:rsid w:val="005F02F5"/>
    <w:rsid w:val="005F0310"/>
    <w:rsid w:val="005F08EA"/>
    <w:rsid w:val="005F17FC"/>
    <w:rsid w:val="005F1AD0"/>
    <w:rsid w:val="005F1BEF"/>
    <w:rsid w:val="005F33AA"/>
    <w:rsid w:val="005F4DFF"/>
    <w:rsid w:val="005F57F3"/>
    <w:rsid w:val="005F603A"/>
    <w:rsid w:val="005F65B3"/>
    <w:rsid w:val="005F6E15"/>
    <w:rsid w:val="005F725D"/>
    <w:rsid w:val="0060022C"/>
    <w:rsid w:val="00600411"/>
    <w:rsid w:val="006013F1"/>
    <w:rsid w:val="0060175B"/>
    <w:rsid w:val="006028BB"/>
    <w:rsid w:val="00602B6B"/>
    <w:rsid w:val="00602C80"/>
    <w:rsid w:val="00602CA9"/>
    <w:rsid w:val="006030BA"/>
    <w:rsid w:val="00606A09"/>
    <w:rsid w:val="00610E92"/>
    <w:rsid w:val="0061135F"/>
    <w:rsid w:val="00612192"/>
    <w:rsid w:val="00612584"/>
    <w:rsid w:val="00612AA3"/>
    <w:rsid w:val="00612AA6"/>
    <w:rsid w:val="00615AD7"/>
    <w:rsid w:val="00616ED7"/>
    <w:rsid w:val="00617AA2"/>
    <w:rsid w:val="00620010"/>
    <w:rsid w:val="00620320"/>
    <w:rsid w:val="00621030"/>
    <w:rsid w:val="00622D57"/>
    <w:rsid w:val="00622F72"/>
    <w:rsid w:val="006266FB"/>
    <w:rsid w:val="00627781"/>
    <w:rsid w:val="00627B33"/>
    <w:rsid w:val="00631A34"/>
    <w:rsid w:val="00631F12"/>
    <w:rsid w:val="00632391"/>
    <w:rsid w:val="00632CC8"/>
    <w:rsid w:val="0063404E"/>
    <w:rsid w:val="00634CDC"/>
    <w:rsid w:val="00634D03"/>
    <w:rsid w:val="00635E66"/>
    <w:rsid w:val="00636674"/>
    <w:rsid w:val="006368E5"/>
    <w:rsid w:val="00637B19"/>
    <w:rsid w:val="00640537"/>
    <w:rsid w:val="00641C28"/>
    <w:rsid w:val="006422AB"/>
    <w:rsid w:val="006436BE"/>
    <w:rsid w:val="0064405E"/>
    <w:rsid w:val="0064484A"/>
    <w:rsid w:val="00645558"/>
    <w:rsid w:val="006457EE"/>
    <w:rsid w:val="00646E3E"/>
    <w:rsid w:val="00647F59"/>
    <w:rsid w:val="00650DE8"/>
    <w:rsid w:val="006517AA"/>
    <w:rsid w:val="0065518B"/>
    <w:rsid w:val="006551F7"/>
    <w:rsid w:val="00655A4E"/>
    <w:rsid w:val="00655CEE"/>
    <w:rsid w:val="006563F5"/>
    <w:rsid w:val="00656EE5"/>
    <w:rsid w:val="0066101E"/>
    <w:rsid w:val="006612C3"/>
    <w:rsid w:val="0066146E"/>
    <w:rsid w:val="00661D61"/>
    <w:rsid w:val="0066293E"/>
    <w:rsid w:val="00663055"/>
    <w:rsid w:val="006642DF"/>
    <w:rsid w:val="00664449"/>
    <w:rsid w:val="00664564"/>
    <w:rsid w:val="00664A3A"/>
    <w:rsid w:val="0066531C"/>
    <w:rsid w:val="006656DF"/>
    <w:rsid w:val="00665DAC"/>
    <w:rsid w:val="00666864"/>
    <w:rsid w:val="006669A2"/>
    <w:rsid w:val="00667542"/>
    <w:rsid w:val="00667E66"/>
    <w:rsid w:val="006701D0"/>
    <w:rsid w:val="0067130A"/>
    <w:rsid w:val="00671AD2"/>
    <w:rsid w:val="00671D16"/>
    <w:rsid w:val="00672778"/>
    <w:rsid w:val="00672FA1"/>
    <w:rsid w:val="00673402"/>
    <w:rsid w:val="006744A5"/>
    <w:rsid w:val="0067563A"/>
    <w:rsid w:val="00676083"/>
    <w:rsid w:val="006769B3"/>
    <w:rsid w:val="00677AE8"/>
    <w:rsid w:val="006805AC"/>
    <w:rsid w:val="00680B60"/>
    <w:rsid w:val="006819A1"/>
    <w:rsid w:val="00681B06"/>
    <w:rsid w:val="00683271"/>
    <w:rsid w:val="00683837"/>
    <w:rsid w:val="00683CEF"/>
    <w:rsid w:val="0068454D"/>
    <w:rsid w:val="00684600"/>
    <w:rsid w:val="0068546E"/>
    <w:rsid w:val="006859E7"/>
    <w:rsid w:val="00685F29"/>
    <w:rsid w:val="00686530"/>
    <w:rsid w:val="00686678"/>
    <w:rsid w:val="00686C5C"/>
    <w:rsid w:val="00686FFD"/>
    <w:rsid w:val="00687468"/>
    <w:rsid w:val="006879E9"/>
    <w:rsid w:val="00687A71"/>
    <w:rsid w:val="006900B4"/>
    <w:rsid w:val="00692192"/>
    <w:rsid w:val="006937D3"/>
    <w:rsid w:val="00694298"/>
    <w:rsid w:val="0069585F"/>
    <w:rsid w:val="0069657A"/>
    <w:rsid w:val="006A0F54"/>
    <w:rsid w:val="006A10E1"/>
    <w:rsid w:val="006A12AB"/>
    <w:rsid w:val="006A1CCB"/>
    <w:rsid w:val="006A216A"/>
    <w:rsid w:val="006A32B2"/>
    <w:rsid w:val="006A3B43"/>
    <w:rsid w:val="006A3FEA"/>
    <w:rsid w:val="006A45CB"/>
    <w:rsid w:val="006A4D8B"/>
    <w:rsid w:val="006A7186"/>
    <w:rsid w:val="006A72E8"/>
    <w:rsid w:val="006A74F5"/>
    <w:rsid w:val="006A7E16"/>
    <w:rsid w:val="006B0B74"/>
    <w:rsid w:val="006B180C"/>
    <w:rsid w:val="006B193E"/>
    <w:rsid w:val="006B1C8F"/>
    <w:rsid w:val="006B243D"/>
    <w:rsid w:val="006B45FA"/>
    <w:rsid w:val="006B476D"/>
    <w:rsid w:val="006B6578"/>
    <w:rsid w:val="006C0E27"/>
    <w:rsid w:val="006C4290"/>
    <w:rsid w:val="006C4788"/>
    <w:rsid w:val="006C5811"/>
    <w:rsid w:val="006C5B26"/>
    <w:rsid w:val="006C63CD"/>
    <w:rsid w:val="006C7F86"/>
    <w:rsid w:val="006D01CF"/>
    <w:rsid w:val="006D01DC"/>
    <w:rsid w:val="006D03B5"/>
    <w:rsid w:val="006D08A4"/>
    <w:rsid w:val="006D0CB4"/>
    <w:rsid w:val="006D1863"/>
    <w:rsid w:val="006D398A"/>
    <w:rsid w:val="006D5690"/>
    <w:rsid w:val="006D5CE4"/>
    <w:rsid w:val="006D6947"/>
    <w:rsid w:val="006D6CF1"/>
    <w:rsid w:val="006D7D55"/>
    <w:rsid w:val="006D7D7B"/>
    <w:rsid w:val="006E0585"/>
    <w:rsid w:val="006E05D9"/>
    <w:rsid w:val="006E104D"/>
    <w:rsid w:val="006E1D92"/>
    <w:rsid w:val="006E2440"/>
    <w:rsid w:val="006E2E94"/>
    <w:rsid w:val="006E3385"/>
    <w:rsid w:val="006E3A38"/>
    <w:rsid w:val="006E3D6C"/>
    <w:rsid w:val="006E3F17"/>
    <w:rsid w:val="006E480D"/>
    <w:rsid w:val="006E5BED"/>
    <w:rsid w:val="006E650D"/>
    <w:rsid w:val="006E722F"/>
    <w:rsid w:val="006E7A6E"/>
    <w:rsid w:val="006F0D94"/>
    <w:rsid w:val="006F142E"/>
    <w:rsid w:val="006F22D6"/>
    <w:rsid w:val="006F2F0B"/>
    <w:rsid w:val="006F3B98"/>
    <w:rsid w:val="006F3C48"/>
    <w:rsid w:val="006F41CA"/>
    <w:rsid w:val="006F4D57"/>
    <w:rsid w:val="006F6A51"/>
    <w:rsid w:val="006F6BE9"/>
    <w:rsid w:val="006F6E6D"/>
    <w:rsid w:val="0070146A"/>
    <w:rsid w:val="00701DE8"/>
    <w:rsid w:val="0070219A"/>
    <w:rsid w:val="00702BB3"/>
    <w:rsid w:val="0070352E"/>
    <w:rsid w:val="0070430F"/>
    <w:rsid w:val="00704534"/>
    <w:rsid w:val="00705C73"/>
    <w:rsid w:val="00705F61"/>
    <w:rsid w:val="00705FC8"/>
    <w:rsid w:val="00707072"/>
    <w:rsid w:val="00710668"/>
    <w:rsid w:val="00711C2B"/>
    <w:rsid w:val="007126B7"/>
    <w:rsid w:val="00712F71"/>
    <w:rsid w:val="00713663"/>
    <w:rsid w:val="007159E0"/>
    <w:rsid w:val="0071710A"/>
    <w:rsid w:val="007171FF"/>
    <w:rsid w:val="007173A5"/>
    <w:rsid w:val="0071746A"/>
    <w:rsid w:val="007203A8"/>
    <w:rsid w:val="00721221"/>
    <w:rsid w:val="00722F7E"/>
    <w:rsid w:val="007232ED"/>
    <w:rsid w:val="0072525C"/>
    <w:rsid w:val="00725A97"/>
    <w:rsid w:val="00726F90"/>
    <w:rsid w:val="007279FD"/>
    <w:rsid w:val="00730D45"/>
    <w:rsid w:val="007319F5"/>
    <w:rsid w:val="00733516"/>
    <w:rsid w:val="00733AC9"/>
    <w:rsid w:val="00733DD8"/>
    <w:rsid w:val="00737013"/>
    <w:rsid w:val="00737405"/>
    <w:rsid w:val="00737B63"/>
    <w:rsid w:val="00740D2C"/>
    <w:rsid w:val="00741166"/>
    <w:rsid w:val="00741DDD"/>
    <w:rsid w:val="00743759"/>
    <w:rsid w:val="00743970"/>
    <w:rsid w:val="00743DDB"/>
    <w:rsid w:val="00745EF1"/>
    <w:rsid w:val="00747609"/>
    <w:rsid w:val="00750A41"/>
    <w:rsid w:val="0075139B"/>
    <w:rsid w:val="007540E2"/>
    <w:rsid w:val="00754581"/>
    <w:rsid w:val="00754906"/>
    <w:rsid w:val="00754B26"/>
    <w:rsid w:val="00754DCC"/>
    <w:rsid w:val="0075523E"/>
    <w:rsid w:val="007562AE"/>
    <w:rsid w:val="00760488"/>
    <w:rsid w:val="00760636"/>
    <w:rsid w:val="00760792"/>
    <w:rsid w:val="0076121F"/>
    <w:rsid w:val="0076130F"/>
    <w:rsid w:val="00761779"/>
    <w:rsid w:val="007617E9"/>
    <w:rsid w:val="00764F4E"/>
    <w:rsid w:val="00765355"/>
    <w:rsid w:val="007705AF"/>
    <w:rsid w:val="00770E5B"/>
    <w:rsid w:val="00771071"/>
    <w:rsid w:val="00771E87"/>
    <w:rsid w:val="007723F7"/>
    <w:rsid w:val="007726DC"/>
    <w:rsid w:val="00772B69"/>
    <w:rsid w:val="00773717"/>
    <w:rsid w:val="00773A95"/>
    <w:rsid w:val="00774C2E"/>
    <w:rsid w:val="0077551B"/>
    <w:rsid w:val="00775E2B"/>
    <w:rsid w:val="00776501"/>
    <w:rsid w:val="007771C1"/>
    <w:rsid w:val="007772C2"/>
    <w:rsid w:val="00777FB9"/>
    <w:rsid w:val="0078004B"/>
    <w:rsid w:val="007807C5"/>
    <w:rsid w:val="0078096B"/>
    <w:rsid w:val="007813AE"/>
    <w:rsid w:val="00783D3A"/>
    <w:rsid w:val="00783F91"/>
    <w:rsid w:val="0078416E"/>
    <w:rsid w:val="007849B1"/>
    <w:rsid w:val="00784AE9"/>
    <w:rsid w:val="00784DD2"/>
    <w:rsid w:val="00785DEC"/>
    <w:rsid w:val="00785ED6"/>
    <w:rsid w:val="00786319"/>
    <w:rsid w:val="007866E7"/>
    <w:rsid w:val="007870C7"/>
    <w:rsid w:val="0078735F"/>
    <w:rsid w:val="00787BCF"/>
    <w:rsid w:val="00790B76"/>
    <w:rsid w:val="007925BF"/>
    <w:rsid w:val="00792B47"/>
    <w:rsid w:val="00792F42"/>
    <w:rsid w:val="00794007"/>
    <w:rsid w:val="0079409F"/>
    <w:rsid w:val="007945D8"/>
    <w:rsid w:val="00794CCF"/>
    <w:rsid w:val="007952C4"/>
    <w:rsid w:val="007955E0"/>
    <w:rsid w:val="00796AD8"/>
    <w:rsid w:val="007A15F1"/>
    <w:rsid w:val="007A3172"/>
    <w:rsid w:val="007A4B70"/>
    <w:rsid w:val="007A5166"/>
    <w:rsid w:val="007A5890"/>
    <w:rsid w:val="007A5B7F"/>
    <w:rsid w:val="007A5E3F"/>
    <w:rsid w:val="007A6197"/>
    <w:rsid w:val="007A6910"/>
    <w:rsid w:val="007A72FE"/>
    <w:rsid w:val="007A7981"/>
    <w:rsid w:val="007A7FD9"/>
    <w:rsid w:val="007B281A"/>
    <w:rsid w:val="007B35BF"/>
    <w:rsid w:val="007B366B"/>
    <w:rsid w:val="007B3E3B"/>
    <w:rsid w:val="007B4828"/>
    <w:rsid w:val="007B4B01"/>
    <w:rsid w:val="007B5BAD"/>
    <w:rsid w:val="007B6148"/>
    <w:rsid w:val="007B645C"/>
    <w:rsid w:val="007B6C25"/>
    <w:rsid w:val="007B720F"/>
    <w:rsid w:val="007C0A5F"/>
    <w:rsid w:val="007C0BF6"/>
    <w:rsid w:val="007C105C"/>
    <w:rsid w:val="007C12E5"/>
    <w:rsid w:val="007C1401"/>
    <w:rsid w:val="007C1427"/>
    <w:rsid w:val="007C2ECE"/>
    <w:rsid w:val="007C31AA"/>
    <w:rsid w:val="007C3BD0"/>
    <w:rsid w:val="007C45E8"/>
    <w:rsid w:val="007C4C58"/>
    <w:rsid w:val="007C51B6"/>
    <w:rsid w:val="007C58E1"/>
    <w:rsid w:val="007C5FF3"/>
    <w:rsid w:val="007C715D"/>
    <w:rsid w:val="007D033D"/>
    <w:rsid w:val="007D24EE"/>
    <w:rsid w:val="007D2EB0"/>
    <w:rsid w:val="007D3530"/>
    <w:rsid w:val="007D38E5"/>
    <w:rsid w:val="007D4294"/>
    <w:rsid w:val="007D4FB0"/>
    <w:rsid w:val="007D5072"/>
    <w:rsid w:val="007D5751"/>
    <w:rsid w:val="007D60E8"/>
    <w:rsid w:val="007D7FB6"/>
    <w:rsid w:val="007E0912"/>
    <w:rsid w:val="007E0AD2"/>
    <w:rsid w:val="007E1386"/>
    <w:rsid w:val="007E1AD3"/>
    <w:rsid w:val="007E2092"/>
    <w:rsid w:val="007E2320"/>
    <w:rsid w:val="007E487B"/>
    <w:rsid w:val="007E53F6"/>
    <w:rsid w:val="007E5642"/>
    <w:rsid w:val="007E6D0B"/>
    <w:rsid w:val="007E7805"/>
    <w:rsid w:val="007F0DA0"/>
    <w:rsid w:val="007F0E31"/>
    <w:rsid w:val="007F2B28"/>
    <w:rsid w:val="007F415E"/>
    <w:rsid w:val="007F4F2A"/>
    <w:rsid w:val="007F533A"/>
    <w:rsid w:val="007F5F6D"/>
    <w:rsid w:val="007F7699"/>
    <w:rsid w:val="007F7A89"/>
    <w:rsid w:val="008019E4"/>
    <w:rsid w:val="008029F9"/>
    <w:rsid w:val="00805C1F"/>
    <w:rsid w:val="00811494"/>
    <w:rsid w:val="008120F4"/>
    <w:rsid w:val="008130B3"/>
    <w:rsid w:val="00813A2F"/>
    <w:rsid w:val="00814928"/>
    <w:rsid w:val="00815E91"/>
    <w:rsid w:val="00816EDD"/>
    <w:rsid w:val="0082108A"/>
    <w:rsid w:val="008215EB"/>
    <w:rsid w:val="008217F3"/>
    <w:rsid w:val="00821F00"/>
    <w:rsid w:val="00822E0C"/>
    <w:rsid w:val="00823461"/>
    <w:rsid w:val="0082439A"/>
    <w:rsid w:val="00825037"/>
    <w:rsid w:val="008251BC"/>
    <w:rsid w:val="00826603"/>
    <w:rsid w:val="00827C51"/>
    <w:rsid w:val="008309F8"/>
    <w:rsid w:val="00830D91"/>
    <w:rsid w:val="008311E0"/>
    <w:rsid w:val="00831DC1"/>
    <w:rsid w:val="00831F81"/>
    <w:rsid w:val="00833A2E"/>
    <w:rsid w:val="00836090"/>
    <w:rsid w:val="0083637F"/>
    <w:rsid w:val="00836F12"/>
    <w:rsid w:val="00841879"/>
    <w:rsid w:val="00841CE8"/>
    <w:rsid w:val="00842637"/>
    <w:rsid w:val="0084281B"/>
    <w:rsid w:val="00842ECE"/>
    <w:rsid w:val="00843A0D"/>
    <w:rsid w:val="00843AB6"/>
    <w:rsid w:val="008443A4"/>
    <w:rsid w:val="00844485"/>
    <w:rsid w:val="00844F78"/>
    <w:rsid w:val="00845056"/>
    <w:rsid w:val="00845ECA"/>
    <w:rsid w:val="008519F8"/>
    <w:rsid w:val="008520A0"/>
    <w:rsid w:val="008533C2"/>
    <w:rsid w:val="008535BC"/>
    <w:rsid w:val="0085378D"/>
    <w:rsid w:val="00853CCA"/>
    <w:rsid w:val="00853D5C"/>
    <w:rsid w:val="008554C2"/>
    <w:rsid w:val="008560EB"/>
    <w:rsid w:val="00856F31"/>
    <w:rsid w:val="008605D7"/>
    <w:rsid w:val="008610D9"/>
    <w:rsid w:val="00862573"/>
    <w:rsid w:val="008633DB"/>
    <w:rsid w:val="0086465E"/>
    <w:rsid w:val="00864727"/>
    <w:rsid w:val="00864C78"/>
    <w:rsid w:val="0087031B"/>
    <w:rsid w:val="00870680"/>
    <w:rsid w:val="00870B97"/>
    <w:rsid w:val="00871281"/>
    <w:rsid w:val="00873452"/>
    <w:rsid w:val="00873466"/>
    <w:rsid w:val="00873858"/>
    <w:rsid w:val="0087445C"/>
    <w:rsid w:val="0087478C"/>
    <w:rsid w:val="00874C2C"/>
    <w:rsid w:val="00876E98"/>
    <w:rsid w:val="00877016"/>
    <w:rsid w:val="00877B7E"/>
    <w:rsid w:val="0088090B"/>
    <w:rsid w:val="008820E0"/>
    <w:rsid w:val="00882408"/>
    <w:rsid w:val="00882535"/>
    <w:rsid w:val="0088357E"/>
    <w:rsid w:val="00883615"/>
    <w:rsid w:val="00883836"/>
    <w:rsid w:val="00883B66"/>
    <w:rsid w:val="008857F9"/>
    <w:rsid w:val="00885F6D"/>
    <w:rsid w:val="00886C41"/>
    <w:rsid w:val="00886EF3"/>
    <w:rsid w:val="00890853"/>
    <w:rsid w:val="0089109D"/>
    <w:rsid w:val="008913A8"/>
    <w:rsid w:val="008914FC"/>
    <w:rsid w:val="008923F9"/>
    <w:rsid w:val="008929F6"/>
    <w:rsid w:val="0089517C"/>
    <w:rsid w:val="00895BC6"/>
    <w:rsid w:val="00895F41"/>
    <w:rsid w:val="008960CB"/>
    <w:rsid w:val="0089678B"/>
    <w:rsid w:val="0089690C"/>
    <w:rsid w:val="008A0425"/>
    <w:rsid w:val="008A0BB0"/>
    <w:rsid w:val="008A1BEC"/>
    <w:rsid w:val="008A1EAE"/>
    <w:rsid w:val="008A38CB"/>
    <w:rsid w:val="008A3AA7"/>
    <w:rsid w:val="008A45B7"/>
    <w:rsid w:val="008A47F7"/>
    <w:rsid w:val="008A5629"/>
    <w:rsid w:val="008A5DAD"/>
    <w:rsid w:val="008B04E5"/>
    <w:rsid w:val="008B0CD2"/>
    <w:rsid w:val="008B1340"/>
    <w:rsid w:val="008B246F"/>
    <w:rsid w:val="008B3529"/>
    <w:rsid w:val="008B3AF4"/>
    <w:rsid w:val="008B3F86"/>
    <w:rsid w:val="008B455E"/>
    <w:rsid w:val="008B4BFA"/>
    <w:rsid w:val="008B5415"/>
    <w:rsid w:val="008B58EF"/>
    <w:rsid w:val="008B5E24"/>
    <w:rsid w:val="008B6117"/>
    <w:rsid w:val="008B6911"/>
    <w:rsid w:val="008B732D"/>
    <w:rsid w:val="008B7A21"/>
    <w:rsid w:val="008B7B78"/>
    <w:rsid w:val="008C056A"/>
    <w:rsid w:val="008C1130"/>
    <w:rsid w:val="008C24BF"/>
    <w:rsid w:val="008C26F6"/>
    <w:rsid w:val="008C3C79"/>
    <w:rsid w:val="008C58A0"/>
    <w:rsid w:val="008C744D"/>
    <w:rsid w:val="008D1431"/>
    <w:rsid w:val="008D1E53"/>
    <w:rsid w:val="008D3E82"/>
    <w:rsid w:val="008D4323"/>
    <w:rsid w:val="008D4B86"/>
    <w:rsid w:val="008D560B"/>
    <w:rsid w:val="008D7E7A"/>
    <w:rsid w:val="008E185D"/>
    <w:rsid w:val="008E1C79"/>
    <w:rsid w:val="008E2BF9"/>
    <w:rsid w:val="008E322F"/>
    <w:rsid w:val="008E37C7"/>
    <w:rsid w:val="008E37DD"/>
    <w:rsid w:val="008E3A90"/>
    <w:rsid w:val="008E3FDC"/>
    <w:rsid w:val="008E4CA6"/>
    <w:rsid w:val="008E4F05"/>
    <w:rsid w:val="008E6235"/>
    <w:rsid w:val="008E6582"/>
    <w:rsid w:val="008F1566"/>
    <w:rsid w:val="008F1712"/>
    <w:rsid w:val="008F36AF"/>
    <w:rsid w:val="008F377E"/>
    <w:rsid w:val="008F3953"/>
    <w:rsid w:val="008F4022"/>
    <w:rsid w:val="008F4438"/>
    <w:rsid w:val="008F65E2"/>
    <w:rsid w:val="0090007E"/>
    <w:rsid w:val="0090075E"/>
    <w:rsid w:val="00900A93"/>
    <w:rsid w:val="00901785"/>
    <w:rsid w:val="00901C4F"/>
    <w:rsid w:val="00901E54"/>
    <w:rsid w:val="009075E3"/>
    <w:rsid w:val="009106CD"/>
    <w:rsid w:val="00911A7D"/>
    <w:rsid w:val="00911EF0"/>
    <w:rsid w:val="00912619"/>
    <w:rsid w:val="00914338"/>
    <w:rsid w:val="00914825"/>
    <w:rsid w:val="00914844"/>
    <w:rsid w:val="009157CE"/>
    <w:rsid w:val="00916023"/>
    <w:rsid w:val="0091624E"/>
    <w:rsid w:val="00916647"/>
    <w:rsid w:val="009166F0"/>
    <w:rsid w:val="00917183"/>
    <w:rsid w:val="009174AD"/>
    <w:rsid w:val="009175C1"/>
    <w:rsid w:val="00917908"/>
    <w:rsid w:val="009205F3"/>
    <w:rsid w:val="00920B0B"/>
    <w:rsid w:val="00921164"/>
    <w:rsid w:val="009213A7"/>
    <w:rsid w:val="00921BFE"/>
    <w:rsid w:val="00921C00"/>
    <w:rsid w:val="0092295C"/>
    <w:rsid w:val="00923B1D"/>
    <w:rsid w:val="0092548D"/>
    <w:rsid w:val="009268D2"/>
    <w:rsid w:val="00926C1F"/>
    <w:rsid w:val="009270E4"/>
    <w:rsid w:val="00927A9E"/>
    <w:rsid w:val="009307B3"/>
    <w:rsid w:val="009315A7"/>
    <w:rsid w:val="00933668"/>
    <w:rsid w:val="00934184"/>
    <w:rsid w:val="00934410"/>
    <w:rsid w:val="009346E7"/>
    <w:rsid w:val="00935D46"/>
    <w:rsid w:val="00941343"/>
    <w:rsid w:val="00941E6A"/>
    <w:rsid w:val="00942018"/>
    <w:rsid w:val="00942C18"/>
    <w:rsid w:val="00943B8A"/>
    <w:rsid w:val="00944D9E"/>
    <w:rsid w:val="00946F18"/>
    <w:rsid w:val="00947234"/>
    <w:rsid w:val="00947616"/>
    <w:rsid w:val="00947BCA"/>
    <w:rsid w:val="00947E00"/>
    <w:rsid w:val="00950E10"/>
    <w:rsid w:val="0095121F"/>
    <w:rsid w:val="009514AC"/>
    <w:rsid w:val="0095216A"/>
    <w:rsid w:val="00953F38"/>
    <w:rsid w:val="0095425F"/>
    <w:rsid w:val="00954783"/>
    <w:rsid w:val="00954A69"/>
    <w:rsid w:val="00954DD7"/>
    <w:rsid w:val="009553A0"/>
    <w:rsid w:val="009558D7"/>
    <w:rsid w:val="00956EF7"/>
    <w:rsid w:val="00957092"/>
    <w:rsid w:val="00960002"/>
    <w:rsid w:val="00960844"/>
    <w:rsid w:val="00961061"/>
    <w:rsid w:val="0096123B"/>
    <w:rsid w:val="009616FD"/>
    <w:rsid w:val="009617C8"/>
    <w:rsid w:val="00961BDA"/>
    <w:rsid w:val="00962704"/>
    <w:rsid w:val="00962BF7"/>
    <w:rsid w:val="00963039"/>
    <w:rsid w:val="00963123"/>
    <w:rsid w:val="00966C55"/>
    <w:rsid w:val="00970FAE"/>
    <w:rsid w:val="009712B6"/>
    <w:rsid w:val="00972A55"/>
    <w:rsid w:val="0097307E"/>
    <w:rsid w:val="00974080"/>
    <w:rsid w:val="00974745"/>
    <w:rsid w:val="00976160"/>
    <w:rsid w:val="009762AF"/>
    <w:rsid w:val="009776E1"/>
    <w:rsid w:val="009801DF"/>
    <w:rsid w:val="00980F05"/>
    <w:rsid w:val="00981BA8"/>
    <w:rsid w:val="009826B2"/>
    <w:rsid w:val="009831BE"/>
    <w:rsid w:val="00985AA5"/>
    <w:rsid w:val="00985D15"/>
    <w:rsid w:val="009913C3"/>
    <w:rsid w:val="00991FA3"/>
    <w:rsid w:val="0099363D"/>
    <w:rsid w:val="0099514C"/>
    <w:rsid w:val="0099518D"/>
    <w:rsid w:val="0099560D"/>
    <w:rsid w:val="00997A9D"/>
    <w:rsid w:val="009A0381"/>
    <w:rsid w:val="009A3681"/>
    <w:rsid w:val="009A4355"/>
    <w:rsid w:val="009A450B"/>
    <w:rsid w:val="009A4E63"/>
    <w:rsid w:val="009A59A1"/>
    <w:rsid w:val="009A5F20"/>
    <w:rsid w:val="009A6819"/>
    <w:rsid w:val="009A74F5"/>
    <w:rsid w:val="009B0825"/>
    <w:rsid w:val="009B117A"/>
    <w:rsid w:val="009B1288"/>
    <w:rsid w:val="009B1EBE"/>
    <w:rsid w:val="009B2B00"/>
    <w:rsid w:val="009B3E41"/>
    <w:rsid w:val="009B41BB"/>
    <w:rsid w:val="009B43DF"/>
    <w:rsid w:val="009B44BD"/>
    <w:rsid w:val="009C05EE"/>
    <w:rsid w:val="009C0910"/>
    <w:rsid w:val="009C15A0"/>
    <w:rsid w:val="009C1A78"/>
    <w:rsid w:val="009C2470"/>
    <w:rsid w:val="009C3696"/>
    <w:rsid w:val="009C3868"/>
    <w:rsid w:val="009C3B3B"/>
    <w:rsid w:val="009C4CA5"/>
    <w:rsid w:val="009C58B9"/>
    <w:rsid w:val="009C5FC3"/>
    <w:rsid w:val="009C67A9"/>
    <w:rsid w:val="009D0B90"/>
    <w:rsid w:val="009D18A0"/>
    <w:rsid w:val="009D2B5B"/>
    <w:rsid w:val="009D354A"/>
    <w:rsid w:val="009D3CA4"/>
    <w:rsid w:val="009D476E"/>
    <w:rsid w:val="009D4A52"/>
    <w:rsid w:val="009D5164"/>
    <w:rsid w:val="009D69EF"/>
    <w:rsid w:val="009D7A80"/>
    <w:rsid w:val="009E154F"/>
    <w:rsid w:val="009E1AD0"/>
    <w:rsid w:val="009E26DC"/>
    <w:rsid w:val="009E2F12"/>
    <w:rsid w:val="009E404E"/>
    <w:rsid w:val="009E5961"/>
    <w:rsid w:val="009E72E7"/>
    <w:rsid w:val="009F0AC1"/>
    <w:rsid w:val="009F2284"/>
    <w:rsid w:val="009F2BD1"/>
    <w:rsid w:val="009F348A"/>
    <w:rsid w:val="009F3AB9"/>
    <w:rsid w:val="009F3C2A"/>
    <w:rsid w:val="009F4249"/>
    <w:rsid w:val="009F7640"/>
    <w:rsid w:val="009F7739"/>
    <w:rsid w:val="00A0009A"/>
    <w:rsid w:val="00A0079C"/>
    <w:rsid w:val="00A010AF"/>
    <w:rsid w:val="00A02398"/>
    <w:rsid w:val="00A02B36"/>
    <w:rsid w:val="00A03494"/>
    <w:rsid w:val="00A04B74"/>
    <w:rsid w:val="00A055FA"/>
    <w:rsid w:val="00A05A7E"/>
    <w:rsid w:val="00A05FC6"/>
    <w:rsid w:val="00A06655"/>
    <w:rsid w:val="00A07B7F"/>
    <w:rsid w:val="00A07CCC"/>
    <w:rsid w:val="00A1038E"/>
    <w:rsid w:val="00A11B58"/>
    <w:rsid w:val="00A11C2F"/>
    <w:rsid w:val="00A11D25"/>
    <w:rsid w:val="00A121B9"/>
    <w:rsid w:val="00A1297A"/>
    <w:rsid w:val="00A12B31"/>
    <w:rsid w:val="00A133C9"/>
    <w:rsid w:val="00A13EDC"/>
    <w:rsid w:val="00A1440C"/>
    <w:rsid w:val="00A145E0"/>
    <w:rsid w:val="00A14902"/>
    <w:rsid w:val="00A1526B"/>
    <w:rsid w:val="00A16A8D"/>
    <w:rsid w:val="00A20227"/>
    <w:rsid w:val="00A2223D"/>
    <w:rsid w:val="00A22669"/>
    <w:rsid w:val="00A22B46"/>
    <w:rsid w:val="00A23B6F"/>
    <w:rsid w:val="00A23C7E"/>
    <w:rsid w:val="00A2470C"/>
    <w:rsid w:val="00A2489E"/>
    <w:rsid w:val="00A25A4F"/>
    <w:rsid w:val="00A26757"/>
    <w:rsid w:val="00A26791"/>
    <w:rsid w:val="00A26F4B"/>
    <w:rsid w:val="00A271FE"/>
    <w:rsid w:val="00A31070"/>
    <w:rsid w:val="00A3122F"/>
    <w:rsid w:val="00A31852"/>
    <w:rsid w:val="00A3186D"/>
    <w:rsid w:val="00A3331B"/>
    <w:rsid w:val="00A3340F"/>
    <w:rsid w:val="00A33876"/>
    <w:rsid w:val="00A33C58"/>
    <w:rsid w:val="00A33F02"/>
    <w:rsid w:val="00A34884"/>
    <w:rsid w:val="00A34C94"/>
    <w:rsid w:val="00A353B2"/>
    <w:rsid w:val="00A35E04"/>
    <w:rsid w:val="00A37000"/>
    <w:rsid w:val="00A37CFF"/>
    <w:rsid w:val="00A4256D"/>
    <w:rsid w:val="00A4279D"/>
    <w:rsid w:val="00A4284A"/>
    <w:rsid w:val="00A43ADF"/>
    <w:rsid w:val="00A446EB"/>
    <w:rsid w:val="00A45B3E"/>
    <w:rsid w:val="00A45E99"/>
    <w:rsid w:val="00A46BB0"/>
    <w:rsid w:val="00A502C1"/>
    <w:rsid w:val="00A50C70"/>
    <w:rsid w:val="00A50C78"/>
    <w:rsid w:val="00A5190D"/>
    <w:rsid w:val="00A53300"/>
    <w:rsid w:val="00A54470"/>
    <w:rsid w:val="00A544BF"/>
    <w:rsid w:val="00A55107"/>
    <w:rsid w:val="00A5565F"/>
    <w:rsid w:val="00A56CC6"/>
    <w:rsid w:val="00A56CEC"/>
    <w:rsid w:val="00A57413"/>
    <w:rsid w:val="00A61C87"/>
    <w:rsid w:val="00A61D57"/>
    <w:rsid w:val="00A6319A"/>
    <w:rsid w:val="00A6437E"/>
    <w:rsid w:val="00A643A6"/>
    <w:rsid w:val="00A6486D"/>
    <w:rsid w:val="00A65177"/>
    <w:rsid w:val="00A66AE9"/>
    <w:rsid w:val="00A66FCF"/>
    <w:rsid w:val="00A66FE1"/>
    <w:rsid w:val="00A6754C"/>
    <w:rsid w:val="00A679A3"/>
    <w:rsid w:val="00A71B33"/>
    <w:rsid w:val="00A7299E"/>
    <w:rsid w:val="00A73D41"/>
    <w:rsid w:val="00A73D84"/>
    <w:rsid w:val="00A73E82"/>
    <w:rsid w:val="00A741ED"/>
    <w:rsid w:val="00A74FF7"/>
    <w:rsid w:val="00A750FC"/>
    <w:rsid w:val="00A75507"/>
    <w:rsid w:val="00A759CE"/>
    <w:rsid w:val="00A77BF4"/>
    <w:rsid w:val="00A80B9E"/>
    <w:rsid w:val="00A8147E"/>
    <w:rsid w:val="00A816C5"/>
    <w:rsid w:val="00A83975"/>
    <w:rsid w:val="00A84ED1"/>
    <w:rsid w:val="00A862D4"/>
    <w:rsid w:val="00A90420"/>
    <w:rsid w:val="00A90AB7"/>
    <w:rsid w:val="00A91497"/>
    <w:rsid w:val="00A920C0"/>
    <w:rsid w:val="00A92CEC"/>
    <w:rsid w:val="00A93C7D"/>
    <w:rsid w:val="00A940F7"/>
    <w:rsid w:val="00A94434"/>
    <w:rsid w:val="00A949F2"/>
    <w:rsid w:val="00A95579"/>
    <w:rsid w:val="00A958BF"/>
    <w:rsid w:val="00A95CDB"/>
    <w:rsid w:val="00A96A41"/>
    <w:rsid w:val="00A96CC2"/>
    <w:rsid w:val="00A96F6B"/>
    <w:rsid w:val="00A972A2"/>
    <w:rsid w:val="00A97B94"/>
    <w:rsid w:val="00AA0037"/>
    <w:rsid w:val="00AA0D4B"/>
    <w:rsid w:val="00AA13D6"/>
    <w:rsid w:val="00AA1671"/>
    <w:rsid w:val="00AA1FC7"/>
    <w:rsid w:val="00AA2362"/>
    <w:rsid w:val="00AA4D33"/>
    <w:rsid w:val="00AA4EDB"/>
    <w:rsid w:val="00AA5CD4"/>
    <w:rsid w:val="00AA6B44"/>
    <w:rsid w:val="00AA713B"/>
    <w:rsid w:val="00AA75E0"/>
    <w:rsid w:val="00AB18ED"/>
    <w:rsid w:val="00AB298A"/>
    <w:rsid w:val="00AB4E24"/>
    <w:rsid w:val="00AB5934"/>
    <w:rsid w:val="00AB5F7C"/>
    <w:rsid w:val="00AB6DA1"/>
    <w:rsid w:val="00AB6F22"/>
    <w:rsid w:val="00AC08D7"/>
    <w:rsid w:val="00AC158B"/>
    <w:rsid w:val="00AC17BD"/>
    <w:rsid w:val="00AC38BA"/>
    <w:rsid w:val="00AC38D4"/>
    <w:rsid w:val="00AC45CC"/>
    <w:rsid w:val="00AC479B"/>
    <w:rsid w:val="00AC4C27"/>
    <w:rsid w:val="00AC55DC"/>
    <w:rsid w:val="00AC587D"/>
    <w:rsid w:val="00AD0848"/>
    <w:rsid w:val="00AD0C61"/>
    <w:rsid w:val="00AD12C7"/>
    <w:rsid w:val="00AD1981"/>
    <w:rsid w:val="00AD1AAC"/>
    <w:rsid w:val="00AD1F66"/>
    <w:rsid w:val="00AD2342"/>
    <w:rsid w:val="00AD305E"/>
    <w:rsid w:val="00AD4266"/>
    <w:rsid w:val="00AD46A6"/>
    <w:rsid w:val="00AD4989"/>
    <w:rsid w:val="00AD5BCC"/>
    <w:rsid w:val="00AD7613"/>
    <w:rsid w:val="00AE03EA"/>
    <w:rsid w:val="00AE1139"/>
    <w:rsid w:val="00AE23B3"/>
    <w:rsid w:val="00AE2EFA"/>
    <w:rsid w:val="00AE2FF0"/>
    <w:rsid w:val="00AE39BB"/>
    <w:rsid w:val="00AE5864"/>
    <w:rsid w:val="00AE5B98"/>
    <w:rsid w:val="00AE60B0"/>
    <w:rsid w:val="00AE6571"/>
    <w:rsid w:val="00AE6941"/>
    <w:rsid w:val="00AE6B91"/>
    <w:rsid w:val="00AF18FB"/>
    <w:rsid w:val="00AF2A48"/>
    <w:rsid w:val="00AF3D41"/>
    <w:rsid w:val="00AF3FC5"/>
    <w:rsid w:val="00AF4386"/>
    <w:rsid w:val="00AF4521"/>
    <w:rsid w:val="00AF5213"/>
    <w:rsid w:val="00AF547E"/>
    <w:rsid w:val="00AF5E3C"/>
    <w:rsid w:val="00AF618A"/>
    <w:rsid w:val="00B00FCB"/>
    <w:rsid w:val="00B02C8F"/>
    <w:rsid w:val="00B03732"/>
    <w:rsid w:val="00B037B3"/>
    <w:rsid w:val="00B03D7A"/>
    <w:rsid w:val="00B0528E"/>
    <w:rsid w:val="00B05BDA"/>
    <w:rsid w:val="00B105FF"/>
    <w:rsid w:val="00B1075F"/>
    <w:rsid w:val="00B11A1E"/>
    <w:rsid w:val="00B12FBF"/>
    <w:rsid w:val="00B14091"/>
    <w:rsid w:val="00B1523C"/>
    <w:rsid w:val="00B167EC"/>
    <w:rsid w:val="00B16C90"/>
    <w:rsid w:val="00B17203"/>
    <w:rsid w:val="00B1740D"/>
    <w:rsid w:val="00B1790F"/>
    <w:rsid w:val="00B224A3"/>
    <w:rsid w:val="00B236C4"/>
    <w:rsid w:val="00B2497D"/>
    <w:rsid w:val="00B24D2E"/>
    <w:rsid w:val="00B26A88"/>
    <w:rsid w:val="00B2711A"/>
    <w:rsid w:val="00B30A61"/>
    <w:rsid w:val="00B30B2D"/>
    <w:rsid w:val="00B3144F"/>
    <w:rsid w:val="00B32B65"/>
    <w:rsid w:val="00B33CAF"/>
    <w:rsid w:val="00B34004"/>
    <w:rsid w:val="00B34018"/>
    <w:rsid w:val="00B3467C"/>
    <w:rsid w:val="00B34CF7"/>
    <w:rsid w:val="00B367A4"/>
    <w:rsid w:val="00B36A0C"/>
    <w:rsid w:val="00B37D4D"/>
    <w:rsid w:val="00B40713"/>
    <w:rsid w:val="00B40992"/>
    <w:rsid w:val="00B41FAD"/>
    <w:rsid w:val="00B42FF8"/>
    <w:rsid w:val="00B4348C"/>
    <w:rsid w:val="00B45268"/>
    <w:rsid w:val="00B47CEF"/>
    <w:rsid w:val="00B5018F"/>
    <w:rsid w:val="00B5090D"/>
    <w:rsid w:val="00B523C6"/>
    <w:rsid w:val="00B528EE"/>
    <w:rsid w:val="00B548F1"/>
    <w:rsid w:val="00B54D2A"/>
    <w:rsid w:val="00B552F9"/>
    <w:rsid w:val="00B559ED"/>
    <w:rsid w:val="00B5765E"/>
    <w:rsid w:val="00B5766F"/>
    <w:rsid w:val="00B57D16"/>
    <w:rsid w:val="00B608E3"/>
    <w:rsid w:val="00B634BE"/>
    <w:rsid w:val="00B644AC"/>
    <w:rsid w:val="00B659AD"/>
    <w:rsid w:val="00B67D3A"/>
    <w:rsid w:val="00B71372"/>
    <w:rsid w:val="00B7363C"/>
    <w:rsid w:val="00B73B46"/>
    <w:rsid w:val="00B744B1"/>
    <w:rsid w:val="00B763BA"/>
    <w:rsid w:val="00B768E3"/>
    <w:rsid w:val="00B777C5"/>
    <w:rsid w:val="00B7780F"/>
    <w:rsid w:val="00B80513"/>
    <w:rsid w:val="00B80F95"/>
    <w:rsid w:val="00B842BD"/>
    <w:rsid w:val="00B8585E"/>
    <w:rsid w:val="00B86C60"/>
    <w:rsid w:val="00B86DA0"/>
    <w:rsid w:val="00B87CBA"/>
    <w:rsid w:val="00B90DB7"/>
    <w:rsid w:val="00B9172D"/>
    <w:rsid w:val="00B918CB"/>
    <w:rsid w:val="00B92E1B"/>
    <w:rsid w:val="00B93157"/>
    <w:rsid w:val="00B935D1"/>
    <w:rsid w:val="00B93A4F"/>
    <w:rsid w:val="00B94440"/>
    <w:rsid w:val="00B945BD"/>
    <w:rsid w:val="00B950E7"/>
    <w:rsid w:val="00B962D1"/>
    <w:rsid w:val="00B96358"/>
    <w:rsid w:val="00B9725D"/>
    <w:rsid w:val="00B97360"/>
    <w:rsid w:val="00BA0F62"/>
    <w:rsid w:val="00BA1D25"/>
    <w:rsid w:val="00BA2D97"/>
    <w:rsid w:val="00BA2EFF"/>
    <w:rsid w:val="00BA321F"/>
    <w:rsid w:val="00BA3448"/>
    <w:rsid w:val="00BA3B06"/>
    <w:rsid w:val="00BA4DCB"/>
    <w:rsid w:val="00BA5271"/>
    <w:rsid w:val="00BA53F7"/>
    <w:rsid w:val="00BA5694"/>
    <w:rsid w:val="00BA697C"/>
    <w:rsid w:val="00BA69AC"/>
    <w:rsid w:val="00BA70FF"/>
    <w:rsid w:val="00BA7B97"/>
    <w:rsid w:val="00BA7F5F"/>
    <w:rsid w:val="00BB06B2"/>
    <w:rsid w:val="00BB1C44"/>
    <w:rsid w:val="00BB1E9D"/>
    <w:rsid w:val="00BB298F"/>
    <w:rsid w:val="00BB3A43"/>
    <w:rsid w:val="00BB5497"/>
    <w:rsid w:val="00BB5BE1"/>
    <w:rsid w:val="00BC1376"/>
    <w:rsid w:val="00BC161F"/>
    <w:rsid w:val="00BC17FC"/>
    <w:rsid w:val="00BC2BBF"/>
    <w:rsid w:val="00BC3843"/>
    <w:rsid w:val="00BC3BFD"/>
    <w:rsid w:val="00BC4618"/>
    <w:rsid w:val="00BC4DFE"/>
    <w:rsid w:val="00BC5C71"/>
    <w:rsid w:val="00BC66A7"/>
    <w:rsid w:val="00BC6766"/>
    <w:rsid w:val="00BC6864"/>
    <w:rsid w:val="00BC6D26"/>
    <w:rsid w:val="00BD07E6"/>
    <w:rsid w:val="00BD106B"/>
    <w:rsid w:val="00BD158F"/>
    <w:rsid w:val="00BD1AB7"/>
    <w:rsid w:val="00BD3B72"/>
    <w:rsid w:val="00BD3C3F"/>
    <w:rsid w:val="00BD4043"/>
    <w:rsid w:val="00BD41D8"/>
    <w:rsid w:val="00BD51E3"/>
    <w:rsid w:val="00BD695E"/>
    <w:rsid w:val="00BD7341"/>
    <w:rsid w:val="00BE071D"/>
    <w:rsid w:val="00BE13DE"/>
    <w:rsid w:val="00BE1C6A"/>
    <w:rsid w:val="00BE3380"/>
    <w:rsid w:val="00BE5FC6"/>
    <w:rsid w:val="00BE745E"/>
    <w:rsid w:val="00BE7B5D"/>
    <w:rsid w:val="00BE7BF4"/>
    <w:rsid w:val="00BF1469"/>
    <w:rsid w:val="00BF1D2E"/>
    <w:rsid w:val="00BF2B12"/>
    <w:rsid w:val="00BF5282"/>
    <w:rsid w:val="00BF5ECD"/>
    <w:rsid w:val="00BF73AD"/>
    <w:rsid w:val="00BF7555"/>
    <w:rsid w:val="00BF7789"/>
    <w:rsid w:val="00C0081E"/>
    <w:rsid w:val="00C0215A"/>
    <w:rsid w:val="00C03300"/>
    <w:rsid w:val="00C038C3"/>
    <w:rsid w:val="00C0486F"/>
    <w:rsid w:val="00C05551"/>
    <w:rsid w:val="00C05CC5"/>
    <w:rsid w:val="00C05F8C"/>
    <w:rsid w:val="00C06975"/>
    <w:rsid w:val="00C06C3C"/>
    <w:rsid w:val="00C07534"/>
    <w:rsid w:val="00C07BD9"/>
    <w:rsid w:val="00C10FB3"/>
    <w:rsid w:val="00C12195"/>
    <w:rsid w:val="00C12302"/>
    <w:rsid w:val="00C125EC"/>
    <w:rsid w:val="00C13EB2"/>
    <w:rsid w:val="00C1510C"/>
    <w:rsid w:val="00C16649"/>
    <w:rsid w:val="00C16F35"/>
    <w:rsid w:val="00C1760A"/>
    <w:rsid w:val="00C17E58"/>
    <w:rsid w:val="00C21331"/>
    <w:rsid w:val="00C2286A"/>
    <w:rsid w:val="00C236EF"/>
    <w:rsid w:val="00C24495"/>
    <w:rsid w:val="00C249A1"/>
    <w:rsid w:val="00C25B75"/>
    <w:rsid w:val="00C2624B"/>
    <w:rsid w:val="00C26E33"/>
    <w:rsid w:val="00C276ED"/>
    <w:rsid w:val="00C30088"/>
    <w:rsid w:val="00C3264B"/>
    <w:rsid w:val="00C32E14"/>
    <w:rsid w:val="00C3315D"/>
    <w:rsid w:val="00C3336E"/>
    <w:rsid w:val="00C3452E"/>
    <w:rsid w:val="00C34A11"/>
    <w:rsid w:val="00C378EA"/>
    <w:rsid w:val="00C4139B"/>
    <w:rsid w:val="00C41418"/>
    <w:rsid w:val="00C41483"/>
    <w:rsid w:val="00C41D1D"/>
    <w:rsid w:val="00C429D1"/>
    <w:rsid w:val="00C42ABC"/>
    <w:rsid w:val="00C431E1"/>
    <w:rsid w:val="00C43994"/>
    <w:rsid w:val="00C43D50"/>
    <w:rsid w:val="00C453EF"/>
    <w:rsid w:val="00C45EEA"/>
    <w:rsid w:val="00C462E2"/>
    <w:rsid w:val="00C476A1"/>
    <w:rsid w:val="00C50A15"/>
    <w:rsid w:val="00C50B7A"/>
    <w:rsid w:val="00C519E0"/>
    <w:rsid w:val="00C51F50"/>
    <w:rsid w:val="00C526F3"/>
    <w:rsid w:val="00C52EBC"/>
    <w:rsid w:val="00C54081"/>
    <w:rsid w:val="00C5440C"/>
    <w:rsid w:val="00C54A56"/>
    <w:rsid w:val="00C55257"/>
    <w:rsid w:val="00C55315"/>
    <w:rsid w:val="00C56AA0"/>
    <w:rsid w:val="00C575C0"/>
    <w:rsid w:val="00C57657"/>
    <w:rsid w:val="00C576F7"/>
    <w:rsid w:val="00C6077D"/>
    <w:rsid w:val="00C608E7"/>
    <w:rsid w:val="00C60D7E"/>
    <w:rsid w:val="00C63FB1"/>
    <w:rsid w:val="00C64973"/>
    <w:rsid w:val="00C64DAD"/>
    <w:rsid w:val="00C65425"/>
    <w:rsid w:val="00C66C68"/>
    <w:rsid w:val="00C67887"/>
    <w:rsid w:val="00C67CCD"/>
    <w:rsid w:val="00C70436"/>
    <w:rsid w:val="00C72416"/>
    <w:rsid w:val="00C727D7"/>
    <w:rsid w:val="00C727DE"/>
    <w:rsid w:val="00C73B61"/>
    <w:rsid w:val="00C75206"/>
    <w:rsid w:val="00C75506"/>
    <w:rsid w:val="00C76FB9"/>
    <w:rsid w:val="00C77D33"/>
    <w:rsid w:val="00C8018B"/>
    <w:rsid w:val="00C82D92"/>
    <w:rsid w:val="00C833C0"/>
    <w:rsid w:val="00C8393E"/>
    <w:rsid w:val="00C84934"/>
    <w:rsid w:val="00C851A1"/>
    <w:rsid w:val="00C86083"/>
    <w:rsid w:val="00C862D0"/>
    <w:rsid w:val="00C8637E"/>
    <w:rsid w:val="00C87D90"/>
    <w:rsid w:val="00C90234"/>
    <w:rsid w:val="00C915AB"/>
    <w:rsid w:val="00C91821"/>
    <w:rsid w:val="00C92000"/>
    <w:rsid w:val="00C92434"/>
    <w:rsid w:val="00C9284A"/>
    <w:rsid w:val="00C92909"/>
    <w:rsid w:val="00C9298D"/>
    <w:rsid w:val="00C944C3"/>
    <w:rsid w:val="00C951BE"/>
    <w:rsid w:val="00C955CA"/>
    <w:rsid w:val="00C95A23"/>
    <w:rsid w:val="00C95BBA"/>
    <w:rsid w:val="00C95EED"/>
    <w:rsid w:val="00C96AE8"/>
    <w:rsid w:val="00C97D2A"/>
    <w:rsid w:val="00CA0567"/>
    <w:rsid w:val="00CA07A6"/>
    <w:rsid w:val="00CA0DE2"/>
    <w:rsid w:val="00CA32E8"/>
    <w:rsid w:val="00CA3432"/>
    <w:rsid w:val="00CA3A5F"/>
    <w:rsid w:val="00CA4551"/>
    <w:rsid w:val="00CA48A8"/>
    <w:rsid w:val="00CA491A"/>
    <w:rsid w:val="00CA52C2"/>
    <w:rsid w:val="00CA57FE"/>
    <w:rsid w:val="00CA5FF9"/>
    <w:rsid w:val="00CA6A35"/>
    <w:rsid w:val="00CA6B12"/>
    <w:rsid w:val="00CA7F28"/>
    <w:rsid w:val="00CB197F"/>
    <w:rsid w:val="00CB2441"/>
    <w:rsid w:val="00CB3650"/>
    <w:rsid w:val="00CB3CFA"/>
    <w:rsid w:val="00CB4FBC"/>
    <w:rsid w:val="00CB5349"/>
    <w:rsid w:val="00CB69A1"/>
    <w:rsid w:val="00CB6FF5"/>
    <w:rsid w:val="00CC0369"/>
    <w:rsid w:val="00CC0460"/>
    <w:rsid w:val="00CC1C82"/>
    <w:rsid w:val="00CC2C6C"/>
    <w:rsid w:val="00CC362C"/>
    <w:rsid w:val="00CC4614"/>
    <w:rsid w:val="00CC4B2D"/>
    <w:rsid w:val="00CC69C6"/>
    <w:rsid w:val="00CC6CD1"/>
    <w:rsid w:val="00CC707A"/>
    <w:rsid w:val="00CD083C"/>
    <w:rsid w:val="00CD0B3C"/>
    <w:rsid w:val="00CD115C"/>
    <w:rsid w:val="00CD18D1"/>
    <w:rsid w:val="00CD38FC"/>
    <w:rsid w:val="00CD4002"/>
    <w:rsid w:val="00CD4266"/>
    <w:rsid w:val="00CD6AA7"/>
    <w:rsid w:val="00CD7A53"/>
    <w:rsid w:val="00CE0269"/>
    <w:rsid w:val="00CE0F9C"/>
    <w:rsid w:val="00CE1065"/>
    <w:rsid w:val="00CE21A1"/>
    <w:rsid w:val="00CE24F2"/>
    <w:rsid w:val="00CE3EF7"/>
    <w:rsid w:val="00CE4272"/>
    <w:rsid w:val="00CE5A9D"/>
    <w:rsid w:val="00CE658F"/>
    <w:rsid w:val="00CE70D7"/>
    <w:rsid w:val="00CF033F"/>
    <w:rsid w:val="00CF092E"/>
    <w:rsid w:val="00CF0EA4"/>
    <w:rsid w:val="00CF166C"/>
    <w:rsid w:val="00CF1721"/>
    <w:rsid w:val="00CF233C"/>
    <w:rsid w:val="00CF23E8"/>
    <w:rsid w:val="00CF3899"/>
    <w:rsid w:val="00CF4F16"/>
    <w:rsid w:val="00CF5C72"/>
    <w:rsid w:val="00CF5D66"/>
    <w:rsid w:val="00CF62EB"/>
    <w:rsid w:val="00CF7665"/>
    <w:rsid w:val="00D013DF"/>
    <w:rsid w:val="00D02121"/>
    <w:rsid w:val="00D027B0"/>
    <w:rsid w:val="00D034BD"/>
    <w:rsid w:val="00D03510"/>
    <w:rsid w:val="00D04CEE"/>
    <w:rsid w:val="00D05E0F"/>
    <w:rsid w:val="00D06544"/>
    <w:rsid w:val="00D06740"/>
    <w:rsid w:val="00D06868"/>
    <w:rsid w:val="00D06F9D"/>
    <w:rsid w:val="00D07080"/>
    <w:rsid w:val="00D07B9D"/>
    <w:rsid w:val="00D1069D"/>
    <w:rsid w:val="00D10BA0"/>
    <w:rsid w:val="00D113F4"/>
    <w:rsid w:val="00D1198D"/>
    <w:rsid w:val="00D11D12"/>
    <w:rsid w:val="00D11D35"/>
    <w:rsid w:val="00D13128"/>
    <w:rsid w:val="00D145CD"/>
    <w:rsid w:val="00D14813"/>
    <w:rsid w:val="00D153EF"/>
    <w:rsid w:val="00D20496"/>
    <w:rsid w:val="00D209DF"/>
    <w:rsid w:val="00D20C92"/>
    <w:rsid w:val="00D212CB"/>
    <w:rsid w:val="00D2196B"/>
    <w:rsid w:val="00D21CE1"/>
    <w:rsid w:val="00D2244F"/>
    <w:rsid w:val="00D23F42"/>
    <w:rsid w:val="00D2423A"/>
    <w:rsid w:val="00D24F6A"/>
    <w:rsid w:val="00D25159"/>
    <w:rsid w:val="00D252DD"/>
    <w:rsid w:val="00D25353"/>
    <w:rsid w:val="00D254E8"/>
    <w:rsid w:val="00D26378"/>
    <w:rsid w:val="00D26F45"/>
    <w:rsid w:val="00D275F4"/>
    <w:rsid w:val="00D27857"/>
    <w:rsid w:val="00D27AF8"/>
    <w:rsid w:val="00D30115"/>
    <w:rsid w:val="00D32054"/>
    <w:rsid w:val="00D33A1D"/>
    <w:rsid w:val="00D34369"/>
    <w:rsid w:val="00D34F13"/>
    <w:rsid w:val="00D36419"/>
    <w:rsid w:val="00D370A4"/>
    <w:rsid w:val="00D37366"/>
    <w:rsid w:val="00D4272C"/>
    <w:rsid w:val="00D43EFC"/>
    <w:rsid w:val="00D47CDE"/>
    <w:rsid w:val="00D50D9D"/>
    <w:rsid w:val="00D51C0A"/>
    <w:rsid w:val="00D54370"/>
    <w:rsid w:val="00D547CC"/>
    <w:rsid w:val="00D54A6C"/>
    <w:rsid w:val="00D55B59"/>
    <w:rsid w:val="00D567AE"/>
    <w:rsid w:val="00D56CCF"/>
    <w:rsid w:val="00D56EF0"/>
    <w:rsid w:val="00D617D4"/>
    <w:rsid w:val="00D6240F"/>
    <w:rsid w:val="00D62429"/>
    <w:rsid w:val="00D626D7"/>
    <w:rsid w:val="00D6278E"/>
    <w:rsid w:val="00D62C29"/>
    <w:rsid w:val="00D65B4A"/>
    <w:rsid w:val="00D670E0"/>
    <w:rsid w:val="00D671E3"/>
    <w:rsid w:val="00D70635"/>
    <w:rsid w:val="00D71227"/>
    <w:rsid w:val="00D71E1A"/>
    <w:rsid w:val="00D726F3"/>
    <w:rsid w:val="00D750D9"/>
    <w:rsid w:val="00D76303"/>
    <w:rsid w:val="00D7761B"/>
    <w:rsid w:val="00D779A4"/>
    <w:rsid w:val="00D801C3"/>
    <w:rsid w:val="00D808E1"/>
    <w:rsid w:val="00D81E19"/>
    <w:rsid w:val="00D8235A"/>
    <w:rsid w:val="00D824CD"/>
    <w:rsid w:val="00D825B7"/>
    <w:rsid w:val="00D8424D"/>
    <w:rsid w:val="00D84D12"/>
    <w:rsid w:val="00D85C4F"/>
    <w:rsid w:val="00D86AC4"/>
    <w:rsid w:val="00D8740F"/>
    <w:rsid w:val="00D87AF1"/>
    <w:rsid w:val="00D912B6"/>
    <w:rsid w:val="00D91F15"/>
    <w:rsid w:val="00D91F89"/>
    <w:rsid w:val="00D9212E"/>
    <w:rsid w:val="00D9231C"/>
    <w:rsid w:val="00D92FBF"/>
    <w:rsid w:val="00D93171"/>
    <w:rsid w:val="00D937E4"/>
    <w:rsid w:val="00D93B5C"/>
    <w:rsid w:val="00D93B66"/>
    <w:rsid w:val="00D94583"/>
    <w:rsid w:val="00D95AE2"/>
    <w:rsid w:val="00D961E0"/>
    <w:rsid w:val="00D974C1"/>
    <w:rsid w:val="00DA06A8"/>
    <w:rsid w:val="00DA0A8C"/>
    <w:rsid w:val="00DA0D8E"/>
    <w:rsid w:val="00DA19E2"/>
    <w:rsid w:val="00DA2A25"/>
    <w:rsid w:val="00DA35C7"/>
    <w:rsid w:val="00DA3D1A"/>
    <w:rsid w:val="00DA400C"/>
    <w:rsid w:val="00DA42F4"/>
    <w:rsid w:val="00DA4912"/>
    <w:rsid w:val="00DA51E9"/>
    <w:rsid w:val="00DA5756"/>
    <w:rsid w:val="00DA5EB4"/>
    <w:rsid w:val="00DA64F8"/>
    <w:rsid w:val="00DA717F"/>
    <w:rsid w:val="00DA794A"/>
    <w:rsid w:val="00DA7C1D"/>
    <w:rsid w:val="00DB0CCA"/>
    <w:rsid w:val="00DB123D"/>
    <w:rsid w:val="00DB16EE"/>
    <w:rsid w:val="00DB2F87"/>
    <w:rsid w:val="00DB2FCD"/>
    <w:rsid w:val="00DB3515"/>
    <w:rsid w:val="00DB3F61"/>
    <w:rsid w:val="00DB4B21"/>
    <w:rsid w:val="00DB5111"/>
    <w:rsid w:val="00DB5EA3"/>
    <w:rsid w:val="00DB6000"/>
    <w:rsid w:val="00DB60C0"/>
    <w:rsid w:val="00DB60FC"/>
    <w:rsid w:val="00DB76E1"/>
    <w:rsid w:val="00DC0580"/>
    <w:rsid w:val="00DC13CB"/>
    <w:rsid w:val="00DC154A"/>
    <w:rsid w:val="00DC1905"/>
    <w:rsid w:val="00DC2DF8"/>
    <w:rsid w:val="00DC399E"/>
    <w:rsid w:val="00DC4004"/>
    <w:rsid w:val="00DC481D"/>
    <w:rsid w:val="00DC4A5B"/>
    <w:rsid w:val="00DC5EBC"/>
    <w:rsid w:val="00DC5FE8"/>
    <w:rsid w:val="00DC6CB9"/>
    <w:rsid w:val="00DD1FD4"/>
    <w:rsid w:val="00DD6081"/>
    <w:rsid w:val="00DE0F3A"/>
    <w:rsid w:val="00DE15A1"/>
    <w:rsid w:val="00DE1B7A"/>
    <w:rsid w:val="00DE2436"/>
    <w:rsid w:val="00DE244B"/>
    <w:rsid w:val="00DE2B00"/>
    <w:rsid w:val="00DE2CF5"/>
    <w:rsid w:val="00DE3868"/>
    <w:rsid w:val="00DE397F"/>
    <w:rsid w:val="00DE450E"/>
    <w:rsid w:val="00DE6771"/>
    <w:rsid w:val="00DE74ED"/>
    <w:rsid w:val="00DF1875"/>
    <w:rsid w:val="00DF2C50"/>
    <w:rsid w:val="00DF302E"/>
    <w:rsid w:val="00DF4B5F"/>
    <w:rsid w:val="00DF4BEA"/>
    <w:rsid w:val="00DF5499"/>
    <w:rsid w:val="00DF59E8"/>
    <w:rsid w:val="00DF728C"/>
    <w:rsid w:val="00DF74AA"/>
    <w:rsid w:val="00DF754D"/>
    <w:rsid w:val="00E001F8"/>
    <w:rsid w:val="00E0029C"/>
    <w:rsid w:val="00E00FCB"/>
    <w:rsid w:val="00E01A7C"/>
    <w:rsid w:val="00E01AA4"/>
    <w:rsid w:val="00E01B10"/>
    <w:rsid w:val="00E03757"/>
    <w:rsid w:val="00E03FDF"/>
    <w:rsid w:val="00E04213"/>
    <w:rsid w:val="00E063CF"/>
    <w:rsid w:val="00E072CF"/>
    <w:rsid w:val="00E07709"/>
    <w:rsid w:val="00E10D74"/>
    <w:rsid w:val="00E1148C"/>
    <w:rsid w:val="00E128B9"/>
    <w:rsid w:val="00E12AF0"/>
    <w:rsid w:val="00E162CE"/>
    <w:rsid w:val="00E16976"/>
    <w:rsid w:val="00E174F4"/>
    <w:rsid w:val="00E20740"/>
    <w:rsid w:val="00E213FE"/>
    <w:rsid w:val="00E21C25"/>
    <w:rsid w:val="00E22C92"/>
    <w:rsid w:val="00E2331D"/>
    <w:rsid w:val="00E2439B"/>
    <w:rsid w:val="00E24E1D"/>
    <w:rsid w:val="00E26B49"/>
    <w:rsid w:val="00E308C4"/>
    <w:rsid w:val="00E30AE1"/>
    <w:rsid w:val="00E32814"/>
    <w:rsid w:val="00E32B7F"/>
    <w:rsid w:val="00E3305A"/>
    <w:rsid w:val="00E330A3"/>
    <w:rsid w:val="00E33191"/>
    <w:rsid w:val="00E335E5"/>
    <w:rsid w:val="00E336E7"/>
    <w:rsid w:val="00E3673B"/>
    <w:rsid w:val="00E37BD7"/>
    <w:rsid w:val="00E37EBF"/>
    <w:rsid w:val="00E401BB"/>
    <w:rsid w:val="00E4276D"/>
    <w:rsid w:val="00E435FA"/>
    <w:rsid w:val="00E4507C"/>
    <w:rsid w:val="00E452CD"/>
    <w:rsid w:val="00E45911"/>
    <w:rsid w:val="00E45B3E"/>
    <w:rsid w:val="00E474ED"/>
    <w:rsid w:val="00E514FB"/>
    <w:rsid w:val="00E53658"/>
    <w:rsid w:val="00E53E44"/>
    <w:rsid w:val="00E54B56"/>
    <w:rsid w:val="00E54FCE"/>
    <w:rsid w:val="00E55045"/>
    <w:rsid w:val="00E55510"/>
    <w:rsid w:val="00E55F98"/>
    <w:rsid w:val="00E565D1"/>
    <w:rsid w:val="00E57190"/>
    <w:rsid w:val="00E612EE"/>
    <w:rsid w:val="00E61D59"/>
    <w:rsid w:val="00E6288A"/>
    <w:rsid w:val="00E64275"/>
    <w:rsid w:val="00E64C70"/>
    <w:rsid w:val="00E65A14"/>
    <w:rsid w:val="00E66776"/>
    <w:rsid w:val="00E672E4"/>
    <w:rsid w:val="00E67674"/>
    <w:rsid w:val="00E67A2D"/>
    <w:rsid w:val="00E70457"/>
    <w:rsid w:val="00E70BA2"/>
    <w:rsid w:val="00E71392"/>
    <w:rsid w:val="00E72782"/>
    <w:rsid w:val="00E72909"/>
    <w:rsid w:val="00E74553"/>
    <w:rsid w:val="00E7558C"/>
    <w:rsid w:val="00E75A01"/>
    <w:rsid w:val="00E76C9F"/>
    <w:rsid w:val="00E76E7A"/>
    <w:rsid w:val="00E81083"/>
    <w:rsid w:val="00E816EE"/>
    <w:rsid w:val="00E82DE3"/>
    <w:rsid w:val="00E848A0"/>
    <w:rsid w:val="00E84D9A"/>
    <w:rsid w:val="00E84F9C"/>
    <w:rsid w:val="00E85F71"/>
    <w:rsid w:val="00E901A0"/>
    <w:rsid w:val="00E914EB"/>
    <w:rsid w:val="00E927C2"/>
    <w:rsid w:val="00E92E81"/>
    <w:rsid w:val="00E94F3F"/>
    <w:rsid w:val="00E95AE3"/>
    <w:rsid w:val="00E96FE0"/>
    <w:rsid w:val="00E971DC"/>
    <w:rsid w:val="00EA2C56"/>
    <w:rsid w:val="00EA3048"/>
    <w:rsid w:val="00EA383D"/>
    <w:rsid w:val="00EA5F75"/>
    <w:rsid w:val="00EA62A2"/>
    <w:rsid w:val="00EA65E0"/>
    <w:rsid w:val="00EA6DED"/>
    <w:rsid w:val="00EA72AC"/>
    <w:rsid w:val="00EA76DB"/>
    <w:rsid w:val="00EB0289"/>
    <w:rsid w:val="00EB0A2A"/>
    <w:rsid w:val="00EB230B"/>
    <w:rsid w:val="00EB25C6"/>
    <w:rsid w:val="00EB3069"/>
    <w:rsid w:val="00EB3CCA"/>
    <w:rsid w:val="00EB4052"/>
    <w:rsid w:val="00EB4C0F"/>
    <w:rsid w:val="00EB4E73"/>
    <w:rsid w:val="00EB5761"/>
    <w:rsid w:val="00EB5F09"/>
    <w:rsid w:val="00EB6246"/>
    <w:rsid w:val="00EC2049"/>
    <w:rsid w:val="00EC2758"/>
    <w:rsid w:val="00EC3580"/>
    <w:rsid w:val="00EC3A7F"/>
    <w:rsid w:val="00EC40CD"/>
    <w:rsid w:val="00EC469F"/>
    <w:rsid w:val="00EC4939"/>
    <w:rsid w:val="00EC4F42"/>
    <w:rsid w:val="00EC6B7B"/>
    <w:rsid w:val="00EC6EFF"/>
    <w:rsid w:val="00EC7FC3"/>
    <w:rsid w:val="00ED09C2"/>
    <w:rsid w:val="00ED2653"/>
    <w:rsid w:val="00ED41AF"/>
    <w:rsid w:val="00ED7198"/>
    <w:rsid w:val="00EE1492"/>
    <w:rsid w:val="00EE2AD9"/>
    <w:rsid w:val="00EE2B09"/>
    <w:rsid w:val="00EE49EA"/>
    <w:rsid w:val="00EE5469"/>
    <w:rsid w:val="00EE5DB4"/>
    <w:rsid w:val="00EE72BD"/>
    <w:rsid w:val="00EE73E3"/>
    <w:rsid w:val="00EE746A"/>
    <w:rsid w:val="00EE7F35"/>
    <w:rsid w:val="00EF15A7"/>
    <w:rsid w:val="00EF164F"/>
    <w:rsid w:val="00EF2154"/>
    <w:rsid w:val="00EF25F7"/>
    <w:rsid w:val="00EF3D91"/>
    <w:rsid w:val="00EF4E14"/>
    <w:rsid w:val="00EF546C"/>
    <w:rsid w:val="00EF5A4E"/>
    <w:rsid w:val="00EF5A5D"/>
    <w:rsid w:val="00EF5AA4"/>
    <w:rsid w:val="00EF6A33"/>
    <w:rsid w:val="00EF6B9F"/>
    <w:rsid w:val="00EF712D"/>
    <w:rsid w:val="00EF733D"/>
    <w:rsid w:val="00F025A3"/>
    <w:rsid w:val="00F02754"/>
    <w:rsid w:val="00F0372C"/>
    <w:rsid w:val="00F05B79"/>
    <w:rsid w:val="00F05C70"/>
    <w:rsid w:val="00F05D51"/>
    <w:rsid w:val="00F06151"/>
    <w:rsid w:val="00F06632"/>
    <w:rsid w:val="00F073A4"/>
    <w:rsid w:val="00F073CB"/>
    <w:rsid w:val="00F07823"/>
    <w:rsid w:val="00F07EDB"/>
    <w:rsid w:val="00F106B8"/>
    <w:rsid w:val="00F1097B"/>
    <w:rsid w:val="00F115C1"/>
    <w:rsid w:val="00F13AD6"/>
    <w:rsid w:val="00F14EDD"/>
    <w:rsid w:val="00F15B51"/>
    <w:rsid w:val="00F163B4"/>
    <w:rsid w:val="00F16543"/>
    <w:rsid w:val="00F16B9C"/>
    <w:rsid w:val="00F17401"/>
    <w:rsid w:val="00F1750B"/>
    <w:rsid w:val="00F17E7D"/>
    <w:rsid w:val="00F20233"/>
    <w:rsid w:val="00F20883"/>
    <w:rsid w:val="00F23245"/>
    <w:rsid w:val="00F23C72"/>
    <w:rsid w:val="00F245DD"/>
    <w:rsid w:val="00F2467A"/>
    <w:rsid w:val="00F24772"/>
    <w:rsid w:val="00F24A3F"/>
    <w:rsid w:val="00F24DF9"/>
    <w:rsid w:val="00F251F2"/>
    <w:rsid w:val="00F252DD"/>
    <w:rsid w:val="00F26E37"/>
    <w:rsid w:val="00F308A6"/>
    <w:rsid w:val="00F3108C"/>
    <w:rsid w:val="00F31A2A"/>
    <w:rsid w:val="00F31B3C"/>
    <w:rsid w:val="00F31EF5"/>
    <w:rsid w:val="00F33503"/>
    <w:rsid w:val="00F33A9C"/>
    <w:rsid w:val="00F35D24"/>
    <w:rsid w:val="00F35F53"/>
    <w:rsid w:val="00F3789C"/>
    <w:rsid w:val="00F37A13"/>
    <w:rsid w:val="00F37C2F"/>
    <w:rsid w:val="00F400AC"/>
    <w:rsid w:val="00F40989"/>
    <w:rsid w:val="00F42253"/>
    <w:rsid w:val="00F42B60"/>
    <w:rsid w:val="00F42FF3"/>
    <w:rsid w:val="00F43620"/>
    <w:rsid w:val="00F436F4"/>
    <w:rsid w:val="00F43770"/>
    <w:rsid w:val="00F43D65"/>
    <w:rsid w:val="00F508AC"/>
    <w:rsid w:val="00F5102E"/>
    <w:rsid w:val="00F520BC"/>
    <w:rsid w:val="00F524B2"/>
    <w:rsid w:val="00F5380D"/>
    <w:rsid w:val="00F53FE8"/>
    <w:rsid w:val="00F544AB"/>
    <w:rsid w:val="00F54786"/>
    <w:rsid w:val="00F54A00"/>
    <w:rsid w:val="00F5520F"/>
    <w:rsid w:val="00F560D0"/>
    <w:rsid w:val="00F57023"/>
    <w:rsid w:val="00F57F08"/>
    <w:rsid w:val="00F57FDF"/>
    <w:rsid w:val="00F61057"/>
    <w:rsid w:val="00F61586"/>
    <w:rsid w:val="00F6187D"/>
    <w:rsid w:val="00F61980"/>
    <w:rsid w:val="00F62169"/>
    <w:rsid w:val="00F62285"/>
    <w:rsid w:val="00F6339E"/>
    <w:rsid w:val="00F6340B"/>
    <w:rsid w:val="00F64609"/>
    <w:rsid w:val="00F64827"/>
    <w:rsid w:val="00F64B12"/>
    <w:rsid w:val="00F7017F"/>
    <w:rsid w:val="00F71E52"/>
    <w:rsid w:val="00F724F8"/>
    <w:rsid w:val="00F73845"/>
    <w:rsid w:val="00F74B34"/>
    <w:rsid w:val="00F753F4"/>
    <w:rsid w:val="00F755F5"/>
    <w:rsid w:val="00F756B8"/>
    <w:rsid w:val="00F76A55"/>
    <w:rsid w:val="00F76BBD"/>
    <w:rsid w:val="00F80368"/>
    <w:rsid w:val="00F806F4"/>
    <w:rsid w:val="00F80D73"/>
    <w:rsid w:val="00F815ED"/>
    <w:rsid w:val="00F82550"/>
    <w:rsid w:val="00F826E1"/>
    <w:rsid w:val="00F83CD9"/>
    <w:rsid w:val="00F842DC"/>
    <w:rsid w:val="00F8499F"/>
    <w:rsid w:val="00F84CEB"/>
    <w:rsid w:val="00F85640"/>
    <w:rsid w:val="00F85A7E"/>
    <w:rsid w:val="00F85BB1"/>
    <w:rsid w:val="00F862B5"/>
    <w:rsid w:val="00F865C6"/>
    <w:rsid w:val="00F86994"/>
    <w:rsid w:val="00F86DA0"/>
    <w:rsid w:val="00F877BA"/>
    <w:rsid w:val="00F87861"/>
    <w:rsid w:val="00F9005E"/>
    <w:rsid w:val="00F90479"/>
    <w:rsid w:val="00F90623"/>
    <w:rsid w:val="00F92171"/>
    <w:rsid w:val="00F9377D"/>
    <w:rsid w:val="00F94EF5"/>
    <w:rsid w:val="00F95AEB"/>
    <w:rsid w:val="00F96442"/>
    <w:rsid w:val="00F97F17"/>
    <w:rsid w:val="00FA01AD"/>
    <w:rsid w:val="00FA13AC"/>
    <w:rsid w:val="00FA2842"/>
    <w:rsid w:val="00FA33DF"/>
    <w:rsid w:val="00FA3B21"/>
    <w:rsid w:val="00FA412B"/>
    <w:rsid w:val="00FA422A"/>
    <w:rsid w:val="00FA4699"/>
    <w:rsid w:val="00FA5CAD"/>
    <w:rsid w:val="00FA5E31"/>
    <w:rsid w:val="00FA5E42"/>
    <w:rsid w:val="00FA606E"/>
    <w:rsid w:val="00FA6597"/>
    <w:rsid w:val="00FA6B5D"/>
    <w:rsid w:val="00FA7A67"/>
    <w:rsid w:val="00FB048D"/>
    <w:rsid w:val="00FB3699"/>
    <w:rsid w:val="00FB401C"/>
    <w:rsid w:val="00FB4E8A"/>
    <w:rsid w:val="00FB6075"/>
    <w:rsid w:val="00FB69F7"/>
    <w:rsid w:val="00FB7F26"/>
    <w:rsid w:val="00FC18BB"/>
    <w:rsid w:val="00FC2B0D"/>
    <w:rsid w:val="00FC2D15"/>
    <w:rsid w:val="00FC4628"/>
    <w:rsid w:val="00FC4780"/>
    <w:rsid w:val="00FC4BD6"/>
    <w:rsid w:val="00FC4C40"/>
    <w:rsid w:val="00FC549D"/>
    <w:rsid w:val="00FC5538"/>
    <w:rsid w:val="00FC60AD"/>
    <w:rsid w:val="00FC7C15"/>
    <w:rsid w:val="00FC7DF8"/>
    <w:rsid w:val="00FD0BDF"/>
    <w:rsid w:val="00FD1C30"/>
    <w:rsid w:val="00FD59F2"/>
    <w:rsid w:val="00FD727C"/>
    <w:rsid w:val="00FE05C6"/>
    <w:rsid w:val="00FE1870"/>
    <w:rsid w:val="00FE1883"/>
    <w:rsid w:val="00FE2486"/>
    <w:rsid w:val="00FE26C9"/>
    <w:rsid w:val="00FE27F7"/>
    <w:rsid w:val="00FE285A"/>
    <w:rsid w:val="00FE2FCC"/>
    <w:rsid w:val="00FE30CF"/>
    <w:rsid w:val="00FE3611"/>
    <w:rsid w:val="00FE74B5"/>
    <w:rsid w:val="00FE7764"/>
    <w:rsid w:val="00FE780D"/>
    <w:rsid w:val="00FE7B1C"/>
    <w:rsid w:val="00FF11E6"/>
    <w:rsid w:val="00FF1992"/>
    <w:rsid w:val="00FF1A7A"/>
    <w:rsid w:val="00FF20B3"/>
    <w:rsid w:val="00FF2870"/>
    <w:rsid w:val="00FF29F2"/>
    <w:rsid w:val="00FF3414"/>
    <w:rsid w:val="00FF3545"/>
    <w:rsid w:val="00FF3895"/>
    <w:rsid w:val="00FF6202"/>
    <w:rsid w:val="00FF6661"/>
    <w:rsid w:val="00FF7B2D"/>
    <w:rsid w:val="00FF7F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F2C9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D53"/>
    <w:rPr>
      <w:sz w:val="24"/>
      <w:szCs w:val="24"/>
      <w:lang w:eastAsia="ja-JP"/>
    </w:rPr>
  </w:style>
  <w:style w:type="paragraph" w:styleId="Heading2">
    <w:name w:val="heading 2"/>
    <w:basedOn w:val="Normal"/>
    <w:next w:val="Normal"/>
    <w:link w:val="Heading2Char"/>
    <w:qFormat/>
    <w:locked/>
    <w:rsid w:val="00E672E4"/>
    <w:pPr>
      <w:keepNext/>
      <w:outlineLvl w:val="1"/>
    </w:pPr>
    <w:rPr>
      <w:rFonts w:eastAsia="Times New Roman"/>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E091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00D8F"/>
    <w:pPr>
      <w:spacing w:before="100" w:beforeAutospacing="1" w:after="100" w:afterAutospacing="1"/>
    </w:pPr>
  </w:style>
  <w:style w:type="paragraph" w:styleId="Header">
    <w:name w:val="header"/>
    <w:basedOn w:val="Normal"/>
    <w:link w:val="HeaderChar"/>
    <w:uiPriority w:val="99"/>
    <w:rsid w:val="00471880"/>
    <w:pPr>
      <w:tabs>
        <w:tab w:val="center" w:pos="4320"/>
        <w:tab w:val="right" w:pos="8640"/>
      </w:tabs>
    </w:pPr>
  </w:style>
  <w:style w:type="character" w:customStyle="1" w:styleId="HeaderChar">
    <w:name w:val="Header Char"/>
    <w:basedOn w:val="DefaultParagraphFont"/>
    <w:link w:val="Header"/>
    <w:uiPriority w:val="99"/>
    <w:semiHidden/>
    <w:rsid w:val="00276054"/>
    <w:rPr>
      <w:sz w:val="24"/>
      <w:szCs w:val="24"/>
      <w:lang w:eastAsia="ja-JP"/>
    </w:rPr>
  </w:style>
  <w:style w:type="paragraph" w:styleId="Footer">
    <w:name w:val="footer"/>
    <w:basedOn w:val="Normal"/>
    <w:link w:val="FooterChar"/>
    <w:uiPriority w:val="99"/>
    <w:rsid w:val="00471880"/>
    <w:pPr>
      <w:tabs>
        <w:tab w:val="center" w:pos="4320"/>
        <w:tab w:val="right" w:pos="8640"/>
      </w:tabs>
    </w:pPr>
  </w:style>
  <w:style w:type="character" w:customStyle="1" w:styleId="FooterChar">
    <w:name w:val="Footer Char"/>
    <w:basedOn w:val="DefaultParagraphFont"/>
    <w:link w:val="Footer"/>
    <w:uiPriority w:val="99"/>
    <w:semiHidden/>
    <w:rsid w:val="00276054"/>
    <w:rPr>
      <w:sz w:val="24"/>
      <w:szCs w:val="24"/>
      <w:lang w:eastAsia="ja-JP"/>
    </w:rPr>
  </w:style>
  <w:style w:type="paragraph" w:styleId="BalloonText">
    <w:name w:val="Balloon Text"/>
    <w:basedOn w:val="Normal"/>
    <w:link w:val="BalloonTextChar"/>
    <w:uiPriority w:val="99"/>
    <w:semiHidden/>
    <w:rsid w:val="00E74553"/>
    <w:rPr>
      <w:rFonts w:ascii="Tahoma" w:hAnsi="Tahoma" w:cs="Tahoma"/>
      <w:sz w:val="16"/>
      <w:szCs w:val="16"/>
    </w:rPr>
  </w:style>
  <w:style w:type="character" w:customStyle="1" w:styleId="BalloonTextChar">
    <w:name w:val="Balloon Text Char"/>
    <w:basedOn w:val="DefaultParagraphFont"/>
    <w:link w:val="BalloonText"/>
    <w:uiPriority w:val="99"/>
    <w:semiHidden/>
    <w:rsid w:val="00276054"/>
    <w:rPr>
      <w:sz w:val="0"/>
      <w:szCs w:val="0"/>
      <w:lang w:eastAsia="ja-JP"/>
    </w:rPr>
  </w:style>
  <w:style w:type="character" w:styleId="CommentReference">
    <w:name w:val="annotation reference"/>
    <w:basedOn w:val="DefaultParagraphFont"/>
    <w:uiPriority w:val="99"/>
    <w:rsid w:val="00EF546C"/>
    <w:rPr>
      <w:rFonts w:cs="Times New Roman"/>
      <w:sz w:val="16"/>
      <w:szCs w:val="16"/>
    </w:rPr>
  </w:style>
  <w:style w:type="paragraph" w:styleId="CommentText">
    <w:name w:val="annotation text"/>
    <w:basedOn w:val="Normal"/>
    <w:link w:val="CommentTextChar"/>
    <w:uiPriority w:val="99"/>
    <w:rsid w:val="00EF546C"/>
    <w:rPr>
      <w:sz w:val="20"/>
      <w:szCs w:val="20"/>
    </w:rPr>
  </w:style>
  <w:style w:type="character" w:customStyle="1" w:styleId="CommentTextChar">
    <w:name w:val="Comment Text Char"/>
    <w:basedOn w:val="DefaultParagraphFont"/>
    <w:link w:val="CommentText"/>
    <w:uiPriority w:val="99"/>
    <w:locked/>
    <w:rsid w:val="00EF546C"/>
    <w:rPr>
      <w:rFonts w:cs="Times New Roman"/>
      <w:lang w:eastAsia="ja-JP"/>
    </w:rPr>
  </w:style>
  <w:style w:type="paragraph" w:styleId="CommentSubject">
    <w:name w:val="annotation subject"/>
    <w:basedOn w:val="CommentText"/>
    <w:next w:val="CommentText"/>
    <w:link w:val="CommentSubjectChar"/>
    <w:uiPriority w:val="99"/>
    <w:rsid w:val="00EF546C"/>
    <w:rPr>
      <w:b/>
      <w:bCs/>
    </w:rPr>
  </w:style>
  <w:style w:type="character" w:customStyle="1" w:styleId="CommentSubjectChar">
    <w:name w:val="Comment Subject Char"/>
    <w:basedOn w:val="CommentTextChar"/>
    <w:link w:val="CommentSubject"/>
    <w:uiPriority w:val="99"/>
    <w:locked/>
    <w:rsid w:val="00EF546C"/>
    <w:rPr>
      <w:rFonts w:cs="Times New Roman"/>
      <w:b/>
      <w:bCs/>
      <w:lang w:eastAsia="ja-JP"/>
    </w:rPr>
  </w:style>
  <w:style w:type="character" w:styleId="LineNumber">
    <w:name w:val="line number"/>
    <w:basedOn w:val="DefaultParagraphFont"/>
    <w:uiPriority w:val="99"/>
    <w:rsid w:val="008311E0"/>
    <w:rPr>
      <w:rFonts w:cs="Times New Roman"/>
    </w:rPr>
  </w:style>
  <w:style w:type="character" w:styleId="Hyperlink">
    <w:name w:val="Hyperlink"/>
    <w:basedOn w:val="DefaultParagraphFont"/>
    <w:uiPriority w:val="99"/>
    <w:rsid w:val="00836F12"/>
    <w:rPr>
      <w:rFonts w:cs="Times New Roman"/>
      <w:color w:val="0000FF"/>
      <w:u w:val="single"/>
    </w:rPr>
  </w:style>
  <w:style w:type="paragraph" w:styleId="BodyText">
    <w:name w:val="Body Text"/>
    <w:basedOn w:val="Normal"/>
    <w:link w:val="BodyTextChar"/>
    <w:uiPriority w:val="99"/>
    <w:rsid w:val="009B43DF"/>
    <w:pPr>
      <w:spacing w:line="360" w:lineRule="auto"/>
    </w:pPr>
    <w:rPr>
      <w:rFonts w:ascii="Courier New" w:hAnsi="Courier New"/>
      <w:color w:val="000000"/>
      <w:szCs w:val="20"/>
      <w:lang w:eastAsia="en-US"/>
    </w:rPr>
  </w:style>
  <w:style w:type="character" w:customStyle="1" w:styleId="BodyTextChar">
    <w:name w:val="Body Text Char"/>
    <w:basedOn w:val="DefaultParagraphFont"/>
    <w:link w:val="BodyText"/>
    <w:uiPriority w:val="99"/>
    <w:locked/>
    <w:rsid w:val="009B43DF"/>
    <w:rPr>
      <w:rFonts w:ascii="Courier New" w:hAnsi="Courier New" w:cs="Times New Roman"/>
      <w:color w:val="000000"/>
      <w:sz w:val="24"/>
    </w:rPr>
  </w:style>
  <w:style w:type="paragraph" w:styleId="Revision">
    <w:name w:val="Revision"/>
    <w:hidden/>
    <w:uiPriority w:val="99"/>
    <w:semiHidden/>
    <w:rsid w:val="001130D6"/>
    <w:rPr>
      <w:sz w:val="24"/>
      <w:szCs w:val="24"/>
      <w:lang w:eastAsia="ja-JP"/>
    </w:rPr>
  </w:style>
  <w:style w:type="paragraph" w:styleId="ListParagraph">
    <w:name w:val="List Paragraph"/>
    <w:basedOn w:val="Normal"/>
    <w:uiPriority w:val="34"/>
    <w:qFormat/>
    <w:rsid w:val="000268F1"/>
    <w:pPr>
      <w:ind w:left="720"/>
      <w:contextualSpacing/>
    </w:pPr>
    <w:rPr>
      <w:rFonts w:eastAsiaTheme="minorEastAsia"/>
      <w:lang w:eastAsia="en-US"/>
    </w:rPr>
  </w:style>
  <w:style w:type="paragraph" w:styleId="BodyTextIndent">
    <w:name w:val="Body Text Indent"/>
    <w:basedOn w:val="Normal"/>
    <w:link w:val="BodyTextIndentChar"/>
    <w:uiPriority w:val="99"/>
    <w:unhideWhenUsed/>
    <w:rsid w:val="00E672E4"/>
    <w:pPr>
      <w:spacing w:after="120"/>
      <w:ind w:left="360"/>
    </w:pPr>
  </w:style>
  <w:style w:type="character" w:customStyle="1" w:styleId="BodyTextIndentChar">
    <w:name w:val="Body Text Indent Char"/>
    <w:basedOn w:val="DefaultParagraphFont"/>
    <w:link w:val="BodyTextIndent"/>
    <w:uiPriority w:val="99"/>
    <w:rsid w:val="00E672E4"/>
    <w:rPr>
      <w:sz w:val="24"/>
      <w:szCs w:val="24"/>
      <w:lang w:eastAsia="ja-JP"/>
    </w:rPr>
  </w:style>
  <w:style w:type="character" w:customStyle="1" w:styleId="Heading2Char">
    <w:name w:val="Heading 2 Char"/>
    <w:basedOn w:val="DefaultParagraphFont"/>
    <w:link w:val="Heading2"/>
    <w:rsid w:val="00E672E4"/>
    <w:rPr>
      <w:rFonts w:eastAsia="Times New Roman"/>
      <w:b/>
      <w:bCs/>
      <w:sz w:val="24"/>
      <w:szCs w:val="20"/>
    </w:rPr>
  </w:style>
  <w:style w:type="paragraph" w:customStyle="1" w:styleId="title1">
    <w:name w:val="title1"/>
    <w:basedOn w:val="Normal"/>
    <w:rsid w:val="00877016"/>
    <w:rPr>
      <w:rFonts w:eastAsia="Times New Roman"/>
      <w:sz w:val="27"/>
      <w:szCs w:val="27"/>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C1D53"/>
    <w:rPr>
      <w:sz w:val="24"/>
      <w:szCs w:val="24"/>
      <w:lang w:eastAsia="ja-JP"/>
    </w:rPr>
  </w:style>
  <w:style w:type="paragraph" w:styleId="Heading2">
    <w:name w:val="heading 2"/>
    <w:basedOn w:val="Normal"/>
    <w:next w:val="Normal"/>
    <w:link w:val="Heading2Char"/>
    <w:qFormat/>
    <w:locked/>
    <w:rsid w:val="00E672E4"/>
    <w:pPr>
      <w:keepNext/>
      <w:outlineLvl w:val="1"/>
    </w:pPr>
    <w:rPr>
      <w:rFonts w:eastAsia="Times New Roman"/>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7E0912"/>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200D8F"/>
    <w:pPr>
      <w:spacing w:before="100" w:beforeAutospacing="1" w:after="100" w:afterAutospacing="1"/>
    </w:pPr>
  </w:style>
  <w:style w:type="paragraph" w:styleId="Header">
    <w:name w:val="header"/>
    <w:basedOn w:val="Normal"/>
    <w:link w:val="HeaderChar"/>
    <w:uiPriority w:val="99"/>
    <w:rsid w:val="00471880"/>
    <w:pPr>
      <w:tabs>
        <w:tab w:val="center" w:pos="4320"/>
        <w:tab w:val="right" w:pos="8640"/>
      </w:tabs>
    </w:pPr>
  </w:style>
  <w:style w:type="character" w:customStyle="1" w:styleId="HeaderChar">
    <w:name w:val="Header Char"/>
    <w:basedOn w:val="DefaultParagraphFont"/>
    <w:link w:val="Header"/>
    <w:uiPriority w:val="99"/>
    <w:semiHidden/>
    <w:rsid w:val="00276054"/>
    <w:rPr>
      <w:sz w:val="24"/>
      <w:szCs w:val="24"/>
      <w:lang w:eastAsia="ja-JP"/>
    </w:rPr>
  </w:style>
  <w:style w:type="paragraph" w:styleId="Footer">
    <w:name w:val="footer"/>
    <w:basedOn w:val="Normal"/>
    <w:link w:val="FooterChar"/>
    <w:uiPriority w:val="99"/>
    <w:rsid w:val="00471880"/>
    <w:pPr>
      <w:tabs>
        <w:tab w:val="center" w:pos="4320"/>
        <w:tab w:val="right" w:pos="8640"/>
      </w:tabs>
    </w:pPr>
  </w:style>
  <w:style w:type="character" w:customStyle="1" w:styleId="FooterChar">
    <w:name w:val="Footer Char"/>
    <w:basedOn w:val="DefaultParagraphFont"/>
    <w:link w:val="Footer"/>
    <w:uiPriority w:val="99"/>
    <w:semiHidden/>
    <w:rsid w:val="00276054"/>
    <w:rPr>
      <w:sz w:val="24"/>
      <w:szCs w:val="24"/>
      <w:lang w:eastAsia="ja-JP"/>
    </w:rPr>
  </w:style>
  <w:style w:type="paragraph" w:styleId="BalloonText">
    <w:name w:val="Balloon Text"/>
    <w:basedOn w:val="Normal"/>
    <w:link w:val="BalloonTextChar"/>
    <w:uiPriority w:val="99"/>
    <w:semiHidden/>
    <w:rsid w:val="00E74553"/>
    <w:rPr>
      <w:rFonts w:ascii="Tahoma" w:hAnsi="Tahoma" w:cs="Tahoma"/>
      <w:sz w:val="16"/>
      <w:szCs w:val="16"/>
    </w:rPr>
  </w:style>
  <w:style w:type="character" w:customStyle="1" w:styleId="BalloonTextChar">
    <w:name w:val="Balloon Text Char"/>
    <w:basedOn w:val="DefaultParagraphFont"/>
    <w:link w:val="BalloonText"/>
    <w:uiPriority w:val="99"/>
    <w:semiHidden/>
    <w:rsid w:val="00276054"/>
    <w:rPr>
      <w:sz w:val="0"/>
      <w:szCs w:val="0"/>
      <w:lang w:eastAsia="ja-JP"/>
    </w:rPr>
  </w:style>
  <w:style w:type="character" w:styleId="CommentReference">
    <w:name w:val="annotation reference"/>
    <w:basedOn w:val="DefaultParagraphFont"/>
    <w:uiPriority w:val="99"/>
    <w:rsid w:val="00EF546C"/>
    <w:rPr>
      <w:rFonts w:cs="Times New Roman"/>
      <w:sz w:val="16"/>
      <w:szCs w:val="16"/>
    </w:rPr>
  </w:style>
  <w:style w:type="paragraph" w:styleId="CommentText">
    <w:name w:val="annotation text"/>
    <w:basedOn w:val="Normal"/>
    <w:link w:val="CommentTextChar"/>
    <w:uiPriority w:val="99"/>
    <w:rsid w:val="00EF546C"/>
    <w:rPr>
      <w:sz w:val="20"/>
      <w:szCs w:val="20"/>
    </w:rPr>
  </w:style>
  <w:style w:type="character" w:customStyle="1" w:styleId="CommentTextChar">
    <w:name w:val="Comment Text Char"/>
    <w:basedOn w:val="DefaultParagraphFont"/>
    <w:link w:val="CommentText"/>
    <w:uiPriority w:val="99"/>
    <w:locked/>
    <w:rsid w:val="00EF546C"/>
    <w:rPr>
      <w:rFonts w:cs="Times New Roman"/>
      <w:lang w:eastAsia="ja-JP"/>
    </w:rPr>
  </w:style>
  <w:style w:type="paragraph" w:styleId="CommentSubject">
    <w:name w:val="annotation subject"/>
    <w:basedOn w:val="CommentText"/>
    <w:next w:val="CommentText"/>
    <w:link w:val="CommentSubjectChar"/>
    <w:uiPriority w:val="99"/>
    <w:rsid w:val="00EF546C"/>
    <w:rPr>
      <w:b/>
      <w:bCs/>
    </w:rPr>
  </w:style>
  <w:style w:type="character" w:customStyle="1" w:styleId="CommentSubjectChar">
    <w:name w:val="Comment Subject Char"/>
    <w:basedOn w:val="CommentTextChar"/>
    <w:link w:val="CommentSubject"/>
    <w:uiPriority w:val="99"/>
    <w:locked/>
    <w:rsid w:val="00EF546C"/>
    <w:rPr>
      <w:rFonts w:cs="Times New Roman"/>
      <w:b/>
      <w:bCs/>
      <w:lang w:eastAsia="ja-JP"/>
    </w:rPr>
  </w:style>
  <w:style w:type="character" w:styleId="LineNumber">
    <w:name w:val="line number"/>
    <w:basedOn w:val="DefaultParagraphFont"/>
    <w:uiPriority w:val="99"/>
    <w:rsid w:val="008311E0"/>
    <w:rPr>
      <w:rFonts w:cs="Times New Roman"/>
    </w:rPr>
  </w:style>
  <w:style w:type="character" w:styleId="Hyperlink">
    <w:name w:val="Hyperlink"/>
    <w:basedOn w:val="DefaultParagraphFont"/>
    <w:uiPriority w:val="99"/>
    <w:rsid w:val="00836F12"/>
    <w:rPr>
      <w:rFonts w:cs="Times New Roman"/>
      <w:color w:val="0000FF"/>
      <w:u w:val="single"/>
    </w:rPr>
  </w:style>
  <w:style w:type="paragraph" w:styleId="BodyText">
    <w:name w:val="Body Text"/>
    <w:basedOn w:val="Normal"/>
    <w:link w:val="BodyTextChar"/>
    <w:uiPriority w:val="99"/>
    <w:rsid w:val="009B43DF"/>
    <w:pPr>
      <w:spacing w:line="360" w:lineRule="auto"/>
    </w:pPr>
    <w:rPr>
      <w:rFonts w:ascii="Courier New" w:hAnsi="Courier New"/>
      <w:color w:val="000000"/>
      <w:szCs w:val="20"/>
      <w:lang w:eastAsia="en-US"/>
    </w:rPr>
  </w:style>
  <w:style w:type="character" w:customStyle="1" w:styleId="BodyTextChar">
    <w:name w:val="Body Text Char"/>
    <w:basedOn w:val="DefaultParagraphFont"/>
    <w:link w:val="BodyText"/>
    <w:uiPriority w:val="99"/>
    <w:locked/>
    <w:rsid w:val="009B43DF"/>
    <w:rPr>
      <w:rFonts w:ascii="Courier New" w:hAnsi="Courier New" w:cs="Times New Roman"/>
      <w:color w:val="000000"/>
      <w:sz w:val="24"/>
    </w:rPr>
  </w:style>
  <w:style w:type="paragraph" w:styleId="Revision">
    <w:name w:val="Revision"/>
    <w:hidden/>
    <w:uiPriority w:val="99"/>
    <w:semiHidden/>
    <w:rsid w:val="001130D6"/>
    <w:rPr>
      <w:sz w:val="24"/>
      <w:szCs w:val="24"/>
      <w:lang w:eastAsia="ja-JP"/>
    </w:rPr>
  </w:style>
  <w:style w:type="paragraph" w:styleId="ListParagraph">
    <w:name w:val="List Paragraph"/>
    <w:basedOn w:val="Normal"/>
    <w:uiPriority w:val="34"/>
    <w:qFormat/>
    <w:rsid w:val="000268F1"/>
    <w:pPr>
      <w:ind w:left="720"/>
      <w:contextualSpacing/>
    </w:pPr>
    <w:rPr>
      <w:rFonts w:eastAsiaTheme="minorEastAsia"/>
      <w:lang w:eastAsia="en-US"/>
    </w:rPr>
  </w:style>
  <w:style w:type="paragraph" w:styleId="BodyTextIndent">
    <w:name w:val="Body Text Indent"/>
    <w:basedOn w:val="Normal"/>
    <w:link w:val="BodyTextIndentChar"/>
    <w:uiPriority w:val="99"/>
    <w:unhideWhenUsed/>
    <w:rsid w:val="00E672E4"/>
    <w:pPr>
      <w:spacing w:after="120"/>
      <w:ind w:left="360"/>
    </w:pPr>
  </w:style>
  <w:style w:type="character" w:customStyle="1" w:styleId="BodyTextIndentChar">
    <w:name w:val="Body Text Indent Char"/>
    <w:basedOn w:val="DefaultParagraphFont"/>
    <w:link w:val="BodyTextIndent"/>
    <w:uiPriority w:val="99"/>
    <w:rsid w:val="00E672E4"/>
    <w:rPr>
      <w:sz w:val="24"/>
      <w:szCs w:val="24"/>
      <w:lang w:eastAsia="ja-JP"/>
    </w:rPr>
  </w:style>
  <w:style w:type="character" w:customStyle="1" w:styleId="Heading2Char">
    <w:name w:val="Heading 2 Char"/>
    <w:basedOn w:val="DefaultParagraphFont"/>
    <w:link w:val="Heading2"/>
    <w:rsid w:val="00E672E4"/>
    <w:rPr>
      <w:rFonts w:eastAsia="Times New Roman"/>
      <w:b/>
      <w:bCs/>
      <w:sz w:val="24"/>
      <w:szCs w:val="20"/>
    </w:rPr>
  </w:style>
  <w:style w:type="paragraph" w:customStyle="1" w:styleId="title1">
    <w:name w:val="title1"/>
    <w:basedOn w:val="Normal"/>
    <w:rsid w:val="00877016"/>
    <w:rPr>
      <w:rFonts w:eastAsia="Times New Roman"/>
      <w:sz w:val="27"/>
      <w:szCs w:val="27"/>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83375">
      <w:bodyDiv w:val="1"/>
      <w:marLeft w:val="0"/>
      <w:marRight w:val="0"/>
      <w:marTop w:val="0"/>
      <w:marBottom w:val="0"/>
      <w:divBdr>
        <w:top w:val="none" w:sz="0" w:space="0" w:color="auto"/>
        <w:left w:val="none" w:sz="0" w:space="0" w:color="auto"/>
        <w:bottom w:val="none" w:sz="0" w:space="0" w:color="auto"/>
        <w:right w:val="none" w:sz="0" w:space="0" w:color="auto"/>
      </w:divBdr>
    </w:div>
    <w:div w:id="16129371">
      <w:bodyDiv w:val="1"/>
      <w:marLeft w:val="0"/>
      <w:marRight w:val="0"/>
      <w:marTop w:val="0"/>
      <w:marBottom w:val="0"/>
      <w:divBdr>
        <w:top w:val="none" w:sz="0" w:space="0" w:color="auto"/>
        <w:left w:val="none" w:sz="0" w:space="0" w:color="auto"/>
        <w:bottom w:val="none" w:sz="0" w:space="0" w:color="auto"/>
        <w:right w:val="none" w:sz="0" w:space="0" w:color="auto"/>
      </w:divBdr>
    </w:div>
    <w:div w:id="17320646">
      <w:bodyDiv w:val="1"/>
      <w:marLeft w:val="0"/>
      <w:marRight w:val="0"/>
      <w:marTop w:val="0"/>
      <w:marBottom w:val="0"/>
      <w:divBdr>
        <w:top w:val="none" w:sz="0" w:space="0" w:color="auto"/>
        <w:left w:val="none" w:sz="0" w:space="0" w:color="auto"/>
        <w:bottom w:val="none" w:sz="0" w:space="0" w:color="auto"/>
        <w:right w:val="none" w:sz="0" w:space="0" w:color="auto"/>
      </w:divBdr>
    </w:div>
    <w:div w:id="19940530">
      <w:bodyDiv w:val="1"/>
      <w:marLeft w:val="0"/>
      <w:marRight w:val="0"/>
      <w:marTop w:val="0"/>
      <w:marBottom w:val="0"/>
      <w:divBdr>
        <w:top w:val="none" w:sz="0" w:space="0" w:color="auto"/>
        <w:left w:val="none" w:sz="0" w:space="0" w:color="auto"/>
        <w:bottom w:val="none" w:sz="0" w:space="0" w:color="auto"/>
        <w:right w:val="none" w:sz="0" w:space="0" w:color="auto"/>
      </w:divBdr>
    </w:div>
    <w:div w:id="23866486">
      <w:bodyDiv w:val="1"/>
      <w:marLeft w:val="0"/>
      <w:marRight w:val="0"/>
      <w:marTop w:val="0"/>
      <w:marBottom w:val="0"/>
      <w:divBdr>
        <w:top w:val="none" w:sz="0" w:space="0" w:color="auto"/>
        <w:left w:val="none" w:sz="0" w:space="0" w:color="auto"/>
        <w:bottom w:val="none" w:sz="0" w:space="0" w:color="auto"/>
        <w:right w:val="none" w:sz="0" w:space="0" w:color="auto"/>
      </w:divBdr>
    </w:div>
    <w:div w:id="32581909">
      <w:bodyDiv w:val="1"/>
      <w:marLeft w:val="0"/>
      <w:marRight w:val="0"/>
      <w:marTop w:val="0"/>
      <w:marBottom w:val="0"/>
      <w:divBdr>
        <w:top w:val="none" w:sz="0" w:space="0" w:color="auto"/>
        <w:left w:val="none" w:sz="0" w:space="0" w:color="auto"/>
        <w:bottom w:val="none" w:sz="0" w:space="0" w:color="auto"/>
        <w:right w:val="none" w:sz="0" w:space="0" w:color="auto"/>
      </w:divBdr>
    </w:div>
    <w:div w:id="37172694">
      <w:bodyDiv w:val="1"/>
      <w:marLeft w:val="0"/>
      <w:marRight w:val="0"/>
      <w:marTop w:val="0"/>
      <w:marBottom w:val="0"/>
      <w:divBdr>
        <w:top w:val="none" w:sz="0" w:space="0" w:color="auto"/>
        <w:left w:val="none" w:sz="0" w:space="0" w:color="auto"/>
        <w:bottom w:val="none" w:sz="0" w:space="0" w:color="auto"/>
        <w:right w:val="none" w:sz="0" w:space="0" w:color="auto"/>
      </w:divBdr>
    </w:div>
    <w:div w:id="40327691">
      <w:bodyDiv w:val="1"/>
      <w:marLeft w:val="0"/>
      <w:marRight w:val="0"/>
      <w:marTop w:val="0"/>
      <w:marBottom w:val="0"/>
      <w:divBdr>
        <w:top w:val="none" w:sz="0" w:space="0" w:color="auto"/>
        <w:left w:val="none" w:sz="0" w:space="0" w:color="auto"/>
        <w:bottom w:val="none" w:sz="0" w:space="0" w:color="auto"/>
        <w:right w:val="none" w:sz="0" w:space="0" w:color="auto"/>
      </w:divBdr>
    </w:div>
    <w:div w:id="40516260">
      <w:bodyDiv w:val="1"/>
      <w:marLeft w:val="0"/>
      <w:marRight w:val="0"/>
      <w:marTop w:val="0"/>
      <w:marBottom w:val="0"/>
      <w:divBdr>
        <w:top w:val="none" w:sz="0" w:space="0" w:color="auto"/>
        <w:left w:val="none" w:sz="0" w:space="0" w:color="auto"/>
        <w:bottom w:val="none" w:sz="0" w:space="0" w:color="auto"/>
        <w:right w:val="none" w:sz="0" w:space="0" w:color="auto"/>
      </w:divBdr>
    </w:div>
    <w:div w:id="49302899">
      <w:bodyDiv w:val="1"/>
      <w:marLeft w:val="0"/>
      <w:marRight w:val="0"/>
      <w:marTop w:val="0"/>
      <w:marBottom w:val="0"/>
      <w:divBdr>
        <w:top w:val="none" w:sz="0" w:space="0" w:color="auto"/>
        <w:left w:val="none" w:sz="0" w:space="0" w:color="auto"/>
        <w:bottom w:val="none" w:sz="0" w:space="0" w:color="auto"/>
        <w:right w:val="none" w:sz="0" w:space="0" w:color="auto"/>
      </w:divBdr>
    </w:div>
    <w:div w:id="52168537">
      <w:bodyDiv w:val="1"/>
      <w:marLeft w:val="0"/>
      <w:marRight w:val="0"/>
      <w:marTop w:val="0"/>
      <w:marBottom w:val="0"/>
      <w:divBdr>
        <w:top w:val="none" w:sz="0" w:space="0" w:color="auto"/>
        <w:left w:val="none" w:sz="0" w:space="0" w:color="auto"/>
        <w:bottom w:val="none" w:sz="0" w:space="0" w:color="auto"/>
        <w:right w:val="none" w:sz="0" w:space="0" w:color="auto"/>
      </w:divBdr>
    </w:div>
    <w:div w:id="53243936">
      <w:bodyDiv w:val="1"/>
      <w:marLeft w:val="0"/>
      <w:marRight w:val="0"/>
      <w:marTop w:val="0"/>
      <w:marBottom w:val="0"/>
      <w:divBdr>
        <w:top w:val="none" w:sz="0" w:space="0" w:color="auto"/>
        <w:left w:val="none" w:sz="0" w:space="0" w:color="auto"/>
        <w:bottom w:val="none" w:sz="0" w:space="0" w:color="auto"/>
        <w:right w:val="none" w:sz="0" w:space="0" w:color="auto"/>
      </w:divBdr>
    </w:div>
    <w:div w:id="53507287">
      <w:bodyDiv w:val="1"/>
      <w:marLeft w:val="0"/>
      <w:marRight w:val="0"/>
      <w:marTop w:val="0"/>
      <w:marBottom w:val="0"/>
      <w:divBdr>
        <w:top w:val="none" w:sz="0" w:space="0" w:color="auto"/>
        <w:left w:val="none" w:sz="0" w:space="0" w:color="auto"/>
        <w:bottom w:val="none" w:sz="0" w:space="0" w:color="auto"/>
        <w:right w:val="none" w:sz="0" w:space="0" w:color="auto"/>
      </w:divBdr>
    </w:div>
    <w:div w:id="62071706">
      <w:bodyDiv w:val="1"/>
      <w:marLeft w:val="0"/>
      <w:marRight w:val="0"/>
      <w:marTop w:val="0"/>
      <w:marBottom w:val="0"/>
      <w:divBdr>
        <w:top w:val="none" w:sz="0" w:space="0" w:color="auto"/>
        <w:left w:val="none" w:sz="0" w:space="0" w:color="auto"/>
        <w:bottom w:val="none" w:sz="0" w:space="0" w:color="auto"/>
        <w:right w:val="none" w:sz="0" w:space="0" w:color="auto"/>
      </w:divBdr>
    </w:div>
    <w:div w:id="64107722">
      <w:bodyDiv w:val="1"/>
      <w:marLeft w:val="0"/>
      <w:marRight w:val="0"/>
      <w:marTop w:val="0"/>
      <w:marBottom w:val="0"/>
      <w:divBdr>
        <w:top w:val="none" w:sz="0" w:space="0" w:color="auto"/>
        <w:left w:val="none" w:sz="0" w:space="0" w:color="auto"/>
        <w:bottom w:val="none" w:sz="0" w:space="0" w:color="auto"/>
        <w:right w:val="none" w:sz="0" w:space="0" w:color="auto"/>
      </w:divBdr>
    </w:div>
    <w:div w:id="65687095">
      <w:bodyDiv w:val="1"/>
      <w:marLeft w:val="0"/>
      <w:marRight w:val="0"/>
      <w:marTop w:val="0"/>
      <w:marBottom w:val="0"/>
      <w:divBdr>
        <w:top w:val="none" w:sz="0" w:space="0" w:color="auto"/>
        <w:left w:val="none" w:sz="0" w:space="0" w:color="auto"/>
        <w:bottom w:val="none" w:sz="0" w:space="0" w:color="auto"/>
        <w:right w:val="none" w:sz="0" w:space="0" w:color="auto"/>
      </w:divBdr>
    </w:div>
    <w:div w:id="68231919">
      <w:bodyDiv w:val="1"/>
      <w:marLeft w:val="0"/>
      <w:marRight w:val="0"/>
      <w:marTop w:val="0"/>
      <w:marBottom w:val="0"/>
      <w:divBdr>
        <w:top w:val="none" w:sz="0" w:space="0" w:color="auto"/>
        <w:left w:val="none" w:sz="0" w:space="0" w:color="auto"/>
        <w:bottom w:val="none" w:sz="0" w:space="0" w:color="auto"/>
        <w:right w:val="none" w:sz="0" w:space="0" w:color="auto"/>
      </w:divBdr>
    </w:div>
    <w:div w:id="90052362">
      <w:bodyDiv w:val="1"/>
      <w:marLeft w:val="0"/>
      <w:marRight w:val="0"/>
      <w:marTop w:val="0"/>
      <w:marBottom w:val="0"/>
      <w:divBdr>
        <w:top w:val="none" w:sz="0" w:space="0" w:color="auto"/>
        <w:left w:val="none" w:sz="0" w:space="0" w:color="auto"/>
        <w:bottom w:val="none" w:sz="0" w:space="0" w:color="auto"/>
        <w:right w:val="none" w:sz="0" w:space="0" w:color="auto"/>
      </w:divBdr>
    </w:div>
    <w:div w:id="91510541">
      <w:bodyDiv w:val="1"/>
      <w:marLeft w:val="0"/>
      <w:marRight w:val="0"/>
      <w:marTop w:val="0"/>
      <w:marBottom w:val="0"/>
      <w:divBdr>
        <w:top w:val="none" w:sz="0" w:space="0" w:color="auto"/>
        <w:left w:val="none" w:sz="0" w:space="0" w:color="auto"/>
        <w:bottom w:val="none" w:sz="0" w:space="0" w:color="auto"/>
        <w:right w:val="none" w:sz="0" w:space="0" w:color="auto"/>
      </w:divBdr>
    </w:div>
    <w:div w:id="105009609">
      <w:bodyDiv w:val="1"/>
      <w:marLeft w:val="0"/>
      <w:marRight w:val="0"/>
      <w:marTop w:val="0"/>
      <w:marBottom w:val="0"/>
      <w:divBdr>
        <w:top w:val="none" w:sz="0" w:space="0" w:color="auto"/>
        <w:left w:val="none" w:sz="0" w:space="0" w:color="auto"/>
        <w:bottom w:val="none" w:sz="0" w:space="0" w:color="auto"/>
        <w:right w:val="none" w:sz="0" w:space="0" w:color="auto"/>
      </w:divBdr>
    </w:div>
    <w:div w:id="110243738">
      <w:bodyDiv w:val="1"/>
      <w:marLeft w:val="0"/>
      <w:marRight w:val="0"/>
      <w:marTop w:val="0"/>
      <w:marBottom w:val="0"/>
      <w:divBdr>
        <w:top w:val="none" w:sz="0" w:space="0" w:color="auto"/>
        <w:left w:val="none" w:sz="0" w:space="0" w:color="auto"/>
        <w:bottom w:val="none" w:sz="0" w:space="0" w:color="auto"/>
        <w:right w:val="none" w:sz="0" w:space="0" w:color="auto"/>
      </w:divBdr>
    </w:div>
    <w:div w:id="123011629">
      <w:bodyDiv w:val="1"/>
      <w:marLeft w:val="0"/>
      <w:marRight w:val="0"/>
      <w:marTop w:val="0"/>
      <w:marBottom w:val="0"/>
      <w:divBdr>
        <w:top w:val="none" w:sz="0" w:space="0" w:color="auto"/>
        <w:left w:val="none" w:sz="0" w:space="0" w:color="auto"/>
        <w:bottom w:val="none" w:sz="0" w:space="0" w:color="auto"/>
        <w:right w:val="none" w:sz="0" w:space="0" w:color="auto"/>
      </w:divBdr>
    </w:div>
    <w:div w:id="128480391">
      <w:bodyDiv w:val="1"/>
      <w:marLeft w:val="0"/>
      <w:marRight w:val="0"/>
      <w:marTop w:val="0"/>
      <w:marBottom w:val="0"/>
      <w:divBdr>
        <w:top w:val="none" w:sz="0" w:space="0" w:color="auto"/>
        <w:left w:val="none" w:sz="0" w:space="0" w:color="auto"/>
        <w:bottom w:val="none" w:sz="0" w:space="0" w:color="auto"/>
        <w:right w:val="none" w:sz="0" w:space="0" w:color="auto"/>
      </w:divBdr>
    </w:div>
    <w:div w:id="131943101">
      <w:bodyDiv w:val="1"/>
      <w:marLeft w:val="0"/>
      <w:marRight w:val="0"/>
      <w:marTop w:val="0"/>
      <w:marBottom w:val="0"/>
      <w:divBdr>
        <w:top w:val="none" w:sz="0" w:space="0" w:color="auto"/>
        <w:left w:val="none" w:sz="0" w:space="0" w:color="auto"/>
        <w:bottom w:val="none" w:sz="0" w:space="0" w:color="auto"/>
        <w:right w:val="none" w:sz="0" w:space="0" w:color="auto"/>
      </w:divBdr>
    </w:div>
    <w:div w:id="133451486">
      <w:bodyDiv w:val="1"/>
      <w:marLeft w:val="0"/>
      <w:marRight w:val="0"/>
      <w:marTop w:val="0"/>
      <w:marBottom w:val="0"/>
      <w:divBdr>
        <w:top w:val="none" w:sz="0" w:space="0" w:color="auto"/>
        <w:left w:val="none" w:sz="0" w:space="0" w:color="auto"/>
        <w:bottom w:val="none" w:sz="0" w:space="0" w:color="auto"/>
        <w:right w:val="none" w:sz="0" w:space="0" w:color="auto"/>
      </w:divBdr>
    </w:div>
    <w:div w:id="141973447">
      <w:bodyDiv w:val="1"/>
      <w:marLeft w:val="0"/>
      <w:marRight w:val="0"/>
      <w:marTop w:val="0"/>
      <w:marBottom w:val="0"/>
      <w:divBdr>
        <w:top w:val="none" w:sz="0" w:space="0" w:color="auto"/>
        <w:left w:val="none" w:sz="0" w:space="0" w:color="auto"/>
        <w:bottom w:val="none" w:sz="0" w:space="0" w:color="auto"/>
        <w:right w:val="none" w:sz="0" w:space="0" w:color="auto"/>
      </w:divBdr>
    </w:div>
    <w:div w:id="166870099">
      <w:bodyDiv w:val="1"/>
      <w:marLeft w:val="0"/>
      <w:marRight w:val="0"/>
      <w:marTop w:val="0"/>
      <w:marBottom w:val="0"/>
      <w:divBdr>
        <w:top w:val="none" w:sz="0" w:space="0" w:color="auto"/>
        <w:left w:val="none" w:sz="0" w:space="0" w:color="auto"/>
        <w:bottom w:val="none" w:sz="0" w:space="0" w:color="auto"/>
        <w:right w:val="none" w:sz="0" w:space="0" w:color="auto"/>
      </w:divBdr>
    </w:div>
    <w:div w:id="172108001">
      <w:bodyDiv w:val="1"/>
      <w:marLeft w:val="0"/>
      <w:marRight w:val="0"/>
      <w:marTop w:val="0"/>
      <w:marBottom w:val="0"/>
      <w:divBdr>
        <w:top w:val="none" w:sz="0" w:space="0" w:color="auto"/>
        <w:left w:val="none" w:sz="0" w:space="0" w:color="auto"/>
        <w:bottom w:val="none" w:sz="0" w:space="0" w:color="auto"/>
        <w:right w:val="none" w:sz="0" w:space="0" w:color="auto"/>
      </w:divBdr>
    </w:div>
    <w:div w:id="175581146">
      <w:bodyDiv w:val="1"/>
      <w:marLeft w:val="0"/>
      <w:marRight w:val="0"/>
      <w:marTop w:val="0"/>
      <w:marBottom w:val="0"/>
      <w:divBdr>
        <w:top w:val="none" w:sz="0" w:space="0" w:color="auto"/>
        <w:left w:val="none" w:sz="0" w:space="0" w:color="auto"/>
        <w:bottom w:val="none" w:sz="0" w:space="0" w:color="auto"/>
        <w:right w:val="none" w:sz="0" w:space="0" w:color="auto"/>
      </w:divBdr>
    </w:div>
    <w:div w:id="182523626">
      <w:bodyDiv w:val="1"/>
      <w:marLeft w:val="0"/>
      <w:marRight w:val="0"/>
      <w:marTop w:val="0"/>
      <w:marBottom w:val="0"/>
      <w:divBdr>
        <w:top w:val="none" w:sz="0" w:space="0" w:color="auto"/>
        <w:left w:val="none" w:sz="0" w:space="0" w:color="auto"/>
        <w:bottom w:val="none" w:sz="0" w:space="0" w:color="auto"/>
        <w:right w:val="none" w:sz="0" w:space="0" w:color="auto"/>
      </w:divBdr>
    </w:div>
    <w:div w:id="192693617">
      <w:bodyDiv w:val="1"/>
      <w:marLeft w:val="0"/>
      <w:marRight w:val="0"/>
      <w:marTop w:val="0"/>
      <w:marBottom w:val="0"/>
      <w:divBdr>
        <w:top w:val="none" w:sz="0" w:space="0" w:color="auto"/>
        <w:left w:val="none" w:sz="0" w:space="0" w:color="auto"/>
        <w:bottom w:val="none" w:sz="0" w:space="0" w:color="auto"/>
        <w:right w:val="none" w:sz="0" w:space="0" w:color="auto"/>
      </w:divBdr>
    </w:div>
    <w:div w:id="225534041">
      <w:bodyDiv w:val="1"/>
      <w:marLeft w:val="0"/>
      <w:marRight w:val="0"/>
      <w:marTop w:val="0"/>
      <w:marBottom w:val="0"/>
      <w:divBdr>
        <w:top w:val="none" w:sz="0" w:space="0" w:color="auto"/>
        <w:left w:val="none" w:sz="0" w:space="0" w:color="auto"/>
        <w:bottom w:val="none" w:sz="0" w:space="0" w:color="auto"/>
        <w:right w:val="none" w:sz="0" w:space="0" w:color="auto"/>
      </w:divBdr>
    </w:div>
    <w:div w:id="245581012">
      <w:bodyDiv w:val="1"/>
      <w:marLeft w:val="0"/>
      <w:marRight w:val="0"/>
      <w:marTop w:val="0"/>
      <w:marBottom w:val="0"/>
      <w:divBdr>
        <w:top w:val="none" w:sz="0" w:space="0" w:color="auto"/>
        <w:left w:val="none" w:sz="0" w:space="0" w:color="auto"/>
        <w:bottom w:val="none" w:sz="0" w:space="0" w:color="auto"/>
        <w:right w:val="none" w:sz="0" w:space="0" w:color="auto"/>
      </w:divBdr>
    </w:div>
    <w:div w:id="257062038">
      <w:bodyDiv w:val="1"/>
      <w:marLeft w:val="0"/>
      <w:marRight w:val="0"/>
      <w:marTop w:val="0"/>
      <w:marBottom w:val="0"/>
      <w:divBdr>
        <w:top w:val="none" w:sz="0" w:space="0" w:color="auto"/>
        <w:left w:val="none" w:sz="0" w:space="0" w:color="auto"/>
        <w:bottom w:val="none" w:sz="0" w:space="0" w:color="auto"/>
        <w:right w:val="none" w:sz="0" w:space="0" w:color="auto"/>
      </w:divBdr>
    </w:div>
    <w:div w:id="274217606">
      <w:bodyDiv w:val="1"/>
      <w:marLeft w:val="0"/>
      <w:marRight w:val="0"/>
      <w:marTop w:val="0"/>
      <w:marBottom w:val="0"/>
      <w:divBdr>
        <w:top w:val="none" w:sz="0" w:space="0" w:color="auto"/>
        <w:left w:val="none" w:sz="0" w:space="0" w:color="auto"/>
        <w:bottom w:val="none" w:sz="0" w:space="0" w:color="auto"/>
        <w:right w:val="none" w:sz="0" w:space="0" w:color="auto"/>
      </w:divBdr>
    </w:div>
    <w:div w:id="281884908">
      <w:bodyDiv w:val="1"/>
      <w:marLeft w:val="0"/>
      <w:marRight w:val="0"/>
      <w:marTop w:val="0"/>
      <w:marBottom w:val="0"/>
      <w:divBdr>
        <w:top w:val="none" w:sz="0" w:space="0" w:color="auto"/>
        <w:left w:val="none" w:sz="0" w:space="0" w:color="auto"/>
        <w:bottom w:val="none" w:sz="0" w:space="0" w:color="auto"/>
        <w:right w:val="none" w:sz="0" w:space="0" w:color="auto"/>
      </w:divBdr>
    </w:div>
    <w:div w:id="299500411">
      <w:bodyDiv w:val="1"/>
      <w:marLeft w:val="0"/>
      <w:marRight w:val="0"/>
      <w:marTop w:val="0"/>
      <w:marBottom w:val="0"/>
      <w:divBdr>
        <w:top w:val="none" w:sz="0" w:space="0" w:color="auto"/>
        <w:left w:val="none" w:sz="0" w:space="0" w:color="auto"/>
        <w:bottom w:val="none" w:sz="0" w:space="0" w:color="auto"/>
        <w:right w:val="none" w:sz="0" w:space="0" w:color="auto"/>
      </w:divBdr>
    </w:div>
    <w:div w:id="304313441">
      <w:bodyDiv w:val="1"/>
      <w:marLeft w:val="0"/>
      <w:marRight w:val="0"/>
      <w:marTop w:val="0"/>
      <w:marBottom w:val="0"/>
      <w:divBdr>
        <w:top w:val="none" w:sz="0" w:space="0" w:color="auto"/>
        <w:left w:val="none" w:sz="0" w:space="0" w:color="auto"/>
        <w:bottom w:val="none" w:sz="0" w:space="0" w:color="auto"/>
        <w:right w:val="none" w:sz="0" w:space="0" w:color="auto"/>
      </w:divBdr>
    </w:div>
    <w:div w:id="309678774">
      <w:bodyDiv w:val="1"/>
      <w:marLeft w:val="0"/>
      <w:marRight w:val="0"/>
      <w:marTop w:val="0"/>
      <w:marBottom w:val="0"/>
      <w:divBdr>
        <w:top w:val="none" w:sz="0" w:space="0" w:color="auto"/>
        <w:left w:val="none" w:sz="0" w:space="0" w:color="auto"/>
        <w:bottom w:val="none" w:sz="0" w:space="0" w:color="auto"/>
        <w:right w:val="none" w:sz="0" w:space="0" w:color="auto"/>
      </w:divBdr>
    </w:div>
    <w:div w:id="316962876">
      <w:bodyDiv w:val="1"/>
      <w:marLeft w:val="0"/>
      <w:marRight w:val="0"/>
      <w:marTop w:val="0"/>
      <w:marBottom w:val="0"/>
      <w:divBdr>
        <w:top w:val="none" w:sz="0" w:space="0" w:color="auto"/>
        <w:left w:val="none" w:sz="0" w:space="0" w:color="auto"/>
        <w:bottom w:val="none" w:sz="0" w:space="0" w:color="auto"/>
        <w:right w:val="none" w:sz="0" w:space="0" w:color="auto"/>
      </w:divBdr>
    </w:div>
    <w:div w:id="327903594">
      <w:bodyDiv w:val="1"/>
      <w:marLeft w:val="0"/>
      <w:marRight w:val="0"/>
      <w:marTop w:val="0"/>
      <w:marBottom w:val="0"/>
      <w:divBdr>
        <w:top w:val="none" w:sz="0" w:space="0" w:color="auto"/>
        <w:left w:val="none" w:sz="0" w:space="0" w:color="auto"/>
        <w:bottom w:val="none" w:sz="0" w:space="0" w:color="auto"/>
        <w:right w:val="none" w:sz="0" w:space="0" w:color="auto"/>
      </w:divBdr>
    </w:div>
    <w:div w:id="337198820">
      <w:bodyDiv w:val="1"/>
      <w:marLeft w:val="0"/>
      <w:marRight w:val="0"/>
      <w:marTop w:val="0"/>
      <w:marBottom w:val="0"/>
      <w:divBdr>
        <w:top w:val="none" w:sz="0" w:space="0" w:color="auto"/>
        <w:left w:val="none" w:sz="0" w:space="0" w:color="auto"/>
        <w:bottom w:val="none" w:sz="0" w:space="0" w:color="auto"/>
        <w:right w:val="none" w:sz="0" w:space="0" w:color="auto"/>
      </w:divBdr>
    </w:div>
    <w:div w:id="339280585">
      <w:bodyDiv w:val="1"/>
      <w:marLeft w:val="0"/>
      <w:marRight w:val="0"/>
      <w:marTop w:val="0"/>
      <w:marBottom w:val="0"/>
      <w:divBdr>
        <w:top w:val="none" w:sz="0" w:space="0" w:color="auto"/>
        <w:left w:val="none" w:sz="0" w:space="0" w:color="auto"/>
        <w:bottom w:val="none" w:sz="0" w:space="0" w:color="auto"/>
        <w:right w:val="none" w:sz="0" w:space="0" w:color="auto"/>
      </w:divBdr>
      <w:divsChild>
        <w:div w:id="2023437543">
          <w:marLeft w:val="1267"/>
          <w:marRight w:val="0"/>
          <w:marTop w:val="0"/>
          <w:marBottom w:val="0"/>
          <w:divBdr>
            <w:top w:val="none" w:sz="0" w:space="0" w:color="auto"/>
            <w:left w:val="none" w:sz="0" w:space="0" w:color="auto"/>
            <w:bottom w:val="none" w:sz="0" w:space="0" w:color="auto"/>
            <w:right w:val="none" w:sz="0" w:space="0" w:color="auto"/>
          </w:divBdr>
        </w:div>
      </w:divsChild>
    </w:div>
    <w:div w:id="340402203">
      <w:bodyDiv w:val="1"/>
      <w:marLeft w:val="0"/>
      <w:marRight w:val="0"/>
      <w:marTop w:val="0"/>
      <w:marBottom w:val="0"/>
      <w:divBdr>
        <w:top w:val="none" w:sz="0" w:space="0" w:color="auto"/>
        <w:left w:val="none" w:sz="0" w:space="0" w:color="auto"/>
        <w:bottom w:val="none" w:sz="0" w:space="0" w:color="auto"/>
        <w:right w:val="none" w:sz="0" w:space="0" w:color="auto"/>
      </w:divBdr>
    </w:div>
    <w:div w:id="340402227">
      <w:bodyDiv w:val="1"/>
      <w:marLeft w:val="0"/>
      <w:marRight w:val="0"/>
      <w:marTop w:val="0"/>
      <w:marBottom w:val="0"/>
      <w:divBdr>
        <w:top w:val="none" w:sz="0" w:space="0" w:color="auto"/>
        <w:left w:val="none" w:sz="0" w:space="0" w:color="auto"/>
        <w:bottom w:val="none" w:sz="0" w:space="0" w:color="auto"/>
        <w:right w:val="none" w:sz="0" w:space="0" w:color="auto"/>
      </w:divBdr>
    </w:div>
    <w:div w:id="361169591">
      <w:bodyDiv w:val="1"/>
      <w:marLeft w:val="0"/>
      <w:marRight w:val="0"/>
      <w:marTop w:val="0"/>
      <w:marBottom w:val="0"/>
      <w:divBdr>
        <w:top w:val="none" w:sz="0" w:space="0" w:color="auto"/>
        <w:left w:val="none" w:sz="0" w:space="0" w:color="auto"/>
        <w:bottom w:val="none" w:sz="0" w:space="0" w:color="auto"/>
        <w:right w:val="none" w:sz="0" w:space="0" w:color="auto"/>
      </w:divBdr>
    </w:div>
    <w:div w:id="361899776">
      <w:bodyDiv w:val="1"/>
      <w:marLeft w:val="0"/>
      <w:marRight w:val="0"/>
      <w:marTop w:val="0"/>
      <w:marBottom w:val="0"/>
      <w:divBdr>
        <w:top w:val="none" w:sz="0" w:space="0" w:color="auto"/>
        <w:left w:val="none" w:sz="0" w:space="0" w:color="auto"/>
        <w:bottom w:val="none" w:sz="0" w:space="0" w:color="auto"/>
        <w:right w:val="none" w:sz="0" w:space="0" w:color="auto"/>
      </w:divBdr>
    </w:div>
    <w:div w:id="373122673">
      <w:bodyDiv w:val="1"/>
      <w:marLeft w:val="0"/>
      <w:marRight w:val="0"/>
      <w:marTop w:val="0"/>
      <w:marBottom w:val="0"/>
      <w:divBdr>
        <w:top w:val="none" w:sz="0" w:space="0" w:color="auto"/>
        <w:left w:val="none" w:sz="0" w:space="0" w:color="auto"/>
        <w:bottom w:val="none" w:sz="0" w:space="0" w:color="auto"/>
        <w:right w:val="none" w:sz="0" w:space="0" w:color="auto"/>
      </w:divBdr>
    </w:div>
    <w:div w:id="381439158">
      <w:bodyDiv w:val="1"/>
      <w:marLeft w:val="0"/>
      <w:marRight w:val="0"/>
      <w:marTop w:val="0"/>
      <w:marBottom w:val="0"/>
      <w:divBdr>
        <w:top w:val="none" w:sz="0" w:space="0" w:color="auto"/>
        <w:left w:val="none" w:sz="0" w:space="0" w:color="auto"/>
        <w:bottom w:val="none" w:sz="0" w:space="0" w:color="auto"/>
        <w:right w:val="none" w:sz="0" w:space="0" w:color="auto"/>
      </w:divBdr>
    </w:div>
    <w:div w:id="389769098">
      <w:bodyDiv w:val="1"/>
      <w:marLeft w:val="0"/>
      <w:marRight w:val="0"/>
      <w:marTop w:val="0"/>
      <w:marBottom w:val="0"/>
      <w:divBdr>
        <w:top w:val="none" w:sz="0" w:space="0" w:color="auto"/>
        <w:left w:val="none" w:sz="0" w:space="0" w:color="auto"/>
        <w:bottom w:val="none" w:sz="0" w:space="0" w:color="auto"/>
        <w:right w:val="none" w:sz="0" w:space="0" w:color="auto"/>
      </w:divBdr>
    </w:div>
    <w:div w:id="403842422">
      <w:bodyDiv w:val="1"/>
      <w:marLeft w:val="0"/>
      <w:marRight w:val="0"/>
      <w:marTop w:val="0"/>
      <w:marBottom w:val="0"/>
      <w:divBdr>
        <w:top w:val="none" w:sz="0" w:space="0" w:color="auto"/>
        <w:left w:val="none" w:sz="0" w:space="0" w:color="auto"/>
        <w:bottom w:val="none" w:sz="0" w:space="0" w:color="auto"/>
        <w:right w:val="none" w:sz="0" w:space="0" w:color="auto"/>
      </w:divBdr>
    </w:div>
    <w:div w:id="409161439">
      <w:bodyDiv w:val="1"/>
      <w:marLeft w:val="0"/>
      <w:marRight w:val="0"/>
      <w:marTop w:val="0"/>
      <w:marBottom w:val="0"/>
      <w:divBdr>
        <w:top w:val="none" w:sz="0" w:space="0" w:color="auto"/>
        <w:left w:val="none" w:sz="0" w:space="0" w:color="auto"/>
        <w:bottom w:val="none" w:sz="0" w:space="0" w:color="auto"/>
        <w:right w:val="none" w:sz="0" w:space="0" w:color="auto"/>
      </w:divBdr>
    </w:div>
    <w:div w:id="410590487">
      <w:bodyDiv w:val="1"/>
      <w:marLeft w:val="0"/>
      <w:marRight w:val="0"/>
      <w:marTop w:val="0"/>
      <w:marBottom w:val="0"/>
      <w:divBdr>
        <w:top w:val="none" w:sz="0" w:space="0" w:color="auto"/>
        <w:left w:val="none" w:sz="0" w:space="0" w:color="auto"/>
        <w:bottom w:val="none" w:sz="0" w:space="0" w:color="auto"/>
        <w:right w:val="none" w:sz="0" w:space="0" w:color="auto"/>
      </w:divBdr>
    </w:div>
    <w:div w:id="417601289">
      <w:bodyDiv w:val="1"/>
      <w:marLeft w:val="0"/>
      <w:marRight w:val="0"/>
      <w:marTop w:val="0"/>
      <w:marBottom w:val="0"/>
      <w:divBdr>
        <w:top w:val="none" w:sz="0" w:space="0" w:color="auto"/>
        <w:left w:val="none" w:sz="0" w:space="0" w:color="auto"/>
        <w:bottom w:val="none" w:sz="0" w:space="0" w:color="auto"/>
        <w:right w:val="none" w:sz="0" w:space="0" w:color="auto"/>
      </w:divBdr>
    </w:div>
    <w:div w:id="437482732">
      <w:bodyDiv w:val="1"/>
      <w:marLeft w:val="0"/>
      <w:marRight w:val="0"/>
      <w:marTop w:val="0"/>
      <w:marBottom w:val="0"/>
      <w:divBdr>
        <w:top w:val="none" w:sz="0" w:space="0" w:color="auto"/>
        <w:left w:val="none" w:sz="0" w:space="0" w:color="auto"/>
        <w:bottom w:val="none" w:sz="0" w:space="0" w:color="auto"/>
        <w:right w:val="none" w:sz="0" w:space="0" w:color="auto"/>
      </w:divBdr>
    </w:div>
    <w:div w:id="444740266">
      <w:bodyDiv w:val="1"/>
      <w:marLeft w:val="0"/>
      <w:marRight w:val="0"/>
      <w:marTop w:val="0"/>
      <w:marBottom w:val="0"/>
      <w:divBdr>
        <w:top w:val="none" w:sz="0" w:space="0" w:color="auto"/>
        <w:left w:val="none" w:sz="0" w:space="0" w:color="auto"/>
        <w:bottom w:val="none" w:sz="0" w:space="0" w:color="auto"/>
        <w:right w:val="none" w:sz="0" w:space="0" w:color="auto"/>
      </w:divBdr>
    </w:div>
    <w:div w:id="460659069">
      <w:bodyDiv w:val="1"/>
      <w:marLeft w:val="0"/>
      <w:marRight w:val="0"/>
      <w:marTop w:val="0"/>
      <w:marBottom w:val="0"/>
      <w:divBdr>
        <w:top w:val="none" w:sz="0" w:space="0" w:color="auto"/>
        <w:left w:val="none" w:sz="0" w:space="0" w:color="auto"/>
        <w:bottom w:val="none" w:sz="0" w:space="0" w:color="auto"/>
        <w:right w:val="none" w:sz="0" w:space="0" w:color="auto"/>
      </w:divBdr>
    </w:div>
    <w:div w:id="464739830">
      <w:bodyDiv w:val="1"/>
      <w:marLeft w:val="0"/>
      <w:marRight w:val="0"/>
      <w:marTop w:val="0"/>
      <w:marBottom w:val="0"/>
      <w:divBdr>
        <w:top w:val="none" w:sz="0" w:space="0" w:color="auto"/>
        <w:left w:val="none" w:sz="0" w:space="0" w:color="auto"/>
        <w:bottom w:val="none" w:sz="0" w:space="0" w:color="auto"/>
        <w:right w:val="none" w:sz="0" w:space="0" w:color="auto"/>
      </w:divBdr>
    </w:div>
    <w:div w:id="471556782">
      <w:bodyDiv w:val="1"/>
      <w:marLeft w:val="0"/>
      <w:marRight w:val="0"/>
      <w:marTop w:val="0"/>
      <w:marBottom w:val="0"/>
      <w:divBdr>
        <w:top w:val="none" w:sz="0" w:space="0" w:color="auto"/>
        <w:left w:val="none" w:sz="0" w:space="0" w:color="auto"/>
        <w:bottom w:val="none" w:sz="0" w:space="0" w:color="auto"/>
        <w:right w:val="none" w:sz="0" w:space="0" w:color="auto"/>
      </w:divBdr>
    </w:div>
    <w:div w:id="481042869">
      <w:bodyDiv w:val="1"/>
      <w:marLeft w:val="0"/>
      <w:marRight w:val="0"/>
      <w:marTop w:val="0"/>
      <w:marBottom w:val="0"/>
      <w:divBdr>
        <w:top w:val="none" w:sz="0" w:space="0" w:color="auto"/>
        <w:left w:val="none" w:sz="0" w:space="0" w:color="auto"/>
        <w:bottom w:val="none" w:sz="0" w:space="0" w:color="auto"/>
        <w:right w:val="none" w:sz="0" w:space="0" w:color="auto"/>
      </w:divBdr>
    </w:div>
    <w:div w:id="487140186">
      <w:bodyDiv w:val="1"/>
      <w:marLeft w:val="0"/>
      <w:marRight w:val="0"/>
      <w:marTop w:val="0"/>
      <w:marBottom w:val="0"/>
      <w:divBdr>
        <w:top w:val="none" w:sz="0" w:space="0" w:color="auto"/>
        <w:left w:val="none" w:sz="0" w:space="0" w:color="auto"/>
        <w:bottom w:val="none" w:sz="0" w:space="0" w:color="auto"/>
        <w:right w:val="none" w:sz="0" w:space="0" w:color="auto"/>
      </w:divBdr>
    </w:div>
    <w:div w:id="488640168">
      <w:bodyDiv w:val="1"/>
      <w:marLeft w:val="0"/>
      <w:marRight w:val="0"/>
      <w:marTop w:val="0"/>
      <w:marBottom w:val="0"/>
      <w:divBdr>
        <w:top w:val="none" w:sz="0" w:space="0" w:color="auto"/>
        <w:left w:val="none" w:sz="0" w:space="0" w:color="auto"/>
        <w:bottom w:val="none" w:sz="0" w:space="0" w:color="auto"/>
        <w:right w:val="none" w:sz="0" w:space="0" w:color="auto"/>
      </w:divBdr>
    </w:div>
    <w:div w:id="491143011">
      <w:bodyDiv w:val="1"/>
      <w:marLeft w:val="0"/>
      <w:marRight w:val="0"/>
      <w:marTop w:val="0"/>
      <w:marBottom w:val="0"/>
      <w:divBdr>
        <w:top w:val="none" w:sz="0" w:space="0" w:color="auto"/>
        <w:left w:val="none" w:sz="0" w:space="0" w:color="auto"/>
        <w:bottom w:val="none" w:sz="0" w:space="0" w:color="auto"/>
        <w:right w:val="none" w:sz="0" w:space="0" w:color="auto"/>
      </w:divBdr>
    </w:div>
    <w:div w:id="495456697">
      <w:bodyDiv w:val="1"/>
      <w:marLeft w:val="0"/>
      <w:marRight w:val="0"/>
      <w:marTop w:val="0"/>
      <w:marBottom w:val="0"/>
      <w:divBdr>
        <w:top w:val="none" w:sz="0" w:space="0" w:color="auto"/>
        <w:left w:val="none" w:sz="0" w:space="0" w:color="auto"/>
        <w:bottom w:val="none" w:sz="0" w:space="0" w:color="auto"/>
        <w:right w:val="none" w:sz="0" w:space="0" w:color="auto"/>
      </w:divBdr>
    </w:div>
    <w:div w:id="497112999">
      <w:bodyDiv w:val="1"/>
      <w:marLeft w:val="0"/>
      <w:marRight w:val="0"/>
      <w:marTop w:val="0"/>
      <w:marBottom w:val="0"/>
      <w:divBdr>
        <w:top w:val="none" w:sz="0" w:space="0" w:color="auto"/>
        <w:left w:val="none" w:sz="0" w:space="0" w:color="auto"/>
        <w:bottom w:val="none" w:sz="0" w:space="0" w:color="auto"/>
        <w:right w:val="none" w:sz="0" w:space="0" w:color="auto"/>
      </w:divBdr>
    </w:div>
    <w:div w:id="501555308">
      <w:bodyDiv w:val="1"/>
      <w:marLeft w:val="0"/>
      <w:marRight w:val="0"/>
      <w:marTop w:val="0"/>
      <w:marBottom w:val="0"/>
      <w:divBdr>
        <w:top w:val="none" w:sz="0" w:space="0" w:color="auto"/>
        <w:left w:val="none" w:sz="0" w:space="0" w:color="auto"/>
        <w:bottom w:val="none" w:sz="0" w:space="0" w:color="auto"/>
        <w:right w:val="none" w:sz="0" w:space="0" w:color="auto"/>
      </w:divBdr>
    </w:div>
    <w:div w:id="503398263">
      <w:bodyDiv w:val="1"/>
      <w:marLeft w:val="0"/>
      <w:marRight w:val="0"/>
      <w:marTop w:val="0"/>
      <w:marBottom w:val="0"/>
      <w:divBdr>
        <w:top w:val="none" w:sz="0" w:space="0" w:color="auto"/>
        <w:left w:val="none" w:sz="0" w:space="0" w:color="auto"/>
        <w:bottom w:val="none" w:sz="0" w:space="0" w:color="auto"/>
        <w:right w:val="none" w:sz="0" w:space="0" w:color="auto"/>
      </w:divBdr>
    </w:div>
    <w:div w:id="507137610">
      <w:bodyDiv w:val="1"/>
      <w:marLeft w:val="0"/>
      <w:marRight w:val="0"/>
      <w:marTop w:val="0"/>
      <w:marBottom w:val="0"/>
      <w:divBdr>
        <w:top w:val="none" w:sz="0" w:space="0" w:color="auto"/>
        <w:left w:val="none" w:sz="0" w:space="0" w:color="auto"/>
        <w:bottom w:val="none" w:sz="0" w:space="0" w:color="auto"/>
        <w:right w:val="none" w:sz="0" w:space="0" w:color="auto"/>
      </w:divBdr>
    </w:div>
    <w:div w:id="516696245">
      <w:bodyDiv w:val="1"/>
      <w:marLeft w:val="0"/>
      <w:marRight w:val="0"/>
      <w:marTop w:val="0"/>
      <w:marBottom w:val="0"/>
      <w:divBdr>
        <w:top w:val="none" w:sz="0" w:space="0" w:color="auto"/>
        <w:left w:val="none" w:sz="0" w:space="0" w:color="auto"/>
        <w:bottom w:val="none" w:sz="0" w:space="0" w:color="auto"/>
        <w:right w:val="none" w:sz="0" w:space="0" w:color="auto"/>
      </w:divBdr>
    </w:div>
    <w:div w:id="522405535">
      <w:bodyDiv w:val="1"/>
      <w:marLeft w:val="0"/>
      <w:marRight w:val="0"/>
      <w:marTop w:val="0"/>
      <w:marBottom w:val="0"/>
      <w:divBdr>
        <w:top w:val="none" w:sz="0" w:space="0" w:color="auto"/>
        <w:left w:val="none" w:sz="0" w:space="0" w:color="auto"/>
        <w:bottom w:val="none" w:sz="0" w:space="0" w:color="auto"/>
        <w:right w:val="none" w:sz="0" w:space="0" w:color="auto"/>
      </w:divBdr>
    </w:div>
    <w:div w:id="522861378">
      <w:bodyDiv w:val="1"/>
      <w:marLeft w:val="0"/>
      <w:marRight w:val="0"/>
      <w:marTop w:val="0"/>
      <w:marBottom w:val="0"/>
      <w:divBdr>
        <w:top w:val="none" w:sz="0" w:space="0" w:color="auto"/>
        <w:left w:val="none" w:sz="0" w:space="0" w:color="auto"/>
        <w:bottom w:val="none" w:sz="0" w:space="0" w:color="auto"/>
        <w:right w:val="none" w:sz="0" w:space="0" w:color="auto"/>
      </w:divBdr>
    </w:div>
    <w:div w:id="526405007">
      <w:bodyDiv w:val="1"/>
      <w:marLeft w:val="0"/>
      <w:marRight w:val="0"/>
      <w:marTop w:val="0"/>
      <w:marBottom w:val="0"/>
      <w:divBdr>
        <w:top w:val="none" w:sz="0" w:space="0" w:color="auto"/>
        <w:left w:val="none" w:sz="0" w:space="0" w:color="auto"/>
        <w:bottom w:val="none" w:sz="0" w:space="0" w:color="auto"/>
        <w:right w:val="none" w:sz="0" w:space="0" w:color="auto"/>
      </w:divBdr>
    </w:div>
    <w:div w:id="539173058">
      <w:bodyDiv w:val="1"/>
      <w:marLeft w:val="0"/>
      <w:marRight w:val="0"/>
      <w:marTop w:val="0"/>
      <w:marBottom w:val="0"/>
      <w:divBdr>
        <w:top w:val="none" w:sz="0" w:space="0" w:color="auto"/>
        <w:left w:val="none" w:sz="0" w:space="0" w:color="auto"/>
        <w:bottom w:val="none" w:sz="0" w:space="0" w:color="auto"/>
        <w:right w:val="none" w:sz="0" w:space="0" w:color="auto"/>
      </w:divBdr>
    </w:div>
    <w:div w:id="541333651">
      <w:bodyDiv w:val="1"/>
      <w:marLeft w:val="0"/>
      <w:marRight w:val="0"/>
      <w:marTop w:val="0"/>
      <w:marBottom w:val="0"/>
      <w:divBdr>
        <w:top w:val="none" w:sz="0" w:space="0" w:color="auto"/>
        <w:left w:val="none" w:sz="0" w:space="0" w:color="auto"/>
        <w:bottom w:val="none" w:sz="0" w:space="0" w:color="auto"/>
        <w:right w:val="none" w:sz="0" w:space="0" w:color="auto"/>
      </w:divBdr>
    </w:div>
    <w:div w:id="542521831">
      <w:bodyDiv w:val="1"/>
      <w:marLeft w:val="0"/>
      <w:marRight w:val="0"/>
      <w:marTop w:val="0"/>
      <w:marBottom w:val="0"/>
      <w:divBdr>
        <w:top w:val="none" w:sz="0" w:space="0" w:color="auto"/>
        <w:left w:val="none" w:sz="0" w:space="0" w:color="auto"/>
        <w:bottom w:val="none" w:sz="0" w:space="0" w:color="auto"/>
        <w:right w:val="none" w:sz="0" w:space="0" w:color="auto"/>
      </w:divBdr>
    </w:div>
    <w:div w:id="544220506">
      <w:bodyDiv w:val="1"/>
      <w:marLeft w:val="0"/>
      <w:marRight w:val="0"/>
      <w:marTop w:val="0"/>
      <w:marBottom w:val="0"/>
      <w:divBdr>
        <w:top w:val="none" w:sz="0" w:space="0" w:color="auto"/>
        <w:left w:val="none" w:sz="0" w:space="0" w:color="auto"/>
        <w:bottom w:val="none" w:sz="0" w:space="0" w:color="auto"/>
        <w:right w:val="none" w:sz="0" w:space="0" w:color="auto"/>
      </w:divBdr>
    </w:div>
    <w:div w:id="552691488">
      <w:bodyDiv w:val="1"/>
      <w:marLeft w:val="0"/>
      <w:marRight w:val="0"/>
      <w:marTop w:val="0"/>
      <w:marBottom w:val="0"/>
      <w:divBdr>
        <w:top w:val="none" w:sz="0" w:space="0" w:color="auto"/>
        <w:left w:val="none" w:sz="0" w:space="0" w:color="auto"/>
        <w:bottom w:val="none" w:sz="0" w:space="0" w:color="auto"/>
        <w:right w:val="none" w:sz="0" w:space="0" w:color="auto"/>
      </w:divBdr>
    </w:div>
    <w:div w:id="573709130">
      <w:bodyDiv w:val="1"/>
      <w:marLeft w:val="0"/>
      <w:marRight w:val="0"/>
      <w:marTop w:val="0"/>
      <w:marBottom w:val="0"/>
      <w:divBdr>
        <w:top w:val="none" w:sz="0" w:space="0" w:color="auto"/>
        <w:left w:val="none" w:sz="0" w:space="0" w:color="auto"/>
        <w:bottom w:val="none" w:sz="0" w:space="0" w:color="auto"/>
        <w:right w:val="none" w:sz="0" w:space="0" w:color="auto"/>
      </w:divBdr>
    </w:div>
    <w:div w:id="582573232">
      <w:bodyDiv w:val="1"/>
      <w:marLeft w:val="0"/>
      <w:marRight w:val="0"/>
      <w:marTop w:val="0"/>
      <w:marBottom w:val="0"/>
      <w:divBdr>
        <w:top w:val="none" w:sz="0" w:space="0" w:color="auto"/>
        <w:left w:val="none" w:sz="0" w:space="0" w:color="auto"/>
        <w:bottom w:val="none" w:sz="0" w:space="0" w:color="auto"/>
        <w:right w:val="none" w:sz="0" w:space="0" w:color="auto"/>
      </w:divBdr>
    </w:div>
    <w:div w:id="595677884">
      <w:bodyDiv w:val="1"/>
      <w:marLeft w:val="0"/>
      <w:marRight w:val="0"/>
      <w:marTop w:val="0"/>
      <w:marBottom w:val="0"/>
      <w:divBdr>
        <w:top w:val="none" w:sz="0" w:space="0" w:color="auto"/>
        <w:left w:val="none" w:sz="0" w:space="0" w:color="auto"/>
        <w:bottom w:val="none" w:sz="0" w:space="0" w:color="auto"/>
        <w:right w:val="none" w:sz="0" w:space="0" w:color="auto"/>
      </w:divBdr>
    </w:div>
    <w:div w:id="600332540">
      <w:bodyDiv w:val="1"/>
      <w:marLeft w:val="0"/>
      <w:marRight w:val="0"/>
      <w:marTop w:val="0"/>
      <w:marBottom w:val="0"/>
      <w:divBdr>
        <w:top w:val="none" w:sz="0" w:space="0" w:color="auto"/>
        <w:left w:val="none" w:sz="0" w:space="0" w:color="auto"/>
        <w:bottom w:val="none" w:sz="0" w:space="0" w:color="auto"/>
        <w:right w:val="none" w:sz="0" w:space="0" w:color="auto"/>
      </w:divBdr>
    </w:div>
    <w:div w:id="612631912">
      <w:bodyDiv w:val="1"/>
      <w:marLeft w:val="0"/>
      <w:marRight w:val="0"/>
      <w:marTop w:val="0"/>
      <w:marBottom w:val="0"/>
      <w:divBdr>
        <w:top w:val="none" w:sz="0" w:space="0" w:color="auto"/>
        <w:left w:val="none" w:sz="0" w:space="0" w:color="auto"/>
        <w:bottom w:val="none" w:sz="0" w:space="0" w:color="auto"/>
        <w:right w:val="none" w:sz="0" w:space="0" w:color="auto"/>
      </w:divBdr>
    </w:div>
    <w:div w:id="622731777">
      <w:bodyDiv w:val="1"/>
      <w:marLeft w:val="0"/>
      <w:marRight w:val="0"/>
      <w:marTop w:val="0"/>
      <w:marBottom w:val="0"/>
      <w:divBdr>
        <w:top w:val="none" w:sz="0" w:space="0" w:color="auto"/>
        <w:left w:val="none" w:sz="0" w:space="0" w:color="auto"/>
        <w:bottom w:val="none" w:sz="0" w:space="0" w:color="auto"/>
        <w:right w:val="none" w:sz="0" w:space="0" w:color="auto"/>
      </w:divBdr>
    </w:div>
    <w:div w:id="632709231">
      <w:bodyDiv w:val="1"/>
      <w:marLeft w:val="0"/>
      <w:marRight w:val="0"/>
      <w:marTop w:val="0"/>
      <w:marBottom w:val="0"/>
      <w:divBdr>
        <w:top w:val="none" w:sz="0" w:space="0" w:color="auto"/>
        <w:left w:val="none" w:sz="0" w:space="0" w:color="auto"/>
        <w:bottom w:val="none" w:sz="0" w:space="0" w:color="auto"/>
        <w:right w:val="none" w:sz="0" w:space="0" w:color="auto"/>
      </w:divBdr>
    </w:div>
    <w:div w:id="635261745">
      <w:bodyDiv w:val="1"/>
      <w:marLeft w:val="0"/>
      <w:marRight w:val="0"/>
      <w:marTop w:val="0"/>
      <w:marBottom w:val="0"/>
      <w:divBdr>
        <w:top w:val="none" w:sz="0" w:space="0" w:color="auto"/>
        <w:left w:val="none" w:sz="0" w:space="0" w:color="auto"/>
        <w:bottom w:val="none" w:sz="0" w:space="0" w:color="auto"/>
        <w:right w:val="none" w:sz="0" w:space="0" w:color="auto"/>
      </w:divBdr>
    </w:div>
    <w:div w:id="654917823">
      <w:bodyDiv w:val="1"/>
      <w:marLeft w:val="0"/>
      <w:marRight w:val="0"/>
      <w:marTop w:val="0"/>
      <w:marBottom w:val="0"/>
      <w:divBdr>
        <w:top w:val="none" w:sz="0" w:space="0" w:color="auto"/>
        <w:left w:val="none" w:sz="0" w:space="0" w:color="auto"/>
        <w:bottom w:val="none" w:sz="0" w:space="0" w:color="auto"/>
        <w:right w:val="none" w:sz="0" w:space="0" w:color="auto"/>
      </w:divBdr>
    </w:div>
    <w:div w:id="658507973">
      <w:bodyDiv w:val="1"/>
      <w:marLeft w:val="0"/>
      <w:marRight w:val="0"/>
      <w:marTop w:val="0"/>
      <w:marBottom w:val="0"/>
      <w:divBdr>
        <w:top w:val="none" w:sz="0" w:space="0" w:color="auto"/>
        <w:left w:val="none" w:sz="0" w:space="0" w:color="auto"/>
        <w:bottom w:val="none" w:sz="0" w:space="0" w:color="auto"/>
        <w:right w:val="none" w:sz="0" w:space="0" w:color="auto"/>
      </w:divBdr>
    </w:div>
    <w:div w:id="660350204">
      <w:bodyDiv w:val="1"/>
      <w:marLeft w:val="0"/>
      <w:marRight w:val="0"/>
      <w:marTop w:val="0"/>
      <w:marBottom w:val="0"/>
      <w:divBdr>
        <w:top w:val="none" w:sz="0" w:space="0" w:color="auto"/>
        <w:left w:val="none" w:sz="0" w:space="0" w:color="auto"/>
        <w:bottom w:val="none" w:sz="0" w:space="0" w:color="auto"/>
        <w:right w:val="none" w:sz="0" w:space="0" w:color="auto"/>
      </w:divBdr>
    </w:div>
    <w:div w:id="672681840">
      <w:bodyDiv w:val="1"/>
      <w:marLeft w:val="0"/>
      <w:marRight w:val="0"/>
      <w:marTop w:val="0"/>
      <w:marBottom w:val="0"/>
      <w:divBdr>
        <w:top w:val="none" w:sz="0" w:space="0" w:color="auto"/>
        <w:left w:val="none" w:sz="0" w:space="0" w:color="auto"/>
        <w:bottom w:val="none" w:sz="0" w:space="0" w:color="auto"/>
        <w:right w:val="none" w:sz="0" w:space="0" w:color="auto"/>
      </w:divBdr>
    </w:div>
    <w:div w:id="674189752">
      <w:bodyDiv w:val="1"/>
      <w:marLeft w:val="0"/>
      <w:marRight w:val="0"/>
      <w:marTop w:val="0"/>
      <w:marBottom w:val="0"/>
      <w:divBdr>
        <w:top w:val="none" w:sz="0" w:space="0" w:color="auto"/>
        <w:left w:val="none" w:sz="0" w:space="0" w:color="auto"/>
        <w:bottom w:val="none" w:sz="0" w:space="0" w:color="auto"/>
        <w:right w:val="none" w:sz="0" w:space="0" w:color="auto"/>
      </w:divBdr>
    </w:div>
    <w:div w:id="689256199">
      <w:bodyDiv w:val="1"/>
      <w:marLeft w:val="0"/>
      <w:marRight w:val="0"/>
      <w:marTop w:val="0"/>
      <w:marBottom w:val="0"/>
      <w:divBdr>
        <w:top w:val="none" w:sz="0" w:space="0" w:color="auto"/>
        <w:left w:val="none" w:sz="0" w:space="0" w:color="auto"/>
        <w:bottom w:val="none" w:sz="0" w:space="0" w:color="auto"/>
        <w:right w:val="none" w:sz="0" w:space="0" w:color="auto"/>
      </w:divBdr>
    </w:div>
    <w:div w:id="689451278">
      <w:bodyDiv w:val="1"/>
      <w:marLeft w:val="0"/>
      <w:marRight w:val="0"/>
      <w:marTop w:val="0"/>
      <w:marBottom w:val="0"/>
      <w:divBdr>
        <w:top w:val="none" w:sz="0" w:space="0" w:color="auto"/>
        <w:left w:val="none" w:sz="0" w:space="0" w:color="auto"/>
        <w:bottom w:val="none" w:sz="0" w:space="0" w:color="auto"/>
        <w:right w:val="none" w:sz="0" w:space="0" w:color="auto"/>
      </w:divBdr>
    </w:div>
    <w:div w:id="698237933">
      <w:bodyDiv w:val="1"/>
      <w:marLeft w:val="0"/>
      <w:marRight w:val="0"/>
      <w:marTop w:val="0"/>
      <w:marBottom w:val="0"/>
      <w:divBdr>
        <w:top w:val="none" w:sz="0" w:space="0" w:color="auto"/>
        <w:left w:val="none" w:sz="0" w:space="0" w:color="auto"/>
        <w:bottom w:val="none" w:sz="0" w:space="0" w:color="auto"/>
        <w:right w:val="none" w:sz="0" w:space="0" w:color="auto"/>
      </w:divBdr>
    </w:div>
    <w:div w:id="698241475">
      <w:bodyDiv w:val="1"/>
      <w:marLeft w:val="0"/>
      <w:marRight w:val="0"/>
      <w:marTop w:val="0"/>
      <w:marBottom w:val="0"/>
      <w:divBdr>
        <w:top w:val="none" w:sz="0" w:space="0" w:color="auto"/>
        <w:left w:val="none" w:sz="0" w:space="0" w:color="auto"/>
        <w:bottom w:val="none" w:sz="0" w:space="0" w:color="auto"/>
        <w:right w:val="none" w:sz="0" w:space="0" w:color="auto"/>
      </w:divBdr>
    </w:div>
    <w:div w:id="740758793">
      <w:bodyDiv w:val="1"/>
      <w:marLeft w:val="0"/>
      <w:marRight w:val="0"/>
      <w:marTop w:val="0"/>
      <w:marBottom w:val="0"/>
      <w:divBdr>
        <w:top w:val="none" w:sz="0" w:space="0" w:color="auto"/>
        <w:left w:val="none" w:sz="0" w:space="0" w:color="auto"/>
        <w:bottom w:val="none" w:sz="0" w:space="0" w:color="auto"/>
        <w:right w:val="none" w:sz="0" w:space="0" w:color="auto"/>
      </w:divBdr>
    </w:div>
    <w:div w:id="754404523">
      <w:bodyDiv w:val="1"/>
      <w:marLeft w:val="0"/>
      <w:marRight w:val="0"/>
      <w:marTop w:val="0"/>
      <w:marBottom w:val="0"/>
      <w:divBdr>
        <w:top w:val="none" w:sz="0" w:space="0" w:color="auto"/>
        <w:left w:val="none" w:sz="0" w:space="0" w:color="auto"/>
        <w:bottom w:val="none" w:sz="0" w:space="0" w:color="auto"/>
        <w:right w:val="none" w:sz="0" w:space="0" w:color="auto"/>
      </w:divBdr>
    </w:div>
    <w:div w:id="755903205">
      <w:bodyDiv w:val="1"/>
      <w:marLeft w:val="0"/>
      <w:marRight w:val="0"/>
      <w:marTop w:val="0"/>
      <w:marBottom w:val="0"/>
      <w:divBdr>
        <w:top w:val="none" w:sz="0" w:space="0" w:color="auto"/>
        <w:left w:val="none" w:sz="0" w:space="0" w:color="auto"/>
        <w:bottom w:val="none" w:sz="0" w:space="0" w:color="auto"/>
        <w:right w:val="none" w:sz="0" w:space="0" w:color="auto"/>
      </w:divBdr>
    </w:div>
    <w:div w:id="769200723">
      <w:bodyDiv w:val="1"/>
      <w:marLeft w:val="0"/>
      <w:marRight w:val="0"/>
      <w:marTop w:val="0"/>
      <w:marBottom w:val="0"/>
      <w:divBdr>
        <w:top w:val="none" w:sz="0" w:space="0" w:color="auto"/>
        <w:left w:val="none" w:sz="0" w:space="0" w:color="auto"/>
        <w:bottom w:val="none" w:sz="0" w:space="0" w:color="auto"/>
        <w:right w:val="none" w:sz="0" w:space="0" w:color="auto"/>
      </w:divBdr>
    </w:div>
    <w:div w:id="790902935">
      <w:bodyDiv w:val="1"/>
      <w:marLeft w:val="0"/>
      <w:marRight w:val="0"/>
      <w:marTop w:val="0"/>
      <w:marBottom w:val="0"/>
      <w:divBdr>
        <w:top w:val="none" w:sz="0" w:space="0" w:color="auto"/>
        <w:left w:val="none" w:sz="0" w:space="0" w:color="auto"/>
        <w:bottom w:val="none" w:sz="0" w:space="0" w:color="auto"/>
        <w:right w:val="none" w:sz="0" w:space="0" w:color="auto"/>
      </w:divBdr>
    </w:div>
    <w:div w:id="793327289">
      <w:bodyDiv w:val="1"/>
      <w:marLeft w:val="0"/>
      <w:marRight w:val="0"/>
      <w:marTop w:val="0"/>
      <w:marBottom w:val="0"/>
      <w:divBdr>
        <w:top w:val="none" w:sz="0" w:space="0" w:color="auto"/>
        <w:left w:val="none" w:sz="0" w:space="0" w:color="auto"/>
        <w:bottom w:val="none" w:sz="0" w:space="0" w:color="auto"/>
        <w:right w:val="none" w:sz="0" w:space="0" w:color="auto"/>
      </w:divBdr>
    </w:div>
    <w:div w:id="798105891">
      <w:bodyDiv w:val="1"/>
      <w:marLeft w:val="0"/>
      <w:marRight w:val="0"/>
      <w:marTop w:val="0"/>
      <w:marBottom w:val="0"/>
      <w:divBdr>
        <w:top w:val="none" w:sz="0" w:space="0" w:color="auto"/>
        <w:left w:val="none" w:sz="0" w:space="0" w:color="auto"/>
        <w:bottom w:val="none" w:sz="0" w:space="0" w:color="auto"/>
        <w:right w:val="none" w:sz="0" w:space="0" w:color="auto"/>
      </w:divBdr>
    </w:div>
    <w:div w:id="808088589">
      <w:bodyDiv w:val="1"/>
      <w:marLeft w:val="0"/>
      <w:marRight w:val="0"/>
      <w:marTop w:val="0"/>
      <w:marBottom w:val="0"/>
      <w:divBdr>
        <w:top w:val="none" w:sz="0" w:space="0" w:color="auto"/>
        <w:left w:val="none" w:sz="0" w:space="0" w:color="auto"/>
        <w:bottom w:val="none" w:sz="0" w:space="0" w:color="auto"/>
        <w:right w:val="none" w:sz="0" w:space="0" w:color="auto"/>
      </w:divBdr>
    </w:div>
    <w:div w:id="810950822">
      <w:bodyDiv w:val="1"/>
      <w:marLeft w:val="0"/>
      <w:marRight w:val="0"/>
      <w:marTop w:val="0"/>
      <w:marBottom w:val="0"/>
      <w:divBdr>
        <w:top w:val="none" w:sz="0" w:space="0" w:color="auto"/>
        <w:left w:val="none" w:sz="0" w:space="0" w:color="auto"/>
        <w:bottom w:val="none" w:sz="0" w:space="0" w:color="auto"/>
        <w:right w:val="none" w:sz="0" w:space="0" w:color="auto"/>
      </w:divBdr>
    </w:div>
    <w:div w:id="813378018">
      <w:bodyDiv w:val="1"/>
      <w:marLeft w:val="0"/>
      <w:marRight w:val="0"/>
      <w:marTop w:val="0"/>
      <w:marBottom w:val="0"/>
      <w:divBdr>
        <w:top w:val="none" w:sz="0" w:space="0" w:color="auto"/>
        <w:left w:val="none" w:sz="0" w:space="0" w:color="auto"/>
        <w:bottom w:val="none" w:sz="0" w:space="0" w:color="auto"/>
        <w:right w:val="none" w:sz="0" w:space="0" w:color="auto"/>
      </w:divBdr>
    </w:div>
    <w:div w:id="814495428">
      <w:bodyDiv w:val="1"/>
      <w:marLeft w:val="0"/>
      <w:marRight w:val="0"/>
      <w:marTop w:val="0"/>
      <w:marBottom w:val="0"/>
      <w:divBdr>
        <w:top w:val="none" w:sz="0" w:space="0" w:color="auto"/>
        <w:left w:val="none" w:sz="0" w:space="0" w:color="auto"/>
        <w:bottom w:val="none" w:sz="0" w:space="0" w:color="auto"/>
        <w:right w:val="none" w:sz="0" w:space="0" w:color="auto"/>
      </w:divBdr>
    </w:div>
    <w:div w:id="819494146">
      <w:bodyDiv w:val="1"/>
      <w:marLeft w:val="0"/>
      <w:marRight w:val="0"/>
      <w:marTop w:val="0"/>
      <w:marBottom w:val="0"/>
      <w:divBdr>
        <w:top w:val="none" w:sz="0" w:space="0" w:color="auto"/>
        <w:left w:val="none" w:sz="0" w:space="0" w:color="auto"/>
        <w:bottom w:val="none" w:sz="0" w:space="0" w:color="auto"/>
        <w:right w:val="none" w:sz="0" w:space="0" w:color="auto"/>
      </w:divBdr>
    </w:div>
    <w:div w:id="831718230">
      <w:bodyDiv w:val="1"/>
      <w:marLeft w:val="0"/>
      <w:marRight w:val="0"/>
      <w:marTop w:val="0"/>
      <w:marBottom w:val="0"/>
      <w:divBdr>
        <w:top w:val="none" w:sz="0" w:space="0" w:color="auto"/>
        <w:left w:val="none" w:sz="0" w:space="0" w:color="auto"/>
        <w:bottom w:val="none" w:sz="0" w:space="0" w:color="auto"/>
        <w:right w:val="none" w:sz="0" w:space="0" w:color="auto"/>
      </w:divBdr>
    </w:div>
    <w:div w:id="835149577">
      <w:bodyDiv w:val="1"/>
      <w:marLeft w:val="0"/>
      <w:marRight w:val="0"/>
      <w:marTop w:val="0"/>
      <w:marBottom w:val="0"/>
      <w:divBdr>
        <w:top w:val="none" w:sz="0" w:space="0" w:color="auto"/>
        <w:left w:val="none" w:sz="0" w:space="0" w:color="auto"/>
        <w:bottom w:val="none" w:sz="0" w:space="0" w:color="auto"/>
        <w:right w:val="none" w:sz="0" w:space="0" w:color="auto"/>
      </w:divBdr>
    </w:div>
    <w:div w:id="836116694">
      <w:bodyDiv w:val="1"/>
      <w:marLeft w:val="0"/>
      <w:marRight w:val="0"/>
      <w:marTop w:val="0"/>
      <w:marBottom w:val="0"/>
      <w:divBdr>
        <w:top w:val="none" w:sz="0" w:space="0" w:color="auto"/>
        <w:left w:val="none" w:sz="0" w:space="0" w:color="auto"/>
        <w:bottom w:val="none" w:sz="0" w:space="0" w:color="auto"/>
        <w:right w:val="none" w:sz="0" w:space="0" w:color="auto"/>
      </w:divBdr>
    </w:div>
    <w:div w:id="861094986">
      <w:bodyDiv w:val="1"/>
      <w:marLeft w:val="0"/>
      <w:marRight w:val="0"/>
      <w:marTop w:val="0"/>
      <w:marBottom w:val="0"/>
      <w:divBdr>
        <w:top w:val="none" w:sz="0" w:space="0" w:color="auto"/>
        <w:left w:val="none" w:sz="0" w:space="0" w:color="auto"/>
        <w:bottom w:val="none" w:sz="0" w:space="0" w:color="auto"/>
        <w:right w:val="none" w:sz="0" w:space="0" w:color="auto"/>
      </w:divBdr>
    </w:div>
    <w:div w:id="862355108">
      <w:bodyDiv w:val="1"/>
      <w:marLeft w:val="0"/>
      <w:marRight w:val="0"/>
      <w:marTop w:val="0"/>
      <w:marBottom w:val="0"/>
      <w:divBdr>
        <w:top w:val="none" w:sz="0" w:space="0" w:color="auto"/>
        <w:left w:val="none" w:sz="0" w:space="0" w:color="auto"/>
        <w:bottom w:val="none" w:sz="0" w:space="0" w:color="auto"/>
        <w:right w:val="none" w:sz="0" w:space="0" w:color="auto"/>
      </w:divBdr>
    </w:div>
    <w:div w:id="876115831">
      <w:bodyDiv w:val="1"/>
      <w:marLeft w:val="0"/>
      <w:marRight w:val="0"/>
      <w:marTop w:val="0"/>
      <w:marBottom w:val="0"/>
      <w:divBdr>
        <w:top w:val="none" w:sz="0" w:space="0" w:color="auto"/>
        <w:left w:val="none" w:sz="0" w:space="0" w:color="auto"/>
        <w:bottom w:val="none" w:sz="0" w:space="0" w:color="auto"/>
        <w:right w:val="none" w:sz="0" w:space="0" w:color="auto"/>
      </w:divBdr>
    </w:div>
    <w:div w:id="880284475">
      <w:bodyDiv w:val="1"/>
      <w:marLeft w:val="0"/>
      <w:marRight w:val="0"/>
      <w:marTop w:val="0"/>
      <w:marBottom w:val="0"/>
      <w:divBdr>
        <w:top w:val="none" w:sz="0" w:space="0" w:color="auto"/>
        <w:left w:val="none" w:sz="0" w:space="0" w:color="auto"/>
        <w:bottom w:val="none" w:sz="0" w:space="0" w:color="auto"/>
        <w:right w:val="none" w:sz="0" w:space="0" w:color="auto"/>
      </w:divBdr>
    </w:div>
    <w:div w:id="882324575">
      <w:bodyDiv w:val="1"/>
      <w:marLeft w:val="0"/>
      <w:marRight w:val="0"/>
      <w:marTop w:val="0"/>
      <w:marBottom w:val="0"/>
      <w:divBdr>
        <w:top w:val="none" w:sz="0" w:space="0" w:color="auto"/>
        <w:left w:val="none" w:sz="0" w:space="0" w:color="auto"/>
        <w:bottom w:val="none" w:sz="0" w:space="0" w:color="auto"/>
        <w:right w:val="none" w:sz="0" w:space="0" w:color="auto"/>
      </w:divBdr>
    </w:div>
    <w:div w:id="886800098">
      <w:bodyDiv w:val="1"/>
      <w:marLeft w:val="0"/>
      <w:marRight w:val="0"/>
      <w:marTop w:val="0"/>
      <w:marBottom w:val="0"/>
      <w:divBdr>
        <w:top w:val="none" w:sz="0" w:space="0" w:color="auto"/>
        <w:left w:val="none" w:sz="0" w:space="0" w:color="auto"/>
        <w:bottom w:val="none" w:sz="0" w:space="0" w:color="auto"/>
        <w:right w:val="none" w:sz="0" w:space="0" w:color="auto"/>
      </w:divBdr>
    </w:div>
    <w:div w:id="887298487">
      <w:bodyDiv w:val="1"/>
      <w:marLeft w:val="0"/>
      <w:marRight w:val="0"/>
      <w:marTop w:val="0"/>
      <w:marBottom w:val="0"/>
      <w:divBdr>
        <w:top w:val="none" w:sz="0" w:space="0" w:color="auto"/>
        <w:left w:val="none" w:sz="0" w:space="0" w:color="auto"/>
        <w:bottom w:val="none" w:sz="0" w:space="0" w:color="auto"/>
        <w:right w:val="none" w:sz="0" w:space="0" w:color="auto"/>
      </w:divBdr>
    </w:div>
    <w:div w:id="888298931">
      <w:bodyDiv w:val="1"/>
      <w:marLeft w:val="0"/>
      <w:marRight w:val="0"/>
      <w:marTop w:val="0"/>
      <w:marBottom w:val="0"/>
      <w:divBdr>
        <w:top w:val="none" w:sz="0" w:space="0" w:color="auto"/>
        <w:left w:val="none" w:sz="0" w:space="0" w:color="auto"/>
        <w:bottom w:val="none" w:sz="0" w:space="0" w:color="auto"/>
        <w:right w:val="none" w:sz="0" w:space="0" w:color="auto"/>
      </w:divBdr>
    </w:div>
    <w:div w:id="889146724">
      <w:bodyDiv w:val="1"/>
      <w:marLeft w:val="0"/>
      <w:marRight w:val="0"/>
      <w:marTop w:val="0"/>
      <w:marBottom w:val="0"/>
      <w:divBdr>
        <w:top w:val="none" w:sz="0" w:space="0" w:color="auto"/>
        <w:left w:val="none" w:sz="0" w:space="0" w:color="auto"/>
        <w:bottom w:val="none" w:sz="0" w:space="0" w:color="auto"/>
        <w:right w:val="none" w:sz="0" w:space="0" w:color="auto"/>
      </w:divBdr>
    </w:div>
    <w:div w:id="893809972">
      <w:bodyDiv w:val="1"/>
      <w:marLeft w:val="0"/>
      <w:marRight w:val="0"/>
      <w:marTop w:val="0"/>
      <w:marBottom w:val="0"/>
      <w:divBdr>
        <w:top w:val="none" w:sz="0" w:space="0" w:color="auto"/>
        <w:left w:val="none" w:sz="0" w:space="0" w:color="auto"/>
        <w:bottom w:val="none" w:sz="0" w:space="0" w:color="auto"/>
        <w:right w:val="none" w:sz="0" w:space="0" w:color="auto"/>
      </w:divBdr>
    </w:div>
    <w:div w:id="902062005">
      <w:bodyDiv w:val="1"/>
      <w:marLeft w:val="0"/>
      <w:marRight w:val="0"/>
      <w:marTop w:val="0"/>
      <w:marBottom w:val="0"/>
      <w:divBdr>
        <w:top w:val="none" w:sz="0" w:space="0" w:color="auto"/>
        <w:left w:val="none" w:sz="0" w:space="0" w:color="auto"/>
        <w:bottom w:val="none" w:sz="0" w:space="0" w:color="auto"/>
        <w:right w:val="none" w:sz="0" w:space="0" w:color="auto"/>
      </w:divBdr>
    </w:div>
    <w:div w:id="908925797">
      <w:bodyDiv w:val="1"/>
      <w:marLeft w:val="0"/>
      <w:marRight w:val="0"/>
      <w:marTop w:val="0"/>
      <w:marBottom w:val="0"/>
      <w:divBdr>
        <w:top w:val="none" w:sz="0" w:space="0" w:color="auto"/>
        <w:left w:val="none" w:sz="0" w:space="0" w:color="auto"/>
        <w:bottom w:val="none" w:sz="0" w:space="0" w:color="auto"/>
        <w:right w:val="none" w:sz="0" w:space="0" w:color="auto"/>
      </w:divBdr>
    </w:div>
    <w:div w:id="915937199">
      <w:bodyDiv w:val="1"/>
      <w:marLeft w:val="0"/>
      <w:marRight w:val="0"/>
      <w:marTop w:val="0"/>
      <w:marBottom w:val="0"/>
      <w:divBdr>
        <w:top w:val="none" w:sz="0" w:space="0" w:color="auto"/>
        <w:left w:val="none" w:sz="0" w:space="0" w:color="auto"/>
        <w:bottom w:val="none" w:sz="0" w:space="0" w:color="auto"/>
        <w:right w:val="none" w:sz="0" w:space="0" w:color="auto"/>
      </w:divBdr>
    </w:div>
    <w:div w:id="916208439">
      <w:bodyDiv w:val="1"/>
      <w:marLeft w:val="0"/>
      <w:marRight w:val="0"/>
      <w:marTop w:val="0"/>
      <w:marBottom w:val="0"/>
      <w:divBdr>
        <w:top w:val="none" w:sz="0" w:space="0" w:color="auto"/>
        <w:left w:val="none" w:sz="0" w:space="0" w:color="auto"/>
        <w:bottom w:val="none" w:sz="0" w:space="0" w:color="auto"/>
        <w:right w:val="none" w:sz="0" w:space="0" w:color="auto"/>
      </w:divBdr>
    </w:div>
    <w:div w:id="949317721">
      <w:bodyDiv w:val="1"/>
      <w:marLeft w:val="0"/>
      <w:marRight w:val="0"/>
      <w:marTop w:val="0"/>
      <w:marBottom w:val="0"/>
      <w:divBdr>
        <w:top w:val="none" w:sz="0" w:space="0" w:color="auto"/>
        <w:left w:val="none" w:sz="0" w:space="0" w:color="auto"/>
        <w:bottom w:val="none" w:sz="0" w:space="0" w:color="auto"/>
        <w:right w:val="none" w:sz="0" w:space="0" w:color="auto"/>
      </w:divBdr>
    </w:div>
    <w:div w:id="953901058">
      <w:bodyDiv w:val="1"/>
      <w:marLeft w:val="0"/>
      <w:marRight w:val="0"/>
      <w:marTop w:val="0"/>
      <w:marBottom w:val="0"/>
      <w:divBdr>
        <w:top w:val="none" w:sz="0" w:space="0" w:color="auto"/>
        <w:left w:val="none" w:sz="0" w:space="0" w:color="auto"/>
        <w:bottom w:val="none" w:sz="0" w:space="0" w:color="auto"/>
        <w:right w:val="none" w:sz="0" w:space="0" w:color="auto"/>
      </w:divBdr>
    </w:div>
    <w:div w:id="961421140">
      <w:bodyDiv w:val="1"/>
      <w:marLeft w:val="0"/>
      <w:marRight w:val="0"/>
      <w:marTop w:val="0"/>
      <w:marBottom w:val="0"/>
      <w:divBdr>
        <w:top w:val="none" w:sz="0" w:space="0" w:color="auto"/>
        <w:left w:val="none" w:sz="0" w:space="0" w:color="auto"/>
        <w:bottom w:val="none" w:sz="0" w:space="0" w:color="auto"/>
        <w:right w:val="none" w:sz="0" w:space="0" w:color="auto"/>
      </w:divBdr>
    </w:div>
    <w:div w:id="962686564">
      <w:bodyDiv w:val="1"/>
      <w:marLeft w:val="0"/>
      <w:marRight w:val="0"/>
      <w:marTop w:val="0"/>
      <w:marBottom w:val="0"/>
      <w:divBdr>
        <w:top w:val="none" w:sz="0" w:space="0" w:color="auto"/>
        <w:left w:val="none" w:sz="0" w:space="0" w:color="auto"/>
        <w:bottom w:val="none" w:sz="0" w:space="0" w:color="auto"/>
        <w:right w:val="none" w:sz="0" w:space="0" w:color="auto"/>
      </w:divBdr>
    </w:div>
    <w:div w:id="965358963">
      <w:bodyDiv w:val="1"/>
      <w:marLeft w:val="0"/>
      <w:marRight w:val="0"/>
      <w:marTop w:val="0"/>
      <w:marBottom w:val="0"/>
      <w:divBdr>
        <w:top w:val="none" w:sz="0" w:space="0" w:color="auto"/>
        <w:left w:val="none" w:sz="0" w:space="0" w:color="auto"/>
        <w:bottom w:val="none" w:sz="0" w:space="0" w:color="auto"/>
        <w:right w:val="none" w:sz="0" w:space="0" w:color="auto"/>
      </w:divBdr>
    </w:div>
    <w:div w:id="978145560">
      <w:bodyDiv w:val="1"/>
      <w:marLeft w:val="0"/>
      <w:marRight w:val="0"/>
      <w:marTop w:val="0"/>
      <w:marBottom w:val="0"/>
      <w:divBdr>
        <w:top w:val="none" w:sz="0" w:space="0" w:color="auto"/>
        <w:left w:val="none" w:sz="0" w:space="0" w:color="auto"/>
        <w:bottom w:val="none" w:sz="0" w:space="0" w:color="auto"/>
        <w:right w:val="none" w:sz="0" w:space="0" w:color="auto"/>
      </w:divBdr>
    </w:div>
    <w:div w:id="1013410904">
      <w:bodyDiv w:val="1"/>
      <w:marLeft w:val="0"/>
      <w:marRight w:val="0"/>
      <w:marTop w:val="0"/>
      <w:marBottom w:val="0"/>
      <w:divBdr>
        <w:top w:val="none" w:sz="0" w:space="0" w:color="auto"/>
        <w:left w:val="none" w:sz="0" w:space="0" w:color="auto"/>
        <w:bottom w:val="none" w:sz="0" w:space="0" w:color="auto"/>
        <w:right w:val="none" w:sz="0" w:space="0" w:color="auto"/>
      </w:divBdr>
    </w:div>
    <w:div w:id="1023701092">
      <w:bodyDiv w:val="1"/>
      <w:marLeft w:val="0"/>
      <w:marRight w:val="0"/>
      <w:marTop w:val="0"/>
      <w:marBottom w:val="0"/>
      <w:divBdr>
        <w:top w:val="none" w:sz="0" w:space="0" w:color="auto"/>
        <w:left w:val="none" w:sz="0" w:space="0" w:color="auto"/>
        <w:bottom w:val="none" w:sz="0" w:space="0" w:color="auto"/>
        <w:right w:val="none" w:sz="0" w:space="0" w:color="auto"/>
      </w:divBdr>
    </w:div>
    <w:div w:id="1049110095">
      <w:bodyDiv w:val="1"/>
      <w:marLeft w:val="0"/>
      <w:marRight w:val="0"/>
      <w:marTop w:val="0"/>
      <w:marBottom w:val="0"/>
      <w:divBdr>
        <w:top w:val="none" w:sz="0" w:space="0" w:color="auto"/>
        <w:left w:val="none" w:sz="0" w:space="0" w:color="auto"/>
        <w:bottom w:val="none" w:sz="0" w:space="0" w:color="auto"/>
        <w:right w:val="none" w:sz="0" w:space="0" w:color="auto"/>
      </w:divBdr>
    </w:div>
    <w:div w:id="1049843848">
      <w:bodyDiv w:val="1"/>
      <w:marLeft w:val="0"/>
      <w:marRight w:val="0"/>
      <w:marTop w:val="0"/>
      <w:marBottom w:val="0"/>
      <w:divBdr>
        <w:top w:val="none" w:sz="0" w:space="0" w:color="auto"/>
        <w:left w:val="none" w:sz="0" w:space="0" w:color="auto"/>
        <w:bottom w:val="none" w:sz="0" w:space="0" w:color="auto"/>
        <w:right w:val="none" w:sz="0" w:space="0" w:color="auto"/>
      </w:divBdr>
    </w:div>
    <w:div w:id="1061175073">
      <w:bodyDiv w:val="1"/>
      <w:marLeft w:val="0"/>
      <w:marRight w:val="0"/>
      <w:marTop w:val="0"/>
      <w:marBottom w:val="0"/>
      <w:divBdr>
        <w:top w:val="none" w:sz="0" w:space="0" w:color="auto"/>
        <w:left w:val="none" w:sz="0" w:space="0" w:color="auto"/>
        <w:bottom w:val="none" w:sz="0" w:space="0" w:color="auto"/>
        <w:right w:val="none" w:sz="0" w:space="0" w:color="auto"/>
      </w:divBdr>
    </w:div>
    <w:div w:id="1062949218">
      <w:bodyDiv w:val="1"/>
      <w:marLeft w:val="0"/>
      <w:marRight w:val="0"/>
      <w:marTop w:val="0"/>
      <w:marBottom w:val="0"/>
      <w:divBdr>
        <w:top w:val="none" w:sz="0" w:space="0" w:color="auto"/>
        <w:left w:val="none" w:sz="0" w:space="0" w:color="auto"/>
        <w:bottom w:val="none" w:sz="0" w:space="0" w:color="auto"/>
        <w:right w:val="none" w:sz="0" w:space="0" w:color="auto"/>
      </w:divBdr>
    </w:div>
    <w:div w:id="1064254543">
      <w:bodyDiv w:val="1"/>
      <w:marLeft w:val="0"/>
      <w:marRight w:val="0"/>
      <w:marTop w:val="0"/>
      <w:marBottom w:val="0"/>
      <w:divBdr>
        <w:top w:val="none" w:sz="0" w:space="0" w:color="auto"/>
        <w:left w:val="none" w:sz="0" w:space="0" w:color="auto"/>
        <w:bottom w:val="none" w:sz="0" w:space="0" w:color="auto"/>
        <w:right w:val="none" w:sz="0" w:space="0" w:color="auto"/>
      </w:divBdr>
    </w:div>
    <w:div w:id="1077903347">
      <w:bodyDiv w:val="1"/>
      <w:marLeft w:val="0"/>
      <w:marRight w:val="0"/>
      <w:marTop w:val="0"/>
      <w:marBottom w:val="0"/>
      <w:divBdr>
        <w:top w:val="none" w:sz="0" w:space="0" w:color="auto"/>
        <w:left w:val="none" w:sz="0" w:space="0" w:color="auto"/>
        <w:bottom w:val="none" w:sz="0" w:space="0" w:color="auto"/>
        <w:right w:val="none" w:sz="0" w:space="0" w:color="auto"/>
      </w:divBdr>
    </w:div>
    <w:div w:id="1100416226">
      <w:bodyDiv w:val="1"/>
      <w:marLeft w:val="0"/>
      <w:marRight w:val="0"/>
      <w:marTop w:val="0"/>
      <w:marBottom w:val="0"/>
      <w:divBdr>
        <w:top w:val="none" w:sz="0" w:space="0" w:color="auto"/>
        <w:left w:val="none" w:sz="0" w:space="0" w:color="auto"/>
        <w:bottom w:val="none" w:sz="0" w:space="0" w:color="auto"/>
        <w:right w:val="none" w:sz="0" w:space="0" w:color="auto"/>
      </w:divBdr>
    </w:div>
    <w:div w:id="1104836801">
      <w:bodyDiv w:val="1"/>
      <w:marLeft w:val="0"/>
      <w:marRight w:val="0"/>
      <w:marTop w:val="0"/>
      <w:marBottom w:val="0"/>
      <w:divBdr>
        <w:top w:val="none" w:sz="0" w:space="0" w:color="auto"/>
        <w:left w:val="none" w:sz="0" w:space="0" w:color="auto"/>
        <w:bottom w:val="none" w:sz="0" w:space="0" w:color="auto"/>
        <w:right w:val="none" w:sz="0" w:space="0" w:color="auto"/>
      </w:divBdr>
    </w:div>
    <w:div w:id="1104879515">
      <w:bodyDiv w:val="1"/>
      <w:marLeft w:val="0"/>
      <w:marRight w:val="0"/>
      <w:marTop w:val="0"/>
      <w:marBottom w:val="0"/>
      <w:divBdr>
        <w:top w:val="none" w:sz="0" w:space="0" w:color="auto"/>
        <w:left w:val="none" w:sz="0" w:space="0" w:color="auto"/>
        <w:bottom w:val="none" w:sz="0" w:space="0" w:color="auto"/>
        <w:right w:val="none" w:sz="0" w:space="0" w:color="auto"/>
      </w:divBdr>
    </w:div>
    <w:div w:id="1120340729">
      <w:bodyDiv w:val="1"/>
      <w:marLeft w:val="0"/>
      <w:marRight w:val="0"/>
      <w:marTop w:val="0"/>
      <w:marBottom w:val="0"/>
      <w:divBdr>
        <w:top w:val="none" w:sz="0" w:space="0" w:color="auto"/>
        <w:left w:val="none" w:sz="0" w:space="0" w:color="auto"/>
        <w:bottom w:val="none" w:sz="0" w:space="0" w:color="auto"/>
        <w:right w:val="none" w:sz="0" w:space="0" w:color="auto"/>
      </w:divBdr>
    </w:div>
    <w:div w:id="1125734920">
      <w:bodyDiv w:val="1"/>
      <w:marLeft w:val="0"/>
      <w:marRight w:val="0"/>
      <w:marTop w:val="0"/>
      <w:marBottom w:val="0"/>
      <w:divBdr>
        <w:top w:val="none" w:sz="0" w:space="0" w:color="auto"/>
        <w:left w:val="none" w:sz="0" w:space="0" w:color="auto"/>
        <w:bottom w:val="none" w:sz="0" w:space="0" w:color="auto"/>
        <w:right w:val="none" w:sz="0" w:space="0" w:color="auto"/>
      </w:divBdr>
    </w:div>
    <w:div w:id="1128818498">
      <w:bodyDiv w:val="1"/>
      <w:marLeft w:val="0"/>
      <w:marRight w:val="0"/>
      <w:marTop w:val="0"/>
      <w:marBottom w:val="0"/>
      <w:divBdr>
        <w:top w:val="none" w:sz="0" w:space="0" w:color="auto"/>
        <w:left w:val="none" w:sz="0" w:space="0" w:color="auto"/>
        <w:bottom w:val="none" w:sz="0" w:space="0" w:color="auto"/>
        <w:right w:val="none" w:sz="0" w:space="0" w:color="auto"/>
      </w:divBdr>
    </w:div>
    <w:div w:id="1148788241">
      <w:bodyDiv w:val="1"/>
      <w:marLeft w:val="0"/>
      <w:marRight w:val="0"/>
      <w:marTop w:val="0"/>
      <w:marBottom w:val="0"/>
      <w:divBdr>
        <w:top w:val="none" w:sz="0" w:space="0" w:color="auto"/>
        <w:left w:val="none" w:sz="0" w:space="0" w:color="auto"/>
        <w:bottom w:val="none" w:sz="0" w:space="0" w:color="auto"/>
        <w:right w:val="none" w:sz="0" w:space="0" w:color="auto"/>
      </w:divBdr>
    </w:div>
    <w:div w:id="1150826186">
      <w:bodyDiv w:val="1"/>
      <w:marLeft w:val="0"/>
      <w:marRight w:val="0"/>
      <w:marTop w:val="0"/>
      <w:marBottom w:val="0"/>
      <w:divBdr>
        <w:top w:val="none" w:sz="0" w:space="0" w:color="auto"/>
        <w:left w:val="none" w:sz="0" w:space="0" w:color="auto"/>
        <w:bottom w:val="none" w:sz="0" w:space="0" w:color="auto"/>
        <w:right w:val="none" w:sz="0" w:space="0" w:color="auto"/>
      </w:divBdr>
    </w:div>
    <w:div w:id="1153254786">
      <w:bodyDiv w:val="1"/>
      <w:marLeft w:val="0"/>
      <w:marRight w:val="0"/>
      <w:marTop w:val="0"/>
      <w:marBottom w:val="0"/>
      <w:divBdr>
        <w:top w:val="none" w:sz="0" w:space="0" w:color="auto"/>
        <w:left w:val="none" w:sz="0" w:space="0" w:color="auto"/>
        <w:bottom w:val="none" w:sz="0" w:space="0" w:color="auto"/>
        <w:right w:val="none" w:sz="0" w:space="0" w:color="auto"/>
      </w:divBdr>
    </w:div>
    <w:div w:id="1186595053">
      <w:bodyDiv w:val="1"/>
      <w:marLeft w:val="0"/>
      <w:marRight w:val="0"/>
      <w:marTop w:val="0"/>
      <w:marBottom w:val="0"/>
      <w:divBdr>
        <w:top w:val="none" w:sz="0" w:space="0" w:color="auto"/>
        <w:left w:val="none" w:sz="0" w:space="0" w:color="auto"/>
        <w:bottom w:val="none" w:sz="0" w:space="0" w:color="auto"/>
        <w:right w:val="none" w:sz="0" w:space="0" w:color="auto"/>
      </w:divBdr>
    </w:div>
    <w:div w:id="1190027670">
      <w:bodyDiv w:val="1"/>
      <w:marLeft w:val="0"/>
      <w:marRight w:val="0"/>
      <w:marTop w:val="0"/>
      <w:marBottom w:val="0"/>
      <w:divBdr>
        <w:top w:val="none" w:sz="0" w:space="0" w:color="auto"/>
        <w:left w:val="none" w:sz="0" w:space="0" w:color="auto"/>
        <w:bottom w:val="none" w:sz="0" w:space="0" w:color="auto"/>
        <w:right w:val="none" w:sz="0" w:space="0" w:color="auto"/>
      </w:divBdr>
    </w:div>
    <w:div w:id="1190529008">
      <w:bodyDiv w:val="1"/>
      <w:marLeft w:val="0"/>
      <w:marRight w:val="0"/>
      <w:marTop w:val="0"/>
      <w:marBottom w:val="0"/>
      <w:divBdr>
        <w:top w:val="none" w:sz="0" w:space="0" w:color="auto"/>
        <w:left w:val="none" w:sz="0" w:space="0" w:color="auto"/>
        <w:bottom w:val="none" w:sz="0" w:space="0" w:color="auto"/>
        <w:right w:val="none" w:sz="0" w:space="0" w:color="auto"/>
      </w:divBdr>
    </w:div>
    <w:div w:id="1191340817">
      <w:bodyDiv w:val="1"/>
      <w:marLeft w:val="0"/>
      <w:marRight w:val="0"/>
      <w:marTop w:val="0"/>
      <w:marBottom w:val="0"/>
      <w:divBdr>
        <w:top w:val="none" w:sz="0" w:space="0" w:color="auto"/>
        <w:left w:val="none" w:sz="0" w:space="0" w:color="auto"/>
        <w:bottom w:val="none" w:sz="0" w:space="0" w:color="auto"/>
        <w:right w:val="none" w:sz="0" w:space="0" w:color="auto"/>
      </w:divBdr>
    </w:div>
    <w:div w:id="1191341239">
      <w:bodyDiv w:val="1"/>
      <w:marLeft w:val="0"/>
      <w:marRight w:val="0"/>
      <w:marTop w:val="0"/>
      <w:marBottom w:val="0"/>
      <w:divBdr>
        <w:top w:val="none" w:sz="0" w:space="0" w:color="auto"/>
        <w:left w:val="none" w:sz="0" w:space="0" w:color="auto"/>
        <w:bottom w:val="none" w:sz="0" w:space="0" w:color="auto"/>
        <w:right w:val="none" w:sz="0" w:space="0" w:color="auto"/>
      </w:divBdr>
    </w:div>
    <w:div w:id="1197742177">
      <w:bodyDiv w:val="1"/>
      <w:marLeft w:val="0"/>
      <w:marRight w:val="0"/>
      <w:marTop w:val="0"/>
      <w:marBottom w:val="0"/>
      <w:divBdr>
        <w:top w:val="none" w:sz="0" w:space="0" w:color="auto"/>
        <w:left w:val="none" w:sz="0" w:space="0" w:color="auto"/>
        <w:bottom w:val="none" w:sz="0" w:space="0" w:color="auto"/>
        <w:right w:val="none" w:sz="0" w:space="0" w:color="auto"/>
      </w:divBdr>
    </w:div>
    <w:div w:id="1201626916">
      <w:bodyDiv w:val="1"/>
      <w:marLeft w:val="0"/>
      <w:marRight w:val="0"/>
      <w:marTop w:val="0"/>
      <w:marBottom w:val="0"/>
      <w:divBdr>
        <w:top w:val="none" w:sz="0" w:space="0" w:color="auto"/>
        <w:left w:val="none" w:sz="0" w:space="0" w:color="auto"/>
        <w:bottom w:val="none" w:sz="0" w:space="0" w:color="auto"/>
        <w:right w:val="none" w:sz="0" w:space="0" w:color="auto"/>
      </w:divBdr>
    </w:div>
    <w:div w:id="1202862254">
      <w:bodyDiv w:val="1"/>
      <w:marLeft w:val="0"/>
      <w:marRight w:val="0"/>
      <w:marTop w:val="0"/>
      <w:marBottom w:val="0"/>
      <w:divBdr>
        <w:top w:val="none" w:sz="0" w:space="0" w:color="auto"/>
        <w:left w:val="none" w:sz="0" w:space="0" w:color="auto"/>
        <w:bottom w:val="none" w:sz="0" w:space="0" w:color="auto"/>
        <w:right w:val="none" w:sz="0" w:space="0" w:color="auto"/>
      </w:divBdr>
    </w:div>
    <w:div w:id="1218054069">
      <w:bodyDiv w:val="1"/>
      <w:marLeft w:val="0"/>
      <w:marRight w:val="0"/>
      <w:marTop w:val="0"/>
      <w:marBottom w:val="0"/>
      <w:divBdr>
        <w:top w:val="none" w:sz="0" w:space="0" w:color="auto"/>
        <w:left w:val="none" w:sz="0" w:space="0" w:color="auto"/>
        <w:bottom w:val="none" w:sz="0" w:space="0" w:color="auto"/>
        <w:right w:val="none" w:sz="0" w:space="0" w:color="auto"/>
      </w:divBdr>
    </w:div>
    <w:div w:id="1237520632">
      <w:bodyDiv w:val="1"/>
      <w:marLeft w:val="0"/>
      <w:marRight w:val="0"/>
      <w:marTop w:val="0"/>
      <w:marBottom w:val="0"/>
      <w:divBdr>
        <w:top w:val="none" w:sz="0" w:space="0" w:color="auto"/>
        <w:left w:val="none" w:sz="0" w:space="0" w:color="auto"/>
        <w:bottom w:val="none" w:sz="0" w:space="0" w:color="auto"/>
        <w:right w:val="none" w:sz="0" w:space="0" w:color="auto"/>
      </w:divBdr>
    </w:div>
    <w:div w:id="1243491584">
      <w:bodyDiv w:val="1"/>
      <w:marLeft w:val="0"/>
      <w:marRight w:val="0"/>
      <w:marTop w:val="0"/>
      <w:marBottom w:val="0"/>
      <w:divBdr>
        <w:top w:val="none" w:sz="0" w:space="0" w:color="auto"/>
        <w:left w:val="none" w:sz="0" w:space="0" w:color="auto"/>
        <w:bottom w:val="none" w:sz="0" w:space="0" w:color="auto"/>
        <w:right w:val="none" w:sz="0" w:space="0" w:color="auto"/>
      </w:divBdr>
    </w:div>
    <w:div w:id="1252005221">
      <w:bodyDiv w:val="1"/>
      <w:marLeft w:val="0"/>
      <w:marRight w:val="0"/>
      <w:marTop w:val="0"/>
      <w:marBottom w:val="0"/>
      <w:divBdr>
        <w:top w:val="none" w:sz="0" w:space="0" w:color="auto"/>
        <w:left w:val="none" w:sz="0" w:space="0" w:color="auto"/>
        <w:bottom w:val="none" w:sz="0" w:space="0" w:color="auto"/>
        <w:right w:val="none" w:sz="0" w:space="0" w:color="auto"/>
      </w:divBdr>
    </w:div>
    <w:div w:id="1256210440">
      <w:bodyDiv w:val="1"/>
      <w:marLeft w:val="0"/>
      <w:marRight w:val="0"/>
      <w:marTop w:val="0"/>
      <w:marBottom w:val="0"/>
      <w:divBdr>
        <w:top w:val="none" w:sz="0" w:space="0" w:color="auto"/>
        <w:left w:val="none" w:sz="0" w:space="0" w:color="auto"/>
        <w:bottom w:val="none" w:sz="0" w:space="0" w:color="auto"/>
        <w:right w:val="none" w:sz="0" w:space="0" w:color="auto"/>
      </w:divBdr>
    </w:div>
    <w:div w:id="1292785919">
      <w:bodyDiv w:val="1"/>
      <w:marLeft w:val="0"/>
      <w:marRight w:val="0"/>
      <w:marTop w:val="0"/>
      <w:marBottom w:val="0"/>
      <w:divBdr>
        <w:top w:val="none" w:sz="0" w:space="0" w:color="auto"/>
        <w:left w:val="none" w:sz="0" w:space="0" w:color="auto"/>
        <w:bottom w:val="none" w:sz="0" w:space="0" w:color="auto"/>
        <w:right w:val="none" w:sz="0" w:space="0" w:color="auto"/>
      </w:divBdr>
    </w:div>
    <w:div w:id="1296183162">
      <w:bodyDiv w:val="1"/>
      <w:marLeft w:val="0"/>
      <w:marRight w:val="0"/>
      <w:marTop w:val="0"/>
      <w:marBottom w:val="0"/>
      <w:divBdr>
        <w:top w:val="none" w:sz="0" w:space="0" w:color="auto"/>
        <w:left w:val="none" w:sz="0" w:space="0" w:color="auto"/>
        <w:bottom w:val="none" w:sz="0" w:space="0" w:color="auto"/>
        <w:right w:val="none" w:sz="0" w:space="0" w:color="auto"/>
      </w:divBdr>
    </w:div>
    <w:div w:id="1310984443">
      <w:bodyDiv w:val="1"/>
      <w:marLeft w:val="0"/>
      <w:marRight w:val="0"/>
      <w:marTop w:val="0"/>
      <w:marBottom w:val="0"/>
      <w:divBdr>
        <w:top w:val="none" w:sz="0" w:space="0" w:color="auto"/>
        <w:left w:val="none" w:sz="0" w:space="0" w:color="auto"/>
        <w:bottom w:val="none" w:sz="0" w:space="0" w:color="auto"/>
        <w:right w:val="none" w:sz="0" w:space="0" w:color="auto"/>
      </w:divBdr>
    </w:div>
    <w:div w:id="1312057850">
      <w:marLeft w:val="0"/>
      <w:marRight w:val="0"/>
      <w:marTop w:val="0"/>
      <w:marBottom w:val="0"/>
      <w:divBdr>
        <w:top w:val="none" w:sz="0" w:space="0" w:color="auto"/>
        <w:left w:val="none" w:sz="0" w:space="0" w:color="auto"/>
        <w:bottom w:val="none" w:sz="0" w:space="0" w:color="auto"/>
        <w:right w:val="none" w:sz="0" w:space="0" w:color="auto"/>
      </w:divBdr>
    </w:div>
    <w:div w:id="1312057851">
      <w:marLeft w:val="0"/>
      <w:marRight w:val="0"/>
      <w:marTop w:val="0"/>
      <w:marBottom w:val="0"/>
      <w:divBdr>
        <w:top w:val="none" w:sz="0" w:space="0" w:color="auto"/>
        <w:left w:val="none" w:sz="0" w:space="0" w:color="auto"/>
        <w:bottom w:val="none" w:sz="0" w:space="0" w:color="auto"/>
        <w:right w:val="none" w:sz="0" w:space="0" w:color="auto"/>
      </w:divBdr>
    </w:div>
    <w:div w:id="1312057852">
      <w:marLeft w:val="0"/>
      <w:marRight w:val="0"/>
      <w:marTop w:val="0"/>
      <w:marBottom w:val="0"/>
      <w:divBdr>
        <w:top w:val="none" w:sz="0" w:space="0" w:color="auto"/>
        <w:left w:val="none" w:sz="0" w:space="0" w:color="auto"/>
        <w:bottom w:val="none" w:sz="0" w:space="0" w:color="auto"/>
        <w:right w:val="none" w:sz="0" w:space="0" w:color="auto"/>
      </w:divBdr>
    </w:div>
    <w:div w:id="1312057853">
      <w:marLeft w:val="0"/>
      <w:marRight w:val="0"/>
      <w:marTop w:val="0"/>
      <w:marBottom w:val="0"/>
      <w:divBdr>
        <w:top w:val="none" w:sz="0" w:space="0" w:color="auto"/>
        <w:left w:val="none" w:sz="0" w:space="0" w:color="auto"/>
        <w:bottom w:val="none" w:sz="0" w:space="0" w:color="auto"/>
        <w:right w:val="none" w:sz="0" w:space="0" w:color="auto"/>
      </w:divBdr>
    </w:div>
    <w:div w:id="1312057854">
      <w:marLeft w:val="0"/>
      <w:marRight w:val="0"/>
      <w:marTop w:val="0"/>
      <w:marBottom w:val="0"/>
      <w:divBdr>
        <w:top w:val="none" w:sz="0" w:space="0" w:color="auto"/>
        <w:left w:val="none" w:sz="0" w:space="0" w:color="auto"/>
        <w:bottom w:val="none" w:sz="0" w:space="0" w:color="auto"/>
        <w:right w:val="none" w:sz="0" w:space="0" w:color="auto"/>
      </w:divBdr>
    </w:div>
    <w:div w:id="1312057855">
      <w:marLeft w:val="0"/>
      <w:marRight w:val="0"/>
      <w:marTop w:val="0"/>
      <w:marBottom w:val="0"/>
      <w:divBdr>
        <w:top w:val="none" w:sz="0" w:space="0" w:color="auto"/>
        <w:left w:val="none" w:sz="0" w:space="0" w:color="auto"/>
        <w:bottom w:val="none" w:sz="0" w:space="0" w:color="auto"/>
        <w:right w:val="none" w:sz="0" w:space="0" w:color="auto"/>
      </w:divBdr>
    </w:div>
    <w:div w:id="1312057856">
      <w:marLeft w:val="0"/>
      <w:marRight w:val="0"/>
      <w:marTop w:val="0"/>
      <w:marBottom w:val="0"/>
      <w:divBdr>
        <w:top w:val="none" w:sz="0" w:space="0" w:color="auto"/>
        <w:left w:val="none" w:sz="0" w:space="0" w:color="auto"/>
        <w:bottom w:val="none" w:sz="0" w:space="0" w:color="auto"/>
        <w:right w:val="none" w:sz="0" w:space="0" w:color="auto"/>
      </w:divBdr>
    </w:div>
    <w:div w:id="1312057857">
      <w:marLeft w:val="0"/>
      <w:marRight w:val="0"/>
      <w:marTop w:val="0"/>
      <w:marBottom w:val="0"/>
      <w:divBdr>
        <w:top w:val="none" w:sz="0" w:space="0" w:color="auto"/>
        <w:left w:val="none" w:sz="0" w:space="0" w:color="auto"/>
        <w:bottom w:val="none" w:sz="0" w:space="0" w:color="auto"/>
        <w:right w:val="none" w:sz="0" w:space="0" w:color="auto"/>
      </w:divBdr>
    </w:div>
    <w:div w:id="1312057858">
      <w:marLeft w:val="0"/>
      <w:marRight w:val="0"/>
      <w:marTop w:val="0"/>
      <w:marBottom w:val="0"/>
      <w:divBdr>
        <w:top w:val="none" w:sz="0" w:space="0" w:color="auto"/>
        <w:left w:val="none" w:sz="0" w:space="0" w:color="auto"/>
        <w:bottom w:val="none" w:sz="0" w:space="0" w:color="auto"/>
        <w:right w:val="none" w:sz="0" w:space="0" w:color="auto"/>
      </w:divBdr>
    </w:div>
    <w:div w:id="1312057859">
      <w:marLeft w:val="0"/>
      <w:marRight w:val="0"/>
      <w:marTop w:val="0"/>
      <w:marBottom w:val="0"/>
      <w:divBdr>
        <w:top w:val="none" w:sz="0" w:space="0" w:color="auto"/>
        <w:left w:val="none" w:sz="0" w:space="0" w:color="auto"/>
        <w:bottom w:val="none" w:sz="0" w:space="0" w:color="auto"/>
        <w:right w:val="none" w:sz="0" w:space="0" w:color="auto"/>
      </w:divBdr>
    </w:div>
    <w:div w:id="1312057860">
      <w:marLeft w:val="0"/>
      <w:marRight w:val="0"/>
      <w:marTop w:val="0"/>
      <w:marBottom w:val="0"/>
      <w:divBdr>
        <w:top w:val="none" w:sz="0" w:space="0" w:color="auto"/>
        <w:left w:val="none" w:sz="0" w:space="0" w:color="auto"/>
        <w:bottom w:val="none" w:sz="0" w:space="0" w:color="auto"/>
        <w:right w:val="none" w:sz="0" w:space="0" w:color="auto"/>
      </w:divBdr>
    </w:div>
    <w:div w:id="1312057861">
      <w:marLeft w:val="0"/>
      <w:marRight w:val="0"/>
      <w:marTop w:val="0"/>
      <w:marBottom w:val="0"/>
      <w:divBdr>
        <w:top w:val="none" w:sz="0" w:space="0" w:color="auto"/>
        <w:left w:val="none" w:sz="0" w:space="0" w:color="auto"/>
        <w:bottom w:val="none" w:sz="0" w:space="0" w:color="auto"/>
        <w:right w:val="none" w:sz="0" w:space="0" w:color="auto"/>
      </w:divBdr>
    </w:div>
    <w:div w:id="1312057862">
      <w:marLeft w:val="0"/>
      <w:marRight w:val="0"/>
      <w:marTop w:val="0"/>
      <w:marBottom w:val="0"/>
      <w:divBdr>
        <w:top w:val="none" w:sz="0" w:space="0" w:color="auto"/>
        <w:left w:val="none" w:sz="0" w:space="0" w:color="auto"/>
        <w:bottom w:val="none" w:sz="0" w:space="0" w:color="auto"/>
        <w:right w:val="none" w:sz="0" w:space="0" w:color="auto"/>
      </w:divBdr>
    </w:div>
    <w:div w:id="1312057863">
      <w:marLeft w:val="0"/>
      <w:marRight w:val="0"/>
      <w:marTop w:val="0"/>
      <w:marBottom w:val="0"/>
      <w:divBdr>
        <w:top w:val="none" w:sz="0" w:space="0" w:color="auto"/>
        <w:left w:val="none" w:sz="0" w:space="0" w:color="auto"/>
        <w:bottom w:val="none" w:sz="0" w:space="0" w:color="auto"/>
        <w:right w:val="none" w:sz="0" w:space="0" w:color="auto"/>
      </w:divBdr>
    </w:div>
    <w:div w:id="1312057864">
      <w:marLeft w:val="0"/>
      <w:marRight w:val="0"/>
      <w:marTop w:val="0"/>
      <w:marBottom w:val="0"/>
      <w:divBdr>
        <w:top w:val="none" w:sz="0" w:space="0" w:color="auto"/>
        <w:left w:val="none" w:sz="0" w:space="0" w:color="auto"/>
        <w:bottom w:val="none" w:sz="0" w:space="0" w:color="auto"/>
        <w:right w:val="none" w:sz="0" w:space="0" w:color="auto"/>
      </w:divBdr>
    </w:div>
    <w:div w:id="1312057865">
      <w:marLeft w:val="0"/>
      <w:marRight w:val="0"/>
      <w:marTop w:val="0"/>
      <w:marBottom w:val="0"/>
      <w:divBdr>
        <w:top w:val="none" w:sz="0" w:space="0" w:color="auto"/>
        <w:left w:val="none" w:sz="0" w:space="0" w:color="auto"/>
        <w:bottom w:val="none" w:sz="0" w:space="0" w:color="auto"/>
        <w:right w:val="none" w:sz="0" w:space="0" w:color="auto"/>
      </w:divBdr>
    </w:div>
    <w:div w:id="1312057866">
      <w:marLeft w:val="0"/>
      <w:marRight w:val="0"/>
      <w:marTop w:val="0"/>
      <w:marBottom w:val="0"/>
      <w:divBdr>
        <w:top w:val="none" w:sz="0" w:space="0" w:color="auto"/>
        <w:left w:val="none" w:sz="0" w:space="0" w:color="auto"/>
        <w:bottom w:val="none" w:sz="0" w:space="0" w:color="auto"/>
        <w:right w:val="none" w:sz="0" w:space="0" w:color="auto"/>
      </w:divBdr>
    </w:div>
    <w:div w:id="1312057867">
      <w:marLeft w:val="0"/>
      <w:marRight w:val="0"/>
      <w:marTop w:val="0"/>
      <w:marBottom w:val="0"/>
      <w:divBdr>
        <w:top w:val="none" w:sz="0" w:space="0" w:color="auto"/>
        <w:left w:val="none" w:sz="0" w:space="0" w:color="auto"/>
        <w:bottom w:val="none" w:sz="0" w:space="0" w:color="auto"/>
        <w:right w:val="none" w:sz="0" w:space="0" w:color="auto"/>
      </w:divBdr>
    </w:div>
    <w:div w:id="1312057868">
      <w:marLeft w:val="0"/>
      <w:marRight w:val="0"/>
      <w:marTop w:val="0"/>
      <w:marBottom w:val="0"/>
      <w:divBdr>
        <w:top w:val="none" w:sz="0" w:space="0" w:color="auto"/>
        <w:left w:val="none" w:sz="0" w:space="0" w:color="auto"/>
        <w:bottom w:val="none" w:sz="0" w:space="0" w:color="auto"/>
        <w:right w:val="none" w:sz="0" w:space="0" w:color="auto"/>
      </w:divBdr>
    </w:div>
    <w:div w:id="1312057869">
      <w:marLeft w:val="0"/>
      <w:marRight w:val="0"/>
      <w:marTop w:val="0"/>
      <w:marBottom w:val="0"/>
      <w:divBdr>
        <w:top w:val="none" w:sz="0" w:space="0" w:color="auto"/>
        <w:left w:val="none" w:sz="0" w:space="0" w:color="auto"/>
        <w:bottom w:val="none" w:sz="0" w:space="0" w:color="auto"/>
        <w:right w:val="none" w:sz="0" w:space="0" w:color="auto"/>
      </w:divBdr>
    </w:div>
    <w:div w:id="1312057870">
      <w:marLeft w:val="0"/>
      <w:marRight w:val="0"/>
      <w:marTop w:val="0"/>
      <w:marBottom w:val="0"/>
      <w:divBdr>
        <w:top w:val="none" w:sz="0" w:space="0" w:color="auto"/>
        <w:left w:val="none" w:sz="0" w:space="0" w:color="auto"/>
        <w:bottom w:val="none" w:sz="0" w:space="0" w:color="auto"/>
        <w:right w:val="none" w:sz="0" w:space="0" w:color="auto"/>
      </w:divBdr>
    </w:div>
    <w:div w:id="1312057871">
      <w:marLeft w:val="0"/>
      <w:marRight w:val="0"/>
      <w:marTop w:val="0"/>
      <w:marBottom w:val="0"/>
      <w:divBdr>
        <w:top w:val="none" w:sz="0" w:space="0" w:color="auto"/>
        <w:left w:val="none" w:sz="0" w:space="0" w:color="auto"/>
        <w:bottom w:val="none" w:sz="0" w:space="0" w:color="auto"/>
        <w:right w:val="none" w:sz="0" w:space="0" w:color="auto"/>
      </w:divBdr>
    </w:div>
    <w:div w:id="1312057872">
      <w:marLeft w:val="0"/>
      <w:marRight w:val="0"/>
      <w:marTop w:val="0"/>
      <w:marBottom w:val="0"/>
      <w:divBdr>
        <w:top w:val="none" w:sz="0" w:space="0" w:color="auto"/>
        <w:left w:val="none" w:sz="0" w:space="0" w:color="auto"/>
        <w:bottom w:val="none" w:sz="0" w:space="0" w:color="auto"/>
        <w:right w:val="none" w:sz="0" w:space="0" w:color="auto"/>
      </w:divBdr>
    </w:div>
    <w:div w:id="1312057874">
      <w:marLeft w:val="0"/>
      <w:marRight w:val="0"/>
      <w:marTop w:val="0"/>
      <w:marBottom w:val="0"/>
      <w:divBdr>
        <w:top w:val="none" w:sz="0" w:space="0" w:color="auto"/>
        <w:left w:val="none" w:sz="0" w:space="0" w:color="auto"/>
        <w:bottom w:val="none" w:sz="0" w:space="0" w:color="auto"/>
        <w:right w:val="none" w:sz="0" w:space="0" w:color="auto"/>
      </w:divBdr>
    </w:div>
    <w:div w:id="1312057875">
      <w:marLeft w:val="0"/>
      <w:marRight w:val="0"/>
      <w:marTop w:val="0"/>
      <w:marBottom w:val="0"/>
      <w:divBdr>
        <w:top w:val="none" w:sz="0" w:space="0" w:color="auto"/>
        <w:left w:val="none" w:sz="0" w:space="0" w:color="auto"/>
        <w:bottom w:val="none" w:sz="0" w:space="0" w:color="auto"/>
        <w:right w:val="none" w:sz="0" w:space="0" w:color="auto"/>
      </w:divBdr>
    </w:div>
    <w:div w:id="1312057876">
      <w:marLeft w:val="0"/>
      <w:marRight w:val="0"/>
      <w:marTop w:val="0"/>
      <w:marBottom w:val="0"/>
      <w:divBdr>
        <w:top w:val="none" w:sz="0" w:space="0" w:color="auto"/>
        <w:left w:val="none" w:sz="0" w:space="0" w:color="auto"/>
        <w:bottom w:val="none" w:sz="0" w:space="0" w:color="auto"/>
        <w:right w:val="none" w:sz="0" w:space="0" w:color="auto"/>
      </w:divBdr>
    </w:div>
    <w:div w:id="1312057877">
      <w:marLeft w:val="0"/>
      <w:marRight w:val="0"/>
      <w:marTop w:val="0"/>
      <w:marBottom w:val="0"/>
      <w:divBdr>
        <w:top w:val="none" w:sz="0" w:space="0" w:color="auto"/>
        <w:left w:val="none" w:sz="0" w:space="0" w:color="auto"/>
        <w:bottom w:val="none" w:sz="0" w:space="0" w:color="auto"/>
        <w:right w:val="none" w:sz="0" w:space="0" w:color="auto"/>
      </w:divBdr>
    </w:div>
    <w:div w:id="1312057878">
      <w:marLeft w:val="0"/>
      <w:marRight w:val="0"/>
      <w:marTop w:val="0"/>
      <w:marBottom w:val="0"/>
      <w:divBdr>
        <w:top w:val="none" w:sz="0" w:space="0" w:color="auto"/>
        <w:left w:val="none" w:sz="0" w:space="0" w:color="auto"/>
        <w:bottom w:val="none" w:sz="0" w:space="0" w:color="auto"/>
        <w:right w:val="none" w:sz="0" w:space="0" w:color="auto"/>
      </w:divBdr>
    </w:div>
    <w:div w:id="1312057879">
      <w:marLeft w:val="0"/>
      <w:marRight w:val="0"/>
      <w:marTop w:val="0"/>
      <w:marBottom w:val="0"/>
      <w:divBdr>
        <w:top w:val="none" w:sz="0" w:space="0" w:color="auto"/>
        <w:left w:val="none" w:sz="0" w:space="0" w:color="auto"/>
        <w:bottom w:val="none" w:sz="0" w:space="0" w:color="auto"/>
        <w:right w:val="none" w:sz="0" w:space="0" w:color="auto"/>
      </w:divBdr>
    </w:div>
    <w:div w:id="1312057880">
      <w:marLeft w:val="0"/>
      <w:marRight w:val="0"/>
      <w:marTop w:val="0"/>
      <w:marBottom w:val="0"/>
      <w:divBdr>
        <w:top w:val="none" w:sz="0" w:space="0" w:color="auto"/>
        <w:left w:val="none" w:sz="0" w:space="0" w:color="auto"/>
        <w:bottom w:val="none" w:sz="0" w:space="0" w:color="auto"/>
        <w:right w:val="none" w:sz="0" w:space="0" w:color="auto"/>
      </w:divBdr>
    </w:div>
    <w:div w:id="1312057881">
      <w:marLeft w:val="0"/>
      <w:marRight w:val="0"/>
      <w:marTop w:val="0"/>
      <w:marBottom w:val="0"/>
      <w:divBdr>
        <w:top w:val="none" w:sz="0" w:space="0" w:color="auto"/>
        <w:left w:val="none" w:sz="0" w:space="0" w:color="auto"/>
        <w:bottom w:val="none" w:sz="0" w:space="0" w:color="auto"/>
        <w:right w:val="none" w:sz="0" w:space="0" w:color="auto"/>
      </w:divBdr>
    </w:div>
    <w:div w:id="1312057882">
      <w:marLeft w:val="0"/>
      <w:marRight w:val="0"/>
      <w:marTop w:val="0"/>
      <w:marBottom w:val="0"/>
      <w:divBdr>
        <w:top w:val="none" w:sz="0" w:space="0" w:color="auto"/>
        <w:left w:val="none" w:sz="0" w:space="0" w:color="auto"/>
        <w:bottom w:val="none" w:sz="0" w:space="0" w:color="auto"/>
        <w:right w:val="none" w:sz="0" w:space="0" w:color="auto"/>
      </w:divBdr>
    </w:div>
    <w:div w:id="1312057883">
      <w:marLeft w:val="0"/>
      <w:marRight w:val="0"/>
      <w:marTop w:val="0"/>
      <w:marBottom w:val="0"/>
      <w:divBdr>
        <w:top w:val="none" w:sz="0" w:space="0" w:color="auto"/>
        <w:left w:val="none" w:sz="0" w:space="0" w:color="auto"/>
        <w:bottom w:val="none" w:sz="0" w:space="0" w:color="auto"/>
        <w:right w:val="none" w:sz="0" w:space="0" w:color="auto"/>
      </w:divBdr>
    </w:div>
    <w:div w:id="1312057884">
      <w:marLeft w:val="0"/>
      <w:marRight w:val="0"/>
      <w:marTop w:val="0"/>
      <w:marBottom w:val="0"/>
      <w:divBdr>
        <w:top w:val="none" w:sz="0" w:space="0" w:color="auto"/>
        <w:left w:val="none" w:sz="0" w:space="0" w:color="auto"/>
        <w:bottom w:val="none" w:sz="0" w:space="0" w:color="auto"/>
        <w:right w:val="none" w:sz="0" w:space="0" w:color="auto"/>
      </w:divBdr>
    </w:div>
    <w:div w:id="1312057885">
      <w:marLeft w:val="0"/>
      <w:marRight w:val="0"/>
      <w:marTop w:val="0"/>
      <w:marBottom w:val="0"/>
      <w:divBdr>
        <w:top w:val="none" w:sz="0" w:space="0" w:color="auto"/>
        <w:left w:val="none" w:sz="0" w:space="0" w:color="auto"/>
        <w:bottom w:val="none" w:sz="0" w:space="0" w:color="auto"/>
        <w:right w:val="none" w:sz="0" w:space="0" w:color="auto"/>
      </w:divBdr>
    </w:div>
    <w:div w:id="1312057886">
      <w:marLeft w:val="0"/>
      <w:marRight w:val="0"/>
      <w:marTop w:val="0"/>
      <w:marBottom w:val="0"/>
      <w:divBdr>
        <w:top w:val="none" w:sz="0" w:space="0" w:color="auto"/>
        <w:left w:val="none" w:sz="0" w:space="0" w:color="auto"/>
        <w:bottom w:val="none" w:sz="0" w:space="0" w:color="auto"/>
        <w:right w:val="none" w:sz="0" w:space="0" w:color="auto"/>
      </w:divBdr>
    </w:div>
    <w:div w:id="1312057887">
      <w:marLeft w:val="0"/>
      <w:marRight w:val="0"/>
      <w:marTop w:val="0"/>
      <w:marBottom w:val="0"/>
      <w:divBdr>
        <w:top w:val="none" w:sz="0" w:space="0" w:color="auto"/>
        <w:left w:val="none" w:sz="0" w:space="0" w:color="auto"/>
        <w:bottom w:val="none" w:sz="0" w:space="0" w:color="auto"/>
        <w:right w:val="none" w:sz="0" w:space="0" w:color="auto"/>
      </w:divBdr>
    </w:div>
    <w:div w:id="1312057888">
      <w:marLeft w:val="0"/>
      <w:marRight w:val="0"/>
      <w:marTop w:val="0"/>
      <w:marBottom w:val="0"/>
      <w:divBdr>
        <w:top w:val="none" w:sz="0" w:space="0" w:color="auto"/>
        <w:left w:val="none" w:sz="0" w:space="0" w:color="auto"/>
        <w:bottom w:val="none" w:sz="0" w:space="0" w:color="auto"/>
        <w:right w:val="none" w:sz="0" w:space="0" w:color="auto"/>
      </w:divBdr>
    </w:div>
    <w:div w:id="1312057889">
      <w:marLeft w:val="0"/>
      <w:marRight w:val="0"/>
      <w:marTop w:val="0"/>
      <w:marBottom w:val="0"/>
      <w:divBdr>
        <w:top w:val="none" w:sz="0" w:space="0" w:color="auto"/>
        <w:left w:val="none" w:sz="0" w:space="0" w:color="auto"/>
        <w:bottom w:val="none" w:sz="0" w:space="0" w:color="auto"/>
        <w:right w:val="none" w:sz="0" w:space="0" w:color="auto"/>
      </w:divBdr>
    </w:div>
    <w:div w:id="1312057890">
      <w:marLeft w:val="0"/>
      <w:marRight w:val="0"/>
      <w:marTop w:val="0"/>
      <w:marBottom w:val="0"/>
      <w:divBdr>
        <w:top w:val="none" w:sz="0" w:space="0" w:color="auto"/>
        <w:left w:val="none" w:sz="0" w:space="0" w:color="auto"/>
        <w:bottom w:val="none" w:sz="0" w:space="0" w:color="auto"/>
        <w:right w:val="none" w:sz="0" w:space="0" w:color="auto"/>
      </w:divBdr>
    </w:div>
    <w:div w:id="1312057891">
      <w:marLeft w:val="0"/>
      <w:marRight w:val="0"/>
      <w:marTop w:val="0"/>
      <w:marBottom w:val="0"/>
      <w:divBdr>
        <w:top w:val="none" w:sz="0" w:space="0" w:color="auto"/>
        <w:left w:val="none" w:sz="0" w:space="0" w:color="auto"/>
        <w:bottom w:val="none" w:sz="0" w:space="0" w:color="auto"/>
        <w:right w:val="none" w:sz="0" w:space="0" w:color="auto"/>
      </w:divBdr>
    </w:div>
    <w:div w:id="1312057892">
      <w:marLeft w:val="0"/>
      <w:marRight w:val="0"/>
      <w:marTop w:val="0"/>
      <w:marBottom w:val="0"/>
      <w:divBdr>
        <w:top w:val="none" w:sz="0" w:space="0" w:color="auto"/>
        <w:left w:val="none" w:sz="0" w:space="0" w:color="auto"/>
        <w:bottom w:val="none" w:sz="0" w:space="0" w:color="auto"/>
        <w:right w:val="none" w:sz="0" w:space="0" w:color="auto"/>
      </w:divBdr>
    </w:div>
    <w:div w:id="1312057893">
      <w:marLeft w:val="0"/>
      <w:marRight w:val="0"/>
      <w:marTop w:val="0"/>
      <w:marBottom w:val="0"/>
      <w:divBdr>
        <w:top w:val="none" w:sz="0" w:space="0" w:color="auto"/>
        <w:left w:val="none" w:sz="0" w:space="0" w:color="auto"/>
        <w:bottom w:val="none" w:sz="0" w:space="0" w:color="auto"/>
        <w:right w:val="none" w:sz="0" w:space="0" w:color="auto"/>
      </w:divBdr>
    </w:div>
    <w:div w:id="1312057894">
      <w:marLeft w:val="0"/>
      <w:marRight w:val="0"/>
      <w:marTop w:val="0"/>
      <w:marBottom w:val="0"/>
      <w:divBdr>
        <w:top w:val="none" w:sz="0" w:space="0" w:color="auto"/>
        <w:left w:val="none" w:sz="0" w:space="0" w:color="auto"/>
        <w:bottom w:val="none" w:sz="0" w:space="0" w:color="auto"/>
        <w:right w:val="none" w:sz="0" w:space="0" w:color="auto"/>
      </w:divBdr>
    </w:div>
    <w:div w:id="1312057895">
      <w:marLeft w:val="0"/>
      <w:marRight w:val="0"/>
      <w:marTop w:val="0"/>
      <w:marBottom w:val="0"/>
      <w:divBdr>
        <w:top w:val="none" w:sz="0" w:space="0" w:color="auto"/>
        <w:left w:val="none" w:sz="0" w:space="0" w:color="auto"/>
        <w:bottom w:val="none" w:sz="0" w:space="0" w:color="auto"/>
        <w:right w:val="none" w:sz="0" w:space="0" w:color="auto"/>
      </w:divBdr>
    </w:div>
    <w:div w:id="1312057896">
      <w:marLeft w:val="0"/>
      <w:marRight w:val="0"/>
      <w:marTop w:val="0"/>
      <w:marBottom w:val="0"/>
      <w:divBdr>
        <w:top w:val="none" w:sz="0" w:space="0" w:color="auto"/>
        <w:left w:val="none" w:sz="0" w:space="0" w:color="auto"/>
        <w:bottom w:val="none" w:sz="0" w:space="0" w:color="auto"/>
        <w:right w:val="none" w:sz="0" w:space="0" w:color="auto"/>
      </w:divBdr>
    </w:div>
    <w:div w:id="1312057897">
      <w:marLeft w:val="0"/>
      <w:marRight w:val="0"/>
      <w:marTop w:val="0"/>
      <w:marBottom w:val="0"/>
      <w:divBdr>
        <w:top w:val="none" w:sz="0" w:space="0" w:color="auto"/>
        <w:left w:val="none" w:sz="0" w:space="0" w:color="auto"/>
        <w:bottom w:val="none" w:sz="0" w:space="0" w:color="auto"/>
        <w:right w:val="none" w:sz="0" w:space="0" w:color="auto"/>
      </w:divBdr>
    </w:div>
    <w:div w:id="1312057898">
      <w:marLeft w:val="0"/>
      <w:marRight w:val="0"/>
      <w:marTop w:val="0"/>
      <w:marBottom w:val="0"/>
      <w:divBdr>
        <w:top w:val="none" w:sz="0" w:space="0" w:color="auto"/>
        <w:left w:val="none" w:sz="0" w:space="0" w:color="auto"/>
        <w:bottom w:val="none" w:sz="0" w:space="0" w:color="auto"/>
        <w:right w:val="none" w:sz="0" w:space="0" w:color="auto"/>
      </w:divBdr>
    </w:div>
    <w:div w:id="1312057899">
      <w:marLeft w:val="0"/>
      <w:marRight w:val="0"/>
      <w:marTop w:val="0"/>
      <w:marBottom w:val="0"/>
      <w:divBdr>
        <w:top w:val="none" w:sz="0" w:space="0" w:color="auto"/>
        <w:left w:val="none" w:sz="0" w:space="0" w:color="auto"/>
        <w:bottom w:val="none" w:sz="0" w:space="0" w:color="auto"/>
        <w:right w:val="none" w:sz="0" w:space="0" w:color="auto"/>
      </w:divBdr>
    </w:div>
    <w:div w:id="1312057900">
      <w:marLeft w:val="0"/>
      <w:marRight w:val="0"/>
      <w:marTop w:val="0"/>
      <w:marBottom w:val="0"/>
      <w:divBdr>
        <w:top w:val="none" w:sz="0" w:space="0" w:color="auto"/>
        <w:left w:val="none" w:sz="0" w:space="0" w:color="auto"/>
        <w:bottom w:val="none" w:sz="0" w:space="0" w:color="auto"/>
        <w:right w:val="none" w:sz="0" w:space="0" w:color="auto"/>
      </w:divBdr>
    </w:div>
    <w:div w:id="1312057901">
      <w:marLeft w:val="0"/>
      <w:marRight w:val="0"/>
      <w:marTop w:val="0"/>
      <w:marBottom w:val="0"/>
      <w:divBdr>
        <w:top w:val="none" w:sz="0" w:space="0" w:color="auto"/>
        <w:left w:val="none" w:sz="0" w:space="0" w:color="auto"/>
        <w:bottom w:val="none" w:sz="0" w:space="0" w:color="auto"/>
        <w:right w:val="none" w:sz="0" w:space="0" w:color="auto"/>
      </w:divBdr>
    </w:div>
    <w:div w:id="1312057902">
      <w:marLeft w:val="0"/>
      <w:marRight w:val="0"/>
      <w:marTop w:val="0"/>
      <w:marBottom w:val="0"/>
      <w:divBdr>
        <w:top w:val="none" w:sz="0" w:space="0" w:color="auto"/>
        <w:left w:val="none" w:sz="0" w:space="0" w:color="auto"/>
        <w:bottom w:val="none" w:sz="0" w:space="0" w:color="auto"/>
        <w:right w:val="none" w:sz="0" w:space="0" w:color="auto"/>
      </w:divBdr>
    </w:div>
    <w:div w:id="1312057903">
      <w:marLeft w:val="0"/>
      <w:marRight w:val="0"/>
      <w:marTop w:val="0"/>
      <w:marBottom w:val="0"/>
      <w:divBdr>
        <w:top w:val="none" w:sz="0" w:space="0" w:color="auto"/>
        <w:left w:val="none" w:sz="0" w:space="0" w:color="auto"/>
        <w:bottom w:val="none" w:sz="0" w:space="0" w:color="auto"/>
        <w:right w:val="none" w:sz="0" w:space="0" w:color="auto"/>
      </w:divBdr>
    </w:div>
    <w:div w:id="1312057904">
      <w:marLeft w:val="0"/>
      <w:marRight w:val="0"/>
      <w:marTop w:val="0"/>
      <w:marBottom w:val="0"/>
      <w:divBdr>
        <w:top w:val="none" w:sz="0" w:space="0" w:color="auto"/>
        <w:left w:val="none" w:sz="0" w:space="0" w:color="auto"/>
        <w:bottom w:val="none" w:sz="0" w:space="0" w:color="auto"/>
        <w:right w:val="none" w:sz="0" w:space="0" w:color="auto"/>
      </w:divBdr>
    </w:div>
    <w:div w:id="1312057905">
      <w:marLeft w:val="0"/>
      <w:marRight w:val="0"/>
      <w:marTop w:val="0"/>
      <w:marBottom w:val="0"/>
      <w:divBdr>
        <w:top w:val="none" w:sz="0" w:space="0" w:color="auto"/>
        <w:left w:val="none" w:sz="0" w:space="0" w:color="auto"/>
        <w:bottom w:val="none" w:sz="0" w:space="0" w:color="auto"/>
        <w:right w:val="none" w:sz="0" w:space="0" w:color="auto"/>
      </w:divBdr>
    </w:div>
    <w:div w:id="1312057906">
      <w:marLeft w:val="0"/>
      <w:marRight w:val="0"/>
      <w:marTop w:val="0"/>
      <w:marBottom w:val="0"/>
      <w:divBdr>
        <w:top w:val="none" w:sz="0" w:space="0" w:color="auto"/>
        <w:left w:val="none" w:sz="0" w:space="0" w:color="auto"/>
        <w:bottom w:val="none" w:sz="0" w:space="0" w:color="auto"/>
        <w:right w:val="none" w:sz="0" w:space="0" w:color="auto"/>
      </w:divBdr>
    </w:div>
    <w:div w:id="1312057907">
      <w:marLeft w:val="0"/>
      <w:marRight w:val="0"/>
      <w:marTop w:val="0"/>
      <w:marBottom w:val="0"/>
      <w:divBdr>
        <w:top w:val="none" w:sz="0" w:space="0" w:color="auto"/>
        <w:left w:val="none" w:sz="0" w:space="0" w:color="auto"/>
        <w:bottom w:val="none" w:sz="0" w:space="0" w:color="auto"/>
        <w:right w:val="none" w:sz="0" w:space="0" w:color="auto"/>
      </w:divBdr>
    </w:div>
    <w:div w:id="1312057908">
      <w:marLeft w:val="0"/>
      <w:marRight w:val="0"/>
      <w:marTop w:val="0"/>
      <w:marBottom w:val="0"/>
      <w:divBdr>
        <w:top w:val="none" w:sz="0" w:space="0" w:color="auto"/>
        <w:left w:val="none" w:sz="0" w:space="0" w:color="auto"/>
        <w:bottom w:val="none" w:sz="0" w:space="0" w:color="auto"/>
        <w:right w:val="none" w:sz="0" w:space="0" w:color="auto"/>
      </w:divBdr>
    </w:div>
    <w:div w:id="1312057909">
      <w:marLeft w:val="0"/>
      <w:marRight w:val="0"/>
      <w:marTop w:val="0"/>
      <w:marBottom w:val="0"/>
      <w:divBdr>
        <w:top w:val="none" w:sz="0" w:space="0" w:color="auto"/>
        <w:left w:val="none" w:sz="0" w:space="0" w:color="auto"/>
        <w:bottom w:val="none" w:sz="0" w:space="0" w:color="auto"/>
        <w:right w:val="none" w:sz="0" w:space="0" w:color="auto"/>
      </w:divBdr>
    </w:div>
    <w:div w:id="1312057910">
      <w:marLeft w:val="0"/>
      <w:marRight w:val="0"/>
      <w:marTop w:val="0"/>
      <w:marBottom w:val="0"/>
      <w:divBdr>
        <w:top w:val="none" w:sz="0" w:space="0" w:color="auto"/>
        <w:left w:val="none" w:sz="0" w:space="0" w:color="auto"/>
        <w:bottom w:val="none" w:sz="0" w:space="0" w:color="auto"/>
        <w:right w:val="none" w:sz="0" w:space="0" w:color="auto"/>
      </w:divBdr>
    </w:div>
    <w:div w:id="1312057911">
      <w:marLeft w:val="0"/>
      <w:marRight w:val="0"/>
      <w:marTop w:val="0"/>
      <w:marBottom w:val="0"/>
      <w:divBdr>
        <w:top w:val="none" w:sz="0" w:space="0" w:color="auto"/>
        <w:left w:val="none" w:sz="0" w:space="0" w:color="auto"/>
        <w:bottom w:val="none" w:sz="0" w:space="0" w:color="auto"/>
        <w:right w:val="none" w:sz="0" w:space="0" w:color="auto"/>
      </w:divBdr>
    </w:div>
    <w:div w:id="1312057912">
      <w:marLeft w:val="0"/>
      <w:marRight w:val="0"/>
      <w:marTop w:val="0"/>
      <w:marBottom w:val="0"/>
      <w:divBdr>
        <w:top w:val="none" w:sz="0" w:space="0" w:color="auto"/>
        <w:left w:val="none" w:sz="0" w:space="0" w:color="auto"/>
        <w:bottom w:val="none" w:sz="0" w:space="0" w:color="auto"/>
        <w:right w:val="none" w:sz="0" w:space="0" w:color="auto"/>
      </w:divBdr>
    </w:div>
    <w:div w:id="1312057913">
      <w:marLeft w:val="0"/>
      <w:marRight w:val="0"/>
      <w:marTop w:val="0"/>
      <w:marBottom w:val="0"/>
      <w:divBdr>
        <w:top w:val="none" w:sz="0" w:space="0" w:color="auto"/>
        <w:left w:val="none" w:sz="0" w:space="0" w:color="auto"/>
        <w:bottom w:val="none" w:sz="0" w:space="0" w:color="auto"/>
        <w:right w:val="none" w:sz="0" w:space="0" w:color="auto"/>
      </w:divBdr>
    </w:div>
    <w:div w:id="1312057914">
      <w:marLeft w:val="0"/>
      <w:marRight w:val="0"/>
      <w:marTop w:val="0"/>
      <w:marBottom w:val="0"/>
      <w:divBdr>
        <w:top w:val="none" w:sz="0" w:space="0" w:color="auto"/>
        <w:left w:val="none" w:sz="0" w:space="0" w:color="auto"/>
        <w:bottom w:val="none" w:sz="0" w:space="0" w:color="auto"/>
        <w:right w:val="none" w:sz="0" w:space="0" w:color="auto"/>
      </w:divBdr>
    </w:div>
    <w:div w:id="1312057915">
      <w:marLeft w:val="0"/>
      <w:marRight w:val="0"/>
      <w:marTop w:val="0"/>
      <w:marBottom w:val="0"/>
      <w:divBdr>
        <w:top w:val="none" w:sz="0" w:space="0" w:color="auto"/>
        <w:left w:val="none" w:sz="0" w:space="0" w:color="auto"/>
        <w:bottom w:val="none" w:sz="0" w:space="0" w:color="auto"/>
        <w:right w:val="none" w:sz="0" w:space="0" w:color="auto"/>
      </w:divBdr>
    </w:div>
    <w:div w:id="1312057916">
      <w:marLeft w:val="0"/>
      <w:marRight w:val="0"/>
      <w:marTop w:val="0"/>
      <w:marBottom w:val="0"/>
      <w:divBdr>
        <w:top w:val="none" w:sz="0" w:space="0" w:color="auto"/>
        <w:left w:val="none" w:sz="0" w:space="0" w:color="auto"/>
        <w:bottom w:val="none" w:sz="0" w:space="0" w:color="auto"/>
        <w:right w:val="none" w:sz="0" w:space="0" w:color="auto"/>
      </w:divBdr>
    </w:div>
    <w:div w:id="1312057917">
      <w:marLeft w:val="0"/>
      <w:marRight w:val="0"/>
      <w:marTop w:val="0"/>
      <w:marBottom w:val="0"/>
      <w:divBdr>
        <w:top w:val="none" w:sz="0" w:space="0" w:color="auto"/>
        <w:left w:val="none" w:sz="0" w:space="0" w:color="auto"/>
        <w:bottom w:val="none" w:sz="0" w:space="0" w:color="auto"/>
        <w:right w:val="none" w:sz="0" w:space="0" w:color="auto"/>
      </w:divBdr>
    </w:div>
    <w:div w:id="1312057918">
      <w:marLeft w:val="0"/>
      <w:marRight w:val="0"/>
      <w:marTop w:val="0"/>
      <w:marBottom w:val="0"/>
      <w:divBdr>
        <w:top w:val="none" w:sz="0" w:space="0" w:color="auto"/>
        <w:left w:val="none" w:sz="0" w:space="0" w:color="auto"/>
        <w:bottom w:val="none" w:sz="0" w:space="0" w:color="auto"/>
        <w:right w:val="none" w:sz="0" w:space="0" w:color="auto"/>
      </w:divBdr>
    </w:div>
    <w:div w:id="1312057919">
      <w:marLeft w:val="0"/>
      <w:marRight w:val="0"/>
      <w:marTop w:val="0"/>
      <w:marBottom w:val="0"/>
      <w:divBdr>
        <w:top w:val="none" w:sz="0" w:space="0" w:color="auto"/>
        <w:left w:val="none" w:sz="0" w:space="0" w:color="auto"/>
        <w:bottom w:val="none" w:sz="0" w:space="0" w:color="auto"/>
        <w:right w:val="none" w:sz="0" w:space="0" w:color="auto"/>
      </w:divBdr>
    </w:div>
    <w:div w:id="1312057920">
      <w:marLeft w:val="0"/>
      <w:marRight w:val="0"/>
      <w:marTop w:val="0"/>
      <w:marBottom w:val="0"/>
      <w:divBdr>
        <w:top w:val="none" w:sz="0" w:space="0" w:color="auto"/>
        <w:left w:val="none" w:sz="0" w:space="0" w:color="auto"/>
        <w:bottom w:val="none" w:sz="0" w:space="0" w:color="auto"/>
        <w:right w:val="none" w:sz="0" w:space="0" w:color="auto"/>
      </w:divBdr>
    </w:div>
    <w:div w:id="1312057921">
      <w:marLeft w:val="0"/>
      <w:marRight w:val="0"/>
      <w:marTop w:val="0"/>
      <w:marBottom w:val="0"/>
      <w:divBdr>
        <w:top w:val="none" w:sz="0" w:space="0" w:color="auto"/>
        <w:left w:val="none" w:sz="0" w:space="0" w:color="auto"/>
        <w:bottom w:val="none" w:sz="0" w:space="0" w:color="auto"/>
        <w:right w:val="none" w:sz="0" w:space="0" w:color="auto"/>
      </w:divBdr>
    </w:div>
    <w:div w:id="1312057922">
      <w:marLeft w:val="0"/>
      <w:marRight w:val="0"/>
      <w:marTop w:val="0"/>
      <w:marBottom w:val="0"/>
      <w:divBdr>
        <w:top w:val="none" w:sz="0" w:space="0" w:color="auto"/>
        <w:left w:val="none" w:sz="0" w:space="0" w:color="auto"/>
        <w:bottom w:val="none" w:sz="0" w:space="0" w:color="auto"/>
        <w:right w:val="none" w:sz="0" w:space="0" w:color="auto"/>
      </w:divBdr>
    </w:div>
    <w:div w:id="1312057923">
      <w:marLeft w:val="0"/>
      <w:marRight w:val="0"/>
      <w:marTop w:val="0"/>
      <w:marBottom w:val="0"/>
      <w:divBdr>
        <w:top w:val="none" w:sz="0" w:space="0" w:color="auto"/>
        <w:left w:val="none" w:sz="0" w:space="0" w:color="auto"/>
        <w:bottom w:val="none" w:sz="0" w:space="0" w:color="auto"/>
        <w:right w:val="none" w:sz="0" w:space="0" w:color="auto"/>
      </w:divBdr>
    </w:div>
    <w:div w:id="1312057924">
      <w:marLeft w:val="0"/>
      <w:marRight w:val="0"/>
      <w:marTop w:val="0"/>
      <w:marBottom w:val="0"/>
      <w:divBdr>
        <w:top w:val="none" w:sz="0" w:space="0" w:color="auto"/>
        <w:left w:val="none" w:sz="0" w:space="0" w:color="auto"/>
        <w:bottom w:val="none" w:sz="0" w:space="0" w:color="auto"/>
        <w:right w:val="none" w:sz="0" w:space="0" w:color="auto"/>
      </w:divBdr>
    </w:div>
    <w:div w:id="1312057925">
      <w:marLeft w:val="0"/>
      <w:marRight w:val="0"/>
      <w:marTop w:val="0"/>
      <w:marBottom w:val="0"/>
      <w:divBdr>
        <w:top w:val="none" w:sz="0" w:space="0" w:color="auto"/>
        <w:left w:val="none" w:sz="0" w:space="0" w:color="auto"/>
        <w:bottom w:val="none" w:sz="0" w:space="0" w:color="auto"/>
        <w:right w:val="none" w:sz="0" w:space="0" w:color="auto"/>
      </w:divBdr>
    </w:div>
    <w:div w:id="1312057926">
      <w:marLeft w:val="0"/>
      <w:marRight w:val="0"/>
      <w:marTop w:val="0"/>
      <w:marBottom w:val="0"/>
      <w:divBdr>
        <w:top w:val="none" w:sz="0" w:space="0" w:color="auto"/>
        <w:left w:val="none" w:sz="0" w:space="0" w:color="auto"/>
        <w:bottom w:val="none" w:sz="0" w:space="0" w:color="auto"/>
        <w:right w:val="none" w:sz="0" w:space="0" w:color="auto"/>
      </w:divBdr>
    </w:div>
    <w:div w:id="1312057927">
      <w:marLeft w:val="0"/>
      <w:marRight w:val="0"/>
      <w:marTop w:val="0"/>
      <w:marBottom w:val="0"/>
      <w:divBdr>
        <w:top w:val="none" w:sz="0" w:space="0" w:color="auto"/>
        <w:left w:val="none" w:sz="0" w:space="0" w:color="auto"/>
        <w:bottom w:val="none" w:sz="0" w:space="0" w:color="auto"/>
        <w:right w:val="none" w:sz="0" w:space="0" w:color="auto"/>
      </w:divBdr>
    </w:div>
    <w:div w:id="1312057928">
      <w:marLeft w:val="0"/>
      <w:marRight w:val="0"/>
      <w:marTop w:val="0"/>
      <w:marBottom w:val="0"/>
      <w:divBdr>
        <w:top w:val="none" w:sz="0" w:space="0" w:color="auto"/>
        <w:left w:val="none" w:sz="0" w:space="0" w:color="auto"/>
        <w:bottom w:val="none" w:sz="0" w:space="0" w:color="auto"/>
        <w:right w:val="none" w:sz="0" w:space="0" w:color="auto"/>
      </w:divBdr>
    </w:div>
    <w:div w:id="1312057929">
      <w:marLeft w:val="0"/>
      <w:marRight w:val="0"/>
      <w:marTop w:val="0"/>
      <w:marBottom w:val="0"/>
      <w:divBdr>
        <w:top w:val="none" w:sz="0" w:space="0" w:color="auto"/>
        <w:left w:val="none" w:sz="0" w:space="0" w:color="auto"/>
        <w:bottom w:val="none" w:sz="0" w:space="0" w:color="auto"/>
        <w:right w:val="none" w:sz="0" w:space="0" w:color="auto"/>
      </w:divBdr>
    </w:div>
    <w:div w:id="1312057930">
      <w:marLeft w:val="0"/>
      <w:marRight w:val="0"/>
      <w:marTop w:val="0"/>
      <w:marBottom w:val="0"/>
      <w:divBdr>
        <w:top w:val="none" w:sz="0" w:space="0" w:color="auto"/>
        <w:left w:val="none" w:sz="0" w:space="0" w:color="auto"/>
        <w:bottom w:val="none" w:sz="0" w:space="0" w:color="auto"/>
        <w:right w:val="none" w:sz="0" w:space="0" w:color="auto"/>
      </w:divBdr>
      <w:divsChild>
        <w:div w:id="1312058006">
          <w:marLeft w:val="0"/>
          <w:marRight w:val="0"/>
          <w:marTop w:val="0"/>
          <w:marBottom w:val="0"/>
          <w:divBdr>
            <w:top w:val="none" w:sz="0" w:space="0" w:color="auto"/>
            <w:left w:val="none" w:sz="0" w:space="0" w:color="auto"/>
            <w:bottom w:val="none" w:sz="0" w:space="0" w:color="auto"/>
            <w:right w:val="none" w:sz="0" w:space="0" w:color="auto"/>
          </w:divBdr>
          <w:divsChild>
            <w:div w:id="1312058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2057931">
      <w:marLeft w:val="0"/>
      <w:marRight w:val="0"/>
      <w:marTop w:val="0"/>
      <w:marBottom w:val="0"/>
      <w:divBdr>
        <w:top w:val="none" w:sz="0" w:space="0" w:color="auto"/>
        <w:left w:val="none" w:sz="0" w:space="0" w:color="auto"/>
        <w:bottom w:val="none" w:sz="0" w:space="0" w:color="auto"/>
        <w:right w:val="none" w:sz="0" w:space="0" w:color="auto"/>
      </w:divBdr>
    </w:div>
    <w:div w:id="1312057932">
      <w:marLeft w:val="0"/>
      <w:marRight w:val="0"/>
      <w:marTop w:val="0"/>
      <w:marBottom w:val="0"/>
      <w:divBdr>
        <w:top w:val="none" w:sz="0" w:space="0" w:color="auto"/>
        <w:left w:val="none" w:sz="0" w:space="0" w:color="auto"/>
        <w:bottom w:val="none" w:sz="0" w:space="0" w:color="auto"/>
        <w:right w:val="none" w:sz="0" w:space="0" w:color="auto"/>
      </w:divBdr>
    </w:div>
    <w:div w:id="1312057933">
      <w:marLeft w:val="0"/>
      <w:marRight w:val="0"/>
      <w:marTop w:val="0"/>
      <w:marBottom w:val="0"/>
      <w:divBdr>
        <w:top w:val="none" w:sz="0" w:space="0" w:color="auto"/>
        <w:left w:val="none" w:sz="0" w:space="0" w:color="auto"/>
        <w:bottom w:val="none" w:sz="0" w:space="0" w:color="auto"/>
        <w:right w:val="none" w:sz="0" w:space="0" w:color="auto"/>
      </w:divBdr>
    </w:div>
    <w:div w:id="1312057934">
      <w:marLeft w:val="0"/>
      <w:marRight w:val="0"/>
      <w:marTop w:val="0"/>
      <w:marBottom w:val="0"/>
      <w:divBdr>
        <w:top w:val="none" w:sz="0" w:space="0" w:color="auto"/>
        <w:left w:val="none" w:sz="0" w:space="0" w:color="auto"/>
        <w:bottom w:val="none" w:sz="0" w:space="0" w:color="auto"/>
        <w:right w:val="none" w:sz="0" w:space="0" w:color="auto"/>
      </w:divBdr>
    </w:div>
    <w:div w:id="1312057935">
      <w:marLeft w:val="0"/>
      <w:marRight w:val="0"/>
      <w:marTop w:val="0"/>
      <w:marBottom w:val="0"/>
      <w:divBdr>
        <w:top w:val="none" w:sz="0" w:space="0" w:color="auto"/>
        <w:left w:val="none" w:sz="0" w:space="0" w:color="auto"/>
        <w:bottom w:val="none" w:sz="0" w:space="0" w:color="auto"/>
        <w:right w:val="none" w:sz="0" w:space="0" w:color="auto"/>
      </w:divBdr>
    </w:div>
    <w:div w:id="1312057936">
      <w:marLeft w:val="0"/>
      <w:marRight w:val="0"/>
      <w:marTop w:val="0"/>
      <w:marBottom w:val="0"/>
      <w:divBdr>
        <w:top w:val="none" w:sz="0" w:space="0" w:color="auto"/>
        <w:left w:val="none" w:sz="0" w:space="0" w:color="auto"/>
        <w:bottom w:val="none" w:sz="0" w:space="0" w:color="auto"/>
        <w:right w:val="none" w:sz="0" w:space="0" w:color="auto"/>
      </w:divBdr>
    </w:div>
    <w:div w:id="1312057937">
      <w:marLeft w:val="0"/>
      <w:marRight w:val="0"/>
      <w:marTop w:val="0"/>
      <w:marBottom w:val="0"/>
      <w:divBdr>
        <w:top w:val="none" w:sz="0" w:space="0" w:color="auto"/>
        <w:left w:val="none" w:sz="0" w:space="0" w:color="auto"/>
        <w:bottom w:val="none" w:sz="0" w:space="0" w:color="auto"/>
        <w:right w:val="none" w:sz="0" w:space="0" w:color="auto"/>
      </w:divBdr>
    </w:div>
    <w:div w:id="1312057938">
      <w:marLeft w:val="0"/>
      <w:marRight w:val="0"/>
      <w:marTop w:val="0"/>
      <w:marBottom w:val="0"/>
      <w:divBdr>
        <w:top w:val="none" w:sz="0" w:space="0" w:color="auto"/>
        <w:left w:val="none" w:sz="0" w:space="0" w:color="auto"/>
        <w:bottom w:val="none" w:sz="0" w:space="0" w:color="auto"/>
        <w:right w:val="none" w:sz="0" w:space="0" w:color="auto"/>
      </w:divBdr>
    </w:div>
    <w:div w:id="1312057939">
      <w:marLeft w:val="0"/>
      <w:marRight w:val="0"/>
      <w:marTop w:val="0"/>
      <w:marBottom w:val="0"/>
      <w:divBdr>
        <w:top w:val="none" w:sz="0" w:space="0" w:color="auto"/>
        <w:left w:val="none" w:sz="0" w:space="0" w:color="auto"/>
        <w:bottom w:val="none" w:sz="0" w:space="0" w:color="auto"/>
        <w:right w:val="none" w:sz="0" w:space="0" w:color="auto"/>
      </w:divBdr>
    </w:div>
    <w:div w:id="1312057940">
      <w:marLeft w:val="0"/>
      <w:marRight w:val="0"/>
      <w:marTop w:val="0"/>
      <w:marBottom w:val="0"/>
      <w:divBdr>
        <w:top w:val="none" w:sz="0" w:space="0" w:color="auto"/>
        <w:left w:val="none" w:sz="0" w:space="0" w:color="auto"/>
        <w:bottom w:val="none" w:sz="0" w:space="0" w:color="auto"/>
        <w:right w:val="none" w:sz="0" w:space="0" w:color="auto"/>
      </w:divBdr>
    </w:div>
    <w:div w:id="1312057941">
      <w:marLeft w:val="0"/>
      <w:marRight w:val="0"/>
      <w:marTop w:val="0"/>
      <w:marBottom w:val="0"/>
      <w:divBdr>
        <w:top w:val="none" w:sz="0" w:space="0" w:color="auto"/>
        <w:left w:val="none" w:sz="0" w:space="0" w:color="auto"/>
        <w:bottom w:val="none" w:sz="0" w:space="0" w:color="auto"/>
        <w:right w:val="none" w:sz="0" w:space="0" w:color="auto"/>
      </w:divBdr>
    </w:div>
    <w:div w:id="1312057942">
      <w:marLeft w:val="0"/>
      <w:marRight w:val="0"/>
      <w:marTop w:val="0"/>
      <w:marBottom w:val="0"/>
      <w:divBdr>
        <w:top w:val="none" w:sz="0" w:space="0" w:color="auto"/>
        <w:left w:val="none" w:sz="0" w:space="0" w:color="auto"/>
        <w:bottom w:val="none" w:sz="0" w:space="0" w:color="auto"/>
        <w:right w:val="none" w:sz="0" w:space="0" w:color="auto"/>
      </w:divBdr>
    </w:div>
    <w:div w:id="1312057943">
      <w:marLeft w:val="0"/>
      <w:marRight w:val="0"/>
      <w:marTop w:val="0"/>
      <w:marBottom w:val="0"/>
      <w:divBdr>
        <w:top w:val="none" w:sz="0" w:space="0" w:color="auto"/>
        <w:left w:val="none" w:sz="0" w:space="0" w:color="auto"/>
        <w:bottom w:val="none" w:sz="0" w:space="0" w:color="auto"/>
        <w:right w:val="none" w:sz="0" w:space="0" w:color="auto"/>
      </w:divBdr>
    </w:div>
    <w:div w:id="1312057944">
      <w:marLeft w:val="0"/>
      <w:marRight w:val="0"/>
      <w:marTop w:val="0"/>
      <w:marBottom w:val="0"/>
      <w:divBdr>
        <w:top w:val="none" w:sz="0" w:space="0" w:color="auto"/>
        <w:left w:val="none" w:sz="0" w:space="0" w:color="auto"/>
        <w:bottom w:val="none" w:sz="0" w:space="0" w:color="auto"/>
        <w:right w:val="none" w:sz="0" w:space="0" w:color="auto"/>
      </w:divBdr>
    </w:div>
    <w:div w:id="1312057945">
      <w:marLeft w:val="0"/>
      <w:marRight w:val="0"/>
      <w:marTop w:val="0"/>
      <w:marBottom w:val="0"/>
      <w:divBdr>
        <w:top w:val="none" w:sz="0" w:space="0" w:color="auto"/>
        <w:left w:val="none" w:sz="0" w:space="0" w:color="auto"/>
        <w:bottom w:val="none" w:sz="0" w:space="0" w:color="auto"/>
        <w:right w:val="none" w:sz="0" w:space="0" w:color="auto"/>
      </w:divBdr>
    </w:div>
    <w:div w:id="1312057946">
      <w:marLeft w:val="0"/>
      <w:marRight w:val="0"/>
      <w:marTop w:val="0"/>
      <w:marBottom w:val="0"/>
      <w:divBdr>
        <w:top w:val="none" w:sz="0" w:space="0" w:color="auto"/>
        <w:left w:val="none" w:sz="0" w:space="0" w:color="auto"/>
        <w:bottom w:val="none" w:sz="0" w:space="0" w:color="auto"/>
        <w:right w:val="none" w:sz="0" w:space="0" w:color="auto"/>
      </w:divBdr>
    </w:div>
    <w:div w:id="1312057947">
      <w:marLeft w:val="0"/>
      <w:marRight w:val="0"/>
      <w:marTop w:val="0"/>
      <w:marBottom w:val="0"/>
      <w:divBdr>
        <w:top w:val="none" w:sz="0" w:space="0" w:color="auto"/>
        <w:left w:val="none" w:sz="0" w:space="0" w:color="auto"/>
        <w:bottom w:val="none" w:sz="0" w:space="0" w:color="auto"/>
        <w:right w:val="none" w:sz="0" w:space="0" w:color="auto"/>
      </w:divBdr>
    </w:div>
    <w:div w:id="1312057948">
      <w:marLeft w:val="0"/>
      <w:marRight w:val="0"/>
      <w:marTop w:val="0"/>
      <w:marBottom w:val="0"/>
      <w:divBdr>
        <w:top w:val="none" w:sz="0" w:space="0" w:color="auto"/>
        <w:left w:val="none" w:sz="0" w:space="0" w:color="auto"/>
        <w:bottom w:val="none" w:sz="0" w:space="0" w:color="auto"/>
        <w:right w:val="none" w:sz="0" w:space="0" w:color="auto"/>
      </w:divBdr>
    </w:div>
    <w:div w:id="1312057949">
      <w:marLeft w:val="0"/>
      <w:marRight w:val="0"/>
      <w:marTop w:val="0"/>
      <w:marBottom w:val="0"/>
      <w:divBdr>
        <w:top w:val="none" w:sz="0" w:space="0" w:color="auto"/>
        <w:left w:val="none" w:sz="0" w:space="0" w:color="auto"/>
        <w:bottom w:val="none" w:sz="0" w:space="0" w:color="auto"/>
        <w:right w:val="none" w:sz="0" w:space="0" w:color="auto"/>
      </w:divBdr>
    </w:div>
    <w:div w:id="1312057950">
      <w:marLeft w:val="0"/>
      <w:marRight w:val="0"/>
      <w:marTop w:val="0"/>
      <w:marBottom w:val="0"/>
      <w:divBdr>
        <w:top w:val="none" w:sz="0" w:space="0" w:color="auto"/>
        <w:left w:val="none" w:sz="0" w:space="0" w:color="auto"/>
        <w:bottom w:val="none" w:sz="0" w:space="0" w:color="auto"/>
        <w:right w:val="none" w:sz="0" w:space="0" w:color="auto"/>
      </w:divBdr>
    </w:div>
    <w:div w:id="1312057951">
      <w:marLeft w:val="0"/>
      <w:marRight w:val="0"/>
      <w:marTop w:val="0"/>
      <w:marBottom w:val="0"/>
      <w:divBdr>
        <w:top w:val="none" w:sz="0" w:space="0" w:color="auto"/>
        <w:left w:val="none" w:sz="0" w:space="0" w:color="auto"/>
        <w:bottom w:val="none" w:sz="0" w:space="0" w:color="auto"/>
        <w:right w:val="none" w:sz="0" w:space="0" w:color="auto"/>
      </w:divBdr>
    </w:div>
    <w:div w:id="1312057952">
      <w:marLeft w:val="0"/>
      <w:marRight w:val="0"/>
      <w:marTop w:val="0"/>
      <w:marBottom w:val="0"/>
      <w:divBdr>
        <w:top w:val="none" w:sz="0" w:space="0" w:color="auto"/>
        <w:left w:val="none" w:sz="0" w:space="0" w:color="auto"/>
        <w:bottom w:val="none" w:sz="0" w:space="0" w:color="auto"/>
        <w:right w:val="none" w:sz="0" w:space="0" w:color="auto"/>
      </w:divBdr>
    </w:div>
    <w:div w:id="1312057953">
      <w:marLeft w:val="0"/>
      <w:marRight w:val="0"/>
      <w:marTop w:val="0"/>
      <w:marBottom w:val="0"/>
      <w:divBdr>
        <w:top w:val="none" w:sz="0" w:space="0" w:color="auto"/>
        <w:left w:val="none" w:sz="0" w:space="0" w:color="auto"/>
        <w:bottom w:val="none" w:sz="0" w:space="0" w:color="auto"/>
        <w:right w:val="none" w:sz="0" w:space="0" w:color="auto"/>
      </w:divBdr>
    </w:div>
    <w:div w:id="1312057954">
      <w:marLeft w:val="0"/>
      <w:marRight w:val="0"/>
      <w:marTop w:val="0"/>
      <w:marBottom w:val="0"/>
      <w:divBdr>
        <w:top w:val="none" w:sz="0" w:space="0" w:color="auto"/>
        <w:left w:val="none" w:sz="0" w:space="0" w:color="auto"/>
        <w:bottom w:val="none" w:sz="0" w:space="0" w:color="auto"/>
        <w:right w:val="none" w:sz="0" w:space="0" w:color="auto"/>
      </w:divBdr>
    </w:div>
    <w:div w:id="1312057955">
      <w:marLeft w:val="0"/>
      <w:marRight w:val="0"/>
      <w:marTop w:val="0"/>
      <w:marBottom w:val="0"/>
      <w:divBdr>
        <w:top w:val="none" w:sz="0" w:space="0" w:color="auto"/>
        <w:left w:val="none" w:sz="0" w:space="0" w:color="auto"/>
        <w:bottom w:val="none" w:sz="0" w:space="0" w:color="auto"/>
        <w:right w:val="none" w:sz="0" w:space="0" w:color="auto"/>
      </w:divBdr>
    </w:div>
    <w:div w:id="1312057956">
      <w:marLeft w:val="0"/>
      <w:marRight w:val="0"/>
      <w:marTop w:val="0"/>
      <w:marBottom w:val="0"/>
      <w:divBdr>
        <w:top w:val="none" w:sz="0" w:space="0" w:color="auto"/>
        <w:left w:val="none" w:sz="0" w:space="0" w:color="auto"/>
        <w:bottom w:val="none" w:sz="0" w:space="0" w:color="auto"/>
        <w:right w:val="none" w:sz="0" w:space="0" w:color="auto"/>
      </w:divBdr>
    </w:div>
    <w:div w:id="1312057957">
      <w:marLeft w:val="0"/>
      <w:marRight w:val="0"/>
      <w:marTop w:val="0"/>
      <w:marBottom w:val="0"/>
      <w:divBdr>
        <w:top w:val="none" w:sz="0" w:space="0" w:color="auto"/>
        <w:left w:val="none" w:sz="0" w:space="0" w:color="auto"/>
        <w:bottom w:val="none" w:sz="0" w:space="0" w:color="auto"/>
        <w:right w:val="none" w:sz="0" w:space="0" w:color="auto"/>
      </w:divBdr>
    </w:div>
    <w:div w:id="1312057958">
      <w:marLeft w:val="0"/>
      <w:marRight w:val="0"/>
      <w:marTop w:val="0"/>
      <w:marBottom w:val="0"/>
      <w:divBdr>
        <w:top w:val="none" w:sz="0" w:space="0" w:color="auto"/>
        <w:left w:val="none" w:sz="0" w:space="0" w:color="auto"/>
        <w:bottom w:val="none" w:sz="0" w:space="0" w:color="auto"/>
        <w:right w:val="none" w:sz="0" w:space="0" w:color="auto"/>
      </w:divBdr>
    </w:div>
    <w:div w:id="1312057959">
      <w:marLeft w:val="0"/>
      <w:marRight w:val="0"/>
      <w:marTop w:val="0"/>
      <w:marBottom w:val="0"/>
      <w:divBdr>
        <w:top w:val="none" w:sz="0" w:space="0" w:color="auto"/>
        <w:left w:val="none" w:sz="0" w:space="0" w:color="auto"/>
        <w:bottom w:val="none" w:sz="0" w:space="0" w:color="auto"/>
        <w:right w:val="none" w:sz="0" w:space="0" w:color="auto"/>
      </w:divBdr>
    </w:div>
    <w:div w:id="1312057960">
      <w:marLeft w:val="0"/>
      <w:marRight w:val="0"/>
      <w:marTop w:val="0"/>
      <w:marBottom w:val="0"/>
      <w:divBdr>
        <w:top w:val="none" w:sz="0" w:space="0" w:color="auto"/>
        <w:left w:val="none" w:sz="0" w:space="0" w:color="auto"/>
        <w:bottom w:val="none" w:sz="0" w:space="0" w:color="auto"/>
        <w:right w:val="none" w:sz="0" w:space="0" w:color="auto"/>
      </w:divBdr>
    </w:div>
    <w:div w:id="1312057961">
      <w:marLeft w:val="0"/>
      <w:marRight w:val="0"/>
      <w:marTop w:val="0"/>
      <w:marBottom w:val="0"/>
      <w:divBdr>
        <w:top w:val="none" w:sz="0" w:space="0" w:color="auto"/>
        <w:left w:val="none" w:sz="0" w:space="0" w:color="auto"/>
        <w:bottom w:val="none" w:sz="0" w:space="0" w:color="auto"/>
        <w:right w:val="none" w:sz="0" w:space="0" w:color="auto"/>
      </w:divBdr>
    </w:div>
    <w:div w:id="1312057962">
      <w:marLeft w:val="0"/>
      <w:marRight w:val="0"/>
      <w:marTop w:val="0"/>
      <w:marBottom w:val="0"/>
      <w:divBdr>
        <w:top w:val="none" w:sz="0" w:space="0" w:color="auto"/>
        <w:left w:val="none" w:sz="0" w:space="0" w:color="auto"/>
        <w:bottom w:val="none" w:sz="0" w:space="0" w:color="auto"/>
        <w:right w:val="none" w:sz="0" w:space="0" w:color="auto"/>
      </w:divBdr>
    </w:div>
    <w:div w:id="1312057963">
      <w:marLeft w:val="0"/>
      <w:marRight w:val="0"/>
      <w:marTop w:val="0"/>
      <w:marBottom w:val="0"/>
      <w:divBdr>
        <w:top w:val="none" w:sz="0" w:space="0" w:color="auto"/>
        <w:left w:val="none" w:sz="0" w:space="0" w:color="auto"/>
        <w:bottom w:val="none" w:sz="0" w:space="0" w:color="auto"/>
        <w:right w:val="none" w:sz="0" w:space="0" w:color="auto"/>
      </w:divBdr>
    </w:div>
    <w:div w:id="1312057964">
      <w:marLeft w:val="0"/>
      <w:marRight w:val="0"/>
      <w:marTop w:val="0"/>
      <w:marBottom w:val="0"/>
      <w:divBdr>
        <w:top w:val="none" w:sz="0" w:space="0" w:color="auto"/>
        <w:left w:val="none" w:sz="0" w:space="0" w:color="auto"/>
        <w:bottom w:val="none" w:sz="0" w:space="0" w:color="auto"/>
        <w:right w:val="none" w:sz="0" w:space="0" w:color="auto"/>
      </w:divBdr>
    </w:div>
    <w:div w:id="1312057965">
      <w:marLeft w:val="0"/>
      <w:marRight w:val="0"/>
      <w:marTop w:val="0"/>
      <w:marBottom w:val="0"/>
      <w:divBdr>
        <w:top w:val="none" w:sz="0" w:space="0" w:color="auto"/>
        <w:left w:val="none" w:sz="0" w:space="0" w:color="auto"/>
        <w:bottom w:val="none" w:sz="0" w:space="0" w:color="auto"/>
        <w:right w:val="none" w:sz="0" w:space="0" w:color="auto"/>
      </w:divBdr>
    </w:div>
    <w:div w:id="1312057966">
      <w:marLeft w:val="0"/>
      <w:marRight w:val="0"/>
      <w:marTop w:val="0"/>
      <w:marBottom w:val="0"/>
      <w:divBdr>
        <w:top w:val="none" w:sz="0" w:space="0" w:color="auto"/>
        <w:left w:val="none" w:sz="0" w:space="0" w:color="auto"/>
        <w:bottom w:val="none" w:sz="0" w:space="0" w:color="auto"/>
        <w:right w:val="none" w:sz="0" w:space="0" w:color="auto"/>
      </w:divBdr>
    </w:div>
    <w:div w:id="1312057967">
      <w:marLeft w:val="0"/>
      <w:marRight w:val="0"/>
      <w:marTop w:val="0"/>
      <w:marBottom w:val="0"/>
      <w:divBdr>
        <w:top w:val="none" w:sz="0" w:space="0" w:color="auto"/>
        <w:left w:val="none" w:sz="0" w:space="0" w:color="auto"/>
        <w:bottom w:val="none" w:sz="0" w:space="0" w:color="auto"/>
        <w:right w:val="none" w:sz="0" w:space="0" w:color="auto"/>
      </w:divBdr>
    </w:div>
    <w:div w:id="1312057968">
      <w:marLeft w:val="0"/>
      <w:marRight w:val="0"/>
      <w:marTop w:val="0"/>
      <w:marBottom w:val="0"/>
      <w:divBdr>
        <w:top w:val="none" w:sz="0" w:space="0" w:color="auto"/>
        <w:left w:val="none" w:sz="0" w:space="0" w:color="auto"/>
        <w:bottom w:val="none" w:sz="0" w:space="0" w:color="auto"/>
        <w:right w:val="none" w:sz="0" w:space="0" w:color="auto"/>
      </w:divBdr>
    </w:div>
    <w:div w:id="1312057969">
      <w:marLeft w:val="0"/>
      <w:marRight w:val="0"/>
      <w:marTop w:val="0"/>
      <w:marBottom w:val="0"/>
      <w:divBdr>
        <w:top w:val="none" w:sz="0" w:space="0" w:color="auto"/>
        <w:left w:val="none" w:sz="0" w:space="0" w:color="auto"/>
        <w:bottom w:val="none" w:sz="0" w:space="0" w:color="auto"/>
        <w:right w:val="none" w:sz="0" w:space="0" w:color="auto"/>
      </w:divBdr>
    </w:div>
    <w:div w:id="1312057970">
      <w:marLeft w:val="0"/>
      <w:marRight w:val="0"/>
      <w:marTop w:val="0"/>
      <w:marBottom w:val="0"/>
      <w:divBdr>
        <w:top w:val="none" w:sz="0" w:space="0" w:color="auto"/>
        <w:left w:val="none" w:sz="0" w:space="0" w:color="auto"/>
        <w:bottom w:val="none" w:sz="0" w:space="0" w:color="auto"/>
        <w:right w:val="none" w:sz="0" w:space="0" w:color="auto"/>
      </w:divBdr>
    </w:div>
    <w:div w:id="1312057971">
      <w:marLeft w:val="0"/>
      <w:marRight w:val="0"/>
      <w:marTop w:val="0"/>
      <w:marBottom w:val="0"/>
      <w:divBdr>
        <w:top w:val="none" w:sz="0" w:space="0" w:color="auto"/>
        <w:left w:val="none" w:sz="0" w:space="0" w:color="auto"/>
        <w:bottom w:val="none" w:sz="0" w:space="0" w:color="auto"/>
        <w:right w:val="none" w:sz="0" w:space="0" w:color="auto"/>
      </w:divBdr>
    </w:div>
    <w:div w:id="1312057972">
      <w:marLeft w:val="0"/>
      <w:marRight w:val="0"/>
      <w:marTop w:val="0"/>
      <w:marBottom w:val="0"/>
      <w:divBdr>
        <w:top w:val="none" w:sz="0" w:space="0" w:color="auto"/>
        <w:left w:val="none" w:sz="0" w:space="0" w:color="auto"/>
        <w:bottom w:val="none" w:sz="0" w:space="0" w:color="auto"/>
        <w:right w:val="none" w:sz="0" w:space="0" w:color="auto"/>
      </w:divBdr>
    </w:div>
    <w:div w:id="1312057973">
      <w:marLeft w:val="0"/>
      <w:marRight w:val="0"/>
      <w:marTop w:val="0"/>
      <w:marBottom w:val="0"/>
      <w:divBdr>
        <w:top w:val="none" w:sz="0" w:space="0" w:color="auto"/>
        <w:left w:val="none" w:sz="0" w:space="0" w:color="auto"/>
        <w:bottom w:val="none" w:sz="0" w:space="0" w:color="auto"/>
        <w:right w:val="none" w:sz="0" w:space="0" w:color="auto"/>
      </w:divBdr>
    </w:div>
    <w:div w:id="1312057974">
      <w:marLeft w:val="0"/>
      <w:marRight w:val="0"/>
      <w:marTop w:val="0"/>
      <w:marBottom w:val="0"/>
      <w:divBdr>
        <w:top w:val="none" w:sz="0" w:space="0" w:color="auto"/>
        <w:left w:val="none" w:sz="0" w:space="0" w:color="auto"/>
        <w:bottom w:val="none" w:sz="0" w:space="0" w:color="auto"/>
        <w:right w:val="none" w:sz="0" w:space="0" w:color="auto"/>
      </w:divBdr>
    </w:div>
    <w:div w:id="1312057975">
      <w:marLeft w:val="0"/>
      <w:marRight w:val="0"/>
      <w:marTop w:val="0"/>
      <w:marBottom w:val="0"/>
      <w:divBdr>
        <w:top w:val="none" w:sz="0" w:space="0" w:color="auto"/>
        <w:left w:val="none" w:sz="0" w:space="0" w:color="auto"/>
        <w:bottom w:val="none" w:sz="0" w:space="0" w:color="auto"/>
        <w:right w:val="none" w:sz="0" w:space="0" w:color="auto"/>
      </w:divBdr>
    </w:div>
    <w:div w:id="1312057976">
      <w:marLeft w:val="0"/>
      <w:marRight w:val="0"/>
      <w:marTop w:val="0"/>
      <w:marBottom w:val="0"/>
      <w:divBdr>
        <w:top w:val="none" w:sz="0" w:space="0" w:color="auto"/>
        <w:left w:val="none" w:sz="0" w:space="0" w:color="auto"/>
        <w:bottom w:val="none" w:sz="0" w:space="0" w:color="auto"/>
        <w:right w:val="none" w:sz="0" w:space="0" w:color="auto"/>
      </w:divBdr>
    </w:div>
    <w:div w:id="1312057977">
      <w:marLeft w:val="0"/>
      <w:marRight w:val="0"/>
      <w:marTop w:val="0"/>
      <w:marBottom w:val="0"/>
      <w:divBdr>
        <w:top w:val="none" w:sz="0" w:space="0" w:color="auto"/>
        <w:left w:val="none" w:sz="0" w:space="0" w:color="auto"/>
        <w:bottom w:val="none" w:sz="0" w:space="0" w:color="auto"/>
        <w:right w:val="none" w:sz="0" w:space="0" w:color="auto"/>
      </w:divBdr>
    </w:div>
    <w:div w:id="1312057978">
      <w:marLeft w:val="0"/>
      <w:marRight w:val="0"/>
      <w:marTop w:val="0"/>
      <w:marBottom w:val="0"/>
      <w:divBdr>
        <w:top w:val="none" w:sz="0" w:space="0" w:color="auto"/>
        <w:left w:val="none" w:sz="0" w:space="0" w:color="auto"/>
        <w:bottom w:val="none" w:sz="0" w:space="0" w:color="auto"/>
        <w:right w:val="none" w:sz="0" w:space="0" w:color="auto"/>
      </w:divBdr>
    </w:div>
    <w:div w:id="1312057979">
      <w:marLeft w:val="0"/>
      <w:marRight w:val="0"/>
      <w:marTop w:val="0"/>
      <w:marBottom w:val="0"/>
      <w:divBdr>
        <w:top w:val="none" w:sz="0" w:space="0" w:color="auto"/>
        <w:left w:val="none" w:sz="0" w:space="0" w:color="auto"/>
        <w:bottom w:val="none" w:sz="0" w:space="0" w:color="auto"/>
        <w:right w:val="none" w:sz="0" w:space="0" w:color="auto"/>
      </w:divBdr>
    </w:div>
    <w:div w:id="1312057980">
      <w:marLeft w:val="0"/>
      <w:marRight w:val="0"/>
      <w:marTop w:val="0"/>
      <w:marBottom w:val="0"/>
      <w:divBdr>
        <w:top w:val="none" w:sz="0" w:space="0" w:color="auto"/>
        <w:left w:val="none" w:sz="0" w:space="0" w:color="auto"/>
        <w:bottom w:val="none" w:sz="0" w:space="0" w:color="auto"/>
        <w:right w:val="none" w:sz="0" w:space="0" w:color="auto"/>
      </w:divBdr>
    </w:div>
    <w:div w:id="1312057981">
      <w:marLeft w:val="0"/>
      <w:marRight w:val="0"/>
      <w:marTop w:val="0"/>
      <w:marBottom w:val="0"/>
      <w:divBdr>
        <w:top w:val="none" w:sz="0" w:space="0" w:color="auto"/>
        <w:left w:val="none" w:sz="0" w:space="0" w:color="auto"/>
        <w:bottom w:val="none" w:sz="0" w:space="0" w:color="auto"/>
        <w:right w:val="none" w:sz="0" w:space="0" w:color="auto"/>
      </w:divBdr>
    </w:div>
    <w:div w:id="1312057982">
      <w:marLeft w:val="0"/>
      <w:marRight w:val="0"/>
      <w:marTop w:val="0"/>
      <w:marBottom w:val="0"/>
      <w:divBdr>
        <w:top w:val="none" w:sz="0" w:space="0" w:color="auto"/>
        <w:left w:val="none" w:sz="0" w:space="0" w:color="auto"/>
        <w:bottom w:val="none" w:sz="0" w:space="0" w:color="auto"/>
        <w:right w:val="none" w:sz="0" w:space="0" w:color="auto"/>
      </w:divBdr>
    </w:div>
    <w:div w:id="1312057983">
      <w:marLeft w:val="0"/>
      <w:marRight w:val="0"/>
      <w:marTop w:val="0"/>
      <w:marBottom w:val="0"/>
      <w:divBdr>
        <w:top w:val="none" w:sz="0" w:space="0" w:color="auto"/>
        <w:left w:val="none" w:sz="0" w:space="0" w:color="auto"/>
        <w:bottom w:val="none" w:sz="0" w:space="0" w:color="auto"/>
        <w:right w:val="none" w:sz="0" w:space="0" w:color="auto"/>
      </w:divBdr>
    </w:div>
    <w:div w:id="1312057984">
      <w:marLeft w:val="0"/>
      <w:marRight w:val="0"/>
      <w:marTop w:val="0"/>
      <w:marBottom w:val="0"/>
      <w:divBdr>
        <w:top w:val="none" w:sz="0" w:space="0" w:color="auto"/>
        <w:left w:val="none" w:sz="0" w:space="0" w:color="auto"/>
        <w:bottom w:val="none" w:sz="0" w:space="0" w:color="auto"/>
        <w:right w:val="none" w:sz="0" w:space="0" w:color="auto"/>
      </w:divBdr>
    </w:div>
    <w:div w:id="1312057985">
      <w:marLeft w:val="0"/>
      <w:marRight w:val="0"/>
      <w:marTop w:val="0"/>
      <w:marBottom w:val="0"/>
      <w:divBdr>
        <w:top w:val="none" w:sz="0" w:space="0" w:color="auto"/>
        <w:left w:val="none" w:sz="0" w:space="0" w:color="auto"/>
        <w:bottom w:val="none" w:sz="0" w:space="0" w:color="auto"/>
        <w:right w:val="none" w:sz="0" w:space="0" w:color="auto"/>
      </w:divBdr>
    </w:div>
    <w:div w:id="1312057986">
      <w:marLeft w:val="0"/>
      <w:marRight w:val="0"/>
      <w:marTop w:val="0"/>
      <w:marBottom w:val="0"/>
      <w:divBdr>
        <w:top w:val="none" w:sz="0" w:space="0" w:color="auto"/>
        <w:left w:val="none" w:sz="0" w:space="0" w:color="auto"/>
        <w:bottom w:val="none" w:sz="0" w:space="0" w:color="auto"/>
        <w:right w:val="none" w:sz="0" w:space="0" w:color="auto"/>
      </w:divBdr>
    </w:div>
    <w:div w:id="1312057987">
      <w:marLeft w:val="0"/>
      <w:marRight w:val="0"/>
      <w:marTop w:val="0"/>
      <w:marBottom w:val="0"/>
      <w:divBdr>
        <w:top w:val="none" w:sz="0" w:space="0" w:color="auto"/>
        <w:left w:val="none" w:sz="0" w:space="0" w:color="auto"/>
        <w:bottom w:val="none" w:sz="0" w:space="0" w:color="auto"/>
        <w:right w:val="none" w:sz="0" w:space="0" w:color="auto"/>
      </w:divBdr>
    </w:div>
    <w:div w:id="1312057988">
      <w:marLeft w:val="0"/>
      <w:marRight w:val="0"/>
      <w:marTop w:val="0"/>
      <w:marBottom w:val="0"/>
      <w:divBdr>
        <w:top w:val="none" w:sz="0" w:space="0" w:color="auto"/>
        <w:left w:val="none" w:sz="0" w:space="0" w:color="auto"/>
        <w:bottom w:val="none" w:sz="0" w:space="0" w:color="auto"/>
        <w:right w:val="none" w:sz="0" w:space="0" w:color="auto"/>
      </w:divBdr>
    </w:div>
    <w:div w:id="1312057989">
      <w:marLeft w:val="0"/>
      <w:marRight w:val="0"/>
      <w:marTop w:val="0"/>
      <w:marBottom w:val="0"/>
      <w:divBdr>
        <w:top w:val="none" w:sz="0" w:space="0" w:color="auto"/>
        <w:left w:val="none" w:sz="0" w:space="0" w:color="auto"/>
        <w:bottom w:val="none" w:sz="0" w:space="0" w:color="auto"/>
        <w:right w:val="none" w:sz="0" w:space="0" w:color="auto"/>
      </w:divBdr>
    </w:div>
    <w:div w:id="1312057990">
      <w:marLeft w:val="0"/>
      <w:marRight w:val="0"/>
      <w:marTop w:val="0"/>
      <w:marBottom w:val="0"/>
      <w:divBdr>
        <w:top w:val="none" w:sz="0" w:space="0" w:color="auto"/>
        <w:left w:val="none" w:sz="0" w:space="0" w:color="auto"/>
        <w:bottom w:val="none" w:sz="0" w:space="0" w:color="auto"/>
        <w:right w:val="none" w:sz="0" w:space="0" w:color="auto"/>
      </w:divBdr>
    </w:div>
    <w:div w:id="1312057991">
      <w:marLeft w:val="0"/>
      <w:marRight w:val="0"/>
      <w:marTop w:val="0"/>
      <w:marBottom w:val="0"/>
      <w:divBdr>
        <w:top w:val="none" w:sz="0" w:space="0" w:color="auto"/>
        <w:left w:val="none" w:sz="0" w:space="0" w:color="auto"/>
        <w:bottom w:val="none" w:sz="0" w:space="0" w:color="auto"/>
        <w:right w:val="none" w:sz="0" w:space="0" w:color="auto"/>
      </w:divBdr>
    </w:div>
    <w:div w:id="1312057992">
      <w:marLeft w:val="0"/>
      <w:marRight w:val="0"/>
      <w:marTop w:val="0"/>
      <w:marBottom w:val="0"/>
      <w:divBdr>
        <w:top w:val="none" w:sz="0" w:space="0" w:color="auto"/>
        <w:left w:val="none" w:sz="0" w:space="0" w:color="auto"/>
        <w:bottom w:val="none" w:sz="0" w:space="0" w:color="auto"/>
        <w:right w:val="none" w:sz="0" w:space="0" w:color="auto"/>
      </w:divBdr>
    </w:div>
    <w:div w:id="1312057993">
      <w:marLeft w:val="0"/>
      <w:marRight w:val="0"/>
      <w:marTop w:val="0"/>
      <w:marBottom w:val="0"/>
      <w:divBdr>
        <w:top w:val="none" w:sz="0" w:space="0" w:color="auto"/>
        <w:left w:val="none" w:sz="0" w:space="0" w:color="auto"/>
        <w:bottom w:val="none" w:sz="0" w:space="0" w:color="auto"/>
        <w:right w:val="none" w:sz="0" w:space="0" w:color="auto"/>
      </w:divBdr>
    </w:div>
    <w:div w:id="1312057994">
      <w:marLeft w:val="0"/>
      <w:marRight w:val="0"/>
      <w:marTop w:val="0"/>
      <w:marBottom w:val="0"/>
      <w:divBdr>
        <w:top w:val="none" w:sz="0" w:space="0" w:color="auto"/>
        <w:left w:val="none" w:sz="0" w:space="0" w:color="auto"/>
        <w:bottom w:val="none" w:sz="0" w:space="0" w:color="auto"/>
        <w:right w:val="none" w:sz="0" w:space="0" w:color="auto"/>
      </w:divBdr>
    </w:div>
    <w:div w:id="1312057995">
      <w:marLeft w:val="0"/>
      <w:marRight w:val="0"/>
      <w:marTop w:val="0"/>
      <w:marBottom w:val="0"/>
      <w:divBdr>
        <w:top w:val="none" w:sz="0" w:space="0" w:color="auto"/>
        <w:left w:val="none" w:sz="0" w:space="0" w:color="auto"/>
        <w:bottom w:val="none" w:sz="0" w:space="0" w:color="auto"/>
        <w:right w:val="none" w:sz="0" w:space="0" w:color="auto"/>
      </w:divBdr>
    </w:div>
    <w:div w:id="1312057996">
      <w:marLeft w:val="0"/>
      <w:marRight w:val="0"/>
      <w:marTop w:val="0"/>
      <w:marBottom w:val="0"/>
      <w:divBdr>
        <w:top w:val="none" w:sz="0" w:space="0" w:color="auto"/>
        <w:left w:val="none" w:sz="0" w:space="0" w:color="auto"/>
        <w:bottom w:val="none" w:sz="0" w:space="0" w:color="auto"/>
        <w:right w:val="none" w:sz="0" w:space="0" w:color="auto"/>
      </w:divBdr>
    </w:div>
    <w:div w:id="1312057997">
      <w:marLeft w:val="0"/>
      <w:marRight w:val="0"/>
      <w:marTop w:val="0"/>
      <w:marBottom w:val="0"/>
      <w:divBdr>
        <w:top w:val="none" w:sz="0" w:space="0" w:color="auto"/>
        <w:left w:val="none" w:sz="0" w:space="0" w:color="auto"/>
        <w:bottom w:val="none" w:sz="0" w:space="0" w:color="auto"/>
        <w:right w:val="none" w:sz="0" w:space="0" w:color="auto"/>
      </w:divBdr>
    </w:div>
    <w:div w:id="1312057998">
      <w:marLeft w:val="0"/>
      <w:marRight w:val="0"/>
      <w:marTop w:val="0"/>
      <w:marBottom w:val="0"/>
      <w:divBdr>
        <w:top w:val="none" w:sz="0" w:space="0" w:color="auto"/>
        <w:left w:val="none" w:sz="0" w:space="0" w:color="auto"/>
        <w:bottom w:val="none" w:sz="0" w:space="0" w:color="auto"/>
        <w:right w:val="none" w:sz="0" w:space="0" w:color="auto"/>
      </w:divBdr>
    </w:div>
    <w:div w:id="1312057999">
      <w:marLeft w:val="0"/>
      <w:marRight w:val="0"/>
      <w:marTop w:val="0"/>
      <w:marBottom w:val="0"/>
      <w:divBdr>
        <w:top w:val="none" w:sz="0" w:space="0" w:color="auto"/>
        <w:left w:val="none" w:sz="0" w:space="0" w:color="auto"/>
        <w:bottom w:val="none" w:sz="0" w:space="0" w:color="auto"/>
        <w:right w:val="none" w:sz="0" w:space="0" w:color="auto"/>
      </w:divBdr>
    </w:div>
    <w:div w:id="1312058000">
      <w:marLeft w:val="0"/>
      <w:marRight w:val="0"/>
      <w:marTop w:val="0"/>
      <w:marBottom w:val="0"/>
      <w:divBdr>
        <w:top w:val="none" w:sz="0" w:space="0" w:color="auto"/>
        <w:left w:val="none" w:sz="0" w:space="0" w:color="auto"/>
        <w:bottom w:val="none" w:sz="0" w:space="0" w:color="auto"/>
        <w:right w:val="none" w:sz="0" w:space="0" w:color="auto"/>
      </w:divBdr>
    </w:div>
    <w:div w:id="1312058001">
      <w:marLeft w:val="0"/>
      <w:marRight w:val="0"/>
      <w:marTop w:val="0"/>
      <w:marBottom w:val="0"/>
      <w:divBdr>
        <w:top w:val="none" w:sz="0" w:space="0" w:color="auto"/>
        <w:left w:val="none" w:sz="0" w:space="0" w:color="auto"/>
        <w:bottom w:val="none" w:sz="0" w:space="0" w:color="auto"/>
        <w:right w:val="none" w:sz="0" w:space="0" w:color="auto"/>
      </w:divBdr>
    </w:div>
    <w:div w:id="1312058002">
      <w:marLeft w:val="0"/>
      <w:marRight w:val="0"/>
      <w:marTop w:val="0"/>
      <w:marBottom w:val="0"/>
      <w:divBdr>
        <w:top w:val="none" w:sz="0" w:space="0" w:color="auto"/>
        <w:left w:val="none" w:sz="0" w:space="0" w:color="auto"/>
        <w:bottom w:val="none" w:sz="0" w:space="0" w:color="auto"/>
        <w:right w:val="none" w:sz="0" w:space="0" w:color="auto"/>
      </w:divBdr>
    </w:div>
    <w:div w:id="1312058003">
      <w:marLeft w:val="0"/>
      <w:marRight w:val="0"/>
      <w:marTop w:val="0"/>
      <w:marBottom w:val="0"/>
      <w:divBdr>
        <w:top w:val="none" w:sz="0" w:space="0" w:color="auto"/>
        <w:left w:val="none" w:sz="0" w:space="0" w:color="auto"/>
        <w:bottom w:val="none" w:sz="0" w:space="0" w:color="auto"/>
        <w:right w:val="none" w:sz="0" w:space="0" w:color="auto"/>
      </w:divBdr>
    </w:div>
    <w:div w:id="1312058004">
      <w:marLeft w:val="0"/>
      <w:marRight w:val="0"/>
      <w:marTop w:val="0"/>
      <w:marBottom w:val="0"/>
      <w:divBdr>
        <w:top w:val="none" w:sz="0" w:space="0" w:color="auto"/>
        <w:left w:val="none" w:sz="0" w:space="0" w:color="auto"/>
        <w:bottom w:val="none" w:sz="0" w:space="0" w:color="auto"/>
        <w:right w:val="none" w:sz="0" w:space="0" w:color="auto"/>
      </w:divBdr>
    </w:div>
    <w:div w:id="1312058005">
      <w:marLeft w:val="0"/>
      <w:marRight w:val="0"/>
      <w:marTop w:val="0"/>
      <w:marBottom w:val="0"/>
      <w:divBdr>
        <w:top w:val="none" w:sz="0" w:space="0" w:color="auto"/>
        <w:left w:val="none" w:sz="0" w:space="0" w:color="auto"/>
        <w:bottom w:val="none" w:sz="0" w:space="0" w:color="auto"/>
        <w:right w:val="none" w:sz="0" w:space="0" w:color="auto"/>
      </w:divBdr>
    </w:div>
    <w:div w:id="1312058007">
      <w:marLeft w:val="0"/>
      <w:marRight w:val="0"/>
      <w:marTop w:val="0"/>
      <w:marBottom w:val="0"/>
      <w:divBdr>
        <w:top w:val="none" w:sz="0" w:space="0" w:color="auto"/>
        <w:left w:val="none" w:sz="0" w:space="0" w:color="auto"/>
        <w:bottom w:val="none" w:sz="0" w:space="0" w:color="auto"/>
        <w:right w:val="none" w:sz="0" w:space="0" w:color="auto"/>
      </w:divBdr>
    </w:div>
    <w:div w:id="1312058008">
      <w:marLeft w:val="0"/>
      <w:marRight w:val="0"/>
      <w:marTop w:val="0"/>
      <w:marBottom w:val="0"/>
      <w:divBdr>
        <w:top w:val="none" w:sz="0" w:space="0" w:color="auto"/>
        <w:left w:val="none" w:sz="0" w:space="0" w:color="auto"/>
        <w:bottom w:val="none" w:sz="0" w:space="0" w:color="auto"/>
        <w:right w:val="none" w:sz="0" w:space="0" w:color="auto"/>
      </w:divBdr>
    </w:div>
    <w:div w:id="1312058009">
      <w:marLeft w:val="0"/>
      <w:marRight w:val="0"/>
      <w:marTop w:val="0"/>
      <w:marBottom w:val="0"/>
      <w:divBdr>
        <w:top w:val="none" w:sz="0" w:space="0" w:color="auto"/>
        <w:left w:val="none" w:sz="0" w:space="0" w:color="auto"/>
        <w:bottom w:val="none" w:sz="0" w:space="0" w:color="auto"/>
        <w:right w:val="none" w:sz="0" w:space="0" w:color="auto"/>
      </w:divBdr>
    </w:div>
    <w:div w:id="1312058010">
      <w:marLeft w:val="0"/>
      <w:marRight w:val="0"/>
      <w:marTop w:val="0"/>
      <w:marBottom w:val="0"/>
      <w:divBdr>
        <w:top w:val="none" w:sz="0" w:space="0" w:color="auto"/>
        <w:left w:val="none" w:sz="0" w:space="0" w:color="auto"/>
        <w:bottom w:val="none" w:sz="0" w:space="0" w:color="auto"/>
        <w:right w:val="none" w:sz="0" w:space="0" w:color="auto"/>
      </w:divBdr>
    </w:div>
    <w:div w:id="1312058011">
      <w:marLeft w:val="0"/>
      <w:marRight w:val="0"/>
      <w:marTop w:val="0"/>
      <w:marBottom w:val="0"/>
      <w:divBdr>
        <w:top w:val="none" w:sz="0" w:space="0" w:color="auto"/>
        <w:left w:val="none" w:sz="0" w:space="0" w:color="auto"/>
        <w:bottom w:val="none" w:sz="0" w:space="0" w:color="auto"/>
        <w:right w:val="none" w:sz="0" w:space="0" w:color="auto"/>
      </w:divBdr>
    </w:div>
    <w:div w:id="1312058012">
      <w:marLeft w:val="0"/>
      <w:marRight w:val="0"/>
      <w:marTop w:val="0"/>
      <w:marBottom w:val="0"/>
      <w:divBdr>
        <w:top w:val="none" w:sz="0" w:space="0" w:color="auto"/>
        <w:left w:val="none" w:sz="0" w:space="0" w:color="auto"/>
        <w:bottom w:val="none" w:sz="0" w:space="0" w:color="auto"/>
        <w:right w:val="none" w:sz="0" w:space="0" w:color="auto"/>
      </w:divBdr>
    </w:div>
    <w:div w:id="1312058013">
      <w:marLeft w:val="0"/>
      <w:marRight w:val="0"/>
      <w:marTop w:val="0"/>
      <w:marBottom w:val="0"/>
      <w:divBdr>
        <w:top w:val="none" w:sz="0" w:space="0" w:color="auto"/>
        <w:left w:val="none" w:sz="0" w:space="0" w:color="auto"/>
        <w:bottom w:val="none" w:sz="0" w:space="0" w:color="auto"/>
        <w:right w:val="none" w:sz="0" w:space="0" w:color="auto"/>
      </w:divBdr>
    </w:div>
    <w:div w:id="1312058014">
      <w:marLeft w:val="0"/>
      <w:marRight w:val="0"/>
      <w:marTop w:val="0"/>
      <w:marBottom w:val="0"/>
      <w:divBdr>
        <w:top w:val="none" w:sz="0" w:space="0" w:color="auto"/>
        <w:left w:val="none" w:sz="0" w:space="0" w:color="auto"/>
        <w:bottom w:val="none" w:sz="0" w:space="0" w:color="auto"/>
        <w:right w:val="none" w:sz="0" w:space="0" w:color="auto"/>
      </w:divBdr>
    </w:div>
    <w:div w:id="1312058015">
      <w:marLeft w:val="0"/>
      <w:marRight w:val="0"/>
      <w:marTop w:val="0"/>
      <w:marBottom w:val="0"/>
      <w:divBdr>
        <w:top w:val="none" w:sz="0" w:space="0" w:color="auto"/>
        <w:left w:val="none" w:sz="0" w:space="0" w:color="auto"/>
        <w:bottom w:val="none" w:sz="0" w:space="0" w:color="auto"/>
        <w:right w:val="none" w:sz="0" w:space="0" w:color="auto"/>
      </w:divBdr>
    </w:div>
    <w:div w:id="1312058016">
      <w:marLeft w:val="0"/>
      <w:marRight w:val="0"/>
      <w:marTop w:val="0"/>
      <w:marBottom w:val="0"/>
      <w:divBdr>
        <w:top w:val="none" w:sz="0" w:space="0" w:color="auto"/>
        <w:left w:val="none" w:sz="0" w:space="0" w:color="auto"/>
        <w:bottom w:val="none" w:sz="0" w:space="0" w:color="auto"/>
        <w:right w:val="none" w:sz="0" w:space="0" w:color="auto"/>
      </w:divBdr>
    </w:div>
    <w:div w:id="1312058017">
      <w:marLeft w:val="0"/>
      <w:marRight w:val="0"/>
      <w:marTop w:val="0"/>
      <w:marBottom w:val="0"/>
      <w:divBdr>
        <w:top w:val="none" w:sz="0" w:space="0" w:color="auto"/>
        <w:left w:val="none" w:sz="0" w:space="0" w:color="auto"/>
        <w:bottom w:val="none" w:sz="0" w:space="0" w:color="auto"/>
        <w:right w:val="none" w:sz="0" w:space="0" w:color="auto"/>
      </w:divBdr>
    </w:div>
    <w:div w:id="1312058018">
      <w:marLeft w:val="0"/>
      <w:marRight w:val="0"/>
      <w:marTop w:val="0"/>
      <w:marBottom w:val="0"/>
      <w:divBdr>
        <w:top w:val="none" w:sz="0" w:space="0" w:color="auto"/>
        <w:left w:val="none" w:sz="0" w:space="0" w:color="auto"/>
        <w:bottom w:val="none" w:sz="0" w:space="0" w:color="auto"/>
        <w:right w:val="none" w:sz="0" w:space="0" w:color="auto"/>
      </w:divBdr>
    </w:div>
    <w:div w:id="1312058019">
      <w:marLeft w:val="0"/>
      <w:marRight w:val="0"/>
      <w:marTop w:val="0"/>
      <w:marBottom w:val="0"/>
      <w:divBdr>
        <w:top w:val="none" w:sz="0" w:space="0" w:color="auto"/>
        <w:left w:val="none" w:sz="0" w:space="0" w:color="auto"/>
        <w:bottom w:val="none" w:sz="0" w:space="0" w:color="auto"/>
        <w:right w:val="none" w:sz="0" w:space="0" w:color="auto"/>
      </w:divBdr>
    </w:div>
    <w:div w:id="1312058020">
      <w:marLeft w:val="0"/>
      <w:marRight w:val="0"/>
      <w:marTop w:val="0"/>
      <w:marBottom w:val="0"/>
      <w:divBdr>
        <w:top w:val="none" w:sz="0" w:space="0" w:color="auto"/>
        <w:left w:val="none" w:sz="0" w:space="0" w:color="auto"/>
        <w:bottom w:val="none" w:sz="0" w:space="0" w:color="auto"/>
        <w:right w:val="none" w:sz="0" w:space="0" w:color="auto"/>
      </w:divBdr>
      <w:divsChild>
        <w:div w:id="1312057873">
          <w:marLeft w:val="0"/>
          <w:marRight w:val="0"/>
          <w:marTop w:val="0"/>
          <w:marBottom w:val="0"/>
          <w:divBdr>
            <w:top w:val="none" w:sz="0" w:space="0" w:color="auto"/>
            <w:left w:val="none" w:sz="0" w:space="0" w:color="auto"/>
            <w:bottom w:val="none" w:sz="0" w:space="0" w:color="auto"/>
            <w:right w:val="none" w:sz="0" w:space="0" w:color="auto"/>
          </w:divBdr>
        </w:div>
      </w:divsChild>
    </w:div>
    <w:div w:id="1312058021">
      <w:marLeft w:val="0"/>
      <w:marRight w:val="0"/>
      <w:marTop w:val="0"/>
      <w:marBottom w:val="0"/>
      <w:divBdr>
        <w:top w:val="none" w:sz="0" w:space="0" w:color="auto"/>
        <w:left w:val="none" w:sz="0" w:space="0" w:color="auto"/>
        <w:bottom w:val="none" w:sz="0" w:space="0" w:color="auto"/>
        <w:right w:val="none" w:sz="0" w:space="0" w:color="auto"/>
      </w:divBdr>
    </w:div>
    <w:div w:id="1312058022">
      <w:marLeft w:val="0"/>
      <w:marRight w:val="0"/>
      <w:marTop w:val="0"/>
      <w:marBottom w:val="0"/>
      <w:divBdr>
        <w:top w:val="none" w:sz="0" w:space="0" w:color="auto"/>
        <w:left w:val="none" w:sz="0" w:space="0" w:color="auto"/>
        <w:bottom w:val="none" w:sz="0" w:space="0" w:color="auto"/>
        <w:right w:val="none" w:sz="0" w:space="0" w:color="auto"/>
      </w:divBdr>
    </w:div>
    <w:div w:id="1312058023">
      <w:marLeft w:val="0"/>
      <w:marRight w:val="0"/>
      <w:marTop w:val="0"/>
      <w:marBottom w:val="0"/>
      <w:divBdr>
        <w:top w:val="none" w:sz="0" w:space="0" w:color="auto"/>
        <w:left w:val="none" w:sz="0" w:space="0" w:color="auto"/>
        <w:bottom w:val="none" w:sz="0" w:space="0" w:color="auto"/>
        <w:right w:val="none" w:sz="0" w:space="0" w:color="auto"/>
      </w:divBdr>
    </w:div>
    <w:div w:id="1312058024">
      <w:marLeft w:val="0"/>
      <w:marRight w:val="0"/>
      <w:marTop w:val="0"/>
      <w:marBottom w:val="0"/>
      <w:divBdr>
        <w:top w:val="none" w:sz="0" w:space="0" w:color="auto"/>
        <w:left w:val="none" w:sz="0" w:space="0" w:color="auto"/>
        <w:bottom w:val="none" w:sz="0" w:space="0" w:color="auto"/>
        <w:right w:val="none" w:sz="0" w:space="0" w:color="auto"/>
      </w:divBdr>
    </w:div>
    <w:div w:id="1312058025">
      <w:marLeft w:val="0"/>
      <w:marRight w:val="0"/>
      <w:marTop w:val="0"/>
      <w:marBottom w:val="0"/>
      <w:divBdr>
        <w:top w:val="none" w:sz="0" w:space="0" w:color="auto"/>
        <w:left w:val="none" w:sz="0" w:space="0" w:color="auto"/>
        <w:bottom w:val="none" w:sz="0" w:space="0" w:color="auto"/>
        <w:right w:val="none" w:sz="0" w:space="0" w:color="auto"/>
      </w:divBdr>
    </w:div>
    <w:div w:id="1312058026">
      <w:marLeft w:val="0"/>
      <w:marRight w:val="0"/>
      <w:marTop w:val="0"/>
      <w:marBottom w:val="0"/>
      <w:divBdr>
        <w:top w:val="none" w:sz="0" w:space="0" w:color="auto"/>
        <w:left w:val="none" w:sz="0" w:space="0" w:color="auto"/>
        <w:bottom w:val="none" w:sz="0" w:space="0" w:color="auto"/>
        <w:right w:val="none" w:sz="0" w:space="0" w:color="auto"/>
      </w:divBdr>
    </w:div>
    <w:div w:id="1312058027">
      <w:marLeft w:val="0"/>
      <w:marRight w:val="0"/>
      <w:marTop w:val="0"/>
      <w:marBottom w:val="0"/>
      <w:divBdr>
        <w:top w:val="none" w:sz="0" w:space="0" w:color="auto"/>
        <w:left w:val="none" w:sz="0" w:space="0" w:color="auto"/>
        <w:bottom w:val="none" w:sz="0" w:space="0" w:color="auto"/>
        <w:right w:val="none" w:sz="0" w:space="0" w:color="auto"/>
      </w:divBdr>
    </w:div>
    <w:div w:id="1312058028">
      <w:marLeft w:val="0"/>
      <w:marRight w:val="0"/>
      <w:marTop w:val="0"/>
      <w:marBottom w:val="0"/>
      <w:divBdr>
        <w:top w:val="none" w:sz="0" w:space="0" w:color="auto"/>
        <w:left w:val="none" w:sz="0" w:space="0" w:color="auto"/>
        <w:bottom w:val="none" w:sz="0" w:space="0" w:color="auto"/>
        <w:right w:val="none" w:sz="0" w:space="0" w:color="auto"/>
      </w:divBdr>
    </w:div>
    <w:div w:id="1312058029">
      <w:marLeft w:val="0"/>
      <w:marRight w:val="0"/>
      <w:marTop w:val="0"/>
      <w:marBottom w:val="0"/>
      <w:divBdr>
        <w:top w:val="none" w:sz="0" w:space="0" w:color="auto"/>
        <w:left w:val="none" w:sz="0" w:space="0" w:color="auto"/>
        <w:bottom w:val="none" w:sz="0" w:space="0" w:color="auto"/>
        <w:right w:val="none" w:sz="0" w:space="0" w:color="auto"/>
      </w:divBdr>
    </w:div>
    <w:div w:id="1312058030">
      <w:marLeft w:val="0"/>
      <w:marRight w:val="0"/>
      <w:marTop w:val="0"/>
      <w:marBottom w:val="0"/>
      <w:divBdr>
        <w:top w:val="none" w:sz="0" w:space="0" w:color="auto"/>
        <w:left w:val="none" w:sz="0" w:space="0" w:color="auto"/>
        <w:bottom w:val="none" w:sz="0" w:space="0" w:color="auto"/>
        <w:right w:val="none" w:sz="0" w:space="0" w:color="auto"/>
      </w:divBdr>
    </w:div>
    <w:div w:id="1312058031">
      <w:marLeft w:val="0"/>
      <w:marRight w:val="0"/>
      <w:marTop w:val="0"/>
      <w:marBottom w:val="0"/>
      <w:divBdr>
        <w:top w:val="none" w:sz="0" w:space="0" w:color="auto"/>
        <w:left w:val="none" w:sz="0" w:space="0" w:color="auto"/>
        <w:bottom w:val="none" w:sz="0" w:space="0" w:color="auto"/>
        <w:right w:val="none" w:sz="0" w:space="0" w:color="auto"/>
      </w:divBdr>
    </w:div>
    <w:div w:id="1312058032">
      <w:marLeft w:val="0"/>
      <w:marRight w:val="0"/>
      <w:marTop w:val="0"/>
      <w:marBottom w:val="0"/>
      <w:divBdr>
        <w:top w:val="none" w:sz="0" w:space="0" w:color="auto"/>
        <w:left w:val="none" w:sz="0" w:space="0" w:color="auto"/>
        <w:bottom w:val="none" w:sz="0" w:space="0" w:color="auto"/>
        <w:right w:val="none" w:sz="0" w:space="0" w:color="auto"/>
      </w:divBdr>
    </w:div>
    <w:div w:id="1312058033">
      <w:marLeft w:val="0"/>
      <w:marRight w:val="0"/>
      <w:marTop w:val="0"/>
      <w:marBottom w:val="0"/>
      <w:divBdr>
        <w:top w:val="none" w:sz="0" w:space="0" w:color="auto"/>
        <w:left w:val="none" w:sz="0" w:space="0" w:color="auto"/>
        <w:bottom w:val="none" w:sz="0" w:space="0" w:color="auto"/>
        <w:right w:val="none" w:sz="0" w:space="0" w:color="auto"/>
      </w:divBdr>
    </w:div>
    <w:div w:id="1312058034">
      <w:marLeft w:val="0"/>
      <w:marRight w:val="0"/>
      <w:marTop w:val="0"/>
      <w:marBottom w:val="0"/>
      <w:divBdr>
        <w:top w:val="none" w:sz="0" w:space="0" w:color="auto"/>
        <w:left w:val="none" w:sz="0" w:space="0" w:color="auto"/>
        <w:bottom w:val="none" w:sz="0" w:space="0" w:color="auto"/>
        <w:right w:val="none" w:sz="0" w:space="0" w:color="auto"/>
      </w:divBdr>
    </w:div>
    <w:div w:id="1312058035">
      <w:marLeft w:val="0"/>
      <w:marRight w:val="0"/>
      <w:marTop w:val="0"/>
      <w:marBottom w:val="0"/>
      <w:divBdr>
        <w:top w:val="none" w:sz="0" w:space="0" w:color="auto"/>
        <w:left w:val="none" w:sz="0" w:space="0" w:color="auto"/>
        <w:bottom w:val="none" w:sz="0" w:space="0" w:color="auto"/>
        <w:right w:val="none" w:sz="0" w:space="0" w:color="auto"/>
      </w:divBdr>
    </w:div>
    <w:div w:id="1312058036">
      <w:marLeft w:val="0"/>
      <w:marRight w:val="0"/>
      <w:marTop w:val="0"/>
      <w:marBottom w:val="0"/>
      <w:divBdr>
        <w:top w:val="none" w:sz="0" w:space="0" w:color="auto"/>
        <w:left w:val="none" w:sz="0" w:space="0" w:color="auto"/>
        <w:bottom w:val="none" w:sz="0" w:space="0" w:color="auto"/>
        <w:right w:val="none" w:sz="0" w:space="0" w:color="auto"/>
      </w:divBdr>
    </w:div>
    <w:div w:id="1312058037">
      <w:marLeft w:val="0"/>
      <w:marRight w:val="0"/>
      <w:marTop w:val="0"/>
      <w:marBottom w:val="0"/>
      <w:divBdr>
        <w:top w:val="none" w:sz="0" w:space="0" w:color="auto"/>
        <w:left w:val="none" w:sz="0" w:space="0" w:color="auto"/>
        <w:bottom w:val="none" w:sz="0" w:space="0" w:color="auto"/>
        <w:right w:val="none" w:sz="0" w:space="0" w:color="auto"/>
      </w:divBdr>
    </w:div>
    <w:div w:id="1312058038">
      <w:marLeft w:val="0"/>
      <w:marRight w:val="0"/>
      <w:marTop w:val="0"/>
      <w:marBottom w:val="0"/>
      <w:divBdr>
        <w:top w:val="none" w:sz="0" w:space="0" w:color="auto"/>
        <w:left w:val="none" w:sz="0" w:space="0" w:color="auto"/>
        <w:bottom w:val="none" w:sz="0" w:space="0" w:color="auto"/>
        <w:right w:val="none" w:sz="0" w:space="0" w:color="auto"/>
      </w:divBdr>
    </w:div>
    <w:div w:id="1312058039">
      <w:marLeft w:val="0"/>
      <w:marRight w:val="0"/>
      <w:marTop w:val="0"/>
      <w:marBottom w:val="0"/>
      <w:divBdr>
        <w:top w:val="none" w:sz="0" w:space="0" w:color="auto"/>
        <w:left w:val="none" w:sz="0" w:space="0" w:color="auto"/>
        <w:bottom w:val="none" w:sz="0" w:space="0" w:color="auto"/>
        <w:right w:val="none" w:sz="0" w:space="0" w:color="auto"/>
      </w:divBdr>
    </w:div>
    <w:div w:id="1312058040">
      <w:marLeft w:val="0"/>
      <w:marRight w:val="0"/>
      <w:marTop w:val="0"/>
      <w:marBottom w:val="0"/>
      <w:divBdr>
        <w:top w:val="none" w:sz="0" w:space="0" w:color="auto"/>
        <w:left w:val="none" w:sz="0" w:space="0" w:color="auto"/>
        <w:bottom w:val="none" w:sz="0" w:space="0" w:color="auto"/>
        <w:right w:val="none" w:sz="0" w:space="0" w:color="auto"/>
      </w:divBdr>
    </w:div>
    <w:div w:id="1312058041">
      <w:marLeft w:val="0"/>
      <w:marRight w:val="0"/>
      <w:marTop w:val="0"/>
      <w:marBottom w:val="0"/>
      <w:divBdr>
        <w:top w:val="none" w:sz="0" w:space="0" w:color="auto"/>
        <w:left w:val="none" w:sz="0" w:space="0" w:color="auto"/>
        <w:bottom w:val="none" w:sz="0" w:space="0" w:color="auto"/>
        <w:right w:val="none" w:sz="0" w:space="0" w:color="auto"/>
      </w:divBdr>
    </w:div>
    <w:div w:id="1312058042">
      <w:marLeft w:val="0"/>
      <w:marRight w:val="0"/>
      <w:marTop w:val="0"/>
      <w:marBottom w:val="0"/>
      <w:divBdr>
        <w:top w:val="none" w:sz="0" w:space="0" w:color="auto"/>
        <w:left w:val="none" w:sz="0" w:space="0" w:color="auto"/>
        <w:bottom w:val="none" w:sz="0" w:space="0" w:color="auto"/>
        <w:right w:val="none" w:sz="0" w:space="0" w:color="auto"/>
      </w:divBdr>
    </w:div>
    <w:div w:id="1312058043">
      <w:marLeft w:val="0"/>
      <w:marRight w:val="0"/>
      <w:marTop w:val="0"/>
      <w:marBottom w:val="0"/>
      <w:divBdr>
        <w:top w:val="none" w:sz="0" w:space="0" w:color="auto"/>
        <w:left w:val="none" w:sz="0" w:space="0" w:color="auto"/>
        <w:bottom w:val="none" w:sz="0" w:space="0" w:color="auto"/>
        <w:right w:val="none" w:sz="0" w:space="0" w:color="auto"/>
      </w:divBdr>
    </w:div>
    <w:div w:id="1312058044">
      <w:marLeft w:val="0"/>
      <w:marRight w:val="0"/>
      <w:marTop w:val="0"/>
      <w:marBottom w:val="0"/>
      <w:divBdr>
        <w:top w:val="none" w:sz="0" w:space="0" w:color="auto"/>
        <w:left w:val="none" w:sz="0" w:space="0" w:color="auto"/>
        <w:bottom w:val="none" w:sz="0" w:space="0" w:color="auto"/>
        <w:right w:val="none" w:sz="0" w:space="0" w:color="auto"/>
      </w:divBdr>
    </w:div>
    <w:div w:id="1312058045">
      <w:marLeft w:val="0"/>
      <w:marRight w:val="0"/>
      <w:marTop w:val="0"/>
      <w:marBottom w:val="0"/>
      <w:divBdr>
        <w:top w:val="none" w:sz="0" w:space="0" w:color="auto"/>
        <w:left w:val="none" w:sz="0" w:space="0" w:color="auto"/>
        <w:bottom w:val="none" w:sz="0" w:space="0" w:color="auto"/>
        <w:right w:val="none" w:sz="0" w:space="0" w:color="auto"/>
      </w:divBdr>
    </w:div>
    <w:div w:id="1312058046">
      <w:marLeft w:val="0"/>
      <w:marRight w:val="0"/>
      <w:marTop w:val="0"/>
      <w:marBottom w:val="0"/>
      <w:divBdr>
        <w:top w:val="none" w:sz="0" w:space="0" w:color="auto"/>
        <w:left w:val="none" w:sz="0" w:space="0" w:color="auto"/>
        <w:bottom w:val="none" w:sz="0" w:space="0" w:color="auto"/>
        <w:right w:val="none" w:sz="0" w:space="0" w:color="auto"/>
      </w:divBdr>
    </w:div>
    <w:div w:id="1312058047">
      <w:marLeft w:val="0"/>
      <w:marRight w:val="0"/>
      <w:marTop w:val="0"/>
      <w:marBottom w:val="0"/>
      <w:divBdr>
        <w:top w:val="none" w:sz="0" w:space="0" w:color="auto"/>
        <w:left w:val="none" w:sz="0" w:space="0" w:color="auto"/>
        <w:bottom w:val="none" w:sz="0" w:space="0" w:color="auto"/>
        <w:right w:val="none" w:sz="0" w:space="0" w:color="auto"/>
      </w:divBdr>
    </w:div>
    <w:div w:id="1312058048">
      <w:marLeft w:val="0"/>
      <w:marRight w:val="0"/>
      <w:marTop w:val="0"/>
      <w:marBottom w:val="0"/>
      <w:divBdr>
        <w:top w:val="none" w:sz="0" w:space="0" w:color="auto"/>
        <w:left w:val="none" w:sz="0" w:space="0" w:color="auto"/>
        <w:bottom w:val="none" w:sz="0" w:space="0" w:color="auto"/>
        <w:right w:val="none" w:sz="0" w:space="0" w:color="auto"/>
      </w:divBdr>
    </w:div>
    <w:div w:id="1312058049">
      <w:marLeft w:val="0"/>
      <w:marRight w:val="0"/>
      <w:marTop w:val="0"/>
      <w:marBottom w:val="0"/>
      <w:divBdr>
        <w:top w:val="none" w:sz="0" w:space="0" w:color="auto"/>
        <w:left w:val="none" w:sz="0" w:space="0" w:color="auto"/>
        <w:bottom w:val="none" w:sz="0" w:space="0" w:color="auto"/>
        <w:right w:val="none" w:sz="0" w:space="0" w:color="auto"/>
      </w:divBdr>
    </w:div>
    <w:div w:id="1312058050">
      <w:marLeft w:val="0"/>
      <w:marRight w:val="0"/>
      <w:marTop w:val="0"/>
      <w:marBottom w:val="0"/>
      <w:divBdr>
        <w:top w:val="none" w:sz="0" w:space="0" w:color="auto"/>
        <w:left w:val="none" w:sz="0" w:space="0" w:color="auto"/>
        <w:bottom w:val="none" w:sz="0" w:space="0" w:color="auto"/>
        <w:right w:val="none" w:sz="0" w:space="0" w:color="auto"/>
      </w:divBdr>
    </w:div>
    <w:div w:id="1312058051">
      <w:marLeft w:val="0"/>
      <w:marRight w:val="0"/>
      <w:marTop w:val="0"/>
      <w:marBottom w:val="0"/>
      <w:divBdr>
        <w:top w:val="none" w:sz="0" w:space="0" w:color="auto"/>
        <w:left w:val="none" w:sz="0" w:space="0" w:color="auto"/>
        <w:bottom w:val="none" w:sz="0" w:space="0" w:color="auto"/>
        <w:right w:val="none" w:sz="0" w:space="0" w:color="auto"/>
      </w:divBdr>
    </w:div>
    <w:div w:id="1312058052">
      <w:marLeft w:val="0"/>
      <w:marRight w:val="0"/>
      <w:marTop w:val="0"/>
      <w:marBottom w:val="0"/>
      <w:divBdr>
        <w:top w:val="none" w:sz="0" w:space="0" w:color="auto"/>
        <w:left w:val="none" w:sz="0" w:space="0" w:color="auto"/>
        <w:bottom w:val="none" w:sz="0" w:space="0" w:color="auto"/>
        <w:right w:val="none" w:sz="0" w:space="0" w:color="auto"/>
      </w:divBdr>
    </w:div>
    <w:div w:id="1312058053">
      <w:marLeft w:val="0"/>
      <w:marRight w:val="0"/>
      <w:marTop w:val="0"/>
      <w:marBottom w:val="0"/>
      <w:divBdr>
        <w:top w:val="none" w:sz="0" w:space="0" w:color="auto"/>
        <w:left w:val="none" w:sz="0" w:space="0" w:color="auto"/>
        <w:bottom w:val="none" w:sz="0" w:space="0" w:color="auto"/>
        <w:right w:val="none" w:sz="0" w:space="0" w:color="auto"/>
      </w:divBdr>
    </w:div>
    <w:div w:id="1312058054">
      <w:marLeft w:val="0"/>
      <w:marRight w:val="0"/>
      <w:marTop w:val="0"/>
      <w:marBottom w:val="0"/>
      <w:divBdr>
        <w:top w:val="none" w:sz="0" w:space="0" w:color="auto"/>
        <w:left w:val="none" w:sz="0" w:space="0" w:color="auto"/>
        <w:bottom w:val="none" w:sz="0" w:space="0" w:color="auto"/>
        <w:right w:val="none" w:sz="0" w:space="0" w:color="auto"/>
      </w:divBdr>
    </w:div>
    <w:div w:id="1312058055">
      <w:marLeft w:val="0"/>
      <w:marRight w:val="0"/>
      <w:marTop w:val="0"/>
      <w:marBottom w:val="0"/>
      <w:divBdr>
        <w:top w:val="none" w:sz="0" w:space="0" w:color="auto"/>
        <w:left w:val="none" w:sz="0" w:space="0" w:color="auto"/>
        <w:bottom w:val="none" w:sz="0" w:space="0" w:color="auto"/>
        <w:right w:val="none" w:sz="0" w:space="0" w:color="auto"/>
      </w:divBdr>
    </w:div>
    <w:div w:id="1312058056">
      <w:marLeft w:val="0"/>
      <w:marRight w:val="0"/>
      <w:marTop w:val="0"/>
      <w:marBottom w:val="0"/>
      <w:divBdr>
        <w:top w:val="none" w:sz="0" w:space="0" w:color="auto"/>
        <w:left w:val="none" w:sz="0" w:space="0" w:color="auto"/>
        <w:bottom w:val="none" w:sz="0" w:space="0" w:color="auto"/>
        <w:right w:val="none" w:sz="0" w:space="0" w:color="auto"/>
      </w:divBdr>
    </w:div>
    <w:div w:id="1312058057">
      <w:marLeft w:val="0"/>
      <w:marRight w:val="0"/>
      <w:marTop w:val="0"/>
      <w:marBottom w:val="0"/>
      <w:divBdr>
        <w:top w:val="none" w:sz="0" w:space="0" w:color="auto"/>
        <w:left w:val="none" w:sz="0" w:space="0" w:color="auto"/>
        <w:bottom w:val="none" w:sz="0" w:space="0" w:color="auto"/>
        <w:right w:val="none" w:sz="0" w:space="0" w:color="auto"/>
      </w:divBdr>
    </w:div>
    <w:div w:id="1312058058">
      <w:marLeft w:val="0"/>
      <w:marRight w:val="0"/>
      <w:marTop w:val="0"/>
      <w:marBottom w:val="0"/>
      <w:divBdr>
        <w:top w:val="none" w:sz="0" w:space="0" w:color="auto"/>
        <w:left w:val="none" w:sz="0" w:space="0" w:color="auto"/>
        <w:bottom w:val="none" w:sz="0" w:space="0" w:color="auto"/>
        <w:right w:val="none" w:sz="0" w:space="0" w:color="auto"/>
      </w:divBdr>
    </w:div>
    <w:div w:id="1312058059">
      <w:marLeft w:val="0"/>
      <w:marRight w:val="0"/>
      <w:marTop w:val="0"/>
      <w:marBottom w:val="0"/>
      <w:divBdr>
        <w:top w:val="none" w:sz="0" w:space="0" w:color="auto"/>
        <w:left w:val="none" w:sz="0" w:space="0" w:color="auto"/>
        <w:bottom w:val="none" w:sz="0" w:space="0" w:color="auto"/>
        <w:right w:val="none" w:sz="0" w:space="0" w:color="auto"/>
      </w:divBdr>
    </w:div>
    <w:div w:id="1312058060">
      <w:marLeft w:val="0"/>
      <w:marRight w:val="0"/>
      <w:marTop w:val="0"/>
      <w:marBottom w:val="0"/>
      <w:divBdr>
        <w:top w:val="none" w:sz="0" w:space="0" w:color="auto"/>
        <w:left w:val="none" w:sz="0" w:space="0" w:color="auto"/>
        <w:bottom w:val="none" w:sz="0" w:space="0" w:color="auto"/>
        <w:right w:val="none" w:sz="0" w:space="0" w:color="auto"/>
      </w:divBdr>
    </w:div>
    <w:div w:id="1312058061">
      <w:marLeft w:val="0"/>
      <w:marRight w:val="0"/>
      <w:marTop w:val="0"/>
      <w:marBottom w:val="0"/>
      <w:divBdr>
        <w:top w:val="none" w:sz="0" w:space="0" w:color="auto"/>
        <w:left w:val="none" w:sz="0" w:space="0" w:color="auto"/>
        <w:bottom w:val="none" w:sz="0" w:space="0" w:color="auto"/>
        <w:right w:val="none" w:sz="0" w:space="0" w:color="auto"/>
      </w:divBdr>
    </w:div>
    <w:div w:id="1312058062">
      <w:marLeft w:val="0"/>
      <w:marRight w:val="0"/>
      <w:marTop w:val="0"/>
      <w:marBottom w:val="0"/>
      <w:divBdr>
        <w:top w:val="none" w:sz="0" w:space="0" w:color="auto"/>
        <w:left w:val="none" w:sz="0" w:space="0" w:color="auto"/>
        <w:bottom w:val="none" w:sz="0" w:space="0" w:color="auto"/>
        <w:right w:val="none" w:sz="0" w:space="0" w:color="auto"/>
      </w:divBdr>
    </w:div>
    <w:div w:id="1312058063">
      <w:marLeft w:val="0"/>
      <w:marRight w:val="0"/>
      <w:marTop w:val="0"/>
      <w:marBottom w:val="0"/>
      <w:divBdr>
        <w:top w:val="none" w:sz="0" w:space="0" w:color="auto"/>
        <w:left w:val="none" w:sz="0" w:space="0" w:color="auto"/>
        <w:bottom w:val="none" w:sz="0" w:space="0" w:color="auto"/>
        <w:right w:val="none" w:sz="0" w:space="0" w:color="auto"/>
      </w:divBdr>
    </w:div>
    <w:div w:id="1312058064">
      <w:marLeft w:val="0"/>
      <w:marRight w:val="0"/>
      <w:marTop w:val="0"/>
      <w:marBottom w:val="0"/>
      <w:divBdr>
        <w:top w:val="none" w:sz="0" w:space="0" w:color="auto"/>
        <w:left w:val="none" w:sz="0" w:space="0" w:color="auto"/>
        <w:bottom w:val="none" w:sz="0" w:space="0" w:color="auto"/>
        <w:right w:val="none" w:sz="0" w:space="0" w:color="auto"/>
      </w:divBdr>
    </w:div>
    <w:div w:id="1312058065">
      <w:marLeft w:val="0"/>
      <w:marRight w:val="0"/>
      <w:marTop w:val="0"/>
      <w:marBottom w:val="0"/>
      <w:divBdr>
        <w:top w:val="none" w:sz="0" w:space="0" w:color="auto"/>
        <w:left w:val="none" w:sz="0" w:space="0" w:color="auto"/>
        <w:bottom w:val="none" w:sz="0" w:space="0" w:color="auto"/>
        <w:right w:val="none" w:sz="0" w:space="0" w:color="auto"/>
      </w:divBdr>
    </w:div>
    <w:div w:id="1312058066">
      <w:marLeft w:val="0"/>
      <w:marRight w:val="0"/>
      <w:marTop w:val="0"/>
      <w:marBottom w:val="0"/>
      <w:divBdr>
        <w:top w:val="none" w:sz="0" w:space="0" w:color="auto"/>
        <w:left w:val="none" w:sz="0" w:space="0" w:color="auto"/>
        <w:bottom w:val="none" w:sz="0" w:space="0" w:color="auto"/>
        <w:right w:val="none" w:sz="0" w:space="0" w:color="auto"/>
      </w:divBdr>
    </w:div>
    <w:div w:id="1312058067">
      <w:marLeft w:val="0"/>
      <w:marRight w:val="0"/>
      <w:marTop w:val="0"/>
      <w:marBottom w:val="0"/>
      <w:divBdr>
        <w:top w:val="none" w:sz="0" w:space="0" w:color="auto"/>
        <w:left w:val="none" w:sz="0" w:space="0" w:color="auto"/>
        <w:bottom w:val="none" w:sz="0" w:space="0" w:color="auto"/>
        <w:right w:val="none" w:sz="0" w:space="0" w:color="auto"/>
      </w:divBdr>
    </w:div>
    <w:div w:id="1312058068">
      <w:marLeft w:val="0"/>
      <w:marRight w:val="0"/>
      <w:marTop w:val="0"/>
      <w:marBottom w:val="0"/>
      <w:divBdr>
        <w:top w:val="none" w:sz="0" w:space="0" w:color="auto"/>
        <w:left w:val="none" w:sz="0" w:space="0" w:color="auto"/>
        <w:bottom w:val="none" w:sz="0" w:space="0" w:color="auto"/>
        <w:right w:val="none" w:sz="0" w:space="0" w:color="auto"/>
      </w:divBdr>
    </w:div>
    <w:div w:id="1312058069">
      <w:marLeft w:val="0"/>
      <w:marRight w:val="0"/>
      <w:marTop w:val="0"/>
      <w:marBottom w:val="0"/>
      <w:divBdr>
        <w:top w:val="none" w:sz="0" w:space="0" w:color="auto"/>
        <w:left w:val="none" w:sz="0" w:space="0" w:color="auto"/>
        <w:bottom w:val="none" w:sz="0" w:space="0" w:color="auto"/>
        <w:right w:val="none" w:sz="0" w:space="0" w:color="auto"/>
      </w:divBdr>
    </w:div>
    <w:div w:id="1312058070">
      <w:marLeft w:val="0"/>
      <w:marRight w:val="0"/>
      <w:marTop w:val="0"/>
      <w:marBottom w:val="0"/>
      <w:divBdr>
        <w:top w:val="none" w:sz="0" w:space="0" w:color="auto"/>
        <w:left w:val="none" w:sz="0" w:space="0" w:color="auto"/>
        <w:bottom w:val="none" w:sz="0" w:space="0" w:color="auto"/>
        <w:right w:val="none" w:sz="0" w:space="0" w:color="auto"/>
      </w:divBdr>
    </w:div>
    <w:div w:id="1312058071">
      <w:marLeft w:val="0"/>
      <w:marRight w:val="0"/>
      <w:marTop w:val="0"/>
      <w:marBottom w:val="0"/>
      <w:divBdr>
        <w:top w:val="none" w:sz="0" w:space="0" w:color="auto"/>
        <w:left w:val="none" w:sz="0" w:space="0" w:color="auto"/>
        <w:bottom w:val="none" w:sz="0" w:space="0" w:color="auto"/>
        <w:right w:val="none" w:sz="0" w:space="0" w:color="auto"/>
      </w:divBdr>
    </w:div>
    <w:div w:id="1312058072">
      <w:marLeft w:val="0"/>
      <w:marRight w:val="0"/>
      <w:marTop w:val="0"/>
      <w:marBottom w:val="0"/>
      <w:divBdr>
        <w:top w:val="none" w:sz="0" w:space="0" w:color="auto"/>
        <w:left w:val="none" w:sz="0" w:space="0" w:color="auto"/>
        <w:bottom w:val="none" w:sz="0" w:space="0" w:color="auto"/>
        <w:right w:val="none" w:sz="0" w:space="0" w:color="auto"/>
      </w:divBdr>
    </w:div>
    <w:div w:id="1312058073">
      <w:marLeft w:val="0"/>
      <w:marRight w:val="0"/>
      <w:marTop w:val="0"/>
      <w:marBottom w:val="0"/>
      <w:divBdr>
        <w:top w:val="none" w:sz="0" w:space="0" w:color="auto"/>
        <w:left w:val="none" w:sz="0" w:space="0" w:color="auto"/>
        <w:bottom w:val="none" w:sz="0" w:space="0" w:color="auto"/>
        <w:right w:val="none" w:sz="0" w:space="0" w:color="auto"/>
      </w:divBdr>
    </w:div>
    <w:div w:id="1312058074">
      <w:marLeft w:val="0"/>
      <w:marRight w:val="0"/>
      <w:marTop w:val="0"/>
      <w:marBottom w:val="0"/>
      <w:divBdr>
        <w:top w:val="none" w:sz="0" w:space="0" w:color="auto"/>
        <w:left w:val="none" w:sz="0" w:space="0" w:color="auto"/>
        <w:bottom w:val="none" w:sz="0" w:space="0" w:color="auto"/>
        <w:right w:val="none" w:sz="0" w:space="0" w:color="auto"/>
      </w:divBdr>
    </w:div>
    <w:div w:id="1312058075">
      <w:marLeft w:val="0"/>
      <w:marRight w:val="0"/>
      <w:marTop w:val="0"/>
      <w:marBottom w:val="0"/>
      <w:divBdr>
        <w:top w:val="none" w:sz="0" w:space="0" w:color="auto"/>
        <w:left w:val="none" w:sz="0" w:space="0" w:color="auto"/>
        <w:bottom w:val="none" w:sz="0" w:space="0" w:color="auto"/>
        <w:right w:val="none" w:sz="0" w:space="0" w:color="auto"/>
      </w:divBdr>
    </w:div>
    <w:div w:id="1312058076">
      <w:marLeft w:val="0"/>
      <w:marRight w:val="0"/>
      <w:marTop w:val="0"/>
      <w:marBottom w:val="0"/>
      <w:divBdr>
        <w:top w:val="none" w:sz="0" w:space="0" w:color="auto"/>
        <w:left w:val="none" w:sz="0" w:space="0" w:color="auto"/>
        <w:bottom w:val="none" w:sz="0" w:space="0" w:color="auto"/>
        <w:right w:val="none" w:sz="0" w:space="0" w:color="auto"/>
      </w:divBdr>
    </w:div>
    <w:div w:id="1312058077">
      <w:marLeft w:val="0"/>
      <w:marRight w:val="0"/>
      <w:marTop w:val="0"/>
      <w:marBottom w:val="0"/>
      <w:divBdr>
        <w:top w:val="none" w:sz="0" w:space="0" w:color="auto"/>
        <w:left w:val="none" w:sz="0" w:space="0" w:color="auto"/>
        <w:bottom w:val="none" w:sz="0" w:space="0" w:color="auto"/>
        <w:right w:val="none" w:sz="0" w:space="0" w:color="auto"/>
      </w:divBdr>
    </w:div>
    <w:div w:id="1312058078">
      <w:marLeft w:val="0"/>
      <w:marRight w:val="0"/>
      <w:marTop w:val="0"/>
      <w:marBottom w:val="0"/>
      <w:divBdr>
        <w:top w:val="none" w:sz="0" w:space="0" w:color="auto"/>
        <w:left w:val="none" w:sz="0" w:space="0" w:color="auto"/>
        <w:bottom w:val="none" w:sz="0" w:space="0" w:color="auto"/>
        <w:right w:val="none" w:sz="0" w:space="0" w:color="auto"/>
      </w:divBdr>
    </w:div>
    <w:div w:id="1312058079">
      <w:marLeft w:val="0"/>
      <w:marRight w:val="0"/>
      <w:marTop w:val="0"/>
      <w:marBottom w:val="0"/>
      <w:divBdr>
        <w:top w:val="none" w:sz="0" w:space="0" w:color="auto"/>
        <w:left w:val="none" w:sz="0" w:space="0" w:color="auto"/>
        <w:bottom w:val="none" w:sz="0" w:space="0" w:color="auto"/>
        <w:right w:val="none" w:sz="0" w:space="0" w:color="auto"/>
      </w:divBdr>
    </w:div>
    <w:div w:id="1312058080">
      <w:marLeft w:val="0"/>
      <w:marRight w:val="0"/>
      <w:marTop w:val="0"/>
      <w:marBottom w:val="0"/>
      <w:divBdr>
        <w:top w:val="none" w:sz="0" w:space="0" w:color="auto"/>
        <w:left w:val="none" w:sz="0" w:space="0" w:color="auto"/>
        <w:bottom w:val="none" w:sz="0" w:space="0" w:color="auto"/>
        <w:right w:val="none" w:sz="0" w:space="0" w:color="auto"/>
      </w:divBdr>
    </w:div>
    <w:div w:id="1312058081">
      <w:marLeft w:val="0"/>
      <w:marRight w:val="0"/>
      <w:marTop w:val="0"/>
      <w:marBottom w:val="0"/>
      <w:divBdr>
        <w:top w:val="none" w:sz="0" w:space="0" w:color="auto"/>
        <w:left w:val="none" w:sz="0" w:space="0" w:color="auto"/>
        <w:bottom w:val="none" w:sz="0" w:space="0" w:color="auto"/>
        <w:right w:val="none" w:sz="0" w:space="0" w:color="auto"/>
      </w:divBdr>
    </w:div>
    <w:div w:id="1312058082">
      <w:marLeft w:val="0"/>
      <w:marRight w:val="0"/>
      <w:marTop w:val="0"/>
      <w:marBottom w:val="0"/>
      <w:divBdr>
        <w:top w:val="none" w:sz="0" w:space="0" w:color="auto"/>
        <w:left w:val="none" w:sz="0" w:space="0" w:color="auto"/>
        <w:bottom w:val="none" w:sz="0" w:space="0" w:color="auto"/>
        <w:right w:val="none" w:sz="0" w:space="0" w:color="auto"/>
      </w:divBdr>
    </w:div>
    <w:div w:id="1312058084">
      <w:marLeft w:val="0"/>
      <w:marRight w:val="0"/>
      <w:marTop w:val="0"/>
      <w:marBottom w:val="0"/>
      <w:divBdr>
        <w:top w:val="none" w:sz="0" w:space="0" w:color="auto"/>
        <w:left w:val="none" w:sz="0" w:space="0" w:color="auto"/>
        <w:bottom w:val="none" w:sz="0" w:space="0" w:color="auto"/>
        <w:right w:val="none" w:sz="0" w:space="0" w:color="auto"/>
      </w:divBdr>
    </w:div>
    <w:div w:id="1312058085">
      <w:marLeft w:val="0"/>
      <w:marRight w:val="0"/>
      <w:marTop w:val="0"/>
      <w:marBottom w:val="0"/>
      <w:divBdr>
        <w:top w:val="none" w:sz="0" w:space="0" w:color="auto"/>
        <w:left w:val="none" w:sz="0" w:space="0" w:color="auto"/>
        <w:bottom w:val="none" w:sz="0" w:space="0" w:color="auto"/>
        <w:right w:val="none" w:sz="0" w:space="0" w:color="auto"/>
      </w:divBdr>
    </w:div>
    <w:div w:id="1312058086">
      <w:marLeft w:val="0"/>
      <w:marRight w:val="0"/>
      <w:marTop w:val="0"/>
      <w:marBottom w:val="0"/>
      <w:divBdr>
        <w:top w:val="none" w:sz="0" w:space="0" w:color="auto"/>
        <w:left w:val="none" w:sz="0" w:space="0" w:color="auto"/>
        <w:bottom w:val="none" w:sz="0" w:space="0" w:color="auto"/>
        <w:right w:val="none" w:sz="0" w:space="0" w:color="auto"/>
      </w:divBdr>
    </w:div>
    <w:div w:id="1312058087">
      <w:marLeft w:val="0"/>
      <w:marRight w:val="0"/>
      <w:marTop w:val="0"/>
      <w:marBottom w:val="0"/>
      <w:divBdr>
        <w:top w:val="none" w:sz="0" w:space="0" w:color="auto"/>
        <w:left w:val="none" w:sz="0" w:space="0" w:color="auto"/>
        <w:bottom w:val="none" w:sz="0" w:space="0" w:color="auto"/>
        <w:right w:val="none" w:sz="0" w:space="0" w:color="auto"/>
      </w:divBdr>
    </w:div>
    <w:div w:id="1312058088">
      <w:marLeft w:val="0"/>
      <w:marRight w:val="0"/>
      <w:marTop w:val="0"/>
      <w:marBottom w:val="0"/>
      <w:divBdr>
        <w:top w:val="none" w:sz="0" w:space="0" w:color="auto"/>
        <w:left w:val="none" w:sz="0" w:space="0" w:color="auto"/>
        <w:bottom w:val="none" w:sz="0" w:space="0" w:color="auto"/>
        <w:right w:val="none" w:sz="0" w:space="0" w:color="auto"/>
      </w:divBdr>
    </w:div>
    <w:div w:id="1312058089">
      <w:marLeft w:val="0"/>
      <w:marRight w:val="0"/>
      <w:marTop w:val="0"/>
      <w:marBottom w:val="0"/>
      <w:divBdr>
        <w:top w:val="none" w:sz="0" w:space="0" w:color="auto"/>
        <w:left w:val="none" w:sz="0" w:space="0" w:color="auto"/>
        <w:bottom w:val="none" w:sz="0" w:space="0" w:color="auto"/>
        <w:right w:val="none" w:sz="0" w:space="0" w:color="auto"/>
      </w:divBdr>
    </w:div>
    <w:div w:id="1312058090">
      <w:marLeft w:val="0"/>
      <w:marRight w:val="0"/>
      <w:marTop w:val="0"/>
      <w:marBottom w:val="0"/>
      <w:divBdr>
        <w:top w:val="none" w:sz="0" w:space="0" w:color="auto"/>
        <w:left w:val="none" w:sz="0" w:space="0" w:color="auto"/>
        <w:bottom w:val="none" w:sz="0" w:space="0" w:color="auto"/>
        <w:right w:val="none" w:sz="0" w:space="0" w:color="auto"/>
      </w:divBdr>
    </w:div>
    <w:div w:id="1316763950">
      <w:bodyDiv w:val="1"/>
      <w:marLeft w:val="0"/>
      <w:marRight w:val="0"/>
      <w:marTop w:val="0"/>
      <w:marBottom w:val="0"/>
      <w:divBdr>
        <w:top w:val="none" w:sz="0" w:space="0" w:color="auto"/>
        <w:left w:val="none" w:sz="0" w:space="0" w:color="auto"/>
        <w:bottom w:val="none" w:sz="0" w:space="0" w:color="auto"/>
        <w:right w:val="none" w:sz="0" w:space="0" w:color="auto"/>
      </w:divBdr>
    </w:div>
    <w:div w:id="1317567177">
      <w:bodyDiv w:val="1"/>
      <w:marLeft w:val="0"/>
      <w:marRight w:val="0"/>
      <w:marTop w:val="0"/>
      <w:marBottom w:val="0"/>
      <w:divBdr>
        <w:top w:val="none" w:sz="0" w:space="0" w:color="auto"/>
        <w:left w:val="none" w:sz="0" w:space="0" w:color="auto"/>
        <w:bottom w:val="none" w:sz="0" w:space="0" w:color="auto"/>
        <w:right w:val="none" w:sz="0" w:space="0" w:color="auto"/>
      </w:divBdr>
    </w:div>
    <w:div w:id="1318925279">
      <w:bodyDiv w:val="1"/>
      <w:marLeft w:val="0"/>
      <w:marRight w:val="0"/>
      <w:marTop w:val="0"/>
      <w:marBottom w:val="0"/>
      <w:divBdr>
        <w:top w:val="none" w:sz="0" w:space="0" w:color="auto"/>
        <w:left w:val="none" w:sz="0" w:space="0" w:color="auto"/>
        <w:bottom w:val="none" w:sz="0" w:space="0" w:color="auto"/>
        <w:right w:val="none" w:sz="0" w:space="0" w:color="auto"/>
      </w:divBdr>
    </w:div>
    <w:div w:id="1323464691">
      <w:bodyDiv w:val="1"/>
      <w:marLeft w:val="0"/>
      <w:marRight w:val="0"/>
      <w:marTop w:val="0"/>
      <w:marBottom w:val="0"/>
      <w:divBdr>
        <w:top w:val="none" w:sz="0" w:space="0" w:color="auto"/>
        <w:left w:val="none" w:sz="0" w:space="0" w:color="auto"/>
        <w:bottom w:val="none" w:sz="0" w:space="0" w:color="auto"/>
        <w:right w:val="none" w:sz="0" w:space="0" w:color="auto"/>
      </w:divBdr>
    </w:div>
    <w:div w:id="1328245591">
      <w:bodyDiv w:val="1"/>
      <w:marLeft w:val="0"/>
      <w:marRight w:val="0"/>
      <w:marTop w:val="0"/>
      <w:marBottom w:val="0"/>
      <w:divBdr>
        <w:top w:val="none" w:sz="0" w:space="0" w:color="auto"/>
        <w:left w:val="none" w:sz="0" w:space="0" w:color="auto"/>
        <w:bottom w:val="none" w:sz="0" w:space="0" w:color="auto"/>
        <w:right w:val="none" w:sz="0" w:space="0" w:color="auto"/>
      </w:divBdr>
    </w:div>
    <w:div w:id="1346207532">
      <w:bodyDiv w:val="1"/>
      <w:marLeft w:val="0"/>
      <w:marRight w:val="0"/>
      <w:marTop w:val="0"/>
      <w:marBottom w:val="0"/>
      <w:divBdr>
        <w:top w:val="none" w:sz="0" w:space="0" w:color="auto"/>
        <w:left w:val="none" w:sz="0" w:space="0" w:color="auto"/>
        <w:bottom w:val="none" w:sz="0" w:space="0" w:color="auto"/>
        <w:right w:val="none" w:sz="0" w:space="0" w:color="auto"/>
      </w:divBdr>
    </w:div>
    <w:div w:id="1352029707">
      <w:bodyDiv w:val="1"/>
      <w:marLeft w:val="0"/>
      <w:marRight w:val="0"/>
      <w:marTop w:val="0"/>
      <w:marBottom w:val="0"/>
      <w:divBdr>
        <w:top w:val="none" w:sz="0" w:space="0" w:color="auto"/>
        <w:left w:val="none" w:sz="0" w:space="0" w:color="auto"/>
        <w:bottom w:val="none" w:sz="0" w:space="0" w:color="auto"/>
        <w:right w:val="none" w:sz="0" w:space="0" w:color="auto"/>
      </w:divBdr>
    </w:div>
    <w:div w:id="1354116449">
      <w:bodyDiv w:val="1"/>
      <w:marLeft w:val="0"/>
      <w:marRight w:val="0"/>
      <w:marTop w:val="0"/>
      <w:marBottom w:val="0"/>
      <w:divBdr>
        <w:top w:val="none" w:sz="0" w:space="0" w:color="auto"/>
        <w:left w:val="none" w:sz="0" w:space="0" w:color="auto"/>
        <w:bottom w:val="none" w:sz="0" w:space="0" w:color="auto"/>
        <w:right w:val="none" w:sz="0" w:space="0" w:color="auto"/>
      </w:divBdr>
    </w:div>
    <w:div w:id="1363214991">
      <w:bodyDiv w:val="1"/>
      <w:marLeft w:val="0"/>
      <w:marRight w:val="0"/>
      <w:marTop w:val="0"/>
      <w:marBottom w:val="0"/>
      <w:divBdr>
        <w:top w:val="none" w:sz="0" w:space="0" w:color="auto"/>
        <w:left w:val="none" w:sz="0" w:space="0" w:color="auto"/>
        <w:bottom w:val="none" w:sz="0" w:space="0" w:color="auto"/>
        <w:right w:val="none" w:sz="0" w:space="0" w:color="auto"/>
      </w:divBdr>
    </w:div>
    <w:div w:id="1370060370">
      <w:bodyDiv w:val="1"/>
      <w:marLeft w:val="0"/>
      <w:marRight w:val="0"/>
      <w:marTop w:val="0"/>
      <w:marBottom w:val="0"/>
      <w:divBdr>
        <w:top w:val="none" w:sz="0" w:space="0" w:color="auto"/>
        <w:left w:val="none" w:sz="0" w:space="0" w:color="auto"/>
        <w:bottom w:val="none" w:sz="0" w:space="0" w:color="auto"/>
        <w:right w:val="none" w:sz="0" w:space="0" w:color="auto"/>
      </w:divBdr>
    </w:div>
    <w:div w:id="1371102614">
      <w:bodyDiv w:val="1"/>
      <w:marLeft w:val="0"/>
      <w:marRight w:val="0"/>
      <w:marTop w:val="0"/>
      <w:marBottom w:val="0"/>
      <w:divBdr>
        <w:top w:val="none" w:sz="0" w:space="0" w:color="auto"/>
        <w:left w:val="none" w:sz="0" w:space="0" w:color="auto"/>
        <w:bottom w:val="none" w:sz="0" w:space="0" w:color="auto"/>
        <w:right w:val="none" w:sz="0" w:space="0" w:color="auto"/>
      </w:divBdr>
    </w:div>
    <w:div w:id="1384060933">
      <w:bodyDiv w:val="1"/>
      <w:marLeft w:val="0"/>
      <w:marRight w:val="0"/>
      <w:marTop w:val="0"/>
      <w:marBottom w:val="0"/>
      <w:divBdr>
        <w:top w:val="none" w:sz="0" w:space="0" w:color="auto"/>
        <w:left w:val="none" w:sz="0" w:space="0" w:color="auto"/>
        <w:bottom w:val="none" w:sz="0" w:space="0" w:color="auto"/>
        <w:right w:val="none" w:sz="0" w:space="0" w:color="auto"/>
      </w:divBdr>
    </w:div>
    <w:div w:id="1389255907">
      <w:bodyDiv w:val="1"/>
      <w:marLeft w:val="0"/>
      <w:marRight w:val="0"/>
      <w:marTop w:val="0"/>
      <w:marBottom w:val="0"/>
      <w:divBdr>
        <w:top w:val="none" w:sz="0" w:space="0" w:color="auto"/>
        <w:left w:val="none" w:sz="0" w:space="0" w:color="auto"/>
        <w:bottom w:val="none" w:sz="0" w:space="0" w:color="auto"/>
        <w:right w:val="none" w:sz="0" w:space="0" w:color="auto"/>
      </w:divBdr>
    </w:div>
    <w:div w:id="1397510941">
      <w:bodyDiv w:val="1"/>
      <w:marLeft w:val="0"/>
      <w:marRight w:val="0"/>
      <w:marTop w:val="0"/>
      <w:marBottom w:val="0"/>
      <w:divBdr>
        <w:top w:val="none" w:sz="0" w:space="0" w:color="auto"/>
        <w:left w:val="none" w:sz="0" w:space="0" w:color="auto"/>
        <w:bottom w:val="none" w:sz="0" w:space="0" w:color="auto"/>
        <w:right w:val="none" w:sz="0" w:space="0" w:color="auto"/>
      </w:divBdr>
    </w:div>
    <w:div w:id="1407921826">
      <w:bodyDiv w:val="1"/>
      <w:marLeft w:val="0"/>
      <w:marRight w:val="0"/>
      <w:marTop w:val="0"/>
      <w:marBottom w:val="0"/>
      <w:divBdr>
        <w:top w:val="none" w:sz="0" w:space="0" w:color="auto"/>
        <w:left w:val="none" w:sz="0" w:space="0" w:color="auto"/>
        <w:bottom w:val="none" w:sz="0" w:space="0" w:color="auto"/>
        <w:right w:val="none" w:sz="0" w:space="0" w:color="auto"/>
      </w:divBdr>
    </w:div>
    <w:div w:id="1426878922">
      <w:bodyDiv w:val="1"/>
      <w:marLeft w:val="0"/>
      <w:marRight w:val="0"/>
      <w:marTop w:val="0"/>
      <w:marBottom w:val="0"/>
      <w:divBdr>
        <w:top w:val="none" w:sz="0" w:space="0" w:color="auto"/>
        <w:left w:val="none" w:sz="0" w:space="0" w:color="auto"/>
        <w:bottom w:val="none" w:sz="0" w:space="0" w:color="auto"/>
        <w:right w:val="none" w:sz="0" w:space="0" w:color="auto"/>
      </w:divBdr>
    </w:div>
    <w:div w:id="1433359231">
      <w:bodyDiv w:val="1"/>
      <w:marLeft w:val="0"/>
      <w:marRight w:val="0"/>
      <w:marTop w:val="0"/>
      <w:marBottom w:val="0"/>
      <w:divBdr>
        <w:top w:val="none" w:sz="0" w:space="0" w:color="auto"/>
        <w:left w:val="none" w:sz="0" w:space="0" w:color="auto"/>
        <w:bottom w:val="none" w:sz="0" w:space="0" w:color="auto"/>
        <w:right w:val="none" w:sz="0" w:space="0" w:color="auto"/>
      </w:divBdr>
    </w:div>
    <w:div w:id="1453209697">
      <w:bodyDiv w:val="1"/>
      <w:marLeft w:val="0"/>
      <w:marRight w:val="0"/>
      <w:marTop w:val="0"/>
      <w:marBottom w:val="0"/>
      <w:divBdr>
        <w:top w:val="none" w:sz="0" w:space="0" w:color="auto"/>
        <w:left w:val="none" w:sz="0" w:space="0" w:color="auto"/>
        <w:bottom w:val="none" w:sz="0" w:space="0" w:color="auto"/>
        <w:right w:val="none" w:sz="0" w:space="0" w:color="auto"/>
      </w:divBdr>
    </w:div>
    <w:div w:id="1470518687">
      <w:bodyDiv w:val="1"/>
      <w:marLeft w:val="0"/>
      <w:marRight w:val="0"/>
      <w:marTop w:val="0"/>
      <w:marBottom w:val="0"/>
      <w:divBdr>
        <w:top w:val="none" w:sz="0" w:space="0" w:color="auto"/>
        <w:left w:val="none" w:sz="0" w:space="0" w:color="auto"/>
        <w:bottom w:val="none" w:sz="0" w:space="0" w:color="auto"/>
        <w:right w:val="none" w:sz="0" w:space="0" w:color="auto"/>
      </w:divBdr>
    </w:div>
    <w:div w:id="1471358281">
      <w:bodyDiv w:val="1"/>
      <w:marLeft w:val="0"/>
      <w:marRight w:val="0"/>
      <w:marTop w:val="0"/>
      <w:marBottom w:val="0"/>
      <w:divBdr>
        <w:top w:val="none" w:sz="0" w:space="0" w:color="auto"/>
        <w:left w:val="none" w:sz="0" w:space="0" w:color="auto"/>
        <w:bottom w:val="none" w:sz="0" w:space="0" w:color="auto"/>
        <w:right w:val="none" w:sz="0" w:space="0" w:color="auto"/>
      </w:divBdr>
    </w:div>
    <w:div w:id="1481649285">
      <w:bodyDiv w:val="1"/>
      <w:marLeft w:val="0"/>
      <w:marRight w:val="0"/>
      <w:marTop w:val="0"/>
      <w:marBottom w:val="0"/>
      <w:divBdr>
        <w:top w:val="none" w:sz="0" w:space="0" w:color="auto"/>
        <w:left w:val="none" w:sz="0" w:space="0" w:color="auto"/>
        <w:bottom w:val="none" w:sz="0" w:space="0" w:color="auto"/>
        <w:right w:val="none" w:sz="0" w:space="0" w:color="auto"/>
      </w:divBdr>
    </w:div>
    <w:div w:id="1486749907">
      <w:bodyDiv w:val="1"/>
      <w:marLeft w:val="0"/>
      <w:marRight w:val="0"/>
      <w:marTop w:val="0"/>
      <w:marBottom w:val="0"/>
      <w:divBdr>
        <w:top w:val="none" w:sz="0" w:space="0" w:color="auto"/>
        <w:left w:val="none" w:sz="0" w:space="0" w:color="auto"/>
        <w:bottom w:val="none" w:sz="0" w:space="0" w:color="auto"/>
        <w:right w:val="none" w:sz="0" w:space="0" w:color="auto"/>
      </w:divBdr>
    </w:div>
    <w:div w:id="1495219412">
      <w:bodyDiv w:val="1"/>
      <w:marLeft w:val="0"/>
      <w:marRight w:val="0"/>
      <w:marTop w:val="0"/>
      <w:marBottom w:val="0"/>
      <w:divBdr>
        <w:top w:val="none" w:sz="0" w:space="0" w:color="auto"/>
        <w:left w:val="none" w:sz="0" w:space="0" w:color="auto"/>
        <w:bottom w:val="none" w:sz="0" w:space="0" w:color="auto"/>
        <w:right w:val="none" w:sz="0" w:space="0" w:color="auto"/>
      </w:divBdr>
    </w:div>
    <w:div w:id="1499227403">
      <w:bodyDiv w:val="1"/>
      <w:marLeft w:val="0"/>
      <w:marRight w:val="0"/>
      <w:marTop w:val="0"/>
      <w:marBottom w:val="0"/>
      <w:divBdr>
        <w:top w:val="none" w:sz="0" w:space="0" w:color="auto"/>
        <w:left w:val="none" w:sz="0" w:space="0" w:color="auto"/>
        <w:bottom w:val="none" w:sz="0" w:space="0" w:color="auto"/>
        <w:right w:val="none" w:sz="0" w:space="0" w:color="auto"/>
      </w:divBdr>
    </w:div>
    <w:div w:id="1518501623">
      <w:bodyDiv w:val="1"/>
      <w:marLeft w:val="0"/>
      <w:marRight w:val="0"/>
      <w:marTop w:val="0"/>
      <w:marBottom w:val="0"/>
      <w:divBdr>
        <w:top w:val="none" w:sz="0" w:space="0" w:color="auto"/>
        <w:left w:val="none" w:sz="0" w:space="0" w:color="auto"/>
        <w:bottom w:val="none" w:sz="0" w:space="0" w:color="auto"/>
        <w:right w:val="none" w:sz="0" w:space="0" w:color="auto"/>
      </w:divBdr>
    </w:div>
    <w:div w:id="1520385724">
      <w:bodyDiv w:val="1"/>
      <w:marLeft w:val="0"/>
      <w:marRight w:val="0"/>
      <w:marTop w:val="0"/>
      <w:marBottom w:val="0"/>
      <w:divBdr>
        <w:top w:val="none" w:sz="0" w:space="0" w:color="auto"/>
        <w:left w:val="none" w:sz="0" w:space="0" w:color="auto"/>
        <w:bottom w:val="none" w:sz="0" w:space="0" w:color="auto"/>
        <w:right w:val="none" w:sz="0" w:space="0" w:color="auto"/>
      </w:divBdr>
    </w:div>
    <w:div w:id="1523783007">
      <w:bodyDiv w:val="1"/>
      <w:marLeft w:val="0"/>
      <w:marRight w:val="0"/>
      <w:marTop w:val="0"/>
      <w:marBottom w:val="0"/>
      <w:divBdr>
        <w:top w:val="none" w:sz="0" w:space="0" w:color="auto"/>
        <w:left w:val="none" w:sz="0" w:space="0" w:color="auto"/>
        <w:bottom w:val="none" w:sz="0" w:space="0" w:color="auto"/>
        <w:right w:val="none" w:sz="0" w:space="0" w:color="auto"/>
      </w:divBdr>
    </w:div>
    <w:div w:id="1524129482">
      <w:bodyDiv w:val="1"/>
      <w:marLeft w:val="0"/>
      <w:marRight w:val="0"/>
      <w:marTop w:val="0"/>
      <w:marBottom w:val="0"/>
      <w:divBdr>
        <w:top w:val="none" w:sz="0" w:space="0" w:color="auto"/>
        <w:left w:val="none" w:sz="0" w:space="0" w:color="auto"/>
        <w:bottom w:val="none" w:sz="0" w:space="0" w:color="auto"/>
        <w:right w:val="none" w:sz="0" w:space="0" w:color="auto"/>
      </w:divBdr>
    </w:div>
    <w:div w:id="1532063913">
      <w:bodyDiv w:val="1"/>
      <w:marLeft w:val="0"/>
      <w:marRight w:val="0"/>
      <w:marTop w:val="0"/>
      <w:marBottom w:val="0"/>
      <w:divBdr>
        <w:top w:val="none" w:sz="0" w:space="0" w:color="auto"/>
        <w:left w:val="none" w:sz="0" w:space="0" w:color="auto"/>
        <w:bottom w:val="none" w:sz="0" w:space="0" w:color="auto"/>
        <w:right w:val="none" w:sz="0" w:space="0" w:color="auto"/>
      </w:divBdr>
    </w:div>
    <w:div w:id="1535312284">
      <w:bodyDiv w:val="1"/>
      <w:marLeft w:val="0"/>
      <w:marRight w:val="0"/>
      <w:marTop w:val="0"/>
      <w:marBottom w:val="0"/>
      <w:divBdr>
        <w:top w:val="none" w:sz="0" w:space="0" w:color="auto"/>
        <w:left w:val="none" w:sz="0" w:space="0" w:color="auto"/>
        <w:bottom w:val="none" w:sz="0" w:space="0" w:color="auto"/>
        <w:right w:val="none" w:sz="0" w:space="0" w:color="auto"/>
      </w:divBdr>
    </w:div>
    <w:div w:id="1535343072">
      <w:bodyDiv w:val="1"/>
      <w:marLeft w:val="0"/>
      <w:marRight w:val="0"/>
      <w:marTop w:val="0"/>
      <w:marBottom w:val="0"/>
      <w:divBdr>
        <w:top w:val="none" w:sz="0" w:space="0" w:color="auto"/>
        <w:left w:val="none" w:sz="0" w:space="0" w:color="auto"/>
        <w:bottom w:val="none" w:sz="0" w:space="0" w:color="auto"/>
        <w:right w:val="none" w:sz="0" w:space="0" w:color="auto"/>
      </w:divBdr>
    </w:div>
    <w:div w:id="1539731875">
      <w:bodyDiv w:val="1"/>
      <w:marLeft w:val="0"/>
      <w:marRight w:val="0"/>
      <w:marTop w:val="0"/>
      <w:marBottom w:val="0"/>
      <w:divBdr>
        <w:top w:val="none" w:sz="0" w:space="0" w:color="auto"/>
        <w:left w:val="none" w:sz="0" w:space="0" w:color="auto"/>
        <w:bottom w:val="none" w:sz="0" w:space="0" w:color="auto"/>
        <w:right w:val="none" w:sz="0" w:space="0" w:color="auto"/>
      </w:divBdr>
    </w:div>
    <w:div w:id="1558972012">
      <w:bodyDiv w:val="1"/>
      <w:marLeft w:val="0"/>
      <w:marRight w:val="0"/>
      <w:marTop w:val="0"/>
      <w:marBottom w:val="0"/>
      <w:divBdr>
        <w:top w:val="none" w:sz="0" w:space="0" w:color="auto"/>
        <w:left w:val="none" w:sz="0" w:space="0" w:color="auto"/>
        <w:bottom w:val="none" w:sz="0" w:space="0" w:color="auto"/>
        <w:right w:val="none" w:sz="0" w:space="0" w:color="auto"/>
      </w:divBdr>
    </w:div>
    <w:div w:id="1566065890">
      <w:bodyDiv w:val="1"/>
      <w:marLeft w:val="0"/>
      <w:marRight w:val="0"/>
      <w:marTop w:val="0"/>
      <w:marBottom w:val="0"/>
      <w:divBdr>
        <w:top w:val="none" w:sz="0" w:space="0" w:color="auto"/>
        <w:left w:val="none" w:sz="0" w:space="0" w:color="auto"/>
        <w:bottom w:val="none" w:sz="0" w:space="0" w:color="auto"/>
        <w:right w:val="none" w:sz="0" w:space="0" w:color="auto"/>
      </w:divBdr>
    </w:div>
    <w:div w:id="1577013185">
      <w:bodyDiv w:val="1"/>
      <w:marLeft w:val="0"/>
      <w:marRight w:val="0"/>
      <w:marTop w:val="0"/>
      <w:marBottom w:val="0"/>
      <w:divBdr>
        <w:top w:val="none" w:sz="0" w:space="0" w:color="auto"/>
        <w:left w:val="none" w:sz="0" w:space="0" w:color="auto"/>
        <w:bottom w:val="none" w:sz="0" w:space="0" w:color="auto"/>
        <w:right w:val="none" w:sz="0" w:space="0" w:color="auto"/>
      </w:divBdr>
    </w:div>
    <w:div w:id="1581334490">
      <w:bodyDiv w:val="1"/>
      <w:marLeft w:val="0"/>
      <w:marRight w:val="0"/>
      <w:marTop w:val="0"/>
      <w:marBottom w:val="0"/>
      <w:divBdr>
        <w:top w:val="none" w:sz="0" w:space="0" w:color="auto"/>
        <w:left w:val="none" w:sz="0" w:space="0" w:color="auto"/>
        <w:bottom w:val="none" w:sz="0" w:space="0" w:color="auto"/>
        <w:right w:val="none" w:sz="0" w:space="0" w:color="auto"/>
      </w:divBdr>
    </w:div>
    <w:div w:id="1583250279">
      <w:bodyDiv w:val="1"/>
      <w:marLeft w:val="0"/>
      <w:marRight w:val="0"/>
      <w:marTop w:val="0"/>
      <w:marBottom w:val="0"/>
      <w:divBdr>
        <w:top w:val="none" w:sz="0" w:space="0" w:color="auto"/>
        <w:left w:val="none" w:sz="0" w:space="0" w:color="auto"/>
        <w:bottom w:val="none" w:sz="0" w:space="0" w:color="auto"/>
        <w:right w:val="none" w:sz="0" w:space="0" w:color="auto"/>
      </w:divBdr>
    </w:div>
    <w:div w:id="1595089916">
      <w:bodyDiv w:val="1"/>
      <w:marLeft w:val="0"/>
      <w:marRight w:val="0"/>
      <w:marTop w:val="0"/>
      <w:marBottom w:val="0"/>
      <w:divBdr>
        <w:top w:val="none" w:sz="0" w:space="0" w:color="auto"/>
        <w:left w:val="none" w:sz="0" w:space="0" w:color="auto"/>
        <w:bottom w:val="none" w:sz="0" w:space="0" w:color="auto"/>
        <w:right w:val="none" w:sz="0" w:space="0" w:color="auto"/>
      </w:divBdr>
    </w:div>
    <w:div w:id="1601791389">
      <w:bodyDiv w:val="1"/>
      <w:marLeft w:val="0"/>
      <w:marRight w:val="0"/>
      <w:marTop w:val="0"/>
      <w:marBottom w:val="0"/>
      <w:divBdr>
        <w:top w:val="none" w:sz="0" w:space="0" w:color="auto"/>
        <w:left w:val="none" w:sz="0" w:space="0" w:color="auto"/>
        <w:bottom w:val="none" w:sz="0" w:space="0" w:color="auto"/>
        <w:right w:val="none" w:sz="0" w:space="0" w:color="auto"/>
      </w:divBdr>
    </w:div>
    <w:div w:id="1606881254">
      <w:bodyDiv w:val="1"/>
      <w:marLeft w:val="0"/>
      <w:marRight w:val="0"/>
      <w:marTop w:val="0"/>
      <w:marBottom w:val="0"/>
      <w:divBdr>
        <w:top w:val="none" w:sz="0" w:space="0" w:color="auto"/>
        <w:left w:val="none" w:sz="0" w:space="0" w:color="auto"/>
        <w:bottom w:val="none" w:sz="0" w:space="0" w:color="auto"/>
        <w:right w:val="none" w:sz="0" w:space="0" w:color="auto"/>
      </w:divBdr>
    </w:div>
    <w:div w:id="1630891616">
      <w:bodyDiv w:val="1"/>
      <w:marLeft w:val="0"/>
      <w:marRight w:val="0"/>
      <w:marTop w:val="0"/>
      <w:marBottom w:val="0"/>
      <w:divBdr>
        <w:top w:val="none" w:sz="0" w:space="0" w:color="auto"/>
        <w:left w:val="none" w:sz="0" w:space="0" w:color="auto"/>
        <w:bottom w:val="none" w:sz="0" w:space="0" w:color="auto"/>
        <w:right w:val="none" w:sz="0" w:space="0" w:color="auto"/>
      </w:divBdr>
    </w:div>
    <w:div w:id="1632587612">
      <w:bodyDiv w:val="1"/>
      <w:marLeft w:val="0"/>
      <w:marRight w:val="0"/>
      <w:marTop w:val="0"/>
      <w:marBottom w:val="0"/>
      <w:divBdr>
        <w:top w:val="none" w:sz="0" w:space="0" w:color="auto"/>
        <w:left w:val="none" w:sz="0" w:space="0" w:color="auto"/>
        <w:bottom w:val="none" w:sz="0" w:space="0" w:color="auto"/>
        <w:right w:val="none" w:sz="0" w:space="0" w:color="auto"/>
      </w:divBdr>
    </w:div>
    <w:div w:id="1636906501">
      <w:bodyDiv w:val="1"/>
      <w:marLeft w:val="0"/>
      <w:marRight w:val="0"/>
      <w:marTop w:val="0"/>
      <w:marBottom w:val="0"/>
      <w:divBdr>
        <w:top w:val="none" w:sz="0" w:space="0" w:color="auto"/>
        <w:left w:val="none" w:sz="0" w:space="0" w:color="auto"/>
        <w:bottom w:val="none" w:sz="0" w:space="0" w:color="auto"/>
        <w:right w:val="none" w:sz="0" w:space="0" w:color="auto"/>
      </w:divBdr>
    </w:div>
    <w:div w:id="1641567205">
      <w:bodyDiv w:val="1"/>
      <w:marLeft w:val="0"/>
      <w:marRight w:val="0"/>
      <w:marTop w:val="0"/>
      <w:marBottom w:val="0"/>
      <w:divBdr>
        <w:top w:val="none" w:sz="0" w:space="0" w:color="auto"/>
        <w:left w:val="none" w:sz="0" w:space="0" w:color="auto"/>
        <w:bottom w:val="none" w:sz="0" w:space="0" w:color="auto"/>
        <w:right w:val="none" w:sz="0" w:space="0" w:color="auto"/>
      </w:divBdr>
    </w:div>
    <w:div w:id="1645154926">
      <w:bodyDiv w:val="1"/>
      <w:marLeft w:val="0"/>
      <w:marRight w:val="0"/>
      <w:marTop w:val="0"/>
      <w:marBottom w:val="0"/>
      <w:divBdr>
        <w:top w:val="none" w:sz="0" w:space="0" w:color="auto"/>
        <w:left w:val="none" w:sz="0" w:space="0" w:color="auto"/>
        <w:bottom w:val="none" w:sz="0" w:space="0" w:color="auto"/>
        <w:right w:val="none" w:sz="0" w:space="0" w:color="auto"/>
      </w:divBdr>
    </w:div>
    <w:div w:id="1660571976">
      <w:bodyDiv w:val="1"/>
      <w:marLeft w:val="0"/>
      <w:marRight w:val="0"/>
      <w:marTop w:val="0"/>
      <w:marBottom w:val="0"/>
      <w:divBdr>
        <w:top w:val="none" w:sz="0" w:space="0" w:color="auto"/>
        <w:left w:val="none" w:sz="0" w:space="0" w:color="auto"/>
        <w:bottom w:val="none" w:sz="0" w:space="0" w:color="auto"/>
        <w:right w:val="none" w:sz="0" w:space="0" w:color="auto"/>
      </w:divBdr>
    </w:div>
    <w:div w:id="1662156035">
      <w:bodyDiv w:val="1"/>
      <w:marLeft w:val="0"/>
      <w:marRight w:val="0"/>
      <w:marTop w:val="0"/>
      <w:marBottom w:val="0"/>
      <w:divBdr>
        <w:top w:val="none" w:sz="0" w:space="0" w:color="auto"/>
        <w:left w:val="none" w:sz="0" w:space="0" w:color="auto"/>
        <w:bottom w:val="none" w:sz="0" w:space="0" w:color="auto"/>
        <w:right w:val="none" w:sz="0" w:space="0" w:color="auto"/>
      </w:divBdr>
    </w:div>
    <w:div w:id="1662810046">
      <w:bodyDiv w:val="1"/>
      <w:marLeft w:val="0"/>
      <w:marRight w:val="0"/>
      <w:marTop w:val="0"/>
      <w:marBottom w:val="0"/>
      <w:divBdr>
        <w:top w:val="none" w:sz="0" w:space="0" w:color="auto"/>
        <w:left w:val="none" w:sz="0" w:space="0" w:color="auto"/>
        <w:bottom w:val="none" w:sz="0" w:space="0" w:color="auto"/>
        <w:right w:val="none" w:sz="0" w:space="0" w:color="auto"/>
      </w:divBdr>
    </w:div>
    <w:div w:id="1672097939">
      <w:bodyDiv w:val="1"/>
      <w:marLeft w:val="0"/>
      <w:marRight w:val="0"/>
      <w:marTop w:val="0"/>
      <w:marBottom w:val="0"/>
      <w:divBdr>
        <w:top w:val="none" w:sz="0" w:space="0" w:color="auto"/>
        <w:left w:val="none" w:sz="0" w:space="0" w:color="auto"/>
        <w:bottom w:val="none" w:sz="0" w:space="0" w:color="auto"/>
        <w:right w:val="none" w:sz="0" w:space="0" w:color="auto"/>
      </w:divBdr>
    </w:div>
    <w:div w:id="1674070686">
      <w:bodyDiv w:val="1"/>
      <w:marLeft w:val="0"/>
      <w:marRight w:val="0"/>
      <w:marTop w:val="0"/>
      <w:marBottom w:val="0"/>
      <w:divBdr>
        <w:top w:val="none" w:sz="0" w:space="0" w:color="auto"/>
        <w:left w:val="none" w:sz="0" w:space="0" w:color="auto"/>
        <w:bottom w:val="none" w:sz="0" w:space="0" w:color="auto"/>
        <w:right w:val="none" w:sz="0" w:space="0" w:color="auto"/>
      </w:divBdr>
    </w:div>
    <w:div w:id="1679044291">
      <w:bodyDiv w:val="1"/>
      <w:marLeft w:val="0"/>
      <w:marRight w:val="0"/>
      <w:marTop w:val="0"/>
      <w:marBottom w:val="0"/>
      <w:divBdr>
        <w:top w:val="none" w:sz="0" w:space="0" w:color="auto"/>
        <w:left w:val="none" w:sz="0" w:space="0" w:color="auto"/>
        <w:bottom w:val="none" w:sz="0" w:space="0" w:color="auto"/>
        <w:right w:val="none" w:sz="0" w:space="0" w:color="auto"/>
      </w:divBdr>
    </w:div>
    <w:div w:id="1692146747">
      <w:bodyDiv w:val="1"/>
      <w:marLeft w:val="0"/>
      <w:marRight w:val="0"/>
      <w:marTop w:val="0"/>
      <w:marBottom w:val="0"/>
      <w:divBdr>
        <w:top w:val="none" w:sz="0" w:space="0" w:color="auto"/>
        <w:left w:val="none" w:sz="0" w:space="0" w:color="auto"/>
        <w:bottom w:val="none" w:sz="0" w:space="0" w:color="auto"/>
        <w:right w:val="none" w:sz="0" w:space="0" w:color="auto"/>
      </w:divBdr>
    </w:div>
    <w:div w:id="1697654926">
      <w:bodyDiv w:val="1"/>
      <w:marLeft w:val="0"/>
      <w:marRight w:val="0"/>
      <w:marTop w:val="0"/>
      <w:marBottom w:val="0"/>
      <w:divBdr>
        <w:top w:val="none" w:sz="0" w:space="0" w:color="auto"/>
        <w:left w:val="none" w:sz="0" w:space="0" w:color="auto"/>
        <w:bottom w:val="none" w:sz="0" w:space="0" w:color="auto"/>
        <w:right w:val="none" w:sz="0" w:space="0" w:color="auto"/>
      </w:divBdr>
    </w:div>
    <w:div w:id="1706756652">
      <w:bodyDiv w:val="1"/>
      <w:marLeft w:val="0"/>
      <w:marRight w:val="0"/>
      <w:marTop w:val="0"/>
      <w:marBottom w:val="0"/>
      <w:divBdr>
        <w:top w:val="none" w:sz="0" w:space="0" w:color="auto"/>
        <w:left w:val="none" w:sz="0" w:space="0" w:color="auto"/>
        <w:bottom w:val="none" w:sz="0" w:space="0" w:color="auto"/>
        <w:right w:val="none" w:sz="0" w:space="0" w:color="auto"/>
      </w:divBdr>
    </w:div>
    <w:div w:id="1715425521">
      <w:bodyDiv w:val="1"/>
      <w:marLeft w:val="0"/>
      <w:marRight w:val="0"/>
      <w:marTop w:val="0"/>
      <w:marBottom w:val="0"/>
      <w:divBdr>
        <w:top w:val="none" w:sz="0" w:space="0" w:color="auto"/>
        <w:left w:val="none" w:sz="0" w:space="0" w:color="auto"/>
        <w:bottom w:val="none" w:sz="0" w:space="0" w:color="auto"/>
        <w:right w:val="none" w:sz="0" w:space="0" w:color="auto"/>
      </w:divBdr>
    </w:div>
    <w:div w:id="1723559604">
      <w:bodyDiv w:val="1"/>
      <w:marLeft w:val="0"/>
      <w:marRight w:val="0"/>
      <w:marTop w:val="0"/>
      <w:marBottom w:val="0"/>
      <w:divBdr>
        <w:top w:val="none" w:sz="0" w:space="0" w:color="auto"/>
        <w:left w:val="none" w:sz="0" w:space="0" w:color="auto"/>
        <w:bottom w:val="none" w:sz="0" w:space="0" w:color="auto"/>
        <w:right w:val="none" w:sz="0" w:space="0" w:color="auto"/>
      </w:divBdr>
    </w:div>
    <w:div w:id="1723942390">
      <w:bodyDiv w:val="1"/>
      <w:marLeft w:val="0"/>
      <w:marRight w:val="0"/>
      <w:marTop w:val="0"/>
      <w:marBottom w:val="0"/>
      <w:divBdr>
        <w:top w:val="none" w:sz="0" w:space="0" w:color="auto"/>
        <w:left w:val="none" w:sz="0" w:space="0" w:color="auto"/>
        <w:bottom w:val="none" w:sz="0" w:space="0" w:color="auto"/>
        <w:right w:val="none" w:sz="0" w:space="0" w:color="auto"/>
      </w:divBdr>
    </w:div>
    <w:div w:id="1728256853">
      <w:bodyDiv w:val="1"/>
      <w:marLeft w:val="0"/>
      <w:marRight w:val="0"/>
      <w:marTop w:val="0"/>
      <w:marBottom w:val="0"/>
      <w:divBdr>
        <w:top w:val="none" w:sz="0" w:space="0" w:color="auto"/>
        <w:left w:val="none" w:sz="0" w:space="0" w:color="auto"/>
        <w:bottom w:val="none" w:sz="0" w:space="0" w:color="auto"/>
        <w:right w:val="none" w:sz="0" w:space="0" w:color="auto"/>
      </w:divBdr>
    </w:div>
    <w:div w:id="1735930037">
      <w:bodyDiv w:val="1"/>
      <w:marLeft w:val="0"/>
      <w:marRight w:val="0"/>
      <w:marTop w:val="0"/>
      <w:marBottom w:val="0"/>
      <w:divBdr>
        <w:top w:val="none" w:sz="0" w:space="0" w:color="auto"/>
        <w:left w:val="none" w:sz="0" w:space="0" w:color="auto"/>
        <w:bottom w:val="none" w:sz="0" w:space="0" w:color="auto"/>
        <w:right w:val="none" w:sz="0" w:space="0" w:color="auto"/>
      </w:divBdr>
    </w:div>
    <w:div w:id="1739399150">
      <w:bodyDiv w:val="1"/>
      <w:marLeft w:val="0"/>
      <w:marRight w:val="0"/>
      <w:marTop w:val="0"/>
      <w:marBottom w:val="0"/>
      <w:divBdr>
        <w:top w:val="none" w:sz="0" w:space="0" w:color="auto"/>
        <w:left w:val="none" w:sz="0" w:space="0" w:color="auto"/>
        <w:bottom w:val="none" w:sz="0" w:space="0" w:color="auto"/>
        <w:right w:val="none" w:sz="0" w:space="0" w:color="auto"/>
      </w:divBdr>
    </w:div>
    <w:div w:id="1747994131">
      <w:bodyDiv w:val="1"/>
      <w:marLeft w:val="0"/>
      <w:marRight w:val="0"/>
      <w:marTop w:val="0"/>
      <w:marBottom w:val="0"/>
      <w:divBdr>
        <w:top w:val="none" w:sz="0" w:space="0" w:color="auto"/>
        <w:left w:val="none" w:sz="0" w:space="0" w:color="auto"/>
        <w:bottom w:val="none" w:sz="0" w:space="0" w:color="auto"/>
        <w:right w:val="none" w:sz="0" w:space="0" w:color="auto"/>
      </w:divBdr>
    </w:div>
    <w:div w:id="1778981988">
      <w:bodyDiv w:val="1"/>
      <w:marLeft w:val="0"/>
      <w:marRight w:val="0"/>
      <w:marTop w:val="0"/>
      <w:marBottom w:val="0"/>
      <w:divBdr>
        <w:top w:val="none" w:sz="0" w:space="0" w:color="auto"/>
        <w:left w:val="none" w:sz="0" w:space="0" w:color="auto"/>
        <w:bottom w:val="none" w:sz="0" w:space="0" w:color="auto"/>
        <w:right w:val="none" w:sz="0" w:space="0" w:color="auto"/>
      </w:divBdr>
    </w:div>
    <w:div w:id="1781680524">
      <w:bodyDiv w:val="1"/>
      <w:marLeft w:val="0"/>
      <w:marRight w:val="0"/>
      <w:marTop w:val="0"/>
      <w:marBottom w:val="0"/>
      <w:divBdr>
        <w:top w:val="none" w:sz="0" w:space="0" w:color="auto"/>
        <w:left w:val="none" w:sz="0" w:space="0" w:color="auto"/>
        <w:bottom w:val="none" w:sz="0" w:space="0" w:color="auto"/>
        <w:right w:val="none" w:sz="0" w:space="0" w:color="auto"/>
      </w:divBdr>
    </w:div>
    <w:div w:id="1819759615">
      <w:bodyDiv w:val="1"/>
      <w:marLeft w:val="0"/>
      <w:marRight w:val="0"/>
      <w:marTop w:val="0"/>
      <w:marBottom w:val="0"/>
      <w:divBdr>
        <w:top w:val="none" w:sz="0" w:space="0" w:color="auto"/>
        <w:left w:val="none" w:sz="0" w:space="0" w:color="auto"/>
        <w:bottom w:val="none" w:sz="0" w:space="0" w:color="auto"/>
        <w:right w:val="none" w:sz="0" w:space="0" w:color="auto"/>
      </w:divBdr>
    </w:div>
    <w:div w:id="1838574932">
      <w:bodyDiv w:val="1"/>
      <w:marLeft w:val="0"/>
      <w:marRight w:val="0"/>
      <w:marTop w:val="0"/>
      <w:marBottom w:val="0"/>
      <w:divBdr>
        <w:top w:val="none" w:sz="0" w:space="0" w:color="auto"/>
        <w:left w:val="none" w:sz="0" w:space="0" w:color="auto"/>
        <w:bottom w:val="none" w:sz="0" w:space="0" w:color="auto"/>
        <w:right w:val="none" w:sz="0" w:space="0" w:color="auto"/>
      </w:divBdr>
    </w:div>
    <w:div w:id="1840198545">
      <w:bodyDiv w:val="1"/>
      <w:marLeft w:val="0"/>
      <w:marRight w:val="0"/>
      <w:marTop w:val="0"/>
      <w:marBottom w:val="0"/>
      <w:divBdr>
        <w:top w:val="none" w:sz="0" w:space="0" w:color="auto"/>
        <w:left w:val="none" w:sz="0" w:space="0" w:color="auto"/>
        <w:bottom w:val="none" w:sz="0" w:space="0" w:color="auto"/>
        <w:right w:val="none" w:sz="0" w:space="0" w:color="auto"/>
      </w:divBdr>
    </w:div>
    <w:div w:id="1841196613">
      <w:bodyDiv w:val="1"/>
      <w:marLeft w:val="0"/>
      <w:marRight w:val="0"/>
      <w:marTop w:val="0"/>
      <w:marBottom w:val="0"/>
      <w:divBdr>
        <w:top w:val="none" w:sz="0" w:space="0" w:color="auto"/>
        <w:left w:val="none" w:sz="0" w:space="0" w:color="auto"/>
        <w:bottom w:val="none" w:sz="0" w:space="0" w:color="auto"/>
        <w:right w:val="none" w:sz="0" w:space="0" w:color="auto"/>
      </w:divBdr>
    </w:div>
    <w:div w:id="1855027773">
      <w:bodyDiv w:val="1"/>
      <w:marLeft w:val="0"/>
      <w:marRight w:val="0"/>
      <w:marTop w:val="0"/>
      <w:marBottom w:val="0"/>
      <w:divBdr>
        <w:top w:val="none" w:sz="0" w:space="0" w:color="auto"/>
        <w:left w:val="none" w:sz="0" w:space="0" w:color="auto"/>
        <w:bottom w:val="none" w:sz="0" w:space="0" w:color="auto"/>
        <w:right w:val="none" w:sz="0" w:space="0" w:color="auto"/>
      </w:divBdr>
    </w:div>
    <w:div w:id="1863321999">
      <w:bodyDiv w:val="1"/>
      <w:marLeft w:val="0"/>
      <w:marRight w:val="0"/>
      <w:marTop w:val="0"/>
      <w:marBottom w:val="0"/>
      <w:divBdr>
        <w:top w:val="none" w:sz="0" w:space="0" w:color="auto"/>
        <w:left w:val="none" w:sz="0" w:space="0" w:color="auto"/>
        <w:bottom w:val="none" w:sz="0" w:space="0" w:color="auto"/>
        <w:right w:val="none" w:sz="0" w:space="0" w:color="auto"/>
      </w:divBdr>
    </w:div>
    <w:div w:id="1866747311">
      <w:bodyDiv w:val="1"/>
      <w:marLeft w:val="0"/>
      <w:marRight w:val="0"/>
      <w:marTop w:val="0"/>
      <w:marBottom w:val="0"/>
      <w:divBdr>
        <w:top w:val="none" w:sz="0" w:space="0" w:color="auto"/>
        <w:left w:val="none" w:sz="0" w:space="0" w:color="auto"/>
        <w:bottom w:val="none" w:sz="0" w:space="0" w:color="auto"/>
        <w:right w:val="none" w:sz="0" w:space="0" w:color="auto"/>
      </w:divBdr>
    </w:div>
    <w:div w:id="1869022987">
      <w:bodyDiv w:val="1"/>
      <w:marLeft w:val="0"/>
      <w:marRight w:val="0"/>
      <w:marTop w:val="0"/>
      <w:marBottom w:val="0"/>
      <w:divBdr>
        <w:top w:val="none" w:sz="0" w:space="0" w:color="auto"/>
        <w:left w:val="none" w:sz="0" w:space="0" w:color="auto"/>
        <w:bottom w:val="none" w:sz="0" w:space="0" w:color="auto"/>
        <w:right w:val="none" w:sz="0" w:space="0" w:color="auto"/>
      </w:divBdr>
    </w:div>
    <w:div w:id="1871186253">
      <w:bodyDiv w:val="1"/>
      <w:marLeft w:val="0"/>
      <w:marRight w:val="0"/>
      <w:marTop w:val="0"/>
      <w:marBottom w:val="0"/>
      <w:divBdr>
        <w:top w:val="none" w:sz="0" w:space="0" w:color="auto"/>
        <w:left w:val="none" w:sz="0" w:space="0" w:color="auto"/>
        <w:bottom w:val="none" w:sz="0" w:space="0" w:color="auto"/>
        <w:right w:val="none" w:sz="0" w:space="0" w:color="auto"/>
      </w:divBdr>
    </w:div>
    <w:div w:id="1879932859">
      <w:bodyDiv w:val="1"/>
      <w:marLeft w:val="0"/>
      <w:marRight w:val="0"/>
      <w:marTop w:val="0"/>
      <w:marBottom w:val="0"/>
      <w:divBdr>
        <w:top w:val="none" w:sz="0" w:space="0" w:color="auto"/>
        <w:left w:val="none" w:sz="0" w:space="0" w:color="auto"/>
        <w:bottom w:val="none" w:sz="0" w:space="0" w:color="auto"/>
        <w:right w:val="none" w:sz="0" w:space="0" w:color="auto"/>
      </w:divBdr>
    </w:div>
    <w:div w:id="1897428424">
      <w:bodyDiv w:val="1"/>
      <w:marLeft w:val="0"/>
      <w:marRight w:val="0"/>
      <w:marTop w:val="0"/>
      <w:marBottom w:val="0"/>
      <w:divBdr>
        <w:top w:val="none" w:sz="0" w:space="0" w:color="auto"/>
        <w:left w:val="none" w:sz="0" w:space="0" w:color="auto"/>
        <w:bottom w:val="none" w:sz="0" w:space="0" w:color="auto"/>
        <w:right w:val="none" w:sz="0" w:space="0" w:color="auto"/>
      </w:divBdr>
    </w:div>
    <w:div w:id="1897662753">
      <w:bodyDiv w:val="1"/>
      <w:marLeft w:val="0"/>
      <w:marRight w:val="0"/>
      <w:marTop w:val="0"/>
      <w:marBottom w:val="0"/>
      <w:divBdr>
        <w:top w:val="none" w:sz="0" w:space="0" w:color="auto"/>
        <w:left w:val="none" w:sz="0" w:space="0" w:color="auto"/>
        <w:bottom w:val="none" w:sz="0" w:space="0" w:color="auto"/>
        <w:right w:val="none" w:sz="0" w:space="0" w:color="auto"/>
      </w:divBdr>
    </w:div>
    <w:div w:id="1909654018">
      <w:bodyDiv w:val="1"/>
      <w:marLeft w:val="0"/>
      <w:marRight w:val="0"/>
      <w:marTop w:val="0"/>
      <w:marBottom w:val="0"/>
      <w:divBdr>
        <w:top w:val="none" w:sz="0" w:space="0" w:color="auto"/>
        <w:left w:val="none" w:sz="0" w:space="0" w:color="auto"/>
        <w:bottom w:val="none" w:sz="0" w:space="0" w:color="auto"/>
        <w:right w:val="none" w:sz="0" w:space="0" w:color="auto"/>
      </w:divBdr>
    </w:div>
    <w:div w:id="1914273062">
      <w:bodyDiv w:val="1"/>
      <w:marLeft w:val="0"/>
      <w:marRight w:val="0"/>
      <w:marTop w:val="0"/>
      <w:marBottom w:val="0"/>
      <w:divBdr>
        <w:top w:val="none" w:sz="0" w:space="0" w:color="auto"/>
        <w:left w:val="none" w:sz="0" w:space="0" w:color="auto"/>
        <w:bottom w:val="none" w:sz="0" w:space="0" w:color="auto"/>
        <w:right w:val="none" w:sz="0" w:space="0" w:color="auto"/>
      </w:divBdr>
    </w:div>
    <w:div w:id="1927378497">
      <w:bodyDiv w:val="1"/>
      <w:marLeft w:val="0"/>
      <w:marRight w:val="0"/>
      <w:marTop w:val="0"/>
      <w:marBottom w:val="0"/>
      <w:divBdr>
        <w:top w:val="none" w:sz="0" w:space="0" w:color="auto"/>
        <w:left w:val="none" w:sz="0" w:space="0" w:color="auto"/>
        <w:bottom w:val="none" w:sz="0" w:space="0" w:color="auto"/>
        <w:right w:val="none" w:sz="0" w:space="0" w:color="auto"/>
      </w:divBdr>
    </w:div>
    <w:div w:id="1931623242">
      <w:bodyDiv w:val="1"/>
      <w:marLeft w:val="0"/>
      <w:marRight w:val="0"/>
      <w:marTop w:val="0"/>
      <w:marBottom w:val="0"/>
      <w:divBdr>
        <w:top w:val="none" w:sz="0" w:space="0" w:color="auto"/>
        <w:left w:val="none" w:sz="0" w:space="0" w:color="auto"/>
        <w:bottom w:val="none" w:sz="0" w:space="0" w:color="auto"/>
        <w:right w:val="none" w:sz="0" w:space="0" w:color="auto"/>
      </w:divBdr>
    </w:div>
    <w:div w:id="1933321959">
      <w:bodyDiv w:val="1"/>
      <w:marLeft w:val="0"/>
      <w:marRight w:val="0"/>
      <w:marTop w:val="0"/>
      <w:marBottom w:val="0"/>
      <w:divBdr>
        <w:top w:val="none" w:sz="0" w:space="0" w:color="auto"/>
        <w:left w:val="none" w:sz="0" w:space="0" w:color="auto"/>
        <w:bottom w:val="none" w:sz="0" w:space="0" w:color="auto"/>
        <w:right w:val="none" w:sz="0" w:space="0" w:color="auto"/>
      </w:divBdr>
    </w:div>
    <w:div w:id="1934047423">
      <w:bodyDiv w:val="1"/>
      <w:marLeft w:val="0"/>
      <w:marRight w:val="0"/>
      <w:marTop w:val="0"/>
      <w:marBottom w:val="0"/>
      <w:divBdr>
        <w:top w:val="none" w:sz="0" w:space="0" w:color="auto"/>
        <w:left w:val="none" w:sz="0" w:space="0" w:color="auto"/>
        <w:bottom w:val="none" w:sz="0" w:space="0" w:color="auto"/>
        <w:right w:val="none" w:sz="0" w:space="0" w:color="auto"/>
      </w:divBdr>
    </w:div>
    <w:div w:id="1934239729">
      <w:bodyDiv w:val="1"/>
      <w:marLeft w:val="0"/>
      <w:marRight w:val="0"/>
      <w:marTop w:val="0"/>
      <w:marBottom w:val="0"/>
      <w:divBdr>
        <w:top w:val="none" w:sz="0" w:space="0" w:color="auto"/>
        <w:left w:val="none" w:sz="0" w:space="0" w:color="auto"/>
        <w:bottom w:val="none" w:sz="0" w:space="0" w:color="auto"/>
        <w:right w:val="none" w:sz="0" w:space="0" w:color="auto"/>
      </w:divBdr>
    </w:div>
    <w:div w:id="1934434389">
      <w:bodyDiv w:val="1"/>
      <w:marLeft w:val="0"/>
      <w:marRight w:val="0"/>
      <w:marTop w:val="0"/>
      <w:marBottom w:val="0"/>
      <w:divBdr>
        <w:top w:val="none" w:sz="0" w:space="0" w:color="auto"/>
        <w:left w:val="none" w:sz="0" w:space="0" w:color="auto"/>
        <w:bottom w:val="none" w:sz="0" w:space="0" w:color="auto"/>
        <w:right w:val="none" w:sz="0" w:space="0" w:color="auto"/>
      </w:divBdr>
    </w:div>
    <w:div w:id="1948536739">
      <w:bodyDiv w:val="1"/>
      <w:marLeft w:val="0"/>
      <w:marRight w:val="0"/>
      <w:marTop w:val="0"/>
      <w:marBottom w:val="0"/>
      <w:divBdr>
        <w:top w:val="none" w:sz="0" w:space="0" w:color="auto"/>
        <w:left w:val="none" w:sz="0" w:space="0" w:color="auto"/>
        <w:bottom w:val="none" w:sz="0" w:space="0" w:color="auto"/>
        <w:right w:val="none" w:sz="0" w:space="0" w:color="auto"/>
      </w:divBdr>
    </w:div>
    <w:div w:id="1950622397">
      <w:bodyDiv w:val="1"/>
      <w:marLeft w:val="0"/>
      <w:marRight w:val="0"/>
      <w:marTop w:val="0"/>
      <w:marBottom w:val="0"/>
      <w:divBdr>
        <w:top w:val="none" w:sz="0" w:space="0" w:color="auto"/>
        <w:left w:val="none" w:sz="0" w:space="0" w:color="auto"/>
        <w:bottom w:val="none" w:sz="0" w:space="0" w:color="auto"/>
        <w:right w:val="none" w:sz="0" w:space="0" w:color="auto"/>
      </w:divBdr>
    </w:div>
    <w:div w:id="1950625533">
      <w:bodyDiv w:val="1"/>
      <w:marLeft w:val="0"/>
      <w:marRight w:val="0"/>
      <w:marTop w:val="0"/>
      <w:marBottom w:val="0"/>
      <w:divBdr>
        <w:top w:val="none" w:sz="0" w:space="0" w:color="auto"/>
        <w:left w:val="none" w:sz="0" w:space="0" w:color="auto"/>
        <w:bottom w:val="none" w:sz="0" w:space="0" w:color="auto"/>
        <w:right w:val="none" w:sz="0" w:space="0" w:color="auto"/>
      </w:divBdr>
    </w:div>
    <w:div w:id="1963219783">
      <w:bodyDiv w:val="1"/>
      <w:marLeft w:val="0"/>
      <w:marRight w:val="0"/>
      <w:marTop w:val="0"/>
      <w:marBottom w:val="0"/>
      <w:divBdr>
        <w:top w:val="none" w:sz="0" w:space="0" w:color="auto"/>
        <w:left w:val="none" w:sz="0" w:space="0" w:color="auto"/>
        <w:bottom w:val="none" w:sz="0" w:space="0" w:color="auto"/>
        <w:right w:val="none" w:sz="0" w:space="0" w:color="auto"/>
      </w:divBdr>
    </w:div>
    <w:div w:id="1967544825">
      <w:bodyDiv w:val="1"/>
      <w:marLeft w:val="0"/>
      <w:marRight w:val="0"/>
      <w:marTop w:val="0"/>
      <w:marBottom w:val="0"/>
      <w:divBdr>
        <w:top w:val="none" w:sz="0" w:space="0" w:color="auto"/>
        <w:left w:val="none" w:sz="0" w:space="0" w:color="auto"/>
        <w:bottom w:val="none" w:sz="0" w:space="0" w:color="auto"/>
        <w:right w:val="none" w:sz="0" w:space="0" w:color="auto"/>
      </w:divBdr>
    </w:div>
    <w:div w:id="1971549903">
      <w:bodyDiv w:val="1"/>
      <w:marLeft w:val="0"/>
      <w:marRight w:val="0"/>
      <w:marTop w:val="0"/>
      <w:marBottom w:val="0"/>
      <w:divBdr>
        <w:top w:val="none" w:sz="0" w:space="0" w:color="auto"/>
        <w:left w:val="none" w:sz="0" w:space="0" w:color="auto"/>
        <w:bottom w:val="none" w:sz="0" w:space="0" w:color="auto"/>
        <w:right w:val="none" w:sz="0" w:space="0" w:color="auto"/>
      </w:divBdr>
    </w:div>
    <w:div w:id="1978294774">
      <w:bodyDiv w:val="1"/>
      <w:marLeft w:val="0"/>
      <w:marRight w:val="0"/>
      <w:marTop w:val="0"/>
      <w:marBottom w:val="0"/>
      <w:divBdr>
        <w:top w:val="none" w:sz="0" w:space="0" w:color="auto"/>
        <w:left w:val="none" w:sz="0" w:space="0" w:color="auto"/>
        <w:bottom w:val="none" w:sz="0" w:space="0" w:color="auto"/>
        <w:right w:val="none" w:sz="0" w:space="0" w:color="auto"/>
      </w:divBdr>
    </w:div>
    <w:div w:id="1982929003">
      <w:bodyDiv w:val="1"/>
      <w:marLeft w:val="0"/>
      <w:marRight w:val="0"/>
      <w:marTop w:val="0"/>
      <w:marBottom w:val="0"/>
      <w:divBdr>
        <w:top w:val="none" w:sz="0" w:space="0" w:color="auto"/>
        <w:left w:val="none" w:sz="0" w:space="0" w:color="auto"/>
        <w:bottom w:val="none" w:sz="0" w:space="0" w:color="auto"/>
        <w:right w:val="none" w:sz="0" w:space="0" w:color="auto"/>
      </w:divBdr>
    </w:div>
    <w:div w:id="1987707883">
      <w:bodyDiv w:val="1"/>
      <w:marLeft w:val="0"/>
      <w:marRight w:val="0"/>
      <w:marTop w:val="0"/>
      <w:marBottom w:val="0"/>
      <w:divBdr>
        <w:top w:val="none" w:sz="0" w:space="0" w:color="auto"/>
        <w:left w:val="none" w:sz="0" w:space="0" w:color="auto"/>
        <w:bottom w:val="none" w:sz="0" w:space="0" w:color="auto"/>
        <w:right w:val="none" w:sz="0" w:space="0" w:color="auto"/>
      </w:divBdr>
    </w:div>
    <w:div w:id="1994479282">
      <w:bodyDiv w:val="1"/>
      <w:marLeft w:val="0"/>
      <w:marRight w:val="0"/>
      <w:marTop w:val="0"/>
      <w:marBottom w:val="0"/>
      <w:divBdr>
        <w:top w:val="none" w:sz="0" w:space="0" w:color="auto"/>
        <w:left w:val="none" w:sz="0" w:space="0" w:color="auto"/>
        <w:bottom w:val="none" w:sz="0" w:space="0" w:color="auto"/>
        <w:right w:val="none" w:sz="0" w:space="0" w:color="auto"/>
      </w:divBdr>
    </w:div>
    <w:div w:id="1996108339">
      <w:bodyDiv w:val="1"/>
      <w:marLeft w:val="0"/>
      <w:marRight w:val="0"/>
      <w:marTop w:val="0"/>
      <w:marBottom w:val="0"/>
      <w:divBdr>
        <w:top w:val="none" w:sz="0" w:space="0" w:color="auto"/>
        <w:left w:val="none" w:sz="0" w:space="0" w:color="auto"/>
        <w:bottom w:val="none" w:sz="0" w:space="0" w:color="auto"/>
        <w:right w:val="none" w:sz="0" w:space="0" w:color="auto"/>
      </w:divBdr>
    </w:div>
    <w:div w:id="1996492495">
      <w:bodyDiv w:val="1"/>
      <w:marLeft w:val="0"/>
      <w:marRight w:val="0"/>
      <w:marTop w:val="0"/>
      <w:marBottom w:val="0"/>
      <w:divBdr>
        <w:top w:val="none" w:sz="0" w:space="0" w:color="auto"/>
        <w:left w:val="none" w:sz="0" w:space="0" w:color="auto"/>
        <w:bottom w:val="none" w:sz="0" w:space="0" w:color="auto"/>
        <w:right w:val="none" w:sz="0" w:space="0" w:color="auto"/>
      </w:divBdr>
    </w:div>
    <w:div w:id="2026781863">
      <w:bodyDiv w:val="1"/>
      <w:marLeft w:val="0"/>
      <w:marRight w:val="0"/>
      <w:marTop w:val="0"/>
      <w:marBottom w:val="0"/>
      <w:divBdr>
        <w:top w:val="none" w:sz="0" w:space="0" w:color="auto"/>
        <w:left w:val="none" w:sz="0" w:space="0" w:color="auto"/>
        <w:bottom w:val="none" w:sz="0" w:space="0" w:color="auto"/>
        <w:right w:val="none" w:sz="0" w:space="0" w:color="auto"/>
      </w:divBdr>
    </w:div>
    <w:div w:id="2032607438">
      <w:bodyDiv w:val="1"/>
      <w:marLeft w:val="0"/>
      <w:marRight w:val="0"/>
      <w:marTop w:val="0"/>
      <w:marBottom w:val="0"/>
      <w:divBdr>
        <w:top w:val="none" w:sz="0" w:space="0" w:color="auto"/>
        <w:left w:val="none" w:sz="0" w:space="0" w:color="auto"/>
        <w:bottom w:val="none" w:sz="0" w:space="0" w:color="auto"/>
        <w:right w:val="none" w:sz="0" w:space="0" w:color="auto"/>
      </w:divBdr>
    </w:div>
    <w:div w:id="2034762800">
      <w:bodyDiv w:val="1"/>
      <w:marLeft w:val="0"/>
      <w:marRight w:val="0"/>
      <w:marTop w:val="0"/>
      <w:marBottom w:val="0"/>
      <w:divBdr>
        <w:top w:val="none" w:sz="0" w:space="0" w:color="auto"/>
        <w:left w:val="none" w:sz="0" w:space="0" w:color="auto"/>
        <w:bottom w:val="none" w:sz="0" w:space="0" w:color="auto"/>
        <w:right w:val="none" w:sz="0" w:space="0" w:color="auto"/>
      </w:divBdr>
    </w:div>
    <w:div w:id="2045977217">
      <w:bodyDiv w:val="1"/>
      <w:marLeft w:val="0"/>
      <w:marRight w:val="0"/>
      <w:marTop w:val="0"/>
      <w:marBottom w:val="0"/>
      <w:divBdr>
        <w:top w:val="none" w:sz="0" w:space="0" w:color="auto"/>
        <w:left w:val="none" w:sz="0" w:space="0" w:color="auto"/>
        <w:bottom w:val="none" w:sz="0" w:space="0" w:color="auto"/>
        <w:right w:val="none" w:sz="0" w:space="0" w:color="auto"/>
      </w:divBdr>
    </w:div>
    <w:div w:id="2052269906">
      <w:bodyDiv w:val="1"/>
      <w:marLeft w:val="0"/>
      <w:marRight w:val="0"/>
      <w:marTop w:val="0"/>
      <w:marBottom w:val="0"/>
      <w:divBdr>
        <w:top w:val="none" w:sz="0" w:space="0" w:color="auto"/>
        <w:left w:val="none" w:sz="0" w:space="0" w:color="auto"/>
        <w:bottom w:val="none" w:sz="0" w:space="0" w:color="auto"/>
        <w:right w:val="none" w:sz="0" w:space="0" w:color="auto"/>
      </w:divBdr>
    </w:div>
    <w:div w:id="2056611665">
      <w:bodyDiv w:val="1"/>
      <w:marLeft w:val="0"/>
      <w:marRight w:val="0"/>
      <w:marTop w:val="0"/>
      <w:marBottom w:val="0"/>
      <w:divBdr>
        <w:top w:val="none" w:sz="0" w:space="0" w:color="auto"/>
        <w:left w:val="none" w:sz="0" w:space="0" w:color="auto"/>
        <w:bottom w:val="none" w:sz="0" w:space="0" w:color="auto"/>
        <w:right w:val="none" w:sz="0" w:space="0" w:color="auto"/>
      </w:divBdr>
    </w:div>
    <w:div w:id="2057582613">
      <w:bodyDiv w:val="1"/>
      <w:marLeft w:val="0"/>
      <w:marRight w:val="0"/>
      <w:marTop w:val="0"/>
      <w:marBottom w:val="0"/>
      <w:divBdr>
        <w:top w:val="none" w:sz="0" w:space="0" w:color="auto"/>
        <w:left w:val="none" w:sz="0" w:space="0" w:color="auto"/>
        <w:bottom w:val="none" w:sz="0" w:space="0" w:color="auto"/>
        <w:right w:val="none" w:sz="0" w:space="0" w:color="auto"/>
      </w:divBdr>
    </w:div>
    <w:div w:id="2063794324">
      <w:bodyDiv w:val="1"/>
      <w:marLeft w:val="0"/>
      <w:marRight w:val="0"/>
      <w:marTop w:val="0"/>
      <w:marBottom w:val="0"/>
      <w:divBdr>
        <w:top w:val="none" w:sz="0" w:space="0" w:color="auto"/>
        <w:left w:val="none" w:sz="0" w:space="0" w:color="auto"/>
        <w:bottom w:val="none" w:sz="0" w:space="0" w:color="auto"/>
        <w:right w:val="none" w:sz="0" w:space="0" w:color="auto"/>
      </w:divBdr>
    </w:div>
    <w:div w:id="2065985893">
      <w:bodyDiv w:val="1"/>
      <w:marLeft w:val="0"/>
      <w:marRight w:val="0"/>
      <w:marTop w:val="0"/>
      <w:marBottom w:val="0"/>
      <w:divBdr>
        <w:top w:val="none" w:sz="0" w:space="0" w:color="auto"/>
        <w:left w:val="none" w:sz="0" w:space="0" w:color="auto"/>
        <w:bottom w:val="none" w:sz="0" w:space="0" w:color="auto"/>
        <w:right w:val="none" w:sz="0" w:space="0" w:color="auto"/>
      </w:divBdr>
    </w:div>
    <w:div w:id="2068720695">
      <w:bodyDiv w:val="1"/>
      <w:marLeft w:val="0"/>
      <w:marRight w:val="0"/>
      <w:marTop w:val="0"/>
      <w:marBottom w:val="0"/>
      <w:divBdr>
        <w:top w:val="none" w:sz="0" w:space="0" w:color="auto"/>
        <w:left w:val="none" w:sz="0" w:space="0" w:color="auto"/>
        <w:bottom w:val="none" w:sz="0" w:space="0" w:color="auto"/>
        <w:right w:val="none" w:sz="0" w:space="0" w:color="auto"/>
      </w:divBdr>
    </w:div>
    <w:div w:id="2074233519">
      <w:bodyDiv w:val="1"/>
      <w:marLeft w:val="0"/>
      <w:marRight w:val="0"/>
      <w:marTop w:val="0"/>
      <w:marBottom w:val="0"/>
      <w:divBdr>
        <w:top w:val="none" w:sz="0" w:space="0" w:color="auto"/>
        <w:left w:val="none" w:sz="0" w:space="0" w:color="auto"/>
        <w:bottom w:val="none" w:sz="0" w:space="0" w:color="auto"/>
        <w:right w:val="none" w:sz="0" w:space="0" w:color="auto"/>
      </w:divBdr>
    </w:div>
    <w:div w:id="2086757901">
      <w:bodyDiv w:val="1"/>
      <w:marLeft w:val="0"/>
      <w:marRight w:val="0"/>
      <w:marTop w:val="0"/>
      <w:marBottom w:val="0"/>
      <w:divBdr>
        <w:top w:val="none" w:sz="0" w:space="0" w:color="auto"/>
        <w:left w:val="none" w:sz="0" w:space="0" w:color="auto"/>
        <w:bottom w:val="none" w:sz="0" w:space="0" w:color="auto"/>
        <w:right w:val="none" w:sz="0" w:space="0" w:color="auto"/>
      </w:divBdr>
    </w:div>
    <w:div w:id="2088305850">
      <w:bodyDiv w:val="1"/>
      <w:marLeft w:val="0"/>
      <w:marRight w:val="0"/>
      <w:marTop w:val="0"/>
      <w:marBottom w:val="0"/>
      <w:divBdr>
        <w:top w:val="none" w:sz="0" w:space="0" w:color="auto"/>
        <w:left w:val="none" w:sz="0" w:space="0" w:color="auto"/>
        <w:bottom w:val="none" w:sz="0" w:space="0" w:color="auto"/>
        <w:right w:val="none" w:sz="0" w:space="0" w:color="auto"/>
      </w:divBdr>
    </w:div>
    <w:div w:id="2098404331">
      <w:bodyDiv w:val="1"/>
      <w:marLeft w:val="0"/>
      <w:marRight w:val="0"/>
      <w:marTop w:val="0"/>
      <w:marBottom w:val="0"/>
      <w:divBdr>
        <w:top w:val="none" w:sz="0" w:space="0" w:color="auto"/>
        <w:left w:val="none" w:sz="0" w:space="0" w:color="auto"/>
        <w:bottom w:val="none" w:sz="0" w:space="0" w:color="auto"/>
        <w:right w:val="none" w:sz="0" w:space="0" w:color="auto"/>
      </w:divBdr>
    </w:div>
    <w:div w:id="2108192020">
      <w:bodyDiv w:val="1"/>
      <w:marLeft w:val="0"/>
      <w:marRight w:val="0"/>
      <w:marTop w:val="0"/>
      <w:marBottom w:val="0"/>
      <w:divBdr>
        <w:top w:val="none" w:sz="0" w:space="0" w:color="auto"/>
        <w:left w:val="none" w:sz="0" w:space="0" w:color="auto"/>
        <w:bottom w:val="none" w:sz="0" w:space="0" w:color="auto"/>
        <w:right w:val="none" w:sz="0" w:space="0" w:color="auto"/>
      </w:divBdr>
    </w:div>
    <w:div w:id="2108959947">
      <w:bodyDiv w:val="1"/>
      <w:marLeft w:val="0"/>
      <w:marRight w:val="0"/>
      <w:marTop w:val="0"/>
      <w:marBottom w:val="0"/>
      <w:divBdr>
        <w:top w:val="none" w:sz="0" w:space="0" w:color="auto"/>
        <w:left w:val="none" w:sz="0" w:space="0" w:color="auto"/>
        <w:bottom w:val="none" w:sz="0" w:space="0" w:color="auto"/>
        <w:right w:val="none" w:sz="0" w:space="0" w:color="auto"/>
      </w:divBdr>
    </w:div>
    <w:div w:id="2111653993">
      <w:bodyDiv w:val="1"/>
      <w:marLeft w:val="0"/>
      <w:marRight w:val="0"/>
      <w:marTop w:val="0"/>
      <w:marBottom w:val="0"/>
      <w:divBdr>
        <w:top w:val="none" w:sz="0" w:space="0" w:color="auto"/>
        <w:left w:val="none" w:sz="0" w:space="0" w:color="auto"/>
        <w:bottom w:val="none" w:sz="0" w:space="0" w:color="auto"/>
        <w:right w:val="none" w:sz="0" w:space="0" w:color="auto"/>
      </w:divBdr>
    </w:div>
    <w:div w:id="2144231727">
      <w:bodyDiv w:val="1"/>
      <w:marLeft w:val="0"/>
      <w:marRight w:val="0"/>
      <w:marTop w:val="0"/>
      <w:marBottom w:val="0"/>
      <w:divBdr>
        <w:top w:val="none" w:sz="0" w:space="0" w:color="auto"/>
        <w:left w:val="none" w:sz="0" w:space="0" w:color="auto"/>
        <w:bottom w:val="none" w:sz="0" w:space="0" w:color="auto"/>
        <w:right w:val="none" w:sz="0" w:space="0" w:color="auto"/>
      </w:divBdr>
    </w:div>
    <w:div w:id="2147309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settings" Target="settings.xml"/><Relationship Id="rId11" Type="http://schemas.openxmlformats.org/officeDocument/2006/relationships/hyperlink" Target="http://www.clinicaltrials.gov" TargetMode="External"/><Relationship Id="rId5" Type="http://schemas.microsoft.com/office/2007/relationships/stylesWithEffects" Target="stylesWithEffects.xml"/><Relationship Id="rId10" Type="http://schemas.openxmlformats.org/officeDocument/2006/relationships/hyperlink" Target="mailto:mbonaca@partners.org"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505791-A0AC-473F-AE9A-F46872A8D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36</Pages>
  <Words>7880</Words>
  <Characters>46621</Characters>
  <Application>Microsoft Office Word</Application>
  <DocSecurity>4</DocSecurity>
  <Lines>388</Lines>
  <Paragraphs>108</Paragraphs>
  <ScaleCrop>false</ScaleCrop>
  <HeadingPairs>
    <vt:vector size="2" baseType="variant">
      <vt:variant>
        <vt:lpstr>Title</vt:lpstr>
      </vt:variant>
      <vt:variant>
        <vt:i4>1</vt:i4>
      </vt:variant>
    </vt:vector>
  </HeadingPairs>
  <TitlesOfParts>
    <vt:vector size="1" baseType="lpstr">
      <vt:lpstr>_</vt:lpstr>
    </vt:vector>
  </TitlesOfParts>
  <Company>Partners HealthCare System, Inc</Company>
  <LinksUpToDate>false</LinksUpToDate>
  <CharactersWithSpaces>54393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creator>Partners Information Systems</dc:creator>
  <cp:lastModifiedBy>Green, Yvonne M</cp:lastModifiedBy>
  <cp:revision>2</cp:revision>
  <cp:lastPrinted>2017-10-09T21:29:00Z</cp:lastPrinted>
  <dcterms:created xsi:type="dcterms:W3CDTF">2017-12-01T09:36:00Z</dcterms:created>
  <dcterms:modified xsi:type="dcterms:W3CDTF">2017-12-01T09:36:00Z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WnCUserId">
    <vt:lpwstr>160</vt:lpwstr>
  </property>
  <property fmtid="{D5CDD505-2E9C-101B-9397-08002B2CF9AE}" pid="3" name="WnCSubscriberId">
    <vt:lpwstr>1630</vt:lpwstr>
  </property>
  <property fmtid="{D5CDD505-2E9C-101B-9397-08002B2CF9AE}" pid="4" name="WnCOutputStyleId">
    <vt:lpwstr>193</vt:lpwstr>
  </property>
  <property fmtid="{D5CDD505-2E9C-101B-9397-08002B2CF9AE}" pid="5" name="RWProductId">
    <vt:lpwstr>WnC</vt:lpwstr>
  </property>
  <property fmtid="{D5CDD505-2E9C-101B-9397-08002B2CF9AE}" pid="6" name="WnCUser">
    <vt:lpwstr>Bonaca_1630</vt:lpwstr>
  </property>
  <property fmtid="{D5CDD505-2E9C-101B-9397-08002B2CF9AE}" pid="7" name="WnC4Folder">
    <vt:lpwstr/>
  </property>
  <property fmtid="{D5CDD505-2E9C-101B-9397-08002B2CF9AE}" pid="8" name="_NewReviewCycle">
    <vt:lpwstr/>
  </property>
</Properties>
</file>