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E9D" w:rsidRDefault="00780E9D" w:rsidP="00780E9D">
      <w:pPr>
        <w:pStyle w:val="Heading1"/>
      </w:pPr>
      <w:bookmarkStart w:id="0" w:name="_GoBack"/>
      <w:bookmarkEnd w:id="0"/>
      <w:r>
        <w:t>Reducing China’s road transport sector CO</w:t>
      </w:r>
      <w:r w:rsidRPr="005713CD">
        <w:rPr>
          <w:vertAlign w:val="subscript"/>
        </w:rPr>
        <w:t>2</w:t>
      </w:r>
      <w:r>
        <w:t xml:space="preserve"> emissions to 2050: technologies, costs and decomposition analysis</w:t>
      </w:r>
    </w:p>
    <w:p w:rsidR="005E4755" w:rsidRPr="005E4755" w:rsidRDefault="005E4755" w:rsidP="005E4755"/>
    <w:p w:rsidR="005E4755" w:rsidRDefault="005E4755" w:rsidP="005E4755">
      <w:r>
        <w:t>Ajay Gambhir</w:t>
      </w:r>
      <w:r>
        <w:rPr>
          <w:vertAlign w:val="superscript"/>
        </w:rPr>
        <w:t xml:space="preserve"> </w:t>
      </w:r>
      <w:r>
        <w:t>(Corresponding author)</w:t>
      </w:r>
      <w:r w:rsidRPr="008017A1">
        <w:rPr>
          <w:vertAlign w:val="superscript"/>
        </w:rPr>
        <w:t>a</w:t>
      </w:r>
      <w:r>
        <w:t xml:space="preserve">*, </w:t>
      </w:r>
      <w:hyperlink r:id="rId8" w:history="1">
        <w:r w:rsidRPr="008E49BF">
          <w:rPr>
            <w:rStyle w:val="Hyperlink"/>
          </w:rPr>
          <w:t>a.gambhir@imperial.ac.uk</w:t>
        </w:r>
      </w:hyperlink>
      <w:r>
        <w:t xml:space="preserve"> +44 (0)207 594 6363</w:t>
      </w:r>
    </w:p>
    <w:p w:rsidR="005E4755" w:rsidRDefault="005E4755" w:rsidP="005E4755">
      <w:r>
        <w:t>Lawrence KC Tse</w:t>
      </w:r>
      <w:r>
        <w:rPr>
          <w:vertAlign w:val="superscript"/>
        </w:rPr>
        <w:t>b</w:t>
      </w:r>
      <w:r>
        <w:t xml:space="preserve">, </w:t>
      </w:r>
      <w:hyperlink r:id="rId9" w:history="1">
        <w:r w:rsidRPr="00352A21">
          <w:rPr>
            <w:rStyle w:val="Hyperlink"/>
          </w:rPr>
          <w:t>lawrence.tse@imperial.ac.uk</w:t>
        </w:r>
      </w:hyperlink>
      <w:r>
        <w:t xml:space="preserve"> </w:t>
      </w:r>
    </w:p>
    <w:p w:rsidR="005E4755" w:rsidRPr="00FF7782" w:rsidRDefault="005E4755" w:rsidP="005E4755">
      <w:r>
        <w:t>Danlu Tong</w:t>
      </w:r>
      <w:r w:rsidRPr="008017A1">
        <w:rPr>
          <w:vertAlign w:val="superscript"/>
        </w:rPr>
        <w:t>c</w:t>
      </w:r>
      <w:r>
        <w:t xml:space="preserve">, </w:t>
      </w:r>
      <w:hyperlink r:id="rId10" w:history="1">
        <w:r w:rsidRPr="00352A21">
          <w:rPr>
            <w:rStyle w:val="Hyperlink"/>
          </w:rPr>
          <w:t>tongdanlu@gmail.com</w:t>
        </w:r>
      </w:hyperlink>
      <w:r>
        <w:rPr>
          <w:rStyle w:val="st"/>
        </w:rPr>
        <w:t xml:space="preserve"> </w:t>
      </w:r>
    </w:p>
    <w:p w:rsidR="005E4755" w:rsidRDefault="005E4755" w:rsidP="005E4755">
      <w:r>
        <w:t>Ricardo Martinez-Botas</w:t>
      </w:r>
      <w:r>
        <w:rPr>
          <w:vertAlign w:val="superscript"/>
        </w:rPr>
        <w:t>b</w:t>
      </w:r>
      <w:r>
        <w:t xml:space="preserve">, </w:t>
      </w:r>
      <w:hyperlink r:id="rId11" w:history="1">
        <w:r w:rsidRPr="00352A21">
          <w:rPr>
            <w:rStyle w:val="Hyperlink"/>
          </w:rPr>
          <w:t>r.botas@imperial.ac.uk</w:t>
        </w:r>
      </w:hyperlink>
      <w:r>
        <w:t xml:space="preserve"> </w:t>
      </w:r>
    </w:p>
    <w:p w:rsidR="005E4755" w:rsidRDefault="005E4755" w:rsidP="005E4755">
      <w:r w:rsidRPr="00FF7782">
        <w:rPr>
          <w:vertAlign w:val="superscript"/>
        </w:rPr>
        <w:t>a</w:t>
      </w:r>
      <w:r>
        <w:t>Grantham Institute, Imperial College London,</w:t>
      </w:r>
      <w:r w:rsidRPr="00FF7782">
        <w:t xml:space="preserve"> </w:t>
      </w:r>
      <w:r>
        <w:t xml:space="preserve">South Kensington Campus, London, SW7 2AZ, UK. </w:t>
      </w:r>
    </w:p>
    <w:p w:rsidR="005E4755" w:rsidRPr="00FF7782" w:rsidRDefault="005E4755" w:rsidP="005E4755">
      <w:r>
        <w:rPr>
          <w:vertAlign w:val="superscript"/>
        </w:rPr>
        <w:t>b</w:t>
      </w:r>
      <w:r>
        <w:t>Department of Mechanical Engineering, Imperial College London,</w:t>
      </w:r>
      <w:r w:rsidRPr="00FF7782">
        <w:t xml:space="preserve"> </w:t>
      </w:r>
      <w:r>
        <w:t xml:space="preserve">South Kensington Campus, London, SW7 2AZ, UK. </w:t>
      </w:r>
    </w:p>
    <w:p w:rsidR="00780E9D" w:rsidRDefault="005E4755" w:rsidP="00780E9D">
      <w:r>
        <w:rPr>
          <w:vertAlign w:val="superscript"/>
        </w:rPr>
        <w:t>c</w:t>
      </w:r>
      <w:r>
        <w:t xml:space="preserve">BP Plc, </w:t>
      </w:r>
      <w:r>
        <w:rPr>
          <w:rStyle w:val="location"/>
        </w:rPr>
        <w:t xml:space="preserve">Pangbourne Castrol Technology Centre, Whitchurch Hill, Pangbourne, Berkshire (formerly of Department of Chemical Engineering, Imperial College London, </w:t>
      </w:r>
      <w:r>
        <w:t>South Kensington Campus, London, SW7 2AZ, UK).</w:t>
      </w:r>
    </w:p>
    <w:p w:rsidR="008240B4" w:rsidRDefault="006C78A8" w:rsidP="006C78A8">
      <w:pPr>
        <w:pStyle w:val="Heading2"/>
      </w:pPr>
      <w:r>
        <w:t>1</w:t>
      </w:r>
      <w:r>
        <w:tab/>
      </w:r>
      <w:r w:rsidR="00DC328B" w:rsidRPr="00DC328B">
        <w:t>Introduction</w:t>
      </w:r>
    </w:p>
    <w:p w:rsidR="00DC328B" w:rsidRDefault="002E3414">
      <w:r>
        <w:t>China is now the source of over one quarter of global CO</w:t>
      </w:r>
      <w:r w:rsidRPr="00863EAE">
        <w:rPr>
          <w:vertAlign w:val="subscript"/>
        </w:rPr>
        <w:t>2</w:t>
      </w:r>
      <w:r>
        <w:t xml:space="preserve"> emissions</w:t>
      </w:r>
      <w:r w:rsidRPr="00863EAE">
        <w:rPr>
          <w:rFonts w:ascii="Calibri" w:hAnsi="Calibri" w:cs="Calibri"/>
        </w:rPr>
        <w:t>[1]</w:t>
      </w:r>
      <w:r>
        <w:t xml:space="preserve">, with much of its recent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emissions growth driven by electricity and heat demand</w:t>
      </w:r>
      <w:r w:rsidRPr="0043251A">
        <w:rPr>
          <w:rFonts w:ascii="Calibri" w:hAnsi="Calibri" w:cs="Calibri"/>
        </w:rPr>
        <w:t>[2]</w:t>
      </w:r>
      <w:r>
        <w:t>. In the future, the transport sector, which has already been responsible for an eight-fold increase in final oil consumption since 1990</w:t>
      </w:r>
      <w:r w:rsidRPr="0043251A">
        <w:rPr>
          <w:rFonts w:ascii="Calibri" w:hAnsi="Calibri" w:cs="Calibri"/>
        </w:rPr>
        <w:t>[3]</w:t>
      </w:r>
      <w:r>
        <w:t xml:space="preserve">, could be a major contributor of future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emissions growth, with sales of new passenger cars reaching approximately 10 million in the first half of 2014 alone</w:t>
      </w:r>
      <w:r w:rsidR="00767199" w:rsidRPr="00767199">
        <w:rPr>
          <w:rFonts w:ascii="Calibri" w:hAnsi="Calibri" w:cs="Calibri"/>
        </w:rPr>
        <w:t>[4]</w:t>
      </w:r>
      <w:r>
        <w:t xml:space="preserve">, compared to a total passenger car population of only </w:t>
      </w:r>
      <w:r w:rsidR="00767199">
        <w:t>about 20 million in 2007</w:t>
      </w:r>
      <w:r w:rsidR="00767199" w:rsidRPr="00767199">
        <w:rPr>
          <w:rFonts w:ascii="Calibri" w:hAnsi="Calibri" w:cs="Calibri"/>
        </w:rPr>
        <w:t>[5]</w:t>
      </w:r>
      <w:r w:rsidR="00DC328B">
        <w:t xml:space="preserve">. </w:t>
      </w:r>
      <w:r w:rsidR="00767199">
        <w:t xml:space="preserve">Estimates of future vehicle population growth vary, as explained in this paper, but some </w:t>
      </w:r>
      <w:r w:rsidR="00DF7DAF">
        <w:t xml:space="preserve">scenarios </w:t>
      </w:r>
      <w:r w:rsidR="00767199">
        <w:t xml:space="preserve">place China’s road vehicle population </w:t>
      </w:r>
      <w:r w:rsidR="002F200D">
        <w:t xml:space="preserve">(excluding motorcycles) </w:t>
      </w:r>
      <w:r w:rsidR="00767199">
        <w:t>at over 600 million by 2050</w:t>
      </w:r>
      <w:r w:rsidR="00DF7DAF" w:rsidRPr="00DF7DAF">
        <w:rPr>
          <w:rFonts w:ascii="Calibri" w:hAnsi="Calibri" w:cs="Calibri"/>
        </w:rPr>
        <w:t>[6]</w:t>
      </w:r>
      <w:r w:rsidR="00DF7DAF">
        <w:t>,</w:t>
      </w:r>
      <w:r w:rsidR="006E60C3" w:rsidRPr="006E60C3">
        <w:rPr>
          <w:rFonts w:ascii="Calibri" w:hAnsi="Calibri" w:cs="Calibri"/>
        </w:rPr>
        <w:t>[7]</w:t>
      </w:r>
      <w:r w:rsidR="002F200D">
        <w:t>, an approximate ten-</w:t>
      </w:r>
      <w:r w:rsidR="00DF7DAF">
        <w:t xml:space="preserve">fold increase compared to 2009 </w:t>
      </w:r>
      <w:r w:rsidR="002F200D">
        <w:t xml:space="preserve">figures </w:t>
      </w:r>
      <w:r w:rsidR="00DF7DAF" w:rsidRPr="00DF7DAF">
        <w:rPr>
          <w:rFonts w:ascii="Calibri" w:hAnsi="Calibri" w:cs="Calibri"/>
        </w:rPr>
        <w:t>[6]</w:t>
      </w:r>
      <w:r w:rsidR="002F200D">
        <w:t>.</w:t>
      </w:r>
      <w:r w:rsidR="00DF7DAF">
        <w:t xml:space="preserve"> </w:t>
      </w:r>
      <w:r w:rsidR="00EB3D61">
        <w:t xml:space="preserve">Hence, Chinese road transport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32DE8">
        <w:t xml:space="preserve">emissions, which were </w:t>
      </w:r>
      <w:r w:rsidR="00EB3D61">
        <w:t>less than 300 MtCO</w:t>
      </w:r>
      <w:r w:rsidR="00EB3D61" w:rsidRPr="00EB3D61">
        <w:rPr>
          <w:vertAlign w:val="subscript"/>
        </w:rPr>
        <w:t>2</w:t>
      </w:r>
      <w:r w:rsidR="00EB3D61">
        <w:t xml:space="preserve"> in 2007 </w:t>
      </w:r>
      <w:r w:rsidR="00EB3D61" w:rsidRPr="00EB3D61">
        <w:rPr>
          <w:rFonts w:ascii="Calibri" w:hAnsi="Calibri" w:cs="Calibri"/>
        </w:rPr>
        <w:t>[5]</w:t>
      </w:r>
      <w:r w:rsidR="00232DE8">
        <w:t>,</w:t>
      </w:r>
      <w:r w:rsidR="00EB3D61">
        <w:t xml:space="preserve"> could grow to become a major contributor of global CO</w:t>
      </w:r>
      <w:r w:rsidR="00EB3D61" w:rsidRPr="00EB3D61">
        <w:rPr>
          <w:vertAlign w:val="subscript"/>
        </w:rPr>
        <w:t>2</w:t>
      </w:r>
      <w:r w:rsidR="00EB3D61">
        <w:t xml:space="preserve"> emissions by 2050. Investigating the costs and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EB3D61">
        <w:t xml:space="preserve">emissions reductions potential of deploying a range of low-carbon technologies in this sector is therefore of paramount importance. </w:t>
      </w:r>
    </w:p>
    <w:p w:rsidR="00DC328B" w:rsidRDefault="00142151">
      <w:r>
        <w:t xml:space="preserve">The </w:t>
      </w:r>
      <w:r w:rsidR="0046002F">
        <w:t xml:space="preserve">intended </w:t>
      </w:r>
      <w:r>
        <w:t xml:space="preserve">contribution of this study is threefold – first, it </w:t>
      </w:r>
      <w:r w:rsidR="004C1F2E">
        <w:t>sets out</w:t>
      </w:r>
      <w:r>
        <w:t xml:space="preserve"> </w:t>
      </w:r>
      <w:r w:rsidR="00E00E5D">
        <w:t xml:space="preserve">in detail </w:t>
      </w:r>
      <w:r>
        <w:t xml:space="preserve">which sub-sectors, vehicle technologies and fuels contribute to the total reduction in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 xml:space="preserve">emissions </w:t>
      </w:r>
      <w:r w:rsidR="00E00E5D">
        <w:t xml:space="preserve">in China’s road transport sector to 2050, </w:t>
      </w:r>
      <w:r>
        <w:t>when moving from a business-as-usual scenario to a low-carbon scenario</w:t>
      </w:r>
      <w:r w:rsidR="00E00E5D">
        <w:t xml:space="preserve">, by using a method called decomposition analysis </w:t>
      </w:r>
      <w:r w:rsidR="00F60C1A">
        <w:t xml:space="preserve">(described in Annex A) </w:t>
      </w:r>
      <w:r w:rsidR="00E00E5D">
        <w:t xml:space="preserve">to split the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E00E5D">
        <w:t>emissions savings into their constituent parts</w:t>
      </w:r>
      <w:r>
        <w:t xml:space="preserve">. </w:t>
      </w:r>
      <w:r w:rsidR="00E00E5D">
        <w:t>Secondly</w:t>
      </w:r>
      <w:r>
        <w:t xml:space="preserve">, it </w:t>
      </w:r>
      <w:r w:rsidR="004C1F2E">
        <w:t xml:space="preserve">also decomposes the total </w:t>
      </w:r>
      <w:r w:rsidR="00E00E5D">
        <w:t xml:space="preserve">road transport </w:t>
      </w:r>
      <w:r w:rsidR="004C1F2E">
        <w:t>sector</w:t>
      </w:r>
      <w:r>
        <w:t xml:space="preserve"> costs of the low-carbon vehicle technologies</w:t>
      </w:r>
      <w:r w:rsidR="004C1F2E">
        <w:t xml:space="preserve"> </w:t>
      </w:r>
      <w:r w:rsidR="00E00E5D">
        <w:t xml:space="preserve">in 2050, </w:t>
      </w:r>
      <w:r w:rsidR="004C1F2E">
        <w:t>when compared to their business-as-usual alternatives</w:t>
      </w:r>
      <w:r w:rsidR="00E00E5D">
        <w:t>. W</w:t>
      </w:r>
      <w:r>
        <w:t xml:space="preserve">hen considered in conjunction with the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4C1F2E">
        <w:t xml:space="preserve">emissions </w:t>
      </w:r>
      <w:r>
        <w:t xml:space="preserve">decomposition analysis, </w:t>
      </w:r>
      <w:r w:rsidR="00E00E5D">
        <w:t xml:space="preserve">this </w:t>
      </w:r>
      <w:r>
        <w:t xml:space="preserve">allows an assessment of the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E00E5D">
        <w:t xml:space="preserve">emissions reduction cost of </w:t>
      </w:r>
      <w:r>
        <w:t xml:space="preserve">each </w:t>
      </w:r>
      <w:r w:rsidR="00AE193C">
        <w:t xml:space="preserve">vehicle </w:t>
      </w:r>
      <w:r w:rsidR="004C1F2E">
        <w:t xml:space="preserve">and </w:t>
      </w:r>
      <w:r w:rsidR="00AE193C">
        <w:t>drivetrain type</w:t>
      </w:r>
      <w:r w:rsidR="00481627">
        <w:t xml:space="preserve"> in 2050</w:t>
      </w:r>
      <w:r w:rsidR="00E00E5D">
        <w:t>.</w:t>
      </w:r>
      <w:r>
        <w:t xml:space="preserve"> This </w:t>
      </w:r>
      <w:r w:rsidR="00AE193C">
        <w:t xml:space="preserve">type of analysis could serve as a useful tool to help </w:t>
      </w:r>
      <w:r>
        <w:t xml:space="preserve">policy-makers, vehicle manufacturers, international financiers and others focused on China’s decarbonisation to </w:t>
      </w:r>
      <w:r w:rsidR="00144EAE">
        <w:t xml:space="preserve">decide which </w:t>
      </w:r>
      <w:r w:rsidR="00AE193C">
        <w:t>technologies, for which vehicle types</w:t>
      </w:r>
      <w:r w:rsidR="00144EAE">
        <w:t xml:space="preserve">, are most important and least costly to reduce </w:t>
      </w:r>
      <w:r w:rsidR="004C1F2E">
        <w:t xml:space="preserve">road </w:t>
      </w:r>
      <w:r w:rsidR="00144EAE">
        <w:t xml:space="preserve">transport </w:t>
      </w:r>
      <w:r w:rsidR="004C1F2E">
        <w:t>CO</w:t>
      </w:r>
      <w:r w:rsidR="004C1F2E" w:rsidRPr="004C1F2E">
        <w:rPr>
          <w:vertAlign w:val="subscript"/>
        </w:rPr>
        <w:t>2</w:t>
      </w:r>
      <w:r w:rsidR="004C1F2E">
        <w:t xml:space="preserve"> </w:t>
      </w:r>
      <w:r w:rsidR="00144EAE">
        <w:t>emissions.</w:t>
      </w:r>
      <w:r w:rsidR="00E00E5D">
        <w:t xml:space="preserve"> Thirdly, it provides a model</w:t>
      </w:r>
      <w:r w:rsidR="00E00E5D" w:rsidRPr="006779B8">
        <w:rPr>
          <w:rStyle w:val="FootnoteReference"/>
        </w:rPr>
        <w:footnoteReference w:id="1"/>
      </w:r>
      <w:r w:rsidR="00E00E5D">
        <w:t xml:space="preserve"> (available in full in the supplementary material) of China’s road transport sector, which allows a widespread analysis of the low-carbon options in the sector as it </w:t>
      </w:r>
      <w:r w:rsidR="00E00E5D">
        <w:lastRenderedPageBreak/>
        <w:t xml:space="preserve">develops and grows over the coming decades. The model is sufficiently flexible and accessible that it can be adapted to any country or region using appropriate inputs. </w:t>
      </w:r>
    </w:p>
    <w:p w:rsidR="006C78A8" w:rsidRPr="006C78A8" w:rsidRDefault="00991E4F">
      <w:pPr>
        <w:rPr>
          <w:rFonts w:ascii="Calibri" w:eastAsia="Times New Roman" w:hAnsi="Calibri"/>
        </w:rPr>
      </w:pPr>
      <w:r>
        <w:rPr>
          <w:rFonts w:ascii="Calibri" w:eastAsia="Times New Roman" w:hAnsi="Calibri"/>
        </w:rPr>
        <w:t>A</w:t>
      </w:r>
      <w:r w:rsidR="006C78A8">
        <w:rPr>
          <w:rFonts w:ascii="Calibri" w:eastAsia="Times New Roman" w:hAnsi="Calibri"/>
        </w:rPr>
        <w:t xml:space="preserve"> </w:t>
      </w:r>
      <w:r w:rsidR="007B3690">
        <w:rPr>
          <w:rFonts w:ascii="Calibri" w:eastAsia="Times New Roman" w:hAnsi="Calibri"/>
        </w:rPr>
        <w:t>sector</w:t>
      </w:r>
      <w:r>
        <w:rPr>
          <w:rFonts w:ascii="Calibri" w:eastAsia="Times New Roman" w:hAnsi="Calibri"/>
        </w:rPr>
        <w:t>-specific</w:t>
      </w:r>
      <w:r w:rsidR="007B3690">
        <w:rPr>
          <w:rFonts w:ascii="Calibri" w:eastAsia="Times New Roman" w:hAnsi="Calibri"/>
        </w:rPr>
        <w:t xml:space="preserve"> scenario analysis such as this </w:t>
      </w:r>
      <w:r>
        <w:rPr>
          <w:rFonts w:ascii="Calibri" w:eastAsia="Times New Roman" w:hAnsi="Calibri"/>
        </w:rPr>
        <w:t>contrasts with the</w:t>
      </w:r>
      <w:r w:rsidR="006C78A8">
        <w:rPr>
          <w:rFonts w:ascii="Calibri" w:eastAsia="Times New Roman" w:hAnsi="Calibri"/>
        </w:rPr>
        <w:t xml:space="preserve"> whole-system nature of national </w:t>
      </w:r>
      <w:r w:rsidR="00EB3D61">
        <w:rPr>
          <w:rFonts w:ascii="Calibri" w:eastAsia="Times New Roman" w:hAnsi="Calibri"/>
        </w:rPr>
        <w:t xml:space="preserve">and global </w:t>
      </w:r>
      <w:r w:rsidR="006C78A8">
        <w:rPr>
          <w:rFonts w:ascii="Calibri" w:eastAsia="Times New Roman" w:hAnsi="Calibri"/>
        </w:rPr>
        <w:t>energy system and integrated assessment models</w:t>
      </w:r>
      <w:r w:rsidR="00EB3D61">
        <w:rPr>
          <w:rFonts w:ascii="Calibri" w:eastAsia="Times New Roman" w:hAnsi="Calibri"/>
        </w:rPr>
        <w:t xml:space="preserve"> (as reviewed for example in the Intergovernmental Panel on Climate Change’s Fifth Assessment Report </w:t>
      </w:r>
      <w:r w:rsidR="00EB3D61" w:rsidRPr="00EB3D61">
        <w:rPr>
          <w:rFonts w:ascii="Calibri" w:hAnsi="Calibri" w:cs="Calibri"/>
        </w:rPr>
        <w:t>[8]</w:t>
      </w:r>
      <w:r w:rsidR="00EB3D61">
        <w:rPr>
          <w:rFonts w:ascii="Calibri" w:eastAsia="Times New Roman" w:hAnsi="Calibri"/>
        </w:rPr>
        <w:t>)</w:t>
      </w:r>
      <w:r>
        <w:rPr>
          <w:rFonts w:ascii="Calibri" w:eastAsia="Times New Roman" w:hAnsi="Calibri"/>
        </w:rPr>
        <w:t>. W</w:t>
      </w:r>
      <w:r w:rsidR="006C78A8">
        <w:rPr>
          <w:rFonts w:ascii="Calibri" w:eastAsia="Times New Roman" w:hAnsi="Calibri"/>
        </w:rPr>
        <w:t xml:space="preserve">hilst advantageous in setting out the overall shape of the energy system transformation across </w:t>
      </w:r>
      <w:r w:rsidR="00EB3D61">
        <w:rPr>
          <w:rFonts w:ascii="Calibri" w:eastAsia="Times New Roman" w:hAnsi="Calibri"/>
        </w:rPr>
        <w:t>the economy</w:t>
      </w:r>
      <w:r w:rsidR="006C78A8">
        <w:rPr>
          <w:rFonts w:ascii="Calibri" w:eastAsia="Times New Roman" w:hAnsi="Calibri"/>
        </w:rPr>
        <w:t xml:space="preserve"> that is required to meet a particular </w:t>
      </w:r>
      <w:r w:rsidR="00AB495D">
        <w:rPr>
          <w:rFonts w:ascii="Calibri" w:eastAsia="Times New Roman" w:hAnsi="Calibri"/>
        </w:rPr>
        <w:t>CO</w:t>
      </w:r>
      <w:r w:rsidR="00AB495D" w:rsidRPr="00EB3D61">
        <w:rPr>
          <w:rFonts w:ascii="Calibri" w:eastAsia="Times New Roman" w:hAnsi="Calibri"/>
          <w:vertAlign w:val="subscript"/>
        </w:rPr>
        <w:t>2</w:t>
      </w:r>
      <w:r w:rsidR="006C78A8">
        <w:rPr>
          <w:rFonts w:ascii="Calibri" w:eastAsia="Times New Roman" w:hAnsi="Calibri"/>
        </w:rPr>
        <w:t xml:space="preserve"> or GHG target, </w:t>
      </w:r>
      <w:r>
        <w:rPr>
          <w:rFonts w:ascii="Calibri" w:eastAsia="Times New Roman" w:hAnsi="Calibri"/>
        </w:rPr>
        <w:t xml:space="preserve">such whole system models </w:t>
      </w:r>
      <w:r w:rsidR="006C78A8">
        <w:rPr>
          <w:rFonts w:ascii="Calibri" w:eastAsia="Times New Roman" w:hAnsi="Calibri"/>
        </w:rPr>
        <w:t>do</w:t>
      </w:r>
      <w:r w:rsidR="00AE193C">
        <w:rPr>
          <w:rFonts w:ascii="Calibri" w:eastAsia="Times New Roman" w:hAnsi="Calibri"/>
        </w:rPr>
        <w:t xml:space="preserve"> not </w:t>
      </w:r>
      <w:r w:rsidR="00F60C1A">
        <w:rPr>
          <w:rFonts w:ascii="Calibri" w:eastAsia="Times New Roman" w:hAnsi="Calibri"/>
        </w:rPr>
        <w:t xml:space="preserve">necessarily </w:t>
      </w:r>
      <w:r w:rsidR="00AE193C">
        <w:rPr>
          <w:rFonts w:ascii="Calibri" w:eastAsia="Times New Roman" w:hAnsi="Calibri"/>
        </w:rPr>
        <w:t>allow a simple sector-</w:t>
      </w:r>
      <w:r w:rsidR="006C78A8">
        <w:rPr>
          <w:rFonts w:ascii="Calibri" w:eastAsia="Times New Roman" w:hAnsi="Calibri"/>
        </w:rPr>
        <w:t xml:space="preserve">specific analysis of different technologies and measures. This approach, by contrast, allows the investigation of the </w:t>
      </w:r>
      <w:r w:rsidR="00F60C1A">
        <w:rPr>
          <w:rFonts w:ascii="Calibri" w:eastAsia="Times New Roman" w:hAnsi="Calibri"/>
        </w:rPr>
        <w:t xml:space="preserve">incremental </w:t>
      </w:r>
      <w:r w:rsidR="006C78A8">
        <w:rPr>
          <w:rFonts w:ascii="Calibri" w:eastAsia="Times New Roman" w:hAnsi="Calibri"/>
        </w:rPr>
        <w:t xml:space="preserve">impact </w:t>
      </w:r>
      <w:r w:rsidR="00F60C1A">
        <w:rPr>
          <w:rFonts w:ascii="Calibri" w:eastAsia="Times New Roman" w:hAnsi="Calibri"/>
        </w:rPr>
        <w:t xml:space="preserve">on Chinese road transport sector costs and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F60C1A">
        <w:rPr>
          <w:rFonts w:ascii="Calibri" w:eastAsia="Times New Roman" w:hAnsi="Calibri"/>
        </w:rPr>
        <w:t xml:space="preserve">emissions reductions </w:t>
      </w:r>
      <w:r w:rsidR="006C78A8">
        <w:rPr>
          <w:rFonts w:ascii="Calibri" w:eastAsia="Times New Roman" w:hAnsi="Calibri"/>
        </w:rPr>
        <w:t>of changing particular assumptions (such as discount rates, fossil fuel prices an</w:t>
      </w:r>
      <w:r w:rsidR="00F60C1A">
        <w:rPr>
          <w:rFonts w:ascii="Calibri" w:eastAsia="Times New Roman" w:hAnsi="Calibri"/>
        </w:rPr>
        <w:t>d technology penetration rates)</w:t>
      </w:r>
      <w:r w:rsidR="006C78A8">
        <w:rPr>
          <w:rFonts w:ascii="Calibri" w:eastAsia="Times New Roman" w:hAnsi="Calibri"/>
        </w:rPr>
        <w:t xml:space="preserve">. </w:t>
      </w:r>
      <w:r w:rsidR="00AB495D">
        <w:rPr>
          <w:rFonts w:ascii="Calibri" w:eastAsia="Times New Roman" w:hAnsi="Calibri"/>
        </w:rPr>
        <w:t xml:space="preserve">This is advantageous from the perspective that policy is unlikely to be made at an economy-wide, but rather sector-specific, level, and </w:t>
      </w:r>
      <w:r w:rsidR="00F60C1A">
        <w:rPr>
          <w:rFonts w:ascii="Calibri" w:eastAsia="Times New Roman" w:hAnsi="Calibri"/>
        </w:rPr>
        <w:t xml:space="preserve">it is therefore important to examine </w:t>
      </w:r>
      <w:r w:rsidR="00AB495D">
        <w:rPr>
          <w:rFonts w:ascii="Calibri" w:eastAsia="Times New Roman" w:hAnsi="Calibri"/>
        </w:rPr>
        <w:t>detailed changes at this level</w:t>
      </w:r>
      <w:r w:rsidR="006C78A8">
        <w:rPr>
          <w:rFonts w:ascii="Calibri" w:eastAsia="Times New Roman" w:hAnsi="Calibri"/>
        </w:rPr>
        <w:t xml:space="preserve">.  </w:t>
      </w:r>
      <w:r w:rsidR="00EB3D61">
        <w:rPr>
          <w:rFonts w:ascii="Calibri" w:eastAsia="Times New Roman" w:hAnsi="Calibri"/>
        </w:rPr>
        <w:t xml:space="preserve">The obvious limitation of a scenario analysis is that it does not provide a least-cost optimised </w:t>
      </w:r>
      <w:r w:rsidR="00566EA4">
        <w:rPr>
          <w:rFonts w:ascii="Calibri" w:eastAsia="Times New Roman" w:hAnsi="Calibri"/>
        </w:rPr>
        <w:t>technology mix to meet a given CO</w:t>
      </w:r>
      <w:r w:rsidR="00566EA4" w:rsidRPr="00566EA4">
        <w:rPr>
          <w:rFonts w:ascii="Calibri" w:eastAsia="Times New Roman" w:hAnsi="Calibri"/>
          <w:vertAlign w:val="subscript"/>
        </w:rPr>
        <w:t>2</w:t>
      </w:r>
      <w:r w:rsidR="00F60C1A">
        <w:rPr>
          <w:rFonts w:ascii="Calibri" w:eastAsia="Times New Roman" w:hAnsi="Calibri"/>
        </w:rPr>
        <w:t xml:space="preserve"> </w:t>
      </w:r>
      <w:r w:rsidR="00566EA4">
        <w:rPr>
          <w:rFonts w:ascii="Calibri" w:eastAsia="Times New Roman" w:hAnsi="Calibri"/>
        </w:rPr>
        <w:t xml:space="preserve">target. Nevertheless, the </w:t>
      </w:r>
      <w:r w:rsidR="00F60C1A">
        <w:rPr>
          <w:rFonts w:ascii="Calibri" w:eastAsia="Times New Roman" w:hAnsi="Calibri"/>
        </w:rPr>
        <w:t>detailed cost</w:t>
      </w:r>
      <w:r w:rsidR="00566EA4">
        <w:rPr>
          <w:rFonts w:ascii="Calibri" w:eastAsia="Times New Roman" w:hAnsi="Calibri"/>
        </w:rPr>
        <w:t xml:space="preserve"> analysis does allow important insights to be gained on the relative cost-effectiveness of different mitigation options</w:t>
      </w:r>
      <w:r w:rsidR="00232DE8">
        <w:rPr>
          <w:rFonts w:ascii="Calibri" w:eastAsia="Times New Roman" w:hAnsi="Calibri"/>
        </w:rPr>
        <w:t>, as is shown in this paper</w:t>
      </w:r>
      <w:r w:rsidR="00566EA4">
        <w:rPr>
          <w:rFonts w:ascii="Calibri" w:eastAsia="Times New Roman" w:hAnsi="Calibri"/>
        </w:rPr>
        <w:t>.</w:t>
      </w:r>
    </w:p>
    <w:p w:rsidR="00EB3D61" w:rsidRDefault="00EB3D61" w:rsidP="00EB3D61">
      <w:pPr>
        <w:rPr>
          <w:rFonts w:ascii="Calibri" w:eastAsia="Times New Roman" w:hAnsi="Calibri"/>
        </w:rPr>
      </w:pPr>
      <w:r>
        <w:rPr>
          <w:rFonts w:ascii="Calibri" w:eastAsia="Times New Roman" w:hAnsi="Calibri"/>
        </w:rPr>
        <w:t xml:space="preserve">This study builds on a number of recent analyses on the future growth, energy demand and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Pr>
          <w:rFonts w:ascii="Calibri" w:eastAsia="Times New Roman" w:hAnsi="Calibri"/>
        </w:rPr>
        <w:t>emissions from China's road transport sector</w:t>
      </w:r>
      <w:r w:rsidR="00232DE8" w:rsidRPr="00232DE8">
        <w:rPr>
          <w:rFonts w:ascii="Calibri" w:hAnsi="Calibri" w:cs="Calibri"/>
        </w:rPr>
        <w:t>[5]</w:t>
      </w:r>
      <w:r w:rsidR="00232DE8">
        <w:rPr>
          <w:rFonts w:ascii="Calibri" w:eastAsia="Times New Roman" w:hAnsi="Calibri"/>
        </w:rPr>
        <w:t>,</w:t>
      </w:r>
      <w:r w:rsidR="00232DE8" w:rsidRPr="00232DE8">
        <w:rPr>
          <w:rFonts w:ascii="Calibri" w:hAnsi="Calibri" w:cs="Calibri"/>
        </w:rPr>
        <w:t>[9]</w:t>
      </w:r>
      <w:r w:rsidR="00232DE8">
        <w:rPr>
          <w:rFonts w:ascii="Calibri" w:eastAsia="Times New Roman" w:hAnsi="Calibri"/>
        </w:rPr>
        <w:t>,</w:t>
      </w:r>
      <w:r w:rsidR="00232DE8" w:rsidRPr="00232DE8">
        <w:rPr>
          <w:rFonts w:ascii="Calibri" w:hAnsi="Calibri" w:cs="Calibri"/>
        </w:rPr>
        <w:t>[10]</w:t>
      </w:r>
      <w:r w:rsidR="00232DE8">
        <w:rPr>
          <w:rFonts w:ascii="Calibri" w:eastAsia="Times New Roman" w:hAnsi="Calibri"/>
        </w:rPr>
        <w:t>, which are discussed in the following sections</w:t>
      </w:r>
      <w:r>
        <w:rPr>
          <w:rFonts w:ascii="Calibri" w:eastAsia="Times New Roman" w:hAnsi="Calibri"/>
        </w:rPr>
        <w:t>. It is the first that we are aware of which adds a</w:t>
      </w:r>
      <w:r w:rsidR="00A36545">
        <w:rPr>
          <w:rFonts w:ascii="Calibri" w:eastAsia="Times New Roman" w:hAnsi="Calibri"/>
        </w:rPr>
        <w:t xml:space="preserve"> sector-wide</w:t>
      </w:r>
      <w:r>
        <w:rPr>
          <w:rFonts w:ascii="Calibri" w:eastAsia="Times New Roman" w:hAnsi="Calibri"/>
        </w:rPr>
        <w:t xml:space="preserve"> economic analysis to the low</w:t>
      </w:r>
      <w:r w:rsidR="00A36545">
        <w:rPr>
          <w:rFonts w:ascii="Calibri" w:eastAsia="Times New Roman" w:hAnsi="Calibri"/>
        </w:rPr>
        <w:t>-</w:t>
      </w:r>
      <w:r>
        <w:rPr>
          <w:rFonts w:ascii="Calibri" w:eastAsia="Times New Roman" w:hAnsi="Calibri"/>
        </w:rPr>
        <w:t xml:space="preserve">carbon scenario, including the derivation of a marginal abatement cost curve for the different mitigation measures. </w:t>
      </w:r>
    </w:p>
    <w:p w:rsidR="00481627" w:rsidRDefault="00481627">
      <w:r>
        <w:t>T</w:t>
      </w:r>
      <w:r w:rsidR="00AB495D">
        <w:t>he rest of this</w:t>
      </w:r>
      <w:r>
        <w:t xml:space="preserve"> paper is structured as follows: Section 2 sets out the current status of China’s road transport sector, including its impact on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emissions and oil demand, as well as highlighting the key technologies on which the Chinese government has focused in its future plans to achieve energy efficiency and low-carbon goals; Section 3 describes the model and its structure and main features, as well as the input assumptions used; Section 4 discusses the results from the central low-carbon sc</w:t>
      </w:r>
      <w:r w:rsidR="00217414">
        <w:t xml:space="preserve">enario developed for this study; Section 5 explores </w:t>
      </w:r>
      <w:r>
        <w:t>a selection of relevant sensitivities around the main assumptions, in order to highlight which areas are worthy of further consideration when planning low-carbon investments</w:t>
      </w:r>
      <w:r w:rsidR="00217414">
        <w:t xml:space="preserve"> and policy in the Chinese </w:t>
      </w:r>
      <w:r>
        <w:t xml:space="preserve">road transport sector; Section </w:t>
      </w:r>
      <w:r w:rsidR="00F60C1A">
        <w:t>6</w:t>
      </w:r>
      <w:r>
        <w:t xml:space="preserve"> </w:t>
      </w:r>
      <w:r w:rsidR="00217414">
        <w:t>concludes</w:t>
      </w:r>
      <w:r>
        <w:t xml:space="preserve">. </w:t>
      </w:r>
    </w:p>
    <w:p w:rsidR="009F057E" w:rsidRDefault="006C78A8" w:rsidP="006C78A8">
      <w:pPr>
        <w:pStyle w:val="Heading2"/>
      </w:pPr>
      <w:r>
        <w:t>2</w:t>
      </w:r>
      <w:r>
        <w:tab/>
      </w:r>
      <w:r w:rsidR="00481627" w:rsidRPr="00481627">
        <w:t xml:space="preserve">China’s </w:t>
      </w:r>
      <w:r w:rsidR="00A83652">
        <w:t xml:space="preserve">road </w:t>
      </w:r>
      <w:r w:rsidR="00481627" w:rsidRPr="00481627">
        <w:t>transport sector</w:t>
      </w:r>
    </w:p>
    <w:p w:rsidR="009F057E" w:rsidRDefault="009F057E">
      <w:r>
        <w:t xml:space="preserve">China’s rate of vehicle growth over the last decade has been extremely rapid, as a result of increasing per capita wealth and a growing population. This growth in vehicle population has also resulted in a significant growth in fuel demand and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emissions</w:t>
      </w:r>
      <w:r w:rsidR="00F60C1A">
        <w:t>, as well as</w:t>
      </w:r>
      <w:r>
        <w:t xml:space="preserve"> an </w:t>
      </w:r>
      <w:r w:rsidR="00F60C1A">
        <w:t>increase in local air pollution</w:t>
      </w:r>
      <w:r>
        <w:t>. Table 1 outlines some key statistics showing the growth rate in vehicles</w:t>
      </w:r>
      <w:r w:rsidR="00F60C1A">
        <w:t>, energy demand and CO</w:t>
      </w:r>
      <w:r w:rsidR="00F60C1A" w:rsidRPr="00F60C1A">
        <w:rPr>
          <w:vertAlign w:val="subscript"/>
        </w:rPr>
        <w:t>2</w:t>
      </w:r>
      <w:r w:rsidR="00F60C1A">
        <w:t xml:space="preserve"> emissions</w:t>
      </w:r>
      <w:r>
        <w:t xml:space="preserve">. </w:t>
      </w:r>
    </w:p>
    <w:p w:rsidR="009F057E" w:rsidRPr="00963297" w:rsidRDefault="009F057E">
      <w:pPr>
        <w:rPr>
          <w:b/>
        </w:rPr>
      </w:pPr>
      <w:r w:rsidRPr="00963297">
        <w:rPr>
          <w:b/>
        </w:rPr>
        <w:t>Table 1: Vehicle population,</w:t>
      </w:r>
      <w:r w:rsidRPr="0083756F">
        <w:rPr>
          <w:b/>
        </w:rPr>
        <w:t xml:space="preserve"> </w:t>
      </w:r>
      <w:r w:rsidR="0083756F" w:rsidRPr="0083756F">
        <w:rPr>
          <w:rFonts w:ascii="Calibri" w:eastAsia="Times New Roman" w:hAnsi="Calibri"/>
          <w:b/>
        </w:rPr>
        <w:t>CO</w:t>
      </w:r>
      <w:r w:rsidR="0083756F" w:rsidRPr="0083756F">
        <w:rPr>
          <w:rFonts w:ascii="Calibri" w:eastAsia="Times New Roman" w:hAnsi="Calibri"/>
          <w:b/>
          <w:vertAlign w:val="subscript"/>
        </w:rPr>
        <w:t>2</w:t>
      </w:r>
      <w:r w:rsidR="0083756F">
        <w:rPr>
          <w:rFonts w:ascii="Calibri" w:eastAsia="Times New Roman" w:hAnsi="Calibri"/>
        </w:rPr>
        <w:t xml:space="preserve"> </w:t>
      </w:r>
      <w:r w:rsidRPr="00963297">
        <w:rPr>
          <w:b/>
        </w:rPr>
        <w:t>emissions, fuel demand in China</w:t>
      </w:r>
      <w:r w:rsidR="00392192">
        <w:rPr>
          <w:b/>
        </w:rPr>
        <w:t>’s road transport sector</w:t>
      </w:r>
      <w:r w:rsidRPr="00963297">
        <w:rPr>
          <w:b/>
        </w:rPr>
        <w:t xml:space="preserve"> since 200</w:t>
      </w:r>
      <w:r w:rsidR="00AB3D18">
        <w:rPr>
          <w:b/>
        </w:rPr>
        <w:t>2</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409"/>
        <w:gridCol w:w="2694"/>
        <w:gridCol w:w="2693"/>
      </w:tblGrid>
      <w:tr w:rsidR="008E57D4" w:rsidTr="00115120">
        <w:tc>
          <w:tcPr>
            <w:tcW w:w="1101" w:type="dxa"/>
          </w:tcPr>
          <w:p w:rsidR="008E57D4" w:rsidRPr="00115120" w:rsidRDefault="008E57D4" w:rsidP="009F057E">
            <w:pPr>
              <w:rPr>
                <w:rFonts w:cstheme="minorHAnsi"/>
                <w:sz w:val="19"/>
                <w:szCs w:val="19"/>
              </w:rPr>
            </w:pPr>
          </w:p>
        </w:tc>
        <w:tc>
          <w:tcPr>
            <w:tcW w:w="2409" w:type="dxa"/>
          </w:tcPr>
          <w:p w:rsidR="008E57D4" w:rsidRPr="00115120" w:rsidRDefault="008E57D4" w:rsidP="009F057E">
            <w:pPr>
              <w:rPr>
                <w:rFonts w:cstheme="minorHAnsi"/>
                <w:b/>
                <w:sz w:val="19"/>
                <w:szCs w:val="19"/>
              </w:rPr>
            </w:pPr>
            <w:r w:rsidRPr="00115120">
              <w:rPr>
                <w:rFonts w:cstheme="minorHAnsi"/>
                <w:b/>
                <w:sz w:val="19"/>
                <w:szCs w:val="19"/>
              </w:rPr>
              <w:t>Vehicle stock</w:t>
            </w:r>
            <w:r w:rsidR="00392192" w:rsidRPr="00115120">
              <w:rPr>
                <w:rFonts w:cstheme="minorHAnsi"/>
                <w:b/>
                <w:sz w:val="19"/>
                <w:szCs w:val="19"/>
                <w:vertAlign w:val="superscript"/>
              </w:rPr>
              <w:t>a</w:t>
            </w:r>
            <w:r w:rsidRPr="00115120">
              <w:rPr>
                <w:rFonts w:cstheme="minorHAnsi"/>
                <w:b/>
                <w:sz w:val="19"/>
                <w:szCs w:val="19"/>
              </w:rPr>
              <w:t xml:space="preserve"> (excluding motorcycles)/</w:t>
            </w:r>
            <w:r w:rsidR="00392192" w:rsidRPr="00115120">
              <w:rPr>
                <w:rFonts w:cstheme="minorHAnsi"/>
                <w:b/>
                <w:sz w:val="19"/>
                <w:szCs w:val="19"/>
              </w:rPr>
              <w:t xml:space="preserve"> </w:t>
            </w:r>
            <w:r w:rsidRPr="00115120">
              <w:rPr>
                <w:rFonts w:cstheme="minorHAnsi"/>
                <w:b/>
                <w:sz w:val="19"/>
                <w:szCs w:val="19"/>
              </w:rPr>
              <w:t>millions</w:t>
            </w:r>
          </w:p>
        </w:tc>
        <w:tc>
          <w:tcPr>
            <w:tcW w:w="2694" w:type="dxa"/>
          </w:tcPr>
          <w:p w:rsidR="008E57D4" w:rsidRPr="00115120" w:rsidRDefault="008E57D4" w:rsidP="009F057E">
            <w:pPr>
              <w:rPr>
                <w:rFonts w:cstheme="minorHAnsi"/>
                <w:b/>
                <w:sz w:val="19"/>
                <w:szCs w:val="19"/>
              </w:rPr>
            </w:pPr>
            <w:r w:rsidRPr="00115120">
              <w:rPr>
                <w:rFonts w:cstheme="minorHAnsi"/>
                <w:b/>
                <w:sz w:val="19"/>
                <w:szCs w:val="19"/>
              </w:rPr>
              <w:t>Total energy demand</w:t>
            </w:r>
            <w:r w:rsidR="00392192" w:rsidRPr="00115120">
              <w:rPr>
                <w:rFonts w:cstheme="minorHAnsi"/>
                <w:b/>
                <w:sz w:val="19"/>
                <w:szCs w:val="19"/>
                <w:vertAlign w:val="superscript"/>
              </w:rPr>
              <w:t>b</w:t>
            </w:r>
            <w:r w:rsidRPr="00115120">
              <w:rPr>
                <w:rFonts w:cstheme="minorHAnsi"/>
                <w:b/>
                <w:sz w:val="19"/>
                <w:szCs w:val="19"/>
              </w:rPr>
              <w:t>/ PJ</w:t>
            </w:r>
          </w:p>
        </w:tc>
        <w:tc>
          <w:tcPr>
            <w:tcW w:w="2693" w:type="dxa"/>
          </w:tcPr>
          <w:p w:rsidR="008E57D4" w:rsidRPr="00115120" w:rsidRDefault="008E57D4" w:rsidP="009F057E">
            <w:pPr>
              <w:rPr>
                <w:rFonts w:cstheme="minorHAnsi"/>
                <w:b/>
                <w:sz w:val="19"/>
                <w:szCs w:val="19"/>
              </w:rPr>
            </w:pPr>
            <w:r w:rsidRPr="00115120">
              <w:rPr>
                <w:rFonts w:cstheme="minorHAnsi"/>
                <w:b/>
                <w:sz w:val="19"/>
                <w:szCs w:val="19"/>
              </w:rPr>
              <w:t>CO</w:t>
            </w:r>
            <w:r w:rsidRPr="00115120">
              <w:rPr>
                <w:rFonts w:cstheme="minorHAnsi"/>
                <w:b/>
                <w:sz w:val="19"/>
                <w:szCs w:val="19"/>
                <w:vertAlign w:val="subscript"/>
              </w:rPr>
              <w:t>2</w:t>
            </w:r>
            <w:r w:rsidRPr="00115120">
              <w:rPr>
                <w:rFonts w:cstheme="minorHAnsi"/>
                <w:b/>
                <w:sz w:val="19"/>
                <w:szCs w:val="19"/>
              </w:rPr>
              <w:t xml:space="preserve"> emissions</w:t>
            </w:r>
            <w:r w:rsidR="00392192" w:rsidRPr="00115120">
              <w:rPr>
                <w:rFonts w:cstheme="minorHAnsi"/>
                <w:b/>
                <w:sz w:val="19"/>
                <w:szCs w:val="19"/>
                <w:vertAlign w:val="superscript"/>
              </w:rPr>
              <w:t>b</w:t>
            </w:r>
            <w:r w:rsidRPr="00115120">
              <w:rPr>
                <w:rFonts w:cstheme="minorHAnsi"/>
                <w:b/>
                <w:sz w:val="19"/>
                <w:szCs w:val="19"/>
              </w:rPr>
              <w:t xml:space="preserve"> / MtCO</w:t>
            </w:r>
            <w:r w:rsidRPr="00115120">
              <w:rPr>
                <w:rFonts w:cstheme="minorHAnsi"/>
                <w:b/>
                <w:sz w:val="19"/>
                <w:szCs w:val="19"/>
                <w:vertAlign w:val="subscript"/>
              </w:rPr>
              <w:t>2</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2002</w:t>
            </w:r>
          </w:p>
        </w:tc>
        <w:tc>
          <w:tcPr>
            <w:tcW w:w="2409" w:type="dxa"/>
          </w:tcPr>
          <w:p w:rsidR="008E57D4" w:rsidRPr="00115120" w:rsidRDefault="008E57D4" w:rsidP="009F057E">
            <w:pPr>
              <w:rPr>
                <w:rFonts w:cstheme="minorHAnsi"/>
                <w:sz w:val="19"/>
                <w:szCs w:val="19"/>
              </w:rPr>
            </w:pPr>
            <w:r w:rsidRPr="00115120">
              <w:rPr>
                <w:rFonts w:cstheme="minorHAnsi"/>
                <w:sz w:val="19"/>
                <w:szCs w:val="19"/>
              </w:rPr>
              <w:t>20.1</w:t>
            </w:r>
          </w:p>
        </w:tc>
        <w:tc>
          <w:tcPr>
            <w:tcW w:w="2694" w:type="dxa"/>
          </w:tcPr>
          <w:p w:rsidR="008E57D4" w:rsidRPr="00115120" w:rsidRDefault="008E57D4" w:rsidP="009F057E">
            <w:pPr>
              <w:rPr>
                <w:rFonts w:cstheme="minorHAnsi"/>
                <w:sz w:val="19"/>
                <w:szCs w:val="19"/>
              </w:rPr>
            </w:pPr>
            <w:r w:rsidRPr="00115120">
              <w:rPr>
                <w:rFonts w:cstheme="minorHAnsi"/>
                <w:sz w:val="19"/>
                <w:szCs w:val="19"/>
              </w:rPr>
              <w:t>2,636</w:t>
            </w:r>
          </w:p>
        </w:tc>
        <w:tc>
          <w:tcPr>
            <w:tcW w:w="2693" w:type="dxa"/>
          </w:tcPr>
          <w:p w:rsidR="008E57D4" w:rsidRPr="00115120" w:rsidRDefault="008E57D4" w:rsidP="009F057E">
            <w:pPr>
              <w:rPr>
                <w:rFonts w:cstheme="minorHAnsi"/>
                <w:sz w:val="19"/>
                <w:szCs w:val="19"/>
              </w:rPr>
            </w:pPr>
            <w:r w:rsidRPr="00115120">
              <w:rPr>
                <w:rFonts w:cstheme="minorHAnsi"/>
                <w:sz w:val="19"/>
                <w:szCs w:val="19"/>
              </w:rPr>
              <w:t>186</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2003</w:t>
            </w:r>
          </w:p>
        </w:tc>
        <w:tc>
          <w:tcPr>
            <w:tcW w:w="2409" w:type="dxa"/>
          </w:tcPr>
          <w:p w:rsidR="008E57D4" w:rsidRPr="00115120" w:rsidRDefault="008E57D4" w:rsidP="009F057E">
            <w:pPr>
              <w:rPr>
                <w:rFonts w:cstheme="minorHAnsi"/>
                <w:sz w:val="19"/>
                <w:szCs w:val="19"/>
              </w:rPr>
            </w:pPr>
            <w:r w:rsidRPr="00115120">
              <w:rPr>
                <w:rFonts w:cstheme="minorHAnsi"/>
                <w:sz w:val="19"/>
                <w:szCs w:val="19"/>
              </w:rPr>
              <w:t>23.3</w:t>
            </w:r>
          </w:p>
        </w:tc>
        <w:tc>
          <w:tcPr>
            <w:tcW w:w="2694" w:type="dxa"/>
          </w:tcPr>
          <w:p w:rsidR="008E57D4" w:rsidRPr="00115120" w:rsidRDefault="008E57D4" w:rsidP="009F057E">
            <w:pPr>
              <w:rPr>
                <w:rFonts w:cstheme="minorHAnsi"/>
                <w:sz w:val="19"/>
                <w:szCs w:val="19"/>
              </w:rPr>
            </w:pPr>
            <w:r w:rsidRPr="00115120">
              <w:rPr>
                <w:rFonts w:cstheme="minorHAnsi"/>
                <w:sz w:val="19"/>
                <w:szCs w:val="19"/>
              </w:rPr>
              <w:t>2,876</w:t>
            </w:r>
          </w:p>
        </w:tc>
        <w:tc>
          <w:tcPr>
            <w:tcW w:w="2693" w:type="dxa"/>
          </w:tcPr>
          <w:p w:rsidR="008E57D4" w:rsidRPr="00115120" w:rsidRDefault="008E57D4" w:rsidP="009F057E">
            <w:pPr>
              <w:rPr>
                <w:rFonts w:cstheme="minorHAnsi"/>
                <w:sz w:val="19"/>
                <w:szCs w:val="19"/>
              </w:rPr>
            </w:pPr>
            <w:r w:rsidRPr="00115120">
              <w:rPr>
                <w:rFonts w:cstheme="minorHAnsi"/>
                <w:sz w:val="19"/>
                <w:szCs w:val="19"/>
              </w:rPr>
              <w:t>203</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lastRenderedPageBreak/>
              <w:t>2004</w:t>
            </w:r>
          </w:p>
        </w:tc>
        <w:tc>
          <w:tcPr>
            <w:tcW w:w="2409" w:type="dxa"/>
          </w:tcPr>
          <w:p w:rsidR="008E57D4" w:rsidRPr="00115120" w:rsidRDefault="008E57D4" w:rsidP="009F057E">
            <w:pPr>
              <w:rPr>
                <w:rFonts w:cstheme="minorHAnsi"/>
                <w:sz w:val="19"/>
                <w:szCs w:val="19"/>
              </w:rPr>
            </w:pPr>
            <w:r w:rsidRPr="00115120">
              <w:rPr>
                <w:rFonts w:cstheme="minorHAnsi"/>
                <w:sz w:val="19"/>
                <w:szCs w:val="19"/>
              </w:rPr>
              <w:t>26.3</w:t>
            </w:r>
          </w:p>
        </w:tc>
        <w:tc>
          <w:tcPr>
            <w:tcW w:w="2694" w:type="dxa"/>
          </w:tcPr>
          <w:p w:rsidR="008E57D4" w:rsidRPr="00115120" w:rsidRDefault="008E57D4" w:rsidP="009F057E">
            <w:pPr>
              <w:rPr>
                <w:rFonts w:cstheme="minorHAnsi"/>
                <w:sz w:val="19"/>
                <w:szCs w:val="19"/>
              </w:rPr>
            </w:pPr>
            <w:r w:rsidRPr="00115120">
              <w:rPr>
                <w:rFonts w:cstheme="minorHAnsi"/>
                <w:sz w:val="19"/>
                <w:szCs w:val="19"/>
              </w:rPr>
              <w:t>3,149</w:t>
            </w:r>
          </w:p>
        </w:tc>
        <w:tc>
          <w:tcPr>
            <w:tcW w:w="2693" w:type="dxa"/>
          </w:tcPr>
          <w:p w:rsidR="008E57D4" w:rsidRPr="00115120" w:rsidRDefault="008E57D4" w:rsidP="009F057E">
            <w:pPr>
              <w:rPr>
                <w:rFonts w:cstheme="minorHAnsi"/>
                <w:sz w:val="19"/>
                <w:szCs w:val="19"/>
              </w:rPr>
            </w:pPr>
            <w:r w:rsidRPr="00115120">
              <w:rPr>
                <w:rFonts w:cstheme="minorHAnsi"/>
                <w:sz w:val="19"/>
                <w:szCs w:val="19"/>
              </w:rPr>
              <w:t>222</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2005</w:t>
            </w:r>
          </w:p>
        </w:tc>
        <w:tc>
          <w:tcPr>
            <w:tcW w:w="2409" w:type="dxa"/>
          </w:tcPr>
          <w:p w:rsidR="008E57D4" w:rsidRPr="00115120" w:rsidRDefault="008E57D4" w:rsidP="009F057E">
            <w:pPr>
              <w:rPr>
                <w:rFonts w:cstheme="minorHAnsi"/>
                <w:sz w:val="19"/>
                <w:szCs w:val="19"/>
              </w:rPr>
            </w:pPr>
            <w:r w:rsidRPr="00115120">
              <w:rPr>
                <w:rFonts w:cstheme="minorHAnsi"/>
                <w:sz w:val="19"/>
                <w:szCs w:val="19"/>
              </w:rPr>
              <w:t>30.9</w:t>
            </w:r>
          </w:p>
        </w:tc>
        <w:tc>
          <w:tcPr>
            <w:tcW w:w="2694" w:type="dxa"/>
          </w:tcPr>
          <w:p w:rsidR="008E57D4" w:rsidRPr="00115120" w:rsidRDefault="008E57D4" w:rsidP="009F057E">
            <w:pPr>
              <w:rPr>
                <w:rFonts w:cstheme="minorHAnsi"/>
                <w:sz w:val="19"/>
                <w:szCs w:val="19"/>
              </w:rPr>
            </w:pPr>
            <w:r w:rsidRPr="00115120">
              <w:rPr>
                <w:rFonts w:cstheme="minorHAnsi"/>
                <w:sz w:val="19"/>
                <w:szCs w:val="19"/>
              </w:rPr>
              <w:t>3,395</w:t>
            </w:r>
          </w:p>
        </w:tc>
        <w:tc>
          <w:tcPr>
            <w:tcW w:w="2693" w:type="dxa"/>
          </w:tcPr>
          <w:p w:rsidR="008E57D4" w:rsidRPr="00115120" w:rsidRDefault="008E57D4" w:rsidP="009F057E">
            <w:pPr>
              <w:rPr>
                <w:rFonts w:cstheme="minorHAnsi"/>
                <w:sz w:val="19"/>
                <w:szCs w:val="19"/>
              </w:rPr>
            </w:pPr>
            <w:r w:rsidRPr="00115120">
              <w:rPr>
                <w:rFonts w:cstheme="minorHAnsi"/>
                <w:sz w:val="19"/>
                <w:szCs w:val="19"/>
              </w:rPr>
              <w:t>240</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2006</w:t>
            </w:r>
          </w:p>
        </w:tc>
        <w:tc>
          <w:tcPr>
            <w:tcW w:w="2409" w:type="dxa"/>
          </w:tcPr>
          <w:p w:rsidR="008E57D4" w:rsidRPr="00115120" w:rsidRDefault="008E57D4" w:rsidP="009F057E">
            <w:pPr>
              <w:rPr>
                <w:rFonts w:cstheme="minorHAnsi"/>
                <w:sz w:val="19"/>
                <w:szCs w:val="19"/>
              </w:rPr>
            </w:pPr>
            <w:r w:rsidRPr="00115120">
              <w:rPr>
                <w:rFonts w:cstheme="minorHAnsi"/>
                <w:sz w:val="19"/>
                <w:szCs w:val="19"/>
              </w:rPr>
              <w:t>36.1</w:t>
            </w:r>
          </w:p>
        </w:tc>
        <w:tc>
          <w:tcPr>
            <w:tcW w:w="2694" w:type="dxa"/>
          </w:tcPr>
          <w:p w:rsidR="008E57D4" w:rsidRPr="00115120" w:rsidRDefault="008E57D4" w:rsidP="009F057E">
            <w:pPr>
              <w:rPr>
                <w:rFonts w:cstheme="minorHAnsi"/>
                <w:sz w:val="19"/>
                <w:szCs w:val="19"/>
              </w:rPr>
            </w:pPr>
            <w:r w:rsidRPr="00115120">
              <w:rPr>
                <w:rFonts w:cstheme="minorHAnsi"/>
                <w:sz w:val="19"/>
                <w:szCs w:val="19"/>
              </w:rPr>
              <w:t>3,613</w:t>
            </w:r>
          </w:p>
        </w:tc>
        <w:tc>
          <w:tcPr>
            <w:tcW w:w="2693" w:type="dxa"/>
          </w:tcPr>
          <w:p w:rsidR="008E57D4" w:rsidRPr="00115120" w:rsidRDefault="008E57D4" w:rsidP="009F057E">
            <w:pPr>
              <w:rPr>
                <w:rFonts w:cstheme="minorHAnsi"/>
                <w:sz w:val="19"/>
                <w:szCs w:val="19"/>
              </w:rPr>
            </w:pPr>
            <w:r w:rsidRPr="00115120">
              <w:rPr>
                <w:rFonts w:cstheme="minorHAnsi"/>
                <w:sz w:val="19"/>
                <w:szCs w:val="19"/>
              </w:rPr>
              <w:t>255</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2007</w:t>
            </w:r>
          </w:p>
        </w:tc>
        <w:tc>
          <w:tcPr>
            <w:tcW w:w="2409" w:type="dxa"/>
          </w:tcPr>
          <w:p w:rsidR="008E57D4" w:rsidRPr="00115120" w:rsidRDefault="008E57D4" w:rsidP="009F057E">
            <w:pPr>
              <w:rPr>
                <w:rFonts w:cstheme="minorHAnsi"/>
                <w:sz w:val="19"/>
                <w:szCs w:val="19"/>
              </w:rPr>
            </w:pPr>
            <w:r w:rsidRPr="00115120">
              <w:rPr>
                <w:rFonts w:cstheme="minorHAnsi"/>
                <w:sz w:val="19"/>
                <w:szCs w:val="19"/>
              </w:rPr>
              <w:t>42.4</w:t>
            </w:r>
          </w:p>
        </w:tc>
        <w:tc>
          <w:tcPr>
            <w:tcW w:w="2694" w:type="dxa"/>
          </w:tcPr>
          <w:p w:rsidR="008E57D4" w:rsidRPr="00115120" w:rsidRDefault="008E57D4" w:rsidP="009F057E">
            <w:pPr>
              <w:rPr>
                <w:rFonts w:cstheme="minorHAnsi"/>
                <w:sz w:val="19"/>
                <w:szCs w:val="19"/>
              </w:rPr>
            </w:pPr>
            <w:r w:rsidRPr="00115120">
              <w:rPr>
                <w:rFonts w:cstheme="minorHAnsi"/>
                <w:sz w:val="19"/>
                <w:szCs w:val="19"/>
              </w:rPr>
              <w:t>4.032</w:t>
            </w:r>
          </w:p>
        </w:tc>
        <w:tc>
          <w:tcPr>
            <w:tcW w:w="2693" w:type="dxa"/>
          </w:tcPr>
          <w:p w:rsidR="008E57D4" w:rsidRPr="00115120" w:rsidRDefault="008E57D4" w:rsidP="009F057E">
            <w:pPr>
              <w:rPr>
                <w:rFonts w:cstheme="minorHAnsi"/>
                <w:sz w:val="19"/>
                <w:szCs w:val="19"/>
              </w:rPr>
            </w:pPr>
            <w:r w:rsidRPr="00115120">
              <w:rPr>
                <w:rFonts w:cstheme="minorHAnsi"/>
                <w:sz w:val="19"/>
                <w:szCs w:val="19"/>
              </w:rPr>
              <w:t>284</w:t>
            </w:r>
          </w:p>
        </w:tc>
      </w:tr>
      <w:tr w:rsidR="008E57D4" w:rsidTr="00115120">
        <w:tc>
          <w:tcPr>
            <w:tcW w:w="1101" w:type="dxa"/>
          </w:tcPr>
          <w:p w:rsidR="008E57D4" w:rsidRPr="00115120" w:rsidRDefault="008E57D4" w:rsidP="009F057E">
            <w:pPr>
              <w:rPr>
                <w:rFonts w:cstheme="minorHAnsi"/>
                <w:b/>
                <w:sz w:val="19"/>
                <w:szCs w:val="19"/>
              </w:rPr>
            </w:pPr>
            <w:r w:rsidRPr="00115120">
              <w:rPr>
                <w:rFonts w:cstheme="minorHAnsi"/>
                <w:b/>
                <w:sz w:val="19"/>
                <w:szCs w:val="19"/>
              </w:rPr>
              <w:t>2008</w:t>
            </w:r>
          </w:p>
        </w:tc>
        <w:tc>
          <w:tcPr>
            <w:tcW w:w="2409" w:type="dxa"/>
          </w:tcPr>
          <w:p w:rsidR="008E57D4" w:rsidRPr="00115120" w:rsidRDefault="008E57D4" w:rsidP="009F057E">
            <w:pPr>
              <w:rPr>
                <w:rFonts w:cstheme="minorHAnsi"/>
                <w:sz w:val="19"/>
                <w:szCs w:val="19"/>
              </w:rPr>
            </w:pPr>
            <w:r w:rsidRPr="00115120">
              <w:rPr>
                <w:rFonts w:cstheme="minorHAnsi"/>
                <w:sz w:val="19"/>
                <w:szCs w:val="19"/>
              </w:rPr>
              <w:t>49.6</w:t>
            </w:r>
          </w:p>
        </w:tc>
        <w:tc>
          <w:tcPr>
            <w:tcW w:w="2694" w:type="dxa"/>
          </w:tcPr>
          <w:p w:rsidR="008E57D4" w:rsidRPr="00115120" w:rsidRDefault="008E57D4" w:rsidP="009F057E">
            <w:pPr>
              <w:rPr>
                <w:rFonts w:cstheme="minorHAnsi"/>
                <w:sz w:val="19"/>
                <w:szCs w:val="19"/>
              </w:rPr>
            </w:pPr>
            <w:r w:rsidRPr="00115120">
              <w:rPr>
                <w:rFonts w:cstheme="minorHAnsi"/>
                <w:sz w:val="19"/>
                <w:szCs w:val="19"/>
              </w:rPr>
              <w:t>4,773</w:t>
            </w:r>
          </w:p>
        </w:tc>
        <w:tc>
          <w:tcPr>
            <w:tcW w:w="2693" w:type="dxa"/>
          </w:tcPr>
          <w:p w:rsidR="008E57D4" w:rsidRPr="00115120" w:rsidRDefault="008E57D4" w:rsidP="009F057E">
            <w:pPr>
              <w:rPr>
                <w:rFonts w:cstheme="minorHAnsi"/>
                <w:sz w:val="19"/>
                <w:szCs w:val="19"/>
              </w:rPr>
            </w:pPr>
            <w:r w:rsidRPr="00115120">
              <w:rPr>
                <w:rFonts w:cstheme="minorHAnsi"/>
                <w:sz w:val="19"/>
                <w:szCs w:val="19"/>
              </w:rPr>
              <w:t>336</w:t>
            </w:r>
          </w:p>
        </w:tc>
      </w:tr>
      <w:tr w:rsidR="008E57D4" w:rsidTr="00115120">
        <w:tc>
          <w:tcPr>
            <w:tcW w:w="1101" w:type="dxa"/>
          </w:tcPr>
          <w:p w:rsidR="008E57D4" w:rsidRPr="00115120" w:rsidRDefault="008E57D4" w:rsidP="00AB3D18">
            <w:pPr>
              <w:rPr>
                <w:rFonts w:cstheme="minorHAnsi"/>
                <w:b/>
                <w:sz w:val="19"/>
                <w:szCs w:val="19"/>
              </w:rPr>
            </w:pPr>
            <w:r w:rsidRPr="00115120">
              <w:rPr>
                <w:rFonts w:cstheme="minorHAnsi"/>
                <w:b/>
                <w:sz w:val="19"/>
                <w:szCs w:val="19"/>
              </w:rPr>
              <w:t>2009</w:t>
            </w:r>
          </w:p>
        </w:tc>
        <w:tc>
          <w:tcPr>
            <w:tcW w:w="2409" w:type="dxa"/>
          </w:tcPr>
          <w:p w:rsidR="008E57D4" w:rsidRPr="00115120" w:rsidRDefault="008E57D4" w:rsidP="002D5865">
            <w:pPr>
              <w:rPr>
                <w:rFonts w:cstheme="minorHAnsi"/>
                <w:sz w:val="19"/>
                <w:szCs w:val="19"/>
              </w:rPr>
            </w:pPr>
            <w:r w:rsidRPr="00115120">
              <w:rPr>
                <w:rFonts w:cstheme="minorHAnsi"/>
                <w:sz w:val="19"/>
                <w:szCs w:val="19"/>
              </w:rPr>
              <w:t>62.8</w:t>
            </w:r>
          </w:p>
        </w:tc>
        <w:tc>
          <w:tcPr>
            <w:tcW w:w="2694" w:type="dxa"/>
          </w:tcPr>
          <w:p w:rsidR="008E57D4" w:rsidRPr="00115120" w:rsidRDefault="008E57D4" w:rsidP="002D5865">
            <w:pPr>
              <w:rPr>
                <w:rFonts w:cstheme="minorHAnsi"/>
                <w:sz w:val="19"/>
                <w:szCs w:val="19"/>
              </w:rPr>
            </w:pPr>
            <w:r w:rsidRPr="00115120">
              <w:rPr>
                <w:rFonts w:cstheme="minorHAnsi"/>
                <w:sz w:val="19"/>
                <w:szCs w:val="19"/>
              </w:rPr>
              <w:t>5,485</w:t>
            </w:r>
          </w:p>
        </w:tc>
        <w:tc>
          <w:tcPr>
            <w:tcW w:w="2693" w:type="dxa"/>
          </w:tcPr>
          <w:p w:rsidR="008E57D4" w:rsidRPr="00115120" w:rsidRDefault="008E57D4" w:rsidP="002D5865">
            <w:pPr>
              <w:rPr>
                <w:rFonts w:cstheme="minorHAnsi"/>
                <w:sz w:val="19"/>
                <w:szCs w:val="19"/>
              </w:rPr>
            </w:pPr>
            <w:r w:rsidRPr="00115120">
              <w:rPr>
                <w:rFonts w:cstheme="minorHAnsi"/>
                <w:sz w:val="19"/>
                <w:szCs w:val="19"/>
              </w:rPr>
              <w:t>337</w:t>
            </w:r>
          </w:p>
        </w:tc>
      </w:tr>
    </w:tbl>
    <w:p w:rsidR="00232DE8" w:rsidRPr="00392192" w:rsidRDefault="00392192" w:rsidP="009F057E">
      <w:r>
        <w:t xml:space="preserve">Notes: </w:t>
      </w:r>
      <w:r w:rsidRPr="00392192">
        <w:rPr>
          <w:b/>
          <w:vertAlign w:val="superscript"/>
        </w:rPr>
        <w:t>a</w:t>
      </w:r>
      <w:r>
        <w:t xml:space="preserve"> sourced from Huo and Wang (2012) </w:t>
      </w:r>
      <w:r w:rsidRPr="00392192">
        <w:rPr>
          <w:rFonts w:ascii="Calibri" w:hAnsi="Calibri" w:cs="Calibri"/>
        </w:rPr>
        <w:t>[6]</w:t>
      </w:r>
      <w:r>
        <w:t xml:space="preserve">; </w:t>
      </w:r>
      <w:r w:rsidRPr="00392192">
        <w:rPr>
          <w:b/>
          <w:vertAlign w:val="superscript"/>
        </w:rPr>
        <w:t>b</w:t>
      </w:r>
      <w:r>
        <w:rPr>
          <w:b/>
          <w:vertAlign w:val="superscript"/>
        </w:rPr>
        <w:t xml:space="preserve"> </w:t>
      </w:r>
      <w:r>
        <w:t xml:space="preserve">sourced from Ou et al (2010) </w:t>
      </w:r>
      <w:r w:rsidRPr="00392192">
        <w:rPr>
          <w:rFonts w:ascii="Calibri" w:hAnsi="Calibri" w:cs="Calibri"/>
        </w:rPr>
        <w:t>[5]</w:t>
      </w:r>
    </w:p>
    <w:p w:rsidR="00963297" w:rsidRPr="002C33BA" w:rsidRDefault="009F057E" w:rsidP="009F057E">
      <w:r w:rsidRPr="009F057E">
        <w:t xml:space="preserve">Looking forward, </w:t>
      </w:r>
      <w:r>
        <w:t xml:space="preserve">there are a number of recent projections of vehicle population growth in China. Ou et al (2010) estimate </w:t>
      </w:r>
      <w:r w:rsidR="009D7CEF">
        <w:t xml:space="preserve">that </w:t>
      </w:r>
      <w:r>
        <w:t>the number of</w:t>
      </w:r>
      <w:r w:rsidR="009D7CEF">
        <w:t xml:space="preserve"> road</w:t>
      </w:r>
      <w:r>
        <w:t xml:space="preserve"> vehicles (</w:t>
      </w:r>
      <w:r w:rsidR="009D7CEF">
        <w:t>excluding</w:t>
      </w:r>
      <w:r>
        <w:t xml:space="preserve"> motorcycles) will grow from </w:t>
      </w:r>
      <w:r w:rsidR="009D7CEF">
        <w:t>74 million</w:t>
      </w:r>
      <w:r>
        <w:t xml:space="preserve"> in 2010 to </w:t>
      </w:r>
      <w:r w:rsidR="009D7CEF">
        <w:t>498</w:t>
      </w:r>
      <w:r>
        <w:t xml:space="preserve"> </w:t>
      </w:r>
      <w:r w:rsidR="00A36545">
        <w:t xml:space="preserve">million </w:t>
      </w:r>
      <w:r>
        <w:t>in 2050</w:t>
      </w:r>
      <w:r w:rsidR="009D7CEF">
        <w:t xml:space="preserve"> </w:t>
      </w:r>
      <w:r w:rsidR="009D7CEF" w:rsidRPr="009D7CEF">
        <w:rPr>
          <w:rFonts w:ascii="Calibri" w:hAnsi="Calibri" w:cs="Calibri"/>
        </w:rPr>
        <w:t>[5]</w:t>
      </w:r>
      <w:r>
        <w:t xml:space="preserve">. </w:t>
      </w:r>
      <w:r w:rsidR="007262FE">
        <w:t xml:space="preserve">This is relatively low compared to more recent estimates. For example </w:t>
      </w:r>
      <w:r>
        <w:t xml:space="preserve">Huo </w:t>
      </w:r>
      <w:r w:rsidR="00232DE8">
        <w:t>and Wang (2012)</w:t>
      </w:r>
      <w:r>
        <w:t xml:space="preserve"> use a detailed method based on analysis of vehicle purchasing behaviours to estimate that the number </w:t>
      </w:r>
      <w:r w:rsidR="009D7CEF">
        <w:t xml:space="preserve">of road vehicles (again excluding motorcycles) in 2050 will reach </w:t>
      </w:r>
      <w:r w:rsidR="00B076C7">
        <w:t xml:space="preserve">between 530 and 623 million by 2050, depending on the assumed saturation level of car ownership in China (noting that Japan is somewhere in the middle of this range, but the US is well above it </w:t>
      </w:r>
      <w:r w:rsidR="00B076C7" w:rsidRPr="00B076C7">
        <w:rPr>
          <w:rFonts w:ascii="Calibri" w:hAnsi="Calibri" w:cs="Calibri"/>
        </w:rPr>
        <w:t>[6]</w:t>
      </w:r>
      <w:r w:rsidR="00A36545">
        <w:t>)</w:t>
      </w:r>
      <w:r w:rsidR="00B076C7">
        <w:t xml:space="preserve">. </w:t>
      </w:r>
      <w:r w:rsidR="004156CB">
        <w:t xml:space="preserve">Hao et al (2011) project growth to 607 million </w:t>
      </w:r>
      <w:r w:rsidR="00420CA1">
        <w:t xml:space="preserve">road </w:t>
      </w:r>
      <w:r w:rsidR="004156CB">
        <w:t xml:space="preserve">vehicles by 2050 </w:t>
      </w:r>
      <w:r w:rsidR="004156CB" w:rsidRPr="00A35086">
        <w:rPr>
          <w:rFonts w:ascii="Calibri" w:hAnsi="Calibri"/>
        </w:rPr>
        <w:t>[11]</w:t>
      </w:r>
      <w:r w:rsidR="004156CB">
        <w:t>, whilst Wang et al (2011), using a much more aggressive growth rate based on looking at other countries with similar growth dynamics, project approximately 450 - 550 million road vehicles by as soon as 2030</w:t>
      </w:r>
      <w:r w:rsidR="00420CA1">
        <w:t xml:space="preserve"> </w:t>
      </w:r>
      <w:r w:rsidR="004156CB" w:rsidRPr="00A35086">
        <w:rPr>
          <w:rFonts w:ascii="Calibri" w:hAnsi="Calibri"/>
        </w:rPr>
        <w:t>[12]</w:t>
      </w:r>
      <w:r w:rsidR="004156CB">
        <w:t xml:space="preserve">. </w:t>
      </w:r>
      <w:r w:rsidR="007262FE">
        <w:t xml:space="preserve">However, China’s National Development and Reform Commission’s Energy Research Institute </w:t>
      </w:r>
      <w:r w:rsidR="002C33BA">
        <w:t xml:space="preserve">(ERI) </w:t>
      </w:r>
      <w:r w:rsidR="007262FE">
        <w:t>projected a similar figure to Ou et al’s (2010) estimate, with 501 million road vehicles excluding motorcycles by 2050</w:t>
      </w:r>
      <w:r w:rsidR="004156CB" w:rsidRPr="00A35086">
        <w:rPr>
          <w:rFonts w:ascii="Calibri" w:hAnsi="Calibri"/>
        </w:rPr>
        <w:t>[13]</w:t>
      </w:r>
      <w:r w:rsidR="002C33BA">
        <w:t xml:space="preserve">. Considering motorcycles themselves, Ou et al (2010) and China’s ERI have both projected about 115-120 million by 2050 </w:t>
      </w:r>
      <w:r w:rsidR="002C33BA" w:rsidRPr="009D7CEF">
        <w:rPr>
          <w:rFonts w:ascii="Calibri" w:hAnsi="Calibri" w:cs="Calibri"/>
        </w:rPr>
        <w:t>[5]</w:t>
      </w:r>
      <w:r w:rsidR="002C33BA">
        <w:t>,</w:t>
      </w:r>
      <w:r w:rsidR="002C33BA" w:rsidRPr="002C33BA">
        <w:t xml:space="preserve"> </w:t>
      </w:r>
      <w:r w:rsidR="004156CB" w:rsidRPr="00A35086">
        <w:rPr>
          <w:rFonts w:ascii="Calibri" w:hAnsi="Calibri"/>
        </w:rPr>
        <w:t>[13]</w:t>
      </w:r>
      <w:r w:rsidR="002C33BA">
        <w:t xml:space="preserve">.   </w:t>
      </w:r>
    </w:p>
    <w:p w:rsidR="00963297" w:rsidRDefault="00963297" w:rsidP="009F057E">
      <w:r>
        <w:t xml:space="preserve">The implications for this vehicle growth rate on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 xml:space="preserve">emissions depend on the scenario assumed for the penetration of </w:t>
      </w:r>
      <w:r w:rsidR="00A36545">
        <w:t>different</w:t>
      </w:r>
      <w:r>
        <w:t xml:space="preserve"> low-carbon technologies. These range from the increasing share of sales of low-carbon drivetrains such as fuel cell, electric and plug-in hybrid electric vehicles, as well as vehicles running on natural gas (either liquefied petroleum gas or compressed natural gas), the increased share of more efficient internal combustion and hybrid vehicles, as well as the degree to which biofuels (bio-ethanol and bio-diesel) make up an increasing share of petrol and diesel fuels for conventional internal combustion engine and hybrid vehicles. The penetration rates into new vehicle sales of these lower-carbon vehicles can be determined either through subjective scenario analysis, or through an approach which optimises the future vehicle technology mix such that a specified future CO</w:t>
      </w:r>
      <w:r w:rsidRPr="002C33BA">
        <w:rPr>
          <w:vertAlign w:val="subscript"/>
        </w:rPr>
        <w:t>2</w:t>
      </w:r>
      <w:r>
        <w:t xml:space="preserve"> emissions limit is met at least cost.</w:t>
      </w:r>
    </w:p>
    <w:p w:rsidR="00457A62" w:rsidRDefault="00963297" w:rsidP="00457A62">
      <w:pPr>
        <w:pStyle w:val="PlainText"/>
      </w:pPr>
      <w:r>
        <w:t>This approach relies on a scenario analysis rather than cost-optimising analysis, but this is informed by current activity</w:t>
      </w:r>
      <w:r w:rsidR="00F3055D">
        <w:t xml:space="preserve"> in the vehicle market in China, which is focused on improving</w:t>
      </w:r>
      <w:r w:rsidR="000063B3">
        <w:t xml:space="preserve"> fuel efficiency of </w:t>
      </w:r>
      <w:r w:rsidR="00F3055D">
        <w:t>internal combustion engine vehicles, increasing the share of alternative drivetrain vehicles such as electric vehicles, and reducing the CO</w:t>
      </w:r>
      <w:r w:rsidR="00F3055D" w:rsidRPr="0083756F">
        <w:rPr>
          <w:vertAlign w:val="subscript"/>
        </w:rPr>
        <w:t>2</w:t>
      </w:r>
      <w:r w:rsidR="00F3055D">
        <w:t xml:space="preserve"> emissions intensity of gasoline and diesel through increased blending of biofuels. </w:t>
      </w:r>
      <w:r w:rsidR="00A0168A">
        <w:t>In terms of fuel efficiency, t</w:t>
      </w:r>
      <w:r w:rsidR="001E641F">
        <w:t>here is a concerted focus on increasing average fuel consumption in new vehicles, with levels at the beginning of this decade around 7.8 litre/100km for passenger cars, due to fall to 6.9 l/100km by 2015 and towards 5 l/km by 2020</w:t>
      </w:r>
      <w:r w:rsidR="00E76AEB">
        <w:t xml:space="preserve"> </w:t>
      </w:r>
      <w:r w:rsidR="00E76AEB" w:rsidRPr="00E76AEB">
        <w:rPr>
          <w:rFonts w:cs="Calibri"/>
        </w:rPr>
        <w:t>[9]</w:t>
      </w:r>
      <w:r w:rsidR="001E641F">
        <w:t xml:space="preserve">. </w:t>
      </w:r>
      <w:r w:rsidR="00A0168A">
        <w:t>In terms of alternative drivetrains, u</w:t>
      </w:r>
      <w:r w:rsidR="001E641F">
        <w:t>ptake of electric vehicles is being promoted, initially for buses, taxis and s</w:t>
      </w:r>
      <w:r w:rsidR="00384CC9">
        <w:t>ome light duty vehicles (LDVs)</w:t>
      </w:r>
      <w:r w:rsidR="00A0168A">
        <w:t xml:space="preserve"> </w:t>
      </w:r>
      <w:r w:rsidR="00A0168A" w:rsidRPr="00E76AEB">
        <w:rPr>
          <w:rFonts w:cs="Calibri"/>
        </w:rPr>
        <w:t>[9]</w:t>
      </w:r>
      <w:r w:rsidR="00384CC9">
        <w:t xml:space="preserve">. </w:t>
      </w:r>
      <w:r w:rsidR="00A0168A">
        <w:t>In addition, t</w:t>
      </w:r>
      <w:r w:rsidR="00384CC9">
        <w:t>he blending of biofuels with petrol an</w:t>
      </w:r>
      <w:r w:rsidR="00A0168A">
        <w:t xml:space="preserve">d diesel is also being promoted </w:t>
      </w:r>
      <w:r w:rsidR="00A0168A" w:rsidRPr="00E76AEB">
        <w:rPr>
          <w:rFonts w:cs="Calibri"/>
        </w:rPr>
        <w:t>[9]</w:t>
      </w:r>
      <w:r w:rsidR="00A0168A">
        <w:t xml:space="preserve">. </w:t>
      </w:r>
      <w:r w:rsidR="00457A62">
        <w:t xml:space="preserve">China's 12th Five Year Plan emphasised the development of energy efficient internal combustion engines in the short term (2010-2015), electric vehicles in the medium term (2015-2020), and hydrogen fuel cells vehicles in the longer term (after 2020) </w:t>
      </w:r>
      <w:r w:rsidR="004156CB" w:rsidRPr="004156CB">
        <w:t>[14]</w:t>
      </w:r>
      <w:r w:rsidR="00457A62">
        <w:t>.</w:t>
      </w:r>
    </w:p>
    <w:p w:rsidR="002B4EAF" w:rsidRDefault="002B4EAF" w:rsidP="002B4EAF">
      <w:pPr>
        <w:pStyle w:val="PlainText"/>
      </w:pPr>
      <w:r>
        <w:lastRenderedPageBreak/>
        <w:t xml:space="preserve">Looking further ahead, China’s energy technology roadmap to 2050 includes objectives to introduce alternative fuel technologies including electric and hydrogen fuel cell vehicles, as well as the development of next-generation biofuels from both land-based energy crops and algae </w:t>
      </w:r>
      <w:r w:rsidR="004156CB" w:rsidRPr="004156CB">
        <w:t>[15]</w:t>
      </w:r>
      <w:r>
        <w:t xml:space="preserve">. </w:t>
      </w:r>
      <w:r w:rsidR="002C09F8">
        <w:t xml:space="preserve">And according to the </w:t>
      </w:r>
    </w:p>
    <w:p w:rsidR="005E4755" w:rsidRDefault="005E4755" w:rsidP="009F057E"/>
    <w:p w:rsidR="00672DB3" w:rsidRDefault="00672DB3" w:rsidP="009F057E">
      <w:r>
        <w:t>As shown by Figure 1, China’s 12th (2011-2015) and 13</w:t>
      </w:r>
      <w:r w:rsidRPr="00672DB3">
        <w:rPr>
          <w:vertAlign w:val="superscript"/>
        </w:rPr>
        <w:t>th</w:t>
      </w:r>
      <w:r>
        <w:t xml:space="preserve"> (2016-2020) Five Year Plans will see it reduce its average </w:t>
      </w:r>
      <w:r w:rsidR="000320D2">
        <w:t>passenger car CO</w:t>
      </w:r>
      <w:r w:rsidR="000320D2" w:rsidRPr="000320D2">
        <w:rPr>
          <w:vertAlign w:val="subscript"/>
        </w:rPr>
        <w:t>2</w:t>
      </w:r>
      <w:r w:rsidR="000320D2">
        <w:t xml:space="preserve"> emissions</w:t>
      </w:r>
      <w:r>
        <w:t xml:space="preserve"> levels to close to the world leaders (the European Union and Japan) </w:t>
      </w:r>
      <w:r w:rsidR="000320D2">
        <w:t xml:space="preserve">by 2020. </w:t>
      </w:r>
    </w:p>
    <w:p w:rsidR="00672DB3" w:rsidRDefault="00896AAE" w:rsidP="009F057E">
      <w:r w:rsidRPr="00896AAE">
        <w:rPr>
          <w:noProof/>
          <w:lang w:eastAsia="en-GB"/>
        </w:rPr>
        <w:drawing>
          <wp:inline distT="0" distB="0" distL="0" distR="0" wp14:anchorId="767BA6DA" wp14:editId="00BCF774">
            <wp:extent cx="5174412" cy="3371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78058" cy="3374226"/>
                    </a:xfrm>
                    <a:prstGeom prst="rect">
                      <a:avLst/>
                    </a:prstGeom>
                    <a:noFill/>
                    <a:ln>
                      <a:noFill/>
                    </a:ln>
                  </pic:spPr>
                </pic:pic>
              </a:graphicData>
            </a:graphic>
          </wp:inline>
        </w:drawing>
      </w:r>
    </w:p>
    <w:p w:rsidR="00672DB3" w:rsidRDefault="00672DB3" w:rsidP="009F057E">
      <w:r w:rsidRPr="00672DB3">
        <w:rPr>
          <w:b/>
        </w:rPr>
        <w:t xml:space="preserve">Figure 1: New car </w:t>
      </w:r>
      <w:r w:rsidR="000320D2">
        <w:rPr>
          <w:b/>
        </w:rPr>
        <w:t>CO</w:t>
      </w:r>
      <w:r w:rsidR="000320D2" w:rsidRPr="000320D2">
        <w:rPr>
          <w:b/>
          <w:vertAlign w:val="subscript"/>
        </w:rPr>
        <w:t>2</w:t>
      </w:r>
      <w:r w:rsidR="000320D2">
        <w:rPr>
          <w:b/>
        </w:rPr>
        <w:t xml:space="preserve"> emissions</w:t>
      </w:r>
      <w:r>
        <w:rPr>
          <w:b/>
        </w:rPr>
        <w:t xml:space="preserve"> and </w:t>
      </w:r>
      <w:r w:rsidRPr="00672DB3">
        <w:rPr>
          <w:b/>
        </w:rPr>
        <w:t>stand</w:t>
      </w:r>
      <w:r>
        <w:rPr>
          <w:b/>
        </w:rPr>
        <w:t>ards in different world regions</w:t>
      </w:r>
      <w:r w:rsidRPr="00672DB3">
        <w:t xml:space="preserve"> </w:t>
      </w:r>
    </w:p>
    <w:p w:rsidR="005232AF" w:rsidRDefault="005232AF" w:rsidP="005232AF">
      <w:pPr>
        <w:rPr>
          <w:i/>
          <w:sz w:val="18"/>
          <w:szCs w:val="18"/>
        </w:rPr>
      </w:pPr>
      <w:r>
        <w:rPr>
          <w:i/>
          <w:sz w:val="18"/>
          <w:szCs w:val="18"/>
        </w:rPr>
        <w:t xml:space="preserve">Data source: The International Council on Clean Transportation (ICCT), 2014 </w:t>
      </w:r>
      <w:r w:rsidR="004156CB" w:rsidRPr="00A35086">
        <w:rPr>
          <w:rFonts w:ascii="Calibri" w:hAnsi="Calibri"/>
        </w:rPr>
        <w:t>[16]</w:t>
      </w:r>
    </w:p>
    <w:p w:rsidR="000320D2" w:rsidRPr="000320D2" w:rsidRDefault="00672DB3" w:rsidP="000320D2">
      <w:pPr>
        <w:rPr>
          <w:i/>
          <w:sz w:val="18"/>
          <w:szCs w:val="18"/>
        </w:rPr>
      </w:pPr>
      <w:r w:rsidRPr="00672DB3">
        <w:rPr>
          <w:i/>
          <w:sz w:val="18"/>
          <w:szCs w:val="18"/>
        </w:rPr>
        <w:t>Notes: NEDC = New European Driving Cycle; LDV = light duty vehicles</w:t>
      </w:r>
      <w:r w:rsidR="00B45E8A">
        <w:rPr>
          <w:i/>
          <w:sz w:val="18"/>
          <w:szCs w:val="18"/>
        </w:rPr>
        <w:t xml:space="preserve">; </w:t>
      </w:r>
      <w:r w:rsidR="000320D2" w:rsidRPr="000320D2">
        <w:rPr>
          <w:bCs/>
          <w:i/>
          <w:sz w:val="18"/>
          <w:szCs w:val="18"/>
          <w:lang w:val="en-US"/>
        </w:rPr>
        <w:t>[1] China's target reflects gasoline vehicles only. The target may be higher after new</w:t>
      </w:r>
      <w:r w:rsidR="005232AF">
        <w:rPr>
          <w:bCs/>
          <w:i/>
          <w:sz w:val="18"/>
          <w:szCs w:val="18"/>
          <w:lang w:val="en-US"/>
        </w:rPr>
        <w:t xml:space="preserve"> energy vehicles are considered; </w:t>
      </w:r>
      <w:r w:rsidR="000320D2" w:rsidRPr="000320D2">
        <w:rPr>
          <w:bCs/>
          <w:i/>
          <w:sz w:val="18"/>
          <w:szCs w:val="18"/>
          <w:lang w:val="en-US"/>
        </w:rPr>
        <w:t xml:space="preserve">[2] The U.S. standards are fuel economy standards </w:t>
      </w:r>
      <w:r w:rsidR="005232AF">
        <w:rPr>
          <w:bCs/>
          <w:i/>
          <w:sz w:val="18"/>
          <w:szCs w:val="18"/>
          <w:lang w:val="en-US"/>
        </w:rPr>
        <w:t>set by the US National highway Traffic Safety Adminis</w:t>
      </w:r>
      <w:r w:rsidR="00896AAE">
        <w:rPr>
          <w:bCs/>
          <w:i/>
          <w:sz w:val="18"/>
          <w:szCs w:val="18"/>
          <w:lang w:val="en-US"/>
        </w:rPr>
        <w:t>tration</w:t>
      </w:r>
    </w:p>
    <w:p w:rsidR="00321FA5" w:rsidRDefault="00447AD2" w:rsidP="00321FA5">
      <w:r>
        <w:t xml:space="preserve">There are </w:t>
      </w:r>
      <w:r w:rsidR="00780E9D">
        <w:t xml:space="preserve">a </w:t>
      </w:r>
      <w:r>
        <w:t>range of projections of future scenarios for alternative fuel vehicles in China</w:t>
      </w:r>
      <w:r w:rsidR="00E56702">
        <w:t xml:space="preserve">, as shown </w:t>
      </w:r>
      <w:r w:rsidR="00253472">
        <w:t xml:space="preserve">for light duty vehicles (which make up the majority of all road vehicles) </w:t>
      </w:r>
      <w:r w:rsidR="00E56702">
        <w:t xml:space="preserve">in </w:t>
      </w:r>
      <w:r w:rsidR="00B80DA4">
        <w:t>t</w:t>
      </w:r>
      <w:r w:rsidR="00E56702">
        <w:t xml:space="preserve">able 2 below. </w:t>
      </w:r>
      <w:r w:rsidR="00567B78">
        <w:t xml:space="preserve">These in general show a large penetration of electric and hybrid vehicles in 2050, according to the most aggressive low-carbon scenarios. </w:t>
      </w:r>
      <w:r w:rsidR="005D54B6">
        <w:t xml:space="preserve">However, the studies differ markedly in terms of the share of hydrogen fuel cell vehicles. </w:t>
      </w:r>
      <w:r w:rsidR="00547F72">
        <w:t>Recent</w:t>
      </w:r>
      <w:r w:rsidR="00660112">
        <w:t xml:space="preserve"> studies have assessed the impact of more aggressive penetrations of non-conventional vehicles. For example, Sorrentino et al (2014) explore the impact on China’s private car fleet of an almost 40% penetration of electric vehicles, with the rest plug-in hybrid electric, by 2050 </w:t>
      </w:r>
      <w:r w:rsidR="00660112" w:rsidRPr="00A35086">
        <w:rPr>
          <w:rFonts w:ascii="Calibri" w:hAnsi="Calibri"/>
        </w:rPr>
        <w:t>[17]</w:t>
      </w:r>
      <w:r w:rsidR="00660112">
        <w:t>. Ou et al (2013) assess the implications of a</w:t>
      </w:r>
      <w:r w:rsidR="00547F72">
        <w:t>bout</w:t>
      </w:r>
      <w:r w:rsidR="00660112">
        <w:t xml:space="preserve"> 50% penetration of electric vehicles and 28% penetration of fuel cell vehicles in new </w:t>
      </w:r>
      <w:r w:rsidR="00547F72">
        <w:t xml:space="preserve">passenger </w:t>
      </w:r>
      <w:r w:rsidR="00660112">
        <w:t>vehicle sales by 2050</w:t>
      </w:r>
      <w:r w:rsidR="00547F72">
        <w:t xml:space="preserve"> </w:t>
      </w:r>
      <w:r w:rsidR="00547F72" w:rsidRPr="00A35086">
        <w:rPr>
          <w:rFonts w:ascii="Calibri" w:hAnsi="Calibri"/>
        </w:rPr>
        <w:t>[18]</w:t>
      </w:r>
      <w:r w:rsidR="00660112">
        <w:t xml:space="preserve">.  </w:t>
      </w:r>
      <w:r w:rsidR="001B716A">
        <w:t>As explained in Section 3, the central scenario developed for this study uses a combination of assumptions based on these studies.</w:t>
      </w:r>
      <w:r w:rsidR="00321FA5">
        <w:t xml:space="preserve"> There is still considerable uncertainty around the impact of emerging policies in China’s 13</w:t>
      </w:r>
      <w:r w:rsidR="00321FA5" w:rsidRPr="00034725">
        <w:rPr>
          <w:vertAlign w:val="superscript"/>
        </w:rPr>
        <w:t>th</w:t>
      </w:r>
      <w:r w:rsidR="00321FA5">
        <w:t xml:space="preserve"> and subsequent Five Year Plans. As the impact of long term low-carbon road transport policy goals on different vehicle drivetrain penetration rates becomes clearer, </w:t>
      </w:r>
      <w:r w:rsidR="00321FA5">
        <w:lastRenderedPageBreak/>
        <w:t>the model may be used to investigate the impact of these policies and targets on road transport sector costs, CO</w:t>
      </w:r>
      <w:r w:rsidR="00321FA5" w:rsidRPr="00E40653">
        <w:rPr>
          <w:vertAlign w:val="subscript"/>
        </w:rPr>
        <w:t>2</w:t>
      </w:r>
      <w:r w:rsidR="00321FA5">
        <w:t xml:space="preserve"> emissions and fuel demand.</w:t>
      </w:r>
    </w:p>
    <w:p w:rsidR="00555676" w:rsidRPr="00555676" w:rsidRDefault="00555676" w:rsidP="009F057E">
      <w:pPr>
        <w:rPr>
          <w:b/>
        </w:rPr>
      </w:pPr>
      <w:r w:rsidRPr="00555676">
        <w:rPr>
          <w:b/>
        </w:rPr>
        <w:t xml:space="preserve">Table 2: Example shares of </w:t>
      </w:r>
      <w:r w:rsidR="00EB7227">
        <w:rPr>
          <w:b/>
        </w:rPr>
        <w:t>light duty vehicle</w:t>
      </w:r>
      <w:r w:rsidRPr="00555676">
        <w:rPr>
          <w:b/>
        </w:rPr>
        <w:t xml:space="preserve"> (LDVs) </w:t>
      </w:r>
      <w:r w:rsidR="00EB7227">
        <w:rPr>
          <w:b/>
        </w:rPr>
        <w:t xml:space="preserve">drivetrains </w:t>
      </w:r>
      <w:r w:rsidRPr="00555676">
        <w:rPr>
          <w:b/>
        </w:rPr>
        <w:t>in China in 20</w:t>
      </w:r>
      <w:r w:rsidR="006C4073">
        <w:rPr>
          <w:b/>
        </w:rPr>
        <w:t>5</w:t>
      </w:r>
      <w:r w:rsidRPr="00555676">
        <w:rPr>
          <w:b/>
        </w:rPr>
        <w:t>0</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417"/>
        <w:gridCol w:w="1276"/>
        <w:gridCol w:w="1417"/>
        <w:gridCol w:w="1356"/>
        <w:gridCol w:w="1338"/>
      </w:tblGrid>
      <w:tr w:rsidR="00E56702" w:rsidRPr="00115120" w:rsidTr="00115120">
        <w:tc>
          <w:tcPr>
            <w:tcW w:w="2127" w:type="dxa"/>
          </w:tcPr>
          <w:p w:rsidR="00E56702" w:rsidRPr="00115120" w:rsidRDefault="00253472" w:rsidP="00253472">
            <w:pPr>
              <w:rPr>
                <w:rFonts w:cstheme="minorHAnsi"/>
                <w:b/>
                <w:sz w:val="19"/>
                <w:szCs w:val="19"/>
              </w:rPr>
            </w:pPr>
            <w:r w:rsidRPr="00115120">
              <w:rPr>
                <w:rFonts w:cstheme="minorHAnsi"/>
                <w:b/>
                <w:sz w:val="19"/>
                <w:szCs w:val="19"/>
              </w:rPr>
              <w:t>Share of LDV sales in 2050 (%)</w:t>
            </w:r>
          </w:p>
        </w:tc>
        <w:tc>
          <w:tcPr>
            <w:tcW w:w="1417" w:type="dxa"/>
          </w:tcPr>
          <w:p w:rsidR="00E56702" w:rsidRPr="00115120" w:rsidRDefault="00E56702" w:rsidP="002D5865">
            <w:pPr>
              <w:rPr>
                <w:rFonts w:cstheme="minorHAnsi"/>
                <w:b/>
                <w:sz w:val="19"/>
                <w:szCs w:val="19"/>
              </w:rPr>
            </w:pPr>
            <w:r w:rsidRPr="00115120">
              <w:rPr>
                <w:rFonts w:cstheme="minorHAnsi"/>
                <w:b/>
                <w:sz w:val="19"/>
                <w:szCs w:val="19"/>
              </w:rPr>
              <w:t>Fuel Cell</w:t>
            </w:r>
          </w:p>
        </w:tc>
        <w:tc>
          <w:tcPr>
            <w:tcW w:w="1276" w:type="dxa"/>
          </w:tcPr>
          <w:p w:rsidR="00E56702" w:rsidRPr="00115120" w:rsidRDefault="00E56702" w:rsidP="002D5865">
            <w:pPr>
              <w:rPr>
                <w:rFonts w:cstheme="minorHAnsi"/>
                <w:b/>
                <w:sz w:val="19"/>
                <w:szCs w:val="19"/>
              </w:rPr>
            </w:pPr>
            <w:r w:rsidRPr="00115120">
              <w:rPr>
                <w:rFonts w:cstheme="minorHAnsi"/>
                <w:b/>
                <w:sz w:val="19"/>
                <w:szCs w:val="19"/>
              </w:rPr>
              <w:t>Electric</w:t>
            </w:r>
          </w:p>
        </w:tc>
        <w:tc>
          <w:tcPr>
            <w:tcW w:w="1417" w:type="dxa"/>
          </w:tcPr>
          <w:p w:rsidR="00E56702" w:rsidRPr="00115120" w:rsidRDefault="00E56702" w:rsidP="002D5865">
            <w:pPr>
              <w:rPr>
                <w:rFonts w:cstheme="minorHAnsi"/>
                <w:b/>
                <w:sz w:val="19"/>
                <w:szCs w:val="19"/>
              </w:rPr>
            </w:pPr>
            <w:r w:rsidRPr="00115120">
              <w:rPr>
                <w:rFonts w:cstheme="minorHAnsi"/>
                <w:b/>
                <w:sz w:val="19"/>
                <w:szCs w:val="19"/>
              </w:rPr>
              <w:t>Hybrid</w:t>
            </w:r>
          </w:p>
        </w:tc>
        <w:tc>
          <w:tcPr>
            <w:tcW w:w="1356" w:type="dxa"/>
          </w:tcPr>
          <w:p w:rsidR="00E56702" w:rsidRPr="00115120" w:rsidRDefault="00E56702" w:rsidP="002D5865">
            <w:pPr>
              <w:rPr>
                <w:rFonts w:cstheme="minorHAnsi"/>
                <w:b/>
                <w:sz w:val="19"/>
                <w:szCs w:val="19"/>
              </w:rPr>
            </w:pPr>
            <w:r w:rsidRPr="00115120">
              <w:rPr>
                <w:rFonts w:cstheme="minorHAnsi"/>
                <w:b/>
                <w:sz w:val="19"/>
                <w:szCs w:val="19"/>
              </w:rPr>
              <w:t>Gasoline / diesel</w:t>
            </w:r>
          </w:p>
        </w:tc>
        <w:tc>
          <w:tcPr>
            <w:tcW w:w="1338" w:type="dxa"/>
          </w:tcPr>
          <w:p w:rsidR="00E56702" w:rsidRPr="00115120" w:rsidRDefault="00E56702" w:rsidP="002D5865">
            <w:pPr>
              <w:rPr>
                <w:rFonts w:cstheme="minorHAnsi"/>
                <w:b/>
                <w:sz w:val="19"/>
                <w:szCs w:val="19"/>
              </w:rPr>
            </w:pPr>
            <w:r w:rsidRPr="00115120">
              <w:rPr>
                <w:rFonts w:cstheme="minorHAnsi"/>
                <w:b/>
                <w:sz w:val="19"/>
                <w:szCs w:val="19"/>
              </w:rPr>
              <w:t>Natural Gas</w:t>
            </w:r>
          </w:p>
        </w:tc>
      </w:tr>
      <w:tr w:rsidR="00475143" w:rsidRPr="00115120" w:rsidTr="00115120">
        <w:tc>
          <w:tcPr>
            <w:tcW w:w="2127" w:type="dxa"/>
          </w:tcPr>
          <w:p w:rsidR="00475143" w:rsidRPr="00115120" w:rsidRDefault="00475143" w:rsidP="002D5865">
            <w:pPr>
              <w:rPr>
                <w:rFonts w:cstheme="minorHAnsi"/>
                <w:sz w:val="19"/>
                <w:szCs w:val="19"/>
              </w:rPr>
            </w:pPr>
            <w:r w:rsidRPr="00115120">
              <w:rPr>
                <w:rFonts w:cstheme="minorHAnsi"/>
                <w:sz w:val="19"/>
                <w:szCs w:val="19"/>
              </w:rPr>
              <w:t xml:space="preserve">ERI (2009) </w:t>
            </w:r>
            <w:r w:rsidR="00547F72" w:rsidRPr="00A35086">
              <w:rPr>
                <w:rFonts w:ascii="Calibri" w:hAnsi="Calibri"/>
              </w:rPr>
              <w:t>[19]</w:t>
            </w:r>
          </w:p>
        </w:tc>
        <w:tc>
          <w:tcPr>
            <w:tcW w:w="1417" w:type="dxa"/>
          </w:tcPr>
          <w:p w:rsidR="00475143" w:rsidRPr="00115120" w:rsidRDefault="00475143" w:rsidP="002D5865">
            <w:pPr>
              <w:rPr>
                <w:rFonts w:cstheme="minorHAnsi"/>
                <w:sz w:val="19"/>
                <w:szCs w:val="19"/>
              </w:rPr>
            </w:pPr>
            <w:r w:rsidRPr="00115120">
              <w:rPr>
                <w:rFonts w:cstheme="minorHAnsi"/>
                <w:sz w:val="19"/>
                <w:szCs w:val="19"/>
              </w:rPr>
              <w:t>20-40</w:t>
            </w:r>
          </w:p>
        </w:tc>
        <w:tc>
          <w:tcPr>
            <w:tcW w:w="1276" w:type="dxa"/>
          </w:tcPr>
          <w:p w:rsidR="00475143" w:rsidRPr="00115120" w:rsidRDefault="00475143" w:rsidP="002D5865">
            <w:pPr>
              <w:rPr>
                <w:rFonts w:cstheme="minorHAnsi"/>
                <w:sz w:val="19"/>
                <w:szCs w:val="19"/>
              </w:rPr>
            </w:pPr>
            <w:r w:rsidRPr="00115120">
              <w:rPr>
                <w:rFonts w:cstheme="minorHAnsi"/>
                <w:sz w:val="19"/>
                <w:szCs w:val="19"/>
              </w:rPr>
              <w:t>40-60</w:t>
            </w:r>
          </w:p>
        </w:tc>
        <w:tc>
          <w:tcPr>
            <w:tcW w:w="1417" w:type="dxa"/>
          </w:tcPr>
          <w:p w:rsidR="00475143" w:rsidRPr="00115120" w:rsidRDefault="00475143" w:rsidP="002D5865">
            <w:pPr>
              <w:rPr>
                <w:rFonts w:cstheme="minorHAnsi"/>
                <w:sz w:val="19"/>
                <w:szCs w:val="19"/>
              </w:rPr>
            </w:pPr>
            <w:r w:rsidRPr="00115120">
              <w:rPr>
                <w:rFonts w:cstheme="minorHAnsi"/>
                <w:sz w:val="19"/>
                <w:szCs w:val="19"/>
              </w:rPr>
              <w:t>30</w:t>
            </w:r>
          </w:p>
        </w:tc>
        <w:tc>
          <w:tcPr>
            <w:tcW w:w="1356" w:type="dxa"/>
          </w:tcPr>
          <w:p w:rsidR="00475143" w:rsidRPr="00115120" w:rsidRDefault="00475143" w:rsidP="002D5865">
            <w:pPr>
              <w:rPr>
                <w:rFonts w:cstheme="minorHAnsi"/>
                <w:sz w:val="19"/>
                <w:szCs w:val="19"/>
              </w:rPr>
            </w:pPr>
            <w:r w:rsidRPr="00115120">
              <w:rPr>
                <w:rFonts w:cstheme="minorHAnsi"/>
                <w:sz w:val="19"/>
                <w:szCs w:val="19"/>
              </w:rPr>
              <w:t>0</w:t>
            </w:r>
          </w:p>
        </w:tc>
        <w:tc>
          <w:tcPr>
            <w:tcW w:w="1338" w:type="dxa"/>
          </w:tcPr>
          <w:p w:rsidR="00475143" w:rsidRPr="00115120" w:rsidRDefault="00475143" w:rsidP="002D5865">
            <w:pPr>
              <w:rPr>
                <w:rFonts w:cstheme="minorHAnsi"/>
                <w:sz w:val="19"/>
                <w:szCs w:val="19"/>
              </w:rPr>
            </w:pPr>
            <w:r w:rsidRPr="00115120">
              <w:rPr>
                <w:rFonts w:cstheme="minorHAnsi"/>
                <w:sz w:val="19"/>
                <w:szCs w:val="19"/>
              </w:rPr>
              <w:t>0</w:t>
            </w:r>
          </w:p>
        </w:tc>
      </w:tr>
      <w:tr w:rsidR="008E2FD9" w:rsidRPr="00115120" w:rsidTr="00115120">
        <w:tc>
          <w:tcPr>
            <w:tcW w:w="2127" w:type="dxa"/>
          </w:tcPr>
          <w:p w:rsidR="008E2FD9" w:rsidRPr="00115120" w:rsidRDefault="008E2FD9" w:rsidP="002D5865">
            <w:pPr>
              <w:rPr>
                <w:rFonts w:cstheme="minorHAnsi"/>
                <w:sz w:val="19"/>
                <w:szCs w:val="19"/>
              </w:rPr>
            </w:pPr>
            <w:r w:rsidRPr="00115120">
              <w:rPr>
                <w:rFonts w:cstheme="minorHAnsi"/>
                <w:sz w:val="19"/>
                <w:szCs w:val="19"/>
              </w:rPr>
              <w:t>Ou et al (2010) [5]</w:t>
            </w:r>
          </w:p>
        </w:tc>
        <w:tc>
          <w:tcPr>
            <w:tcW w:w="1417" w:type="dxa"/>
          </w:tcPr>
          <w:p w:rsidR="008E2FD9" w:rsidRPr="00115120" w:rsidRDefault="008E2FD9" w:rsidP="002D5865">
            <w:pPr>
              <w:rPr>
                <w:rFonts w:cstheme="minorHAnsi"/>
                <w:sz w:val="19"/>
                <w:szCs w:val="19"/>
              </w:rPr>
            </w:pPr>
            <w:r w:rsidRPr="00115120">
              <w:rPr>
                <w:rFonts w:cstheme="minorHAnsi"/>
                <w:sz w:val="19"/>
                <w:szCs w:val="19"/>
              </w:rPr>
              <w:t>0</w:t>
            </w:r>
          </w:p>
        </w:tc>
        <w:tc>
          <w:tcPr>
            <w:tcW w:w="1276" w:type="dxa"/>
          </w:tcPr>
          <w:p w:rsidR="008E2FD9" w:rsidRPr="00115120" w:rsidRDefault="008E2FD9" w:rsidP="002D5865">
            <w:pPr>
              <w:rPr>
                <w:rFonts w:cstheme="minorHAnsi"/>
                <w:sz w:val="19"/>
                <w:szCs w:val="19"/>
              </w:rPr>
            </w:pPr>
            <w:r w:rsidRPr="00115120">
              <w:rPr>
                <w:rFonts w:cstheme="minorHAnsi"/>
                <w:sz w:val="19"/>
                <w:szCs w:val="19"/>
              </w:rPr>
              <w:t>40</w:t>
            </w:r>
          </w:p>
        </w:tc>
        <w:tc>
          <w:tcPr>
            <w:tcW w:w="1417" w:type="dxa"/>
          </w:tcPr>
          <w:p w:rsidR="008E2FD9" w:rsidRPr="00115120" w:rsidRDefault="008E2FD9" w:rsidP="002D5865">
            <w:pPr>
              <w:rPr>
                <w:rFonts w:cstheme="minorHAnsi"/>
                <w:sz w:val="19"/>
                <w:szCs w:val="19"/>
              </w:rPr>
            </w:pPr>
            <w:r w:rsidRPr="00115120">
              <w:rPr>
                <w:rFonts w:cstheme="minorHAnsi"/>
                <w:sz w:val="19"/>
                <w:szCs w:val="19"/>
              </w:rPr>
              <w:t>60</w:t>
            </w:r>
          </w:p>
        </w:tc>
        <w:tc>
          <w:tcPr>
            <w:tcW w:w="1356" w:type="dxa"/>
          </w:tcPr>
          <w:p w:rsidR="008E2FD9" w:rsidRPr="00115120" w:rsidRDefault="008E2FD9" w:rsidP="002D5865">
            <w:pPr>
              <w:rPr>
                <w:rFonts w:cstheme="minorHAnsi"/>
                <w:sz w:val="19"/>
                <w:szCs w:val="19"/>
              </w:rPr>
            </w:pPr>
            <w:r w:rsidRPr="00115120">
              <w:rPr>
                <w:rFonts w:cstheme="minorHAnsi"/>
                <w:sz w:val="19"/>
                <w:szCs w:val="19"/>
              </w:rPr>
              <w:t>0</w:t>
            </w:r>
          </w:p>
        </w:tc>
        <w:tc>
          <w:tcPr>
            <w:tcW w:w="1338" w:type="dxa"/>
          </w:tcPr>
          <w:p w:rsidR="008E2FD9" w:rsidRPr="00115120" w:rsidRDefault="008E2FD9" w:rsidP="002D5865">
            <w:pPr>
              <w:rPr>
                <w:rFonts w:cstheme="minorHAnsi"/>
                <w:sz w:val="19"/>
                <w:szCs w:val="19"/>
              </w:rPr>
            </w:pPr>
            <w:r w:rsidRPr="00115120">
              <w:rPr>
                <w:rFonts w:cstheme="minorHAnsi"/>
                <w:sz w:val="19"/>
                <w:szCs w:val="19"/>
              </w:rPr>
              <w:t>0</w:t>
            </w:r>
          </w:p>
        </w:tc>
      </w:tr>
      <w:tr w:rsidR="00475143" w:rsidRPr="00115120" w:rsidTr="00115120">
        <w:tc>
          <w:tcPr>
            <w:tcW w:w="2127" w:type="dxa"/>
          </w:tcPr>
          <w:p w:rsidR="00475143" w:rsidRPr="00115120" w:rsidRDefault="00475143" w:rsidP="00253472">
            <w:pPr>
              <w:rPr>
                <w:rFonts w:cstheme="minorHAnsi"/>
                <w:sz w:val="19"/>
                <w:szCs w:val="19"/>
              </w:rPr>
            </w:pPr>
            <w:r w:rsidRPr="00115120">
              <w:rPr>
                <w:rFonts w:cstheme="minorHAnsi"/>
                <w:sz w:val="19"/>
                <w:szCs w:val="19"/>
              </w:rPr>
              <w:t xml:space="preserve">IEA (2012) </w:t>
            </w:r>
            <w:r w:rsidR="00547F72" w:rsidRPr="00A35086">
              <w:rPr>
                <w:rFonts w:ascii="Calibri" w:hAnsi="Calibri"/>
              </w:rPr>
              <w:t>[20]</w:t>
            </w:r>
          </w:p>
        </w:tc>
        <w:tc>
          <w:tcPr>
            <w:tcW w:w="1417" w:type="dxa"/>
          </w:tcPr>
          <w:p w:rsidR="00475143" w:rsidRPr="00115120" w:rsidRDefault="00475143" w:rsidP="00253472">
            <w:pPr>
              <w:rPr>
                <w:rFonts w:cstheme="minorHAnsi"/>
                <w:sz w:val="19"/>
                <w:szCs w:val="19"/>
              </w:rPr>
            </w:pPr>
            <w:r w:rsidRPr="00115120">
              <w:rPr>
                <w:rFonts w:cstheme="minorHAnsi"/>
                <w:sz w:val="19"/>
                <w:szCs w:val="19"/>
              </w:rPr>
              <w:t>15</w:t>
            </w:r>
          </w:p>
        </w:tc>
        <w:tc>
          <w:tcPr>
            <w:tcW w:w="1276" w:type="dxa"/>
          </w:tcPr>
          <w:p w:rsidR="00475143" w:rsidRPr="00115120" w:rsidRDefault="00475143" w:rsidP="009F057E">
            <w:pPr>
              <w:rPr>
                <w:rFonts w:cstheme="minorHAnsi"/>
                <w:sz w:val="19"/>
                <w:szCs w:val="19"/>
              </w:rPr>
            </w:pPr>
            <w:r w:rsidRPr="00115120">
              <w:rPr>
                <w:rFonts w:cstheme="minorHAnsi"/>
                <w:sz w:val="19"/>
                <w:szCs w:val="19"/>
              </w:rPr>
              <w:t>30</w:t>
            </w:r>
          </w:p>
        </w:tc>
        <w:tc>
          <w:tcPr>
            <w:tcW w:w="1417" w:type="dxa"/>
          </w:tcPr>
          <w:p w:rsidR="00475143" w:rsidRPr="00115120" w:rsidRDefault="00475143" w:rsidP="009F057E">
            <w:pPr>
              <w:rPr>
                <w:rFonts w:cstheme="minorHAnsi"/>
                <w:sz w:val="19"/>
                <w:szCs w:val="19"/>
              </w:rPr>
            </w:pPr>
            <w:r w:rsidRPr="00115120">
              <w:rPr>
                <w:rFonts w:cstheme="minorHAnsi"/>
                <w:sz w:val="19"/>
                <w:szCs w:val="19"/>
              </w:rPr>
              <w:t>50</w:t>
            </w:r>
          </w:p>
        </w:tc>
        <w:tc>
          <w:tcPr>
            <w:tcW w:w="1356" w:type="dxa"/>
          </w:tcPr>
          <w:p w:rsidR="00475143" w:rsidRPr="00115120" w:rsidRDefault="00475143" w:rsidP="009F057E">
            <w:pPr>
              <w:rPr>
                <w:rFonts w:cstheme="minorHAnsi"/>
                <w:sz w:val="19"/>
                <w:szCs w:val="19"/>
              </w:rPr>
            </w:pPr>
            <w:r w:rsidRPr="00115120">
              <w:rPr>
                <w:rFonts w:cstheme="minorHAnsi"/>
                <w:sz w:val="19"/>
                <w:szCs w:val="19"/>
              </w:rPr>
              <w:t>&lt;5</w:t>
            </w:r>
          </w:p>
        </w:tc>
        <w:tc>
          <w:tcPr>
            <w:tcW w:w="1338" w:type="dxa"/>
          </w:tcPr>
          <w:p w:rsidR="00475143" w:rsidRPr="00115120" w:rsidRDefault="00475143" w:rsidP="009F057E">
            <w:pPr>
              <w:rPr>
                <w:rFonts w:cstheme="minorHAnsi"/>
                <w:sz w:val="19"/>
                <w:szCs w:val="19"/>
              </w:rPr>
            </w:pPr>
            <w:r w:rsidRPr="00115120">
              <w:rPr>
                <w:rFonts w:cstheme="minorHAnsi"/>
                <w:sz w:val="19"/>
                <w:szCs w:val="19"/>
              </w:rPr>
              <w:t>&lt;5</w:t>
            </w:r>
          </w:p>
        </w:tc>
      </w:tr>
      <w:tr w:rsidR="008E2FD9" w:rsidRPr="00115120" w:rsidTr="00115120">
        <w:tc>
          <w:tcPr>
            <w:tcW w:w="2127" w:type="dxa"/>
          </w:tcPr>
          <w:p w:rsidR="008E2FD9" w:rsidRPr="00115120" w:rsidRDefault="008E2FD9" w:rsidP="002D5865">
            <w:pPr>
              <w:rPr>
                <w:rFonts w:cstheme="minorHAnsi"/>
                <w:sz w:val="19"/>
                <w:szCs w:val="19"/>
              </w:rPr>
            </w:pPr>
            <w:r w:rsidRPr="00115120">
              <w:rPr>
                <w:rFonts w:cstheme="minorHAnsi"/>
                <w:sz w:val="19"/>
                <w:szCs w:val="19"/>
              </w:rPr>
              <w:t>Huo et al (2012)</w:t>
            </w:r>
            <w:r w:rsidRPr="00115120">
              <w:rPr>
                <w:rFonts w:cstheme="minorHAnsi"/>
                <w:b/>
                <w:sz w:val="19"/>
                <w:szCs w:val="19"/>
                <w:vertAlign w:val="superscript"/>
              </w:rPr>
              <w:t xml:space="preserve">a </w:t>
            </w:r>
            <w:r w:rsidRPr="00115120">
              <w:rPr>
                <w:rFonts w:cstheme="minorHAnsi"/>
                <w:sz w:val="19"/>
                <w:szCs w:val="19"/>
              </w:rPr>
              <w:t>[9]</w:t>
            </w:r>
          </w:p>
        </w:tc>
        <w:tc>
          <w:tcPr>
            <w:tcW w:w="1417" w:type="dxa"/>
          </w:tcPr>
          <w:p w:rsidR="008E2FD9" w:rsidRPr="00115120" w:rsidRDefault="008E2FD9" w:rsidP="002D5865">
            <w:pPr>
              <w:rPr>
                <w:rFonts w:cstheme="minorHAnsi"/>
                <w:sz w:val="19"/>
                <w:szCs w:val="19"/>
              </w:rPr>
            </w:pPr>
            <w:r w:rsidRPr="00115120">
              <w:rPr>
                <w:rFonts w:cstheme="minorHAnsi"/>
                <w:sz w:val="19"/>
                <w:szCs w:val="19"/>
              </w:rPr>
              <w:t>0</w:t>
            </w:r>
          </w:p>
        </w:tc>
        <w:tc>
          <w:tcPr>
            <w:tcW w:w="1276" w:type="dxa"/>
          </w:tcPr>
          <w:p w:rsidR="008E2FD9" w:rsidRPr="00115120" w:rsidRDefault="008E2FD9" w:rsidP="002D5865">
            <w:pPr>
              <w:rPr>
                <w:rFonts w:cstheme="minorHAnsi"/>
                <w:sz w:val="19"/>
                <w:szCs w:val="19"/>
              </w:rPr>
            </w:pPr>
            <w:r w:rsidRPr="00115120">
              <w:rPr>
                <w:rFonts w:cstheme="minorHAnsi"/>
                <w:sz w:val="19"/>
                <w:szCs w:val="19"/>
              </w:rPr>
              <w:t>52</w:t>
            </w:r>
          </w:p>
        </w:tc>
        <w:tc>
          <w:tcPr>
            <w:tcW w:w="2773" w:type="dxa"/>
            <w:gridSpan w:val="2"/>
          </w:tcPr>
          <w:p w:rsidR="008E2FD9" w:rsidRPr="00115120" w:rsidRDefault="008E2FD9" w:rsidP="008E2FD9">
            <w:pPr>
              <w:jc w:val="center"/>
              <w:rPr>
                <w:rFonts w:cstheme="minorHAnsi"/>
                <w:sz w:val="19"/>
                <w:szCs w:val="19"/>
              </w:rPr>
            </w:pPr>
            <w:r w:rsidRPr="00115120">
              <w:rPr>
                <w:rFonts w:cstheme="minorHAnsi"/>
                <w:sz w:val="19"/>
                <w:szCs w:val="19"/>
              </w:rPr>
              <w:t>48</w:t>
            </w:r>
          </w:p>
        </w:tc>
        <w:tc>
          <w:tcPr>
            <w:tcW w:w="1338" w:type="dxa"/>
          </w:tcPr>
          <w:p w:rsidR="008E2FD9" w:rsidRPr="00115120" w:rsidRDefault="008E2FD9" w:rsidP="009F057E">
            <w:pPr>
              <w:rPr>
                <w:rFonts w:cstheme="minorHAnsi"/>
                <w:sz w:val="19"/>
                <w:szCs w:val="19"/>
              </w:rPr>
            </w:pPr>
            <w:r w:rsidRPr="00115120">
              <w:rPr>
                <w:rFonts w:cstheme="minorHAnsi"/>
                <w:sz w:val="19"/>
                <w:szCs w:val="19"/>
              </w:rPr>
              <w:t>0</w:t>
            </w:r>
          </w:p>
        </w:tc>
      </w:tr>
      <w:tr w:rsidR="00475143" w:rsidRPr="00115120" w:rsidTr="00115120">
        <w:tc>
          <w:tcPr>
            <w:tcW w:w="2127" w:type="dxa"/>
          </w:tcPr>
          <w:p w:rsidR="00475143" w:rsidRPr="00115120" w:rsidRDefault="00475143" w:rsidP="00555676">
            <w:pPr>
              <w:rPr>
                <w:rFonts w:cstheme="minorHAnsi"/>
                <w:sz w:val="19"/>
                <w:szCs w:val="19"/>
              </w:rPr>
            </w:pPr>
            <w:r w:rsidRPr="00115120">
              <w:rPr>
                <w:rFonts w:cstheme="minorHAnsi"/>
                <w:sz w:val="19"/>
                <w:szCs w:val="19"/>
              </w:rPr>
              <w:t>ERI (2012)</w:t>
            </w:r>
            <w:r w:rsidRPr="00115120">
              <w:rPr>
                <w:rFonts w:cstheme="minorHAnsi"/>
                <w:b/>
                <w:sz w:val="19"/>
                <w:szCs w:val="19"/>
                <w:vertAlign w:val="superscript"/>
              </w:rPr>
              <w:t xml:space="preserve">b </w:t>
            </w:r>
            <w:r w:rsidR="00547F72" w:rsidRPr="00A35086">
              <w:rPr>
                <w:rFonts w:ascii="Calibri" w:hAnsi="Calibri"/>
              </w:rPr>
              <w:t>[21]</w:t>
            </w:r>
          </w:p>
        </w:tc>
        <w:tc>
          <w:tcPr>
            <w:tcW w:w="1417" w:type="dxa"/>
          </w:tcPr>
          <w:p w:rsidR="00475143" w:rsidRPr="00115120" w:rsidRDefault="00475143" w:rsidP="009F057E">
            <w:pPr>
              <w:rPr>
                <w:rFonts w:cstheme="minorHAnsi"/>
                <w:sz w:val="19"/>
                <w:szCs w:val="19"/>
              </w:rPr>
            </w:pPr>
            <w:r w:rsidRPr="00115120">
              <w:rPr>
                <w:rFonts w:cstheme="minorHAnsi"/>
                <w:sz w:val="19"/>
                <w:szCs w:val="19"/>
              </w:rPr>
              <w:t>15</w:t>
            </w:r>
          </w:p>
        </w:tc>
        <w:tc>
          <w:tcPr>
            <w:tcW w:w="1276" w:type="dxa"/>
          </w:tcPr>
          <w:p w:rsidR="00475143" w:rsidRPr="00115120" w:rsidRDefault="00475143" w:rsidP="009F057E">
            <w:pPr>
              <w:rPr>
                <w:rFonts w:cstheme="minorHAnsi"/>
                <w:sz w:val="19"/>
                <w:szCs w:val="19"/>
              </w:rPr>
            </w:pPr>
            <w:r w:rsidRPr="00115120">
              <w:rPr>
                <w:rFonts w:cstheme="minorHAnsi"/>
                <w:sz w:val="19"/>
                <w:szCs w:val="19"/>
              </w:rPr>
              <w:t>25</w:t>
            </w:r>
          </w:p>
        </w:tc>
        <w:tc>
          <w:tcPr>
            <w:tcW w:w="1417" w:type="dxa"/>
          </w:tcPr>
          <w:p w:rsidR="00475143" w:rsidRPr="00115120" w:rsidRDefault="00475143" w:rsidP="009F057E">
            <w:pPr>
              <w:rPr>
                <w:rFonts w:cstheme="minorHAnsi"/>
                <w:sz w:val="19"/>
                <w:szCs w:val="19"/>
              </w:rPr>
            </w:pPr>
            <w:r w:rsidRPr="00115120">
              <w:rPr>
                <w:rFonts w:cstheme="minorHAnsi"/>
                <w:sz w:val="19"/>
                <w:szCs w:val="19"/>
              </w:rPr>
              <w:t>35</w:t>
            </w:r>
          </w:p>
        </w:tc>
        <w:tc>
          <w:tcPr>
            <w:tcW w:w="1356" w:type="dxa"/>
          </w:tcPr>
          <w:p w:rsidR="00475143" w:rsidRPr="00115120" w:rsidRDefault="00475143" w:rsidP="009F057E">
            <w:pPr>
              <w:rPr>
                <w:rFonts w:cstheme="minorHAnsi"/>
                <w:sz w:val="19"/>
                <w:szCs w:val="19"/>
              </w:rPr>
            </w:pPr>
            <w:r w:rsidRPr="00115120">
              <w:rPr>
                <w:rFonts w:cstheme="minorHAnsi"/>
                <w:sz w:val="19"/>
                <w:szCs w:val="19"/>
              </w:rPr>
              <w:t>0</w:t>
            </w:r>
          </w:p>
        </w:tc>
        <w:tc>
          <w:tcPr>
            <w:tcW w:w="1338" w:type="dxa"/>
          </w:tcPr>
          <w:p w:rsidR="00475143" w:rsidRPr="00115120" w:rsidRDefault="00475143" w:rsidP="009F057E">
            <w:pPr>
              <w:rPr>
                <w:rFonts w:cstheme="minorHAnsi"/>
                <w:sz w:val="19"/>
                <w:szCs w:val="19"/>
              </w:rPr>
            </w:pPr>
            <w:r w:rsidRPr="00115120">
              <w:rPr>
                <w:rFonts w:cstheme="minorHAnsi"/>
                <w:sz w:val="19"/>
                <w:szCs w:val="19"/>
              </w:rPr>
              <w:t>25</w:t>
            </w:r>
          </w:p>
        </w:tc>
      </w:tr>
      <w:tr w:rsidR="00475143" w:rsidRPr="00115120" w:rsidTr="00115120">
        <w:tc>
          <w:tcPr>
            <w:tcW w:w="2127" w:type="dxa"/>
          </w:tcPr>
          <w:p w:rsidR="00475143" w:rsidRPr="00115120" w:rsidRDefault="00475143" w:rsidP="00475143">
            <w:pPr>
              <w:rPr>
                <w:rFonts w:cstheme="minorHAnsi"/>
                <w:sz w:val="19"/>
                <w:szCs w:val="19"/>
              </w:rPr>
            </w:pPr>
            <w:r w:rsidRPr="00115120">
              <w:rPr>
                <w:rFonts w:cstheme="minorHAnsi"/>
                <w:sz w:val="19"/>
                <w:szCs w:val="19"/>
              </w:rPr>
              <w:t>LBNL (2012)</w:t>
            </w:r>
            <w:r w:rsidR="008E2FD9" w:rsidRPr="00115120">
              <w:rPr>
                <w:rFonts w:cstheme="minorHAnsi"/>
                <w:b/>
                <w:sz w:val="19"/>
                <w:szCs w:val="19"/>
                <w:vertAlign w:val="superscript"/>
              </w:rPr>
              <w:t>b</w:t>
            </w:r>
            <w:r w:rsidRPr="00115120">
              <w:rPr>
                <w:rFonts w:cstheme="minorHAnsi"/>
                <w:sz w:val="19"/>
                <w:szCs w:val="19"/>
              </w:rPr>
              <w:t xml:space="preserve"> </w:t>
            </w:r>
            <w:r w:rsidR="00547F72" w:rsidRPr="00A35086">
              <w:rPr>
                <w:rFonts w:ascii="Calibri" w:hAnsi="Calibri"/>
              </w:rPr>
              <w:t>[22]</w:t>
            </w:r>
          </w:p>
        </w:tc>
        <w:tc>
          <w:tcPr>
            <w:tcW w:w="1417" w:type="dxa"/>
          </w:tcPr>
          <w:p w:rsidR="00475143" w:rsidRPr="00115120" w:rsidRDefault="00475143" w:rsidP="002D5865">
            <w:pPr>
              <w:rPr>
                <w:rFonts w:cstheme="minorHAnsi"/>
                <w:sz w:val="19"/>
                <w:szCs w:val="19"/>
              </w:rPr>
            </w:pPr>
            <w:r w:rsidRPr="00115120">
              <w:rPr>
                <w:rFonts w:cstheme="minorHAnsi"/>
                <w:sz w:val="19"/>
                <w:szCs w:val="19"/>
              </w:rPr>
              <w:t>0</w:t>
            </w:r>
          </w:p>
        </w:tc>
        <w:tc>
          <w:tcPr>
            <w:tcW w:w="1276" w:type="dxa"/>
          </w:tcPr>
          <w:p w:rsidR="00475143" w:rsidRPr="00115120" w:rsidRDefault="00475143" w:rsidP="002D5865">
            <w:pPr>
              <w:rPr>
                <w:rFonts w:cstheme="minorHAnsi"/>
                <w:sz w:val="19"/>
                <w:szCs w:val="19"/>
              </w:rPr>
            </w:pPr>
            <w:r w:rsidRPr="00115120">
              <w:rPr>
                <w:rFonts w:cstheme="minorHAnsi"/>
                <w:sz w:val="19"/>
                <w:szCs w:val="19"/>
              </w:rPr>
              <w:t>70</w:t>
            </w:r>
          </w:p>
        </w:tc>
        <w:tc>
          <w:tcPr>
            <w:tcW w:w="1417" w:type="dxa"/>
          </w:tcPr>
          <w:p w:rsidR="00475143" w:rsidRPr="00115120" w:rsidRDefault="00475143" w:rsidP="00475143">
            <w:pPr>
              <w:rPr>
                <w:rFonts w:cstheme="minorHAnsi"/>
                <w:sz w:val="19"/>
                <w:szCs w:val="19"/>
              </w:rPr>
            </w:pPr>
            <w:r w:rsidRPr="00115120">
              <w:rPr>
                <w:rFonts w:cstheme="minorHAnsi"/>
                <w:sz w:val="19"/>
                <w:szCs w:val="19"/>
              </w:rPr>
              <w:t>25</w:t>
            </w:r>
          </w:p>
        </w:tc>
        <w:tc>
          <w:tcPr>
            <w:tcW w:w="1356" w:type="dxa"/>
          </w:tcPr>
          <w:p w:rsidR="00475143" w:rsidRPr="00115120" w:rsidRDefault="00475143" w:rsidP="00475143">
            <w:pPr>
              <w:rPr>
                <w:rFonts w:cstheme="minorHAnsi"/>
                <w:sz w:val="19"/>
                <w:szCs w:val="19"/>
              </w:rPr>
            </w:pPr>
            <w:r w:rsidRPr="00115120">
              <w:rPr>
                <w:rFonts w:cstheme="minorHAnsi"/>
                <w:sz w:val="19"/>
                <w:szCs w:val="19"/>
              </w:rPr>
              <w:t>5</w:t>
            </w:r>
          </w:p>
        </w:tc>
        <w:tc>
          <w:tcPr>
            <w:tcW w:w="1338" w:type="dxa"/>
          </w:tcPr>
          <w:p w:rsidR="00475143" w:rsidRPr="00115120" w:rsidRDefault="00475143" w:rsidP="002D5865">
            <w:pPr>
              <w:rPr>
                <w:rFonts w:cstheme="minorHAnsi"/>
                <w:sz w:val="19"/>
                <w:szCs w:val="19"/>
              </w:rPr>
            </w:pPr>
            <w:r w:rsidRPr="00115120">
              <w:rPr>
                <w:rFonts w:cstheme="minorHAnsi"/>
                <w:sz w:val="19"/>
                <w:szCs w:val="19"/>
              </w:rPr>
              <w:t>0</w:t>
            </w:r>
          </w:p>
        </w:tc>
      </w:tr>
    </w:tbl>
    <w:p w:rsidR="00B94CD2" w:rsidRPr="009F5415" w:rsidRDefault="009F5415" w:rsidP="009F057E">
      <w:pPr>
        <w:rPr>
          <w:i/>
          <w:sz w:val="18"/>
          <w:szCs w:val="18"/>
        </w:rPr>
      </w:pPr>
      <w:r>
        <w:rPr>
          <w:i/>
          <w:sz w:val="18"/>
          <w:szCs w:val="18"/>
        </w:rPr>
        <w:t xml:space="preserve">Notes: </w:t>
      </w:r>
      <w:r w:rsidR="00B94CD2" w:rsidRPr="009F5415">
        <w:rPr>
          <w:i/>
          <w:sz w:val="18"/>
          <w:szCs w:val="18"/>
          <w:vertAlign w:val="superscript"/>
        </w:rPr>
        <w:t xml:space="preserve">a </w:t>
      </w:r>
      <w:r w:rsidR="00B94CD2" w:rsidRPr="009F5415">
        <w:rPr>
          <w:i/>
          <w:sz w:val="18"/>
          <w:szCs w:val="18"/>
        </w:rPr>
        <w:t xml:space="preserve">Refers to </w:t>
      </w:r>
      <w:r w:rsidR="005D54B6" w:rsidRPr="009F5415">
        <w:rPr>
          <w:i/>
          <w:sz w:val="18"/>
          <w:szCs w:val="18"/>
        </w:rPr>
        <w:t>“</w:t>
      </w:r>
      <w:r w:rsidR="00B94CD2" w:rsidRPr="009F5415">
        <w:rPr>
          <w:i/>
          <w:sz w:val="18"/>
          <w:szCs w:val="18"/>
        </w:rPr>
        <w:t>Electrification scenario</w:t>
      </w:r>
      <w:r w:rsidR="005D54B6" w:rsidRPr="009F5415">
        <w:rPr>
          <w:i/>
          <w:sz w:val="18"/>
          <w:szCs w:val="18"/>
        </w:rPr>
        <w:t>”</w:t>
      </w:r>
      <w:r w:rsidR="00B94CD2" w:rsidRPr="009F5415">
        <w:rPr>
          <w:i/>
          <w:sz w:val="18"/>
          <w:szCs w:val="18"/>
        </w:rPr>
        <w:t xml:space="preserve"> for private LDVs only, and 2050 penetration rather than sales</w:t>
      </w:r>
      <w:r>
        <w:rPr>
          <w:i/>
          <w:sz w:val="18"/>
          <w:szCs w:val="18"/>
        </w:rPr>
        <w:t xml:space="preserve">; </w:t>
      </w:r>
      <w:r w:rsidR="00B94CD2" w:rsidRPr="009F5415">
        <w:rPr>
          <w:i/>
          <w:sz w:val="18"/>
          <w:szCs w:val="18"/>
          <w:vertAlign w:val="superscript"/>
        </w:rPr>
        <w:t xml:space="preserve">b </w:t>
      </w:r>
      <w:r w:rsidR="00555676" w:rsidRPr="009F5415">
        <w:rPr>
          <w:i/>
          <w:sz w:val="18"/>
          <w:szCs w:val="18"/>
        </w:rPr>
        <w:t>For cars only (i.e. excludes light duty trucks), and 2050 penetration rather than sales</w:t>
      </w:r>
    </w:p>
    <w:p w:rsidR="00144EAE" w:rsidRPr="00144EAE" w:rsidRDefault="006C78A8" w:rsidP="006C78A8">
      <w:pPr>
        <w:pStyle w:val="Heading2"/>
      </w:pPr>
      <w:r>
        <w:t>3</w:t>
      </w:r>
      <w:r>
        <w:tab/>
      </w:r>
      <w:r w:rsidR="00144EAE" w:rsidRPr="00144EAE">
        <w:t>Methods</w:t>
      </w:r>
    </w:p>
    <w:p w:rsidR="00B16358" w:rsidRDefault="00B16358" w:rsidP="00B16358">
      <w:r>
        <w:t xml:space="preserve">The model </w:t>
      </w:r>
      <w:r w:rsidR="000B116A">
        <w:t xml:space="preserve">used for the basis of this analysis (see Supplementary Material) </w:t>
      </w:r>
      <w:r>
        <w:t>follows the basic structure and approach elaborated in Ou et al (2010)</w:t>
      </w:r>
      <w:r w:rsidR="005807C1">
        <w:rPr>
          <w:b/>
          <w:vertAlign w:val="superscript"/>
        </w:rPr>
        <w:t xml:space="preserve"> </w:t>
      </w:r>
      <w:r w:rsidR="005807C1" w:rsidRPr="005807C1">
        <w:rPr>
          <w:rFonts w:ascii="Calibri" w:hAnsi="Calibri" w:cs="Calibri"/>
        </w:rPr>
        <w:t>[5]</w:t>
      </w:r>
      <w:r>
        <w:t>. This approach has been chosen as a basis because of the breadth of different vehicle types, drivetrain options and the detail with which the model has been specified. In summary, the model has the following attributes:</w:t>
      </w:r>
    </w:p>
    <w:p w:rsidR="00B16358" w:rsidRDefault="00B16358" w:rsidP="00B16358">
      <w:pPr>
        <w:pStyle w:val="ListParagraph"/>
        <w:numPr>
          <w:ilvl w:val="0"/>
          <w:numId w:val="3"/>
        </w:numPr>
      </w:pPr>
      <w:r>
        <w:t>9 vehicle types: Heavy duty trucks</w:t>
      </w:r>
      <w:r w:rsidR="00457A05">
        <w:t xml:space="preserve"> (HDTs)</w:t>
      </w:r>
      <w:r>
        <w:t>, Medium duty trucks</w:t>
      </w:r>
      <w:r w:rsidR="00457A05">
        <w:t xml:space="preserve"> (MDTs)</w:t>
      </w:r>
      <w:r>
        <w:t>, Light Duty Trucks</w:t>
      </w:r>
      <w:r w:rsidR="00457A05">
        <w:t xml:space="preserve"> (LDTs)</w:t>
      </w:r>
      <w:r>
        <w:t>, Mini Trucks</w:t>
      </w:r>
      <w:r w:rsidR="00457A05">
        <w:t xml:space="preserve"> (MTs)</w:t>
      </w:r>
      <w:r>
        <w:t>, Heavy Duty Buses</w:t>
      </w:r>
      <w:r w:rsidR="00457A05">
        <w:t xml:space="preserve"> (HDBs)</w:t>
      </w:r>
      <w:r>
        <w:t>, Light Duty Buses</w:t>
      </w:r>
      <w:r w:rsidR="00457A05">
        <w:t xml:space="preserve"> (LDBs)</w:t>
      </w:r>
      <w:r>
        <w:t>, Cars, Minivans</w:t>
      </w:r>
      <w:r w:rsidR="00457A05">
        <w:t xml:space="preserve"> (MVs)</w:t>
      </w:r>
      <w:r>
        <w:t xml:space="preserve"> and Motorcycles</w:t>
      </w:r>
      <w:r w:rsidR="00457A05">
        <w:t xml:space="preserve"> (MCs)</w:t>
      </w:r>
      <w:r>
        <w:t xml:space="preserve">. </w:t>
      </w:r>
    </w:p>
    <w:p w:rsidR="00B16358" w:rsidRDefault="00B16358" w:rsidP="00B16358">
      <w:pPr>
        <w:pStyle w:val="ListParagraph"/>
        <w:numPr>
          <w:ilvl w:val="0"/>
          <w:numId w:val="3"/>
        </w:numPr>
      </w:pPr>
      <w:r>
        <w:t xml:space="preserve">Conventional </w:t>
      </w:r>
      <w:r w:rsidR="002A5F6F">
        <w:t>drivetrain</w:t>
      </w:r>
      <w:r>
        <w:t xml:space="preserve"> types</w:t>
      </w:r>
      <w:r w:rsidR="00457A05">
        <w:t xml:space="preserve"> based on four different fuels: gasoline</w:t>
      </w:r>
      <w:r>
        <w:t xml:space="preserve">, diesel, liquefied petroleum gas </w:t>
      </w:r>
      <w:r w:rsidR="00457A05">
        <w:t>(LPG) and condensed natural gas (CNG)</w:t>
      </w:r>
      <w:r>
        <w:t>.</w:t>
      </w:r>
    </w:p>
    <w:p w:rsidR="00B16358" w:rsidRDefault="002A5F6F" w:rsidP="00B16358">
      <w:pPr>
        <w:pStyle w:val="ListParagraph"/>
        <w:numPr>
          <w:ilvl w:val="0"/>
          <w:numId w:val="3"/>
        </w:numPr>
      </w:pPr>
      <w:r>
        <w:t>Low-carbon drivetrains</w:t>
      </w:r>
      <w:r w:rsidR="00B16358">
        <w:t xml:space="preserve"> consisting of electric vehicles </w:t>
      </w:r>
      <w:r w:rsidR="00457A05">
        <w:t xml:space="preserve">(EVs) </w:t>
      </w:r>
      <w:r w:rsidR="00B16358">
        <w:t>and hybrid</w:t>
      </w:r>
      <w:r w:rsidR="00C3785D">
        <w:t xml:space="preserve"> electric vehicles (HEVs) </w:t>
      </w:r>
      <w:r w:rsidR="00B16358">
        <w:t xml:space="preserve">s in three variants (mild, full and plug-in). </w:t>
      </w:r>
    </w:p>
    <w:p w:rsidR="00CB091F" w:rsidRDefault="00B16358" w:rsidP="00CB091F">
      <w:r>
        <w:t xml:space="preserve">The model has been extended to include fuel cell vehicles </w:t>
      </w:r>
      <w:r w:rsidR="00457A05">
        <w:t xml:space="preserve">(FCVs) </w:t>
      </w:r>
      <w:r>
        <w:t xml:space="preserve">as </w:t>
      </w:r>
      <w:r w:rsidR="002A5F6F">
        <w:t>a low-carbon</w:t>
      </w:r>
      <w:r>
        <w:t xml:space="preserve"> drivetrain option, reflecting growing interest an</w:t>
      </w:r>
      <w:r w:rsidR="00E831DA">
        <w:t xml:space="preserve">d investment in this technology. For example, </w:t>
      </w:r>
      <w:r w:rsidR="008E2FD9">
        <w:t xml:space="preserve">as shown in Table 2, </w:t>
      </w:r>
      <w:r w:rsidR="00E831DA">
        <w:t>the Chinese Energy Research Institute’s publicly-av</w:t>
      </w:r>
      <w:r w:rsidR="008E2FD9">
        <w:t>ailable 2050 Pathways calculator</w:t>
      </w:r>
      <w:r w:rsidR="008E2FD9">
        <w:rPr>
          <w:rStyle w:val="FootnoteReference"/>
        </w:rPr>
        <w:t xml:space="preserve"> </w:t>
      </w:r>
      <w:r w:rsidR="00E831DA">
        <w:t xml:space="preserve"> </w:t>
      </w:r>
      <w:r w:rsidR="00547F72" w:rsidRPr="00A35086">
        <w:rPr>
          <w:rFonts w:ascii="Calibri" w:hAnsi="Calibri"/>
        </w:rPr>
        <w:t>[21]</w:t>
      </w:r>
      <w:r w:rsidR="008E2FD9">
        <w:rPr>
          <w:b/>
          <w:vertAlign w:val="superscript"/>
        </w:rPr>
        <w:t xml:space="preserve"> </w:t>
      </w:r>
      <w:r w:rsidR="00E831DA">
        <w:t>includes scenarios of increasing shares of both electric and fuel cell vehicles</w:t>
      </w:r>
      <w:r w:rsidR="008E2FD9">
        <w:t xml:space="preserve">, and the </w:t>
      </w:r>
      <w:r w:rsidR="00CB091F">
        <w:t>International Energy Agency’s (2012) Energy Technology Perspectives “2 degrees Scenario” also includes  significant sales of fuel cell light duty</w:t>
      </w:r>
      <w:r w:rsidR="00F830A0">
        <w:t xml:space="preserve"> vehicles in China in the period to 2050 </w:t>
      </w:r>
      <w:r w:rsidR="00547F72" w:rsidRPr="00A35086">
        <w:rPr>
          <w:rFonts w:ascii="Calibri" w:hAnsi="Calibri"/>
        </w:rPr>
        <w:t>[20]</w:t>
      </w:r>
      <w:r w:rsidR="00F830A0">
        <w:t>.</w:t>
      </w:r>
    </w:p>
    <w:p w:rsidR="00B16358" w:rsidRDefault="00CB091F" w:rsidP="00CB091F">
      <w:r>
        <w:t>The mode</w:t>
      </w:r>
      <w:r w:rsidR="00371769">
        <w:t>l structure is shown in Figure 2</w:t>
      </w:r>
      <w:r>
        <w:t xml:space="preserve">. A control panel worksheet includes </w:t>
      </w:r>
      <w:r w:rsidR="00C71D28">
        <w:t xml:space="preserve">input </w:t>
      </w:r>
      <w:r>
        <w:t>assumptions (for each vehicle type) on the sales, vehicle lifetimes, average annual distance travelled, percentage of new sales accounted for by each drivetrain type in each year, level of efficiency of each drivetrain type, cost (purchase and maintenance) of each drivetrain type, and assumptions on fuel prices in 2050.</w:t>
      </w:r>
    </w:p>
    <w:p w:rsidR="00B16358" w:rsidRDefault="00050DB4" w:rsidP="00B16358">
      <w:r w:rsidRPr="00050DB4">
        <w:rPr>
          <w:noProof/>
          <w:lang w:eastAsia="en-GB"/>
        </w:rPr>
        <w:lastRenderedPageBreak/>
        <w:drawing>
          <wp:inline distT="0" distB="0" distL="0" distR="0" wp14:anchorId="6C6DD329" wp14:editId="4C4ACAAD">
            <wp:extent cx="5731510" cy="3347498"/>
            <wp:effectExtent l="0" t="0" r="254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347498"/>
                    </a:xfrm>
                    <a:prstGeom prst="rect">
                      <a:avLst/>
                    </a:prstGeom>
                    <a:noFill/>
                    <a:ln>
                      <a:noFill/>
                    </a:ln>
                  </pic:spPr>
                </pic:pic>
              </a:graphicData>
            </a:graphic>
          </wp:inline>
        </w:drawing>
      </w:r>
    </w:p>
    <w:p w:rsidR="00F444B2" w:rsidRPr="00F444B2" w:rsidRDefault="00F444B2" w:rsidP="00B16358">
      <w:pPr>
        <w:rPr>
          <w:b/>
        </w:rPr>
      </w:pPr>
      <w:r w:rsidRPr="00F444B2">
        <w:rPr>
          <w:b/>
        </w:rPr>
        <w:t xml:space="preserve">Figure </w:t>
      </w:r>
      <w:r w:rsidR="005807C1">
        <w:rPr>
          <w:b/>
        </w:rPr>
        <w:t>2</w:t>
      </w:r>
      <w:r w:rsidRPr="00F444B2">
        <w:rPr>
          <w:b/>
        </w:rPr>
        <w:t xml:space="preserve">: Schematic of </w:t>
      </w:r>
      <w:r w:rsidR="009F5415">
        <w:rPr>
          <w:b/>
        </w:rPr>
        <w:t xml:space="preserve">China road transport </w:t>
      </w:r>
      <w:r w:rsidRPr="00F444B2">
        <w:rPr>
          <w:b/>
        </w:rPr>
        <w:t>model inputs and outputs</w:t>
      </w:r>
    </w:p>
    <w:p w:rsidR="00B16358" w:rsidRDefault="00B16358" w:rsidP="00B16358">
      <w:r>
        <w:t>These control panel variables are linked to their respective worksheets which are set up to calculate the</w:t>
      </w:r>
      <w:r w:rsidR="00C71D28">
        <w:t xml:space="preserve"> annual vehicle population for each vehicle type, the share of this vehicle population of each drivetrain type, the fuel </w:t>
      </w:r>
      <w:r>
        <w:t xml:space="preserve">and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t>emissions of</w:t>
      </w:r>
      <w:r w:rsidR="00C71D28">
        <w:t xml:space="preserve"> each vehicle and drivetrain type for each year, and the annual cost (including annualised purchase, operation and maintenance, as well as fuel costs) of each vehicle type and drivetrain type for 2050</w:t>
      </w:r>
      <w:r>
        <w:t xml:space="preserve">. </w:t>
      </w:r>
    </w:p>
    <w:p w:rsidR="00321FA5" w:rsidRDefault="00B16358" w:rsidP="00321FA5">
      <w:r>
        <w:rPr>
          <w:rFonts w:ascii="Calibri" w:eastAsia="Times New Roman" w:hAnsi="Calibri"/>
        </w:rPr>
        <w:t>The model uses estimates of different vehicle/drivetrain costs for the year 2050</w:t>
      </w:r>
      <w:r w:rsidR="00C71D28">
        <w:rPr>
          <w:rFonts w:ascii="Calibri" w:eastAsia="Times New Roman" w:hAnsi="Calibri"/>
        </w:rPr>
        <w:t xml:space="preserve"> (as detailed in </w:t>
      </w:r>
      <w:r w:rsidR="00F60C1A">
        <w:rPr>
          <w:rFonts w:ascii="Calibri" w:eastAsia="Times New Roman" w:hAnsi="Calibri"/>
        </w:rPr>
        <w:t>Annex</w:t>
      </w:r>
      <w:r w:rsidR="00897C14">
        <w:rPr>
          <w:rFonts w:ascii="Calibri" w:eastAsia="Times New Roman" w:hAnsi="Calibri"/>
        </w:rPr>
        <w:t xml:space="preserve"> A</w:t>
      </w:r>
      <w:r w:rsidR="00C71D28">
        <w:rPr>
          <w:rFonts w:ascii="Calibri" w:eastAsia="Times New Roman" w:hAnsi="Calibri"/>
        </w:rPr>
        <w:t>)</w:t>
      </w:r>
      <w:r>
        <w:rPr>
          <w:rFonts w:ascii="Calibri" w:eastAsia="Times New Roman" w:hAnsi="Calibri"/>
        </w:rPr>
        <w:t xml:space="preserve">, in order to calculate the total transport system cost, consisting of vehicles and fuels used, in the year 2050. This </w:t>
      </w:r>
      <w:r w:rsidR="009D099C">
        <w:rPr>
          <w:rFonts w:ascii="Calibri" w:eastAsia="Times New Roman" w:hAnsi="Calibri"/>
        </w:rPr>
        <w:t>cost includes, a</w:t>
      </w:r>
      <w:r w:rsidR="0091653D">
        <w:rPr>
          <w:rFonts w:ascii="Calibri" w:eastAsia="Times New Roman" w:hAnsi="Calibri"/>
        </w:rPr>
        <w:t>s a crude estimate,</w:t>
      </w:r>
      <w:r>
        <w:rPr>
          <w:rFonts w:ascii="Calibri" w:eastAsia="Times New Roman" w:hAnsi="Calibri"/>
        </w:rPr>
        <w:t xml:space="preserve"> that of additional infrastructure required for electric and fuel cell vehicles</w:t>
      </w:r>
      <w:r w:rsidR="0091653D">
        <w:rPr>
          <w:rFonts w:ascii="Calibri" w:eastAsia="Times New Roman" w:hAnsi="Calibri"/>
        </w:rPr>
        <w:t xml:space="preserve">, by applying a mark-up to the electricity and hydrogen fuel costs as explained in </w:t>
      </w:r>
      <w:r w:rsidR="00817681">
        <w:rPr>
          <w:rFonts w:ascii="Calibri" w:eastAsia="Times New Roman" w:hAnsi="Calibri"/>
        </w:rPr>
        <w:t>t</w:t>
      </w:r>
      <w:r w:rsidR="0091653D">
        <w:rPr>
          <w:rFonts w:ascii="Calibri" w:eastAsia="Times New Roman" w:hAnsi="Calibri"/>
        </w:rPr>
        <w:t>able 3</w:t>
      </w:r>
      <w:r>
        <w:rPr>
          <w:rFonts w:ascii="Calibri" w:eastAsia="Times New Roman" w:hAnsi="Calibri"/>
        </w:rPr>
        <w:t xml:space="preserve">. </w:t>
      </w:r>
      <w:r w:rsidR="00321FA5">
        <w:t xml:space="preserve">The model does not represent a detailed infrastructure development framework for electric and fuel cell vehicles. </w:t>
      </w:r>
      <w:r w:rsidR="00E6341B">
        <w:t>This would include</w:t>
      </w:r>
      <w:r w:rsidR="00321FA5">
        <w:t xml:space="preserve"> </w:t>
      </w:r>
      <w:r w:rsidR="00E6341B">
        <w:t>accounting for</w:t>
      </w:r>
      <w:r w:rsidR="00321FA5">
        <w:t xml:space="preserve"> changes to electricity demand profiles placed on the electricity system by vehicle batteries</w:t>
      </w:r>
      <w:r w:rsidR="00D041C2">
        <w:t xml:space="preserve"> and appropriate strategies (such as battery swapping, charge time management and other coordination strategies) to minimise infrastructure costs</w:t>
      </w:r>
      <w:r w:rsidR="00321FA5">
        <w:t xml:space="preserve"> </w:t>
      </w:r>
      <w:r w:rsidR="00321FA5" w:rsidRPr="00E40653">
        <w:rPr>
          <w:rFonts w:ascii="Calibri" w:hAnsi="Calibri"/>
        </w:rPr>
        <w:t>[17]</w:t>
      </w:r>
      <w:r w:rsidR="00321FA5">
        <w:t xml:space="preserve">, </w:t>
      </w:r>
      <w:r w:rsidR="00E6341B" w:rsidRPr="00A35086">
        <w:rPr>
          <w:rFonts w:ascii="Calibri" w:hAnsi="Calibri"/>
        </w:rPr>
        <w:t>[23]</w:t>
      </w:r>
      <w:r w:rsidR="00321FA5">
        <w:t xml:space="preserve">, </w:t>
      </w:r>
      <w:r w:rsidR="00E6341B" w:rsidRPr="00A35086">
        <w:rPr>
          <w:rFonts w:ascii="Calibri" w:hAnsi="Calibri"/>
        </w:rPr>
        <w:t>[24]</w:t>
      </w:r>
      <w:r w:rsidR="00321FA5">
        <w:t xml:space="preserve">, </w:t>
      </w:r>
      <w:r w:rsidR="00E6341B" w:rsidRPr="00511D82">
        <w:rPr>
          <w:rFonts w:ascii="Calibri" w:hAnsi="Calibri"/>
        </w:rPr>
        <w:t>[25]</w:t>
      </w:r>
      <w:r w:rsidR="00321FA5">
        <w:t xml:space="preserve">, </w:t>
      </w:r>
      <w:r w:rsidR="00E6341B" w:rsidRPr="00A35086">
        <w:rPr>
          <w:rFonts w:ascii="Calibri" w:hAnsi="Calibri"/>
        </w:rPr>
        <w:t>[26]</w:t>
      </w:r>
      <w:r w:rsidR="00321FA5">
        <w:t xml:space="preserve">, </w:t>
      </w:r>
      <w:r w:rsidR="00E6341B" w:rsidRPr="00A35086">
        <w:rPr>
          <w:rFonts w:ascii="Calibri" w:hAnsi="Calibri"/>
        </w:rPr>
        <w:t>[27]</w:t>
      </w:r>
      <w:r w:rsidR="00321FA5">
        <w:t>.</w:t>
      </w:r>
    </w:p>
    <w:p w:rsidR="00B16358" w:rsidRDefault="00B16358" w:rsidP="00B16358">
      <w:pPr>
        <w:rPr>
          <w:rFonts w:ascii="Calibri" w:eastAsia="Times New Roman" w:hAnsi="Calibri"/>
        </w:rPr>
      </w:pPr>
      <w:r>
        <w:rPr>
          <w:rFonts w:ascii="Calibri" w:eastAsia="Times New Roman" w:hAnsi="Calibri"/>
        </w:rPr>
        <w:t>Purchase costs of vehicles are annualised using a specified discount rate, which can be varied on the control panel. As discussed in Section 4, this allows quick analysis of a key parameter affecting the overall cost of transitioning to a low carbon system. </w:t>
      </w:r>
    </w:p>
    <w:p w:rsidR="002D5865" w:rsidRDefault="00B16358" w:rsidP="00B16358">
      <w:pPr>
        <w:rPr>
          <w:rFonts w:ascii="Calibri" w:eastAsia="Times New Roman" w:hAnsi="Calibri"/>
        </w:rPr>
      </w:pPr>
      <w:r>
        <w:rPr>
          <w:rFonts w:ascii="Calibri" w:eastAsia="Times New Roman" w:hAnsi="Calibri"/>
        </w:rPr>
        <w:t xml:space="preserve">The model also calculates the contribution </w:t>
      </w:r>
      <w:r w:rsidR="00FB2050">
        <w:rPr>
          <w:rFonts w:ascii="Calibri" w:eastAsia="Times New Roman" w:hAnsi="Calibri"/>
        </w:rPr>
        <w:t xml:space="preserve">that is made by each vehicle and drivetrain type </w:t>
      </w:r>
      <w:r>
        <w:rPr>
          <w:rFonts w:ascii="Calibri" w:eastAsia="Times New Roman" w:hAnsi="Calibri"/>
        </w:rPr>
        <w:t>to total road transp</w:t>
      </w:r>
      <w:r w:rsidR="002D5865">
        <w:rPr>
          <w:rFonts w:ascii="Calibri" w:eastAsia="Times New Roman" w:hAnsi="Calibri"/>
        </w:rPr>
        <w:t xml:space="preserve">ort sector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D5865">
        <w:rPr>
          <w:rFonts w:ascii="Calibri" w:eastAsia="Times New Roman" w:hAnsi="Calibri"/>
        </w:rPr>
        <w:t xml:space="preserve">emissions reductions and </w:t>
      </w:r>
      <w:r w:rsidR="00FB2050">
        <w:rPr>
          <w:rFonts w:ascii="Calibri" w:eastAsia="Times New Roman" w:hAnsi="Calibri"/>
        </w:rPr>
        <w:t xml:space="preserve">also </w:t>
      </w:r>
      <w:r w:rsidR="002D5865">
        <w:rPr>
          <w:rFonts w:ascii="Calibri" w:eastAsia="Times New Roman" w:hAnsi="Calibri"/>
        </w:rPr>
        <w:t>to the difference in cost, when comparing the low-carbon with the business-as-usual scenario, according to the principles in Figure 3</w:t>
      </w:r>
      <w:r>
        <w:rPr>
          <w:rFonts w:ascii="Calibri" w:eastAsia="Times New Roman" w:hAnsi="Calibri"/>
        </w:rPr>
        <w:t xml:space="preserve">. </w:t>
      </w:r>
      <w:r w:rsidR="002D5865">
        <w:rPr>
          <w:rFonts w:ascii="Calibri" w:eastAsia="Times New Roman" w:hAnsi="Calibri"/>
        </w:rPr>
        <w:t>This figure shows that, for an example low-carbon vehicle (</w:t>
      </w:r>
      <w:r w:rsidR="002A5F6F">
        <w:rPr>
          <w:rFonts w:ascii="Calibri" w:eastAsia="Times New Roman" w:hAnsi="Calibri"/>
        </w:rPr>
        <w:t>LC</w:t>
      </w:r>
      <w:r w:rsidR="002D5865">
        <w:rPr>
          <w:rFonts w:ascii="Calibri" w:eastAsia="Times New Roman" w:hAnsi="Calibri"/>
        </w:rPr>
        <w:t xml:space="preserve">V), both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D5865">
        <w:rPr>
          <w:rFonts w:ascii="Calibri" w:eastAsia="Times New Roman" w:hAnsi="Calibri"/>
        </w:rPr>
        <w:t xml:space="preserve">emissions reductions and cost differences between the low-carbon and business-as-usual scenarios are calculated </w:t>
      </w:r>
      <w:r w:rsidR="00FB2050">
        <w:rPr>
          <w:rFonts w:ascii="Calibri" w:eastAsia="Times New Roman" w:hAnsi="Calibri"/>
        </w:rPr>
        <w:t xml:space="preserve">for each drivetrain and vehicle type </w:t>
      </w:r>
      <w:r w:rsidR="002D5865">
        <w:rPr>
          <w:rFonts w:ascii="Calibri" w:eastAsia="Times New Roman" w:hAnsi="Calibri"/>
        </w:rPr>
        <w:t xml:space="preserve">by comparing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D5865">
        <w:rPr>
          <w:rFonts w:ascii="Calibri" w:eastAsia="Times New Roman" w:hAnsi="Calibri"/>
        </w:rPr>
        <w:t xml:space="preserve">emissions and costs of the </w:t>
      </w:r>
      <w:r w:rsidR="002A5F6F">
        <w:rPr>
          <w:rFonts w:ascii="Calibri" w:eastAsia="Times New Roman" w:hAnsi="Calibri"/>
        </w:rPr>
        <w:t>LC</w:t>
      </w:r>
      <w:r w:rsidR="002D5865">
        <w:rPr>
          <w:rFonts w:ascii="Calibri" w:eastAsia="Times New Roman" w:hAnsi="Calibri"/>
        </w:rPr>
        <w:t xml:space="preserve">V to those from the </w:t>
      </w:r>
      <w:r w:rsidR="002A5F6F">
        <w:rPr>
          <w:rFonts w:ascii="Calibri" w:eastAsia="Times New Roman" w:hAnsi="Calibri"/>
        </w:rPr>
        <w:t>standard internal combustion engine vehicle (ICEV)</w:t>
      </w:r>
      <w:r w:rsidR="002D5865">
        <w:rPr>
          <w:rFonts w:ascii="Calibri" w:eastAsia="Times New Roman" w:hAnsi="Calibri"/>
        </w:rPr>
        <w:t xml:space="preserve"> which is substituted by the </w:t>
      </w:r>
      <w:r w:rsidR="002A5F6F">
        <w:rPr>
          <w:rFonts w:ascii="Calibri" w:eastAsia="Times New Roman" w:hAnsi="Calibri"/>
        </w:rPr>
        <w:t>LC</w:t>
      </w:r>
      <w:r w:rsidR="002D5865">
        <w:rPr>
          <w:rFonts w:ascii="Calibri" w:eastAsia="Times New Roman" w:hAnsi="Calibri"/>
        </w:rPr>
        <w:t xml:space="preserve">V. The marginal abatement cost (MAC) is the ratio of the cost difference (which may be positive or negative, </w:t>
      </w:r>
      <w:r w:rsidR="002D5865">
        <w:rPr>
          <w:rFonts w:ascii="Calibri" w:eastAsia="Times New Roman" w:hAnsi="Calibri"/>
        </w:rPr>
        <w:lastRenderedPageBreak/>
        <w:t xml:space="preserve">depending on whether the </w:t>
      </w:r>
      <w:r w:rsidR="002A5F6F">
        <w:rPr>
          <w:rFonts w:ascii="Calibri" w:eastAsia="Times New Roman" w:hAnsi="Calibri"/>
        </w:rPr>
        <w:t>LC</w:t>
      </w:r>
      <w:r w:rsidR="002D5865">
        <w:rPr>
          <w:rFonts w:ascii="Calibri" w:eastAsia="Times New Roman" w:hAnsi="Calibri"/>
        </w:rPr>
        <w:t xml:space="preserve">V is more or less expensive than the </w:t>
      </w:r>
      <w:r w:rsidR="002A5F6F">
        <w:rPr>
          <w:rFonts w:ascii="Calibri" w:eastAsia="Times New Roman" w:hAnsi="Calibri"/>
        </w:rPr>
        <w:t>ICE</w:t>
      </w:r>
      <w:r w:rsidR="002D5865">
        <w:rPr>
          <w:rFonts w:ascii="Calibri" w:eastAsia="Times New Roman" w:hAnsi="Calibri"/>
        </w:rPr>
        <w:t xml:space="preserve">V) and the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D5865">
        <w:rPr>
          <w:rFonts w:ascii="Calibri" w:eastAsia="Times New Roman" w:hAnsi="Calibri"/>
        </w:rPr>
        <w:t>emissions reductions achieved</w:t>
      </w:r>
      <w:r w:rsidR="00FB2050">
        <w:rPr>
          <w:rFonts w:ascii="Calibri" w:eastAsia="Times New Roman" w:hAnsi="Calibri"/>
        </w:rPr>
        <w:t xml:space="preserve"> through the substitution</w:t>
      </w:r>
      <w:r w:rsidR="002D5865">
        <w:rPr>
          <w:rFonts w:ascii="Calibri" w:eastAsia="Times New Roman" w:hAnsi="Calibri"/>
        </w:rPr>
        <w:t>.</w:t>
      </w:r>
    </w:p>
    <w:p w:rsidR="00B16358" w:rsidRDefault="00FB2050" w:rsidP="00B16358">
      <w:pPr>
        <w:rPr>
          <w:rFonts w:ascii="Calibri" w:eastAsia="Times New Roman" w:hAnsi="Calibri"/>
        </w:rPr>
      </w:pPr>
      <w:r>
        <w:rPr>
          <w:rFonts w:ascii="Calibri" w:eastAsia="Times New Roman" w:hAnsi="Calibri"/>
        </w:rPr>
        <w:t xml:space="preserve">In practice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Pr>
          <w:rFonts w:ascii="Calibri" w:eastAsia="Times New Roman" w:hAnsi="Calibri"/>
        </w:rPr>
        <w:t xml:space="preserve">emissions reductions are achieved not just through the substitution of low-carbon alternative fuel vehicles for their </w:t>
      </w:r>
      <w:r w:rsidR="002A5F6F">
        <w:rPr>
          <w:rFonts w:ascii="Calibri" w:eastAsia="Times New Roman" w:hAnsi="Calibri"/>
        </w:rPr>
        <w:t>more carbon-intensive</w:t>
      </w:r>
      <w:r>
        <w:rPr>
          <w:rFonts w:ascii="Calibri" w:eastAsia="Times New Roman" w:hAnsi="Calibri"/>
        </w:rPr>
        <w:t xml:space="preserve"> counterparts, but also through increasing fuel efficiency, as well as through decreased CO</w:t>
      </w:r>
      <w:r w:rsidRPr="00FB2050">
        <w:rPr>
          <w:rFonts w:ascii="Calibri" w:eastAsia="Times New Roman" w:hAnsi="Calibri"/>
          <w:vertAlign w:val="subscript"/>
        </w:rPr>
        <w:t>2</w:t>
      </w:r>
      <w:r>
        <w:rPr>
          <w:rFonts w:ascii="Calibri" w:eastAsia="Times New Roman" w:hAnsi="Calibri"/>
        </w:rPr>
        <w:t xml:space="preserve"> intensity of fuels (most notably through biofuel blending, or in the case of electric vehicles, through a reduction in the CO</w:t>
      </w:r>
      <w:r w:rsidRPr="00FB2050">
        <w:rPr>
          <w:rFonts w:ascii="Calibri" w:eastAsia="Times New Roman" w:hAnsi="Calibri"/>
          <w:vertAlign w:val="subscript"/>
        </w:rPr>
        <w:t>2</w:t>
      </w:r>
      <w:r>
        <w:rPr>
          <w:rFonts w:ascii="Calibri" w:eastAsia="Times New Roman" w:hAnsi="Calibri"/>
        </w:rPr>
        <w:t xml:space="preserve"> intensity of electricity production). In order to calculate the marginal abatement cost for each of these effects, a full </w:t>
      </w:r>
      <w:r w:rsidR="00C71D28">
        <w:rPr>
          <w:rFonts w:ascii="Calibri" w:eastAsia="Times New Roman" w:hAnsi="Calibri"/>
        </w:rPr>
        <w:t xml:space="preserve">decomposition analysis </w:t>
      </w:r>
      <w:r>
        <w:rPr>
          <w:rFonts w:ascii="Calibri" w:eastAsia="Times New Roman" w:hAnsi="Calibri"/>
        </w:rPr>
        <w:t xml:space="preserve">is required to disaggregate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C71D28">
        <w:rPr>
          <w:rFonts w:ascii="Calibri" w:eastAsia="Times New Roman" w:hAnsi="Calibri"/>
        </w:rPr>
        <w:t>emissions reductions</w:t>
      </w:r>
      <w:r>
        <w:rPr>
          <w:rFonts w:ascii="Calibri" w:eastAsia="Times New Roman" w:hAnsi="Calibri"/>
        </w:rPr>
        <w:t xml:space="preserve"> and cost differences</w:t>
      </w:r>
      <w:r w:rsidR="00C71D28">
        <w:rPr>
          <w:rFonts w:ascii="Calibri" w:eastAsia="Times New Roman" w:hAnsi="Calibri"/>
        </w:rPr>
        <w:t xml:space="preserve"> into those that result from an increased share of low-carbon drivetrain types (such as hybrids, </w:t>
      </w:r>
      <w:r w:rsidR="00C3785D">
        <w:rPr>
          <w:rFonts w:ascii="Calibri" w:eastAsia="Times New Roman" w:hAnsi="Calibri"/>
        </w:rPr>
        <w:t>electric and fuel cell vehicle</w:t>
      </w:r>
      <w:r w:rsidR="00C71D28">
        <w:rPr>
          <w:rFonts w:ascii="Calibri" w:eastAsia="Times New Roman" w:hAnsi="Calibri"/>
        </w:rPr>
        <w:t>s), those that result from an increase in energy efficiency of each drivetrain type, and those that result from a reduction in the CO</w:t>
      </w:r>
      <w:r w:rsidR="00C71D28" w:rsidRPr="00C71D28">
        <w:rPr>
          <w:rFonts w:ascii="Calibri" w:eastAsia="Times New Roman" w:hAnsi="Calibri"/>
          <w:vertAlign w:val="subscript"/>
        </w:rPr>
        <w:t>2</w:t>
      </w:r>
      <w:r w:rsidR="00C71D28">
        <w:rPr>
          <w:rFonts w:ascii="Calibri" w:eastAsia="Times New Roman" w:hAnsi="Calibri"/>
        </w:rPr>
        <w:t xml:space="preserve"> intensity of the fuel used in each drivetrain type (for example as a result of increased biofuel blending, or decreased CO</w:t>
      </w:r>
      <w:r w:rsidR="00C71D28" w:rsidRPr="00C71D28">
        <w:rPr>
          <w:rFonts w:ascii="Calibri" w:eastAsia="Times New Roman" w:hAnsi="Calibri"/>
          <w:vertAlign w:val="subscript"/>
        </w:rPr>
        <w:t>2</w:t>
      </w:r>
      <w:r w:rsidR="00C71D28">
        <w:rPr>
          <w:rFonts w:ascii="Calibri" w:eastAsia="Times New Roman" w:hAnsi="Calibri"/>
        </w:rPr>
        <w:t xml:space="preserve"> intensity of electricity). The precise method to decompose the total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C71D28">
        <w:rPr>
          <w:rFonts w:ascii="Calibri" w:eastAsia="Times New Roman" w:hAnsi="Calibri"/>
        </w:rPr>
        <w:t xml:space="preserve">emissions reductions </w:t>
      </w:r>
      <w:r>
        <w:rPr>
          <w:rFonts w:ascii="Calibri" w:eastAsia="Times New Roman" w:hAnsi="Calibri"/>
        </w:rPr>
        <w:t xml:space="preserve">and cost differences </w:t>
      </w:r>
      <w:r w:rsidR="00C71D28">
        <w:rPr>
          <w:rFonts w:ascii="Calibri" w:eastAsia="Times New Roman" w:hAnsi="Calibri"/>
        </w:rPr>
        <w:t xml:space="preserve">(i.e. to allocate them to each of these effects) is the </w:t>
      </w:r>
      <w:r w:rsidR="00B16358">
        <w:rPr>
          <w:rFonts w:ascii="Calibri" w:eastAsia="Times New Roman" w:hAnsi="Calibri"/>
        </w:rPr>
        <w:t>logarithmic mean division index</w:t>
      </w:r>
      <w:r w:rsidR="00C71D28">
        <w:rPr>
          <w:rFonts w:ascii="Calibri" w:eastAsia="Times New Roman" w:hAnsi="Calibri"/>
        </w:rPr>
        <w:t xml:space="preserve"> (LMDI) method</w:t>
      </w:r>
      <w:r w:rsidR="00B16358">
        <w:rPr>
          <w:rFonts w:ascii="Calibri" w:eastAsia="Times New Roman" w:hAnsi="Calibri"/>
        </w:rPr>
        <w:t xml:space="preserve">, </w:t>
      </w:r>
      <w:r w:rsidR="00392192">
        <w:rPr>
          <w:rFonts w:ascii="Calibri" w:eastAsia="Times New Roman" w:hAnsi="Calibri"/>
        </w:rPr>
        <w:t>the</w:t>
      </w:r>
      <w:r w:rsidR="00B16358">
        <w:rPr>
          <w:rFonts w:ascii="Calibri" w:eastAsia="Times New Roman" w:hAnsi="Calibri"/>
        </w:rPr>
        <w:t xml:space="preserve"> advantages </w:t>
      </w:r>
      <w:r w:rsidR="00392192">
        <w:rPr>
          <w:rFonts w:ascii="Calibri" w:eastAsia="Times New Roman" w:hAnsi="Calibri"/>
        </w:rPr>
        <w:t xml:space="preserve">of which are that it offers a perfect decomposition with all factors summing to total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392192">
        <w:rPr>
          <w:rFonts w:ascii="Calibri" w:eastAsia="Times New Roman" w:hAnsi="Calibri"/>
        </w:rPr>
        <w:t xml:space="preserve">emissions reductions, and </w:t>
      </w:r>
      <w:r w:rsidR="00C71D28">
        <w:rPr>
          <w:rFonts w:ascii="Calibri" w:eastAsia="Times New Roman" w:hAnsi="Calibri"/>
        </w:rPr>
        <w:t xml:space="preserve">that it </w:t>
      </w:r>
      <w:r w:rsidR="00392192">
        <w:rPr>
          <w:rFonts w:ascii="Calibri" w:eastAsia="Times New Roman" w:hAnsi="Calibri"/>
        </w:rPr>
        <w:t xml:space="preserve">offers relative ease of computation </w:t>
      </w:r>
      <w:r w:rsidR="00E6341B" w:rsidRPr="00A35086">
        <w:rPr>
          <w:rFonts w:ascii="Calibri" w:hAnsi="Calibri"/>
        </w:rPr>
        <w:t>[28]</w:t>
      </w:r>
      <w:r w:rsidR="00392192">
        <w:rPr>
          <w:rFonts w:ascii="Calibri" w:eastAsia="Times New Roman" w:hAnsi="Calibri"/>
        </w:rPr>
        <w:t>The method has already been</w:t>
      </w:r>
      <w:r w:rsidR="00B16358">
        <w:rPr>
          <w:rFonts w:ascii="Calibri" w:eastAsia="Times New Roman" w:hAnsi="Calibri"/>
        </w:rPr>
        <w:t xml:space="preserve"> demonstrated in detail for the </w:t>
      </w:r>
      <w:r w:rsidR="00392192">
        <w:rPr>
          <w:rFonts w:ascii="Calibri" w:eastAsia="Times New Roman" w:hAnsi="Calibri"/>
        </w:rPr>
        <w:t xml:space="preserve">decomposition of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392192">
        <w:rPr>
          <w:rFonts w:ascii="Calibri" w:eastAsia="Times New Roman" w:hAnsi="Calibri"/>
        </w:rPr>
        <w:t>emissions reductions into their various components in the UK t</w:t>
      </w:r>
      <w:r w:rsidR="00B16358">
        <w:rPr>
          <w:rFonts w:ascii="Calibri" w:eastAsia="Times New Roman" w:hAnsi="Calibri"/>
        </w:rPr>
        <w:t xml:space="preserve">ransport sector </w:t>
      </w:r>
      <w:r w:rsidR="00E6341B" w:rsidRPr="00A35086">
        <w:rPr>
          <w:rFonts w:ascii="Calibri" w:hAnsi="Calibri"/>
        </w:rPr>
        <w:t>[29]</w:t>
      </w:r>
      <w:r w:rsidR="002D5865">
        <w:rPr>
          <w:rFonts w:ascii="Calibri" w:eastAsia="Times New Roman" w:hAnsi="Calibri"/>
        </w:rPr>
        <w:t xml:space="preserve"> and it</w:t>
      </w:r>
      <w:r>
        <w:rPr>
          <w:rFonts w:ascii="Calibri" w:eastAsia="Times New Roman" w:hAnsi="Calibri"/>
        </w:rPr>
        <w:t xml:space="preserve"> </w:t>
      </w:r>
      <w:r w:rsidR="002D5865">
        <w:rPr>
          <w:rFonts w:ascii="Calibri" w:eastAsia="Times New Roman" w:hAnsi="Calibri"/>
        </w:rPr>
        <w:t xml:space="preserve">allows a very detailed analysis of those technological shifts which lead to the greatest reduction in </w:t>
      </w:r>
      <w:r w:rsidR="0083756F">
        <w:rPr>
          <w:rFonts w:ascii="Calibri" w:eastAsia="Times New Roman" w:hAnsi="Calibri"/>
        </w:rPr>
        <w:t>CO</w:t>
      </w:r>
      <w:r w:rsidR="0083756F" w:rsidRPr="00703A17">
        <w:rPr>
          <w:rFonts w:ascii="Calibri" w:eastAsia="Times New Roman" w:hAnsi="Calibri"/>
          <w:vertAlign w:val="subscript"/>
        </w:rPr>
        <w:t>2</w:t>
      </w:r>
      <w:r w:rsidR="0083756F">
        <w:rPr>
          <w:rFonts w:ascii="Calibri" w:eastAsia="Times New Roman" w:hAnsi="Calibri"/>
        </w:rPr>
        <w:t xml:space="preserve"> </w:t>
      </w:r>
      <w:r w:rsidR="002D5865">
        <w:rPr>
          <w:rFonts w:ascii="Calibri" w:eastAsia="Times New Roman" w:hAnsi="Calibri"/>
        </w:rPr>
        <w:t>emissions.</w:t>
      </w:r>
      <w:r>
        <w:rPr>
          <w:rFonts w:ascii="Calibri" w:eastAsia="Times New Roman" w:hAnsi="Calibri"/>
        </w:rPr>
        <w:t xml:space="preserve"> The decomposition methodology is set out in detail in Annex A. </w:t>
      </w:r>
    </w:p>
    <w:p w:rsidR="002D5865" w:rsidRDefault="000063B3" w:rsidP="00B16358">
      <w:pPr>
        <w:rPr>
          <w:rFonts w:ascii="Calibri" w:eastAsia="Times New Roman" w:hAnsi="Calibri"/>
        </w:rPr>
      </w:pPr>
      <w:r w:rsidRPr="000063B3">
        <w:rPr>
          <w:noProof/>
          <w:lang w:eastAsia="en-GB"/>
        </w:rPr>
        <w:drawing>
          <wp:inline distT="0" distB="0" distL="0" distR="0" wp14:anchorId="6C4E1ABF" wp14:editId="0B6511AB">
            <wp:extent cx="5198844" cy="36957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02814" cy="3698522"/>
                    </a:xfrm>
                    <a:prstGeom prst="rect">
                      <a:avLst/>
                    </a:prstGeom>
                    <a:noFill/>
                    <a:ln>
                      <a:noFill/>
                    </a:ln>
                  </pic:spPr>
                </pic:pic>
              </a:graphicData>
            </a:graphic>
          </wp:inline>
        </w:drawing>
      </w:r>
    </w:p>
    <w:p w:rsidR="002D5865" w:rsidRDefault="002D5865" w:rsidP="00B16358">
      <w:pPr>
        <w:rPr>
          <w:rFonts w:ascii="Calibri" w:eastAsia="Times New Roman" w:hAnsi="Calibri"/>
          <w:b/>
        </w:rPr>
      </w:pPr>
      <w:r w:rsidRPr="002D5865">
        <w:rPr>
          <w:rFonts w:ascii="Calibri" w:eastAsia="Times New Roman" w:hAnsi="Calibri"/>
          <w:b/>
        </w:rPr>
        <w:t xml:space="preserve">Figure 3: Approach to determine marginal abatement cost </w:t>
      </w:r>
      <w:r>
        <w:rPr>
          <w:rFonts w:ascii="Calibri" w:eastAsia="Times New Roman" w:hAnsi="Calibri"/>
          <w:b/>
        </w:rPr>
        <w:t xml:space="preserve">(MAC) </w:t>
      </w:r>
      <w:r w:rsidRPr="002D5865">
        <w:rPr>
          <w:rFonts w:ascii="Calibri" w:eastAsia="Times New Roman" w:hAnsi="Calibri"/>
          <w:b/>
        </w:rPr>
        <w:t>for each drivetrain type</w:t>
      </w:r>
    </w:p>
    <w:p w:rsidR="002D5865" w:rsidRPr="002D5865" w:rsidRDefault="002D5865" w:rsidP="00B16358">
      <w:pPr>
        <w:rPr>
          <w:rFonts w:ascii="Calibri" w:eastAsia="Times New Roman" w:hAnsi="Calibri"/>
          <w:i/>
          <w:sz w:val="18"/>
          <w:szCs w:val="18"/>
        </w:rPr>
      </w:pPr>
      <w:r w:rsidRPr="00F51894">
        <w:rPr>
          <w:rFonts w:ascii="Calibri" w:eastAsia="Times New Roman" w:hAnsi="Calibri"/>
          <w:i/>
          <w:sz w:val="18"/>
          <w:szCs w:val="18"/>
        </w:rPr>
        <w:t>Notes: BAU = business-as-usual; LC = Low Carbon</w:t>
      </w:r>
    </w:p>
    <w:p w:rsidR="00DF0436" w:rsidRDefault="00B16358" w:rsidP="00B16358">
      <w:pPr>
        <w:rPr>
          <w:rFonts w:ascii="Calibri" w:eastAsia="Times New Roman" w:hAnsi="Calibri"/>
        </w:rPr>
      </w:pPr>
      <w:r>
        <w:rPr>
          <w:rFonts w:ascii="Calibri" w:eastAsia="Times New Roman" w:hAnsi="Calibri"/>
        </w:rPr>
        <w:t>Furthermore, the additional cost in 2050 of each low carbon vehicle/drivetrain type is also calculated in the model</w:t>
      </w:r>
      <w:r w:rsidR="00392192">
        <w:rPr>
          <w:rFonts w:ascii="Calibri" w:eastAsia="Times New Roman" w:hAnsi="Calibri"/>
        </w:rPr>
        <w:t xml:space="preserve"> and decomposed</w:t>
      </w:r>
      <w:r w:rsidR="00C71D28">
        <w:rPr>
          <w:rFonts w:ascii="Calibri" w:eastAsia="Times New Roman" w:hAnsi="Calibri"/>
        </w:rPr>
        <w:t xml:space="preserve"> according to the LMDI method, </w:t>
      </w:r>
      <w:r w:rsidR="00392192">
        <w:rPr>
          <w:rFonts w:ascii="Calibri" w:eastAsia="Times New Roman" w:hAnsi="Calibri"/>
        </w:rPr>
        <w:t xml:space="preserve">as described in </w:t>
      </w:r>
      <w:r w:rsidR="00DF0436">
        <w:rPr>
          <w:rFonts w:ascii="Calibri" w:eastAsia="Times New Roman" w:hAnsi="Calibri"/>
        </w:rPr>
        <w:t>Annex A</w:t>
      </w:r>
      <w:r>
        <w:rPr>
          <w:rFonts w:ascii="Calibri" w:eastAsia="Times New Roman" w:hAnsi="Calibri"/>
        </w:rPr>
        <w:t>. Dividing this cost by the quantity of CO</w:t>
      </w:r>
      <w:r w:rsidRPr="00BA3648">
        <w:rPr>
          <w:rFonts w:ascii="Calibri" w:eastAsia="Times New Roman" w:hAnsi="Calibri"/>
          <w:vertAlign w:val="subscript"/>
        </w:rPr>
        <w:t>2</w:t>
      </w:r>
      <w:r>
        <w:rPr>
          <w:rFonts w:ascii="Calibri" w:eastAsia="Times New Roman" w:hAnsi="Calibri"/>
        </w:rPr>
        <w:t xml:space="preserve"> reduced by each vehicle/drivetrain type gives the marginal abatement </w:t>
      </w:r>
      <w:r>
        <w:rPr>
          <w:rFonts w:ascii="Calibri" w:eastAsia="Times New Roman" w:hAnsi="Calibri"/>
        </w:rPr>
        <w:lastRenderedPageBreak/>
        <w:t xml:space="preserve">cost </w:t>
      </w:r>
      <w:r w:rsidR="00DF0436">
        <w:rPr>
          <w:rFonts w:ascii="Calibri" w:eastAsia="Times New Roman" w:hAnsi="Calibri"/>
        </w:rPr>
        <w:t xml:space="preserve">(MAC) </w:t>
      </w:r>
      <w:r>
        <w:rPr>
          <w:rFonts w:ascii="Calibri" w:eastAsia="Times New Roman" w:hAnsi="Calibri"/>
        </w:rPr>
        <w:t>in 2050 of each vehicle/drivetrain type, a key metric in identifying the most cost-effective technological transitions. </w:t>
      </w:r>
      <w:r w:rsidR="00C71D28">
        <w:rPr>
          <w:rFonts w:ascii="Calibri" w:eastAsia="Times New Roman" w:hAnsi="Calibri"/>
        </w:rPr>
        <w:t xml:space="preserve">The marginal abatement cost specifies the cost of achieving a unit of </w:t>
      </w:r>
      <w:r w:rsidR="0083756F">
        <w:rPr>
          <w:rFonts w:ascii="Calibri" w:eastAsia="Times New Roman" w:hAnsi="Calibri"/>
        </w:rPr>
        <w:t>CO</w:t>
      </w:r>
      <w:r w:rsidR="0083756F" w:rsidRPr="0083756F">
        <w:rPr>
          <w:rFonts w:ascii="Calibri" w:eastAsia="Times New Roman" w:hAnsi="Calibri"/>
          <w:vertAlign w:val="subscript"/>
        </w:rPr>
        <w:t>2</w:t>
      </w:r>
      <w:r w:rsidR="0083756F">
        <w:rPr>
          <w:rFonts w:ascii="Calibri" w:eastAsia="Times New Roman" w:hAnsi="Calibri"/>
        </w:rPr>
        <w:t xml:space="preserve"> </w:t>
      </w:r>
      <w:r w:rsidR="00C71D28">
        <w:rPr>
          <w:rFonts w:ascii="Calibri" w:eastAsia="Times New Roman" w:hAnsi="Calibri"/>
        </w:rPr>
        <w:t>emissions savings when comparing a reference scenario (in this case a business-as-usual scena</w:t>
      </w:r>
      <w:r w:rsidR="007B3690">
        <w:rPr>
          <w:rFonts w:ascii="Calibri" w:eastAsia="Times New Roman" w:hAnsi="Calibri"/>
        </w:rPr>
        <w:t xml:space="preserve">rio) with a low-carbon scenario. Although an imperfect measure of the relative merits of different </w:t>
      </w:r>
      <w:r w:rsidR="0083756F">
        <w:rPr>
          <w:rFonts w:ascii="Calibri" w:eastAsia="Times New Roman" w:hAnsi="Calibri"/>
        </w:rPr>
        <w:t>CO</w:t>
      </w:r>
      <w:r w:rsidR="0083756F" w:rsidRPr="0083756F">
        <w:rPr>
          <w:rFonts w:ascii="Calibri" w:eastAsia="Times New Roman" w:hAnsi="Calibri"/>
          <w:vertAlign w:val="subscript"/>
        </w:rPr>
        <w:t>2</w:t>
      </w:r>
      <w:r w:rsidR="0083756F">
        <w:rPr>
          <w:rFonts w:ascii="Calibri" w:eastAsia="Times New Roman" w:hAnsi="Calibri"/>
          <w:vertAlign w:val="subscript"/>
        </w:rPr>
        <w:t xml:space="preserve"> </w:t>
      </w:r>
      <w:r w:rsidR="007B3690">
        <w:rPr>
          <w:rFonts w:ascii="Calibri" w:eastAsia="Times New Roman" w:hAnsi="Calibri"/>
        </w:rPr>
        <w:t xml:space="preserve">emissions reduction options, this measure is nevertheless a useful way of identifying relatively cost-effective and costly measures to reduce </w:t>
      </w:r>
      <w:r w:rsidR="0083756F">
        <w:rPr>
          <w:rFonts w:ascii="Calibri" w:eastAsia="Times New Roman" w:hAnsi="Calibri"/>
        </w:rPr>
        <w:t>CO</w:t>
      </w:r>
      <w:r w:rsidR="0083756F" w:rsidRPr="0083756F">
        <w:rPr>
          <w:rFonts w:ascii="Calibri" w:eastAsia="Times New Roman" w:hAnsi="Calibri"/>
          <w:vertAlign w:val="subscript"/>
        </w:rPr>
        <w:t>2</w:t>
      </w:r>
      <w:r w:rsidR="0083756F">
        <w:rPr>
          <w:rFonts w:ascii="Calibri" w:eastAsia="Times New Roman" w:hAnsi="Calibri"/>
          <w:vertAlign w:val="subscript"/>
        </w:rPr>
        <w:t xml:space="preserve"> </w:t>
      </w:r>
      <w:r w:rsidR="007B3690">
        <w:rPr>
          <w:rFonts w:ascii="Calibri" w:eastAsia="Times New Roman" w:hAnsi="Calibri"/>
        </w:rPr>
        <w:t>emissions</w:t>
      </w:r>
      <w:r w:rsidR="0083756F">
        <w:rPr>
          <w:rFonts w:ascii="Calibri" w:eastAsia="Times New Roman" w:hAnsi="Calibri"/>
        </w:rPr>
        <w:t xml:space="preserve"> </w:t>
      </w:r>
      <w:r w:rsidR="00E6341B" w:rsidRPr="00A35086">
        <w:rPr>
          <w:rFonts w:ascii="Calibri" w:hAnsi="Calibri"/>
        </w:rPr>
        <w:t>[30]</w:t>
      </w:r>
      <w:r w:rsidR="007B3690">
        <w:rPr>
          <w:rFonts w:ascii="Calibri" w:eastAsia="Times New Roman" w:hAnsi="Calibri"/>
        </w:rPr>
        <w:t xml:space="preserve">. </w:t>
      </w:r>
    </w:p>
    <w:p w:rsidR="005713CD" w:rsidRPr="00DF0436" w:rsidRDefault="005713CD" w:rsidP="00B16358">
      <w:pPr>
        <w:rPr>
          <w:rFonts w:ascii="Calibri" w:eastAsia="Times New Roman" w:hAnsi="Calibri"/>
        </w:rPr>
      </w:pPr>
      <w:r>
        <w:t xml:space="preserve">Table 3 sets out the basic assumptions in the model. All input tables within the model itself include sources to relevant input data. </w:t>
      </w:r>
    </w:p>
    <w:p w:rsidR="00573926" w:rsidRPr="00573926" w:rsidRDefault="00573926" w:rsidP="00B16358">
      <w:pPr>
        <w:rPr>
          <w:b/>
        </w:rPr>
      </w:pPr>
      <w:r w:rsidRPr="00573926">
        <w:rPr>
          <w:b/>
        </w:rPr>
        <w:t>Table 3: Major assumptions in the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678"/>
        <w:gridCol w:w="2925"/>
      </w:tblGrid>
      <w:tr w:rsidR="005713CD" w:rsidTr="000A3D69">
        <w:tc>
          <w:tcPr>
            <w:tcW w:w="1413" w:type="dxa"/>
          </w:tcPr>
          <w:p w:rsidR="005713CD" w:rsidRPr="00115120" w:rsidRDefault="005713CD" w:rsidP="00B16358">
            <w:pPr>
              <w:rPr>
                <w:rFonts w:cstheme="minorHAnsi"/>
                <w:b/>
                <w:sz w:val="19"/>
                <w:szCs w:val="19"/>
              </w:rPr>
            </w:pPr>
            <w:r w:rsidRPr="00115120">
              <w:rPr>
                <w:rFonts w:cstheme="minorHAnsi"/>
                <w:b/>
                <w:sz w:val="19"/>
                <w:szCs w:val="19"/>
              </w:rPr>
              <w:t>Data inputs</w:t>
            </w:r>
          </w:p>
        </w:tc>
        <w:tc>
          <w:tcPr>
            <w:tcW w:w="4678" w:type="dxa"/>
          </w:tcPr>
          <w:p w:rsidR="005713CD" w:rsidRPr="00115120" w:rsidRDefault="00573926" w:rsidP="00B16358">
            <w:pPr>
              <w:rPr>
                <w:rFonts w:cstheme="minorHAnsi"/>
                <w:b/>
                <w:sz w:val="19"/>
                <w:szCs w:val="19"/>
              </w:rPr>
            </w:pPr>
            <w:r w:rsidRPr="00115120">
              <w:rPr>
                <w:rFonts w:cstheme="minorHAnsi"/>
                <w:b/>
                <w:sz w:val="19"/>
                <w:szCs w:val="19"/>
              </w:rPr>
              <w:t>Major assumptions</w:t>
            </w:r>
          </w:p>
        </w:tc>
        <w:tc>
          <w:tcPr>
            <w:tcW w:w="2925" w:type="dxa"/>
          </w:tcPr>
          <w:p w:rsidR="005713CD" w:rsidRPr="00115120" w:rsidRDefault="005713CD" w:rsidP="00B16358">
            <w:pPr>
              <w:rPr>
                <w:rFonts w:cstheme="minorHAnsi"/>
                <w:b/>
                <w:sz w:val="19"/>
                <w:szCs w:val="19"/>
              </w:rPr>
            </w:pPr>
            <w:r w:rsidRPr="00115120">
              <w:rPr>
                <w:rFonts w:cstheme="minorHAnsi"/>
                <w:b/>
                <w:sz w:val="19"/>
                <w:szCs w:val="19"/>
              </w:rPr>
              <w:t>Notes and caveats</w:t>
            </w:r>
          </w:p>
        </w:tc>
      </w:tr>
      <w:tr w:rsidR="005713CD" w:rsidTr="000A3D69">
        <w:tc>
          <w:tcPr>
            <w:tcW w:w="1413" w:type="dxa"/>
          </w:tcPr>
          <w:p w:rsidR="005713CD" w:rsidRPr="00115120" w:rsidRDefault="005713CD" w:rsidP="00B16358">
            <w:pPr>
              <w:rPr>
                <w:rFonts w:cstheme="minorHAnsi"/>
                <w:sz w:val="19"/>
                <w:szCs w:val="19"/>
              </w:rPr>
            </w:pPr>
            <w:r w:rsidRPr="00115120">
              <w:rPr>
                <w:rFonts w:cstheme="minorHAnsi"/>
                <w:sz w:val="19"/>
                <w:szCs w:val="19"/>
              </w:rPr>
              <w:t>Vehicle growth rates to 2050</w:t>
            </w:r>
          </w:p>
        </w:tc>
        <w:tc>
          <w:tcPr>
            <w:tcW w:w="4678" w:type="dxa"/>
          </w:tcPr>
          <w:p w:rsidR="005713CD" w:rsidRPr="00115120" w:rsidRDefault="00573926" w:rsidP="00B16358">
            <w:pPr>
              <w:rPr>
                <w:rFonts w:cstheme="minorHAnsi"/>
                <w:sz w:val="19"/>
                <w:szCs w:val="19"/>
              </w:rPr>
            </w:pPr>
            <w:r w:rsidRPr="00115120">
              <w:rPr>
                <w:rFonts w:cstheme="minorHAnsi"/>
                <w:sz w:val="19"/>
                <w:szCs w:val="19"/>
              </w:rPr>
              <w:t>Growth to 500 million vehicles (excluding motorcycles) by 2050, of which 400 million cars.</w:t>
            </w:r>
          </w:p>
        </w:tc>
        <w:tc>
          <w:tcPr>
            <w:tcW w:w="2925" w:type="dxa"/>
          </w:tcPr>
          <w:p w:rsidR="005713CD" w:rsidRPr="00115120" w:rsidRDefault="00573926" w:rsidP="00573926">
            <w:pPr>
              <w:rPr>
                <w:rFonts w:cstheme="minorHAnsi"/>
                <w:sz w:val="19"/>
                <w:szCs w:val="19"/>
              </w:rPr>
            </w:pPr>
            <w:r w:rsidRPr="00115120">
              <w:rPr>
                <w:rFonts w:cstheme="minorHAnsi"/>
                <w:sz w:val="19"/>
                <w:szCs w:val="19"/>
              </w:rPr>
              <w:t xml:space="preserve">Based on Ou et al (2010) [5]. </w:t>
            </w:r>
            <w:r w:rsidR="005713CD" w:rsidRPr="00115120">
              <w:rPr>
                <w:rFonts w:cstheme="minorHAnsi"/>
                <w:sz w:val="19"/>
                <w:szCs w:val="19"/>
              </w:rPr>
              <w:t>Varied in sensitivity analysis in section 5</w:t>
            </w:r>
            <w:r w:rsidRPr="00115120">
              <w:rPr>
                <w:rFonts w:cstheme="minorHAnsi"/>
                <w:sz w:val="19"/>
                <w:szCs w:val="19"/>
              </w:rPr>
              <w:t>.</w:t>
            </w:r>
          </w:p>
        </w:tc>
      </w:tr>
      <w:tr w:rsidR="005807C1" w:rsidTr="000A3D69">
        <w:tc>
          <w:tcPr>
            <w:tcW w:w="1413" w:type="dxa"/>
          </w:tcPr>
          <w:p w:rsidR="005807C1" w:rsidRPr="00115120" w:rsidRDefault="005807C1" w:rsidP="00573926">
            <w:pPr>
              <w:rPr>
                <w:rFonts w:cstheme="minorHAnsi"/>
                <w:sz w:val="19"/>
                <w:szCs w:val="19"/>
              </w:rPr>
            </w:pPr>
            <w:r w:rsidRPr="00115120">
              <w:rPr>
                <w:rFonts w:cstheme="minorHAnsi"/>
                <w:sz w:val="19"/>
                <w:szCs w:val="19"/>
              </w:rPr>
              <w:t>Vehicle average distance travelled</w:t>
            </w:r>
          </w:p>
        </w:tc>
        <w:tc>
          <w:tcPr>
            <w:tcW w:w="4678" w:type="dxa"/>
          </w:tcPr>
          <w:p w:rsidR="005807C1" w:rsidRPr="00115120" w:rsidRDefault="009F5415" w:rsidP="009F5415">
            <w:pPr>
              <w:rPr>
                <w:rFonts w:cstheme="minorHAnsi"/>
                <w:sz w:val="19"/>
                <w:szCs w:val="19"/>
              </w:rPr>
            </w:pPr>
            <w:r w:rsidRPr="00115120">
              <w:rPr>
                <w:rFonts w:cstheme="minorHAnsi"/>
                <w:sz w:val="19"/>
                <w:szCs w:val="19"/>
              </w:rPr>
              <w:t>Heavy-duty trucks and buses 40,000 km per year; Medium-duty trucks 24,000 km per year; Light- and mini-trucks 20,000 km per year; Light-duty buses 30,000 km per year; Cars 15,000 km per year, Minivans 16,000 km per year, motorcycles 4,000 km per year (all by 2050)</w:t>
            </w:r>
          </w:p>
        </w:tc>
        <w:tc>
          <w:tcPr>
            <w:tcW w:w="2925" w:type="dxa"/>
          </w:tcPr>
          <w:p w:rsidR="005807C1" w:rsidRPr="00115120" w:rsidRDefault="005807C1" w:rsidP="00F94EDD">
            <w:pPr>
              <w:rPr>
                <w:rFonts w:cstheme="minorHAnsi"/>
                <w:sz w:val="19"/>
                <w:szCs w:val="19"/>
              </w:rPr>
            </w:pPr>
            <w:r w:rsidRPr="00115120">
              <w:rPr>
                <w:rFonts w:cstheme="minorHAnsi"/>
                <w:sz w:val="19"/>
                <w:szCs w:val="19"/>
              </w:rPr>
              <w:t>Ou et al (2010) [5]</w:t>
            </w:r>
            <w:r w:rsidR="00F94EDD" w:rsidRPr="00115120">
              <w:rPr>
                <w:rFonts w:cstheme="minorHAnsi"/>
                <w:sz w:val="19"/>
                <w:szCs w:val="19"/>
              </w:rPr>
              <w:t xml:space="preserve">, using projections based on current data from Yan and Crookes (2009) </w:t>
            </w:r>
            <w:r w:rsidR="00E6341B" w:rsidRPr="00A35086">
              <w:rPr>
                <w:rFonts w:ascii="Calibri" w:hAnsi="Calibri"/>
              </w:rPr>
              <w:t>[31]</w:t>
            </w:r>
          </w:p>
        </w:tc>
      </w:tr>
      <w:tr w:rsidR="005713CD" w:rsidTr="000A3D69">
        <w:tc>
          <w:tcPr>
            <w:tcW w:w="1413" w:type="dxa"/>
          </w:tcPr>
          <w:p w:rsidR="005713CD" w:rsidRPr="00115120" w:rsidRDefault="005713CD" w:rsidP="00573926">
            <w:pPr>
              <w:rPr>
                <w:rFonts w:cstheme="minorHAnsi"/>
                <w:sz w:val="19"/>
                <w:szCs w:val="19"/>
              </w:rPr>
            </w:pPr>
            <w:r w:rsidRPr="00115120">
              <w:rPr>
                <w:rFonts w:cstheme="minorHAnsi"/>
                <w:sz w:val="19"/>
                <w:szCs w:val="19"/>
              </w:rPr>
              <w:t xml:space="preserve">Vehicle </w:t>
            </w:r>
            <w:r w:rsidR="00573926" w:rsidRPr="00115120">
              <w:rPr>
                <w:rFonts w:cstheme="minorHAnsi"/>
                <w:sz w:val="19"/>
                <w:szCs w:val="19"/>
              </w:rPr>
              <w:t>median</w:t>
            </w:r>
            <w:r w:rsidRPr="00115120">
              <w:rPr>
                <w:rFonts w:cstheme="minorHAnsi"/>
                <w:sz w:val="19"/>
                <w:szCs w:val="19"/>
              </w:rPr>
              <w:t xml:space="preserve"> lifetimes (survival rates)</w:t>
            </w:r>
          </w:p>
        </w:tc>
        <w:tc>
          <w:tcPr>
            <w:tcW w:w="4678" w:type="dxa"/>
          </w:tcPr>
          <w:p w:rsidR="005713CD" w:rsidRPr="00115120" w:rsidRDefault="00573926" w:rsidP="00573926">
            <w:pPr>
              <w:rPr>
                <w:rFonts w:cstheme="minorHAnsi"/>
                <w:sz w:val="19"/>
                <w:szCs w:val="19"/>
              </w:rPr>
            </w:pPr>
            <w:r w:rsidRPr="00115120">
              <w:rPr>
                <w:rFonts w:cstheme="minorHAnsi"/>
                <w:sz w:val="19"/>
                <w:szCs w:val="19"/>
              </w:rPr>
              <w:t xml:space="preserve">15 years (mini-vans), 13 years (buses), 12 years (cars), 11 years (medium and light duty trucks), 8 years (heavy duty trucks), 7 years (motorcycles) 6 years (mini trucks), </w:t>
            </w:r>
          </w:p>
        </w:tc>
        <w:tc>
          <w:tcPr>
            <w:tcW w:w="2925" w:type="dxa"/>
          </w:tcPr>
          <w:p w:rsidR="005713CD" w:rsidRPr="00115120" w:rsidRDefault="005807C1" w:rsidP="005807C1">
            <w:pPr>
              <w:rPr>
                <w:rFonts w:cstheme="minorHAnsi"/>
                <w:sz w:val="19"/>
                <w:szCs w:val="19"/>
              </w:rPr>
            </w:pPr>
            <w:r w:rsidRPr="00115120">
              <w:rPr>
                <w:rFonts w:cstheme="minorHAnsi"/>
                <w:sz w:val="19"/>
                <w:szCs w:val="19"/>
              </w:rPr>
              <w:t xml:space="preserve">Yan and Crookes (2009) </w:t>
            </w:r>
            <w:r w:rsidR="00E6341B" w:rsidRPr="00A35086">
              <w:rPr>
                <w:rFonts w:ascii="Calibri" w:hAnsi="Calibri"/>
              </w:rPr>
              <w:t>[31]</w:t>
            </w:r>
            <w:r w:rsidRPr="00115120">
              <w:rPr>
                <w:rFonts w:cstheme="minorHAnsi"/>
                <w:sz w:val="19"/>
                <w:szCs w:val="19"/>
              </w:rPr>
              <w:t xml:space="preserve">as cited in </w:t>
            </w:r>
            <w:r w:rsidR="00573926" w:rsidRPr="00115120">
              <w:rPr>
                <w:rFonts w:cstheme="minorHAnsi"/>
                <w:sz w:val="19"/>
                <w:szCs w:val="19"/>
              </w:rPr>
              <w:t>Ou et al (2010) [5]</w:t>
            </w:r>
            <w:r w:rsidRPr="00115120">
              <w:rPr>
                <w:rFonts w:cstheme="minorHAnsi"/>
                <w:sz w:val="19"/>
                <w:szCs w:val="19"/>
              </w:rPr>
              <w:t xml:space="preserve"> </w:t>
            </w:r>
          </w:p>
        </w:tc>
      </w:tr>
      <w:tr w:rsidR="005713CD" w:rsidTr="000A3D69">
        <w:tc>
          <w:tcPr>
            <w:tcW w:w="1413" w:type="dxa"/>
          </w:tcPr>
          <w:p w:rsidR="005713CD" w:rsidRPr="00115120" w:rsidRDefault="005713CD" w:rsidP="00B16358">
            <w:pPr>
              <w:rPr>
                <w:rFonts w:cstheme="minorHAnsi"/>
                <w:sz w:val="19"/>
                <w:szCs w:val="19"/>
              </w:rPr>
            </w:pPr>
            <w:r w:rsidRPr="00115120">
              <w:rPr>
                <w:rFonts w:cstheme="minorHAnsi"/>
                <w:sz w:val="19"/>
                <w:szCs w:val="19"/>
              </w:rPr>
              <w:t xml:space="preserve">Share of drivetrain types in new vehicle sales to </w:t>
            </w:r>
            <w:r w:rsidR="00573926" w:rsidRPr="00115120">
              <w:rPr>
                <w:rFonts w:cstheme="minorHAnsi"/>
                <w:sz w:val="19"/>
                <w:szCs w:val="19"/>
              </w:rPr>
              <w:t>2050</w:t>
            </w:r>
            <w:r w:rsidR="00FF4EDD" w:rsidRPr="00115120">
              <w:rPr>
                <w:rFonts w:cstheme="minorHAnsi"/>
                <w:sz w:val="19"/>
                <w:szCs w:val="19"/>
              </w:rPr>
              <w:t xml:space="preserve"> in business-as-usual scenario</w:t>
            </w:r>
          </w:p>
        </w:tc>
        <w:tc>
          <w:tcPr>
            <w:tcW w:w="4678" w:type="dxa"/>
          </w:tcPr>
          <w:p w:rsidR="005713CD" w:rsidRPr="00115120" w:rsidRDefault="00573926" w:rsidP="00573926">
            <w:pPr>
              <w:rPr>
                <w:rFonts w:cstheme="minorHAnsi"/>
                <w:sz w:val="19"/>
                <w:szCs w:val="19"/>
              </w:rPr>
            </w:pPr>
            <w:r w:rsidRPr="00115120">
              <w:rPr>
                <w:rFonts w:cstheme="minorHAnsi"/>
                <w:sz w:val="19"/>
                <w:szCs w:val="19"/>
              </w:rPr>
              <w:t xml:space="preserve">For minivans, cars, buses </w:t>
            </w:r>
            <w:r w:rsidR="00C37ABB" w:rsidRPr="00115120">
              <w:rPr>
                <w:rFonts w:cstheme="minorHAnsi"/>
                <w:sz w:val="19"/>
                <w:szCs w:val="19"/>
              </w:rPr>
              <w:t xml:space="preserve">light duty trucks </w:t>
            </w:r>
            <w:r w:rsidRPr="00115120">
              <w:rPr>
                <w:rFonts w:cstheme="minorHAnsi"/>
                <w:sz w:val="19"/>
                <w:szCs w:val="19"/>
              </w:rPr>
              <w:t xml:space="preserve">and mini-trucks, by 2050 20% of new sales are hybrids, and 10% are fuel cell and electric vehicles. </w:t>
            </w:r>
          </w:p>
          <w:p w:rsidR="00FF4EDD" w:rsidRPr="00115120" w:rsidRDefault="00C37ABB" w:rsidP="00C37ABB">
            <w:pPr>
              <w:rPr>
                <w:rFonts w:cstheme="minorHAnsi"/>
                <w:sz w:val="19"/>
                <w:szCs w:val="19"/>
              </w:rPr>
            </w:pPr>
            <w:r w:rsidRPr="00115120">
              <w:rPr>
                <w:rFonts w:cstheme="minorHAnsi"/>
                <w:sz w:val="19"/>
                <w:szCs w:val="19"/>
              </w:rPr>
              <w:t>For heavy and</w:t>
            </w:r>
            <w:r w:rsidR="00FF4EDD" w:rsidRPr="00115120">
              <w:rPr>
                <w:rFonts w:cstheme="minorHAnsi"/>
                <w:sz w:val="19"/>
                <w:szCs w:val="19"/>
              </w:rPr>
              <w:t xml:space="preserve"> medium duty trucks, </w:t>
            </w:r>
            <w:r w:rsidRPr="00115120">
              <w:rPr>
                <w:rFonts w:cstheme="minorHAnsi"/>
                <w:sz w:val="19"/>
                <w:szCs w:val="19"/>
              </w:rPr>
              <w:t xml:space="preserve">by 2050 </w:t>
            </w:r>
            <w:r w:rsidR="00FF4EDD" w:rsidRPr="00115120">
              <w:rPr>
                <w:rFonts w:cstheme="minorHAnsi"/>
                <w:sz w:val="19"/>
                <w:szCs w:val="19"/>
              </w:rPr>
              <w:t>20</w:t>
            </w:r>
            <w:r w:rsidRPr="00115120">
              <w:rPr>
                <w:rFonts w:cstheme="minorHAnsi"/>
                <w:sz w:val="19"/>
                <w:szCs w:val="19"/>
              </w:rPr>
              <w:t>%</w:t>
            </w:r>
            <w:r w:rsidR="00FF4EDD" w:rsidRPr="00115120">
              <w:rPr>
                <w:rFonts w:cstheme="minorHAnsi"/>
                <w:sz w:val="19"/>
                <w:szCs w:val="19"/>
              </w:rPr>
              <w:t xml:space="preserve"> of new sales are hybrids, but no fuel cell or electric vehicles by 2050. </w:t>
            </w:r>
          </w:p>
        </w:tc>
        <w:tc>
          <w:tcPr>
            <w:tcW w:w="2925" w:type="dxa"/>
          </w:tcPr>
          <w:p w:rsidR="005713CD" w:rsidRPr="00115120" w:rsidRDefault="00C37ABB" w:rsidP="002A5F6F">
            <w:pPr>
              <w:rPr>
                <w:rFonts w:cstheme="minorHAnsi"/>
                <w:sz w:val="19"/>
                <w:szCs w:val="19"/>
              </w:rPr>
            </w:pPr>
            <w:r w:rsidRPr="00115120">
              <w:rPr>
                <w:rFonts w:cstheme="minorHAnsi"/>
                <w:sz w:val="19"/>
                <w:szCs w:val="19"/>
              </w:rPr>
              <w:t xml:space="preserve">Ou et al (2010) [5] for </w:t>
            </w:r>
            <w:r w:rsidR="002A5F6F">
              <w:rPr>
                <w:rFonts w:cstheme="minorHAnsi"/>
                <w:sz w:val="19"/>
                <w:szCs w:val="19"/>
              </w:rPr>
              <w:t>ICE, natural gas</w:t>
            </w:r>
            <w:r w:rsidRPr="00115120">
              <w:rPr>
                <w:rFonts w:cstheme="minorHAnsi"/>
                <w:sz w:val="19"/>
                <w:szCs w:val="19"/>
              </w:rPr>
              <w:t xml:space="preserve"> vehicles and hybrids, with own assumptions informed by IEA (2012) </w:t>
            </w:r>
            <w:r w:rsidR="00547F72" w:rsidRPr="00A35086">
              <w:rPr>
                <w:rFonts w:ascii="Calibri" w:hAnsi="Calibri"/>
              </w:rPr>
              <w:t>[20]</w:t>
            </w:r>
            <w:r w:rsidRPr="00115120">
              <w:rPr>
                <w:rFonts w:cstheme="minorHAnsi"/>
                <w:sz w:val="19"/>
                <w:szCs w:val="19"/>
              </w:rPr>
              <w:t xml:space="preserve"> and ERI (2014)  </w:t>
            </w:r>
            <w:r w:rsidR="00547F72" w:rsidRPr="00A35086">
              <w:rPr>
                <w:rFonts w:ascii="Calibri" w:hAnsi="Calibri"/>
              </w:rPr>
              <w:t>[21]</w:t>
            </w:r>
            <w:r w:rsidRPr="00115120">
              <w:rPr>
                <w:rFonts w:cstheme="minorHAnsi"/>
                <w:b/>
                <w:sz w:val="19"/>
                <w:szCs w:val="19"/>
                <w:vertAlign w:val="superscript"/>
              </w:rPr>
              <w:t xml:space="preserve">  </w:t>
            </w:r>
            <w:r w:rsidRPr="00115120">
              <w:rPr>
                <w:rFonts w:cstheme="minorHAnsi"/>
                <w:sz w:val="19"/>
                <w:szCs w:val="19"/>
              </w:rPr>
              <w:t>for fuel cell and electric vehicles.</w:t>
            </w:r>
          </w:p>
        </w:tc>
      </w:tr>
      <w:tr w:rsidR="00FF4EDD" w:rsidTr="000A3D69">
        <w:tc>
          <w:tcPr>
            <w:tcW w:w="1413" w:type="dxa"/>
          </w:tcPr>
          <w:p w:rsidR="00FF4EDD" w:rsidRPr="00115120" w:rsidRDefault="00FF4EDD" w:rsidP="00FF4EDD">
            <w:pPr>
              <w:rPr>
                <w:rFonts w:cstheme="minorHAnsi"/>
                <w:sz w:val="19"/>
                <w:szCs w:val="19"/>
              </w:rPr>
            </w:pPr>
            <w:r w:rsidRPr="00115120">
              <w:rPr>
                <w:rFonts w:cstheme="minorHAnsi"/>
                <w:sz w:val="19"/>
                <w:szCs w:val="19"/>
              </w:rPr>
              <w:t>Share of drivetrain types in new vehicle sales to 2050 in low-carbon scenario</w:t>
            </w:r>
          </w:p>
        </w:tc>
        <w:tc>
          <w:tcPr>
            <w:tcW w:w="4678" w:type="dxa"/>
          </w:tcPr>
          <w:p w:rsidR="00FF4EDD" w:rsidRPr="00115120" w:rsidRDefault="00FF4EDD" w:rsidP="002D5865">
            <w:pPr>
              <w:rPr>
                <w:rFonts w:cstheme="minorHAnsi"/>
                <w:sz w:val="19"/>
                <w:szCs w:val="19"/>
              </w:rPr>
            </w:pPr>
            <w:r w:rsidRPr="00115120">
              <w:rPr>
                <w:rFonts w:cstheme="minorHAnsi"/>
                <w:sz w:val="19"/>
                <w:szCs w:val="19"/>
              </w:rPr>
              <w:t>For minivans, cars, buses</w:t>
            </w:r>
            <w:r w:rsidR="00C37ABB" w:rsidRPr="00115120">
              <w:rPr>
                <w:rFonts w:cstheme="minorHAnsi"/>
                <w:sz w:val="19"/>
                <w:szCs w:val="19"/>
              </w:rPr>
              <w:t>, light duty trucks</w:t>
            </w:r>
            <w:r w:rsidRPr="00115120">
              <w:rPr>
                <w:rFonts w:cstheme="minorHAnsi"/>
                <w:sz w:val="19"/>
                <w:szCs w:val="19"/>
              </w:rPr>
              <w:t xml:space="preserve"> and mini-trucks, by 2050 </w:t>
            </w:r>
            <w:r w:rsidR="00C37ABB" w:rsidRPr="00115120">
              <w:rPr>
                <w:rFonts w:cstheme="minorHAnsi"/>
                <w:sz w:val="19"/>
                <w:szCs w:val="19"/>
              </w:rPr>
              <w:t xml:space="preserve">60% of new vehicle sales are hybrids, </w:t>
            </w:r>
            <w:r w:rsidRPr="00115120">
              <w:rPr>
                <w:rFonts w:cstheme="minorHAnsi"/>
                <w:sz w:val="19"/>
                <w:szCs w:val="19"/>
              </w:rPr>
              <w:t xml:space="preserve">and </w:t>
            </w:r>
            <w:r w:rsidR="00C37ABB" w:rsidRPr="00115120">
              <w:rPr>
                <w:rFonts w:cstheme="minorHAnsi"/>
                <w:sz w:val="19"/>
                <w:szCs w:val="19"/>
              </w:rPr>
              <w:t>40</w:t>
            </w:r>
            <w:r w:rsidRPr="00115120">
              <w:rPr>
                <w:rFonts w:cstheme="minorHAnsi"/>
                <w:sz w:val="19"/>
                <w:szCs w:val="19"/>
              </w:rPr>
              <w:t xml:space="preserve">% are fuel cell and electric vehicles. </w:t>
            </w:r>
          </w:p>
          <w:p w:rsidR="00FF4EDD" w:rsidRPr="00115120" w:rsidRDefault="00FF4EDD" w:rsidP="002D5865">
            <w:pPr>
              <w:rPr>
                <w:rFonts w:cstheme="minorHAnsi"/>
                <w:sz w:val="19"/>
                <w:szCs w:val="19"/>
              </w:rPr>
            </w:pPr>
          </w:p>
          <w:p w:rsidR="00FF4EDD" w:rsidRPr="00115120" w:rsidRDefault="00FF4EDD" w:rsidP="00C37ABB">
            <w:pPr>
              <w:rPr>
                <w:rFonts w:cstheme="minorHAnsi"/>
                <w:sz w:val="19"/>
                <w:szCs w:val="19"/>
              </w:rPr>
            </w:pPr>
            <w:r w:rsidRPr="00115120">
              <w:rPr>
                <w:rFonts w:cstheme="minorHAnsi"/>
                <w:sz w:val="19"/>
                <w:szCs w:val="19"/>
              </w:rPr>
              <w:t>For heavy</w:t>
            </w:r>
            <w:r w:rsidR="00C37ABB" w:rsidRPr="00115120">
              <w:rPr>
                <w:rFonts w:cstheme="minorHAnsi"/>
                <w:sz w:val="19"/>
                <w:szCs w:val="19"/>
              </w:rPr>
              <w:t xml:space="preserve"> and</w:t>
            </w:r>
            <w:r w:rsidRPr="00115120">
              <w:rPr>
                <w:rFonts w:cstheme="minorHAnsi"/>
                <w:sz w:val="19"/>
                <w:szCs w:val="19"/>
              </w:rPr>
              <w:t xml:space="preserve"> medium duty trucks, </w:t>
            </w:r>
            <w:r w:rsidR="00C37ABB" w:rsidRPr="00115120">
              <w:rPr>
                <w:rFonts w:cstheme="minorHAnsi"/>
                <w:sz w:val="19"/>
                <w:szCs w:val="19"/>
              </w:rPr>
              <w:t>by 2050 60%</w:t>
            </w:r>
            <w:r w:rsidRPr="00115120">
              <w:rPr>
                <w:rFonts w:cstheme="minorHAnsi"/>
                <w:sz w:val="19"/>
                <w:szCs w:val="19"/>
              </w:rPr>
              <w:t xml:space="preserve"> of new </w:t>
            </w:r>
            <w:r w:rsidR="00C37ABB" w:rsidRPr="00115120">
              <w:rPr>
                <w:rFonts w:cstheme="minorHAnsi"/>
                <w:sz w:val="19"/>
                <w:szCs w:val="19"/>
              </w:rPr>
              <w:t xml:space="preserve">vehicle </w:t>
            </w:r>
            <w:r w:rsidRPr="00115120">
              <w:rPr>
                <w:rFonts w:cstheme="minorHAnsi"/>
                <w:sz w:val="19"/>
                <w:szCs w:val="19"/>
              </w:rPr>
              <w:t xml:space="preserve">sales are hybrids, </w:t>
            </w:r>
            <w:r w:rsidR="00C37ABB" w:rsidRPr="00115120">
              <w:rPr>
                <w:rFonts w:cstheme="minorHAnsi"/>
                <w:sz w:val="19"/>
                <w:szCs w:val="19"/>
              </w:rPr>
              <w:t>and 20% are fuel cells.</w:t>
            </w:r>
          </w:p>
        </w:tc>
        <w:tc>
          <w:tcPr>
            <w:tcW w:w="2925" w:type="dxa"/>
          </w:tcPr>
          <w:p w:rsidR="00FF4EDD" w:rsidRPr="00115120" w:rsidRDefault="00FF4EDD" w:rsidP="002A5F6F">
            <w:pPr>
              <w:rPr>
                <w:rFonts w:cstheme="minorHAnsi"/>
                <w:sz w:val="19"/>
                <w:szCs w:val="19"/>
              </w:rPr>
            </w:pPr>
            <w:r w:rsidRPr="00115120">
              <w:rPr>
                <w:rFonts w:cstheme="minorHAnsi"/>
                <w:sz w:val="19"/>
                <w:szCs w:val="19"/>
              </w:rPr>
              <w:t xml:space="preserve">Ou et al (2010) [5] for </w:t>
            </w:r>
            <w:r w:rsidR="002A5F6F">
              <w:rPr>
                <w:rFonts w:cstheme="minorHAnsi"/>
                <w:sz w:val="19"/>
                <w:szCs w:val="19"/>
              </w:rPr>
              <w:t>ICE, natural gas</w:t>
            </w:r>
            <w:r w:rsidRPr="00115120">
              <w:rPr>
                <w:rFonts w:cstheme="minorHAnsi"/>
                <w:sz w:val="19"/>
                <w:szCs w:val="19"/>
              </w:rPr>
              <w:t xml:space="preserve"> vehicles and hybrids, with own assumptions informed by IEA (2012) </w:t>
            </w:r>
            <w:r w:rsidR="00547F72" w:rsidRPr="00A35086">
              <w:rPr>
                <w:rFonts w:ascii="Calibri" w:hAnsi="Calibri"/>
              </w:rPr>
              <w:t>[20]</w:t>
            </w:r>
            <w:r w:rsidR="00C37ABB" w:rsidRPr="00115120">
              <w:rPr>
                <w:rFonts w:cstheme="minorHAnsi"/>
                <w:sz w:val="19"/>
                <w:szCs w:val="19"/>
              </w:rPr>
              <w:t xml:space="preserve"> </w:t>
            </w:r>
            <w:r w:rsidRPr="00115120">
              <w:rPr>
                <w:rFonts w:cstheme="minorHAnsi"/>
                <w:sz w:val="19"/>
                <w:szCs w:val="19"/>
              </w:rPr>
              <w:t xml:space="preserve">and ERI (2014)  </w:t>
            </w:r>
            <w:r w:rsidR="00547F72" w:rsidRPr="00A35086">
              <w:rPr>
                <w:rFonts w:ascii="Calibri" w:hAnsi="Calibri"/>
              </w:rPr>
              <w:t>[21]</w:t>
            </w:r>
            <w:r w:rsidR="00C37ABB" w:rsidRPr="00115120">
              <w:rPr>
                <w:rFonts w:cstheme="minorHAnsi"/>
                <w:b/>
                <w:sz w:val="19"/>
                <w:szCs w:val="19"/>
                <w:vertAlign w:val="superscript"/>
              </w:rPr>
              <w:t xml:space="preserve">  </w:t>
            </w:r>
            <w:r w:rsidRPr="00115120">
              <w:rPr>
                <w:rFonts w:cstheme="minorHAnsi"/>
                <w:sz w:val="19"/>
                <w:szCs w:val="19"/>
              </w:rPr>
              <w:t xml:space="preserve">for fuel cell and electric vehicles. Varied in sensitivity analysis in Section 5. </w:t>
            </w:r>
          </w:p>
        </w:tc>
      </w:tr>
      <w:tr w:rsidR="005807C1" w:rsidTr="000A3D69">
        <w:tc>
          <w:tcPr>
            <w:tcW w:w="1413" w:type="dxa"/>
          </w:tcPr>
          <w:p w:rsidR="005807C1" w:rsidRPr="00115120" w:rsidRDefault="005807C1" w:rsidP="00897C14">
            <w:pPr>
              <w:rPr>
                <w:rFonts w:cstheme="minorHAnsi"/>
                <w:sz w:val="19"/>
                <w:szCs w:val="19"/>
              </w:rPr>
            </w:pPr>
            <w:r w:rsidRPr="00115120">
              <w:rPr>
                <w:rFonts w:cstheme="minorHAnsi"/>
                <w:sz w:val="19"/>
                <w:szCs w:val="19"/>
              </w:rPr>
              <w:t>Fuel efficiency</w:t>
            </w:r>
          </w:p>
        </w:tc>
        <w:tc>
          <w:tcPr>
            <w:tcW w:w="4678" w:type="dxa"/>
          </w:tcPr>
          <w:p w:rsidR="009F5415" w:rsidRPr="00115120" w:rsidRDefault="009F5415" w:rsidP="009F5415">
            <w:pPr>
              <w:rPr>
                <w:rFonts w:cstheme="minorHAnsi"/>
                <w:sz w:val="19"/>
                <w:szCs w:val="19"/>
              </w:rPr>
            </w:pPr>
            <w:r w:rsidRPr="00115120">
              <w:rPr>
                <w:rFonts w:cstheme="minorHAnsi"/>
                <w:sz w:val="19"/>
                <w:szCs w:val="19"/>
              </w:rPr>
              <w:t>All trucks, buses and motorcycles: efficiency improves at 0.3% per year to 2030, then no further improvements.</w:t>
            </w:r>
          </w:p>
          <w:p w:rsidR="005807C1" w:rsidRPr="00115120" w:rsidRDefault="009F5415" w:rsidP="009F5415">
            <w:pPr>
              <w:rPr>
                <w:rFonts w:cstheme="minorHAnsi"/>
                <w:sz w:val="19"/>
                <w:szCs w:val="19"/>
              </w:rPr>
            </w:pPr>
            <w:r w:rsidRPr="00115120">
              <w:rPr>
                <w:rFonts w:cstheme="minorHAnsi"/>
                <w:sz w:val="19"/>
                <w:szCs w:val="19"/>
              </w:rPr>
              <w:t>Cars and minivans: efficiency improves at 1.3% per year (except for diesel which is 15% per year) to 2030, then no further improvements.</w:t>
            </w:r>
          </w:p>
        </w:tc>
        <w:tc>
          <w:tcPr>
            <w:tcW w:w="2925" w:type="dxa"/>
          </w:tcPr>
          <w:p w:rsidR="005807C1" w:rsidRPr="00115120" w:rsidRDefault="005807C1" w:rsidP="00F60C1A">
            <w:pPr>
              <w:rPr>
                <w:rFonts w:cstheme="minorHAnsi"/>
                <w:sz w:val="19"/>
                <w:szCs w:val="19"/>
              </w:rPr>
            </w:pPr>
            <w:r w:rsidRPr="00115120">
              <w:rPr>
                <w:rFonts w:cstheme="minorHAnsi"/>
                <w:sz w:val="19"/>
                <w:szCs w:val="19"/>
              </w:rPr>
              <w:t>Ou et al (2010) [5], tested for passenger cars in sensitivity analysis in Section 5.</w:t>
            </w:r>
          </w:p>
        </w:tc>
      </w:tr>
      <w:tr w:rsidR="00FF4EDD" w:rsidTr="000A3D69">
        <w:tc>
          <w:tcPr>
            <w:tcW w:w="1413" w:type="dxa"/>
          </w:tcPr>
          <w:p w:rsidR="00FF4EDD" w:rsidRPr="00115120" w:rsidRDefault="00C37ABB" w:rsidP="00897C14">
            <w:pPr>
              <w:rPr>
                <w:rFonts w:cstheme="minorHAnsi"/>
                <w:sz w:val="19"/>
                <w:szCs w:val="19"/>
              </w:rPr>
            </w:pPr>
            <w:r w:rsidRPr="00115120">
              <w:rPr>
                <w:rFonts w:cstheme="minorHAnsi"/>
                <w:sz w:val="19"/>
                <w:szCs w:val="19"/>
              </w:rPr>
              <w:t>Vehicle cost estimates</w:t>
            </w:r>
          </w:p>
        </w:tc>
        <w:tc>
          <w:tcPr>
            <w:tcW w:w="4678" w:type="dxa"/>
          </w:tcPr>
          <w:p w:rsidR="00463007" w:rsidRPr="00115120" w:rsidRDefault="00C37ABB" w:rsidP="00B16358">
            <w:pPr>
              <w:rPr>
                <w:rFonts w:cstheme="minorHAnsi"/>
                <w:sz w:val="19"/>
                <w:szCs w:val="19"/>
              </w:rPr>
            </w:pPr>
            <w:r w:rsidRPr="00115120">
              <w:rPr>
                <w:rFonts w:cstheme="minorHAnsi"/>
                <w:sz w:val="19"/>
                <w:szCs w:val="19"/>
              </w:rPr>
              <w:t xml:space="preserve">By 2050 most truck </w:t>
            </w:r>
            <w:r w:rsidR="00C3785D">
              <w:rPr>
                <w:rFonts w:cstheme="minorHAnsi"/>
                <w:sz w:val="19"/>
                <w:szCs w:val="19"/>
              </w:rPr>
              <w:t>electric, fuel cell</w:t>
            </w:r>
            <w:r w:rsidRPr="00115120">
              <w:rPr>
                <w:rFonts w:cstheme="minorHAnsi"/>
                <w:sz w:val="19"/>
                <w:szCs w:val="19"/>
              </w:rPr>
              <w:t xml:space="preserve"> and hybrid</w:t>
            </w:r>
            <w:r w:rsidR="00C3785D">
              <w:rPr>
                <w:rFonts w:cstheme="minorHAnsi"/>
                <w:sz w:val="19"/>
                <w:szCs w:val="19"/>
              </w:rPr>
              <w:t xml:space="preserve"> electric vehicle</w:t>
            </w:r>
            <w:r w:rsidRPr="00115120">
              <w:rPr>
                <w:rFonts w:cstheme="minorHAnsi"/>
                <w:sz w:val="19"/>
                <w:szCs w:val="19"/>
              </w:rPr>
              <w:t xml:space="preserve"> costs are approximately equal to ICE drivetrains. </w:t>
            </w:r>
          </w:p>
          <w:p w:rsidR="00FF4EDD" w:rsidRPr="00115120" w:rsidRDefault="00463007" w:rsidP="00B16358">
            <w:pPr>
              <w:rPr>
                <w:rFonts w:cstheme="minorHAnsi"/>
                <w:sz w:val="19"/>
                <w:szCs w:val="19"/>
              </w:rPr>
            </w:pPr>
            <w:r w:rsidRPr="00115120">
              <w:rPr>
                <w:rFonts w:cstheme="minorHAnsi"/>
                <w:sz w:val="19"/>
                <w:szCs w:val="19"/>
              </w:rPr>
              <w:t xml:space="preserve">Bus </w:t>
            </w:r>
            <w:r w:rsidR="00C3785D">
              <w:rPr>
                <w:rFonts w:cstheme="minorHAnsi"/>
                <w:sz w:val="19"/>
                <w:szCs w:val="19"/>
              </w:rPr>
              <w:t>fuel call and electric vehicles</w:t>
            </w:r>
            <w:r w:rsidRPr="00115120">
              <w:rPr>
                <w:rFonts w:cstheme="minorHAnsi"/>
                <w:sz w:val="19"/>
                <w:szCs w:val="19"/>
              </w:rPr>
              <w:t xml:space="preserve"> about 10-20% more expensive than ICE drivetrains. </w:t>
            </w:r>
          </w:p>
          <w:p w:rsidR="00463007" w:rsidRPr="00115120" w:rsidRDefault="00463007" w:rsidP="00B16358">
            <w:pPr>
              <w:rPr>
                <w:rFonts w:cstheme="minorHAnsi"/>
                <w:sz w:val="19"/>
                <w:szCs w:val="19"/>
              </w:rPr>
            </w:pPr>
            <w:r w:rsidRPr="00115120">
              <w:rPr>
                <w:rFonts w:cstheme="minorHAnsi"/>
                <w:sz w:val="19"/>
                <w:szCs w:val="19"/>
              </w:rPr>
              <w:lastRenderedPageBreak/>
              <w:t>Cars a</w:t>
            </w:r>
            <w:r w:rsidR="00C3785D">
              <w:rPr>
                <w:rFonts w:cstheme="minorHAnsi"/>
                <w:sz w:val="19"/>
                <w:szCs w:val="19"/>
              </w:rPr>
              <w:t>nd minivan electric vehicle</w:t>
            </w:r>
            <w:r w:rsidRPr="00115120">
              <w:rPr>
                <w:rFonts w:cstheme="minorHAnsi"/>
                <w:sz w:val="19"/>
                <w:szCs w:val="19"/>
              </w:rPr>
              <w:t xml:space="preserve">s 25-75% more expensive than ICE. </w:t>
            </w:r>
          </w:p>
        </w:tc>
        <w:tc>
          <w:tcPr>
            <w:tcW w:w="2925" w:type="dxa"/>
          </w:tcPr>
          <w:p w:rsidR="00896AAE" w:rsidRPr="00115120" w:rsidRDefault="00463007" w:rsidP="00896AAE">
            <w:pPr>
              <w:rPr>
                <w:rFonts w:cstheme="minorHAnsi"/>
                <w:sz w:val="19"/>
                <w:szCs w:val="19"/>
              </w:rPr>
            </w:pPr>
            <w:r w:rsidRPr="00115120">
              <w:rPr>
                <w:rFonts w:cstheme="minorHAnsi"/>
                <w:sz w:val="19"/>
                <w:szCs w:val="19"/>
              </w:rPr>
              <w:lastRenderedPageBreak/>
              <w:t xml:space="preserve">Sources for specific vehicle figures detailed in </w:t>
            </w:r>
            <w:r w:rsidR="00F60C1A" w:rsidRPr="00115120">
              <w:rPr>
                <w:rFonts w:cstheme="minorHAnsi"/>
                <w:sz w:val="19"/>
                <w:szCs w:val="19"/>
              </w:rPr>
              <w:t>Annex</w:t>
            </w:r>
            <w:r w:rsidR="00897C14" w:rsidRPr="00115120">
              <w:rPr>
                <w:rFonts w:cstheme="minorHAnsi"/>
                <w:sz w:val="19"/>
                <w:szCs w:val="19"/>
              </w:rPr>
              <w:t xml:space="preserve"> B</w:t>
            </w:r>
            <w:r w:rsidRPr="00115120">
              <w:rPr>
                <w:rFonts w:cstheme="minorHAnsi"/>
                <w:sz w:val="19"/>
                <w:szCs w:val="19"/>
              </w:rPr>
              <w:t xml:space="preserve">  – </w:t>
            </w:r>
            <w:r w:rsidR="00703A17" w:rsidRPr="00115120">
              <w:rPr>
                <w:rFonts w:cstheme="minorHAnsi"/>
                <w:sz w:val="19"/>
                <w:szCs w:val="19"/>
              </w:rPr>
              <w:t xml:space="preserve">main </w:t>
            </w:r>
            <w:r w:rsidRPr="00115120">
              <w:rPr>
                <w:rFonts w:cstheme="minorHAnsi"/>
                <w:sz w:val="19"/>
                <w:szCs w:val="19"/>
              </w:rPr>
              <w:t xml:space="preserve">sources are </w:t>
            </w:r>
            <w:r w:rsidR="00703A17" w:rsidRPr="00115120">
              <w:rPr>
                <w:rFonts w:cstheme="minorHAnsi"/>
                <w:sz w:val="19"/>
                <w:szCs w:val="19"/>
              </w:rPr>
              <w:t>UK D</w:t>
            </w:r>
            <w:r w:rsidRPr="00115120">
              <w:rPr>
                <w:rFonts w:cstheme="minorHAnsi"/>
                <w:sz w:val="19"/>
                <w:szCs w:val="19"/>
              </w:rPr>
              <w:t>ECC (n.d.)</w:t>
            </w:r>
            <w:r w:rsidR="00703A17" w:rsidRPr="00115120">
              <w:rPr>
                <w:rFonts w:cstheme="minorHAnsi"/>
                <w:sz w:val="19"/>
                <w:szCs w:val="19"/>
              </w:rPr>
              <w:t xml:space="preserve"> </w:t>
            </w:r>
            <w:r w:rsidR="00E6341B" w:rsidRPr="00A35086">
              <w:rPr>
                <w:rFonts w:ascii="Calibri" w:hAnsi="Calibri"/>
              </w:rPr>
              <w:t>[32]</w:t>
            </w:r>
            <w:r w:rsidRPr="00115120">
              <w:rPr>
                <w:rFonts w:cstheme="minorHAnsi"/>
                <w:sz w:val="19"/>
                <w:szCs w:val="19"/>
              </w:rPr>
              <w:t xml:space="preserve"> and ETSAP (2010)</w:t>
            </w:r>
            <w:r w:rsidR="00703A17" w:rsidRPr="00115120">
              <w:rPr>
                <w:rFonts w:cstheme="minorHAnsi"/>
                <w:sz w:val="19"/>
                <w:szCs w:val="19"/>
              </w:rPr>
              <w:t xml:space="preserve"> </w:t>
            </w:r>
            <w:r w:rsidR="00E6341B" w:rsidRPr="00A35086">
              <w:rPr>
                <w:rFonts w:ascii="Calibri" w:hAnsi="Calibri"/>
              </w:rPr>
              <w:t>[33]</w:t>
            </w:r>
            <w:r w:rsidR="00703A17" w:rsidRPr="00115120">
              <w:rPr>
                <w:rFonts w:cstheme="minorHAnsi"/>
                <w:sz w:val="19"/>
                <w:szCs w:val="19"/>
              </w:rPr>
              <w:t>.</w:t>
            </w:r>
            <w:r w:rsidR="00896AAE">
              <w:rPr>
                <w:rFonts w:cstheme="minorHAnsi"/>
                <w:sz w:val="19"/>
                <w:szCs w:val="19"/>
              </w:rPr>
              <w:t xml:space="preserve"> All costs in </w:t>
            </w:r>
            <w:r w:rsidR="00896AAE">
              <w:rPr>
                <w:rFonts w:cstheme="minorHAnsi"/>
                <w:sz w:val="19"/>
                <w:szCs w:val="19"/>
              </w:rPr>
              <w:lastRenderedPageBreak/>
              <w:t>US$2010, converted from GBP using an exchange rate of $1.6/£</w:t>
            </w:r>
          </w:p>
        </w:tc>
      </w:tr>
      <w:tr w:rsidR="00FF4EDD" w:rsidTr="000A3D69">
        <w:tc>
          <w:tcPr>
            <w:tcW w:w="1413" w:type="dxa"/>
          </w:tcPr>
          <w:p w:rsidR="00FF4EDD" w:rsidRPr="00115120" w:rsidRDefault="00EB6B85" w:rsidP="00B16358">
            <w:pPr>
              <w:rPr>
                <w:rFonts w:cstheme="minorHAnsi"/>
                <w:sz w:val="19"/>
                <w:szCs w:val="19"/>
              </w:rPr>
            </w:pPr>
            <w:r w:rsidRPr="00115120">
              <w:rPr>
                <w:rFonts w:cstheme="minorHAnsi"/>
                <w:sz w:val="19"/>
                <w:szCs w:val="19"/>
              </w:rPr>
              <w:lastRenderedPageBreak/>
              <w:t>Blend of biofuels in gasoline an</w:t>
            </w:r>
            <w:r w:rsidR="00DD1C83" w:rsidRPr="00115120">
              <w:rPr>
                <w:rFonts w:cstheme="minorHAnsi"/>
                <w:sz w:val="19"/>
                <w:szCs w:val="19"/>
              </w:rPr>
              <w:t>d</w:t>
            </w:r>
            <w:r w:rsidRPr="00115120">
              <w:rPr>
                <w:rFonts w:cstheme="minorHAnsi"/>
                <w:sz w:val="19"/>
                <w:szCs w:val="19"/>
              </w:rPr>
              <w:t xml:space="preserve"> diesel</w:t>
            </w:r>
          </w:p>
        </w:tc>
        <w:tc>
          <w:tcPr>
            <w:tcW w:w="4678" w:type="dxa"/>
          </w:tcPr>
          <w:p w:rsidR="00FF4EDD" w:rsidRPr="00115120" w:rsidRDefault="0032680B" w:rsidP="00B16358">
            <w:pPr>
              <w:rPr>
                <w:rFonts w:cstheme="minorHAnsi"/>
                <w:sz w:val="19"/>
                <w:szCs w:val="19"/>
              </w:rPr>
            </w:pPr>
            <w:r>
              <w:rPr>
                <w:rFonts w:cstheme="minorHAnsi"/>
                <w:sz w:val="19"/>
                <w:szCs w:val="19"/>
              </w:rPr>
              <w:t>Business-as-usual</w:t>
            </w:r>
            <w:r w:rsidR="00EB6B85" w:rsidRPr="00115120">
              <w:rPr>
                <w:rFonts w:cstheme="minorHAnsi"/>
                <w:sz w:val="19"/>
                <w:szCs w:val="19"/>
              </w:rPr>
              <w:t>: 10% by energy in 2050, of which 40% 1st generation, 60% 2</w:t>
            </w:r>
            <w:r w:rsidR="00EB6B85" w:rsidRPr="00115120">
              <w:rPr>
                <w:rFonts w:cstheme="minorHAnsi"/>
                <w:sz w:val="19"/>
                <w:szCs w:val="19"/>
                <w:vertAlign w:val="superscript"/>
              </w:rPr>
              <w:t>nd</w:t>
            </w:r>
            <w:r w:rsidR="00EB6B85" w:rsidRPr="00115120">
              <w:rPr>
                <w:rFonts w:cstheme="minorHAnsi"/>
                <w:sz w:val="19"/>
                <w:szCs w:val="19"/>
              </w:rPr>
              <w:t xml:space="preserve"> generation. </w:t>
            </w:r>
          </w:p>
          <w:p w:rsidR="00EB6B85" w:rsidRPr="00115120" w:rsidRDefault="00EB6B85" w:rsidP="00B16358">
            <w:pPr>
              <w:rPr>
                <w:rFonts w:cstheme="minorHAnsi"/>
                <w:sz w:val="19"/>
                <w:szCs w:val="19"/>
              </w:rPr>
            </w:pPr>
            <w:r w:rsidRPr="00115120">
              <w:rPr>
                <w:rFonts w:cstheme="minorHAnsi"/>
                <w:sz w:val="19"/>
                <w:szCs w:val="19"/>
              </w:rPr>
              <w:t>L</w:t>
            </w:r>
            <w:r w:rsidR="0032680B">
              <w:rPr>
                <w:rFonts w:cstheme="minorHAnsi"/>
                <w:sz w:val="19"/>
                <w:szCs w:val="19"/>
              </w:rPr>
              <w:t>ow-</w:t>
            </w:r>
            <w:r w:rsidRPr="00115120">
              <w:rPr>
                <w:rFonts w:cstheme="minorHAnsi"/>
                <w:sz w:val="19"/>
                <w:szCs w:val="19"/>
              </w:rPr>
              <w:t>C</w:t>
            </w:r>
            <w:r w:rsidR="0032680B">
              <w:rPr>
                <w:rFonts w:cstheme="minorHAnsi"/>
                <w:sz w:val="19"/>
                <w:szCs w:val="19"/>
              </w:rPr>
              <w:t>arbon</w:t>
            </w:r>
            <w:r w:rsidRPr="00115120">
              <w:rPr>
                <w:rFonts w:cstheme="minorHAnsi"/>
                <w:sz w:val="19"/>
                <w:szCs w:val="19"/>
              </w:rPr>
              <w:t>: 25% in 2050, of which 20% 1</w:t>
            </w:r>
            <w:r w:rsidRPr="00115120">
              <w:rPr>
                <w:rFonts w:cstheme="minorHAnsi"/>
                <w:sz w:val="19"/>
                <w:szCs w:val="19"/>
                <w:vertAlign w:val="superscript"/>
              </w:rPr>
              <w:t>st</w:t>
            </w:r>
            <w:r w:rsidRPr="00115120">
              <w:rPr>
                <w:rFonts w:cstheme="minorHAnsi"/>
                <w:sz w:val="19"/>
                <w:szCs w:val="19"/>
              </w:rPr>
              <w:t xml:space="preserve"> generation, 80% 2</w:t>
            </w:r>
            <w:r w:rsidRPr="00115120">
              <w:rPr>
                <w:rFonts w:cstheme="minorHAnsi"/>
                <w:sz w:val="19"/>
                <w:szCs w:val="19"/>
                <w:vertAlign w:val="superscript"/>
              </w:rPr>
              <w:t>nd</w:t>
            </w:r>
            <w:r w:rsidRPr="00115120">
              <w:rPr>
                <w:rFonts w:cstheme="minorHAnsi"/>
                <w:sz w:val="19"/>
                <w:szCs w:val="19"/>
              </w:rPr>
              <w:t xml:space="preserve"> generation. </w:t>
            </w:r>
          </w:p>
        </w:tc>
        <w:tc>
          <w:tcPr>
            <w:tcW w:w="2925" w:type="dxa"/>
          </w:tcPr>
          <w:p w:rsidR="00FF4EDD" w:rsidRPr="00115120" w:rsidRDefault="00EB6B85" w:rsidP="00B16358">
            <w:pPr>
              <w:rPr>
                <w:rFonts w:cstheme="minorHAnsi"/>
                <w:sz w:val="19"/>
                <w:szCs w:val="19"/>
              </w:rPr>
            </w:pPr>
            <w:r w:rsidRPr="00115120">
              <w:rPr>
                <w:rFonts w:cstheme="minorHAnsi"/>
                <w:sz w:val="19"/>
                <w:szCs w:val="19"/>
              </w:rPr>
              <w:t xml:space="preserve">Own assumptions informed by projected production of biofuels from </w:t>
            </w:r>
            <w:r w:rsidR="005807C1" w:rsidRPr="00115120">
              <w:rPr>
                <w:rFonts w:cstheme="minorHAnsi"/>
                <w:sz w:val="19"/>
                <w:szCs w:val="19"/>
              </w:rPr>
              <w:t>Ou et al (2010) [5]</w:t>
            </w:r>
            <w:r w:rsidRPr="00115120">
              <w:rPr>
                <w:rFonts w:cstheme="minorHAnsi"/>
                <w:sz w:val="19"/>
                <w:szCs w:val="19"/>
              </w:rPr>
              <w:t xml:space="preserve">. </w:t>
            </w:r>
          </w:p>
        </w:tc>
      </w:tr>
      <w:tr w:rsidR="00897C14" w:rsidTr="000A3D69">
        <w:tc>
          <w:tcPr>
            <w:tcW w:w="1413" w:type="dxa"/>
          </w:tcPr>
          <w:p w:rsidR="00897C14" w:rsidRPr="00115120" w:rsidRDefault="00897C14" w:rsidP="00897C14">
            <w:pPr>
              <w:rPr>
                <w:rFonts w:cstheme="minorHAnsi"/>
                <w:sz w:val="19"/>
                <w:szCs w:val="19"/>
              </w:rPr>
            </w:pPr>
            <w:r w:rsidRPr="00115120">
              <w:rPr>
                <w:rFonts w:cstheme="minorHAnsi"/>
                <w:sz w:val="19"/>
                <w:szCs w:val="19"/>
              </w:rPr>
              <w:t xml:space="preserve">Fuel </w:t>
            </w:r>
            <w:r w:rsidR="0083756F" w:rsidRPr="00115120">
              <w:rPr>
                <w:rFonts w:eastAsia="Times New Roman" w:cstheme="minorHAnsi"/>
                <w:sz w:val="19"/>
                <w:szCs w:val="19"/>
              </w:rPr>
              <w:t>CO</w:t>
            </w:r>
            <w:r w:rsidR="0083756F" w:rsidRPr="00115120">
              <w:rPr>
                <w:rFonts w:eastAsia="Times New Roman" w:cstheme="minorHAnsi"/>
                <w:sz w:val="19"/>
                <w:szCs w:val="19"/>
                <w:vertAlign w:val="subscript"/>
              </w:rPr>
              <w:t xml:space="preserve">2 </w:t>
            </w:r>
            <w:r w:rsidRPr="00115120">
              <w:rPr>
                <w:rFonts w:cstheme="minorHAnsi"/>
                <w:sz w:val="19"/>
                <w:szCs w:val="19"/>
              </w:rPr>
              <w:t>emissions factors</w:t>
            </w:r>
          </w:p>
        </w:tc>
        <w:tc>
          <w:tcPr>
            <w:tcW w:w="4678" w:type="dxa"/>
          </w:tcPr>
          <w:p w:rsidR="00897C14" w:rsidRPr="00115120" w:rsidRDefault="001A14F4" w:rsidP="00570474">
            <w:pPr>
              <w:rPr>
                <w:rFonts w:cstheme="minorHAnsi"/>
                <w:sz w:val="19"/>
                <w:szCs w:val="19"/>
              </w:rPr>
            </w:pPr>
            <w:r w:rsidRPr="00115120">
              <w:rPr>
                <w:rFonts w:cstheme="minorHAnsi"/>
                <w:sz w:val="19"/>
                <w:szCs w:val="19"/>
              </w:rPr>
              <w:t>Gasoline 99 gCO</w:t>
            </w:r>
            <w:r w:rsidRPr="00115120">
              <w:rPr>
                <w:rFonts w:cstheme="minorHAnsi"/>
                <w:sz w:val="19"/>
                <w:szCs w:val="19"/>
                <w:vertAlign w:val="subscript"/>
              </w:rPr>
              <w:t>2</w:t>
            </w:r>
            <w:r w:rsidRPr="00115120">
              <w:rPr>
                <w:rFonts w:cstheme="minorHAnsi"/>
                <w:sz w:val="19"/>
                <w:szCs w:val="19"/>
              </w:rPr>
              <w:t xml:space="preserve"> /MJ, Diesel 102 gCO</w:t>
            </w:r>
            <w:r w:rsidRPr="00115120">
              <w:rPr>
                <w:rFonts w:cstheme="minorHAnsi"/>
                <w:sz w:val="19"/>
                <w:szCs w:val="19"/>
                <w:vertAlign w:val="subscript"/>
              </w:rPr>
              <w:t>2</w:t>
            </w:r>
            <w:r w:rsidRPr="00115120">
              <w:rPr>
                <w:rFonts w:cstheme="minorHAnsi"/>
                <w:sz w:val="19"/>
                <w:szCs w:val="19"/>
              </w:rPr>
              <w:t xml:space="preserve">/MJ, </w:t>
            </w:r>
            <w:r w:rsidR="00570474">
              <w:rPr>
                <w:rFonts w:cstheme="minorHAnsi"/>
                <w:sz w:val="19"/>
                <w:szCs w:val="19"/>
              </w:rPr>
              <w:t>Liquefied petroleum gas</w:t>
            </w:r>
            <w:r w:rsidRPr="00115120">
              <w:rPr>
                <w:rFonts w:cstheme="minorHAnsi"/>
                <w:sz w:val="19"/>
                <w:szCs w:val="19"/>
              </w:rPr>
              <w:t xml:space="preserve"> 77 gCO</w:t>
            </w:r>
            <w:r w:rsidRPr="00115120">
              <w:rPr>
                <w:rFonts w:cstheme="minorHAnsi"/>
                <w:sz w:val="19"/>
                <w:szCs w:val="19"/>
                <w:vertAlign w:val="subscript"/>
              </w:rPr>
              <w:t>2</w:t>
            </w:r>
            <w:r w:rsidRPr="00115120">
              <w:rPr>
                <w:rFonts w:cstheme="minorHAnsi"/>
                <w:sz w:val="19"/>
                <w:szCs w:val="19"/>
              </w:rPr>
              <w:t xml:space="preserve">/MJ, </w:t>
            </w:r>
            <w:r w:rsidR="00570474">
              <w:rPr>
                <w:rFonts w:cstheme="minorHAnsi"/>
                <w:sz w:val="19"/>
                <w:szCs w:val="19"/>
              </w:rPr>
              <w:t>Compressed natural gas</w:t>
            </w:r>
            <w:r w:rsidRPr="00115120">
              <w:rPr>
                <w:rFonts w:cstheme="minorHAnsi"/>
                <w:sz w:val="19"/>
                <w:szCs w:val="19"/>
              </w:rPr>
              <w:t xml:space="preserve"> 99 gCO</w:t>
            </w:r>
            <w:r w:rsidRPr="00115120">
              <w:rPr>
                <w:rFonts w:cstheme="minorHAnsi"/>
                <w:sz w:val="19"/>
                <w:szCs w:val="19"/>
                <w:vertAlign w:val="subscript"/>
              </w:rPr>
              <w:t>2</w:t>
            </w:r>
            <w:r w:rsidRPr="00115120">
              <w:rPr>
                <w:rFonts w:cstheme="minorHAnsi"/>
                <w:sz w:val="19"/>
                <w:szCs w:val="19"/>
              </w:rPr>
              <w:t>/MJ, Bioethanol (1</w:t>
            </w:r>
            <w:r w:rsidRPr="00115120">
              <w:rPr>
                <w:rFonts w:cstheme="minorHAnsi"/>
                <w:sz w:val="19"/>
                <w:szCs w:val="19"/>
                <w:vertAlign w:val="superscript"/>
              </w:rPr>
              <w:t>st</w:t>
            </w:r>
            <w:r w:rsidRPr="00115120">
              <w:rPr>
                <w:rFonts w:cstheme="minorHAnsi"/>
                <w:sz w:val="19"/>
                <w:szCs w:val="19"/>
              </w:rPr>
              <w:t xml:space="preserve"> generation) 115 gCO</w:t>
            </w:r>
            <w:r w:rsidRPr="00115120">
              <w:rPr>
                <w:rFonts w:cstheme="minorHAnsi"/>
                <w:sz w:val="19"/>
                <w:szCs w:val="19"/>
                <w:vertAlign w:val="subscript"/>
              </w:rPr>
              <w:t>2</w:t>
            </w:r>
            <w:r w:rsidRPr="00115120">
              <w:rPr>
                <w:rFonts w:cstheme="minorHAnsi"/>
                <w:sz w:val="19"/>
                <w:szCs w:val="19"/>
              </w:rPr>
              <w:t>/MJ, Bioethanol (2</w:t>
            </w:r>
            <w:r w:rsidRPr="00115120">
              <w:rPr>
                <w:rFonts w:cstheme="minorHAnsi"/>
                <w:sz w:val="19"/>
                <w:szCs w:val="19"/>
                <w:vertAlign w:val="superscript"/>
              </w:rPr>
              <w:t>nd</w:t>
            </w:r>
            <w:r w:rsidRPr="00115120">
              <w:rPr>
                <w:rFonts w:cstheme="minorHAnsi"/>
                <w:sz w:val="19"/>
                <w:szCs w:val="19"/>
              </w:rPr>
              <w:t xml:space="preserve"> generation) 4 gCO</w:t>
            </w:r>
            <w:r w:rsidRPr="00115120">
              <w:rPr>
                <w:rFonts w:cstheme="minorHAnsi"/>
                <w:sz w:val="19"/>
                <w:szCs w:val="19"/>
                <w:vertAlign w:val="subscript"/>
              </w:rPr>
              <w:t>2</w:t>
            </w:r>
            <w:r w:rsidRPr="00115120">
              <w:rPr>
                <w:rFonts w:cstheme="minorHAnsi"/>
                <w:sz w:val="19"/>
                <w:szCs w:val="19"/>
              </w:rPr>
              <w:t>/MJ, Biodiesel (1</w:t>
            </w:r>
            <w:r w:rsidRPr="00115120">
              <w:rPr>
                <w:rFonts w:cstheme="minorHAnsi"/>
                <w:sz w:val="19"/>
                <w:szCs w:val="19"/>
                <w:vertAlign w:val="superscript"/>
              </w:rPr>
              <w:t>st</w:t>
            </w:r>
            <w:r w:rsidRPr="00115120">
              <w:rPr>
                <w:rFonts w:cstheme="minorHAnsi"/>
                <w:sz w:val="19"/>
                <w:szCs w:val="19"/>
              </w:rPr>
              <w:t xml:space="preserve"> generation) 79 gCO2/MJ, Biodiesel (2</w:t>
            </w:r>
            <w:r w:rsidRPr="00115120">
              <w:rPr>
                <w:rFonts w:cstheme="minorHAnsi"/>
                <w:sz w:val="19"/>
                <w:szCs w:val="19"/>
                <w:vertAlign w:val="superscript"/>
              </w:rPr>
              <w:t>nd</w:t>
            </w:r>
            <w:r w:rsidRPr="00115120">
              <w:rPr>
                <w:rFonts w:cstheme="minorHAnsi"/>
                <w:sz w:val="19"/>
                <w:szCs w:val="19"/>
              </w:rPr>
              <w:t xml:space="preserve"> generation) 1 gCO</w:t>
            </w:r>
            <w:r w:rsidRPr="00115120">
              <w:rPr>
                <w:rFonts w:cstheme="minorHAnsi"/>
                <w:sz w:val="19"/>
                <w:szCs w:val="19"/>
                <w:vertAlign w:val="subscript"/>
              </w:rPr>
              <w:t>2</w:t>
            </w:r>
            <w:r w:rsidRPr="00115120">
              <w:rPr>
                <w:rFonts w:cstheme="minorHAnsi"/>
                <w:sz w:val="19"/>
                <w:szCs w:val="19"/>
              </w:rPr>
              <w:t>/MJ. Electricity 185 gCO</w:t>
            </w:r>
            <w:r w:rsidRPr="00115120">
              <w:rPr>
                <w:rFonts w:cstheme="minorHAnsi"/>
                <w:sz w:val="19"/>
                <w:szCs w:val="19"/>
                <w:vertAlign w:val="subscript"/>
              </w:rPr>
              <w:t>2</w:t>
            </w:r>
            <w:r w:rsidRPr="00115120">
              <w:rPr>
                <w:rFonts w:cstheme="minorHAnsi"/>
                <w:sz w:val="19"/>
                <w:szCs w:val="19"/>
              </w:rPr>
              <w:t xml:space="preserve">/ MJ in </w:t>
            </w:r>
            <w:r w:rsidR="0032680B">
              <w:rPr>
                <w:rFonts w:cstheme="minorHAnsi"/>
                <w:sz w:val="19"/>
                <w:szCs w:val="19"/>
              </w:rPr>
              <w:t>business-as-usual</w:t>
            </w:r>
            <w:r w:rsidRPr="00115120">
              <w:rPr>
                <w:rFonts w:cstheme="minorHAnsi"/>
                <w:sz w:val="19"/>
                <w:szCs w:val="19"/>
              </w:rPr>
              <w:t>, 15 gCO</w:t>
            </w:r>
            <w:r w:rsidRPr="00115120">
              <w:rPr>
                <w:rFonts w:cstheme="minorHAnsi"/>
                <w:sz w:val="19"/>
                <w:szCs w:val="19"/>
                <w:vertAlign w:val="subscript"/>
              </w:rPr>
              <w:t>2</w:t>
            </w:r>
            <w:r w:rsidRPr="00115120">
              <w:rPr>
                <w:rFonts w:cstheme="minorHAnsi"/>
                <w:sz w:val="19"/>
                <w:szCs w:val="19"/>
              </w:rPr>
              <w:t xml:space="preserve">/ MJ in </w:t>
            </w:r>
            <w:r w:rsidR="00514686">
              <w:rPr>
                <w:rFonts w:cstheme="minorHAnsi"/>
                <w:sz w:val="19"/>
                <w:szCs w:val="19"/>
              </w:rPr>
              <w:t>low-carbon scenario</w:t>
            </w:r>
            <w:r w:rsidRPr="00115120">
              <w:rPr>
                <w:rFonts w:cstheme="minorHAnsi"/>
                <w:sz w:val="19"/>
                <w:szCs w:val="19"/>
              </w:rPr>
              <w:t>, Hydrogen 23 gCO</w:t>
            </w:r>
            <w:r w:rsidRPr="00115120">
              <w:rPr>
                <w:rFonts w:cstheme="minorHAnsi"/>
                <w:sz w:val="19"/>
                <w:szCs w:val="19"/>
                <w:vertAlign w:val="subscript"/>
              </w:rPr>
              <w:t>2</w:t>
            </w:r>
            <w:r w:rsidRPr="00115120">
              <w:rPr>
                <w:rFonts w:cstheme="minorHAnsi"/>
                <w:sz w:val="19"/>
                <w:szCs w:val="19"/>
              </w:rPr>
              <w:t xml:space="preserve">/MJ. </w:t>
            </w:r>
          </w:p>
        </w:tc>
        <w:tc>
          <w:tcPr>
            <w:tcW w:w="2925" w:type="dxa"/>
          </w:tcPr>
          <w:p w:rsidR="00897C14" w:rsidRPr="00115120" w:rsidRDefault="005807C1" w:rsidP="00514686">
            <w:pPr>
              <w:rPr>
                <w:rFonts w:cstheme="minorHAnsi"/>
                <w:sz w:val="19"/>
                <w:szCs w:val="19"/>
              </w:rPr>
            </w:pPr>
            <w:r w:rsidRPr="00115120">
              <w:rPr>
                <w:rFonts w:cstheme="minorHAnsi"/>
                <w:sz w:val="19"/>
                <w:szCs w:val="19"/>
              </w:rPr>
              <w:t>Ou et al (2010) [5]</w:t>
            </w:r>
            <w:r w:rsidR="00897C14" w:rsidRPr="00115120">
              <w:rPr>
                <w:rFonts w:cstheme="minorHAnsi"/>
                <w:sz w:val="19"/>
                <w:szCs w:val="19"/>
              </w:rPr>
              <w:t xml:space="preserve"> for </w:t>
            </w:r>
            <w:r w:rsidR="001A14F4" w:rsidRPr="00115120">
              <w:rPr>
                <w:rFonts w:cstheme="minorHAnsi"/>
                <w:sz w:val="19"/>
                <w:szCs w:val="19"/>
              </w:rPr>
              <w:t xml:space="preserve">all well-to-wheel emissions factors except for electricity in </w:t>
            </w:r>
            <w:r w:rsidR="00514686">
              <w:rPr>
                <w:rFonts w:cstheme="minorHAnsi"/>
                <w:sz w:val="19"/>
                <w:szCs w:val="19"/>
              </w:rPr>
              <w:t>low-carbon</w:t>
            </w:r>
            <w:r w:rsidR="001A14F4" w:rsidRPr="00115120">
              <w:rPr>
                <w:rFonts w:cstheme="minorHAnsi"/>
                <w:sz w:val="19"/>
                <w:szCs w:val="19"/>
              </w:rPr>
              <w:t xml:space="preserve"> scenario, which is derived from ERI (2014) </w:t>
            </w:r>
            <w:r w:rsidR="00547F72" w:rsidRPr="00A35086">
              <w:rPr>
                <w:rFonts w:ascii="Calibri" w:hAnsi="Calibri"/>
              </w:rPr>
              <w:t>[21]</w:t>
            </w:r>
            <w:r w:rsidRPr="00115120">
              <w:rPr>
                <w:rFonts w:cstheme="minorHAnsi"/>
                <w:b/>
                <w:sz w:val="19"/>
                <w:szCs w:val="19"/>
                <w:vertAlign w:val="superscript"/>
              </w:rPr>
              <w:t xml:space="preserve"> </w:t>
            </w:r>
            <w:r w:rsidR="001A14F4" w:rsidRPr="00115120">
              <w:rPr>
                <w:rFonts w:cstheme="minorHAnsi"/>
                <w:sz w:val="19"/>
                <w:szCs w:val="19"/>
              </w:rPr>
              <w:t>and hydrogen, based on Shah et al (2013)</w:t>
            </w:r>
            <w:r w:rsidR="00703A17" w:rsidRPr="00115120">
              <w:rPr>
                <w:rFonts w:cstheme="minorHAnsi"/>
                <w:sz w:val="19"/>
                <w:szCs w:val="19"/>
              </w:rPr>
              <w:t xml:space="preserve"> </w:t>
            </w:r>
            <w:r w:rsidR="00E6341B" w:rsidRPr="00A35086">
              <w:rPr>
                <w:rFonts w:ascii="Calibri" w:hAnsi="Calibri"/>
              </w:rPr>
              <w:t>[34]</w:t>
            </w:r>
            <w:r w:rsidR="001A14F4" w:rsidRPr="00115120">
              <w:rPr>
                <w:rFonts w:cstheme="minorHAnsi"/>
                <w:sz w:val="19"/>
                <w:szCs w:val="19"/>
              </w:rPr>
              <w:t xml:space="preserve">. </w:t>
            </w:r>
          </w:p>
        </w:tc>
      </w:tr>
      <w:tr w:rsidR="00897C14" w:rsidTr="000A3D69">
        <w:tc>
          <w:tcPr>
            <w:tcW w:w="1413" w:type="dxa"/>
          </w:tcPr>
          <w:p w:rsidR="00897C14" w:rsidRPr="00115120" w:rsidRDefault="00897C14" w:rsidP="00897C14">
            <w:pPr>
              <w:rPr>
                <w:rFonts w:cstheme="minorHAnsi"/>
                <w:sz w:val="19"/>
                <w:szCs w:val="19"/>
              </w:rPr>
            </w:pPr>
            <w:r w:rsidRPr="00115120">
              <w:rPr>
                <w:rFonts w:cstheme="minorHAnsi"/>
                <w:sz w:val="19"/>
                <w:szCs w:val="19"/>
              </w:rPr>
              <w:t>Fuel prices</w:t>
            </w:r>
            <w:r w:rsidR="00896AAE">
              <w:rPr>
                <w:rFonts w:cstheme="minorHAnsi"/>
                <w:sz w:val="19"/>
                <w:szCs w:val="19"/>
              </w:rPr>
              <w:t xml:space="preserve"> (US$2010)</w:t>
            </w:r>
          </w:p>
        </w:tc>
        <w:tc>
          <w:tcPr>
            <w:tcW w:w="4678" w:type="dxa"/>
          </w:tcPr>
          <w:p w:rsidR="001A14F4" w:rsidRPr="00115120" w:rsidRDefault="00420CA1" w:rsidP="00897C14">
            <w:pPr>
              <w:rPr>
                <w:rFonts w:cstheme="minorHAnsi"/>
                <w:sz w:val="19"/>
                <w:szCs w:val="19"/>
              </w:rPr>
            </w:pPr>
            <w:r>
              <w:rPr>
                <w:rFonts w:cstheme="minorHAnsi"/>
                <w:sz w:val="19"/>
                <w:szCs w:val="19"/>
              </w:rPr>
              <w:t>In 2050, g</w:t>
            </w:r>
            <w:r w:rsidR="00896AAE">
              <w:rPr>
                <w:rFonts w:cstheme="minorHAnsi"/>
                <w:sz w:val="19"/>
                <w:szCs w:val="19"/>
              </w:rPr>
              <w:t xml:space="preserve">asoline and diesel about </w:t>
            </w:r>
            <w:r w:rsidR="001A14F4" w:rsidRPr="00115120">
              <w:rPr>
                <w:rFonts w:cstheme="minorHAnsi"/>
                <w:sz w:val="19"/>
                <w:szCs w:val="19"/>
              </w:rPr>
              <w:t xml:space="preserve">$17.5/GJ, biofuels $19/GJ, </w:t>
            </w:r>
            <w:r w:rsidR="00570474">
              <w:rPr>
                <w:rFonts w:cstheme="minorHAnsi"/>
                <w:sz w:val="19"/>
                <w:szCs w:val="19"/>
              </w:rPr>
              <w:t>Liquefied petroleum gas</w:t>
            </w:r>
            <w:r w:rsidR="001A14F4" w:rsidRPr="00115120">
              <w:rPr>
                <w:rFonts w:cstheme="minorHAnsi"/>
                <w:sz w:val="19"/>
                <w:szCs w:val="19"/>
              </w:rPr>
              <w:t xml:space="preserve"> and </w:t>
            </w:r>
            <w:r w:rsidR="00570474">
              <w:rPr>
                <w:rFonts w:cstheme="minorHAnsi"/>
                <w:sz w:val="19"/>
                <w:szCs w:val="19"/>
              </w:rPr>
              <w:t>Compressed natural gas</w:t>
            </w:r>
            <w:r w:rsidR="001A14F4" w:rsidRPr="00115120">
              <w:rPr>
                <w:rFonts w:cstheme="minorHAnsi"/>
                <w:sz w:val="19"/>
                <w:szCs w:val="19"/>
              </w:rPr>
              <w:t xml:space="preserve"> $9.5/GJ by 2050. </w:t>
            </w:r>
          </w:p>
          <w:p w:rsidR="00897C14" w:rsidRPr="00115120" w:rsidRDefault="001A14F4" w:rsidP="0032680B">
            <w:pPr>
              <w:rPr>
                <w:rFonts w:cstheme="minorHAnsi"/>
                <w:sz w:val="19"/>
                <w:szCs w:val="19"/>
              </w:rPr>
            </w:pPr>
            <w:r w:rsidRPr="00115120">
              <w:rPr>
                <w:rFonts w:cstheme="minorHAnsi"/>
                <w:sz w:val="19"/>
                <w:szCs w:val="19"/>
              </w:rPr>
              <w:t xml:space="preserve">Electricity rises from $12/GJ (in </w:t>
            </w:r>
            <w:r w:rsidR="0032680B">
              <w:rPr>
                <w:rFonts w:cstheme="minorHAnsi"/>
                <w:sz w:val="19"/>
                <w:szCs w:val="19"/>
              </w:rPr>
              <w:t>business-as-usual</w:t>
            </w:r>
            <w:r w:rsidRPr="00115120">
              <w:rPr>
                <w:rFonts w:cstheme="minorHAnsi"/>
                <w:sz w:val="19"/>
                <w:szCs w:val="19"/>
              </w:rPr>
              <w:t>) to $22/GJ</w:t>
            </w:r>
            <w:r w:rsidR="00420CA1">
              <w:rPr>
                <w:rFonts w:cstheme="minorHAnsi"/>
                <w:sz w:val="19"/>
                <w:szCs w:val="19"/>
              </w:rPr>
              <w:t xml:space="preserve"> (low-carbon)</w:t>
            </w:r>
            <w:r w:rsidRPr="00115120">
              <w:rPr>
                <w:rFonts w:cstheme="minorHAnsi"/>
                <w:sz w:val="19"/>
                <w:szCs w:val="19"/>
              </w:rPr>
              <w:t>, and hydrogen is $33/GJ.</w:t>
            </w:r>
          </w:p>
        </w:tc>
        <w:tc>
          <w:tcPr>
            <w:tcW w:w="2925" w:type="dxa"/>
          </w:tcPr>
          <w:p w:rsidR="00897C14" w:rsidRPr="00115120" w:rsidRDefault="001A14F4" w:rsidP="00897C14">
            <w:pPr>
              <w:rPr>
                <w:rFonts w:cstheme="minorHAnsi"/>
                <w:sz w:val="19"/>
                <w:szCs w:val="19"/>
              </w:rPr>
            </w:pPr>
            <w:r w:rsidRPr="00115120">
              <w:rPr>
                <w:rFonts w:cstheme="minorHAnsi"/>
                <w:sz w:val="19"/>
                <w:szCs w:val="19"/>
              </w:rPr>
              <w:t xml:space="preserve">Shah et al (2013) </w:t>
            </w:r>
            <w:r w:rsidR="00E6341B" w:rsidRPr="00A35086">
              <w:rPr>
                <w:rFonts w:ascii="Calibri" w:hAnsi="Calibri"/>
              </w:rPr>
              <w:t>[34]</w:t>
            </w:r>
            <w:r w:rsidRPr="00115120">
              <w:rPr>
                <w:rFonts w:cstheme="minorHAnsi"/>
                <w:sz w:val="19"/>
                <w:szCs w:val="19"/>
              </w:rPr>
              <w:t xml:space="preserve">using central fossil fuel assumptions of oil production cost at £100/bbl in 2050, gas at $1/therm in 2050. </w:t>
            </w:r>
          </w:p>
        </w:tc>
      </w:tr>
      <w:tr w:rsidR="00420CA1" w:rsidRPr="00115120" w:rsidTr="00420CA1">
        <w:tc>
          <w:tcPr>
            <w:tcW w:w="1413" w:type="dxa"/>
            <w:tcBorders>
              <w:top w:val="single" w:sz="4" w:space="0" w:color="auto"/>
              <w:left w:val="single" w:sz="4" w:space="0" w:color="auto"/>
              <w:bottom w:val="single" w:sz="4" w:space="0" w:color="auto"/>
              <w:right w:val="single" w:sz="4" w:space="0" w:color="auto"/>
            </w:tcBorders>
          </w:tcPr>
          <w:p w:rsidR="00420CA1" w:rsidRPr="00115120" w:rsidRDefault="00420CA1" w:rsidP="00420CA1">
            <w:pPr>
              <w:rPr>
                <w:rFonts w:cstheme="minorHAnsi"/>
                <w:sz w:val="19"/>
                <w:szCs w:val="19"/>
              </w:rPr>
            </w:pPr>
            <w:r>
              <w:rPr>
                <w:rFonts w:cstheme="minorHAnsi"/>
                <w:sz w:val="19"/>
                <w:szCs w:val="19"/>
              </w:rPr>
              <w:t>Electric charging and hydrogen infrastructure costs</w:t>
            </w:r>
          </w:p>
        </w:tc>
        <w:tc>
          <w:tcPr>
            <w:tcW w:w="4678" w:type="dxa"/>
            <w:tcBorders>
              <w:top w:val="single" w:sz="4" w:space="0" w:color="auto"/>
              <w:left w:val="single" w:sz="4" w:space="0" w:color="auto"/>
              <w:bottom w:val="single" w:sz="4" w:space="0" w:color="auto"/>
              <w:right w:val="single" w:sz="4" w:space="0" w:color="auto"/>
            </w:tcBorders>
          </w:tcPr>
          <w:p w:rsidR="00420CA1" w:rsidRPr="00115120" w:rsidRDefault="00420CA1" w:rsidP="004F44EE">
            <w:pPr>
              <w:rPr>
                <w:rFonts w:cstheme="minorHAnsi"/>
                <w:sz w:val="19"/>
                <w:szCs w:val="19"/>
              </w:rPr>
            </w:pPr>
            <w:r>
              <w:rPr>
                <w:rFonts w:cstheme="minorHAnsi"/>
                <w:sz w:val="19"/>
                <w:szCs w:val="19"/>
              </w:rPr>
              <w:t xml:space="preserve">A 50% mark-up is applied to the 2050 electricity and hydrogen fuel costs to account for capital and operational costs of infrastructure. </w:t>
            </w:r>
          </w:p>
        </w:tc>
        <w:tc>
          <w:tcPr>
            <w:tcW w:w="2925" w:type="dxa"/>
            <w:tcBorders>
              <w:top w:val="single" w:sz="4" w:space="0" w:color="auto"/>
              <w:left w:val="single" w:sz="4" w:space="0" w:color="auto"/>
              <w:bottom w:val="single" w:sz="4" w:space="0" w:color="auto"/>
              <w:right w:val="single" w:sz="4" w:space="0" w:color="auto"/>
            </w:tcBorders>
          </w:tcPr>
          <w:p w:rsidR="00420CA1" w:rsidRPr="00115120" w:rsidRDefault="00420CA1" w:rsidP="004F44EE">
            <w:pPr>
              <w:rPr>
                <w:rFonts w:cstheme="minorHAnsi"/>
                <w:sz w:val="19"/>
                <w:szCs w:val="19"/>
              </w:rPr>
            </w:pPr>
            <w:r>
              <w:rPr>
                <w:rFonts w:cstheme="minorHAnsi"/>
                <w:sz w:val="19"/>
                <w:szCs w:val="19"/>
              </w:rPr>
              <w:t xml:space="preserve">Ou et al (2013) estimate this mark-up for electricity costs by 2050 </w:t>
            </w:r>
            <w:r w:rsidR="00547F72" w:rsidRPr="00A35086">
              <w:rPr>
                <w:rFonts w:ascii="Calibri" w:hAnsi="Calibri"/>
                <w:sz w:val="19"/>
              </w:rPr>
              <w:t>[18]</w:t>
            </w:r>
            <w:r>
              <w:rPr>
                <w:rFonts w:cstheme="minorHAnsi"/>
                <w:sz w:val="19"/>
                <w:szCs w:val="19"/>
              </w:rPr>
              <w:t xml:space="preserve"> </w:t>
            </w:r>
            <w:r w:rsidRPr="00115120">
              <w:rPr>
                <w:rFonts w:cstheme="minorHAnsi"/>
                <w:sz w:val="19"/>
                <w:szCs w:val="19"/>
              </w:rPr>
              <w:t xml:space="preserve"> </w:t>
            </w:r>
          </w:p>
        </w:tc>
      </w:tr>
    </w:tbl>
    <w:p w:rsidR="005807C1" w:rsidRDefault="005807C1" w:rsidP="005807C1"/>
    <w:p w:rsidR="00692166" w:rsidRPr="00692166" w:rsidRDefault="006C78A8" w:rsidP="005807C1">
      <w:pPr>
        <w:pStyle w:val="Heading2"/>
      </w:pPr>
      <w:r>
        <w:t>4</w:t>
      </w:r>
      <w:r w:rsidR="00692166">
        <w:tab/>
      </w:r>
      <w:r w:rsidR="00D869E8" w:rsidRPr="00D869E8">
        <w:t>Results</w:t>
      </w:r>
    </w:p>
    <w:p w:rsidR="005070EC" w:rsidRDefault="00FE2335" w:rsidP="00FE2335">
      <w:pPr>
        <w:rPr>
          <w:rFonts w:ascii="Calibri" w:eastAsia="Times New Roman" w:hAnsi="Calibri"/>
        </w:rPr>
      </w:pPr>
      <w:r>
        <w:rPr>
          <w:rFonts w:ascii="Calibri" w:eastAsia="Times New Roman" w:hAnsi="Calibri"/>
        </w:rPr>
        <w:t>The low-</w:t>
      </w:r>
      <w:r w:rsidR="00692166">
        <w:rPr>
          <w:rFonts w:ascii="Calibri" w:eastAsia="Times New Roman" w:hAnsi="Calibri"/>
        </w:rPr>
        <w:t xml:space="preserve">carbon scenario results in </w:t>
      </w:r>
      <w:r w:rsidR="0083756F">
        <w:rPr>
          <w:rFonts w:ascii="Calibri" w:eastAsia="Times New Roman" w:hAnsi="Calibri"/>
        </w:rPr>
        <w:t>CO</w:t>
      </w:r>
      <w:r w:rsidR="0083756F" w:rsidRPr="0083756F">
        <w:rPr>
          <w:rFonts w:ascii="Calibri" w:eastAsia="Times New Roman" w:hAnsi="Calibri"/>
          <w:vertAlign w:val="subscript"/>
        </w:rPr>
        <w:t>2</w:t>
      </w:r>
      <w:r w:rsidR="0083756F">
        <w:rPr>
          <w:rFonts w:ascii="Calibri" w:eastAsia="Times New Roman" w:hAnsi="Calibri"/>
        </w:rPr>
        <w:t xml:space="preserve"> </w:t>
      </w:r>
      <w:r>
        <w:rPr>
          <w:rFonts w:ascii="Calibri" w:eastAsia="Times New Roman" w:hAnsi="Calibri"/>
        </w:rPr>
        <w:t xml:space="preserve">emissions from the </w:t>
      </w:r>
      <w:r w:rsidR="005070EC">
        <w:rPr>
          <w:rFonts w:ascii="Calibri" w:eastAsia="Times New Roman" w:hAnsi="Calibri"/>
        </w:rPr>
        <w:t xml:space="preserve">road </w:t>
      </w:r>
      <w:r>
        <w:rPr>
          <w:rFonts w:ascii="Calibri" w:eastAsia="Times New Roman" w:hAnsi="Calibri"/>
        </w:rPr>
        <w:t>transport sector of 1.</w:t>
      </w:r>
      <w:r w:rsidR="00E5782F">
        <w:rPr>
          <w:rFonts w:ascii="Calibri" w:eastAsia="Times New Roman" w:hAnsi="Calibri"/>
        </w:rPr>
        <w:t>24</w:t>
      </w:r>
      <w:r>
        <w:rPr>
          <w:rFonts w:ascii="Calibri" w:eastAsia="Times New Roman" w:hAnsi="Calibri"/>
        </w:rPr>
        <w:t xml:space="preserve"> GtCO</w:t>
      </w:r>
      <w:r w:rsidRPr="00E5782F">
        <w:rPr>
          <w:rFonts w:ascii="Calibri" w:eastAsia="Times New Roman" w:hAnsi="Calibri"/>
          <w:vertAlign w:val="subscript"/>
        </w:rPr>
        <w:t>2</w:t>
      </w:r>
      <w:r>
        <w:rPr>
          <w:rFonts w:ascii="Calibri" w:eastAsia="Times New Roman" w:hAnsi="Calibri"/>
        </w:rPr>
        <w:t xml:space="preserve"> per year by 2050, compared to </w:t>
      </w:r>
      <w:r w:rsidR="00692166">
        <w:rPr>
          <w:rFonts w:ascii="Calibri" w:eastAsia="Times New Roman" w:hAnsi="Calibri"/>
        </w:rPr>
        <w:t xml:space="preserve">almost </w:t>
      </w:r>
      <w:r w:rsidR="00E5782F">
        <w:rPr>
          <w:rFonts w:ascii="Calibri" w:eastAsia="Times New Roman" w:hAnsi="Calibri"/>
        </w:rPr>
        <w:t>2.08</w:t>
      </w:r>
      <w:r>
        <w:rPr>
          <w:rFonts w:ascii="Calibri" w:eastAsia="Times New Roman" w:hAnsi="Calibri"/>
        </w:rPr>
        <w:t xml:space="preserve"> GtCO</w:t>
      </w:r>
      <w:r w:rsidRPr="00E5782F">
        <w:rPr>
          <w:rFonts w:ascii="Calibri" w:eastAsia="Times New Roman" w:hAnsi="Calibri"/>
          <w:vertAlign w:val="subscript"/>
        </w:rPr>
        <w:t>2</w:t>
      </w:r>
      <w:r>
        <w:rPr>
          <w:rFonts w:ascii="Calibri" w:eastAsia="Times New Roman" w:hAnsi="Calibri"/>
        </w:rPr>
        <w:t xml:space="preserve"> per year in the</w:t>
      </w:r>
      <w:r w:rsidR="0032680B">
        <w:rPr>
          <w:rFonts w:ascii="Calibri" w:eastAsia="Times New Roman" w:hAnsi="Calibri"/>
        </w:rPr>
        <w:t xml:space="preserve"> business-as-</w:t>
      </w:r>
      <w:r>
        <w:rPr>
          <w:rFonts w:ascii="Calibri" w:eastAsia="Times New Roman" w:hAnsi="Calibri"/>
        </w:rPr>
        <w:t>usua</w:t>
      </w:r>
      <w:r w:rsidR="00E5782F">
        <w:rPr>
          <w:rFonts w:ascii="Calibri" w:eastAsia="Times New Roman" w:hAnsi="Calibri"/>
        </w:rPr>
        <w:t xml:space="preserve">l scenario, as shown in Figure </w:t>
      </w:r>
      <w:r w:rsidR="00DF0436">
        <w:rPr>
          <w:rFonts w:ascii="Calibri" w:eastAsia="Times New Roman" w:hAnsi="Calibri"/>
        </w:rPr>
        <w:t>4</w:t>
      </w:r>
      <w:r>
        <w:rPr>
          <w:rFonts w:ascii="Calibri" w:eastAsia="Times New Roman" w:hAnsi="Calibri"/>
        </w:rPr>
        <w:t xml:space="preserve">. </w:t>
      </w:r>
      <w:r w:rsidR="005070EC">
        <w:rPr>
          <w:rFonts w:ascii="Calibri" w:eastAsia="Times New Roman" w:hAnsi="Calibri"/>
        </w:rPr>
        <w:t xml:space="preserve">This figure also shows that there is a peak in road transport </w:t>
      </w:r>
      <w:r w:rsidR="0083756F">
        <w:rPr>
          <w:rFonts w:ascii="Calibri" w:eastAsia="Times New Roman" w:hAnsi="Calibri"/>
        </w:rPr>
        <w:t>CO</w:t>
      </w:r>
      <w:r w:rsidR="0083756F" w:rsidRPr="0083756F">
        <w:rPr>
          <w:rFonts w:ascii="Calibri" w:eastAsia="Times New Roman" w:hAnsi="Calibri"/>
          <w:vertAlign w:val="subscript"/>
        </w:rPr>
        <w:t>2</w:t>
      </w:r>
      <w:r w:rsidR="0083756F">
        <w:rPr>
          <w:rFonts w:ascii="Calibri" w:eastAsia="Times New Roman" w:hAnsi="Calibri"/>
          <w:vertAlign w:val="subscript"/>
        </w:rPr>
        <w:t xml:space="preserve"> </w:t>
      </w:r>
      <w:r w:rsidR="005070EC">
        <w:rPr>
          <w:rFonts w:ascii="Calibri" w:eastAsia="Times New Roman" w:hAnsi="Calibri"/>
        </w:rPr>
        <w:t>emissions in 2030, before they fall to a level of about twice their 2010 level by 2050, in spite of an almost fourfold increase in the road vehicle population over the period 2010-2050. The implication is that the CO</w:t>
      </w:r>
      <w:r w:rsidR="005070EC" w:rsidRPr="00E5782F">
        <w:rPr>
          <w:rFonts w:ascii="Calibri" w:eastAsia="Times New Roman" w:hAnsi="Calibri"/>
          <w:vertAlign w:val="subscript"/>
        </w:rPr>
        <w:t>2</w:t>
      </w:r>
      <w:r w:rsidR="005070EC">
        <w:rPr>
          <w:rFonts w:ascii="Calibri" w:eastAsia="Times New Roman" w:hAnsi="Calibri"/>
        </w:rPr>
        <w:t xml:space="preserve"> intensity of the transport sector would reduce by a factor of about two during this time period.  </w:t>
      </w:r>
    </w:p>
    <w:p w:rsidR="005070EC" w:rsidRDefault="00E5782F" w:rsidP="00FE2335">
      <w:pPr>
        <w:rPr>
          <w:rFonts w:ascii="Calibri" w:eastAsia="Times New Roman" w:hAnsi="Calibri"/>
        </w:rPr>
      </w:pPr>
      <w:r w:rsidRPr="00E5782F">
        <w:rPr>
          <w:noProof/>
          <w:lang w:eastAsia="en-GB"/>
        </w:rPr>
        <w:lastRenderedPageBreak/>
        <w:drawing>
          <wp:inline distT="0" distB="0" distL="0" distR="0" wp14:anchorId="3F637F66" wp14:editId="671B4152">
            <wp:extent cx="4634585" cy="302029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39118" cy="3023245"/>
                    </a:xfrm>
                    <a:prstGeom prst="rect">
                      <a:avLst/>
                    </a:prstGeom>
                    <a:noFill/>
                    <a:ln>
                      <a:noFill/>
                    </a:ln>
                  </pic:spPr>
                </pic:pic>
              </a:graphicData>
            </a:graphic>
          </wp:inline>
        </w:drawing>
      </w:r>
    </w:p>
    <w:p w:rsidR="00692166" w:rsidRDefault="00692166" w:rsidP="00FE2335">
      <w:pPr>
        <w:rPr>
          <w:rFonts w:ascii="Calibri" w:eastAsia="Times New Roman" w:hAnsi="Calibri"/>
          <w:b/>
        </w:rPr>
      </w:pPr>
      <w:r w:rsidRPr="00692166">
        <w:rPr>
          <w:rFonts w:ascii="Calibri" w:eastAsia="Times New Roman" w:hAnsi="Calibri"/>
          <w:b/>
        </w:rPr>
        <w:t xml:space="preserve">Figure </w:t>
      </w:r>
      <w:r w:rsidR="00DF0436">
        <w:rPr>
          <w:rFonts w:ascii="Calibri" w:eastAsia="Times New Roman" w:hAnsi="Calibri"/>
          <w:b/>
        </w:rPr>
        <w:t>4</w:t>
      </w:r>
      <w:r w:rsidRPr="00692166">
        <w:rPr>
          <w:rFonts w:ascii="Calibri" w:eastAsia="Times New Roman" w:hAnsi="Calibri"/>
          <w:b/>
        </w:rPr>
        <w:t xml:space="preserve">: Total well-to-wheels </w:t>
      </w:r>
      <w:r w:rsidR="0083756F" w:rsidRPr="0083756F">
        <w:rPr>
          <w:rFonts w:ascii="Calibri" w:eastAsia="Times New Roman" w:hAnsi="Calibri"/>
          <w:b/>
        </w:rPr>
        <w:t>CO</w:t>
      </w:r>
      <w:r w:rsidR="0083756F" w:rsidRPr="0083756F">
        <w:rPr>
          <w:rFonts w:ascii="Calibri" w:eastAsia="Times New Roman" w:hAnsi="Calibri"/>
          <w:b/>
          <w:vertAlign w:val="subscript"/>
        </w:rPr>
        <w:t>2</w:t>
      </w:r>
      <w:r w:rsidR="0083756F">
        <w:rPr>
          <w:rFonts w:ascii="Calibri" w:eastAsia="Times New Roman" w:hAnsi="Calibri"/>
          <w:vertAlign w:val="subscript"/>
        </w:rPr>
        <w:t xml:space="preserve"> </w:t>
      </w:r>
      <w:r w:rsidRPr="00692166">
        <w:rPr>
          <w:rFonts w:ascii="Calibri" w:eastAsia="Times New Roman" w:hAnsi="Calibri"/>
          <w:b/>
        </w:rPr>
        <w:t>emissions for China’s road transport sector to 2050</w:t>
      </w:r>
    </w:p>
    <w:p w:rsidR="00F51894" w:rsidRPr="00F51894" w:rsidRDefault="00F51894" w:rsidP="00FE2335">
      <w:pPr>
        <w:rPr>
          <w:rFonts w:ascii="Calibri" w:eastAsia="Times New Roman" w:hAnsi="Calibri"/>
          <w:i/>
          <w:sz w:val="18"/>
          <w:szCs w:val="18"/>
        </w:rPr>
      </w:pPr>
      <w:r w:rsidRPr="00F51894">
        <w:rPr>
          <w:rFonts w:ascii="Calibri" w:eastAsia="Times New Roman" w:hAnsi="Calibri"/>
          <w:i/>
          <w:sz w:val="18"/>
          <w:szCs w:val="18"/>
        </w:rPr>
        <w:t>Notes: BAU = business-as-usual; LC = Low Carbon</w:t>
      </w:r>
    </w:p>
    <w:p w:rsidR="005070EC" w:rsidRDefault="005070EC" w:rsidP="00FE2335">
      <w:pPr>
        <w:rPr>
          <w:rFonts w:ascii="Calibri" w:eastAsia="Times New Roman" w:hAnsi="Calibri"/>
        </w:rPr>
      </w:pPr>
      <w:r>
        <w:rPr>
          <w:rFonts w:ascii="Calibri" w:eastAsia="Times New Roman" w:hAnsi="Calibri"/>
        </w:rPr>
        <w:t xml:space="preserve">These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Pr>
          <w:rFonts w:ascii="Calibri" w:eastAsia="Times New Roman" w:hAnsi="Calibri"/>
        </w:rPr>
        <w:t xml:space="preserve">emissions reductions are to a large extent driven by reductions in the passenger car and </w:t>
      </w:r>
      <w:r w:rsidR="00912407">
        <w:rPr>
          <w:rFonts w:ascii="Calibri" w:eastAsia="Times New Roman" w:hAnsi="Calibri"/>
        </w:rPr>
        <w:t>heavy duty truck</w:t>
      </w:r>
      <w:r>
        <w:rPr>
          <w:rFonts w:ascii="Calibri" w:eastAsia="Times New Roman" w:hAnsi="Calibri"/>
        </w:rPr>
        <w:t xml:space="preserve"> </w:t>
      </w:r>
      <w:r w:rsidR="00532286">
        <w:rPr>
          <w:rFonts w:ascii="Calibri" w:eastAsia="Times New Roman" w:hAnsi="Calibri"/>
        </w:rPr>
        <w:t xml:space="preserve">(HDT) </w:t>
      </w:r>
      <w:r>
        <w:rPr>
          <w:rFonts w:ascii="Calibri" w:eastAsia="Times New Roman" w:hAnsi="Calibri"/>
        </w:rPr>
        <w:t xml:space="preserve">sectors, which are in combination responsible for </w:t>
      </w:r>
      <w:r w:rsidR="00912407">
        <w:rPr>
          <w:rFonts w:ascii="Calibri" w:eastAsia="Times New Roman" w:hAnsi="Calibri"/>
        </w:rPr>
        <w:t xml:space="preserve">about three quarters of total road transport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sidR="00912407">
        <w:rPr>
          <w:rFonts w:ascii="Calibri" w:eastAsia="Times New Roman" w:hAnsi="Calibri"/>
        </w:rPr>
        <w:t xml:space="preserve">emissions by 2050 in the </w:t>
      </w:r>
      <w:r w:rsidR="0032680B">
        <w:rPr>
          <w:rFonts w:ascii="Calibri" w:eastAsia="Times New Roman" w:hAnsi="Calibri"/>
        </w:rPr>
        <w:t>business-as-usual</w:t>
      </w:r>
      <w:r w:rsidR="00912407">
        <w:rPr>
          <w:rFonts w:ascii="Calibri" w:eastAsia="Times New Roman" w:hAnsi="Calibri"/>
        </w:rPr>
        <w:t xml:space="preserve"> scenario. Figure </w:t>
      </w:r>
      <w:r w:rsidR="00DF0436">
        <w:rPr>
          <w:rFonts w:ascii="Calibri" w:eastAsia="Times New Roman" w:hAnsi="Calibri"/>
        </w:rPr>
        <w:t>5</w:t>
      </w:r>
      <w:r w:rsidR="00912407">
        <w:rPr>
          <w:rFonts w:ascii="Calibri" w:eastAsia="Times New Roman" w:hAnsi="Calibri"/>
        </w:rPr>
        <w:t xml:space="preserve"> shows the derived marginal abatement cost </w:t>
      </w:r>
      <w:r w:rsidR="0042028A">
        <w:rPr>
          <w:rFonts w:ascii="Calibri" w:eastAsia="Times New Roman" w:hAnsi="Calibri"/>
        </w:rPr>
        <w:t xml:space="preserve">(MAC) </w:t>
      </w:r>
      <w:r w:rsidR="00912407">
        <w:rPr>
          <w:rFonts w:ascii="Calibri" w:eastAsia="Times New Roman" w:hAnsi="Calibri"/>
        </w:rPr>
        <w:t xml:space="preserve">curve for the whole road transport sector, highlighting those vehicle and drivetrain types which contribute the most to the overall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sidR="00912407">
        <w:rPr>
          <w:rFonts w:ascii="Calibri" w:eastAsia="Times New Roman" w:hAnsi="Calibri"/>
        </w:rPr>
        <w:t>emissions reductions by 2050, as well as the cost of these measures per tonne of CO</w:t>
      </w:r>
      <w:r w:rsidR="00912407" w:rsidRPr="00A35086">
        <w:rPr>
          <w:rFonts w:ascii="Calibri" w:eastAsia="Times New Roman" w:hAnsi="Calibri"/>
          <w:vertAlign w:val="subscript"/>
        </w:rPr>
        <w:t>2</w:t>
      </w:r>
      <w:r w:rsidR="00912407">
        <w:rPr>
          <w:rFonts w:ascii="Calibri" w:eastAsia="Times New Roman" w:hAnsi="Calibri"/>
        </w:rPr>
        <w:t xml:space="preserve"> reduced</w:t>
      </w:r>
      <w:r w:rsidR="0042028A">
        <w:rPr>
          <w:rFonts w:ascii="Calibri" w:eastAsia="Times New Roman" w:hAnsi="Calibri"/>
        </w:rPr>
        <w:t xml:space="preserve"> against the </w:t>
      </w:r>
      <w:r w:rsidR="0032680B">
        <w:rPr>
          <w:rFonts w:ascii="Calibri" w:eastAsia="Times New Roman" w:hAnsi="Calibri"/>
        </w:rPr>
        <w:t>business-as-usual</w:t>
      </w:r>
      <w:r w:rsidR="0042028A">
        <w:rPr>
          <w:rFonts w:ascii="Calibri" w:eastAsia="Times New Roman" w:hAnsi="Calibri"/>
        </w:rPr>
        <w:t xml:space="preserve"> scenario in 2050</w:t>
      </w:r>
      <w:r w:rsidR="00912407">
        <w:rPr>
          <w:rFonts w:ascii="Calibri" w:eastAsia="Times New Roman" w:hAnsi="Calibri"/>
        </w:rPr>
        <w:t xml:space="preserve">. </w:t>
      </w:r>
      <w:r w:rsidR="0098354F">
        <w:rPr>
          <w:rFonts w:ascii="Calibri" w:eastAsia="Times New Roman" w:hAnsi="Calibri"/>
        </w:rPr>
        <w:t xml:space="preserve">The figure shows that in most cases the substitution of low-carbon </w:t>
      </w:r>
      <w:r w:rsidR="00514686">
        <w:rPr>
          <w:rFonts w:ascii="Calibri" w:eastAsia="Times New Roman" w:hAnsi="Calibri"/>
        </w:rPr>
        <w:t>truck</w:t>
      </w:r>
      <w:r w:rsidR="00532286">
        <w:rPr>
          <w:rFonts w:ascii="Calibri" w:eastAsia="Times New Roman" w:hAnsi="Calibri"/>
        </w:rPr>
        <w:t>s</w:t>
      </w:r>
      <w:r w:rsidR="0098354F">
        <w:rPr>
          <w:rFonts w:ascii="Calibri" w:eastAsia="Times New Roman" w:hAnsi="Calibri"/>
        </w:rPr>
        <w:t xml:space="preserve"> for their </w:t>
      </w:r>
      <w:r w:rsidR="00514686">
        <w:rPr>
          <w:rFonts w:ascii="Calibri" w:eastAsia="Times New Roman" w:hAnsi="Calibri"/>
        </w:rPr>
        <w:t>business-as-usual</w:t>
      </w:r>
      <w:r w:rsidR="0098354F">
        <w:rPr>
          <w:rFonts w:ascii="Calibri" w:eastAsia="Times New Roman" w:hAnsi="Calibri"/>
        </w:rPr>
        <w:t xml:space="preserve"> alternatives results in cost savings by 2050, whereas the low-carbon passenger car options are </w:t>
      </w:r>
      <w:r w:rsidR="0042028A">
        <w:rPr>
          <w:rFonts w:ascii="Calibri" w:eastAsia="Times New Roman" w:hAnsi="Calibri"/>
        </w:rPr>
        <w:t>in most cases</w:t>
      </w:r>
      <w:r w:rsidR="0098354F">
        <w:rPr>
          <w:rFonts w:ascii="Calibri" w:eastAsia="Times New Roman" w:hAnsi="Calibri"/>
        </w:rPr>
        <w:t xml:space="preserve"> significantly more costly measures. These results follow f</w:t>
      </w:r>
      <w:r w:rsidR="00A83652">
        <w:rPr>
          <w:rFonts w:ascii="Calibri" w:eastAsia="Times New Roman" w:hAnsi="Calibri"/>
        </w:rPr>
        <w:t>ro</w:t>
      </w:r>
      <w:r w:rsidR="0098354F">
        <w:rPr>
          <w:rFonts w:ascii="Calibri" w:eastAsia="Times New Roman" w:hAnsi="Calibri"/>
        </w:rPr>
        <w:t xml:space="preserve">m the assumptions made on the relative purchase and operating costs of low-carbon vehicles versus their </w:t>
      </w:r>
      <w:r w:rsidR="00514686">
        <w:rPr>
          <w:rFonts w:ascii="Calibri" w:eastAsia="Times New Roman" w:hAnsi="Calibri"/>
        </w:rPr>
        <w:t>business-as-usual</w:t>
      </w:r>
      <w:r w:rsidR="0098354F">
        <w:rPr>
          <w:rFonts w:ascii="Calibri" w:eastAsia="Times New Roman" w:hAnsi="Calibri"/>
        </w:rPr>
        <w:t xml:space="preserve"> alternatives. </w:t>
      </w:r>
      <w:r w:rsidR="0042028A">
        <w:rPr>
          <w:rFonts w:ascii="Calibri" w:eastAsia="Times New Roman" w:hAnsi="Calibri"/>
        </w:rPr>
        <w:t xml:space="preserve">Specifically, the assumed purchase costs of fuel cell and battery electric </w:t>
      </w:r>
      <w:r w:rsidR="00514686">
        <w:rPr>
          <w:rFonts w:ascii="Calibri" w:eastAsia="Times New Roman" w:hAnsi="Calibri"/>
        </w:rPr>
        <w:t>trucks</w:t>
      </w:r>
      <w:r w:rsidR="0042028A">
        <w:rPr>
          <w:rFonts w:ascii="Calibri" w:eastAsia="Times New Roman" w:hAnsi="Calibri"/>
        </w:rPr>
        <w:t xml:space="preserve"> are similar to those of </w:t>
      </w:r>
      <w:r w:rsidR="002A5F6F">
        <w:rPr>
          <w:rFonts w:ascii="Calibri" w:eastAsia="Times New Roman" w:hAnsi="Calibri"/>
        </w:rPr>
        <w:t>ICE</w:t>
      </w:r>
      <w:r w:rsidR="0042028A">
        <w:rPr>
          <w:rFonts w:ascii="Calibri" w:eastAsia="Times New Roman" w:hAnsi="Calibri"/>
        </w:rPr>
        <w:t xml:space="preserve"> </w:t>
      </w:r>
      <w:r w:rsidR="00514686">
        <w:rPr>
          <w:rFonts w:ascii="Calibri" w:eastAsia="Times New Roman" w:hAnsi="Calibri"/>
        </w:rPr>
        <w:t>truck</w:t>
      </w:r>
      <w:r w:rsidR="00532286">
        <w:rPr>
          <w:rFonts w:ascii="Calibri" w:eastAsia="Times New Roman" w:hAnsi="Calibri"/>
        </w:rPr>
        <w:t>s</w:t>
      </w:r>
      <w:r w:rsidR="0042028A">
        <w:rPr>
          <w:rFonts w:ascii="Calibri" w:eastAsia="Times New Roman" w:hAnsi="Calibri"/>
        </w:rPr>
        <w:t xml:space="preserve"> by 2050, reflecting the fact that the drivetrain consists of a relatively small share of the vehicle cost. Additionally, the assumed </w:t>
      </w:r>
      <w:r w:rsidR="002C76E9">
        <w:rPr>
          <w:rFonts w:ascii="Calibri" w:eastAsia="Times New Roman" w:hAnsi="Calibri"/>
        </w:rPr>
        <w:t xml:space="preserve">operation </w:t>
      </w:r>
      <w:r w:rsidR="00532286">
        <w:rPr>
          <w:rFonts w:ascii="Calibri" w:eastAsia="Times New Roman" w:hAnsi="Calibri"/>
        </w:rPr>
        <w:t xml:space="preserve">and maintenance </w:t>
      </w:r>
      <w:r w:rsidR="002C76E9">
        <w:rPr>
          <w:rFonts w:ascii="Calibri" w:eastAsia="Times New Roman" w:hAnsi="Calibri"/>
        </w:rPr>
        <w:t xml:space="preserve">(O&amp;M) </w:t>
      </w:r>
      <w:r w:rsidR="00532286">
        <w:rPr>
          <w:rFonts w:ascii="Calibri" w:eastAsia="Times New Roman" w:hAnsi="Calibri"/>
        </w:rPr>
        <w:t xml:space="preserve">costs of fuel cell and battery electric </w:t>
      </w:r>
      <w:r w:rsidR="00C3785D">
        <w:rPr>
          <w:rFonts w:ascii="Calibri" w:eastAsia="Times New Roman" w:hAnsi="Calibri"/>
        </w:rPr>
        <w:t>truck</w:t>
      </w:r>
      <w:r w:rsidR="0042028A">
        <w:rPr>
          <w:rFonts w:ascii="Calibri" w:eastAsia="Times New Roman" w:hAnsi="Calibri"/>
        </w:rPr>
        <w:t xml:space="preserve">s </w:t>
      </w:r>
      <w:r w:rsidR="00532286">
        <w:rPr>
          <w:rFonts w:ascii="Calibri" w:eastAsia="Times New Roman" w:hAnsi="Calibri"/>
        </w:rPr>
        <w:t xml:space="preserve">are assumed to be less than those of their </w:t>
      </w:r>
      <w:r w:rsidR="002A5F6F">
        <w:rPr>
          <w:rFonts w:ascii="Calibri" w:eastAsia="Times New Roman" w:hAnsi="Calibri"/>
        </w:rPr>
        <w:t>ICE</w:t>
      </w:r>
      <w:r w:rsidR="00532286">
        <w:rPr>
          <w:rFonts w:ascii="Calibri" w:eastAsia="Times New Roman" w:hAnsi="Calibri"/>
        </w:rPr>
        <w:t xml:space="preserve"> counterparts by 2050, reflecting the assumption that they would require less maintenance as a result of fewer mechanical parts. These cost assumptions, compared with the significantly higher efficiency of fuel cell and battery electric </w:t>
      </w:r>
      <w:r w:rsidR="00514686">
        <w:rPr>
          <w:rFonts w:ascii="Calibri" w:eastAsia="Times New Roman" w:hAnsi="Calibri"/>
        </w:rPr>
        <w:t>truck</w:t>
      </w:r>
      <w:r w:rsidR="00532286">
        <w:rPr>
          <w:rFonts w:ascii="Calibri" w:eastAsia="Times New Roman" w:hAnsi="Calibri"/>
        </w:rPr>
        <w:t xml:space="preserve">s compared to </w:t>
      </w:r>
      <w:r w:rsidR="002A5F6F">
        <w:rPr>
          <w:rFonts w:ascii="Calibri" w:eastAsia="Times New Roman" w:hAnsi="Calibri"/>
        </w:rPr>
        <w:t>ICE</w:t>
      </w:r>
      <w:r w:rsidR="00532286">
        <w:rPr>
          <w:rFonts w:ascii="Calibri" w:eastAsia="Times New Roman" w:hAnsi="Calibri"/>
        </w:rPr>
        <w:t xml:space="preserve"> </w:t>
      </w:r>
      <w:r w:rsidR="00514686">
        <w:rPr>
          <w:rFonts w:ascii="Calibri" w:eastAsia="Times New Roman" w:hAnsi="Calibri"/>
        </w:rPr>
        <w:t>truck</w:t>
      </w:r>
      <w:r w:rsidR="00532286">
        <w:rPr>
          <w:rFonts w:ascii="Calibri" w:eastAsia="Times New Roman" w:hAnsi="Calibri"/>
        </w:rPr>
        <w:t xml:space="preserve">s, result in much lower annual costs for the low-carbon vehicles, which rapidly pay back the marginal additional purchase cost. </w:t>
      </w:r>
    </w:p>
    <w:p w:rsidR="00532286" w:rsidRDefault="00532286" w:rsidP="00FE2335">
      <w:pPr>
        <w:rPr>
          <w:rFonts w:ascii="Calibri" w:eastAsia="Times New Roman" w:hAnsi="Calibri"/>
        </w:rPr>
      </w:pPr>
      <w:r>
        <w:rPr>
          <w:rFonts w:ascii="Calibri" w:eastAsia="Times New Roman" w:hAnsi="Calibri"/>
        </w:rPr>
        <w:t xml:space="preserve">For passenger cars, however, a more conservative set of assumptions is used for purchase costs in 2050. Specifically, fuel cell cars are 20% more expensive to purchase than </w:t>
      </w:r>
      <w:r w:rsidR="002A5F6F">
        <w:rPr>
          <w:rFonts w:ascii="Calibri" w:eastAsia="Times New Roman" w:hAnsi="Calibri"/>
        </w:rPr>
        <w:t>ICE</w:t>
      </w:r>
      <w:r>
        <w:rPr>
          <w:rFonts w:ascii="Calibri" w:eastAsia="Times New Roman" w:hAnsi="Calibri"/>
        </w:rPr>
        <w:t xml:space="preserve"> cars, whilst electric vehicles are 60% more expensive. These result in significant marginal abatement costs for these vehicles. Given that they represent the greatest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Pr>
          <w:rFonts w:ascii="Calibri" w:eastAsia="Times New Roman" w:hAnsi="Calibri"/>
        </w:rPr>
        <w:t xml:space="preserve">emissions reduction potential (seen by the width of the bars in Figure </w:t>
      </w:r>
      <w:r w:rsidR="00DF0436">
        <w:rPr>
          <w:rFonts w:ascii="Calibri" w:eastAsia="Times New Roman" w:hAnsi="Calibri"/>
        </w:rPr>
        <w:t>5</w:t>
      </w:r>
      <w:r>
        <w:rPr>
          <w:rFonts w:ascii="Calibri" w:eastAsia="Times New Roman" w:hAnsi="Calibri"/>
        </w:rPr>
        <w:t>), this indicates the high dependency of future road transport decarbonisation cost on assumptions on just these two ve</w:t>
      </w:r>
      <w:r w:rsidR="0059664E">
        <w:rPr>
          <w:rFonts w:ascii="Calibri" w:eastAsia="Times New Roman" w:hAnsi="Calibri"/>
        </w:rPr>
        <w:t>hicle types. As such, variation</w:t>
      </w:r>
      <w:r>
        <w:rPr>
          <w:rFonts w:ascii="Calibri" w:eastAsia="Times New Roman" w:hAnsi="Calibri"/>
        </w:rPr>
        <w:t xml:space="preserve"> in the</w:t>
      </w:r>
      <w:r w:rsidR="0059664E">
        <w:rPr>
          <w:rFonts w:ascii="Calibri" w:eastAsia="Times New Roman" w:hAnsi="Calibri"/>
        </w:rPr>
        <w:t xml:space="preserve"> </w:t>
      </w:r>
      <w:r w:rsidR="00692166">
        <w:rPr>
          <w:rFonts w:ascii="Calibri" w:eastAsia="Times New Roman" w:hAnsi="Calibri"/>
        </w:rPr>
        <w:t>costs</w:t>
      </w:r>
      <w:r w:rsidR="0059664E">
        <w:rPr>
          <w:rFonts w:ascii="Calibri" w:eastAsia="Times New Roman" w:hAnsi="Calibri"/>
        </w:rPr>
        <w:t xml:space="preserve"> for </w:t>
      </w:r>
      <w:r w:rsidR="00514686">
        <w:rPr>
          <w:rFonts w:ascii="Calibri" w:eastAsia="Times New Roman" w:hAnsi="Calibri"/>
        </w:rPr>
        <w:t>truck</w:t>
      </w:r>
      <w:r w:rsidR="0059664E">
        <w:rPr>
          <w:rFonts w:ascii="Calibri" w:eastAsia="Times New Roman" w:hAnsi="Calibri"/>
        </w:rPr>
        <w:t>s, which significantly reduce the overall road transport sector cost,</w:t>
      </w:r>
      <w:r w:rsidR="00692166">
        <w:rPr>
          <w:rFonts w:ascii="Calibri" w:eastAsia="Times New Roman" w:hAnsi="Calibri"/>
        </w:rPr>
        <w:t xml:space="preserve"> are explore</w:t>
      </w:r>
      <w:r>
        <w:rPr>
          <w:rFonts w:ascii="Calibri" w:eastAsia="Times New Roman" w:hAnsi="Calibri"/>
        </w:rPr>
        <w:t>d</w:t>
      </w:r>
      <w:r w:rsidR="00692166">
        <w:rPr>
          <w:rFonts w:ascii="Calibri" w:eastAsia="Times New Roman" w:hAnsi="Calibri"/>
        </w:rPr>
        <w:t xml:space="preserve"> </w:t>
      </w:r>
      <w:r>
        <w:rPr>
          <w:rFonts w:ascii="Calibri" w:eastAsia="Times New Roman" w:hAnsi="Calibri"/>
        </w:rPr>
        <w:t xml:space="preserve">in the sensitivity analysis. </w:t>
      </w:r>
    </w:p>
    <w:p w:rsidR="00912407" w:rsidRDefault="00420CA1" w:rsidP="00FE2335">
      <w:pPr>
        <w:rPr>
          <w:rFonts w:ascii="Calibri" w:eastAsia="Times New Roman" w:hAnsi="Calibri"/>
        </w:rPr>
      </w:pPr>
      <w:r w:rsidRPr="00420CA1">
        <w:rPr>
          <w:noProof/>
          <w:lang w:eastAsia="en-GB"/>
        </w:rPr>
        <w:lastRenderedPageBreak/>
        <w:drawing>
          <wp:inline distT="0" distB="0" distL="0" distR="0" wp14:anchorId="36E064B4" wp14:editId="59843025">
            <wp:extent cx="5731510" cy="373760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737601"/>
                    </a:xfrm>
                    <a:prstGeom prst="rect">
                      <a:avLst/>
                    </a:prstGeom>
                    <a:noFill/>
                    <a:ln>
                      <a:noFill/>
                    </a:ln>
                  </pic:spPr>
                </pic:pic>
              </a:graphicData>
            </a:graphic>
          </wp:inline>
        </w:drawing>
      </w:r>
    </w:p>
    <w:p w:rsidR="00692166" w:rsidRDefault="00692166" w:rsidP="00FE2335">
      <w:pPr>
        <w:rPr>
          <w:rFonts w:ascii="Calibri" w:eastAsia="Times New Roman" w:hAnsi="Calibri"/>
          <w:b/>
        </w:rPr>
      </w:pPr>
      <w:r w:rsidRPr="00692166">
        <w:rPr>
          <w:rFonts w:ascii="Calibri" w:eastAsia="Times New Roman" w:hAnsi="Calibri"/>
          <w:b/>
        </w:rPr>
        <w:t xml:space="preserve">Figure </w:t>
      </w:r>
      <w:r w:rsidR="00DF0436">
        <w:rPr>
          <w:rFonts w:ascii="Calibri" w:eastAsia="Times New Roman" w:hAnsi="Calibri"/>
          <w:b/>
        </w:rPr>
        <w:t>5</w:t>
      </w:r>
      <w:r w:rsidRPr="00692166">
        <w:rPr>
          <w:rFonts w:ascii="Calibri" w:eastAsia="Times New Roman" w:hAnsi="Calibri"/>
          <w:b/>
        </w:rPr>
        <w:t>: Margina</w:t>
      </w:r>
      <w:r w:rsidR="0059664E">
        <w:rPr>
          <w:rFonts w:ascii="Calibri" w:eastAsia="Times New Roman" w:hAnsi="Calibri"/>
          <w:b/>
        </w:rPr>
        <w:t>l Abatement Cost curve in 2050</w:t>
      </w:r>
    </w:p>
    <w:p w:rsidR="00896AAE" w:rsidRPr="00896AAE" w:rsidRDefault="00896AAE" w:rsidP="00FE2335">
      <w:pPr>
        <w:rPr>
          <w:rFonts w:ascii="Calibri" w:eastAsia="Times New Roman" w:hAnsi="Calibri"/>
          <w:i/>
          <w:sz w:val="18"/>
          <w:szCs w:val="18"/>
        </w:rPr>
      </w:pPr>
      <w:r w:rsidRPr="00896AAE">
        <w:rPr>
          <w:rFonts w:ascii="Calibri" w:eastAsia="Times New Roman" w:hAnsi="Calibri"/>
          <w:i/>
          <w:sz w:val="18"/>
          <w:szCs w:val="18"/>
        </w:rPr>
        <w:t xml:space="preserve">Notes: All </w:t>
      </w:r>
      <w:r>
        <w:rPr>
          <w:rFonts w:ascii="Calibri" w:eastAsia="Times New Roman" w:hAnsi="Calibri"/>
          <w:i/>
          <w:sz w:val="18"/>
          <w:szCs w:val="18"/>
        </w:rPr>
        <w:t xml:space="preserve">cost </w:t>
      </w:r>
      <w:r w:rsidRPr="00896AAE">
        <w:rPr>
          <w:rFonts w:ascii="Calibri" w:eastAsia="Times New Roman" w:hAnsi="Calibri"/>
          <w:i/>
          <w:sz w:val="18"/>
          <w:szCs w:val="18"/>
        </w:rPr>
        <w:t>figures in US$2010</w:t>
      </w:r>
      <w:r w:rsidR="00514686">
        <w:rPr>
          <w:rFonts w:ascii="Calibri" w:eastAsia="Times New Roman" w:hAnsi="Calibri"/>
          <w:i/>
          <w:sz w:val="18"/>
          <w:szCs w:val="18"/>
        </w:rPr>
        <w:t>; EV = Electric Vehicle; FCV = Fuel Cell Vehicle</w:t>
      </w:r>
      <w:r w:rsidR="00C34217">
        <w:rPr>
          <w:rFonts w:ascii="Calibri" w:eastAsia="Times New Roman" w:hAnsi="Calibri"/>
          <w:i/>
          <w:sz w:val="18"/>
          <w:szCs w:val="18"/>
        </w:rPr>
        <w:t>; Colours / shading for clarity only (i.e. different abatement options are not colour-coded)</w:t>
      </w:r>
    </w:p>
    <w:p w:rsidR="00B901B3" w:rsidRDefault="00692166" w:rsidP="00FE2335">
      <w:pPr>
        <w:rPr>
          <w:rFonts w:ascii="Calibri" w:eastAsia="Times New Roman" w:hAnsi="Calibri"/>
        </w:rPr>
      </w:pPr>
      <w:r>
        <w:rPr>
          <w:rFonts w:ascii="Calibri" w:eastAsia="Times New Roman" w:hAnsi="Calibri"/>
        </w:rPr>
        <w:t xml:space="preserve">The area under the MAC curve represents the total additional </w:t>
      </w:r>
      <w:r w:rsidR="00B727E5">
        <w:rPr>
          <w:rFonts w:ascii="Calibri" w:eastAsia="Times New Roman" w:hAnsi="Calibri"/>
        </w:rPr>
        <w:t xml:space="preserve">annual </w:t>
      </w:r>
      <w:r>
        <w:rPr>
          <w:rFonts w:ascii="Calibri" w:eastAsia="Times New Roman" w:hAnsi="Calibri"/>
        </w:rPr>
        <w:t xml:space="preserve">cost in 2050 for the low carbon scenario when compared to the </w:t>
      </w:r>
      <w:r w:rsidR="00514686">
        <w:rPr>
          <w:rFonts w:ascii="Calibri" w:eastAsia="Times New Roman" w:hAnsi="Calibri"/>
        </w:rPr>
        <w:t>business-as-usual scenario</w:t>
      </w:r>
      <w:r>
        <w:rPr>
          <w:rFonts w:ascii="Calibri" w:eastAsia="Times New Roman" w:hAnsi="Calibri"/>
        </w:rPr>
        <w:t xml:space="preserve">, and is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Pr>
          <w:rFonts w:ascii="Calibri" w:eastAsia="Times New Roman" w:hAnsi="Calibri"/>
        </w:rPr>
        <w:t>$</w:t>
      </w:r>
      <w:r w:rsidR="00420CA1">
        <w:rPr>
          <w:rFonts w:ascii="Calibri" w:eastAsia="Times New Roman" w:hAnsi="Calibri"/>
        </w:rPr>
        <w:t xml:space="preserve">64 </w:t>
      </w:r>
      <w:r>
        <w:rPr>
          <w:rFonts w:ascii="Calibri" w:eastAsia="Times New Roman" w:hAnsi="Calibri"/>
        </w:rPr>
        <w:t>billion</w:t>
      </w:r>
      <w:r w:rsidR="00B727E5">
        <w:rPr>
          <w:rFonts w:ascii="Calibri" w:eastAsia="Times New Roman" w:hAnsi="Calibri"/>
        </w:rPr>
        <w:t>, which represents the sum of additional annualised purchase costs (at the assumed discount rate of 5%), additional operation and maintenance costs for vehicles, and additional wholesale fuel costs</w:t>
      </w:r>
      <w:r w:rsidR="00420CA1">
        <w:rPr>
          <w:rFonts w:ascii="Calibri" w:eastAsia="Times New Roman" w:hAnsi="Calibri"/>
        </w:rPr>
        <w:t xml:space="preserve"> (including a mark-up to account for electric </w:t>
      </w:r>
      <w:r w:rsidR="00044C36">
        <w:rPr>
          <w:rFonts w:ascii="Calibri" w:eastAsia="Times New Roman" w:hAnsi="Calibri"/>
        </w:rPr>
        <w:t xml:space="preserve">charging </w:t>
      </w:r>
      <w:r w:rsidR="00420CA1">
        <w:rPr>
          <w:rFonts w:ascii="Calibri" w:eastAsia="Times New Roman" w:hAnsi="Calibri"/>
        </w:rPr>
        <w:t xml:space="preserve">and </w:t>
      </w:r>
      <w:r w:rsidR="00044C36">
        <w:rPr>
          <w:rFonts w:ascii="Calibri" w:eastAsia="Times New Roman" w:hAnsi="Calibri"/>
        </w:rPr>
        <w:t>hydrogen infrastructure costs)</w:t>
      </w:r>
      <w:r w:rsidR="00420CA1">
        <w:rPr>
          <w:rFonts w:ascii="Calibri" w:eastAsia="Times New Roman" w:hAnsi="Calibri"/>
        </w:rPr>
        <w:t xml:space="preserve"> </w:t>
      </w:r>
      <w:r w:rsidR="00B727E5">
        <w:rPr>
          <w:rFonts w:ascii="Calibri" w:eastAsia="Times New Roman" w:hAnsi="Calibri"/>
        </w:rPr>
        <w:t xml:space="preserve">. </w:t>
      </w:r>
      <w:r>
        <w:rPr>
          <w:rFonts w:ascii="Calibri" w:eastAsia="Times New Roman" w:hAnsi="Calibri"/>
        </w:rPr>
        <w:t>This compa</w:t>
      </w:r>
      <w:r w:rsidR="00514686">
        <w:rPr>
          <w:rFonts w:ascii="Calibri" w:eastAsia="Times New Roman" w:hAnsi="Calibri"/>
        </w:rPr>
        <w:t>res to a total business-as-usual scenario</w:t>
      </w:r>
      <w:r w:rsidR="00B727E5">
        <w:rPr>
          <w:rFonts w:ascii="Calibri" w:eastAsia="Times New Roman" w:hAnsi="Calibri"/>
        </w:rPr>
        <w:t xml:space="preserve"> annual cost of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B727E5">
        <w:rPr>
          <w:rFonts w:ascii="Calibri" w:eastAsia="Times New Roman" w:hAnsi="Calibri"/>
        </w:rPr>
        <w:t>$</w:t>
      </w:r>
      <w:r w:rsidR="00044C36">
        <w:rPr>
          <w:rFonts w:ascii="Calibri" w:eastAsia="Times New Roman" w:hAnsi="Calibri"/>
        </w:rPr>
        <w:t xml:space="preserve">4,996 </w:t>
      </w:r>
      <w:r w:rsidR="00B727E5">
        <w:rPr>
          <w:rFonts w:ascii="Calibri" w:eastAsia="Times New Roman" w:hAnsi="Calibri"/>
        </w:rPr>
        <w:t>billion in 2050, hence a 1.</w:t>
      </w:r>
      <w:r w:rsidR="00044C36">
        <w:rPr>
          <w:rFonts w:ascii="Calibri" w:eastAsia="Times New Roman" w:hAnsi="Calibri"/>
        </w:rPr>
        <w:t>3</w:t>
      </w:r>
      <w:r w:rsidR="00B727E5">
        <w:rPr>
          <w:rFonts w:ascii="Calibri" w:eastAsia="Times New Roman" w:hAnsi="Calibri"/>
        </w:rPr>
        <w:t>% increase.</w:t>
      </w:r>
      <w:r w:rsidR="00514686">
        <w:rPr>
          <w:rFonts w:ascii="Calibri" w:eastAsia="Times New Roman" w:hAnsi="Calibri"/>
        </w:rPr>
        <w:t>. Neither the low-</w:t>
      </w:r>
      <w:r w:rsidR="00B727E5">
        <w:rPr>
          <w:rFonts w:ascii="Calibri" w:eastAsia="Times New Roman" w:hAnsi="Calibri"/>
        </w:rPr>
        <w:t xml:space="preserve">carbon nor </w:t>
      </w:r>
      <w:r w:rsidR="00514686">
        <w:rPr>
          <w:rFonts w:ascii="Calibri" w:eastAsia="Times New Roman" w:hAnsi="Calibri"/>
        </w:rPr>
        <w:t>business-as-usual</w:t>
      </w:r>
      <w:r w:rsidR="00B727E5">
        <w:rPr>
          <w:rFonts w:ascii="Calibri" w:eastAsia="Times New Roman" w:hAnsi="Calibri"/>
        </w:rPr>
        <w:t xml:space="preserve"> scenario includes retail costs to sell fuels, nor any taxes levied on vehicle sales and ownership </w:t>
      </w:r>
      <w:r w:rsidR="00044C36">
        <w:rPr>
          <w:rFonts w:ascii="Calibri" w:eastAsia="Times New Roman" w:hAnsi="Calibri"/>
        </w:rPr>
        <w:t>or</w:t>
      </w:r>
      <w:r w:rsidR="00B727E5">
        <w:rPr>
          <w:rFonts w:ascii="Calibri" w:eastAsia="Times New Roman" w:hAnsi="Calibri"/>
        </w:rPr>
        <w:t xml:space="preserve"> fuel sales. </w:t>
      </w:r>
      <w:r w:rsidR="00B901B3">
        <w:rPr>
          <w:rFonts w:ascii="Calibri" w:eastAsia="Times New Roman" w:hAnsi="Calibri"/>
        </w:rPr>
        <w:t xml:space="preserve">As is explored in the sensitivity analysis, this total cost differential is sensitive to a number of key assumptions, including discount rates, vehicle costs and fuel costs. </w:t>
      </w:r>
    </w:p>
    <w:p w:rsidR="00FE2335" w:rsidRDefault="00FE2335" w:rsidP="00FE2335">
      <w:pPr>
        <w:rPr>
          <w:rFonts w:ascii="Calibri" w:eastAsia="Times New Roman" w:hAnsi="Calibri"/>
        </w:rPr>
      </w:pPr>
      <w:r>
        <w:rPr>
          <w:rFonts w:ascii="Calibri" w:eastAsia="Times New Roman" w:hAnsi="Calibri"/>
        </w:rPr>
        <w:t xml:space="preserve">As well as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Pr>
          <w:rFonts w:ascii="Calibri" w:eastAsia="Times New Roman" w:hAnsi="Calibri"/>
        </w:rPr>
        <w:t>emissions savings, the low-carbon scenario also results in decreased reliance on fossil fuels</w:t>
      </w:r>
      <w:r w:rsidR="00C12645">
        <w:rPr>
          <w:rFonts w:ascii="Calibri" w:eastAsia="Times New Roman" w:hAnsi="Calibri"/>
        </w:rPr>
        <w:t>, particularly gasoline and diesel, as shown in f</w:t>
      </w:r>
      <w:r>
        <w:rPr>
          <w:rFonts w:ascii="Calibri" w:eastAsia="Times New Roman" w:hAnsi="Calibri"/>
        </w:rPr>
        <w:t xml:space="preserve">igure </w:t>
      </w:r>
      <w:r w:rsidR="00DF0436">
        <w:rPr>
          <w:rFonts w:ascii="Calibri" w:eastAsia="Times New Roman" w:hAnsi="Calibri"/>
        </w:rPr>
        <w:t>6</w:t>
      </w:r>
      <w:r w:rsidR="00C12645">
        <w:rPr>
          <w:rFonts w:ascii="Calibri" w:eastAsia="Times New Roman" w:hAnsi="Calibri"/>
        </w:rPr>
        <w:t>, which</w:t>
      </w:r>
      <w:r>
        <w:rPr>
          <w:rFonts w:ascii="Calibri" w:eastAsia="Times New Roman" w:hAnsi="Calibri"/>
        </w:rPr>
        <w:t xml:space="preserve"> shows the fossil fuel demand in the </w:t>
      </w:r>
      <w:r w:rsidR="00514686">
        <w:rPr>
          <w:rFonts w:ascii="Calibri" w:eastAsia="Times New Roman" w:hAnsi="Calibri"/>
        </w:rPr>
        <w:t>business-as-usual and low-</w:t>
      </w:r>
      <w:r>
        <w:rPr>
          <w:rFonts w:ascii="Calibri" w:eastAsia="Times New Roman" w:hAnsi="Calibri"/>
        </w:rPr>
        <w:t xml:space="preserve">carbon scenarios. </w:t>
      </w:r>
    </w:p>
    <w:p w:rsidR="00C12645" w:rsidRDefault="00E5782F" w:rsidP="00FE2335">
      <w:pPr>
        <w:rPr>
          <w:rFonts w:ascii="Calibri" w:eastAsia="Times New Roman" w:hAnsi="Calibri"/>
        </w:rPr>
      </w:pPr>
      <w:r w:rsidRPr="00E5782F">
        <w:rPr>
          <w:noProof/>
          <w:lang w:eastAsia="en-GB"/>
        </w:rPr>
        <w:lastRenderedPageBreak/>
        <w:drawing>
          <wp:inline distT="0" distB="0" distL="0" distR="0" wp14:anchorId="3F37E4B7" wp14:editId="5E4E222F">
            <wp:extent cx="5187333" cy="33805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92407" cy="3383816"/>
                    </a:xfrm>
                    <a:prstGeom prst="rect">
                      <a:avLst/>
                    </a:prstGeom>
                    <a:noFill/>
                    <a:ln>
                      <a:noFill/>
                    </a:ln>
                  </pic:spPr>
                </pic:pic>
              </a:graphicData>
            </a:graphic>
          </wp:inline>
        </w:drawing>
      </w:r>
    </w:p>
    <w:p w:rsidR="00C12645" w:rsidRDefault="00C12645" w:rsidP="00FE2335">
      <w:pPr>
        <w:rPr>
          <w:rFonts w:ascii="Calibri" w:eastAsia="Times New Roman" w:hAnsi="Calibri"/>
          <w:b/>
        </w:rPr>
      </w:pPr>
      <w:r w:rsidRPr="00C12645">
        <w:rPr>
          <w:rFonts w:ascii="Calibri" w:eastAsia="Times New Roman" w:hAnsi="Calibri"/>
          <w:b/>
        </w:rPr>
        <w:t xml:space="preserve">Figure </w:t>
      </w:r>
      <w:r w:rsidR="00DF0436">
        <w:rPr>
          <w:rFonts w:ascii="Calibri" w:eastAsia="Times New Roman" w:hAnsi="Calibri"/>
          <w:b/>
        </w:rPr>
        <w:t>6</w:t>
      </w:r>
      <w:r w:rsidRPr="00C12645">
        <w:rPr>
          <w:rFonts w:ascii="Calibri" w:eastAsia="Times New Roman" w:hAnsi="Calibri"/>
          <w:b/>
        </w:rPr>
        <w:t>: Fuel demand in China’s road transport sector in 2010 and 2050</w:t>
      </w:r>
    </w:p>
    <w:p w:rsidR="00F51894" w:rsidRPr="00F51894" w:rsidRDefault="00F51894" w:rsidP="00FE2335">
      <w:pPr>
        <w:rPr>
          <w:rFonts w:ascii="Calibri" w:eastAsia="Times New Roman" w:hAnsi="Calibri"/>
          <w:i/>
          <w:sz w:val="18"/>
          <w:szCs w:val="18"/>
        </w:rPr>
      </w:pPr>
      <w:r>
        <w:rPr>
          <w:rFonts w:ascii="Calibri" w:eastAsia="Times New Roman" w:hAnsi="Calibri"/>
          <w:i/>
          <w:sz w:val="18"/>
          <w:szCs w:val="18"/>
        </w:rPr>
        <w:t>Notes: BAU = B</w:t>
      </w:r>
      <w:r w:rsidRPr="00F51894">
        <w:rPr>
          <w:rFonts w:ascii="Calibri" w:eastAsia="Times New Roman" w:hAnsi="Calibri"/>
          <w:i/>
          <w:sz w:val="18"/>
          <w:szCs w:val="18"/>
        </w:rPr>
        <w:t>u</w:t>
      </w:r>
      <w:r>
        <w:rPr>
          <w:rFonts w:ascii="Calibri" w:eastAsia="Times New Roman" w:hAnsi="Calibri"/>
          <w:i/>
          <w:sz w:val="18"/>
          <w:szCs w:val="18"/>
        </w:rPr>
        <w:t>siness-as-usual; LC = Low Carbon; LPG = Liquefied Petroleum Gas; CNG = Compressed Natural Gas</w:t>
      </w:r>
    </w:p>
    <w:p w:rsidR="00FE2335" w:rsidRDefault="00265894" w:rsidP="00FE2335">
      <w:pPr>
        <w:rPr>
          <w:rFonts w:ascii="Calibri" w:eastAsia="Times New Roman" w:hAnsi="Calibri"/>
        </w:rPr>
      </w:pPr>
      <w:r>
        <w:rPr>
          <w:rFonts w:ascii="Calibri" w:eastAsia="Times New Roman" w:hAnsi="Calibri"/>
        </w:rPr>
        <w:t xml:space="preserve">The significantly reduced reliance on oil products in the low-carbon scenario, </w:t>
      </w:r>
      <w:r w:rsidR="00E5782F">
        <w:rPr>
          <w:rFonts w:ascii="Calibri" w:eastAsia="Times New Roman" w:hAnsi="Calibri"/>
        </w:rPr>
        <w:t xml:space="preserve">the demand for which is </w:t>
      </w:r>
      <w:r>
        <w:rPr>
          <w:rFonts w:ascii="Calibri" w:eastAsia="Times New Roman" w:hAnsi="Calibri"/>
        </w:rPr>
        <w:t>4</w:t>
      </w:r>
      <w:r w:rsidR="00E5782F">
        <w:rPr>
          <w:rFonts w:ascii="Calibri" w:eastAsia="Times New Roman" w:hAnsi="Calibri"/>
        </w:rPr>
        <w:t>3</w:t>
      </w:r>
      <w:r>
        <w:rPr>
          <w:rFonts w:ascii="Calibri" w:eastAsia="Times New Roman" w:hAnsi="Calibri"/>
        </w:rPr>
        <w:t xml:space="preserve">% lower than the </w:t>
      </w:r>
      <w:r w:rsidR="00514686">
        <w:rPr>
          <w:rFonts w:ascii="Calibri" w:eastAsia="Times New Roman" w:hAnsi="Calibri"/>
        </w:rPr>
        <w:t>business-as-usual</w:t>
      </w:r>
      <w:r>
        <w:rPr>
          <w:rFonts w:ascii="Calibri" w:eastAsia="Times New Roman" w:hAnsi="Calibri"/>
        </w:rPr>
        <w:t xml:space="preserve"> level by 2050 (though still twice the 2010 level) is a potentially very important motivation towards the adoption of low-carbon vehicle technologies, aside from their impact on </w:t>
      </w:r>
      <w:r w:rsidR="00E5782F">
        <w:rPr>
          <w:rFonts w:ascii="Calibri" w:eastAsia="Times New Roman" w:hAnsi="Calibri"/>
        </w:rPr>
        <w:t>CO</w:t>
      </w:r>
      <w:r w:rsidR="00E5782F" w:rsidRPr="00E5782F">
        <w:rPr>
          <w:rFonts w:ascii="Calibri" w:eastAsia="Times New Roman" w:hAnsi="Calibri"/>
          <w:vertAlign w:val="subscript"/>
        </w:rPr>
        <w:t>2</w:t>
      </w:r>
      <w:r w:rsidR="00E5782F">
        <w:rPr>
          <w:rFonts w:ascii="Calibri" w:eastAsia="Times New Roman" w:hAnsi="Calibri"/>
        </w:rPr>
        <w:t xml:space="preserve"> </w:t>
      </w:r>
      <w:r>
        <w:rPr>
          <w:rFonts w:ascii="Calibri" w:eastAsia="Times New Roman" w:hAnsi="Calibri"/>
        </w:rPr>
        <w:t xml:space="preserve">emissions. Local air pollutant emissions levels might also be considerably reduced compared to the </w:t>
      </w:r>
      <w:r w:rsidR="00514686">
        <w:rPr>
          <w:rFonts w:ascii="Calibri" w:eastAsia="Times New Roman" w:hAnsi="Calibri"/>
        </w:rPr>
        <w:t>business-as-usual</w:t>
      </w:r>
      <w:r>
        <w:rPr>
          <w:rFonts w:ascii="Calibri" w:eastAsia="Times New Roman" w:hAnsi="Calibri"/>
        </w:rPr>
        <w:t xml:space="preserve"> </w:t>
      </w:r>
      <w:r w:rsidR="001166AA">
        <w:rPr>
          <w:rFonts w:ascii="Calibri" w:eastAsia="Times New Roman" w:hAnsi="Calibri"/>
        </w:rPr>
        <w:t>scenario</w:t>
      </w:r>
      <w:r>
        <w:rPr>
          <w:rFonts w:ascii="Calibri" w:eastAsia="Times New Roman" w:hAnsi="Calibri"/>
        </w:rPr>
        <w:t xml:space="preserve"> - a factor which is worth modelling more accurately in further analysis which accounts for the location and density of road vehicles usage. </w:t>
      </w:r>
    </w:p>
    <w:p w:rsidR="001166AA" w:rsidRDefault="001166AA" w:rsidP="001166AA">
      <w:pPr>
        <w:pStyle w:val="Heading2"/>
        <w:rPr>
          <w:rFonts w:eastAsia="Times New Roman"/>
        </w:rPr>
      </w:pPr>
      <w:r>
        <w:rPr>
          <w:rFonts w:eastAsia="Times New Roman"/>
        </w:rPr>
        <w:t>5</w:t>
      </w:r>
      <w:r>
        <w:rPr>
          <w:rFonts w:eastAsia="Times New Roman"/>
        </w:rPr>
        <w:tab/>
        <w:t>Sensitivity analysis of main results</w:t>
      </w:r>
    </w:p>
    <w:p w:rsidR="00FE2335" w:rsidRDefault="00FE2335" w:rsidP="00FE2335">
      <w:pPr>
        <w:rPr>
          <w:rFonts w:ascii="Calibri" w:eastAsia="Times New Roman" w:hAnsi="Calibri"/>
        </w:rPr>
      </w:pPr>
      <w:r>
        <w:rPr>
          <w:rFonts w:ascii="Calibri" w:eastAsia="Times New Roman" w:hAnsi="Calibri"/>
        </w:rPr>
        <w:t>The model allows relatively straightforward testing of a range</w:t>
      </w:r>
      <w:r w:rsidR="00C46113">
        <w:rPr>
          <w:rFonts w:ascii="Calibri" w:eastAsia="Times New Roman" w:hAnsi="Calibri"/>
        </w:rPr>
        <w:t xml:space="preserve"> of sensitivities</w:t>
      </w:r>
      <w:r>
        <w:rPr>
          <w:rFonts w:ascii="Calibri" w:eastAsia="Times New Roman" w:hAnsi="Calibri"/>
        </w:rPr>
        <w:t xml:space="preserve">. For example, as discussed in Section 3, the vehicle growth rate figures assumed are somewhat lower than in the analysis of Huo </w:t>
      </w:r>
      <w:r w:rsidR="00C05385">
        <w:rPr>
          <w:rFonts w:ascii="Calibri" w:eastAsia="Times New Roman" w:hAnsi="Calibri"/>
        </w:rPr>
        <w:t>and Wang (2012)</w:t>
      </w:r>
      <w:r w:rsidR="007F335B">
        <w:rPr>
          <w:rFonts w:ascii="Calibri" w:eastAsia="Times New Roman" w:hAnsi="Calibri"/>
        </w:rPr>
        <w:t xml:space="preserve"> </w:t>
      </w:r>
      <w:r w:rsidR="007F335B" w:rsidRPr="00B076C7">
        <w:rPr>
          <w:rFonts w:ascii="Calibri" w:hAnsi="Calibri" w:cs="Calibri"/>
        </w:rPr>
        <w:t>[6]</w:t>
      </w:r>
      <w:r>
        <w:rPr>
          <w:rFonts w:ascii="Calibri" w:eastAsia="Times New Roman" w:hAnsi="Calibri"/>
        </w:rPr>
        <w:t xml:space="preserve">. Increasing growth rates such that </w:t>
      </w:r>
      <w:r w:rsidR="00B71B48">
        <w:rPr>
          <w:rFonts w:ascii="Calibri" w:eastAsia="Times New Roman" w:hAnsi="Calibri"/>
        </w:rPr>
        <w:t xml:space="preserve">the </w:t>
      </w:r>
      <w:r w:rsidR="00C05385">
        <w:rPr>
          <w:rFonts w:ascii="Calibri" w:eastAsia="Times New Roman" w:hAnsi="Calibri"/>
        </w:rPr>
        <w:t>passenger car</w:t>
      </w:r>
      <w:r>
        <w:rPr>
          <w:rFonts w:ascii="Calibri" w:eastAsia="Times New Roman" w:hAnsi="Calibri"/>
        </w:rPr>
        <w:t xml:space="preserve"> population in 2050 </w:t>
      </w:r>
      <w:r w:rsidR="0064535D">
        <w:rPr>
          <w:rFonts w:ascii="Calibri" w:eastAsia="Times New Roman" w:hAnsi="Calibri"/>
        </w:rPr>
        <w:t>is 499</w:t>
      </w:r>
      <w:r>
        <w:rPr>
          <w:rFonts w:ascii="Calibri" w:eastAsia="Times New Roman" w:hAnsi="Calibri"/>
        </w:rPr>
        <w:t xml:space="preserve"> million</w:t>
      </w:r>
      <w:r w:rsidR="00C46113">
        <w:rPr>
          <w:rFonts w:ascii="Calibri" w:eastAsia="Times New Roman" w:hAnsi="Calibri"/>
        </w:rPr>
        <w:t xml:space="preserve"> </w:t>
      </w:r>
      <w:r w:rsidR="00C05385">
        <w:rPr>
          <w:rFonts w:ascii="Calibri" w:eastAsia="Times New Roman" w:hAnsi="Calibri"/>
        </w:rPr>
        <w:t>(in line with Huo and Wang’s 2012 projections</w:t>
      </w:r>
      <w:r w:rsidR="007F335B">
        <w:rPr>
          <w:rFonts w:ascii="Calibri" w:eastAsia="Times New Roman" w:hAnsi="Calibri"/>
        </w:rPr>
        <w:t xml:space="preserve"> </w:t>
      </w:r>
      <w:r w:rsidR="007F335B" w:rsidRPr="00B076C7">
        <w:rPr>
          <w:rFonts w:ascii="Calibri" w:hAnsi="Calibri" w:cs="Calibri"/>
        </w:rPr>
        <w:t>[6]</w:t>
      </w:r>
      <w:r w:rsidR="00C05385">
        <w:rPr>
          <w:rFonts w:ascii="Calibri" w:eastAsia="Times New Roman" w:hAnsi="Calibri"/>
        </w:rPr>
        <w:t xml:space="preserve">) </w:t>
      </w:r>
      <w:r w:rsidR="00C46113">
        <w:rPr>
          <w:rFonts w:ascii="Calibri" w:eastAsia="Times New Roman" w:hAnsi="Calibri"/>
        </w:rPr>
        <w:t xml:space="preserve">rather than </w:t>
      </w:r>
      <w:r w:rsidR="00C05385">
        <w:rPr>
          <w:rFonts w:ascii="Calibri" w:eastAsia="Times New Roman" w:hAnsi="Calibri"/>
        </w:rPr>
        <w:t>377</w:t>
      </w:r>
      <w:r w:rsidR="00C46113">
        <w:rPr>
          <w:rFonts w:ascii="Calibri" w:eastAsia="Times New Roman" w:hAnsi="Calibri"/>
        </w:rPr>
        <w:t xml:space="preserve"> million</w:t>
      </w:r>
      <w:r w:rsidR="00C05385">
        <w:rPr>
          <w:rFonts w:ascii="Calibri" w:eastAsia="Times New Roman" w:hAnsi="Calibri"/>
        </w:rPr>
        <w:t xml:space="preserve"> as based on the Ou et al (2010) projections</w:t>
      </w:r>
      <w:r w:rsidR="007F335B">
        <w:rPr>
          <w:rFonts w:ascii="Calibri" w:eastAsia="Times New Roman" w:hAnsi="Calibri"/>
        </w:rPr>
        <w:t xml:space="preserve"> </w:t>
      </w:r>
      <w:r w:rsidR="007F335B" w:rsidRPr="007F335B">
        <w:rPr>
          <w:rFonts w:ascii="Calibri" w:hAnsi="Calibri" w:cs="Calibri"/>
        </w:rPr>
        <w:t>[5]</w:t>
      </w:r>
      <w:r>
        <w:rPr>
          <w:rFonts w:ascii="Calibri" w:eastAsia="Times New Roman" w:hAnsi="Calibri"/>
        </w:rPr>
        <w:t xml:space="preserve">, results in 2050 </w:t>
      </w:r>
      <w:r w:rsidR="00514686">
        <w:rPr>
          <w:rFonts w:ascii="Calibri" w:eastAsia="Times New Roman" w:hAnsi="Calibri"/>
        </w:rPr>
        <w:t>business-as-usual</w:t>
      </w:r>
      <w:r>
        <w:rPr>
          <w:rFonts w:ascii="Calibri" w:eastAsia="Times New Roman" w:hAnsi="Calibri"/>
        </w:rPr>
        <w:t xml:space="preserve">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Pr>
          <w:rFonts w:ascii="Calibri" w:eastAsia="Times New Roman" w:hAnsi="Calibri"/>
        </w:rPr>
        <w:t xml:space="preserve">emissions of </w:t>
      </w:r>
      <w:r w:rsidR="00C05385">
        <w:rPr>
          <w:rFonts w:ascii="Calibri" w:eastAsia="Times New Roman" w:hAnsi="Calibri"/>
        </w:rPr>
        <w:t>2.</w:t>
      </w:r>
      <w:r w:rsidR="0064535D">
        <w:rPr>
          <w:rFonts w:ascii="Calibri" w:eastAsia="Times New Roman" w:hAnsi="Calibri"/>
        </w:rPr>
        <w:t xml:space="preserve">37 </w:t>
      </w:r>
      <w:r w:rsidR="00C05385">
        <w:rPr>
          <w:rFonts w:ascii="Calibri" w:eastAsia="Times New Roman" w:hAnsi="Calibri"/>
        </w:rPr>
        <w:t>GtCO</w:t>
      </w:r>
      <w:r w:rsidR="00C05385" w:rsidRPr="00C05385">
        <w:rPr>
          <w:rFonts w:ascii="Calibri" w:eastAsia="Times New Roman" w:hAnsi="Calibri"/>
          <w:vertAlign w:val="subscript"/>
        </w:rPr>
        <w:t>2</w:t>
      </w:r>
      <w:r>
        <w:rPr>
          <w:rFonts w:ascii="Calibri" w:eastAsia="Times New Roman" w:hAnsi="Calibri"/>
        </w:rPr>
        <w:t xml:space="preserve"> </w:t>
      </w:r>
      <w:r w:rsidR="00C05385">
        <w:rPr>
          <w:rFonts w:ascii="Calibri" w:eastAsia="Times New Roman" w:hAnsi="Calibri"/>
        </w:rPr>
        <w:t xml:space="preserve">in 2050, and low </w:t>
      </w:r>
      <w:r>
        <w:rPr>
          <w:rFonts w:ascii="Calibri" w:eastAsia="Times New Roman" w:hAnsi="Calibri"/>
        </w:rPr>
        <w:t xml:space="preserve">carbon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Pr>
          <w:rFonts w:ascii="Calibri" w:eastAsia="Times New Roman" w:hAnsi="Calibri"/>
        </w:rPr>
        <w:t>emissions of</w:t>
      </w:r>
      <w:r w:rsidR="00C05385">
        <w:rPr>
          <w:rFonts w:ascii="Calibri" w:eastAsia="Times New Roman" w:hAnsi="Calibri"/>
        </w:rPr>
        <w:t xml:space="preserve"> 1.4</w:t>
      </w:r>
      <w:r w:rsidR="0064535D">
        <w:rPr>
          <w:rFonts w:ascii="Calibri" w:eastAsia="Times New Roman" w:hAnsi="Calibri"/>
        </w:rPr>
        <w:t xml:space="preserve">1 </w:t>
      </w:r>
      <w:r w:rsidR="00C05385">
        <w:rPr>
          <w:rFonts w:ascii="Calibri" w:eastAsia="Times New Roman" w:hAnsi="Calibri"/>
        </w:rPr>
        <w:t>GtCO</w:t>
      </w:r>
      <w:r w:rsidR="00C05385" w:rsidRPr="00C05385">
        <w:rPr>
          <w:rFonts w:ascii="Calibri" w:eastAsia="Times New Roman" w:hAnsi="Calibri"/>
          <w:vertAlign w:val="subscript"/>
        </w:rPr>
        <w:t>2</w:t>
      </w:r>
      <w:r w:rsidR="00C05385">
        <w:rPr>
          <w:rFonts w:ascii="Calibri" w:eastAsia="Times New Roman" w:hAnsi="Calibri"/>
        </w:rPr>
        <w:t xml:space="preserve">, as shown in figure </w:t>
      </w:r>
      <w:r w:rsidR="00371769">
        <w:rPr>
          <w:rFonts w:ascii="Calibri" w:eastAsia="Times New Roman" w:hAnsi="Calibri"/>
        </w:rPr>
        <w:t>7</w:t>
      </w:r>
      <w:r w:rsidR="00C05385">
        <w:rPr>
          <w:rFonts w:ascii="Calibri" w:eastAsia="Times New Roman" w:hAnsi="Calibri"/>
        </w:rPr>
        <w:t xml:space="preserve">.  As can be seen from the figure, the low-carbon scenario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sidR="00C05385">
        <w:rPr>
          <w:rFonts w:ascii="Calibri" w:eastAsia="Times New Roman" w:hAnsi="Calibri"/>
        </w:rPr>
        <w:t xml:space="preserve">emissions increase by less than the </w:t>
      </w:r>
      <w:r w:rsidR="00514686">
        <w:rPr>
          <w:rFonts w:ascii="Calibri" w:eastAsia="Times New Roman" w:hAnsi="Calibri"/>
        </w:rPr>
        <w:t>business-as-usual</w:t>
      </w:r>
      <w:r w:rsidR="00C05385">
        <w:rPr>
          <w:rFonts w:ascii="Calibri" w:eastAsia="Times New Roman" w:hAnsi="Calibri"/>
        </w:rPr>
        <w:t xml:space="preserve"> </w:t>
      </w:r>
      <w:r w:rsidR="008B0458">
        <w:rPr>
          <w:rFonts w:ascii="Calibri" w:eastAsia="Times New Roman" w:hAnsi="Calibri"/>
        </w:rPr>
        <w:t>CO</w:t>
      </w:r>
      <w:r w:rsidR="008B0458" w:rsidRPr="008B0458">
        <w:rPr>
          <w:rFonts w:ascii="Calibri" w:eastAsia="Times New Roman" w:hAnsi="Calibri"/>
          <w:vertAlign w:val="subscript"/>
        </w:rPr>
        <w:t>2</w:t>
      </w:r>
      <w:r w:rsidR="008B0458">
        <w:rPr>
          <w:rFonts w:ascii="Calibri" w:eastAsia="Times New Roman" w:hAnsi="Calibri"/>
        </w:rPr>
        <w:t xml:space="preserve"> </w:t>
      </w:r>
      <w:r w:rsidR="00C05385">
        <w:rPr>
          <w:rFonts w:ascii="Calibri" w:eastAsia="Times New Roman" w:hAnsi="Calibri"/>
        </w:rPr>
        <w:t>emissions, as a result of the lower CO</w:t>
      </w:r>
      <w:r w:rsidR="00C05385" w:rsidRPr="00C05385">
        <w:rPr>
          <w:rFonts w:ascii="Calibri" w:eastAsia="Times New Roman" w:hAnsi="Calibri"/>
          <w:vertAlign w:val="subscript"/>
        </w:rPr>
        <w:t>2</w:t>
      </w:r>
      <w:r w:rsidR="00C05385">
        <w:rPr>
          <w:rFonts w:ascii="Calibri" w:eastAsia="Times New Roman" w:hAnsi="Calibri"/>
        </w:rPr>
        <w:t xml:space="preserve"> intensity of passenger cars in the low-carbon scenario. The total additional </w:t>
      </w:r>
      <w:r w:rsidR="00B71B48">
        <w:rPr>
          <w:rFonts w:ascii="Calibri" w:eastAsia="Times New Roman" w:hAnsi="Calibri"/>
        </w:rPr>
        <w:t xml:space="preserve">annual </w:t>
      </w:r>
      <w:r w:rsidR="00C05385">
        <w:rPr>
          <w:rFonts w:ascii="Calibri" w:eastAsia="Times New Roman" w:hAnsi="Calibri"/>
        </w:rPr>
        <w:t xml:space="preserve">cost of the </w:t>
      </w:r>
      <w:r w:rsidR="0064535D">
        <w:rPr>
          <w:rFonts w:ascii="Calibri" w:eastAsia="Times New Roman" w:hAnsi="Calibri"/>
        </w:rPr>
        <w:t xml:space="preserve">road </w:t>
      </w:r>
      <w:r w:rsidR="00C05385">
        <w:rPr>
          <w:rFonts w:ascii="Calibri" w:eastAsia="Times New Roman" w:hAnsi="Calibri"/>
        </w:rPr>
        <w:t xml:space="preserve">transport sector in the low-carbon scenario </w:t>
      </w:r>
      <w:r w:rsidR="00B71B48">
        <w:rPr>
          <w:rFonts w:ascii="Calibri" w:eastAsia="Times New Roman" w:hAnsi="Calibri"/>
        </w:rPr>
        <w:t xml:space="preserve">in 2050 </w:t>
      </w:r>
      <w:r w:rsidR="00C05385">
        <w:rPr>
          <w:rFonts w:ascii="Calibri" w:eastAsia="Times New Roman" w:hAnsi="Calibri"/>
        </w:rPr>
        <w:t>increases f</w:t>
      </w:r>
      <w:r w:rsidR="00B71B48">
        <w:rPr>
          <w:rFonts w:ascii="Calibri" w:eastAsia="Times New Roman" w:hAnsi="Calibri"/>
        </w:rPr>
        <w:t>ro</w:t>
      </w:r>
      <w:r w:rsidR="00C05385">
        <w:rPr>
          <w:rFonts w:ascii="Calibri" w:eastAsia="Times New Roman" w:hAnsi="Calibri"/>
        </w:rPr>
        <w:t xml:space="preserve">m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C05385">
        <w:rPr>
          <w:rFonts w:ascii="Calibri" w:eastAsia="Times New Roman" w:hAnsi="Calibri"/>
        </w:rPr>
        <w:t>$</w:t>
      </w:r>
      <w:r w:rsidR="00540746">
        <w:rPr>
          <w:rFonts w:ascii="Calibri" w:eastAsia="Times New Roman" w:hAnsi="Calibri"/>
        </w:rPr>
        <w:t xml:space="preserve">64 </w:t>
      </w:r>
      <w:r w:rsidR="00C05385">
        <w:rPr>
          <w:rFonts w:ascii="Calibri" w:eastAsia="Times New Roman" w:hAnsi="Calibri"/>
        </w:rPr>
        <w:t xml:space="preserve">billion to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C05385">
        <w:rPr>
          <w:rFonts w:ascii="Calibri" w:eastAsia="Times New Roman" w:hAnsi="Calibri"/>
        </w:rPr>
        <w:t>$</w:t>
      </w:r>
      <w:r w:rsidR="00540746">
        <w:rPr>
          <w:rFonts w:ascii="Calibri" w:eastAsia="Times New Roman" w:hAnsi="Calibri"/>
        </w:rPr>
        <w:t xml:space="preserve">93 </w:t>
      </w:r>
      <w:r w:rsidR="00C05385">
        <w:rPr>
          <w:rFonts w:ascii="Calibri" w:eastAsia="Times New Roman" w:hAnsi="Calibri"/>
        </w:rPr>
        <w:t>billion</w:t>
      </w:r>
      <w:r w:rsidR="0064535D">
        <w:rPr>
          <w:rFonts w:ascii="Calibri" w:eastAsia="Times New Roman" w:hAnsi="Calibri"/>
        </w:rPr>
        <w:t>, 1.</w:t>
      </w:r>
      <w:r w:rsidR="00540746">
        <w:rPr>
          <w:rFonts w:ascii="Calibri" w:eastAsia="Times New Roman" w:hAnsi="Calibri"/>
        </w:rPr>
        <w:t>6</w:t>
      </w:r>
      <w:r w:rsidR="0064535D">
        <w:rPr>
          <w:rFonts w:ascii="Calibri" w:eastAsia="Times New Roman" w:hAnsi="Calibri"/>
        </w:rPr>
        <w:t xml:space="preserve">% higher than the </w:t>
      </w:r>
      <w:r w:rsidR="00514686">
        <w:rPr>
          <w:rFonts w:ascii="Calibri" w:eastAsia="Times New Roman" w:hAnsi="Calibri"/>
        </w:rPr>
        <w:t>business-as-usual</w:t>
      </w:r>
      <w:r w:rsidR="0064535D">
        <w:rPr>
          <w:rFonts w:ascii="Calibri" w:eastAsia="Times New Roman" w:hAnsi="Calibri"/>
        </w:rPr>
        <w:t xml:space="preserve"> road transport sector cost of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64535D">
        <w:rPr>
          <w:rFonts w:ascii="Calibri" w:eastAsia="Times New Roman" w:hAnsi="Calibri"/>
        </w:rPr>
        <w:t>$</w:t>
      </w:r>
      <w:r w:rsidR="00540746">
        <w:rPr>
          <w:rFonts w:ascii="Calibri" w:eastAsia="Times New Roman" w:hAnsi="Calibri"/>
        </w:rPr>
        <w:t>5</w:t>
      </w:r>
      <w:r w:rsidR="0064535D">
        <w:rPr>
          <w:rFonts w:ascii="Calibri" w:eastAsia="Times New Roman" w:hAnsi="Calibri"/>
        </w:rPr>
        <w:t>,</w:t>
      </w:r>
      <w:r w:rsidR="00540746">
        <w:rPr>
          <w:rFonts w:ascii="Calibri" w:eastAsia="Times New Roman" w:hAnsi="Calibri"/>
        </w:rPr>
        <w:t xml:space="preserve">700 </w:t>
      </w:r>
      <w:r w:rsidR="0064535D">
        <w:rPr>
          <w:rFonts w:ascii="Calibri" w:eastAsia="Times New Roman" w:hAnsi="Calibri"/>
        </w:rPr>
        <w:t>billion in this higher car population scenario.</w:t>
      </w:r>
    </w:p>
    <w:p w:rsidR="00FE2335" w:rsidRDefault="0064535D" w:rsidP="00FE2335">
      <w:pPr>
        <w:rPr>
          <w:rFonts w:ascii="Calibri" w:eastAsia="Times New Roman" w:hAnsi="Calibri"/>
        </w:rPr>
      </w:pPr>
      <w:r w:rsidRPr="0064535D">
        <w:rPr>
          <w:noProof/>
          <w:lang w:eastAsia="en-GB"/>
        </w:rPr>
        <w:lastRenderedPageBreak/>
        <w:drawing>
          <wp:inline distT="0" distB="0" distL="0" distR="0" wp14:anchorId="76825FE1" wp14:editId="02A52FC8">
            <wp:extent cx="5088123" cy="33158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93100" cy="3319098"/>
                    </a:xfrm>
                    <a:prstGeom prst="rect">
                      <a:avLst/>
                    </a:prstGeom>
                    <a:noFill/>
                    <a:ln>
                      <a:noFill/>
                    </a:ln>
                  </pic:spPr>
                </pic:pic>
              </a:graphicData>
            </a:graphic>
          </wp:inline>
        </w:drawing>
      </w:r>
    </w:p>
    <w:p w:rsidR="00FE2335" w:rsidRDefault="00C05385" w:rsidP="00FE2335">
      <w:pPr>
        <w:rPr>
          <w:rFonts w:ascii="Calibri" w:eastAsia="Times New Roman" w:hAnsi="Calibri"/>
          <w:b/>
        </w:rPr>
      </w:pPr>
      <w:r w:rsidRPr="00C05385">
        <w:rPr>
          <w:rFonts w:ascii="Calibri" w:eastAsia="Times New Roman" w:hAnsi="Calibri"/>
          <w:b/>
        </w:rPr>
        <w:t xml:space="preserve">Figure </w:t>
      </w:r>
      <w:r w:rsidR="00DF0436">
        <w:rPr>
          <w:rFonts w:ascii="Calibri" w:eastAsia="Times New Roman" w:hAnsi="Calibri"/>
          <w:b/>
        </w:rPr>
        <w:t>7</w:t>
      </w:r>
      <w:r w:rsidRPr="00C05385">
        <w:rPr>
          <w:rFonts w:ascii="Calibri" w:eastAsia="Times New Roman" w:hAnsi="Calibri"/>
          <w:b/>
        </w:rPr>
        <w:t>:</w:t>
      </w:r>
      <w:r>
        <w:rPr>
          <w:rFonts w:ascii="Calibri" w:eastAsia="Times New Roman" w:hAnsi="Calibri"/>
          <w:b/>
        </w:rPr>
        <w:t xml:space="preserve"> </w:t>
      </w:r>
      <w:r w:rsidR="008B0458" w:rsidRPr="008B0458">
        <w:rPr>
          <w:rFonts w:ascii="Calibri" w:eastAsia="Times New Roman" w:hAnsi="Calibri"/>
          <w:b/>
        </w:rPr>
        <w:t>CO</w:t>
      </w:r>
      <w:r w:rsidR="008B0458" w:rsidRPr="008B0458">
        <w:rPr>
          <w:rFonts w:ascii="Calibri" w:eastAsia="Times New Roman" w:hAnsi="Calibri"/>
          <w:b/>
          <w:vertAlign w:val="subscript"/>
        </w:rPr>
        <w:t>2</w:t>
      </w:r>
      <w:r w:rsidR="008B0458" w:rsidRPr="008B0458">
        <w:rPr>
          <w:rFonts w:ascii="Calibri" w:eastAsia="Times New Roman" w:hAnsi="Calibri"/>
          <w:b/>
        </w:rPr>
        <w:t xml:space="preserve"> e</w:t>
      </w:r>
      <w:r w:rsidRPr="008B0458">
        <w:rPr>
          <w:rFonts w:ascii="Calibri" w:eastAsia="Times New Roman" w:hAnsi="Calibri"/>
          <w:b/>
        </w:rPr>
        <w:t>missions</w:t>
      </w:r>
      <w:r>
        <w:rPr>
          <w:rFonts w:ascii="Calibri" w:eastAsia="Times New Roman" w:hAnsi="Calibri"/>
          <w:b/>
        </w:rPr>
        <w:t xml:space="preserve"> using s</w:t>
      </w:r>
      <w:r w:rsidRPr="00C05385">
        <w:rPr>
          <w:rFonts w:ascii="Calibri" w:eastAsia="Times New Roman" w:hAnsi="Calibri"/>
          <w:b/>
        </w:rPr>
        <w:t>ensitivity analysis with higher growth rate of passenger cars</w:t>
      </w:r>
    </w:p>
    <w:p w:rsidR="00F51894" w:rsidRDefault="00F51894" w:rsidP="00FE2335">
      <w:pPr>
        <w:rPr>
          <w:rFonts w:ascii="Calibri" w:eastAsia="Times New Roman" w:hAnsi="Calibri"/>
        </w:rPr>
      </w:pPr>
      <w:r>
        <w:rPr>
          <w:rFonts w:ascii="Calibri" w:eastAsia="Times New Roman" w:hAnsi="Calibri"/>
          <w:i/>
          <w:sz w:val="18"/>
          <w:szCs w:val="18"/>
        </w:rPr>
        <w:t>Notes: BAU = B</w:t>
      </w:r>
      <w:r w:rsidRPr="00F51894">
        <w:rPr>
          <w:rFonts w:ascii="Calibri" w:eastAsia="Times New Roman" w:hAnsi="Calibri"/>
          <w:i/>
          <w:sz w:val="18"/>
          <w:szCs w:val="18"/>
        </w:rPr>
        <w:t>u</w:t>
      </w:r>
      <w:r>
        <w:rPr>
          <w:rFonts w:ascii="Calibri" w:eastAsia="Times New Roman" w:hAnsi="Calibri"/>
          <w:i/>
          <w:sz w:val="18"/>
          <w:szCs w:val="18"/>
        </w:rPr>
        <w:t>siness-as-usual; LC = Low Carbon; High car = high passenger car growth scenario; Low car = low passenger car growth scenario</w:t>
      </w:r>
    </w:p>
    <w:p w:rsidR="00C05385" w:rsidRDefault="003560A7" w:rsidP="00FE2335">
      <w:pPr>
        <w:rPr>
          <w:rFonts w:ascii="Calibri" w:eastAsia="Times New Roman" w:hAnsi="Calibri"/>
        </w:rPr>
      </w:pPr>
      <w:r>
        <w:rPr>
          <w:rFonts w:ascii="Calibri" w:eastAsia="Times New Roman" w:hAnsi="Calibri"/>
        </w:rPr>
        <w:t>Other</w:t>
      </w:r>
      <w:r w:rsidR="00554E36" w:rsidRPr="00554E36">
        <w:rPr>
          <w:rFonts w:ascii="Calibri" w:eastAsia="Times New Roman" w:hAnsi="Calibri"/>
        </w:rPr>
        <w:t xml:space="preserve"> key sensiti</w:t>
      </w:r>
      <w:r>
        <w:rPr>
          <w:rFonts w:ascii="Calibri" w:eastAsia="Times New Roman" w:hAnsi="Calibri"/>
        </w:rPr>
        <w:t>vities worthy of exploration are</w:t>
      </w:r>
      <w:r w:rsidR="00554E36" w:rsidRPr="00554E36">
        <w:rPr>
          <w:rFonts w:ascii="Calibri" w:eastAsia="Times New Roman" w:hAnsi="Calibri"/>
        </w:rPr>
        <w:t xml:space="preserve"> the </w:t>
      </w:r>
      <w:r w:rsidR="00DB6995">
        <w:rPr>
          <w:rFonts w:ascii="Calibri" w:eastAsia="Times New Roman" w:hAnsi="Calibri"/>
        </w:rPr>
        <w:t xml:space="preserve">financing rate (i.e. the </w:t>
      </w:r>
      <w:r w:rsidR="00554E36" w:rsidRPr="00554E36">
        <w:rPr>
          <w:rFonts w:ascii="Calibri" w:eastAsia="Times New Roman" w:hAnsi="Calibri"/>
        </w:rPr>
        <w:t>discount rate</w:t>
      </w:r>
      <w:r w:rsidR="00DB6995">
        <w:rPr>
          <w:rFonts w:ascii="Calibri" w:eastAsia="Times New Roman" w:hAnsi="Calibri"/>
        </w:rPr>
        <w:t>)</w:t>
      </w:r>
      <w:r w:rsidR="00554E36" w:rsidRPr="00554E36">
        <w:rPr>
          <w:rFonts w:ascii="Calibri" w:eastAsia="Times New Roman" w:hAnsi="Calibri"/>
        </w:rPr>
        <w:t xml:space="preserve"> applied to the</w:t>
      </w:r>
      <w:r w:rsidR="00554E36">
        <w:rPr>
          <w:rFonts w:ascii="Calibri" w:eastAsia="Times New Roman" w:hAnsi="Calibri"/>
        </w:rPr>
        <w:t xml:space="preserve"> purchase cost of vehicles</w:t>
      </w:r>
      <w:r>
        <w:rPr>
          <w:rFonts w:ascii="Calibri" w:eastAsia="Times New Roman" w:hAnsi="Calibri"/>
        </w:rPr>
        <w:t>, as well as the assumed fossil fuel prices in 2050</w:t>
      </w:r>
      <w:r w:rsidR="00554E36">
        <w:rPr>
          <w:rFonts w:ascii="Calibri" w:eastAsia="Times New Roman" w:hAnsi="Calibri"/>
        </w:rPr>
        <w:t xml:space="preserve">. There have been a number of analyses of mitigation costs using discount rates based on a </w:t>
      </w:r>
      <w:r w:rsidR="00F537F2">
        <w:rPr>
          <w:rFonts w:ascii="Calibri" w:eastAsia="Times New Roman" w:hAnsi="Calibri"/>
        </w:rPr>
        <w:t>“</w:t>
      </w:r>
      <w:r w:rsidR="00554E36">
        <w:rPr>
          <w:rFonts w:ascii="Calibri" w:eastAsia="Times New Roman" w:hAnsi="Calibri"/>
        </w:rPr>
        <w:t>social</w:t>
      </w:r>
      <w:r w:rsidR="00F537F2">
        <w:rPr>
          <w:rFonts w:ascii="Calibri" w:eastAsia="Times New Roman" w:hAnsi="Calibri"/>
        </w:rPr>
        <w:t>”</w:t>
      </w:r>
      <w:r w:rsidR="00554E36">
        <w:rPr>
          <w:rFonts w:ascii="Calibri" w:eastAsia="Times New Roman" w:hAnsi="Calibri"/>
        </w:rPr>
        <w:t xml:space="preserve"> rate of return on capital, often considered risk-free and broadly equivalent to the borrowing rate for governments in stable economic times</w:t>
      </w:r>
      <w:r w:rsidR="007F335B">
        <w:rPr>
          <w:rFonts w:ascii="Calibri" w:eastAsia="Times New Roman" w:hAnsi="Calibri"/>
        </w:rPr>
        <w:t xml:space="preserve"> </w:t>
      </w:r>
      <w:r w:rsidR="00E6341B" w:rsidRPr="00A35086">
        <w:rPr>
          <w:rFonts w:ascii="Calibri" w:hAnsi="Calibri"/>
        </w:rPr>
        <w:t>[35]</w:t>
      </w:r>
      <w:r w:rsidR="00554E36">
        <w:rPr>
          <w:rFonts w:ascii="Calibri" w:eastAsia="Times New Roman" w:hAnsi="Calibri"/>
        </w:rPr>
        <w:t xml:space="preserve">. By contrast, a risk-weighted discount rate, taking into account private investment risks of defaults on loan repayments, is also used, with values closer to a market weighted average cost of capital </w:t>
      </w:r>
      <w:r w:rsidR="00B71B48">
        <w:rPr>
          <w:rFonts w:ascii="Calibri" w:eastAsia="Times New Roman" w:hAnsi="Calibri"/>
        </w:rPr>
        <w:t xml:space="preserve">(WACC) </w:t>
      </w:r>
      <w:r w:rsidR="00554E36">
        <w:rPr>
          <w:rFonts w:ascii="Calibri" w:eastAsia="Times New Roman" w:hAnsi="Calibri"/>
        </w:rPr>
        <w:t xml:space="preserve">typically experienced by private firms making investments, or consumers making private purchases. The former, social discount rate is often closer to 5% (with some analyses using 3.5%) and the latter closer to 10%. For an economy-wide analysis such as this, in which the aim is to capture the societal cost of </w:t>
      </w:r>
      <w:r w:rsidR="00B71B48">
        <w:rPr>
          <w:rFonts w:ascii="Calibri" w:eastAsia="Times New Roman" w:hAnsi="Calibri"/>
        </w:rPr>
        <w:t xml:space="preserve">a </w:t>
      </w:r>
      <w:r w:rsidR="00554E36">
        <w:rPr>
          <w:rFonts w:ascii="Calibri" w:eastAsia="Times New Roman" w:hAnsi="Calibri"/>
        </w:rPr>
        <w:t xml:space="preserve">low-carbon </w:t>
      </w:r>
      <w:r w:rsidR="00B71B48">
        <w:rPr>
          <w:rFonts w:ascii="Calibri" w:eastAsia="Times New Roman" w:hAnsi="Calibri"/>
        </w:rPr>
        <w:t>transition</w:t>
      </w:r>
      <w:r w:rsidR="00554E36">
        <w:rPr>
          <w:rFonts w:ascii="Calibri" w:eastAsia="Times New Roman" w:hAnsi="Calibri"/>
        </w:rPr>
        <w:t xml:space="preserve">, it </w:t>
      </w:r>
      <w:r w:rsidR="00B71B48">
        <w:rPr>
          <w:rFonts w:ascii="Calibri" w:eastAsia="Times New Roman" w:hAnsi="Calibri"/>
        </w:rPr>
        <w:t>is more appropriate</w:t>
      </w:r>
      <w:r w:rsidR="00554E36">
        <w:rPr>
          <w:rFonts w:ascii="Calibri" w:eastAsia="Times New Roman" w:hAnsi="Calibri"/>
        </w:rPr>
        <w:t xml:space="preserve"> to consider the lower</w:t>
      </w:r>
      <w:r w:rsidR="00B71B48">
        <w:rPr>
          <w:rFonts w:ascii="Calibri" w:eastAsia="Times New Roman" w:hAnsi="Calibri"/>
        </w:rPr>
        <w:t>, essentially risk-free,</w:t>
      </w:r>
      <w:r w:rsidR="00554E36">
        <w:rPr>
          <w:rFonts w:ascii="Calibri" w:eastAsia="Times New Roman" w:hAnsi="Calibri"/>
        </w:rPr>
        <w:t xml:space="preserve"> </w:t>
      </w:r>
      <w:r w:rsidR="00B71B48">
        <w:rPr>
          <w:rFonts w:ascii="Calibri" w:eastAsia="Times New Roman" w:hAnsi="Calibri"/>
        </w:rPr>
        <w:t>discount rate</w:t>
      </w:r>
      <w:r w:rsidR="00554E36">
        <w:rPr>
          <w:rFonts w:ascii="Calibri" w:eastAsia="Times New Roman" w:hAnsi="Calibri"/>
        </w:rPr>
        <w:t xml:space="preserve">. However, it is worth investigating the impact </w:t>
      </w:r>
      <w:r w:rsidR="00B71B48">
        <w:rPr>
          <w:rFonts w:ascii="Calibri" w:eastAsia="Times New Roman" w:hAnsi="Calibri"/>
        </w:rPr>
        <w:t xml:space="preserve">on total transport sector cost </w:t>
      </w:r>
      <w:r w:rsidR="00554E36">
        <w:rPr>
          <w:rFonts w:ascii="Calibri" w:eastAsia="Times New Roman" w:hAnsi="Calibri"/>
        </w:rPr>
        <w:t>of increasing the discount rate towards a private market level</w:t>
      </w:r>
      <w:r w:rsidR="00B71B48">
        <w:rPr>
          <w:rFonts w:ascii="Calibri" w:eastAsia="Times New Roman" w:hAnsi="Calibri"/>
        </w:rPr>
        <w:t xml:space="preserve"> which accounts for the risk of default in loan repayments</w:t>
      </w:r>
      <w:r w:rsidR="00554E36">
        <w:rPr>
          <w:rFonts w:ascii="Calibri" w:eastAsia="Times New Roman" w:hAnsi="Calibri"/>
        </w:rPr>
        <w:t xml:space="preserve">, as shown in figure </w:t>
      </w:r>
      <w:r w:rsidR="00DF0436">
        <w:rPr>
          <w:rFonts w:ascii="Calibri" w:eastAsia="Times New Roman" w:hAnsi="Calibri"/>
        </w:rPr>
        <w:t>8</w:t>
      </w:r>
      <w:r w:rsidR="00554E36">
        <w:rPr>
          <w:rFonts w:ascii="Calibri" w:eastAsia="Times New Roman" w:hAnsi="Calibri"/>
        </w:rPr>
        <w:t xml:space="preserve">. </w:t>
      </w:r>
    </w:p>
    <w:p w:rsidR="00554E36" w:rsidRPr="00554E36" w:rsidRDefault="00540746" w:rsidP="00FE2335">
      <w:pPr>
        <w:rPr>
          <w:rFonts w:ascii="Calibri" w:eastAsia="Times New Roman" w:hAnsi="Calibri"/>
        </w:rPr>
      </w:pPr>
      <w:r w:rsidRPr="00540746">
        <w:rPr>
          <w:noProof/>
          <w:lang w:eastAsia="en-GB"/>
        </w:rPr>
        <w:lastRenderedPageBreak/>
        <w:drawing>
          <wp:inline distT="0" distB="0" distL="0" distR="0" wp14:anchorId="4B38E6E1" wp14:editId="60FE232C">
            <wp:extent cx="5731510" cy="373489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734895"/>
                    </a:xfrm>
                    <a:prstGeom prst="rect">
                      <a:avLst/>
                    </a:prstGeom>
                    <a:noFill/>
                    <a:ln>
                      <a:noFill/>
                    </a:ln>
                  </pic:spPr>
                </pic:pic>
              </a:graphicData>
            </a:graphic>
          </wp:inline>
        </w:drawing>
      </w:r>
    </w:p>
    <w:p w:rsidR="00FE2335" w:rsidRPr="00B71B48" w:rsidRDefault="00B71B48" w:rsidP="00FE2335">
      <w:pPr>
        <w:rPr>
          <w:rFonts w:ascii="Calibri" w:eastAsia="Times New Roman" w:hAnsi="Calibri"/>
          <w:b/>
        </w:rPr>
      </w:pPr>
      <w:r w:rsidRPr="00B71B48">
        <w:rPr>
          <w:rFonts w:ascii="Calibri" w:eastAsia="Times New Roman" w:hAnsi="Calibri"/>
          <w:b/>
        </w:rPr>
        <w:t xml:space="preserve">Figure </w:t>
      </w:r>
      <w:r w:rsidR="00DF0436">
        <w:rPr>
          <w:rFonts w:ascii="Calibri" w:eastAsia="Times New Roman" w:hAnsi="Calibri"/>
          <w:b/>
        </w:rPr>
        <w:t>8</w:t>
      </w:r>
      <w:r w:rsidRPr="00B71B48">
        <w:rPr>
          <w:rFonts w:ascii="Calibri" w:eastAsia="Times New Roman" w:hAnsi="Calibri"/>
          <w:b/>
        </w:rPr>
        <w:t xml:space="preserve">: Total annual </w:t>
      </w:r>
      <w:r w:rsidR="00A96720">
        <w:rPr>
          <w:rFonts w:ascii="Calibri" w:eastAsia="Times New Roman" w:hAnsi="Calibri"/>
          <w:b/>
        </w:rPr>
        <w:t xml:space="preserve">road </w:t>
      </w:r>
      <w:r w:rsidRPr="00B71B48">
        <w:rPr>
          <w:rFonts w:ascii="Calibri" w:eastAsia="Times New Roman" w:hAnsi="Calibri"/>
          <w:b/>
        </w:rPr>
        <w:t>transport sector cost in 2050, at a range of discount rates</w:t>
      </w:r>
    </w:p>
    <w:p w:rsidR="00896AAE" w:rsidRDefault="00896AAE" w:rsidP="00FE2335">
      <w:pPr>
        <w:rPr>
          <w:rFonts w:ascii="Calibri" w:eastAsia="Times New Roman" w:hAnsi="Calibri"/>
        </w:rPr>
      </w:pPr>
      <w:r w:rsidRPr="00896AAE">
        <w:rPr>
          <w:rFonts w:ascii="Calibri" w:eastAsia="Times New Roman" w:hAnsi="Calibri"/>
          <w:i/>
          <w:sz w:val="18"/>
          <w:szCs w:val="18"/>
        </w:rPr>
        <w:t xml:space="preserve">Notes: All </w:t>
      </w:r>
      <w:r>
        <w:rPr>
          <w:rFonts w:ascii="Calibri" w:eastAsia="Times New Roman" w:hAnsi="Calibri"/>
          <w:i/>
          <w:sz w:val="18"/>
          <w:szCs w:val="18"/>
        </w:rPr>
        <w:t xml:space="preserve">cost </w:t>
      </w:r>
      <w:r w:rsidRPr="00896AAE">
        <w:rPr>
          <w:rFonts w:ascii="Calibri" w:eastAsia="Times New Roman" w:hAnsi="Calibri"/>
          <w:i/>
          <w:sz w:val="18"/>
          <w:szCs w:val="18"/>
        </w:rPr>
        <w:t>figures in US$2010</w:t>
      </w:r>
      <w:r w:rsidR="00C34217">
        <w:rPr>
          <w:rFonts w:ascii="Calibri" w:eastAsia="Times New Roman" w:hAnsi="Calibri"/>
          <w:i/>
          <w:sz w:val="18"/>
          <w:szCs w:val="18"/>
        </w:rPr>
        <w:t xml:space="preserve">; high fossil fuel prices for 2050: </w:t>
      </w:r>
      <w:r w:rsidR="004F44EE">
        <w:rPr>
          <w:rFonts w:ascii="Calibri" w:eastAsia="Times New Roman" w:hAnsi="Calibri"/>
          <w:i/>
          <w:sz w:val="18"/>
          <w:szCs w:val="18"/>
        </w:rPr>
        <w:t>oil $150/bbl; gas $1.3</w:t>
      </w:r>
      <w:r w:rsidR="00C34217">
        <w:rPr>
          <w:rFonts w:ascii="Calibri" w:eastAsia="Times New Roman" w:hAnsi="Calibri"/>
          <w:i/>
          <w:sz w:val="18"/>
          <w:szCs w:val="18"/>
        </w:rPr>
        <w:t xml:space="preserve">/therm, compared to low fossil fuel prices: oil $100/bbl; gas </w:t>
      </w:r>
      <w:r w:rsidR="004F44EE">
        <w:rPr>
          <w:rFonts w:ascii="Calibri" w:eastAsia="Times New Roman" w:hAnsi="Calibri"/>
          <w:i/>
          <w:sz w:val="18"/>
          <w:szCs w:val="18"/>
        </w:rPr>
        <w:t>$1</w:t>
      </w:r>
      <w:r w:rsidR="00C34217">
        <w:rPr>
          <w:rFonts w:ascii="Calibri" w:eastAsia="Times New Roman" w:hAnsi="Calibri"/>
          <w:i/>
          <w:sz w:val="18"/>
          <w:szCs w:val="18"/>
        </w:rPr>
        <w:t xml:space="preserve">/therm </w:t>
      </w:r>
    </w:p>
    <w:p w:rsidR="003560A7" w:rsidRDefault="00DF0436" w:rsidP="00FE2335">
      <w:pPr>
        <w:rPr>
          <w:rFonts w:ascii="Calibri" w:eastAsia="Times New Roman" w:hAnsi="Calibri"/>
        </w:rPr>
      </w:pPr>
      <w:r>
        <w:rPr>
          <w:rFonts w:ascii="Calibri" w:eastAsia="Times New Roman" w:hAnsi="Calibri"/>
        </w:rPr>
        <w:t>F</w:t>
      </w:r>
      <w:r w:rsidR="00B71B48">
        <w:rPr>
          <w:rFonts w:ascii="Calibri" w:eastAsia="Times New Roman" w:hAnsi="Calibri"/>
        </w:rPr>
        <w:t xml:space="preserve">igure </w:t>
      </w:r>
      <w:r>
        <w:rPr>
          <w:rFonts w:ascii="Calibri" w:eastAsia="Times New Roman" w:hAnsi="Calibri"/>
        </w:rPr>
        <w:t xml:space="preserve">8 </w:t>
      </w:r>
      <w:r w:rsidR="00B71B48">
        <w:rPr>
          <w:rFonts w:ascii="Calibri" w:eastAsia="Times New Roman" w:hAnsi="Calibri"/>
        </w:rPr>
        <w:t xml:space="preserve">shows that, as expected, the lower the discount rate, the less the contribution to cost from the higher purchase costs of lower-carbon vehicles, and the more significant the offsetting value of the fuel savings resulting from increased penetrations of hybrid, electric and fuel cell vehicles. </w:t>
      </w:r>
    </w:p>
    <w:p w:rsidR="00FE2335" w:rsidRDefault="003560A7" w:rsidP="00FE2335">
      <w:pPr>
        <w:rPr>
          <w:rFonts w:ascii="Calibri" w:eastAsia="Times New Roman" w:hAnsi="Calibri"/>
        </w:rPr>
      </w:pPr>
      <w:r>
        <w:rPr>
          <w:rFonts w:ascii="Calibri" w:eastAsia="Times New Roman" w:hAnsi="Calibri"/>
        </w:rPr>
        <w:t xml:space="preserve">For higher fossil fuel prices, the additional road transport sector cost in 2050 for the low-carbon scenario with a discount rate of 5% is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Pr>
          <w:rFonts w:ascii="Calibri" w:eastAsia="Times New Roman" w:hAnsi="Calibri"/>
        </w:rPr>
        <w:t>$</w:t>
      </w:r>
      <w:r w:rsidR="00540746">
        <w:rPr>
          <w:rFonts w:ascii="Calibri" w:eastAsia="Times New Roman" w:hAnsi="Calibri"/>
        </w:rPr>
        <w:t xml:space="preserve">63 </w:t>
      </w:r>
      <w:r>
        <w:rPr>
          <w:rFonts w:ascii="Calibri" w:eastAsia="Times New Roman" w:hAnsi="Calibri"/>
        </w:rPr>
        <w:t xml:space="preserve">billion, or </w:t>
      </w:r>
      <w:r w:rsidR="00540746">
        <w:rPr>
          <w:rFonts w:ascii="Calibri" w:eastAsia="Times New Roman" w:hAnsi="Calibri"/>
        </w:rPr>
        <w:t>1.2</w:t>
      </w:r>
      <w:r>
        <w:rPr>
          <w:rFonts w:ascii="Calibri" w:eastAsia="Times New Roman" w:hAnsi="Calibri"/>
        </w:rPr>
        <w:t xml:space="preserve">% of the </w:t>
      </w:r>
      <w:r w:rsidR="00514686">
        <w:rPr>
          <w:rFonts w:ascii="Calibri" w:eastAsia="Times New Roman" w:hAnsi="Calibri"/>
        </w:rPr>
        <w:t>business-as-usual</w:t>
      </w:r>
      <w:r>
        <w:rPr>
          <w:rFonts w:ascii="Calibri" w:eastAsia="Times New Roman" w:hAnsi="Calibri"/>
        </w:rPr>
        <w:t xml:space="preserve"> road transport sector cost of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Pr>
          <w:rFonts w:ascii="Calibri" w:eastAsia="Times New Roman" w:hAnsi="Calibri"/>
        </w:rPr>
        <w:t>$5,</w:t>
      </w:r>
      <w:r w:rsidR="00817681">
        <w:rPr>
          <w:rFonts w:ascii="Calibri" w:eastAsia="Times New Roman" w:hAnsi="Calibri"/>
        </w:rPr>
        <w:t xml:space="preserve">180 </w:t>
      </w:r>
      <w:r>
        <w:rPr>
          <w:rFonts w:ascii="Calibri" w:eastAsia="Times New Roman" w:hAnsi="Calibri"/>
        </w:rPr>
        <w:t>billion, in 2050</w:t>
      </w:r>
      <w:r w:rsidR="00F537F2">
        <w:rPr>
          <w:rFonts w:ascii="Calibri" w:eastAsia="Times New Roman" w:hAnsi="Calibri"/>
        </w:rPr>
        <w:t xml:space="preserve"> (as explained in Section 4, the equivalent figures for the lower fossil fuel price scenario are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F537F2">
        <w:rPr>
          <w:rFonts w:ascii="Calibri" w:eastAsia="Times New Roman" w:hAnsi="Calibri"/>
        </w:rPr>
        <w:t>$</w:t>
      </w:r>
      <w:r w:rsidR="00817681">
        <w:rPr>
          <w:rFonts w:ascii="Calibri" w:eastAsia="Times New Roman" w:hAnsi="Calibri"/>
        </w:rPr>
        <w:t xml:space="preserve">64 </w:t>
      </w:r>
      <w:r w:rsidR="00F537F2">
        <w:rPr>
          <w:rFonts w:ascii="Calibri" w:eastAsia="Times New Roman" w:hAnsi="Calibri"/>
        </w:rPr>
        <w:t>billion and 1.</w:t>
      </w:r>
      <w:r w:rsidR="00817681">
        <w:rPr>
          <w:rFonts w:ascii="Calibri" w:eastAsia="Times New Roman" w:hAnsi="Calibri"/>
        </w:rPr>
        <w:t>3</w:t>
      </w:r>
      <w:r w:rsidR="00F537F2">
        <w:rPr>
          <w:rFonts w:ascii="Calibri" w:eastAsia="Times New Roman" w:hAnsi="Calibri"/>
        </w:rPr>
        <w:t>%)</w:t>
      </w:r>
      <w:r w:rsidR="00B65110">
        <w:rPr>
          <w:rFonts w:ascii="Calibri" w:eastAsia="Times New Roman" w:hAnsi="Calibri"/>
        </w:rPr>
        <w:t xml:space="preserve">. </w:t>
      </w:r>
      <w:r w:rsidR="00817681">
        <w:rPr>
          <w:rFonts w:ascii="Calibri" w:eastAsia="Times New Roman" w:hAnsi="Calibri"/>
        </w:rPr>
        <w:t>T</w:t>
      </w:r>
      <w:r w:rsidR="003721F3">
        <w:rPr>
          <w:rFonts w:ascii="Calibri" w:eastAsia="Times New Roman" w:hAnsi="Calibri"/>
        </w:rPr>
        <w:t xml:space="preserve">he absolute cost differential between this higher fossil fuel price case and the lower fossil fuel price case narrows </w:t>
      </w:r>
      <w:r w:rsidR="00817681">
        <w:rPr>
          <w:rFonts w:ascii="Calibri" w:eastAsia="Times New Roman" w:hAnsi="Calibri"/>
        </w:rPr>
        <w:t xml:space="preserve">(slightly) </w:t>
      </w:r>
      <w:r w:rsidR="003721F3">
        <w:rPr>
          <w:rFonts w:ascii="Calibri" w:eastAsia="Times New Roman" w:hAnsi="Calibri"/>
        </w:rPr>
        <w:t>as the discount rate increases, since the more valuable fuel savings in the higher fossil fuel price case become increasingly insignificant compared to the annualised vehicle purchase costs</w:t>
      </w:r>
      <w:r w:rsidR="00F537F2">
        <w:rPr>
          <w:rFonts w:ascii="Calibri" w:eastAsia="Times New Roman" w:hAnsi="Calibri"/>
        </w:rPr>
        <w:t>, which increase with the increasing discount rate</w:t>
      </w:r>
      <w:r w:rsidR="003721F3">
        <w:rPr>
          <w:rFonts w:ascii="Calibri" w:eastAsia="Times New Roman" w:hAnsi="Calibri"/>
        </w:rPr>
        <w:t>. Nevertheless, t</w:t>
      </w:r>
      <w:r w:rsidR="00B71B48">
        <w:rPr>
          <w:rFonts w:ascii="Calibri" w:eastAsia="Times New Roman" w:hAnsi="Calibri"/>
        </w:rPr>
        <w:t xml:space="preserve">his analysis indicates that concessional </w:t>
      </w:r>
      <w:r w:rsidR="00703A17">
        <w:rPr>
          <w:rFonts w:ascii="Calibri" w:eastAsia="Times New Roman" w:hAnsi="Calibri"/>
        </w:rPr>
        <w:t xml:space="preserve">(i.e. subsidised) </w:t>
      </w:r>
      <w:r w:rsidR="00B65110">
        <w:rPr>
          <w:rFonts w:ascii="Calibri" w:eastAsia="Times New Roman" w:hAnsi="Calibri"/>
        </w:rPr>
        <w:t xml:space="preserve">borrowing rates </w:t>
      </w:r>
      <w:r w:rsidR="00B71B48">
        <w:rPr>
          <w:rFonts w:ascii="Calibri" w:eastAsia="Times New Roman" w:hAnsi="Calibri"/>
        </w:rPr>
        <w:t>may be a useful policy lever towards making low-carbon investments in the transport sector more attractive</w:t>
      </w:r>
      <w:r w:rsidR="003721F3">
        <w:rPr>
          <w:rFonts w:ascii="Calibri" w:eastAsia="Times New Roman" w:hAnsi="Calibri"/>
        </w:rPr>
        <w:t>. In both fossil fuel price scenarios, as the discount rate rises towards 10%, the</w:t>
      </w:r>
      <w:r w:rsidR="00177531">
        <w:rPr>
          <w:rFonts w:ascii="Calibri" w:eastAsia="Times New Roman" w:hAnsi="Calibri"/>
        </w:rPr>
        <w:t xml:space="preserve"> significant </w:t>
      </w:r>
      <w:r w:rsidR="003721F3">
        <w:rPr>
          <w:rFonts w:ascii="Calibri" w:eastAsia="Times New Roman" w:hAnsi="Calibri"/>
        </w:rPr>
        <w:t xml:space="preserve">increase in </w:t>
      </w:r>
      <w:r w:rsidR="00177531">
        <w:rPr>
          <w:rFonts w:ascii="Calibri" w:eastAsia="Times New Roman" w:hAnsi="Calibri"/>
        </w:rPr>
        <w:t xml:space="preserve">additional </w:t>
      </w:r>
      <w:r w:rsidR="00A96720">
        <w:rPr>
          <w:rFonts w:ascii="Calibri" w:eastAsia="Times New Roman" w:hAnsi="Calibri"/>
        </w:rPr>
        <w:t xml:space="preserve">road </w:t>
      </w:r>
      <w:r w:rsidR="00177531">
        <w:rPr>
          <w:rFonts w:ascii="Calibri" w:eastAsia="Times New Roman" w:hAnsi="Calibri"/>
        </w:rPr>
        <w:t xml:space="preserve">transport sector cost </w:t>
      </w:r>
      <w:r w:rsidR="003721F3">
        <w:rPr>
          <w:rFonts w:ascii="Calibri" w:eastAsia="Times New Roman" w:hAnsi="Calibri"/>
        </w:rPr>
        <w:t xml:space="preserve">for the low-carbon scenario </w:t>
      </w:r>
      <w:r w:rsidR="00177531">
        <w:rPr>
          <w:rFonts w:ascii="Calibri" w:eastAsia="Times New Roman" w:hAnsi="Calibri"/>
        </w:rPr>
        <w:t xml:space="preserve">does not represent an </w:t>
      </w:r>
      <w:r w:rsidR="003721F3">
        <w:rPr>
          <w:rFonts w:ascii="Calibri" w:eastAsia="Times New Roman" w:hAnsi="Calibri"/>
        </w:rPr>
        <w:t xml:space="preserve">additional </w:t>
      </w:r>
      <w:r w:rsidR="00177531">
        <w:rPr>
          <w:rFonts w:ascii="Calibri" w:eastAsia="Times New Roman" w:hAnsi="Calibri"/>
        </w:rPr>
        <w:t xml:space="preserve">economy-wide cost to China, but rather a transfer from borrowers to lenders, since the latter will profit from making risk-adjusted loans to borrowers to fund vehicle purchases in this scenario.  </w:t>
      </w:r>
    </w:p>
    <w:p w:rsidR="00B131AE" w:rsidRDefault="00CF3228" w:rsidP="00FE2335">
      <w:pPr>
        <w:rPr>
          <w:rFonts w:ascii="Calibri" w:eastAsia="Times New Roman" w:hAnsi="Calibri"/>
        </w:rPr>
      </w:pPr>
      <w:r>
        <w:rPr>
          <w:rFonts w:ascii="Calibri" w:eastAsia="Times New Roman" w:hAnsi="Calibri"/>
        </w:rPr>
        <w:t xml:space="preserve">Other sensitivities explored are summarised in table </w:t>
      </w:r>
      <w:r w:rsidR="005713CD">
        <w:rPr>
          <w:rFonts w:ascii="Calibri" w:eastAsia="Times New Roman" w:hAnsi="Calibri"/>
        </w:rPr>
        <w:t>4</w:t>
      </w:r>
      <w:r>
        <w:rPr>
          <w:rFonts w:ascii="Calibri" w:eastAsia="Times New Roman" w:hAnsi="Calibri"/>
        </w:rPr>
        <w:t xml:space="preserve">. </w:t>
      </w:r>
      <w:r w:rsidR="00F537F2">
        <w:rPr>
          <w:rFonts w:ascii="Calibri" w:eastAsia="Times New Roman" w:hAnsi="Calibri"/>
        </w:rPr>
        <w:t xml:space="preserve">This shows that, because of the higher efficiency of diesel passenger cars, and the similarity between diesel and gasoline fuel prices and vehicle costs assumed, there is much to be gained in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sidR="00F537F2">
        <w:rPr>
          <w:rFonts w:ascii="Calibri" w:eastAsia="Times New Roman" w:hAnsi="Calibri"/>
        </w:rPr>
        <w:t xml:space="preserve">emissions and cost savings by increasing the share of diesel cars in the low-carbon scenario, from 20% to 80% of new car sales in 2050. However, the higher particulate levels associated with diesel combustion </w:t>
      </w:r>
      <w:r w:rsidR="00EC13C6">
        <w:rPr>
          <w:rFonts w:ascii="Calibri" w:eastAsia="Times New Roman" w:hAnsi="Calibri"/>
        </w:rPr>
        <w:t xml:space="preserve">would </w:t>
      </w:r>
      <w:r w:rsidR="00F537F2">
        <w:rPr>
          <w:rFonts w:ascii="Calibri" w:eastAsia="Times New Roman" w:hAnsi="Calibri"/>
        </w:rPr>
        <w:t xml:space="preserve">need to be carefully </w:t>
      </w:r>
      <w:r w:rsidR="00F537F2">
        <w:rPr>
          <w:rFonts w:ascii="Calibri" w:eastAsia="Times New Roman" w:hAnsi="Calibri"/>
        </w:rPr>
        <w:lastRenderedPageBreak/>
        <w:t xml:space="preserve">considered and mitigated if this strategy </w:t>
      </w:r>
      <w:r w:rsidR="009D099C">
        <w:rPr>
          <w:rFonts w:ascii="Calibri" w:eastAsia="Times New Roman" w:hAnsi="Calibri"/>
        </w:rPr>
        <w:t xml:space="preserve">were to be </w:t>
      </w:r>
      <w:r w:rsidR="00F537F2">
        <w:rPr>
          <w:rFonts w:ascii="Calibri" w:eastAsia="Times New Roman" w:hAnsi="Calibri"/>
        </w:rPr>
        <w:t xml:space="preserve">followed. A key result from the cost analysis is that, owing to lower operation and maintenance </w:t>
      </w:r>
      <w:r w:rsidR="0002533B">
        <w:rPr>
          <w:rFonts w:ascii="Calibri" w:eastAsia="Times New Roman" w:hAnsi="Calibri"/>
        </w:rPr>
        <w:t xml:space="preserve">(O&amp;M) </w:t>
      </w:r>
      <w:r w:rsidR="00F537F2">
        <w:rPr>
          <w:rFonts w:ascii="Calibri" w:eastAsia="Times New Roman" w:hAnsi="Calibri"/>
        </w:rPr>
        <w:t xml:space="preserve">costs, electric and fuel cell trucks actually </w:t>
      </w:r>
      <w:r w:rsidR="009D099C">
        <w:rPr>
          <w:rFonts w:ascii="Calibri" w:eastAsia="Times New Roman" w:hAnsi="Calibri"/>
        </w:rPr>
        <w:t>make</w:t>
      </w:r>
      <w:r w:rsidR="00F537F2">
        <w:rPr>
          <w:rFonts w:ascii="Calibri" w:eastAsia="Times New Roman" w:hAnsi="Calibri"/>
        </w:rPr>
        <w:t xml:space="preserve"> significant cost savings compared to </w:t>
      </w:r>
      <w:r w:rsidR="002A5F6F">
        <w:rPr>
          <w:rFonts w:ascii="Calibri" w:eastAsia="Times New Roman" w:hAnsi="Calibri"/>
        </w:rPr>
        <w:t>ICE</w:t>
      </w:r>
      <w:r w:rsidR="00F537F2">
        <w:rPr>
          <w:rFonts w:ascii="Calibri" w:eastAsia="Times New Roman" w:hAnsi="Calibri"/>
        </w:rPr>
        <w:t xml:space="preserve"> </w:t>
      </w:r>
      <w:r w:rsidR="00F15E1B">
        <w:rPr>
          <w:rFonts w:ascii="Calibri" w:eastAsia="Times New Roman" w:hAnsi="Calibri"/>
        </w:rPr>
        <w:t>truck</w:t>
      </w:r>
      <w:r w:rsidR="00F537F2">
        <w:rPr>
          <w:rFonts w:ascii="Calibri" w:eastAsia="Times New Roman" w:hAnsi="Calibri"/>
        </w:rPr>
        <w:t xml:space="preserve">s by 2050. The significance of the input cost assumptions can be seen by raising the O&amp;M </w:t>
      </w:r>
      <w:r w:rsidR="00F15E1B">
        <w:rPr>
          <w:rFonts w:ascii="Calibri" w:eastAsia="Times New Roman" w:hAnsi="Calibri"/>
        </w:rPr>
        <w:t>truck</w:t>
      </w:r>
      <w:r w:rsidR="00F537F2">
        <w:rPr>
          <w:rFonts w:ascii="Calibri" w:eastAsia="Times New Roman" w:hAnsi="Calibri"/>
        </w:rPr>
        <w:t xml:space="preserve"> costs to the same level as those for </w:t>
      </w:r>
      <w:r w:rsidR="0002533B">
        <w:rPr>
          <w:rFonts w:ascii="Calibri" w:eastAsia="Times New Roman" w:hAnsi="Calibri"/>
        </w:rPr>
        <w:t xml:space="preserve">ICE </w:t>
      </w:r>
      <w:r w:rsidR="00F537F2">
        <w:rPr>
          <w:rFonts w:ascii="Calibri" w:eastAsia="Times New Roman" w:hAnsi="Calibri"/>
        </w:rPr>
        <w:t xml:space="preserve">drivetrains, resulting in </w:t>
      </w:r>
      <w:r w:rsidR="00B131AE">
        <w:rPr>
          <w:rFonts w:ascii="Calibri" w:eastAsia="Times New Roman" w:hAnsi="Calibri"/>
        </w:rPr>
        <w:t xml:space="preserve">a </w:t>
      </w:r>
      <w:r w:rsidR="00896AAE">
        <w:rPr>
          <w:rFonts w:ascii="Calibri" w:eastAsia="Times New Roman" w:hAnsi="Calibri"/>
        </w:rPr>
        <w:t>(</w:t>
      </w:r>
      <w:r w:rsidR="00C14DA1">
        <w:rPr>
          <w:rFonts w:ascii="Calibri" w:eastAsia="Times New Roman" w:hAnsi="Calibri"/>
        </w:rPr>
        <w:t>US2010</w:t>
      </w:r>
      <w:r w:rsidR="00896AAE">
        <w:rPr>
          <w:rFonts w:ascii="Calibri" w:eastAsia="Times New Roman" w:hAnsi="Calibri"/>
        </w:rPr>
        <w:t>)</w:t>
      </w:r>
      <w:r w:rsidR="00B131AE">
        <w:rPr>
          <w:rFonts w:ascii="Calibri" w:eastAsia="Times New Roman" w:hAnsi="Calibri"/>
        </w:rPr>
        <w:t>$</w:t>
      </w:r>
      <w:r w:rsidR="009D099C">
        <w:rPr>
          <w:rFonts w:ascii="Calibri" w:eastAsia="Times New Roman" w:hAnsi="Calibri"/>
        </w:rPr>
        <w:t xml:space="preserve">44 </w:t>
      </w:r>
      <w:r w:rsidR="00B131AE">
        <w:rPr>
          <w:rFonts w:ascii="Calibri" w:eastAsia="Times New Roman" w:hAnsi="Calibri"/>
        </w:rPr>
        <w:t xml:space="preserve">billion per year (or </w:t>
      </w:r>
      <w:r w:rsidR="009D099C">
        <w:rPr>
          <w:rFonts w:ascii="Calibri" w:eastAsia="Times New Roman" w:hAnsi="Calibri"/>
        </w:rPr>
        <w:t>70</w:t>
      </w:r>
      <w:r w:rsidR="00B131AE">
        <w:rPr>
          <w:rFonts w:ascii="Calibri" w:eastAsia="Times New Roman" w:hAnsi="Calibri"/>
        </w:rPr>
        <w:t xml:space="preserve">%) increase in the overall additional cost of the low-carbon scenario by 2050. Much will therefore depend on whether these drivetrain types actually will require less O&amp;M activity than </w:t>
      </w:r>
      <w:r w:rsidR="0002533B">
        <w:rPr>
          <w:rFonts w:ascii="Calibri" w:eastAsia="Times New Roman" w:hAnsi="Calibri"/>
        </w:rPr>
        <w:t>ICE</w:t>
      </w:r>
      <w:r w:rsidR="00B131AE">
        <w:rPr>
          <w:rFonts w:ascii="Calibri" w:eastAsia="Times New Roman" w:hAnsi="Calibri"/>
        </w:rPr>
        <w:t xml:space="preserve"> engines – clearly it is too early to tell given the immaturity of these technologies. </w:t>
      </w:r>
    </w:p>
    <w:p w:rsidR="00FC5AB3" w:rsidRDefault="00B131AE" w:rsidP="00FE2335">
      <w:pPr>
        <w:rPr>
          <w:rFonts w:ascii="Calibri" w:eastAsia="Times New Roman" w:hAnsi="Calibri"/>
        </w:rPr>
      </w:pPr>
      <w:r>
        <w:rPr>
          <w:rFonts w:ascii="Calibri" w:eastAsia="Times New Roman" w:hAnsi="Calibri"/>
        </w:rPr>
        <w:t xml:space="preserve">Further sensitivity analysis is focused on motorcycles, which are barely included in the mitigation analysis since the only difference between the </w:t>
      </w:r>
      <w:r w:rsidR="00514686">
        <w:rPr>
          <w:rFonts w:ascii="Calibri" w:eastAsia="Times New Roman" w:hAnsi="Calibri"/>
        </w:rPr>
        <w:t>business-as-usual</w:t>
      </w:r>
      <w:r>
        <w:rPr>
          <w:rFonts w:ascii="Calibri" w:eastAsia="Times New Roman" w:hAnsi="Calibri"/>
        </w:rPr>
        <w:t xml:space="preserve"> and low-carbon scenario</w:t>
      </w:r>
      <w:r w:rsidR="00514686">
        <w:rPr>
          <w:rFonts w:ascii="Calibri" w:eastAsia="Times New Roman" w:hAnsi="Calibri"/>
        </w:rPr>
        <w:t>s</w:t>
      </w:r>
      <w:r>
        <w:rPr>
          <w:rFonts w:ascii="Calibri" w:eastAsia="Times New Roman" w:hAnsi="Calibri"/>
        </w:rPr>
        <w:t xml:space="preserve"> is the use of biofuels in the latter. If we assume that there is a fast growth of the electric motorcycle market by 2050, however, this does not result in significant additional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Pr>
          <w:rFonts w:ascii="Calibri" w:eastAsia="Times New Roman" w:hAnsi="Calibri"/>
        </w:rPr>
        <w:t>emissions savings (847 MtCO</w:t>
      </w:r>
      <w:r w:rsidRPr="008B0458">
        <w:rPr>
          <w:rFonts w:ascii="Calibri" w:eastAsia="Times New Roman" w:hAnsi="Calibri"/>
          <w:vertAlign w:val="subscript"/>
        </w:rPr>
        <w:t>2</w:t>
      </w:r>
      <w:r>
        <w:rPr>
          <w:rFonts w:ascii="Calibri" w:eastAsia="Times New Roman" w:hAnsi="Calibri"/>
        </w:rPr>
        <w:t xml:space="preserve"> compared to 839 MtCO</w:t>
      </w:r>
      <w:r w:rsidRPr="008B0458">
        <w:rPr>
          <w:rFonts w:ascii="Calibri" w:eastAsia="Times New Roman" w:hAnsi="Calibri"/>
          <w:vertAlign w:val="subscript"/>
        </w:rPr>
        <w:t>2</w:t>
      </w:r>
      <w:r>
        <w:rPr>
          <w:rFonts w:ascii="Calibri" w:eastAsia="Times New Roman" w:hAnsi="Calibri"/>
        </w:rPr>
        <w:t xml:space="preserve"> in the central low-carbon scenario) but it does lead to significant cost escalation as a result of the modest additional cost of electric motorcycles compared to </w:t>
      </w:r>
      <w:r w:rsidR="0002533B">
        <w:rPr>
          <w:rFonts w:ascii="Calibri" w:eastAsia="Times New Roman" w:hAnsi="Calibri"/>
        </w:rPr>
        <w:t>ICE</w:t>
      </w:r>
      <w:r>
        <w:rPr>
          <w:rFonts w:ascii="Calibri" w:eastAsia="Times New Roman" w:hAnsi="Calibri"/>
        </w:rPr>
        <w:t xml:space="preserve"> ones being repeated throughout a large national motorcycle population (almost 120 million by 2050), and the fact that by 2050 the annual distance travelled is relatively low, which means fuel savings do not offset this additional purchase cost. The sensitivity around increased share of natural gas </w:t>
      </w:r>
      <w:r w:rsidR="00FC5AB3">
        <w:rPr>
          <w:rFonts w:ascii="Calibri" w:eastAsia="Times New Roman" w:hAnsi="Calibri"/>
        </w:rPr>
        <w:t xml:space="preserve">cars </w:t>
      </w:r>
      <w:r>
        <w:rPr>
          <w:rFonts w:ascii="Calibri" w:eastAsia="Times New Roman" w:hAnsi="Calibri"/>
        </w:rPr>
        <w:t xml:space="preserve">(in this case, </w:t>
      </w:r>
      <w:r w:rsidR="00570474">
        <w:rPr>
          <w:rFonts w:ascii="Calibri" w:eastAsia="Times New Roman" w:hAnsi="Calibri"/>
        </w:rPr>
        <w:t>liquefied petroleum gas</w:t>
      </w:r>
      <w:r>
        <w:rPr>
          <w:rFonts w:ascii="Calibri" w:eastAsia="Times New Roman" w:hAnsi="Calibri"/>
        </w:rPr>
        <w:t>, which is assumed to have a lower well-to-wheels CO</w:t>
      </w:r>
      <w:r w:rsidRPr="00570474">
        <w:rPr>
          <w:rFonts w:ascii="Calibri" w:eastAsia="Times New Roman" w:hAnsi="Calibri"/>
          <w:vertAlign w:val="subscript"/>
        </w:rPr>
        <w:t>2</w:t>
      </w:r>
      <w:r>
        <w:rPr>
          <w:rFonts w:ascii="Calibri" w:eastAsia="Times New Roman" w:hAnsi="Calibri"/>
        </w:rPr>
        <w:t xml:space="preserve"> intensity than </w:t>
      </w:r>
      <w:r w:rsidR="00570474">
        <w:rPr>
          <w:rFonts w:ascii="Calibri" w:eastAsia="Times New Roman" w:hAnsi="Calibri"/>
        </w:rPr>
        <w:t>compressed natural gas</w:t>
      </w:r>
      <w:r w:rsidR="004C1F14">
        <w:rPr>
          <w:rFonts w:ascii="Calibri" w:eastAsia="Times New Roman" w:hAnsi="Calibri"/>
        </w:rPr>
        <w:t xml:space="preserve"> </w:t>
      </w:r>
      <w:r w:rsidR="00E6341B" w:rsidRPr="00A35086">
        <w:rPr>
          <w:rFonts w:ascii="Calibri" w:hAnsi="Calibri"/>
        </w:rPr>
        <w:t>[31]</w:t>
      </w:r>
      <w:r w:rsidR="004C1F14">
        <w:rPr>
          <w:rFonts w:ascii="Calibri" w:eastAsia="Times New Roman" w:hAnsi="Calibri"/>
        </w:rPr>
        <w:t>)</w:t>
      </w:r>
      <w:r>
        <w:rPr>
          <w:rFonts w:ascii="Calibri" w:eastAsia="Times New Roman" w:hAnsi="Calibri"/>
        </w:rPr>
        <w:t xml:space="preserve"> is undertaken given the focus on natural gas in the Chinese Energy Research Institute’s 2050 Pathways Calculator scenarios </w:t>
      </w:r>
      <w:r w:rsidR="00547F72" w:rsidRPr="00A35086">
        <w:rPr>
          <w:rFonts w:ascii="Calibri" w:hAnsi="Calibri"/>
        </w:rPr>
        <w:t>[21]</w:t>
      </w:r>
      <w:r>
        <w:rPr>
          <w:rFonts w:ascii="Calibri" w:eastAsia="Times New Roman" w:hAnsi="Calibri"/>
        </w:rPr>
        <w:t xml:space="preserve">, and demonstrates that additional annual savings of </w:t>
      </w:r>
      <w:r w:rsidR="004C1F14">
        <w:rPr>
          <w:rFonts w:ascii="Calibri" w:eastAsia="Times New Roman" w:hAnsi="Calibri"/>
        </w:rPr>
        <w:t xml:space="preserve">36 </w:t>
      </w:r>
      <w:r>
        <w:rPr>
          <w:rFonts w:ascii="Calibri" w:eastAsia="Times New Roman" w:hAnsi="Calibri"/>
        </w:rPr>
        <w:t>MtCO</w:t>
      </w:r>
      <w:r w:rsidRPr="005713CD">
        <w:rPr>
          <w:rFonts w:ascii="Calibri" w:eastAsia="Times New Roman" w:hAnsi="Calibri"/>
          <w:vertAlign w:val="subscript"/>
        </w:rPr>
        <w:t>2</w:t>
      </w:r>
      <w:r>
        <w:rPr>
          <w:rFonts w:ascii="Calibri" w:eastAsia="Times New Roman" w:hAnsi="Calibri"/>
        </w:rPr>
        <w:t xml:space="preserve"> can be achieved by 2050, </w:t>
      </w:r>
      <w:r w:rsidR="004C1F14">
        <w:rPr>
          <w:rFonts w:ascii="Calibri" w:eastAsia="Times New Roman" w:hAnsi="Calibri"/>
        </w:rPr>
        <w:t>at a lower cost than the central scenario owing to the lower fuel price outweighing the</w:t>
      </w:r>
      <w:r>
        <w:rPr>
          <w:rFonts w:ascii="Calibri" w:eastAsia="Times New Roman" w:hAnsi="Calibri"/>
        </w:rPr>
        <w:t xml:space="preserve"> higher purchase cost of such vehicles</w:t>
      </w:r>
      <w:r w:rsidR="009D099C">
        <w:rPr>
          <w:rFonts w:ascii="Calibri" w:eastAsia="Times New Roman" w:hAnsi="Calibri"/>
        </w:rPr>
        <w:t>, when compared to diesel and gasoline vehicles</w:t>
      </w:r>
      <w:r>
        <w:rPr>
          <w:rFonts w:ascii="Calibri" w:eastAsia="Times New Roman" w:hAnsi="Calibri"/>
        </w:rPr>
        <w:t xml:space="preserve">. </w:t>
      </w:r>
    </w:p>
    <w:p w:rsidR="00CF3228" w:rsidRDefault="00B131AE" w:rsidP="00FE2335">
      <w:pPr>
        <w:rPr>
          <w:rFonts w:ascii="Calibri" w:eastAsia="Times New Roman" w:hAnsi="Calibri"/>
        </w:rPr>
      </w:pPr>
      <w:r>
        <w:rPr>
          <w:rFonts w:ascii="Calibri" w:eastAsia="Times New Roman" w:hAnsi="Calibri"/>
        </w:rPr>
        <w:t xml:space="preserve">A </w:t>
      </w:r>
      <w:r w:rsidR="00FC5AB3">
        <w:rPr>
          <w:rFonts w:ascii="Calibri" w:eastAsia="Times New Roman" w:hAnsi="Calibri"/>
        </w:rPr>
        <w:t>further</w:t>
      </w:r>
      <w:r>
        <w:rPr>
          <w:rFonts w:ascii="Calibri" w:eastAsia="Times New Roman" w:hAnsi="Calibri"/>
        </w:rPr>
        <w:t xml:space="preserve"> sensitivity is used to explore the impact of improving fuel efficiency in the low-carbon scenario over and above that in the </w:t>
      </w:r>
      <w:r w:rsidR="00514686">
        <w:rPr>
          <w:rFonts w:ascii="Calibri" w:eastAsia="Times New Roman" w:hAnsi="Calibri"/>
        </w:rPr>
        <w:t>business-as-usual scenario</w:t>
      </w:r>
      <w:r>
        <w:rPr>
          <w:rFonts w:ascii="Calibri" w:eastAsia="Times New Roman" w:hAnsi="Calibri"/>
        </w:rPr>
        <w:t>, since in the central case these are assumed to improve at the same rate for all vehicle types. The results, unsurprisingly, indicate that, assuming greater drivetrain efficiency can be achieved with no vehicle cost increase (e.g. due to further downsizing or light</w:t>
      </w:r>
      <w:r w:rsidR="004814E7">
        <w:rPr>
          <w:rFonts w:ascii="Calibri" w:eastAsia="Times New Roman" w:hAnsi="Calibri"/>
        </w:rPr>
        <w:t>-</w:t>
      </w:r>
      <w:r>
        <w:rPr>
          <w:rFonts w:ascii="Calibri" w:eastAsia="Times New Roman" w:hAnsi="Calibri"/>
        </w:rPr>
        <w:t xml:space="preserve">weighting) the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Pr>
          <w:rFonts w:ascii="Calibri" w:eastAsia="Times New Roman" w:hAnsi="Calibri"/>
        </w:rPr>
        <w:t xml:space="preserve">emissions and cost benefits could be very significant. As expected, improving energy efficiency is therefore a key strategy for achieving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sidR="004814E7">
        <w:rPr>
          <w:rFonts w:ascii="Calibri" w:eastAsia="Times New Roman" w:hAnsi="Calibri"/>
        </w:rPr>
        <w:t xml:space="preserve">emissions savings at least cost. </w:t>
      </w:r>
    </w:p>
    <w:p w:rsidR="00FC5AB3" w:rsidRDefault="00FC5AB3" w:rsidP="00FE2335">
      <w:pPr>
        <w:rPr>
          <w:rFonts w:ascii="Calibri" w:eastAsia="Times New Roman" w:hAnsi="Calibri"/>
        </w:rPr>
      </w:pPr>
      <w:r>
        <w:rPr>
          <w:rFonts w:ascii="Calibri" w:eastAsia="Times New Roman" w:hAnsi="Calibri"/>
        </w:rPr>
        <w:t>Finally, the extremely low-carbon well-to-wheels value for both second generation bioethanol (4gCO</w:t>
      </w:r>
      <w:r>
        <w:rPr>
          <w:rFonts w:ascii="Calibri" w:eastAsia="Times New Roman" w:hAnsi="Calibri"/>
        </w:rPr>
        <w:softHyphen/>
      </w:r>
      <w:r w:rsidRPr="00FC5AB3">
        <w:rPr>
          <w:rFonts w:ascii="Calibri" w:eastAsia="Times New Roman" w:hAnsi="Calibri"/>
          <w:vertAlign w:val="subscript"/>
        </w:rPr>
        <w:t>2</w:t>
      </w:r>
      <w:r>
        <w:rPr>
          <w:rFonts w:ascii="Calibri" w:eastAsia="Times New Roman" w:hAnsi="Calibri"/>
        </w:rPr>
        <w:t>/MJ, compared to 115gCO</w:t>
      </w:r>
      <w:r w:rsidRPr="00FC5AB3">
        <w:rPr>
          <w:rFonts w:ascii="Calibri" w:eastAsia="Times New Roman" w:hAnsi="Calibri"/>
          <w:vertAlign w:val="subscript"/>
        </w:rPr>
        <w:t>2</w:t>
      </w:r>
      <w:r>
        <w:rPr>
          <w:rFonts w:ascii="Calibri" w:eastAsia="Times New Roman" w:hAnsi="Calibri"/>
        </w:rPr>
        <w:t>/MJ for first generation, and to 99gCO</w:t>
      </w:r>
      <w:r>
        <w:rPr>
          <w:rFonts w:ascii="Calibri" w:eastAsia="Times New Roman" w:hAnsi="Calibri"/>
        </w:rPr>
        <w:softHyphen/>
      </w:r>
      <w:r w:rsidRPr="00FC5AB3">
        <w:rPr>
          <w:rFonts w:ascii="Calibri" w:eastAsia="Times New Roman" w:hAnsi="Calibri"/>
          <w:vertAlign w:val="subscript"/>
        </w:rPr>
        <w:t>2</w:t>
      </w:r>
      <w:r>
        <w:rPr>
          <w:rFonts w:ascii="Calibri" w:eastAsia="Times New Roman" w:hAnsi="Calibri"/>
        </w:rPr>
        <w:t xml:space="preserve">/MJ for gasoline) </w:t>
      </w:r>
      <w:r w:rsidR="00D61149">
        <w:rPr>
          <w:rFonts w:ascii="Calibri" w:eastAsia="Times New Roman" w:hAnsi="Calibri"/>
        </w:rPr>
        <w:t>and for second generation biodiesel (1gCO</w:t>
      </w:r>
      <w:r w:rsidR="00D61149">
        <w:rPr>
          <w:rFonts w:ascii="Calibri" w:eastAsia="Times New Roman" w:hAnsi="Calibri"/>
        </w:rPr>
        <w:softHyphen/>
      </w:r>
      <w:r w:rsidR="00D61149" w:rsidRPr="00FC5AB3">
        <w:rPr>
          <w:rFonts w:ascii="Calibri" w:eastAsia="Times New Roman" w:hAnsi="Calibri"/>
          <w:vertAlign w:val="subscript"/>
        </w:rPr>
        <w:t>2</w:t>
      </w:r>
      <w:r w:rsidR="00D61149">
        <w:rPr>
          <w:rFonts w:ascii="Calibri" w:eastAsia="Times New Roman" w:hAnsi="Calibri"/>
        </w:rPr>
        <w:t>/MJ, compared to 79gCO</w:t>
      </w:r>
      <w:r w:rsidR="00D61149" w:rsidRPr="00FC5AB3">
        <w:rPr>
          <w:rFonts w:ascii="Calibri" w:eastAsia="Times New Roman" w:hAnsi="Calibri"/>
          <w:vertAlign w:val="subscript"/>
        </w:rPr>
        <w:t>2</w:t>
      </w:r>
      <w:r w:rsidR="00D61149">
        <w:rPr>
          <w:rFonts w:ascii="Calibri" w:eastAsia="Times New Roman" w:hAnsi="Calibri"/>
        </w:rPr>
        <w:t>/MJ for first generation, and to 102gCO</w:t>
      </w:r>
      <w:r w:rsidR="00D61149">
        <w:rPr>
          <w:rFonts w:ascii="Calibri" w:eastAsia="Times New Roman" w:hAnsi="Calibri"/>
        </w:rPr>
        <w:softHyphen/>
      </w:r>
      <w:r w:rsidR="00D61149" w:rsidRPr="00FC5AB3">
        <w:rPr>
          <w:rFonts w:ascii="Calibri" w:eastAsia="Times New Roman" w:hAnsi="Calibri"/>
          <w:vertAlign w:val="subscript"/>
        </w:rPr>
        <w:t>2</w:t>
      </w:r>
      <w:r w:rsidR="00D61149">
        <w:rPr>
          <w:rFonts w:ascii="Calibri" w:eastAsia="Times New Roman" w:hAnsi="Calibri"/>
        </w:rPr>
        <w:t xml:space="preserve">/MJ for gasoline) are, according to </w:t>
      </w:r>
      <w:r w:rsidR="00371769">
        <w:rPr>
          <w:rFonts w:ascii="Calibri" w:eastAsia="Times New Roman" w:hAnsi="Calibri"/>
        </w:rPr>
        <w:t>figure 5</w:t>
      </w:r>
      <w:r w:rsidR="00D61149">
        <w:rPr>
          <w:rFonts w:ascii="Calibri" w:eastAsia="Times New Roman" w:hAnsi="Calibri"/>
        </w:rPr>
        <w:t xml:space="preserve">, highly influential in achieving such significant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sidR="00D61149">
        <w:rPr>
          <w:rFonts w:ascii="Calibri" w:eastAsia="Times New Roman" w:hAnsi="Calibri"/>
        </w:rPr>
        <w:t>emissions reductions from biofuels. Assuming a much higher CO</w:t>
      </w:r>
      <w:r w:rsidR="00D61149" w:rsidRPr="00D61149">
        <w:rPr>
          <w:rFonts w:ascii="Calibri" w:eastAsia="Times New Roman" w:hAnsi="Calibri"/>
          <w:vertAlign w:val="subscript"/>
        </w:rPr>
        <w:t>2</w:t>
      </w:r>
      <w:r w:rsidR="00D61149">
        <w:rPr>
          <w:rFonts w:ascii="Calibri" w:eastAsia="Times New Roman" w:hAnsi="Calibri"/>
        </w:rPr>
        <w:t xml:space="preserve"> intensity of both fuels (50gCO</w:t>
      </w:r>
      <w:r w:rsidR="00D61149" w:rsidRPr="00D61149">
        <w:rPr>
          <w:rFonts w:ascii="Calibri" w:eastAsia="Times New Roman" w:hAnsi="Calibri"/>
          <w:vertAlign w:val="subscript"/>
        </w:rPr>
        <w:t>2</w:t>
      </w:r>
      <w:r w:rsidR="00D61149">
        <w:rPr>
          <w:rFonts w:ascii="Calibri" w:eastAsia="Times New Roman" w:hAnsi="Calibri"/>
        </w:rPr>
        <w:t xml:space="preserve">/MJ, about half the level of gasoline and diesel) doubles the average MAC of biofuels, and reduced 2050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sidR="00D61149">
        <w:rPr>
          <w:rFonts w:ascii="Calibri" w:eastAsia="Times New Roman" w:hAnsi="Calibri"/>
        </w:rPr>
        <w:t>emissions savings by 80 MtCO</w:t>
      </w:r>
      <w:r w:rsidR="00D61149" w:rsidRPr="00D61149">
        <w:rPr>
          <w:rFonts w:ascii="Calibri" w:eastAsia="Times New Roman" w:hAnsi="Calibri"/>
          <w:vertAlign w:val="subscript"/>
        </w:rPr>
        <w:t>2</w:t>
      </w:r>
      <w:r w:rsidR="00D61149">
        <w:rPr>
          <w:rFonts w:ascii="Calibri" w:eastAsia="Times New Roman" w:hAnsi="Calibri"/>
        </w:rPr>
        <w:t xml:space="preserve">, or about 10% of total savings in 2050. Clearly the challenge is to achieve levels of lifecycle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rsidR="00D61149">
        <w:rPr>
          <w:rFonts w:ascii="Calibri" w:eastAsia="Times New Roman" w:hAnsi="Calibri"/>
        </w:rPr>
        <w:t xml:space="preserve">emissions close to carbon-neutrality from the production and distribution of these fuels. </w:t>
      </w:r>
    </w:p>
    <w:p w:rsidR="00085278" w:rsidRDefault="00085278">
      <w:pPr>
        <w:rPr>
          <w:rFonts w:ascii="Calibri" w:eastAsia="Times New Roman" w:hAnsi="Calibri"/>
          <w:b/>
        </w:rPr>
      </w:pPr>
      <w:r>
        <w:rPr>
          <w:rFonts w:ascii="Calibri" w:eastAsia="Times New Roman" w:hAnsi="Calibri"/>
          <w:b/>
        </w:rPr>
        <w:br w:type="page"/>
      </w:r>
    </w:p>
    <w:p w:rsidR="00085278" w:rsidRPr="00085278" w:rsidRDefault="00085278" w:rsidP="00FE2335">
      <w:pPr>
        <w:rPr>
          <w:rFonts w:ascii="Calibri" w:eastAsia="Times New Roman" w:hAnsi="Calibri"/>
          <w:b/>
        </w:rPr>
      </w:pPr>
      <w:r w:rsidRPr="00085278">
        <w:rPr>
          <w:rFonts w:ascii="Calibri" w:eastAsia="Times New Roman" w:hAnsi="Calibri"/>
          <w:b/>
        </w:rPr>
        <w:lastRenderedPageBreak/>
        <w:t xml:space="preserve">Table </w:t>
      </w:r>
      <w:r w:rsidR="005713CD">
        <w:rPr>
          <w:rFonts w:ascii="Calibri" w:eastAsia="Times New Roman" w:hAnsi="Calibri"/>
          <w:b/>
        </w:rPr>
        <w:t>4</w:t>
      </w:r>
      <w:r w:rsidRPr="00085278">
        <w:rPr>
          <w:rFonts w:ascii="Calibri" w:eastAsia="Times New Roman" w:hAnsi="Calibri"/>
          <w:b/>
        </w:rPr>
        <w:t>: Sensitivity analyses on key parameters in the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CF3228" w:rsidTr="000A3D69">
        <w:tc>
          <w:tcPr>
            <w:tcW w:w="3005" w:type="dxa"/>
          </w:tcPr>
          <w:p w:rsidR="00CF3228" w:rsidRPr="00CF3228" w:rsidRDefault="00CF3228" w:rsidP="00CF3228">
            <w:pPr>
              <w:rPr>
                <w:rFonts w:ascii="Calibri" w:eastAsia="Times New Roman" w:hAnsi="Calibri"/>
                <w:b/>
              </w:rPr>
            </w:pPr>
            <w:r w:rsidRPr="00CF3228">
              <w:rPr>
                <w:rFonts w:ascii="Calibri" w:eastAsia="Times New Roman" w:hAnsi="Calibri"/>
                <w:b/>
              </w:rPr>
              <w:t>Sensitivity</w:t>
            </w:r>
          </w:p>
        </w:tc>
        <w:tc>
          <w:tcPr>
            <w:tcW w:w="3005" w:type="dxa"/>
          </w:tcPr>
          <w:p w:rsidR="00CF3228" w:rsidRPr="00CF3228" w:rsidRDefault="00CF3228" w:rsidP="00FE2335">
            <w:pPr>
              <w:rPr>
                <w:rFonts w:ascii="Calibri" w:eastAsia="Times New Roman" w:hAnsi="Calibri"/>
                <w:b/>
              </w:rPr>
            </w:pPr>
            <w:r w:rsidRPr="00CF3228">
              <w:rPr>
                <w:rFonts w:ascii="Calibri" w:eastAsia="Times New Roman" w:hAnsi="Calibri"/>
                <w:b/>
              </w:rPr>
              <w:t>Rationale</w:t>
            </w:r>
          </w:p>
        </w:tc>
        <w:tc>
          <w:tcPr>
            <w:tcW w:w="3006" w:type="dxa"/>
          </w:tcPr>
          <w:p w:rsidR="00CF3228" w:rsidRPr="00CF3228" w:rsidRDefault="00CF3228" w:rsidP="00FE2335">
            <w:pPr>
              <w:rPr>
                <w:rFonts w:ascii="Calibri" w:eastAsia="Times New Roman" w:hAnsi="Calibri"/>
                <w:b/>
              </w:rPr>
            </w:pPr>
            <w:r w:rsidRPr="00CF3228">
              <w:rPr>
                <w:rFonts w:ascii="Calibri" w:eastAsia="Times New Roman" w:hAnsi="Calibri"/>
                <w:b/>
              </w:rPr>
              <w:t>Impact</w:t>
            </w:r>
          </w:p>
        </w:tc>
      </w:tr>
      <w:tr w:rsidR="00CF3228" w:rsidTr="000A3D69">
        <w:tc>
          <w:tcPr>
            <w:tcW w:w="3005" w:type="dxa"/>
          </w:tcPr>
          <w:p w:rsidR="00CF3228" w:rsidRPr="000A3D69" w:rsidRDefault="00CF3228" w:rsidP="0002533B">
            <w:pPr>
              <w:rPr>
                <w:rFonts w:ascii="Calibri" w:eastAsia="Times New Roman" w:hAnsi="Calibri"/>
                <w:sz w:val="19"/>
                <w:szCs w:val="19"/>
              </w:rPr>
            </w:pPr>
            <w:r w:rsidRPr="000A3D69">
              <w:rPr>
                <w:rFonts w:ascii="Calibri" w:eastAsia="Times New Roman" w:hAnsi="Calibri"/>
                <w:sz w:val="19"/>
                <w:szCs w:val="19"/>
              </w:rPr>
              <w:t xml:space="preserve">Share of diesel </w:t>
            </w:r>
            <w:r w:rsidR="00972CD3" w:rsidRPr="000A3D69">
              <w:rPr>
                <w:rFonts w:ascii="Calibri" w:eastAsia="Times New Roman" w:hAnsi="Calibri"/>
                <w:sz w:val="19"/>
                <w:szCs w:val="19"/>
              </w:rPr>
              <w:t xml:space="preserve">sales </w:t>
            </w:r>
            <w:r w:rsidRPr="000A3D69">
              <w:rPr>
                <w:rFonts w:ascii="Calibri" w:eastAsia="Times New Roman" w:hAnsi="Calibri"/>
                <w:sz w:val="19"/>
                <w:szCs w:val="19"/>
              </w:rPr>
              <w:t xml:space="preserve">in </w:t>
            </w:r>
            <w:r w:rsidR="0002533B">
              <w:rPr>
                <w:rFonts w:ascii="Calibri" w:eastAsia="Times New Roman" w:hAnsi="Calibri"/>
                <w:sz w:val="19"/>
                <w:szCs w:val="19"/>
              </w:rPr>
              <w:t>ICE</w:t>
            </w:r>
            <w:r w:rsidRPr="000A3D69">
              <w:rPr>
                <w:rFonts w:ascii="Calibri" w:eastAsia="Times New Roman" w:hAnsi="Calibri"/>
                <w:sz w:val="19"/>
                <w:szCs w:val="19"/>
              </w:rPr>
              <w:t xml:space="preserve"> </w:t>
            </w:r>
            <w:r w:rsidR="0002533B">
              <w:rPr>
                <w:rFonts w:ascii="Calibri" w:eastAsia="Times New Roman" w:hAnsi="Calibri"/>
                <w:sz w:val="19"/>
                <w:szCs w:val="19"/>
              </w:rPr>
              <w:t xml:space="preserve">and hybrid </w:t>
            </w:r>
            <w:r w:rsidRPr="000A3D69">
              <w:rPr>
                <w:rFonts w:ascii="Calibri" w:eastAsia="Times New Roman" w:hAnsi="Calibri"/>
                <w:sz w:val="19"/>
                <w:szCs w:val="19"/>
              </w:rPr>
              <w:t xml:space="preserve">cars and minivans rises </w:t>
            </w:r>
            <w:r w:rsidR="003721F3" w:rsidRPr="000A3D69">
              <w:rPr>
                <w:rFonts w:ascii="Calibri" w:eastAsia="Times New Roman" w:hAnsi="Calibri"/>
                <w:sz w:val="19"/>
                <w:szCs w:val="19"/>
              </w:rPr>
              <w:t xml:space="preserve">from 20% </w:t>
            </w:r>
            <w:r w:rsidRPr="000A3D69">
              <w:rPr>
                <w:rFonts w:ascii="Calibri" w:eastAsia="Times New Roman" w:hAnsi="Calibri"/>
                <w:sz w:val="19"/>
                <w:szCs w:val="19"/>
              </w:rPr>
              <w:t xml:space="preserve">to 80% in the low-carbon scenario by 2050, </w:t>
            </w:r>
            <w:r w:rsidR="003721F3" w:rsidRPr="000A3D69">
              <w:rPr>
                <w:rFonts w:ascii="Calibri" w:eastAsia="Times New Roman" w:hAnsi="Calibri"/>
                <w:sz w:val="19"/>
                <w:szCs w:val="19"/>
              </w:rPr>
              <w:t xml:space="preserve">compared to 20% in the </w:t>
            </w:r>
            <w:r w:rsidR="00514686" w:rsidRPr="00514686">
              <w:rPr>
                <w:rFonts w:ascii="Calibri" w:eastAsia="Times New Roman" w:hAnsi="Calibri"/>
                <w:sz w:val="19"/>
                <w:szCs w:val="19"/>
              </w:rPr>
              <w:t>business-as-usual</w:t>
            </w:r>
            <w:r w:rsidR="003721F3" w:rsidRPr="000A3D69">
              <w:rPr>
                <w:rFonts w:ascii="Calibri" w:eastAsia="Times New Roman" w:hAnsi="Calibri"/>
                <w:sz w:val="19"/>
                <w:szCs w:val="19"/>
              </w:rPr>
              <w:t xml:space="preserve"> scenario</w:t>
            </w:r>
          </w:p>
        </w:tc>
        <w:tc>
          <w:tcPr>
            <w:tcW w:w="3005" w:type="dxa"/>
          </w:tcPr>
          <w:p w:rsidR="00CF3228" w:rsidRPr="000A3D69" w:rsidRDefault="00CF3228" w:rsidP="00A96720">
            <w:pPr>
              <w:rPr>
                <w:rFonts w:ascii="Calibri" w:eastAsia="Times New Roman" w:hAnsi="Calibri"/>
                <w:sz w:val="19"/>
                <w:szCs w:val="19"/>
              </w:rPr>
            </w:pPr>
            <w:r w:rsidRPr="000A3D69">
              <w:rPr>
                <w:rFonts w:ascii="Calibri" w:eastAsia="Times New Roman" w:hAnsi="Calibri"/>
                <w:sz w:val="19"/>
                <w:szCs w:val="19"/>
              </w:rPr>
              <w:t xml:space="preserve">Diesel engine efficiency is expected to be </w:t>
            </w:r>
            <w:r w:rsidR="00177531" w:rsidRPr="000A3D69">
              <w:rPr>
                <w:rFonts w:ascii="Calibri" w:eastAsia="Times New Roman" w:hAnsi="Calibri"/>
                <w:sz w:val="19"/>
                <w:szCs w:val="19"/>
              </w:rPr>
              <w:t xml:space="preserve">higher than gasoline, and with similar purchase costs and fuel prices, </w:t>
            </w:r>
            <w:r w:rsidR="00A96720" w:rsidRPr="000A3D69">
              <w:rPr>
                <w:rFonts w:ascii="Calibri" w:eastAsia="Times New Roman" w:hAnsi="Calibri"/>
                <w:sz w:val="19"/>
                <w:szCs w:val="19"/>
              </w:rPr>
              <w:t xml:space="preserve">a shift to diesel </w:t>
            </w:r>
            <w:r w:rsidR="00177531" w:rsidRPr="000A3D69">
              <w:rPr>
                <w:rFonts w:ascii="Calibri" w:eastAsia="Times New Roman" w:hAnsi="Calibri"/>
                <w:sz w:val="19"/>
                <w:szCs w:val="19"/>
              </w:rPr>
              <w:t xml:space="preserve">could provide additional </w:t>
            </w:r>
            <w:r w:rsidR="00E62252">
              <w:rPr>
                <w:rFonts w:ascii="Calibri" w:eastAsia="Times New Roman" w:hAnsi="Calibri"/>
                <w:sz w:val="19"/>
                <w:szCs w:val="19"/>
              </w:rPr>
              <w:t>CO</w:t>
            </w:r>
            <w:r w:rsidR="00E62252" w:rsidRPr="00A35086">
              <w:rPr>
                <w:rFonts w:ascii="Calibri" w:eastAsia="Times New Roman" w:hAnsi="Calibri"/>
                <w:sz w:val="19"/>
                <w:szCs w:val="19"/>
                <w:vertAlign w:val="subscript"/>
              </w:rPr>
              <w:t>2</w:t>
            </w:r>
            <w:r w:rsidR="00E62252">
              <w:rPr>
                <w:rFonts w:ascii="Calibri" w:eastAsia="Times New Roman" w:hAnsi="Calibri"/>
                <w:sz w:val="19"/>
                <w:szCs w:val="19"/>
              </w:rPr>
              <w:t xml:space="preserve"> </w:t>
            </w:r>
            <w:r w:rsidR="00177531" w:rsidRPr="000A3D69">
              <w:rPr>
                <w:rFonts w:ascii="Calibri" w:eastAsia="Times New Roman" w:hAnsi="Calibri"/>
                <w:sz w:val="19"/>
                <w:szCs w:val="19"/>
              </w:rPr>
              <w:t>abatement at relatively low cost</w:t>
            </w:r>
            <w:r w:rsidR="00E62252">
              <w:rPr>
                <w:rFonts w:ascii="Calibri" w:eastAsia="Times New Roman" w:hAnsi="Calibri"/>
                <w:sz w:val="19"/>
                <w:szCs w:val="19"/>
              </w:rPr>
              <w:t xml:space="preserve"> (albeit with higher levels of local pollutants)</w:t>
            </w:r>
          </w:p>
        </w:tc>
        <w:tc>
          <w:tcPr>
            <w:tcW w:w="3006" w:type="dxa"/>
          </w:tcPr>
          <w:p w:rsidR="00CF3228" w:rsidRPr="000A3D69" w:rsidRDefault="00177531" w:rsidP="00E62252">
            <w:pPr>
              <w:rPr>
                <w:rFonts w:ascii="Calibri" w:eastAsia="Times New Roman" w:hAnsi="Calibri"/>
                <w:sz w:val="19"/>
                <w:szCs w:val="19"/>
              </w:rPr>
            </w:pPr>
            <w:r w:rsidRPr="000A3D69">
              <w:rPr>
                <w:rFonts w:ascii="Calibri" w:eastAsia="Times New Roman" w:hAnsi="Calibri"/>
                <w:sz w:val="19"/>
                <w:szCs w:val="19"/>
              </w:rPr>
              <w:t>Mitigation in 2050 increased from 83</w:t>
            </w:r>
            <w:r w:rsidR="003721F3" w:rsidRPr="000A3D69">
              <w:rPr>
                <w:rFonts w:ascii="Calibri" w:eastAsia="Times New Roman" w:hAnsi="Calibri"/>
                <w:sz w:val="19"/>
                <w:szCs w:val="19"/>
              </w:rPr>
              <w:t>9</w:t>
            </w:r>
            <w:r w:rsidRPr="000A3D69">
              <w:rPr>
                <w:rFonts w:ascii="Calibri" w:eastAsia="Times New Roman" w:hAnsi="Calibri"/>
                <w:sz w:val="19"/>
                <w:szCs w:val="19"/>
              </w:rPr>
              <w:t xml:space="preserve"> to 8</w:t>
            </w:r>
            <w:r w:rsidR="00E62252">
              <w:rPr>
                <w:rFonts w:ascii="Calibri" w:eastAsia="Times New Roman" w:hAnsi="Calibri"/>
                <w:sz w:val="19"/>
                <w:szCs w:val="19"/>
              </w:rPr>
              <w:t>91</w:t>
            </w:r>
            <w:r w:rsidRPr="000A3D69">
              <w:rPr>
                <w:rFonts w:ascii="Calibri" w:eastAsia="Times New Roman" w:hAnsi="Calibri"/>
                <w:sz w:val="19"/>
                <w:szCs w:val="19"/>
              </w:rPr>
              <w:t xml:space="preserve"> </w:t>
            </w:r>
            <w:r w:rsidR="00A96720" w:rsidRPr="000A3D69">
              <w:rPr>
                <w:rFonts w:ascii="Calibri" w:eastAsia="Times New Roman" w:hAnsi="Calibri"/>
                <w:sz w:val="19"/>
                <w:szCs w:val="19"/>
              </w:rPr>
              <w:t>MtCO</w:t>
            </w:r>
            <w:r w:rsidR="00A96720" w:rsidRPr="000A3D69">
              <w:rPr>
                <w:rFonts w:ascii="Calibri" w:eastAsia="Times New Roman" w:hAnsi="Calibri"/>
                <w:sz w:val="19"/>
                <w:szCs w:val="19"/>
                <w:vertAlign w:val="subscript"/>
              </w:rPr>
              <w:t>2</w:t>
            </w:r>
            <w:r w:rsidRPr="000A3D69">
              <w:rPr>
                <w:rFonts w:ascii="Calibri" w:eastAsia="Times New Roman" w:hAnsi="Calibri"/>
                <w:sz w:val="19"/>
                <w:szCs w:val="19"/>
              </w:rPr>
              <w:t>, whilst additional cost of low-carbon scenario reduced from $</w:t>
            </w:r>
            <w:r w:rsidR="00E62252">
              <w:rPr>
                <w:rFonts w:ascii="Calibri" w:eastAsia="Times New Roman" w:hAnsi="Calibri"/>
                <w:sz w:val="19"/>
                <w:szCs w:val="19"/>
              </w:rPr>
              <w:t>64</w:t>
            </w:r>
            <w:r w:rsidRPr="000A3D69">
              <w:rPr>
                <w:rFonts w:ascii="Calibri" w:eastAsia="Times New Roman" w:hAnsi="Calibri"/>
                <w:sz w:val="19"/>
                <w:szCs w:val="19"/>
              </w:rPr>
              <w:t xml:space="preserve"> billion to $</w:t>
            </w:r>
            <w:r w:rsidR="00E62252">
              <w:rPr>
                <w:rFonts w:ascii="Calibri" w:eastAsia="Times New Roman" w:hAnsi="Calibri"/>
                <w:sz w:val="19"/>
                <w:szCs w:val="19"/>
              </w:rPr>
              <w:t>52</w:t>
            </w:r>
            <w:r w:rsidR="003721F3" w:rsidRPr="000A3D69">
              <w:rPr>
                <w:rFonts w:ascii="Calibri" w:eastAsia="Times New Roman" w:hAnsi="Calibri"/>
                <w:sz w:val="19"/>
                <w:szCs w:val="19"/>
              </w:rPr>
              <w:t xml:space="preserve"> billion</w:t>
            </w:r>
          </w:p>
        </w:tc>
      </w:tr>
      <w:tr w:rsidR="00CF3228" w:rsidTr="000A3D69">
        <w:tc>
          <w:tcPr>
            <w:tcW w:w="3005" w:type="dxa"/>
          </w:tcPr>
          <w:p w:rsidR="00CF3228" w:rsidRPr="000A3D69" w:rsidRDefault="00C779F2" w:rsidP="007B2347">
            <w:pPr>
              <w:rPr>
                <w:rFonts w:ascii="Calibri" w:eastAsia="Times New Roman" w:hAnsi="Calibri"/>
                <w:sz w:val="19"/>
                <w:szCs w:val="19"/>
              </w:rPr>
            </w:pPr>
            <w:r w:rsidRPr="000A3D69">
              <w:rPr>
                <w:rFonts w:ascii="Calibri" w:eastAsia="Times New Roman" w:hAnsi="Calibri"/>
                <w:sz w:val="19"/>
                <w:szCs w:val="19"/>
              </w:rPr>
              <w:t xml:space="preserve">Increased annual operation and maintenance costs of </w:t>
            </w:r>
            <w:r w:rsidR="007B2347">
              <w:rPr>
                <w:rFonts w:ascii="Calibri" w:eastAsia="Times New Roman" w:hAnsi="Calibri"/>
                <w:sz w:val="19"/>
                <w:szCs w:val="19"/>
              </w:rPr>
              <w:t>all</w:t>
            </w:r>
            <w:r w:rsidR="00AD2AE3" w:rsidRPr="00AD2AE3">
              <w:rPr>
                <w:rFonts w:ascii="Calibri" w:eastAsia="Times New Roman" w:hAnsi="Calibri"/>
                <w:sz w:val="19"/>
                <w:szCs w:val="19"/>
              </w:rPr>
              <w:t xml:space="preserve"> truck</w:t>
            </w:r>
            <w:r w:rsidR="007B2347">
              <w:rPr>
                <w:rFonts w:ascii="Calibri" w:eastAsia="Times New Roman" w:hAnsi="Calibri"/>
                <w:sz w:val="19"/>
                <w:szCs w:val="19"/>
              </w:rPr>
              <w:t>s</w:t>
            </w:r>
            <w:r w:rsidRPr="000A3D69">
              <w:rPr>
                <w:rFonts w:ascii="Calibri" w:eastAsia="Times New Roman" w:hAnsi="Calibri"/>
                <w:sz w:val="19"/>
                <w:szCs w:val="19"/>
              </w:rPr>
              <w:t xml:space="preserve"> fuel cell vehicles so that they match those of </w:t>
            </w:r>
            <w:r w:rsidR="0002533B">
              <w:rPr>
                <w:rFonts w:ascii="Calibri" w:eastAsia="Times New Roman" w:hAnsi="Calibri"/>
                <w:sz w:val="19"/>
                <w:szCs w:val="19"/>
              </w:rPr>
              <w:t>ICE</w:t>
            </w:r>
            <w:r w:rsidRPr="000A3D69">
              <w:rPr>
                <w:rFonts w:ascii="Calibri" w:eastAsia="Times New Roman" w:hAnsi="Calibri"/>
                <w:sz w:val="19"/>
                <w:szCs w:val="19"/>
              </w:rPr>
              <w:t xml:space="preserve"> vehicles. </w:t>
            </w:r>
          </w:p>
        </w:tc>
        <w:tc>
          <w:tcPr>
            <w:tcW w:w="3005" w:type="dxa"/>
          </w:tcPr>
          <w:p w:rsidR="00CF3228" w:rsidRPr="000A3D69" w:rsidRDefault="00C779F2" w:rsidP="007B2347">
            <w:pPr>
              <w:rPr>
                <w:rFonts w:ascii="Calibri" w:eastAsia="Times New Roman" w:hAnsi="Calibri"/>
                <w:sz w:val="19"/>
                <w:szCs w:val="19"/>
              </w:rPr>
            </w:pPr>
            <w:r w:rsidRPr="000A3D69">
              <w:rPr>
                <w:rFonts w:ascii="Calibri" w:eastAsia="Times New Roman" w:hAnsi="Calibri"/>
                <w:sz w:val="19"/>
                <w:szCs w:val="19"/>
              </w:rPr>
              <w:t xml:space="preserve">Conservative assumption to reflect possibility that the low-carbon vehicles are no </w:t>
            </w:r>
            <w:r w:rsidR="007B2347">
              <w:rPr>
                <w:rFonts w:ascii="Calibri" w:eastAsia="Times New Roman" w:hAnsi="Calibri"/>
                <w:sz w:val="19"/>
                <w:szCs w:val="19"/>
              </w:rPr>
              <w:t>cheaper</w:t>
            </w:r>
            <w:r w:rsidRPr="000A3D69">
              <w:rPr>
                <w:rFonts w:ascii="Calibri" w:eastAsia="Times New Roman" w:hAnsi="Calibri"/>
                <w:sz w:val="19"/>
                <w:szCs w:val="19"/>
              </w:rPr>
              <w:t xml:space="preserve"> to maintain than </w:t>
            </w:r>
            <w:r w:rsidR="0002533B">
              <w:rPr>
                <w:rFonts w:ascii="Calibri" w:eastAsia="Times New Roman" w:hAnsi="Calibri"/>
                <w:sz w:val="19"/>
                <w:szCs w:val="19"/>
              </w:rPr>
              <w:t>ICE</w:t>
            </w:r>
            <w:r w:rsidRPr="000A3D69">
              <w:rPr>
                <w:rFonts w:ascii="Calibri" w:eastAsia="Times New Roman" w:hAnsi="Calibri"/>
                <w:sz w:val="19"/>
                <w:szCs w:val="19"/>
              </w:rPr>
              <w:t xml:space="preserve">. </w:t>
            </w:r>
          </w:p>
        </w:tc>
        <w:tc>
          <w:tcPr>
            <w:tcW w:w="3006" w:type="dxa"/>
          </w:tcPr>
          <w:p w:rsidR="00CF3228" w:rsidRPr="000A3D69" w:rsidRDefault="003721F3" w:rsidP="007B2347">
            <w:pPr>
              <w:rPr>
                <w:rFonts w:ascii="Calibri" w:eastAsia="Times New Roman" w:hAnsi="Calibri"/>
                <w:sz w:val="19"/>
                <w:szCs w:val="19"/>
              </w:rPr>
            </w:pPr>
            <w:r w:rsidRPr="000A3D69">
              <w:rPr>
                <w:rFonts w:ascii="Calibri" w:eastAsia="Times New Roman" w:hAnsi="Calibri"/>
                <w:sz w:val="19"/>
                <w:szCs w:val="19"/>
              </w:rPr>
              <w:t>R</w:t>
            </w:r>
            <w:r w:rsidR="00A96720" w:rsidRPr="000A3D69">
              <w:rPr>
                <w:rFonts w:ascii="Calibri" w:eastAsia="Times New Roman" w:hAnsi="Calibri"/>
                <w:sz w:val="19"/>
                <w:szCs w:val="19"/>
              </w:rPr>
              <w:t>oad transport sector additional cost increases from $</w:t>
            </w:r>
            <w:r w:rsidR="00A44A33">
              <w:rPr>
                <w:rFonts w:ascii="Calibri" w:eastAsia="Times New Roman" w:hAnsi="Calibri"/>
                <w:sz w:val="19"/>
                <w:szCs w:val="19"/>
              </w:rPr>
              <w:t>64</w:t>
            </w:r>
            <w:r w:rsidR="00A44A33" w:rsidRPr="000A3D69">
              <w:rPr>
                <w:rFonts w:ascii="Calibri" w:eastAsia="Times New Roman" w:hAnsi="Calibri"/>
                <w:sz w:val="19"/>
                <w:szCs w:val="19"/>
              </w:rPr>
              <w:t xml:space="preserve"> </w:t>
            </w:r>
            <w:r w:rsidRPr="000A3D69">
              <w:rPr>
                <w:rFonts w:ascii="Calibri" w:eastAsia="Times New Roman" w:hAnsi="Calibri"/>
                <w:sz w:val="19"/>
                <w:szCs w:val="19"/>
              </w:rPr>
              <w:t>billion to $</w:t>
            </w:r>
            <w:r w:rsidR="007B2347">
              <w:rPr>
                <w:rFonts w:ascii="Calibri" w:eastAsia="Times New Roman" w:hAnsi="Calibri"/>
                <w:sz w:val="19"/>
                <w:szCs w:val="19"/>
              </w:rPr>
              <w:t>108</w:t>
            </w:r>
            <w:r w:rsidR="00A44A33" w:rsidRPr="000A3D69">
              <w:rPr>
                <w:rFonts w:ascii="Calibri" w:eastAsia="Times New Roman" w:hAnsi="Calibri"/>
                <w:sz w:val="19"/>
                <w:szCs w:val="19"/>
              </w:rPr>
              <w:t xml:space="preserve"> </w:t>
            </w:r>
            <w:r w:rsidRPr="000A3D69">
              <w:rPr>
                <w:rFonts w:ascii="Calibri" w:eastAsia="Times New Roman" w:hAnsi="Calibri"/>
                <w:sz w:val="19"/>
                <w:szCs w:val="19"/>
              </w:rPr>
              <w:t>billion</w:t>
            </w:r>
            <w:r w:rsidR="005276D7" w:rsidRPr="000A3D69">
              <w:rPr>
                <w:rFonts w:ascii="Calibri" w:eastAsia="Times New Roman" w:hAnsi="Calibri"/>
                <w:sz w:val="19"/>
                <w:szCs w:val="19"/>
              </w:rPr>
              <w:t>. M</w:t>
            </w:r>
            <w:r w:rsidR="00C14DA1">
              <w:rPr>
                <w:rFonts w:ascii="Calibri" w:eastAsia="Times New Roman" w:hAnsi="Calibri"/>
                <w:sz w:val="19"/>
                <w:szCs w:val="19"/>
              </w:rPr>
              <w:t xml:space="preserve">AC for </w:t>
            </w:r>
            <w:r w:rsidR="007B2347">
              <w:rPr>
                <w:rFonts w:ascii="Calibri" w:eastAsia="Times New Roman" w:hAnsi="Calibri"/>
                <w:sz w:val="19"/>
                <w:szCs w:val="19"/>
              </w:rPr>
              <w:t>mini-truck EVs</w:t>
            </w:r>
            <w:r w:rsidR="00C14DA1">
              <w:rPr>
                <w:rFonts w:ascii="Calibri" w:eastAsia="Times New Roman" w:hAnsi="Calibri"/>
                <w:sz w:val="19"/>
                <w:szCs w:val="19"/>
              </w:rPr>
              <w:t xml:space="preserve"> increases from </w:t>
            </w:r>
            <w:r w:rsidR="005276D7" w:rsidRPr="000A3D69">
              <w:rPr>
                <w:rFonts w:ascii="Calibri" w:eastAsia="Times New Roman" w:hAnsi="Calibri"/>
                <w:sz w:val="19"/>
                <w:szCs w:val="19"/>
              </w:rPr>
              <w:t>-$</w:t>
            </w:r>
            <w:r w:rsidR="007B2347">
              <w:rPr>
                <w:rFonts w:ascii="Calibri" w:eastAsia="Times New Roman" w:hAnsi="Calibri"/>
                <w:sz w:val="19"/>
                <w:szCs w:val="19"/>
              </w:rPr>
              <w:t>739</w:t>
            </w:r>
            <w:r w:rsidR="005276D7" w:rsidRPr="000A3D69">
              <w:rPr>
                <w:rFonts w:ascii="Calibri" w:eastAsia="Times New Roman" w:hAnsi="Calibri"/>
                <w:sz w:val="19"/>
                <w:szCs w:val="19"/>
              </w:rPr>
              <w:t>/tCO</w:t>
            </w:r>
            <w:r w:rsidR="005276D7" w:rsidRPr="000A3D69">
              <w:rPr>
                <w:rFonts w:ascii="Calibri" w:eastAsia="Times New Roman" w:hAnsi="Calibri"/>
                <w:sz w:val="19"/>
                <w:szCs w:val="19"/>
                <w:vertAlign w:val="subscript"/>
              </w:rPr>
              <w:t>2</w:t>
            </w:r>
            <w:r w:rsidR="005276D7" w:rsidRPr="000A3D69">
              <w:rPr>
                <w:rFonts w:ascii="Calibri" w:eastAsia="Times New Roman" w:hAnsi="Calibri"/>
                <w:sz w:val="19"/>
                <w:szCs w:val="19"/>
              </w:rPr>
              <w:t xml:space="preserve"> to </w:t>
            </w:r>
            <w:r w:rsidR="007B2347">
              <w:rPr>
                <w:rFonts w:ascii="Calibri" w:eastAsia="Times New Roman" w:hAnsi="Calibri"/>
                <w:sz w:val="19"/>
                <w:szCs w:val="19"/>
              </w:rPr>
              <w:t>-</w:t>
            </w:r>
            <w:r w:rsidR="007B2347" w:rsidRPr="000A3D69">
              <w:rPr>
                <w:rFonts w:ascii="Calibri" w:eastAsia="Times New Roman" w:hAnsi="Calibri"/>
                <w:sz w:val="19"/>
                <w:szCs w:val="19"/>
              </w:rPr>
              <w:t>$</w:t>
            </w:r>
            <w:r w:rsidR="007B2347">
              <w:rPr>
                <w:rFonts w:ascii="Calibri" w:eastAsia="Times New Roman" w:hAnsi="Calibri"/>
                <w:sz w:val="19"/>
                <w:szCs w:val="19"/>
              </w:rPr>
              <w:t>137</w:t>
            </w:r>
            <w:r w:rsidR="005276D7" w:rsidRPr="000A3D69">
              <w:rPr>
                <w:rFonts w:ascii="Calibri" w:eastAsia="Times New Roman" w:hAnsi="Calibri"/>
                <w:sz w:val="19"/>
                <w:szCs w:val="19"/>
              </w:rPr>
              <w:t>/tCO</w:t>
            </w:r>
            <w:r w:rsidR="005276D7" w:rsidRPr="000A3D69">
              <w:rPr>
                <w:rFonts w:ascii="Calibri" w:eastAsia="Times New Roman" w:hAnsi="Calibri"/>
                <w:sz w:val="19"/>
                <w:szCs w:val="19"/>
                <w:vertAlign w:val="subscript"/>
              </w:rPr>
              <w:t>2</w:t>
            </w:r>
          </w:p>
        </w:tc>
      </w:tr>
      <w:tr w:rsidR="00CF3228" w:rsidTr="000A3D69">
        <w:tc>
          <w:tcPr>
            <w:tcW w:w="3005" w:type="dxa"/>
          </w:tcPr>
          <w:p w:rsidR="00CF3228" w:rsidRPr="000A3D69" w:rsidRDefault="00972CD3" w:rsidP="001D5CCA">
            <w:pPr>
              <w:rPr>
                <w:rFonts w:ascii="Calibri" w:eastAsia="Times New Roman" w:hAnsi="Calibri"/>
                <w:sz w:val="19"/>
                <w:szCs w:val="19"/>
              </w:rPr>
            </w:pPr>
            <w:r w:rsidRPr="000A3D69">
              <w:rPr>
                <w:rFonts w:ascii="Calibri" w:eastAsia="Times New Roman" w:hAnsi="Calibri"/>
                <w:sz w:val="19"/>
                <w:szCs w:val="19"/>
              </w:rPr>
              <w:t xml:space="preserve">Electric motorcycles make up </w:t>
            </w:r>
            <w:r w:rsidR="001D5CCA" w:rsidRPr="000A3D69">
              <w:rPr>
                <w:rFonts w:ascii="Calibri" w:eastAsia="Times New Roman" w:hAnsi="Calibri"/>
                <w:sz w:val="19"/>
                <w:szCs w:val="19"/>
              </w:rPr>
              <w:t>40</w:t>
            </w:r>
            <w:r w:rsidRPr="000A3D69">
              <w:rPr>
                <w:rFonts w:ascii="Calibri" w:eastAsia="Times New Roman" w:hAnsi="Calibri"/>
                <w:sz w:val="19"/>
                <w:szCs w:val="19"/>
              </w:rPr>
              <w:t>% of sales by 2050</w:t>
            </w:r>
            <w:r w:rsidR="001D5CCA" w:rsidRPr="000A3D69">
              <w:rPr>
                <w:rFonts w:ascii="Calibri" w:eastAsia="Times New Roman" w:hAnsi="Calibri"/>
                <w:sz w:val="19"/>
                <w:szCs w:val="19"/>
              </w:rPr>
              <w:t>, rising linearly from 0% in 2010</w:t>
            </w:r>
            <w:r w:rsidR="00BA01D4" w:rsidRPr="000A3D69">
              <w:rPr>
                <w:rFonts w:ascii="Calibri" w:eastAsia="Times New Roman" w:hAnsi="Calibri"/>
                <w:sz w:val="19"/>
                <w:szCs w:val="19"/>
              </w:rPr>
              <w:t>.</w:t>
            </w:r>
          </w:p>
        </w:tc>
        <w:tc>
          <w:tcPr>
            <w:tcW w:w="3005" w:type="dxa"/>
          </w:tcPr>
          <w:p w:rsidR="00CF3228" w:rsidRPr="000A3D69" w:rsidRDefault="002A5F18" w:rsidP="00C3785D">
            <w:pPr>
              <w:rPr>
                <w:rFonts w:ascii="Calibri" w:eastAsia="Times New Roman" w:hAnsi="Calibri"/>
                <w:sz w:val="19"/>
                <w:szCs w:val="19"/>
              </w:rPr>
            </w:pPr>
            <w:r w:rsidRPr="000A3D69">
              <w:rPr>
                <w:rFonts w:ascii="Calibri" w:eastAsia="Times New Roman" w:hAnsi="Calibri"/>
                <w:sz w:val="19"/>
                <w:szCs w:val="19"/>
              </w:rPr>
              <w:t xml:space="preserve">Central low-carbon </w:t>
            </w:r>
            <w:r w:rsidR="001C085C" w:rsidRPr="000A3D69">
              <w:rPr>
                <w:rFonts w:ascii="Calibri" w:eastAsia="Times New Roman" w:hAnsi="Calibri"/>
                <w:sz w:val="19"/>
                <w:szCs w:val="19"/>
              </w:rPr>
              <w:t>scenario assumes motorcycle drivetrains</w:t>
            </w:r>
            <w:r w:rsidRPr="000A3D69">
              <w:rPr>
                <w:rFonts w:ascii="Calibri" w:eastAsia="Times New Roman" w:hAnsi="Calibri"/>
                <w:sz w:val="19"/>
                <w:szCs w:val="19"/>
              </w:rPr>
              <w:t xml:space="preserve"> remain entirely </w:t>
            </w:r>
            <w:r w:rsidR="0002533B">
              <w:rPr>
                <w:rFonts w:ascii="Calibri" w:eastAsia="Times New Roman" w:hAnsi="Calibri"/>
                <w:sz w:val="19"/>
                <w:szCs w:val="19"/>
              </w:rPr>
              <w:t>ICE</w:t>
            </w:r>
            <w:r w:rsidRPr="000A3D69">
              <w:rPr>
                <w:rFonts w:ascii="Calibri" w:eastAsia="Times New Roman" w:hAnsi="Calibri"/>
                <w:sz w:val="19"/>
                <w:szCs w:val="19"/>
              </w:rPr>
              <w:t xml:space="preserve">, but electric motorcycle technology </w:t>
            </w:r>
            <w:r w:rsidR="001C085C" w:rsidRPr="000A3D69">
              <w:rPr>
                <w:rFonts w:ascii="Calibri" w:eastAsia="Times New Roman" w:hAnsi="Calibri"/>
                <w:sz w:val="19"/>
                <w:szCs w:val="19"/>
              </w:rPr>
              <w:t xml:space="preserve">is </w:t>
            </w:r>
            <w:r w:rsidRPr="000A3D69">
              <w:rPr>
                <w:rFonts w:ascii="Calibri" w:eastAsia="Times New Roman" w:hAnsi="Calibri"/>
                <w:sz w:val="19"/>
                <w:szCs w:val="19"/>
              </w:rPr>
              <w:t>already being deployed in some regions</w:t>
            </w:r>
            <w:r w:rsidR="001C085C" w:rsidRPr="000A3D69">
              <w:rPr>
                <w:rFonts w:ascii="Calibri" w:eastAsia="Times New Roman" w:hAnsi="Calibri"/>
                <w:sz w:val="19"/>
                <w:szCs w:val="19"/>
              </w:rPr>
              <w:t>.</w:t>
            </w:r>
            <w:r w:rsidR="00C3785D">
              <w:rPr>
                <w:rFonts w:ascii="Calibri" w:eastAsia="Times New Roman" w:hAnsi="Calibri"/>
                <w:sz w:val="19"/>
                <w:szCs w:val="19"/>
              </w:rPr>
              <w:t xml:space="preserve"> 2050 electric motorcycle</w:t>
            </w:r>
            <w:r w:rsidR="00C66FD2" w:rsidRPr="000A3D69">
              <w:rPr>
                <w:rFonts w:ascii="Calibri" w:eastAsia="Times New Roman" w:hAnsi="Calibri"/>
                <w:sz w:val="19"/>
                <w:szCs w:val="19"/>
              </w:rPr>
              <w:t xml:space="preserve"> sales share matches </w:t>
            </w:r>
            <w:r w:rsidR="001D5CCA" w:rsidRPr="000A3D69">
              <w:rPr>
                <w:rFonts w:ascii="Calibri" w:eastAsia="Times New Roman" w:hAnsi="Calibri"/>
                <w:sz w:val="19"/>
                <w:szCs w:val="19"/>
              </w:rPr>
              <w:t xml:space="preserve">the combined </w:t>
            </w:r>
            <w:r w:rsidR="00C3785D">
              <w:rPr>
                <w:rFonts w:ascii="Calibri" w:eastAsia="Times New Roman" w:hAnsi="Calibri"/>
                <w:sz w:val="19"/>
                <w:szCs w:val="19"/>
              </w:rPr>
              <w:t>fuel cell and electric vehicle</w:t>
            </w:r>
            <w:r w:rsidR="001D5CCA" w:rsidRPr="000A3D69">
              <w:rPr>
                <w:rFonts w:ascii="Calibri" w:eastAsia="Times New Roman" w:hAnsi="Calibri"/>
                <w:sz w:val="19"/>
                <w:szCs w:val="19"/>
              </w:rPr>
              <w:t xml:space="preserve"> share for cars by 2050 (i.e. 40%). </w:t>
            </w:r>
          </w:p>
        </w:tc>
        <w:tc>
          <w:tcPr>
            <w:tcW w:w="3006" w:type="dxa"/>
          </w:tcPr>
          <w:p w:rsidR="00CF3228" w:rsidRPr="000A3D69" w:rsidRDefault="00703A17" w:rsidP="00E928A2">
            <w:pPr>
              <w:rPr>
                <w:rFonts w:ascii="Calibri" w:eastAsia="Times New Roman" w:hAnsi="Calibri"/>
                <w:sz w:val="19"/>
                <w:szCs w:val="19"/>
              </w:rPr>
            </w:pPr>
            <w:r w:rsidRPr="000A3D69">
              <w:rPr>
                <w:rFonts w:ascii="Calibri" w:eastAsia="Times New Roman" w:hAnsi="Calibri"/>
                <w:sz w:val="19"/>
                <w:szCs w:val="19"/>
              </w:rPr>
              <w:t>CO</w:t>
            </w:r>
            <w:r w:rsidRPr="000A3D69">
              <w:rPr>
                <w:rFonts w:ascii="Calibri" w:eastAsia="Times New Roman" w:hAnsi="Calibri"/>
                <w:sz w:val="19"/>
                <w:szCs w:val="19"/>
                <w:vertAlign w:val="subscript"/>
              </w:rPr>
              <w:t>2</w:t>
            </w:r>
            <w:r w:rsidRPr="000A3D69">
              <w:rPr>
                <w:rFonts w:ascii="Calibri" w:eastAsia="Times New Roman" w:hAnsi="Calibri"/>
                <w:sz w:val="19"/>
                <w:szCs w:val="19"/>
              </w:rPr>
              <w:t xml:space="preserve"> e</w:t>
            </w:r>
            <w:r w:rsidR="002A5F18" w:rsidRPr="000A3D69">
              <w:rPr>
                <w:rFonts w:ascii="Calibri" w:eastAsia="Times New Roman" w:hAnsi="Calibri"/>
                <w:sz w:val="19"/>
                <w:szCs w:val="19"/>
              </w:rPr>
              <w:t>mi</w:t>
            </w:r>
            <w:r w:rsidR="001D5CCA" w:rsidRPr="000A3D69">
              <w:rPr>
                <w:rFonts w:ascii="Calibri" w:eastAsia="Times New Roman" w:hAnsi="Calibri"/>
                <w:sz w:val="19"/>
                <w:szCs w:val="19"/>
              </w:rPr>
              <w:t>ssions savings increase from 839</w:t>
            </w:r>
            <w:r w:rsidR="002A5F18" w:rsidRPr="000A3D69">
              <w:rPr>
                <w:rFonts w:ascii="Calibri" w:eastAsia="Times New Roman" w:hAnsi="Calibri"/>
                <w:sz w:val="19"/>
                <w:szCs w:val="19"/>
              </w:rPr>
              <w:t xml:space="preserve"> to 8</w:t>
            </w:r>
            <w:r w:rsidR="001D5CCA" w:rsidRPr="000A3D69">
              <w:rPr>
                <w:rFonts w:ascii="Calibri" w:eastAsia="Times New Roman" w:hAnsi="Calibri"/>
                <w:sz w:val="19"/>
                <w:szCs w:val="19"/>
              </w:rPr>
              <w:t>47</w:t>
            </w:r>
            <w:r w:rsidR="002A5F18" w:rsidRPr="000A3D69">
              <w:rPr>
                <w:rFonts w:ascii="Calibri" w:eastAsia="Times New Roman" w:hAnsi="Calibri"/>
                <w:sz w:val="19"/>
                <w:szCs w:val="19"/>
              </w:rPr>
              <w:t xml:space="preserve"> MtCO</w:t>
            </w:r>
            <w:r w:rsidR="002A5F18" w:rsidRPr="000A3D69">
              <w:rPr>
                <w:rFonts w:ascii="Calibri" w:eastAsia="Times New Roman" w:hAnsi="Calibri"/>
                <w:sz w:val="19"/>
                <w:szCs w:val="19"/>
                <w:vertAlign w:val="subscript"/>
              </w:rPr>
              <w:t>2</w:t>
            </w:r>
            <w:r w:rsidR="00136C26" w:rsidRPr="000A3D69">
              <w:rPr>
                <w:rFonts w:ascii="Calibri" w:eastAsia="Times New Roman" w:hAnsi="Calibri"/>
                <w:sz w:val="19"/>
                <w:szCs w:val="19"/>
                <w:vertAlign w:val="subscript"/>
              </w:rPr>
              <w:t xml:space="preserve">. </w:t>
            </w:r>
            <w:r w:rsidR="00136C26" w:rsidRPr="000A3D69">
              <w:rPr>
                <w:rFonts w:ascii="Calibri" w:eastAsia="Times New Roman" w:hAnsi="Calibri"/>
                <w:sz w:val="19"/>
                <w:szCs w:val="19"/>
              </w:rPr>
              <w:t>Additional cost of low-carbon scenario increases from $</w:t>
            </w:r>
            <w:r w:rsidR="00E928A2">
              <w:rPr>
                <w:rFonts w:ascii="Calibri" w:eastAsia="Times New Roman" w:hAnsi="Calibri"/>
                <w:sz w:val="19"/>
                <w:szCs w:val="19"/>
              </w:rPr>
              <w:t>64</w:t>
            </w:r>
            <w:r w:rsidR="00E928A2" w:rsidRPr="000A3D69">
              <w:rPr>
                <w:rFonts w:ascii="Calibri" w:eastAsia="Times New Roman" w:hAnsi="Calibri"/>
                <w:sz w:val="19"/>
                <w:szCs w:val="19"/>
              </w:rPr>
              <w:t xml:space="preserve"> </w:t>
            </w:r>
            <w:r w:rsidR="00136C26" w:rsidRPr="000A3D69">
              <w:rPr>
                <w:rFonts w:ascii="Calibri" w:eastAsia="Times New Roman" w:hAnsi="Calibri"/>
                <w:sz w:val="19"/>
                <w:szCs w:val="19"/>
              </w:rPr>
              <w:t>billion to $</w:t>
            </w:r>
            <w:r w:rsidR="00E928A2">
              <w:rPr>
                <w:rFonts w:ascii="Calibri" w:eastAsia="Times New Roman" w:hAnsi="Calibri"/>
                <w:sz w:val="19"/>
                <w:szCs w:val="19"/>
              </w:rPr>
              <w:t>75</w:t>
            </w:r>
            <w:r w:rsidR="00E928A2" w:rsidRPr="000A3D69">
              <w:rPr>
                <w:rFonts w:ascii="Calibri" w:eastAsia="Times New Roman" w:hAnsi="Calibri"/>
                <w:sz w:val="19"/>
                <w:szCs w:val="19"/>
              </w:rPr>
              <w:t xml:space="preserve"> </w:t>
            </w:r>
            <w:r w:rsidR="00136C26" w:rsidRPr="000A3D69">
              <w:rPr>
                <w:rFonts w:ascii="Calibri" w:eastAsia="Times New Roman" w:hAnsi="Calibri"/>
                <w:sz w:val="19"/>
                <w:szCs w:val="19"/>
              </w:rPr>
              <w:t>billion, with a MAC of $1,</w:t>
            </w:r>
            <w:r w:rsidR="00E928A2">
              <w:rPr>
                <w:rFonts w:ascii="Calibri" w:eastAsia="Times New Roman" w:hAnsi="Calibri"/>
                <w:sz w:val="19"/>
                <w:szCs w:val="19"/>
              </w:rPr>
              <w:t>263</w:t>
            </w:r>
            <w:r w:rsidR="00136C26" w:rsidRPr="000A3D69">
              <w:rPr>
                <w:rFonts w:ascii="Calibri" w:eastAsia="Times New Roman" w:hAnsi="Calibri"/>
                <w:sz w:val="19"/>
                <w:szCs w:val="19"/>
              </w:rPr>
              <w:t>/tCO</w:t>
            </w:r>
            <w:r w:rsidR="00136C26" w:rsidRPr="000A3D69">
              <w:rPr>
                <w:rFonts w:ascii="Calibri" w:eastAsia="Times New Roman" w:hAnsi="Calibri"/>
                <w:sz w:val="19"/>
                <w:szCs w:val="19"/>
              </w:rPr>
              <w:softHyphen/>
            </w:r>
            <w:r w:rsidR="00136C26" w:rsidRPr="000A3D69">
              <w:rPr>
                <w:rFonts w:ascii="Calibri" w:eastAsia="Times New Roman" w:hAnsi="Calibri"/>
                <w:sz w:val="19"/>
                <w:szCs w:val="19"/>
                <w:vertAlign w:val="subscript"/>
              </w:rPr>
              <w:t>2</w:t>
            </w:r>
            <w:r w:rsidR="00136C26" w:rsidRPr="000A3D69">
              <w:rPr>
                <w:rFonts w:ascii="Calibri" w:eastAsia="Times New Roman" w:hAnsi="Calibri"/>
                <w:sz w:val="19"/>
                <w:szCs w:val="19"/>
              </w:rPr>
              <w:t xml:space="preserve"> for the shift from </w:t>
            </w:r>
            <w:r w:rsidR="0002533B">
              <w:rPr>
                <w:rFonts w:ascii="Calibri" w:eastAsia="Times New Roman" w:hAnsi="Calibri"/>
                <w:sz w:val="19"/>
                <w:szCs w:val="19"/>
              </w:rPr>
              <w:t>ICE</w:t>
            </w:r>
            <w:r w:rsidR="00136C26" w:rsidRPr="000A3D69">
              <w:rPr>
                <w:rFonts w:ascii="Calibri" w:eastAsia="Times New Roman" w:hAnsi="Calibri"/>
                <w:sz w:val="19"/>
                <w:szCs w:val="19"/>
              </w:rPr>
              <w:t xml:space="preserve"> to </w:t>
            </w:r>
            <w:r w:rsidR="00C3785D">
              <w:rPr>
                <w:rFonts w:ascii="Calibri" w:eastAsia="Times New Roman" w:hAnsi="Calibri"/>
                <w:sz w:val="19"/>
                <w:szCs w:val="19"/>
              </w:rPr>
              <w:t>electric motorcycles</w:t>
            </w:r>
            <w:r w:rsidR="00136C26" w:rsidRPr="000A3D69">
              <w:rPr>
                <w:rFonts w:ascii="Calibri" w:eastAsia="Times New Roman" w:hAnsi="Calibri"/>
                <w:sz w:val="19"/>
                <w:szCs w:val="19"/>
              </w:rPr>
              <w:t xml:space="preserve">, assuming a modest additional purchase cost of </w:t>
            </w:r>
            <w:r w:rsidR="00C3785D">
              <w:rPr>
                <w:rFonts w:ascii="Calibri" w:eastAsia="Times New Roman" w:hAnsi="Calibri"/>
                <w:sz w:val="19"/>
                <w:szCs w:val="19"/>
              </w:rPr>
              <w:t>electric</w:t>
            </w:r>
            <w:r w:rsidR="00136C26" w:rsidRPr="000A3D69">
              <w:rPr>
                <w:rFonts w:ascii="Calibri" w:eastAsia="Times New Roman" w:hAnsi="Calibri"/>
                <w:sz w:val="19"/>
                <w:szCs w:val="19"/>
              </w:rPr>
              <w:t xml:space="preserve"> motorcycles ($10,000 compared to $8,300 for </w:t>
            </w:r>
            <w:r w:rsidR="0002533B">
              <w:rPr>
                <w:rFonts w:ascii="Calibri" w:eastAsia="Times New Roman" w:hAnsi="Calibri"/>
                <w:sz w:val="19"/>
                <w:szCs w:val="19"/>
              </w:rPr>
              <w:t>ICE</w:t>
            </w:r>
            <w:r w:rsidR="00136C26" w:rsidRPr="000A3D69">
              <w:rPr>
                <w:rFonts w:ascii="Calibri" w:eastAsia="Times New Roman" w:hAnsi="Calibri"/>
                <w:sz w:val="19"/>
                <w:szCs w:val="19"/>
              </w:rPr>
              <w:t>) and no difference in O&amp;M costs.</w:t>
            </w:r>
          </w:p>
        </w:tc>
      </w:tr>
      <w:tr w:rsidR="00CF3228" w:rsidTr="000A3D69">
        <w:tc>
          <w:tcPr>
            <w:tcW w:w="3005" w:type="dxa"/>
          </w:tcPr>
          <w:p w:rsidR="00CF3228" w:rsidRPr="000A3D69" w:rsidRDefault="00BA01D4" w:rsidP="00570474">
            <w:pPr>
              <w:rPr>
                <w:rFonts w:ascii="Calibri" w:eastAsia="Times New Roman" w:hAnsi="Calibri"/>
                <w:sz w:val="19"/>
                <w:szCs w:val="19"/>
              </w:rPr>
            </w:pPr>
            <w:r w:rsidRPr="000A3D69">
              <w:rPr>
                <w:rFonts w:ascii="Calibri" w:eastAsia="Times New Roman" w:hAnsi="Calibri"/>
                <w:sz w:val="19"/>
                <w:szCs w:val="19"/>
              </w:rPr>
              <w:t>Increased share of nat</w:t>
            </w:r>
            <w:r w:rsidR="00C81712" w:rsidRPr="000A3D69">
              <w:rPr>
                <w:rFonts w:ascii="Calibri" w:eastAsia="Times New Roman" w:hAnsi="Calibri"/>
                <w:sz w:val="19"/>
                <w:szCs w:val="19"/>
              </w:rPr>
              <w:t xml:space="preserve">ural gas passenger cars, such that </w:t>
            </w:r>
            <w:r w:rsidR="00570474">
              <w:rPr>
                <w:rFonts w:ascii="Calibri" w:eastAsia="Times New Roman" w:hAnsi="Calibri"/>
                <w:sz w:val="19"/>
                <w:szCs w:val="19"/>
              </w:rPr>
              <w:t xml:space="preserve">liquefied petroleum gas </w:t>
            </w:r>
            <w:r w:rsidR="00C81712" w:rsidRPr="000A3D69">
              <w:rPr>
                <w:rFonts w:ascii="Calibri" w:eastAsia="Times New Roman" w:hAnsi="Calibri"/>
                <w:sz w:val="19"/>
                <w:szCs w:val="19"/>
              </w:rPr>
              <w:t xml:space="preserve">cars make up </w:t>
            </w:r>
            <w:r w:rsidR="001B2536" w:rsidRPr="000A3D69">
              <w:rPr>
                <w:rFonts w:ascii="Calibri" w:eastAsia="Times New Roman" w:hAnsi="Calibri"/>
                <w:sz w:val="19"/>
                <w:szCs w:val="19"/>
              </w:rPr>
              <w:t>80</w:t>
            </w:r>
            <w:r w:rsidR="00C81712" w:rsidRPr="000A3D69">
              <w:rPr>
                <w:rFonts w:ascii="Calibri" w:eastAsia="Times New Roman" w:hAnsi="Calibri"/>
                <w:sz w:val="19"/>
                <w:szCs w:val="19"/>
              </w:rPr>
              <w:t xml:space="preserve">% of </w:t>
            </w:r>
            <w:r w:rsidR="0002533B">
              <w:rPr>
                <w:rFonts w:ascii="Calibri" w:eastAsia="Times New Roman" w:hAnsi="Calibri"/>
                <w:sz w:val="19"/>
                <w:szCs w:val="19"/>
              </w:rPr>
              <w:t>ICE</w:t>
            </w:r>
            <w:r w:rsidR="00C81712" w:rsidRPr="000A3D69">
              <w:rPr>
                <w:rFonts w:ascii="Calibri" w:eastAsia="Times New Roman" w:hAnsi="Calibri"/>
                <w:sz w:val="19"/>
                <w:szCs w:val="19"/>
              </w:rPr>
              <w:t xml:space="preserve"> </w:t>
            </w:r>
            <w:r w:rsidR="00D843E3" w:rsidRPr="000A3D69">
              <w:rPr>
                <w:rFonts w:ascii="Calibri" w:eastAsia="Times New Roman" w:hAnsi="Calibri"/>
                <w:sz w:val="19"/>
                <w:szCs w:val="19"/>
              </w:rPr>
              <w:t xml:space="preserve">(non-hybrid) </w:t>
            </w:r>
            <w:r w:rsidR="00C81712" w:rsidRPr="000A3D69">
              <w:rPr>
                <w:rFonts w:ascii="Calibri" w:eastAsia="Times New Roman" w:hAnsi="Calibri"/>
                <w:sz w:val="19"/>
                <w:szCs w:val="19"/>
              </w:rPr>
              <w:t xml:space="preserve">drivetrain sales by 2050, growing linearly from </w:t>
            </w:r>
            <w:r w:rsidR="001B2536" w:rsidRPr="000A3D69">
              <w:rPr>
                <w:rFonts w:ascii="Calibri" w:eastAsia="Times New Roman" w:hAnsi="Calibri"/>
                <w:sz w:val="19"/>
                <w:szCs w:val="19"/>
              </w:rPr>
              <w:t>0</w:t>
            </w:r>
            <w:r w:rsidR="00C81712" w:rsidRPr="000A3D69">
              <w:rPr>
                <w:rFonts w:ascii="Calibri" w:eastAsia="Times New Roman" w:hAnsi="Calibri"/>
                <w:sz w:val="19"/>
                <w:szCs w:val="19"/>
              </w:rPr>
              <w:t>% in 20</w:t>
            </w:r>
            <w:r w:rsidR="001B2536" w:rsidRPr="000A3D69">
              <w:rPr>
                <w:rFonts w:ascii="Calibri" w:eastAsia="Times New Roman" w:hAnsi="Calibri"/>
                <w:sz w:val="19"/>
                <w:szCs w:val="19"/>
              </w:rPr>
              <w:t>1</w:t>
            </w:r>
            <w:r w:rsidR="00C81712" w:rsidRPr="000A3D69">
              <w:rPr>
                <w:rFonts w:ascii="Calibri" w:eastAsia="Times New Roman" w:hAnsi="Calibri"/>
                <w:sz w:val="19"/>
                <w:szCs w:val="19"/>
              </w:rPr>
              <w:t>0</w:t>
            </w:r>
            <w:r w:rsidR="00BD690C" w:rsidRPr="000A3D69">
              <w:rPr>
                <w:rFonts w:ascii="Calibri" w:eastAsia="Times New Roman" w:hAnsi="Calibri"/>
                <w:sz w:val="19"/>
                <w:szCs w:val="19"/>
              </w:rPr>
              <w:t xml:space="preserve">, to make up </w:t>
            </w:r>
            <w:r w:rsidR="00C6194F" w:rsidRPr="000A3D69">
              <w:rPr>
                <w:rFonts w:ascii="Calibri" w:eastAsia="Times New Roman" w:hAnsi="Calibri"/>
                <w:sz w:val="19"/>
                <w:szCs w:val="19"/>
              </w:rPr>
              <w:t>12%</w:t>
            </w:r>
            <w:r w:rsidR="00BD690C" w:rsidRPr="000A3D69">
              <w:rPr>
                <w:rFonts w:ascii="Calibri" w:eastAsia="Times New Roman" w:hAnsi="Calibri"/>
                <w:sz w:val="19"/>
                <w:szCs w:val="19"/>
              </w:rPr>
              <w:t xml:space="preserve"> of all cars by 2050. </w:t>
            </w:r>
          </w:p>
        </w:tc>
        <w:tc>
          <w:tcPr>
            <w:tcW w:w="3005" w:type="dxa"/>
          </w:tcPr>
          <w:p w:rsidR="00CF3228" w:rsidRPr="000A3D69" w:rsidRDefault="00D843E3" w:rsidP="00C6194F">
            <w:pPr>
              <w:rPr>
                <w:rFonts w:ascii="Calibri" w:eastAsia="Times New Roman" w:hAnsi="Calibri"/>
                <w:sz w:val="19"/>
                <w:szCs w:val="19"/>
              </w:rPr>
            </w:pPr>
            <w:r w:rsidRPr="000A3D69">
              <w:rPr>
                <w:rFonts w:ascii="Calibri" w:eastAsia="Times New Roman" w:hAnsi="Calibri"/>
                <w:sz w:val="19"/>
                <w:szCs w:val="19"/>
              </w:rPr>
              <w:t xml:space="preserve">China 2050 Pathways calculator </w:t>
            </w:r>
            <w:r w:rsidR="00547F72" w:rsidRPr="00A35086">
              <w:rPr>
                <w:rFonts w:ascii="Calibri" w:hAnsi="Calibri"/>
              </w:rPr>
              <w:t>[21]</w:t>
            </w:r>
            <w:r w:rsidR="00570474">
              <w:rPr>
                <w:rFonts w:ascii="Calibri" w:eastAsia="Times New Roman" w:hAnsi="Calibri"/>
                <w:sz w:val="19"/>
                <w:szCs w:val="19"/>
              </w:rPr>
              <w:t xml:space="preserve"> </w:t>
            </w:r>
            <w:r w:rsidRPr="000A3D69">
              <w:rPr>
                <w:rFonts w:ascii="Calibri" w:eastAsia="Times New Roman" w:hAnsi="Calibri"/>
                <w:sz w:val="19"/>
                <w:szCs w:val="19"/>
              </w:rPr>
              <w:t>has 25% of cars powered by natural gas by 2050 in its mo</w:t>
            </w:r>
            <w:r w:rsidR="00C6194F" w:rsidRPr="000A3D69">
              <w:rPr>
                <w:rFonts w:ascii="Calibri" w:eastAsia="Times New Roman" w:hAnsi="Calibri"/>
                <w:sz w:val="19"/>
                <w:szCs w:val="19"/>
              </w:rPr>
              <w:t xml:space="preserve">st ambitious low-carbon option, whereas the central case in this study has virtually zero. </w:t>
            </w:r>
          </w:p>
        </w:tc>
        <w:tc>
          <w:tcPr>
            <w:tcW w:w="3006" w:type="dxa"/>
          </w:tcPr>
          <w:p w:rsidR="00CF3228" w:rsidRPr="000A3D69" w:rsidRDefault="00703A17" w:rsidP="00C86718">
            <w:pPr>
              <w:rPr>
                <w:rFonts w:ascii="Calibri" w:eastAsia="Times New Roman" w:hAnsi="Calibri"/>
                <w:sz w:val="19"/>
                <w:szCs w:val="19"/>
              </w:rPr>
            </w:pPr>
            <w:r w:rsidRPr="000A3D69">
              <w:rPr>
                <w:rFonts w:ascii="Calibri" w:eastAsia="Times New Roman" w:hAnsi="Calibri"/>
                <w:sz w:val="19"/>
                <w:szCs w:val="19"/>
              </w:rPr>
              <w:t>CO</w:t>
            </w:r>
            <w:r w:rsidRPr="000A3D69">
              <w:rPr>
                <w:rFonts w:ascii="Calibri" w:eastAsia="Times New Roman" w:hAnsi="Calibri"/>
                <w:sz w:val="19"/>
                <w:szCs w:val="19"/>
                <w:vertAlign w:val="subscript"/>
              </w:rPr>
              <w:t>2</w:t>
            </w:r>
            <w:r w:rsidRPr="000A3D69">
              <w:rPr>
                <w:rFonts w:ascii="Calibri" w:eastAsia="Times New Roman" w:hAnsi="Calibri"/>
                <w:sz w:val="19"/>
                <w:szCs w:val="19"/>
              </w:rPr>
              <w:t xml:space="preserve"> e</w:t>
            </w:r>
            <w:r w:rsidR="00D843E3" w:rsidRPr="000A3D69">
              <w:rPr>
                <w:rFonts w:ascii="Calibri" w:eastAsia="Times New Roman" w:hAnsi="Calibri"/>
                <w:sz w:val="19"/>
                <w:szCs w:val="19"/>
              </w:rPr>
              <w:t xml:space="preserve">missions reductions increase from 839 to </w:t>
            </w:r>
            <w:r w:rsidR="00C86718" w:rsidRPr="000A3D69">
              <w:rPr>
                <w:rFonts w:ascii="Calibri" w:eastAsia="Times New Roman" w:hAnsi="Calibri"/>
                <w:sz w:val="19"/>
                <w:szCs w:val="19"/>
              </w:rPr>
              <w:t>8</w:t>
            </w:r>
            <w:r w:rsidR="00C86718">
              <w:rPr>
                <w:rFonts w:ascii="Calibri" w:eastAsia="Times New Roman" w:hAnsi="Calibri"/>
                <w:sz w:val="19"/>
                <w:szCs w:val="19"/>
              </w:rPr>
              <w:t>75</w:t>
            </w:r>
            <w:r w:rsidR="00C86718" w:rsidRPr="000A3D69">
              <w:rPr>
                <w:rFonts w:ascii="Calibri" w:eastAsia="Times New Roman" w:hAnsi="Calibri"/>
                <w:sz w:val="19"/>
                <w:szCs w:val="19"/>
              </w:rPr>
              <w:t xml:space="preserve"> </w:t>
            </w:r>
            <w:r w:rsidR="00D843E3" w:rsidRPr="000A3D69">
              <w:rPr>
                <w:rFonts w:ascii="Calibri" w:eastAsia="Times New Roman" w:hAnsi="Calibri"/>
                <w:sz w:val="19"/>
                <w:szCs w:val="19"/>
              </w:rPr>
              <w:t>MtCO</w:t>
            </w:r>
            <w:r w:rsidR="00D843E3" w:rsidRPr="000A3D69">
              <w:rPr>
                <w:rFonts w:ascii="Calibri" w:eastAsia="Times New Roman" w:hAnsi="Calibri"/>
                <w:sz w:val="19"/>
                <w:szCs w:val="19"/>
                <w:vertAlign w:val="subscript"/>
              </w:rPr>
              <w:t>2</w:t>
            </w:r>
            <w:r w:rsidR="00D843E3" w:rsidRPr="000A3D69">
              <w:rPr>
                <w:rFonts w:ascii="Calibri" w:eastAsia="Times New Roman" w:hAnsi="Calibri"/>
                <w:sz w:val="19"/>
                <w:szCs w:val="19"/>
              </w:rPr>
              <w:t xml:space="preserve"> with total additional low-carbon road transport sector costs </w:t>
            </w:r>
            <w:r w:rsidR="00C86718">
              <w:rPr>
                <w:rFonts w:ascii="Calibri" w:eastAsia="Times New Roman" w:hAnsi="Calibri"/>
                <w:sz w:val="19"/>
                <w:szCs w:val="19"/>
              </w:rPr>
              <w:t>de</w:t>
            </w:r>
            <w:r w:rsidR="00C86718" w:rsidRPr="000A3D69">
              <w:rPr>
                <w:rFonts w:ascii="Calibri" w:eastAsia="Times New Roman" w:hAnsi="Calibri"/>
                <w:sz w:val="19"/>
                <w:szCs w:val="19"/>
              </w:rPr>
              <w:t xml:space="preserve">creasing </w:t>
            </w:r>
            <w:r w:rsidR="00D843E3" w:rsidRPr="000A3D69">
              <w:rPr>
                <w:rFonts w:ascii="Calibri" w:eastAsia="Times New Roman" w:hAnsi="Calibri"/>
                <w:sz w:val="19"/>
                <w:szCs w:val="19"/>
              </w:rPr>
              <w:t>from $</w:t>
            </w:r>
            <w:r w:rsidR="00C86718">
              <w:rPr>
                <w:rFonts w:ascii="Calibri" w:eastAsia="Times New Roman" w:hAnsi="Calibri"/>
                <w:sz w:val="19"/>
                <w:szCs w:val="19"/>
              </w:rPr>
              <w:t>64</w:t>
            </w:r>
            <w:r w:rsidR="00C86718" w:rsidRPr="000A3D69">
              <w:rPr>
                <w:rFonts w:ascii="Calibri" w:eastAsia="Times New Roman" w:hAnsi="Calibri"/>
                <w:sz w:val="19"/>
                <w:szCs w:val="19"/>
              </w:rPr>
              <w:t xml:space="preserve"> </w:t>
            </w:r>
            <w:r w:rsidR="00D843E3" w:rsidRPr="000A3D69">
              <w:rPr>
                <w:rFonts w:ascii="Calibri" w:eastAsia="Times New Roman" w:hAnsi="Calibri"/>
                <w:sz w:val="19"/>
                <w:szCs w:val="19"/>
              </w:rPr>
              <w:t>billion to $</w:t>
            </w:r>
            <w:r w:rsidR="00C86718">
              <w:rPr>
                <w:rFonts w:ascii="Calibri" w:eastAsia="Times New Roman" w:hAnsi="Calibri"/>
                <w:sz w:val="19"/>
                <w:szCs w:val="19"/>
              </w:rPr>
              <w:t>58</w:t>
            </w:r>
            <w:r w:rsidR="00C86718" w:rsidRPr="000A3D69">
              <w:rPr>
                <w:rFonts w:ascii="Calibri" w:eastAsia="Times New Roman" w:hAnsi="Calibri"/>
                <w:sz w:val="19"/>
                <w:szCs w:val="19"/>
              </w:rPr>
              <w:t xml:space="preserve"> </w:t>
            </w:r>
            <w:r w:rsidR="00D843E3" w:rsidRPr="000A3D69">
              <w:rPr>
                <w:rFonts w:ascii="Calibri" w:eastAsia="Times New Roman" w:hAnsi="Calibri"/>
                <w:sz w:val="19"/>
                <w:szCs w:val="19"/>
              </w:rPr>
              <w:t xml:space="preserve">billion. </w:t>
            </w:r>
            <w:r w:rsidR="00C6194F" w:rsidRPr="000A3D69">
              <w:rPr>
                <w:rFonts w:ascii="Calibri" w:eastAsia="Times New Roman" w:hAnsi="Calibri"/>
                <w:sz w:val="19"/>
                <w:szCs w:val="19"/>
              </w:rPr>
              <w:t xml:space="preserve">MAC of </w:t>
            </w:r>
            <w:r w:rsidR="00570474">
              <w:rPr>
                <w:rFonts w:ascii="Calibri" w:eastAsia="Times New Roman" w:hAnsi="Calibri"/>
                <w:sz w:val="19"/>
                <w:szCs w:val="19"/>
              </w:rPr>
              <w:t>liquefied petroleum gas</w:t>
            </w:r>
            <w:r w:rsidR="00C6194F" w:rsidRPr="000A3D69">
              <w:rPr>
                <w:rFonts w:ascii="Calibri" w:eastAsia="Times New Roman" w:hAnsi="Calibri"/>
                <w:sz w:val="19"/>
                <w:szCs w:val="19"/>
              </w:rPr>
              <w:t xml:space="preserve"> vehicles is $</w:t>
            </w:r>
            <w:r w:rsidR="00C86718">
              <w:rPr>
                <w:rFonts w:ascii="Calibri" w:eastAsia="Times New Roman" w:hAnsi="Calibri"/>
                <w:sz w:val="19"/>
                <w:szCs w:val="19"/>
              </w:rPr>
              <w:t>69</w:t>
            </w:r>
            <w:r w:rsidR="00C6194F" w:rsidRPr="000A3D69">
              <w:rPr>
                <w:rFonts w:ascii="Calibri" w:eastAsia="Times New Roman" w:hAnsi="Calibri"/>
                <w:sz w:val="19"/>
                <w:szCs w:val="19"/>
              </w:rPr>
              <w:t>/tCO</w:t>
            </w:r>
            <w:r w:rsidR="00C6194F" w:rsidRPr="000A3D69">
              <w:rPr>
                <w:rFonts w:ascii="Calibri" w:eastAsia="Times New Roman" w:hAnsi="Calibri"/>
                <w:sz w:val="19"/>
                <w:szCs w:val="19"/>
                <w:vertAlign w:val="subscript"/>
              </w:rPr>
              <w:t>2</w:t>
            </w:r>
            <w:r w:rsidR="00C6194F" w:rsidRPr="000A3D69">
              <w:rPr>
                <w:rFonts w:ascii="Calibri" w:eastAsia="Times New Roman" w:hAnsi="Calibri"/>
                <w:sz w:val="19"/>
                <w:szCs w:val="19"/>
              </w:rPr>
              <w:t xml:space="preserve">. </w:t>
            </w:r>
          </w:p>
        </w:tc>
      </w:tr>
      <w:tr w:rsidR="00363D77" w:rsidRPr="00D843E3" w:rsidTr="000A3D69">
        <w:trPr>
          <w:trHeight w:val="1664"/>
        </w:trPr>
        <w:tc>
          <w:tcPr>
            <w:tcW w:w="3005" w:type="dxa"/>
          </w:tcPr>
          <w:p w:rsidR="00363D77" w:rsidRPr="000A3D69" w:rsidRDefault="00363D77" w:rsidP="00363D77">
            <w:pPr>
              <w:rPr>
                <w:rFonts w:ascii="Calibri" w:eastAsia="Times New Roman" w:hAnsi="Calibri"/>
                <w:sz w:val="19"/>
                <w:szCs w:val="19"/>
              </w:rPr>
            </w:pPr>
            <w:r w:rsidRPr="000A3D69">
              <w:rPr>
                <w:rFonts w:ascii="Calibri" w:eastAsia="Times New Roman" w:hAnsi="Calibri"/>
                <w:sz w:val="19"/>
                <w:szCs w:val="19"/>
              </w:rPr>
              <w:t xml:space="preserve">Increased fuel efficiency of passenger cars in the low-carbon scenario, with all vehicle efficiencies improving at 1.3% </w:t>
            </w:r>
            <w:r w:rsidR="002A094B">
              <w:rPr>
                <w:rFonts w:ascii="Calibri" w:eastAsia="Times New Roman" w:hAnsi="Calibri"/>
                <w:sz w:val="19"/>
                <w:szCs w:val="19"/>
              </w:rPr>
              <w:t>(1.5% for diesel)</w:t>
            </w:r>
            <w:r w:rsidR="004C1F14">
              <w:rPr>
                <w:rFonts w:ascii="Calibri" w:eastAsia="Times New Roman" w:hAnsi="Calibri"/>
                <w:sz w:val="19"/>
                <w:szCs w:val="19"/>
              </w:rPr>
              <w:t xml:space="preserve"> </w:t>
            </w:r>
            <w:r w:rsidRPr="000A3D69">
              <w:rPr>
                <w:rFonts w:ascii="Calibri" w:eastAsia="Times New Roman" w:hAnsi="Calibri"/>
                <w:sz w:val="19"/>
                <w:szCs w:val="19"/>
              </w:rPr>
              <w:t xml:space="preserve">per annum between 2030 and 2050. </w:t>
            </w:r>
          </w:p>
        </w:tc>
        <w:tc>
          <w:tcPr>
            <w:tcW w:w="3005" w:type="dxa"/>
          </w:tcPr>
          <w:p w:rsidR="00363D77" w:rsidRPr="000A3D69" w:rsidRDefault="00363D77" w:rsidP="00363D77">
            <w:pPr>
              <w:rPr>
                <w:rFonts w:ascii="Calibri" w:eastAsia="Times New Roman" w:hAnsi="Calibri"/>
                <w:sz w:val="19"/>
                <w:szCs w:val="19"/>
              </w:rPr>
            </w:pPr>
            <w:r w:rsidRPr="000A3D69">
              <w:rPr>
                <w:rFonts w:ascii="Calibri" w:eastAsia="Times New Roman" w:hAnsi="Calibri"/>
                <w:sz w:val="19"/>
                <w:szCs w:val="19"/>
              </w:rPr>
              <w:t>Central case assumes no efficiency improvements beyond 2030</w:t>
            </w:r>
            <w:r w:rsidR="002A094B">
              <w:rPr>
                <w:rFonts w:ascii="Calibri" w:eastAsia="Times New Roman" w:hAnsi="Calibri"/>
                <w:sz w:val="19"/>
                <w:szCs w:val="19"/>
              </w:rPr>
              <w:t>, so this case continues the pre-2030 rate of annual efficiency improvements to 2050</w:t>
            </w:r>
            <w:r w:rsidRPr="000A3D69">
              <w:rPr>
                <w:rFonts w:ascii="Calibri" w:eastAsia="Times New Roman" w:hAnsi="Calibri"/>
                <w:sz w:val="19"/>
                <w:szCs w:val="19"/>
              </w:rPr>
              <w:t xml:space="preserve">. </w:t>
            </w:r>
          </w:p>
        </w:tc>
        <w:tc>
          <w:tcPr>
            <w:tcW w:w="3006" w:type="dxa"/>
          </w:tcPr>
          <w:p w:rsidR="00363D77" w:rsidRPr="000A3D69" w:rsidRDefault="00703A17" w:rsidP="009A6AF0">
            <w:pPr>
              <w:rPr>
                <w:rFonts w:ascii="Calibri" w:eastAsia="Times New Roman" w:hAnsi="Calibri"/>
                <w:sz w:val="19"/>
                <w:szCs w:val="19"/>
              </w:rPr>
            </w:pPr>
            <w:r w:rsidRPr="000A3D69">
              <w:rPr>
                <w:rFonts w:ascii="Calibri" w:eastAsia="Times New Roman" w:hAnsi="Calibri"/>
                <w:sz w:val="19"/>
                <w:szCs w:val="19"/>
              </w:rPr>
              <w:t>CO</w:t>
            </w:r>
            <w:r w:rsidRPr="000A3D69">
              <w:rPr>
                <w:rFonts w:ascii="Calibri" w:eastAsia="Times New Roman" w:hAnsi="Calibri"/>
                <w:sz w:val="19"/>
                <w:szCs w:val="19"/>
                <w:vertAlign w:val="subscript"/>
              </w:rPr>
              <w:t>2</w:t>
            </w:r>
            <w:r w:rsidRPr="000A3D69">
              <w:rPr>
                <w:rFonts w:ascii="Calibri" w:eastAsia="Times New Roman" w:hAnsi="Calibri"/>
                <w:sz w:val="19"/>
                <w:szCs w:val="19"/>
              </w:rPr>
              <w:t xml:space="preserve"> e</w:t>
            </w:r>
            <w:r w:rsidR="00363D77" w:rsidRPr="000A3D69">
              <w:rPr>
                <w:rFonts w:ascii="Calibri" w:eastAsia="Times New Roman" w:hAnsi="Calibri"/>
                <w:sz w:val="19"/>
                <w:szCs w:val="19"/>
              </w:rPr>
              <w:t xml:space="preserve">missions reductions increase from 839 to </w:t>
            </w:r>
            <w:r w:rsidR="002A094B" w:rsidRPr="000A3D69">
              <w:rPr>
                <w:rFonts w:ascii="Calibri" w:eastAsia="Times New Roman" w:hAnsi="Calibri"/>
                <w:sz w:val="19"/>
                <w:szCs w:val="19"/>
              </w:rPr>
              <w:t>92</w:t>
            </w:r>
            <w:r w:rsidR="009A6AF0">
              <w:rPr>
                <w:rFonts w:ascii="Calibri" w:eastAsia="Times New Roman" w:hAnsi="Calibri"/>
                <w:sz w:val="19"/>
                <w:szCs w:val="19"/>
              </w:rPr>
              <w:t>4</w:t>
            </w:r>
            <w:r w:rsidR="002A094B" w:rsidRPr="000A3D69">
              <w:rPr>
                <w:rFonts w:ascii="Calibri" w:eastAsia="Times New Roman" w:hAnsi="Calibri"/>
                <w:sz w:val="19"/>
                <w:szCs w:val="19"/>
              </w:rPr>
              <w:t xml:space="preserve"> </w:t>
            </w:r>
            <w:r w:rsidR="00363D77" w:rsidRPr="000A3D69">
              <w:rPr>
                <w:rFonts w:ascii="Calibri" w:eastAsia="Times New Roman" w:hAnsi="Calibri"/>
                <w:sz w:val="19"/>
                <w:szCs w:val="19"/>
              </w:rPr>
              <w:t>MtCO</w:t>
            </w:r>
            <w:r w:rsidR="00363D77" w:rsidRPr="000A3D69">
              <w:rPr>
                <w:rFonts w:ascii="Calibri" w:eastAsia="Times New Roman" w:hAnsi="Calibri"/>
                <w:sz w:val="19"/>
                <w:szCs w:val="19"/>
                <w:vertAlign w:val="subscript"/>
              </w:rPr>
              <w:t>2</w:t>
            </w:r>
            <w:r w:rsidR="00363D77" w:rsidRPr="000A3D69">
              <w:rPr>
                <w:rFonts w:ascii="Calibri" w:eastAsia="Times New Roman" w:hAnsi="Calibri"/>
                <w:sz w:val="19"/>
                <w:szCs w:val="19"/>
              </w:rPr>
              <w:t xml:space="preserve"> and total additional cost of low-carbon scenario falls from $</w:t>
            </w:r>
            <w:r w:rsidR="002A094B">
              <w:rPr>
                <w:rFonts w:ascii="Calibri" w:eastAsia="Times New Roman" w:hAnsi="Calibri"/>
                <w:sz w:val="19"/>
                <w:szCs w:val="19"/>
              </w:rPr>
              <w:t>64</w:t>
            </w:r>
            <w:r w:rsidR="002A094B" w:rsidRPr="000A3D69">
              <w:rPr>
                <w:rFonts w:ascii="Calibri" w:eastAsia="Times New Roman" w:hAnsi="Calibri"/>
                <w:sz w:val="19"/>
                <w:szCs w:val="19"/>
              </w:rPr>
              <w:t xml:space="preserve"> </w:t>
            </w:r>
            <w:r w:rsidR="00363D77" w:rsidRPr="000A3D69">
              <w:rPr>
                <w:rFonts w:ascii="Calibri" w:eastAsia="Times New Roman" w:hAnsi="Calibri"/>
                <w:sz w:val="19"/>
                <w:szCs w:val="19"/>
              </w:rPr>
              <w:t>billion to $</w:t>
            </w:r>
            <w:r w:rsidR="002A094B">
              <w:rPr>
                <w:rFonts w:ascii="Calibri" w:eastAsia="Times New Roman" w:hAnsi="Calibri"/>
                <w:sz w:val="19"/>
                <w:szCs w:val="19"/>
              </w:rPr>
              <w:t>35</w:t>
            </w:r>
            <w:r w:rsidR="00363D77" w:rsidRPr="000A3D69">
              <w:rPr>
                <w:rFonts w:ascii="Calibri" w:eastAsia="Times New Roman" w:hAnsi="Calibri"/>
                <w:sz w:val="19"/>
                <w:szCs w:val="19"/>
              </w:rPr>
              <w:t xml:space="preserve"> billion in 2050. </w:t>
            </w:r>
            <w:r w:rsidR="00C6194F" w:rsidRPr="000A3D69">
              <w:rPr>
                <w:rFonts w:ascii="Calibri" w:eastAsia="Times New Roman" w:hAnsi="Calibri"/>
                <w:sz w:val="19"/>
                <w:szCs w:val="19"/>
              </w:rPr>
              <w:t>Average MAC of energy efficiency improvements is -$</w:t>
            </w:r>
            <w:r w:rsidR="002A094B">
              <w:rPr>
                <w:rFonts w:ascii="Calibri" w:eastAsia="Times New Roman" w:hAnsi="Calibri"/>
                <w:sz w:val="19"/>
                <w:szCs w:val="19"/>
              </w:rPr>
              <w:t>200</w:t>
            </w:r>
            <w:r w:rsidR="00C6194F" w:rsidRPr="000A3D69">
              <w:rPr>
                <w:rFonts w:ascii="Calibri" w:eastAsia="Times New Roman" w:hAnsi="Calibri"/>
                <w:sz w:val="19"/>
                <w:szCs w:val="19"/>
              </w:rPr>
              <w:t>/tCO</w:t>
            </w:r>
            <w:r w:rsidR="00C6194F" w:rsidRPr="000A3D69">
              <w:rPr>
                <w:rFonts w:ascii="Calibri" w:eastAsia="Times New Roman" w:hAnsi="Calibri"/>
                <w:sz w:val="19"/>
                <w:szCs w:val="19"/>
                <w:vertAlign w:val="subscript"/>
              </w:rPr>
              <w:t>2</w:t>
            </w:r>
            <w:r w:rsidR="002A094B">
              <w:rPr>
                <w:rFonts w:ascii="Calibri" w:eastAsia="Times New Roman" w:hAnsi="Calibri"/>
                <w:sz w:val="19"/>
                <w:szCs w:val="19"/>
              </w:rPr>
              <w:t xml:space="preserve"> for diesel and gasoline cars</w:t>
            </w:r>
          </w:p>
        </w:tc>
      </w:tr>
      <w:tr w:rsidR="00B82B74" w:rsidRPr="00C6194F" w:rsidTr="000A3D69">
        <w:trPr>
          <w:trHeight w:val="1664"/>
        </w:trPr>
        <w:tc>
          <w:tcPr>
            <w:tcW w:w="3005" w:type="dxa"/>
          </w:tcPr>
          <w:p w:rsidR="00B82B74" w:rsidRPr="000A3D69" w:rsidRDefault="00B82B74" w:rsidP="00D633A5">
            <w:pPr>
              <w:rPr>
                <w:rFonts w:ascii="Calibri" w:eastAsia="Times New Roman" w:hAnsi="Calibri"/>
                <w:sz w:val="19"/>
                <w:szCs w:val="19"/>
              </w:rPr>
            </w:pPr>
            <w:r w:rsidRPr="000A3D69">
              <w:rPr>
                <w:rFonts w:ascii="Calibri" w:eastAsia="Times New Roman" w:hAnsi="Calibri"/>
                <w:sz w:val="19"/>
                <w:szCs w:val="19"/>
              </w:rPr>
              <w:t xml:space="preserve">Increased </w:t>
            </w:r>
            <w:r w:rsidR="00703A17" w:rsidRPr="000A3D69">
              <w:rPr>
                <w:rFonts w:ascii="Calibri" w:eastAsia="Times New Roman" w:hAnsi="Calibri"/>
                <w:sz w:val="19"/>
                <w:szCs w:val="19"/>
              </w:rPr>
              <w:t>CO</w:t>
            </w:r>
            <w:r w:rsidR="00703A17" w:rsidRPr="000A3D69">
              <w:rPr>
                <w:rFonts w:ascii="Calibri" w:eastAsia="Times New Roman" w:hAnsi="Calibri"/>
                <w:sz w:val="19"/>
                <w:szCs w:val="19"/>
                <w:vertAlign w:val="subscript"/>
              </w:rPr>
              <w:t>2</w:t>
            </w:r>
            <w:r w:rsidR="00703A17" w:rsidRPr="000A3D69">
              <w:rPr>
                <w:rFonts w:ascii="Calibri" w:eastAsia="Times New Roman" w:hAnsi="Calibri"/>
                <w:sz w:val="19"/>
                <w:szCs w:val="19"/>
              </w:rPr>
              <w:t xml:space="preserve"> </w:t>
            </w:r>
            <w:r w:rsidRPr="000A3D69">
              <w:rPr>
                <w:rFonts w:ascii="Calibri" w:eastAsia="Times New Roman" w:hAnsi="Calibri"/>
                <w:sz w:val="19"/>
                <w:szCs w:val="19"/>
              </w:rPr>
              <w:t xml:space="preserve">emissions factors of </w:t>
            </w:r>
            <w:r w:rsidR="00D633A5" w:rsidRPr="000A3D69">
              <w:rPr>
                <w:rFonts w:ascii="Calibri" w:eastAsia="Times New Roman" w:hAnsi="Calibri"/>
                <w:sz w:val="19"/>
                <w:szCs w:val="19"/>
              </w:rPr>
              <w:t>second generation biofuels such that both bioethanol and biodiesel have well-to-wheels factor of 50gCO</w:t>
            </w:r>
            <w:r w:rsidR="00D633A5" w:rsidRPr="000A3D69">
              <w:rPr>
                <w:rFonts w:ascii="Calibri" w:eastAsia="Times New Roman" w:hAnsi="Calibri"/>
                <w:sz w:val="19"/>
                <w:szCs w:val="19"/>
                <w:vertAlign w:val="subscript"/>
              </w:rPr>
              <w:t>2</w:t>
            </w:r>
            <w:r w:rsidR="00D633A5" w:rsidRPr="000A3D69">
              <w:rPr>
                <w:rFonts w:ascii="Calibri" w:eastAsia="Times New Roman" w:hAnsi="Calibri"/>
                <w:sz w:val="19"/>
                <w:szCs w:val="19"/>
              </w:rPr>
              <w:t>/MJ (as opposed to 1-4gCO</w:t>
            </w:r>
            <w:r w:rsidR="00D633A5" w:rsidRPr="000A3D69">
              <w:rPr>
                <w:rFonts w:ascii="Calibri" w:eastAsia="Times New Roman" w:hAnsi="Calibri"/>
                <w:sz w:val="19"/>
                <w:szCs w:val="19"/>
                <w:vertAlign w:val="subscript"/>
              </w:rPr>
              <w:t>2</w:t>
            </w:r>
            <w:r w:rsidR="00D633A5" w:rsidRPr="000A3D69">
              <w:rPr>
                <w:rFonts w:ascii="Calibri" w:eastAsia="Times New Roman" w:hAnsi="Calibri"/>
                <w:sz w:val="19"/>
                <w:szCs w:val="19"/>
              </w:rPr>
              <w:t>/MJ in central case)</w:t>
            </w:r>
          </w:p>
        </w:tc>
        <w:tc>
          <w:tcPr>
            <w:tcW w:w="3005" w:type="dxa"/>
          </w:tcPr>
          <w:p w:rsidR="00B82B74" w:rsidRPr="000A3D69" w:rsidRDefault="00D633A5" w:rsidP="00D633A5">
            <w:pPr>
              <w:rPr>
                <w:rFonts w:ascii="Calibri" w:eastAsia="Times New Roman" w:hAnsi="Calibri"/>
                <w:sz w:val="19"/>
                <w:szCs w:val="19"/>
              </w:rPr>
            </w:pPr>
            <w:r w:rsidRPr="000A3D69">
              <w:rPr>
                <w:rFonts w:ascii="Calibri" w:eastAsia="Times New Roman" w:hAnsi="Calibri"/>
                <w:sz w:val="19"/>
                <w:szCs w:val="19"/>
              </w:rPr>
              <w:t xml:space="preserve">Conservative assumption to explore the impact of failing to achieve virtual carbon neutrality in biofuel production. </w:t>
            </w:r>
          </w:p>
        </w:tc>
        <w:tc>
          <w:tcPr>
            <w:tcW w:w="3006" w:type="dxa"/>
          </w:tcPr>
          <w:p w:rsidR="00B82B74" w:rsidRPr="000A3D69" w:rsidRDefault="00703A17" w:rsidP="004C1F14">
            <w:pPr>
              <w:rPr>
                <w:rFonts w:ascii="Calibri" w:eastAsia="Times New Roman" w:hAnsi="Calibri"/>
                <w:sz w:val="19"/>
                <w:szCs w:val="19"/>
              </w:rPr>
            </w:pPr>
            <w:r w:rsidRPr="000A3D69">
              <w:rPr>
                <w:rFonts w:ascii="Calibri" w:eastAsia="Times New Roman" w:hAnsi="Calibri"/>
                <w:sz w:val="19"/>
                <w:szCs w:val="19"/>
              </w:rPr>
              <w:t>CO</w:t>
            </w:r>
            <w:r w:rsidRPr="000A3D69">
              <w:rPr>
                <w:rFonts w:ascii="Calibri" w:eastAsia="Times New Roman" w:hAnsi="Calibri"/>
                <w:sz w:val="19"/>
                <w:szCs w:val="19"/>
                <w:vertAlign w:val="subscript"/>
              </w:rPr>
              <w:t>2</w:t>
            </w:r>
            <w:r w:rsidRPr="000A3D69">
              <w:rPr>
                <w:rFonts w:ascii="Calibri" w:eastAsia="Times New Roman" w:hAnsi="Calibri"/>
                <w:sz w:val="19"/>
                <w:szCs w:val="19"/>
              </w:rPr>
              <w:t xml:space="preserve"> e</w:t>
            </w:r>
            <w:r w:rsidR="00B82B74" w:rsidRPr="000A3D69">
              <w:rPr>
                <w:rFonts w:ascii="Calibri" w:eastAsia="Times New Roman" w:hAnsi="Calibri"/>
                <w:sz w:val="19"/>
                <w:szCs w:val="19"/>
              </w:rPr>
              <w:t xml:space="preserve">missions reductions </w:t>
            </w:r>
            <w:r w:rsidR="00D633A5" w:rsidRPr="000A3D69">
              <w:rPr>
                <w:rFonts w:ascii="Calibri" w:eastAsia="Times New Roman" w:hAnsi="Calibri"/>
                <w:sz w:val="19"/>
                <w:szCs w:val="19"/>
              </w:rPr>
              <w:t>fall</w:t>
            </w:r>
            <w:r w:rsidR="00B82B74" w:rsidRPr="000A3D69">
              <w:rPr>
                <w:rFonts w:ascii="Calibri" w:eastAsia="Times New Roman" w:hAnsi="Calibri"/>
                <w:sz w:val="19"/>
                <w:szCs w:val="19"/>
              </w:rPr>
              <w:t xml:space="preserve"> from 839 to </w:t>
            </w:r>
            <w:r w:rsidR="00FC5AB3" w:rsidRPr="000A3D69">
              <w:rPr>
                <w:rFonts w:ascii="Calibri" w:eastAsia="Times New Roman" w:hAnsi="Calibri"/>
                <w:sz w:val="19"/>
                <w:szCs w:val="19"/>
              </w:rPr>
              <w:t>762</w:t>
            </w:r>
            <w:r w:rsidR="00B82B74" w:rsidRPr="000A3D69">
              <w:rPr>
                <w:rFonts w:ascii="Calibri" w:eastAsia="Times New Roman" w:hAnsi="Calibri"/>
                <w:sz w:val="19"/>
                <w:szCs w:val="19"/>
              </w:rPr>
              <w:t xml:space="preserve"> MtCO</w:t>
            </w:r>
            <w:r w:rsidR="00B82B74" w:rsidRPr="000A3D69">
              <w:rPr>
                <w:rFonts w:ascii="Calibri" w:eastAsia="Times New Roman" w:hAnsi="Calibri"/>
                <w:sz w:val="19"/>
                <w:szCs w:val="19"/>
                <w:vertAlign w:val="subscript"/>
              </w:rPr>
              <w:t>2</w:t>
            </w:r>
            <w:r w:rsidR="00B82B74" w:rsidRPr="000A3D69">
              <w:rPr>
                <w:rFonts w:ascii="Calibri" w:eastAsia="Times New Roman" w:hAnsi="Calibri"/>
                <w:sz w:val="19"/>
                <w:szCs w:val="19"/>
              </w:rPr>
              <w:t xml:space="preserve"> and </w:t>
            </w:r>
            <w:r w:rsidR="00FC5AB3" w:rsidRPr="000A3D69">
              <w:rPr>
                <w:rFonts w:ascii="Calibri" w:eastAsia="Times New Roman" w:hAnsi="Calibri"/>
                <w:sz w:val="19"/>
                <w:szCs w:val="19"/>
              </w:rPr>
              <w:t>a</w:t>
            </w:r>
            <w:r w:rsidR="00B82B74" w:rsidRPr="000A3D69">
              <w:rPr>
                <w:rFonts w:ascii="Calibri" w:eastAsia="Times New Roman" w:hAnsi="Calibri"/>
                <w:sz w:val="19"/>
                <w:szCs w:val="19"/>
              </w:rPr>
              <w:t xml:space="preserve">verage MAC of </w:t>
            </w:r>
            <w:r w:rsidR="00FC5AB3" w:rsidRPr="000A3D69">
              <w:rPr>
                <w:rFonts w:ascii="Calibri" w:eastAsia="Times New Roman" w:hAnsi="Calibri"/>
                <w:sz w:val="19"/>
                <w:szCs w:val="19"/>
              </w:rPr>
              <w:t>biofuels increases from about $35/tCO</w:t>
            </w:r>
            <w:r w:rsidR="00FC5AB3" w:rsidRPr="000A3D69">
              <w:rPr>
                <w:rFonts w:ascii="Calibri" w:eastAsia="Times New Roman" w:hAnsi="Calibri"/>
                <w:sz w:val="19"/>
                <w:szCs w:val="19"/>
                <w:vertAlign w:val="subscript"/>
              </w:rPr>
              <w:softHyphen/>
              <w:t>2</w:t>
            </w:r>
            <w:r w:rsidR="00FC5AB3" w:rsidRPr="000A3D69">
              <w:rPr>
                <w:rFonts w:ascii="Calibri" w:eastAsia="Times New Roman" w:hAnsi="Calibri"/>
                <w:sz w:val="19"/>
                <w:szCs w:val="19"/>
              </w:rPr>
              <w:t xml:space="preserve"> to about $70</w:t>
            </w:r>
            <w:r w:rsidR="00B82B74" w:rsidRPr="000A3D69">
              <w:rPr>
                <w:rFonts w:ascii="Calibri" w:eastAsia="Times New Roman" w:hAnsi="Calibri"/>
                <w:sz w:val="19"/>
                <w:szCs w:val="19"/>
              </w:rPr>
              <w:t>/tCO</w:t>
            </w:r>
            <w:r w:rsidR="00B82B74" w:rsidRPr="000A3D69">
              <w:rPr>
                <w:rFonts w:ascii="Calibri" w:eastAsia="Times New Roman" w:hAnsi="Calibri"/>
                <w:sz w:val="19"/>
                <w:szCs w:val="19"/>
                <w:vertAlign w:val="subscript"/>
              </w:rPr>
              <w:t>2</w:t>
            </w:r>
            <w:r w:rsidR="00B82B74" w:rsidRPr="000A3D69">
              <w:rPr>
                <w:rFonts w:ascii="Calibri" w:eastAsia="Times New Roman" w:hAnsi="Calibri"/>
                <w:sz w:val="19"/>
                <w:szCs w:val="19"/>
              </w:rPr>
              <w:t xml:space="preserve">. </w:t>
            </w:r>
          </w:p>
        </w:tc>
      </w:tr>
    </w:tbl>
    <w:p w:rsidR="00CF3228" w:rsidRPr="00C14DA1" w:rsidRDefault="00C14DA1" w:rsidP="00FE2335">
      <w:pPr>
        <w:rPr>
          <w:rFonts w:ascii="Calibri" w:eastAsia="Times New Roman" w:hAnsi="Calibri"/>
          <w:i/>
        </w:rPr>
      </w:pPr>
      <w:r w:rsidRPr="00C14DA1">
        <w:rPr>
          <w:rFonts w:ascii="Calibri" w:eastAsia="Times New Roman" w:hAnsi="Calibri"/>
          <w:i/>
          <w:sz w:val="18"/>
          <w:szCs w:val="18"/>
        </w:rPr>
        <w:t>Notes: All costs in (</w:t>
      </w:r>
      <w:r>
        <w:rPr>
          <w:rFonts w:ascii="Calibri" w:eastAsia="Times New Roman" w:hAnsi="Calibri"/>
          <w:i/>
          <w:sz w:val="18"/>
          <w:szCs w:val="18"/>
        </w:rPr>
        <w:t>US$2010</w:t>
      </w:r>
      <w:r w:rsidRPr="00C14DA1">
        <w:rPr>
          <w:rFonts w:ascii="Calibri" w:eastAsia="Times New Roman" w:hAnsi="Calibri"/>
          <w:i/>
          <w:sz w:val="18"/>
          <w:szCs w:val="18"/>
        </w:rPr>
        <w:t>)</w:t>
      </w:r>
    </w:p>
    <w:p w:rsidR="00FE2335" w:rsidRDefault="00780E9D" w:rsidP="00780E9D">
      <w:pPr>
        <w:pStyle w:val="Heading2"/>
        <w:rPr>
          <w:rFonts w:eastAsia="Times New Roman"/>
        </w:rPr>
      </w:pPr>
      <w:r>
        <w:lastRenderedPageBreak/>
        <w:t>6</w:t>
      </w:r>
      <w:r>
        <w:tab/>
      </w:r>
      <w:r w:rsidR="005B4B89">
        <w:rPr>
          <w:rFonts w:eastAsia="Times New Roman"/>
        </w:rPr>
        <w:t>Conclusion</w:t>
      </w:r>
    </w:p>
    <w:p w:rsidR="00371769" w:rsidRDefault="00371769" w:rsidP="004814E7">
      <w:r>
        <w:t>Using a scenario model of projections of China’s road transport sector to 2050, it has been demonstrated that this sector’s CO</w:t>
      </w:r>
      <w:r w:rsidRPr="00371769">
        <w:rPr>
          <w:vertAlign w:val="subscript"/>
        </w:rPr>
        <w:t>2</w:t>
      </w:r>
      <w:r>
        <w:t xml:space="preserve"> emissions could be reduced from a projected 2.08 to 1.24 GtCO</w:t>
      </w:r>
      <w:r w:rsidRPr="00371769">
        <w:rPr>
          <w:vertAlign w:val="subscript"/>
        </w:rPr>
        <w:t>2</w:t>
      </w:r>
      <w:r>
        <w:rPr>
          <w:vertAlign w:val="subscript"/>
        </w:rPr>
        <w:t xml:space="preserve"> </w:t>
      </w:r>
      <w:r>
        <w:t xml:space="preserve">per year by 2050, which would make a significant contribution to reducing global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t xml:space="preserve">emissions in line with international ambition to tackle climate change. These </w:t>
      </w:r>
      <w:r w:rsidR="00703A17">
        <w:rPr>
          <w:rFonts w:ascii="Calibri" w:eastAsia="Times New Roman" w:hAnsi="Calibri"/>
        </w:rPr>
        <w:t>CO</w:t>
      </w:r>
      <w:r w:rsidR="00703A17" w:rsidRPr="00703A17">
        <w:rPr>
          <w:rFonts w:ascii="Calibri" w:eastAsia="Times New Roman" w:hAnsi="Calibri"/>
          <w:vertAlign w:val="subscript"/>
        </w:rPr>
        <w:t>2</w:t>
      </w:r>
      <w:r w:rsidR="00703A17">
        <w:rPr>
          <w:rFonts w:ascii="Calibri" w:eastAsia="Times New Roman" w:hAnsi="Calibri"/>
        </w:rPr>
        <w:t xml:space="preserve"> </w:t>
      </w:r>
      <w:r>
        <w:t xml:space="preserve">emissions reductions would cost </w:t>
      </w:r>
      <w:r w:rsidR="00C14DA1">
        <w:t>(US2010)</w:t>
      </w:r>
      <w:r>
        <w:t>$</w:t>
      </w:r>
      <w:r w:rsidR="009D099C">
        <w:t xml:space="preserve">64 </w:t>
      </w:r>
      <w:r>
        <w:t>billion per year by 2050, a 1.</w:t>
      </w:r>
      <w:r w:rsidR="009D099C">
        <w:t>3</w:t>
      </w:r>
      <w:r>
        <w:t>% increase on the annualised purchase, operation and maintenance and fuel costs of the Chinese road transport sector by 2050. This figure does not include the costs of supporting infrastructure such as hydrogen transport or electric vehicle charging networ</w:t>
      </w:r>
      <w:r w:rsidR="00F0138C">
        <w:t xml:space="preserve">ks. Neither does the figure include an economic evaluation of the additional benefits of the low-carbon scenario, which </w:t>
      </w:r>
      <w:r w:rsidR="00DC524D">
        <w:t xml:space="preserve">potentially greater energy security resulting from </w:t>
      </w:r>
      <w:r w:rsidR="00F0138C">
        <w:t xml:space="preserve">oil demand </w:t>
      </w:r>
      <w:r w:rsidR="0090150E">
        <w:t>which is more than</w:t>
      </w:r>
      <w:r w:rsidR="00F0138C">
        <w:t xml:space="preserve"> 40% </w:t>
      </w:r>
      <w:r w:rsidR="0090150E">
        <w:t xml:space="preserve">lower </w:t>
      </w:r>
      <w:r w:rsidR="00F0138C">
        <w:t xml:space="preserve">by 2050 when comparing the business-as-usual and low-carbon scenarios, nor reduced local pollution from gasoline and diesel vehicles. </w:t>
      </w:r>
    </w:p>
    <w:p w:rsidR="00371769" w:rsidRDefault="00371769" w:rsidP="004814E7">
      <w:r>
        <w:t xml:space="preserve">A range of sensitivity </w:t>
      </w:r>
      <w:r w:rsidR="00D57A5D">
        <w:t>analyses is used to</w:t>
      </w:r>
      <w:r>
        <w:t xml:space="preserve"> </w:t>
      </w:r>
      <w:r w:rsidR="00F0138C">
        <w:t xml:space="preserve">test key uncertainties in the model projections. The analysis is based on an assumed discount rate of 5% to annualise vehicle purchase costs, and relatively conservative fossil fuel price projections (using oil </w:t>
      </w:r>
      <w:r w:rsidR="0090150E">
        <w:t xml:space="preserve">price projections </w:t>
      </w:r>
      <w:r w:rsidR="00F0138C">
        <w:t xml:space="preserve">at </w:t>
      </w:r>
      <w:r w:rsidR="00C14DA1">
        <w:t>(US2010)</w:t>
      </w:r>
      <w:r w:rsidR="00F0138C">
        <w:t>$100/</w:t>
      </w:r>
      <w:r w:rsidR="0090150E">
        <w:t>barrel</w:t>
      </w:r>
      <w:r w:rsidR="00F0138C">
        <w:t xml:space="preserve"> by 2050). Higher fossil fuel prices (oil at </w:t>
      </w:r>
      <w:r w:rsidR="00C14DA1">
        <w:t>(US2010)</w:t>
      </w:r>
      <w:r w:rsidR="00F0138C">
        <w:t>$150/</w:t>
      </w:r>
      <w:r w:rsidR="0090150E">
        <w:t>barrel</w:t>
      </w:r>
      <w:r w:rsidR="00F0138C">
        <w:t xml:space="preserve"> by 2050) would reduce the decarbonisation cost to </w:t>
      </w:r>
      <w:r w:rsidR="00C14DA1">
        <w:t>(US2010)</w:t>
      </w:r>
      <w:r w:rsidR="00F0138C">
        <w:t>$</w:t>
      </w:r>
      <w:r w:rsidR="009D099C">
        <w:t xml:space="preserve">63 </w:t>
      </w:r>
      <w:r w:rsidR="00F0138C">
        <w:t xml:space="preserve">billion per year by 2050, a </w:t>
      </w:r>
      <w:r w:rsidR="009D099C">
        <w:t>1.2</w:t>
      </w:r>
      <w:r w:rsidR="00F0138C">
        <w:t xml:space="preserve">% increase on the business-as-usual scenario. By contrast, higher discount rates would raise decarbonisation costs. </w:t>
      </w:r>
      <w:r w:rsidR="00D57A5D">
        <w:t>In addition, cost-effective</w:t>
      </w:r>
      <w:r w:rsidR="00F0138C">
        <w:t xml:space="preserve"> measures to achieve further decarbonisation could be undertaken, including increasing the share of diesel cars (though this could raise challenges in terms of increased particulate pollution) and achieving continued energy efficiency improvements beyond 2030. </w:t>
      </w:r>
    </w:p>
    <w:p w:rsidR="00D73A87" w:rsidRPr="00371769" w:rsidRDefault="00637643" w:rsidP="004814E7">
      <w:r>
        <w:t>As noted, the model does not include a detailed representation of infrastructure development for fuel cell and electric vehicles, including considerations of vehicle charging and grid integration issues. Nor does it make assumptions on future low-carbon vehicle policies in China – the scenarios as presented are based purely on what are deemed reasonable penetration rates of different vehicle drivetrain types, with reference to a range of other studies.</w:t>
      </w:r>
    </w:p>
    <w:p w:rsidR="006305E4" w:rsidRDefault="00D57A5D" w:rsidP="00D57A5D">
      <w:r w:rsidRPr="00D57A5D">
        <w:t>In summary</w:t>
      </w:r>
      <w:r w:rsidR="006305E4" w:rsidRPr="00D57A5D">
        <w:t xml:space="preserve">, there is </w:t>
      </w:r>
      <w:r>
        <w:t xml:space="preserve">potentially </w:t>
      </w:r>
      <w:r w:rsidR="006305E4" w:rsidRPr="00D57A5D">
        <w:t>much to be gained</w:t>
      </w:r>
      <w:r w:rsidR="0090150E">
        <w:t>,</w:t>
      </w:r>
      <w:r w:rsidR="006305E4" w:rsidRPr="00D57A5D">
        <w:t xml:space="preserve"> in terms of reduced CO</w:t>
      </w:r>
      <w:r w:rsidR="006305E4" w:rsidRPr="00D57A5D">
        <w:rPr>
          <w:vertAlign w:val="subscript"/>
        </w:rPr>
        <w:t>2</w:t>
      </w:r>
      <w:r w:rsidR="006305E4" w:rsidRPr="00D57A5D">
        <w:t xml:space="preserve"> emissions</w:t>
      </w:r>
      <w:r w:rsidR="0090150E" w:rsidRPr="0090150E">
        <w:t xml:space="preserve"> </w:t>
      </w:r>
      <w:r w:rsidR="0090150E">
        <w:t xml:space="preserve">and reduced </w:t>
      </w:r>
      <w:r w:rsidR="0090150E" w:rsidRPr="00D57A5D">
        <w:t xml:space="preserve">oil demand, </w:t>
      </w:r>
      <w:r w:rsidR="006305E4" w:rsidRPr="00D57A5D">
        <w:t xml:space="preserve">from the increasing penetration of a range of low-carbon vehicle types throughout the Chinese road transport sector, with cars and </w:t>
      </w:r>
      <w:r w:rsidRPr="00D57A5D">
        <w:t>heavy-duty truck</w:t>
      </w:r>
      <w:r w:rsidR="006305E4" w:rsidRPr="00D57A5D">
        <w:t xml:space="preserve">s providing the biggest potential emissions reduction gains as a result of their assumed population growth rate and large annual distance travelled. </w:t>
      </w:r>
      <w:r>
        <w:t xml:space="preserve">The model provided as a supplement to this paper can be used to further investigate the costs and benefits of a number of further scenarios around the penetration of low-carbon vehicles. </w:t>
      </w:r>
    </w:p>
    <w:p w:rsidR="00B0333E" w:rsidRDefault="00B0333E" w:rsidP="00B0333E">
      <w:pPr>
        <w:pStyle w:val="Heading2"/>
      </w:pPr>
      <w:r>
        <w:t>Acknowledgements</w:t>
      </w:r>
    </w:p>
    <w:p w:rsidR="00B0333E" w:rsidRPr="00B0333E" w:rsidRDefault="00B0333E" w:rsidP="00B0333E">
      <w:r>
        <w:t xml:space="preserve">The authors would like to thank the UK Government’s Department of Energy and Climate Change (DECC) and Department for Environment, Food and Rural Affairs (DEFRA), who jointly funded the initial research that led to this paper through the AVOID programme. Details of this programme are available at </w:t>
      </w:r>
      <w:hyperlink r:id="rId20" w:history="1">
        <w:r w:rsidRPr="00E21199">
          <w:rPr>
            <w:rStyle w:val="Hyperlink"/>
          </w:rPr>
          <w:t>www.avoid.uk.net</w:t>
        </w:r>
      </w:hyperlink>
      <w:r>
        <w:t>.</w:t>
      </w:r>
    </w:p>
    <w:p w:rsidR="00D57A5D" w:rsidRDefault="00D57A5D">
      <w:r>
        <w:br w:type="page"/>
      </w:r>
    </w:p>
    <w:p w:rsidR="00D57A5D" w:rsidRDefault="00D57A5D" w:rsidP="00D57A5D">
      <w:pPr>
        <w:pStyle w:val="Heading2"/>
      </w:pPr>
      <w:r>
        <w:lastRenderedPageBreak/>
        <w:t>Annex A – Calculation of CO</w:t>
      </w:r>
      <w:r w:rsidRPr="00D57A5D">
        <w:rPr>
          <w:vertAlign w:val="subscript"/>
        </w:rPr>
        <w:t>2</w:t>
      </w:r>
      <w:r>
        <w:rPr>
          <w:vertAlign w:val="subscript"/>
        </w:rPr>
        <w:t xml:space="preserve"> </w:t>
      </w:r>
      <w:r>
        <w:t>emissions, costs and decomposition analysis</w:t>
      </w:r>
    </w:p>
    <w:p w:rsidR="00527257" w:rsidRDefault="00527257" w:rsidP="00527257">
      <w:pPr>
        <w:rPr>
          <w:rFonts w:eastAsiaTheme="minorEastAsia"/>
        </w:rPr>
      </w:pPr>
      <w:r>
        <w:rPr>
          <w:rFonts w:eastAsiaTheme="minorEastAsia"/>
        </w:rPr>
        <w:t xml:space="preserve">Emissions </w:t>
      </w:r>
      <w:r w:rsidRPr="00355798">
        <w:rPr>
          <w:rFonts w:eastAsiaTheme="minorEastAsia"/>
          <w:i/>
        </w:rPr>
        <w:t>E</w:t>
      </w:r>
      <w:r>
        <w:rPr>
          <w:rFonts w:eastAsiaTheme="minorEastAsia"/>
        </w:rPr>
        <w:t xml:space="preserve"> in year </w:t>
      </w:r>
      <w:r w:rsidRPr="00355798">
        <w:rPr>
          <w:rFonts w:eastAsiaTheme="minorEastAsia"/>
          <w:i/>
        </w:rPr>
        <w:t>t</w:t>
      </w:r>
      <w:r>
        <w:rPr>
          <w:rFonts w:eastAsiaTheme="minorEastAsia"/>
        </w:rPr>
        <w:t xml:space="preserve"> from each vehicle type </w:t>
      </w:r>
      <w:r w:rsidRPr="00355798">
        <w:rPr>
          <w:rFonts w:eastAsiaTheme="minorEastAsia"/>
          <w:i/>
        </w:rPr>
        <w:t>i</w:t>
      </w:r>
      <w:r>
        <w:rPr>
          <w:rFonts w:eastAsiaTheme="minorEastAsia"/>
        </w:rPr>
        <w:t xml:space="preserve"> and each drivetrain type </w:t>
      </w:r>
      <w:r w:rsidRPr="00355798">
        <w:rPr>
          <w:rFonts w:eastAsiaTheme="minorEastAsia"/>
          <w:i/>
        </w:rPr>
        <w:t>j</w:t>
      </w:r>
      <w:r>
        <w:rPr>
          <w:rFonts w:eastAsiaTheme="minorEastAsia"/>
        </w:rPr>
        <w:t xml:space="preserve"> are calculated as follows, for each year 2010 to 2050:</w:t>
      </w:r>
    </w:p>
    <w:p w:rsidR="00527257" w:rsidRDefault="00312F87" w:rsidP="00527257">
      <w:pPr>
        <w:ind w:firstLine="720"/>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t</m:t>
            </m:r>
          </m:sub>
        </m:sSub>
        <m:r>
          <w:rPr>
            <w:rFonts w:ascii="Cambria Math" w:eastAsia="Times New Roman" w:hAnsi="Cambria Math"/>
          </w:rPr>
          <m:t>=</m:t>
        </m:r>
        <m:nary>
          <m:naryPr>
            <m:chr m:val="∑"/>
            <m:limLoc m:val="subSup"/>
            <m:supHide m:val="1"/>
            <m:ctrlPr>
              <w:rPr>
                <w:rFonts w:ascii="Cambria Math" w:eastAsia="Times New Roman" w:hAnsi="Cambria Math"/>
                <w:i/>
              </w:rPr>
            </m:ctrlPr>
          </m:naryPr>
          <m:sub>
            <m:r>
              <w:rPr>
                <w:rFonts w:ascii="Cambria Math" w:eastAsia="Times New Roman" w:hAnsi="Cambria Math"/>
              </w:rPr>
              <m:t>i</m:t>
            </m:r>
          </m:sub>
          <m:sup/>
          <m:e>
            <m:nary>
              <m:naryPr>
                <m:chr m:val="∑"/>
                <m:limLoc m:val="subSup"/>
                <m:supHide m:val="1"/>
                <m:ctrlPr>
                  <w:rPr>
                    <w:rFonts w:ascii="Cambria Math" w:eastAsia="Times New Roman" w:hAnsi="Cambria Math"/>
                    <w:i/>
                  </w:rPr>
                </m:ctrlPr>
              </m:naryPr>
              <m:sub>
                <m:r>
                  <w:rPr>
                    <w:rFonts w:ascii="Cambria Math" w:eastAsia="Times New Roman" w:hAnsi="Cambria Math"/>
                  </w:rPr>
                  <m:t>j</m:t>
                </m:r>
              </m:sub>
              <m:sup/>
              <m:e>
                <m:sSub>
                  <m:sSubPr>
                    <m:ctrlPr>
                      <w:rPr>
                        <w:rFonts w:ascii="Cambria Math" w:eastAsia="Times New Roman" w:hAnsi="Cambria Math"/>
                        <w:i/>
                      </w:rPr>
                    </m:ctrlPr>
                  </m:sSubPr>
                  <m:e>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p</m:t>
                            </m:r>
                          </m:e>
                          <m:sub>
                            <m:r>
                              <w:rPr>
                                <w:rFonts w:ascii="Cambria Math" w:eastAsia="Times New Roman" w:hAnsi="Cambria Math"/>
                              </w:rPr>
                              <m:t>i</m:t>
                            </m:r>
                          </m:sub>
                        </m:sSub>
                        <m:r>
                          <w:rPr>
                            <w:rFonts w:ascii="Cambria Math" w:eastAsia="Times New Roman" w:hAnsi="Cambria Math"/>
                          </w:rPr>
                          <m:t>a</m:t>
                        </m:r>
                      </m:e>
                      <m:sub>
                        <m:r>
                          <w:rPr>
                            <w:rFonts w:ascii="Cambria Math" w:eastAsia="Times New Roman" w:hAnsi="Cambria Math"/>
                          </w:rPr>
                          <m:t>i</m:t>
                        </m:r>
                      </m:sub>
                    </m:sSub>
                    <m:r>
                      <w:rPr>
                        <w:rFonts w:ascii="Cambria Math" w:eastAsia="Times New Roman" w:hAnsi="Cambria Math"/>
                      </w:rPr>
                      <m:t>s</m:t>
                    </m:r>
                  </m:e>
                  <m:sub>
                    <m:r>
                      <w:rPr>
                        <w:rFonts w:ascii="Cambria Math" w:eastAsia="Times New Roman" w:hAnsi="Cambria Math"/>
                      </w:rPr>
                      <m:t>i,j</m:t>
                    </m:r>
                  </m:sub>
                </m:sSub>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i,j</m:t>
                    </m:r>
                  </m:sub>
                </m:sSub>
                <m:sSub>
                  <m:sSubPr>
                    <m:ctrlPr>
                      <w:rPr>
                        <w:rFonts w:ascii="Cambria Math" w:eastAsia="Times New Roman" w:hAnsi="Cambria Math"/>
                        <w:i/>
                      </w:rPr>
                    </m:ctrlPr>
                  </m:sSubPr>
                  <m:e>
                    <m:r>
                      <w:rPr>
                        <w:rFonts w:ascii="Cambria Math" w:eastAsia="Times New Roman" w:hAnsi="Cambria Math"/>
                      </w:rPr>
                      <m:t>f</m:t>
                    </m:r>
                  </m:e>
                  <m:sub>
                    <m:r>
                      <w:rPr>
                        <w:rFonts w:ascii="Cambria Math" w:eastAsia="Times New Roman" w:hAnsi="Cambria Math"/>
                      </w:rPr>
                      <m:t>j</m:t>
                    </m:r>
                  </m:sub>
                </m:sSub>
              </m:e>
            </m:nary>
          </m:e>
        </m:nary>
      </m:oMath>
      <w:r w:rsidR="00527257">
        <w:rPr>
          <w:rFonts w:eastAsiaTheme="minorEastAsia"/>
        </w:rPr>
        <w:t xml:space="preserve"> </w:t>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t>(1)</w:t>
      </w:r>
    </w:p>
    <w:p w:rsidR="00527257" w:rsidRDefault="00527257" w:rsidP="00527257">
      <w:pPr>
        <w:rPr>
          <w:rFonts w:eastAsiaTheme="minorEastAsia"/>
        </w:rPr>
      </w:pPr>
      <w:r>
        <w:rPr>
          <w:rFonts w:eastAsiaTheme="minorEastAsia"/>
        </w:rPr>
        <w:t xml:space="preserve">where for each year </w:t>
      </w:r>
      <w:r w:rsidRPr="00C27B31">
        <w:rPr>
          <w:rFonts w:eastAsiaTheme="minorEastAsia"/>
          <w:i/>
        </w:rPr>
        <w:t>t</w:t>
      </w:r>
      <w:r>
        <w:rPr>
          <w:rFonts w:eastAsiaTheme="minorEastAsia"/>
        </w:rPr>
        <w:t>:</w:t>
      </w:r>
    </w:p>
    <w:p w:rsidR="00527257" w:rsidRDefault="00527257" w:rsidP="00527257">
      <w:pPr>
        <w:spacing w:line="240" w:lineRule="auto"/>
        <w:contextualSpacing/>
        <w:rPr>
          <w:rFonts w:eastAsiaTheme="minorEastAsia"/>
          <w:i/>
        </w:rPr>
      </w:pPr>
      <w:r>
        <w:rPr>
          <w:rFonts w:eastAsiaTheme="minorEastAsia"/>
        </w:rPr>
        <w:t xml:space="preserve">- </w:t>
      </w:r>
      <w:r w:rsidRPr="0002640B">
        <w:rPr>
          <w:rFonts w:eastAsiaTheme="minorEastAsia"/>
          <w:i/>
        </w:rPr>
        <w:t>p</w:t>
      </w:r>
      <w:r w:rsidRPr="0002640B">
        <w:rPr>
          <w:rFonts w:eastAsiaTheme="minorEastAsia"/>
          <w:i/>
          <w:vertAlign w:val="subscript"/>
        </w:rPr>
        <w:t xml:space="preserve">i </w:t>
      </w:r>
      <w:r>
        <w:rPr>
          <w:rFonts w:eastAsiaTheme="minorEastAsia"/>
        </w:rPr>
        <w:t xml:space="preserve">is the population of vehicle type </w:t>
      </w:r>
      <w:r w:rsidRPr="0002640B">
        <w:rPr>
          <w:rFonts w:eastAsiaTheme="minorEastAsia"/>
          <w:i/>
        </w:rPr>
        <w:t xml:space="preserve">i </w:t>
      </w:r>
    </w:p>
    <w:p w:rsidR="00527257" w:rsidRPr="00C27B31" w:rsidRDefault="00527257" w:rsidP="00527257">
      <w:pPr>
        <w:spacing w:line="240" w:lineRule="auto"/>
        <w:contextualSpacing/>
        <w:rPr>
          <w:rFonts w:eastAsiaTheme="minorEastAsia"/>
        </w:rPr>
      </w:pPr>
      <w:r>
        <w:rPr>
          <w:rFonts w:eastAsiaTheme="minorEastAsia"/>
          <w:i/>
        </w:rPr>
        <w:t xml:space="preserve">- </w:t>
      </w:r>
      <w:r w:rsidRPr="00C27B31">
        <w:rPr>
          <w:rFonts w:eastAsiaTheme="minorEastAsia"/>
          <w:i/>
        </w:rPr>
        <w:t>a</w:t>
      </w:r>
      <w:r w:rsidRPr="00C27B31">
        <w:rPr>
          <w:rFonts w:eastAsiaTheme="minorEastAsia"/>
          <w:i/>
          <w:vertAlign w:val="subscript"/>
        </w:rPr>
        <w:t>i</w:t>
      </w:r>
      <w:r>
        <w:rPr>
          <w:rFonts w:eastAsiaTheme="minorEastAsia"/>
          <w:i/>
          <w:vertAlign w:val="subscript"/>
        </w:rPr>
        <w:t xml:space="preserve"> </w:t>
      </w:r>
      <w:r>
        <w:rPr>
          <w:rFonts w:eastAsiaTheme="minorEastAsia"/>
        </w:rPr>
        <w:t xml:space="preserve">is the activity level (in this case average distance travelled per year) for vehicle type </w:t>
      </w:r>
      <w:r>
        <w:rPr>
          <w:rFonts w:eastAsiaTheme="minorEastAsia"/>
          <w:i/>
        </w:rPr>
        <w:t xml:space="preserve">i </w:t>
      </w:r>
    </w:p>
    <w:p w:rsidR="00527257" w:rsidRDefault="00527257" w:rsidP="00527257">
      <w:pPr>
        <w:spacing w:line="240" w:lineRule="auto"/>
        <w:contextualSpacing/>
        <w:rPr>
          <w:rFonts w:eastAsiaTheme="minorEastAsia"/>
          <w:i/>
        </w:rPr>
      </w:pPr>
      <w:r>
        <w:rPr>
          <w:rFonts w:eastAsiaTheme="minorEastAsia"/>
          <w:i/>
        </w:rPr>
        <w:t xml:space="preserve">- </w:t>
      </w:r>
      <w:r w:rsidRPr="0002640B">
        <w:rPr>
          <w:rFonts w:eastAsiaTheme="minorEastAsia"/>
          <w:i/>
        </w:rPr>
        <w:t>s</w:t>
      </w:r>
      <w:r w:rsidRPr="0002640B">
        <w:rPr>
          <w:rFonts w:eastAsiaTheme="minorEastAsia"/>
          <w:i/>
        </w:rPr>
        <w:softHyphen/>
      </w:r>
      <w:r w:rsidRPr="0002640B">
        <w:rPr>
          <w:rFonts w:eastAsiaTheme="minorEastAsia"/>
          <w:i/>
          <w:vertAlign w:val="subscript"/>
        </w:rPr>
        <w:t>i</w:t>
      </w:r>
      <w:r>
        <w:rPr>
          <w:rFonts w:eastAsiaTheme="minorEastAsia"/>
          <w:i/>
          <w:vertAlign w:val="subscript"/>
        </w:rPr>
        <w:t>,j</w:t>
      </w:r>
      <w:r>
        <w:rPr>
          <w:rFonts w:eastAsiaTheme="minorEastAsia"/>
          <w:vertAlign w:val="subscript"/>
        </w:rPr>
        <w:t xml:space="preserve"> </w:t>
      </w:r>
      <w:r w:rsidRPr="0002640B">
        <w:rPr>
          <w:rFonts w:eastAsiaTheme="minorEastAsia"/>
        </w:rPr>
        <w:t xml:space="preserve">is the share of </w:t>
      </w:r>
      <w:r>
        <w:rPr>
          <w:rFonts w:eastAsiaTheme="minorEastAsia"/>
          <w:vertAlign w:val="subscript"/>
        </w:rPr>
        <w:t xml:space="preserve"> </w:t>
      </w:r>
      <w:r>
        <w:rPr>
          <w:rFonts w:eastAsiaTheme="minorEastAsia"/>
        </w:rPr>
        <w:t xml:space="preserve">drivetrain type </w:t>
      </w:r>
      <w:r w:rsidRPr="00C27B31">
        <w:rPr>
          <w:rFonts w:eastAsiaTheme="minorEastAsia"/>
          <w:i/>
        </w:rPr>
        <w:t>j</w:t>
      </w:r>
      <w:r>
        <w:rPr>
          <w:rFonts w:eastAsiaTheme="minorEastAsia"/>
          <w:i/>
        </w:rPr>
        <w:t xml:space="preserve"> </w:t>
      </w:r>
      <w:r>
        <w:rPr>
          <w:rFonts w:eastAsiaTheme="minorEastAsia"/>
        </w:rPr>
        <w:t xml:space="preserve">for vehicle type </w:t>
      </w:r>
      <w:r w:rsidRPr="00C27B31">
        <w:rPr>
          <w:rFonts w:eastAsiaTheme="minorEastAsia"/>
          <w:i/>
        </w:rPr>
        <w:t>i</w:t>
      </w:r>
    </w:p>
    <w:p w:rsidR="00527257" w:rsidRDefault="00527257" w:rsidP="00527257">
      <w:pPr>
        <w:spacing w:line="240" w:lineRule="auto"/>
        <w:contextualSpacing/>
        <w:rPr>
          <w:rFonts w:eastAsiaTheme="minorEastAsia"/>
          <w:i/>
        </w:rPr>
      </w:pPr>
      <w:r>
        <w:rPr>
          <w:rFonts w:eastAsiaTheme="minorEastAsia"/>
          <w:i/>
        </w:rPr>
        <w:t xml:space="preserve">- </w:t>
      </w:r>
      <w:r w:rsidRPr="00C27B31">
        <w:rPr>
          <w:rFonts w:eastAsiaTheme="minorEastAsia"/>
          <w:i/>
        </w:rPr>
        <w:t>e</w:t>
      </w:r>
      <w:r w:rsidRPr="00C27B31">
        <w:rPr>
          <w:rFonts w:eastAsiaTheme="minorEastAsia"/>
          <w:i/>
          <w:vertAlign w:val="subscript"/>
        </w:rPr>
        <w:t>i,j</w:t>
      </w:r>
      <w:r>
        <w:rPr>
          <w:rFonts w:eastAsiaTheme="minorEastAsia"/>
        </w:rPr>
        <w:t xml:space="preserve"> is the energy consumption per unit distance travelled for vehicle type </w:t>
      </w:r>
      <w:r w:rsidRPr="00C27B31">
        <w:rPr>
          <w:rFonts w:eastAsiaTheme="minorEastAsia"/>
          <w:i/>
        </w:rPr>
        <w:t>i</w:t>
      </w:r>
      <w:r>
        <w:rPr>
          <w:rFonts w:eastAsiaTheme="minorEastAsia"/>
        </w:rPr>
        <w:t xml:space="preserve"> and drivetrain type </w:t>
      </w:r>
      <w:r w:rsidRPr="00C27B31">
        <w:rPr>
          <w:rFonts w:eastAsiaTheme="minorEastAsia"/>
          <w:i/>
        </w:rPr>
        <w:t>j</w:t>
      </w:r>
    </w:p>
    <w:p w:rsidR="00527257" w:rsidRPr="00C27B31" w:rsidRDefault="00527257" w:rsidP="00527257">
      <w:pPr>
        <w:spacing w:line="240" w:lineRule="auto"/>
        <w:contextualSpacing/>
        <w:rPr>
          <w:rFonts w:eastAsiaTheme="minorEastAsia"/>
        </w:rPr>
      </w:pPr>
      <w:r>
        <w:rPr>
          <w:rFonts w:eastAsiaTheme="minorEastAsia"/>
        </w:rPr>
        <w:t xml:space="preserve">- </w:t>
      </w:r>
      <w:r w:rsidRPr="00C27B31">
        <w:rPr>
          <w:rFonts w:eastAsiaTheme="minorEastAsia"/>
          <w:i/>
        </w:rPr>
        <w:t>f</w:t>
      </w:r>
      <w:r w:rsidRPr="00C27B31">
        <w:rPr>
          <w:rFonts w:eastAsiaTheme="minorEastAsia"/>
          <w:i/>
          <w:vertAlign w:val="subscript"/>
        </w:rPr>
        <w:t>,j</w:t>
      </w:r>
      <w:r>
        <w:rPr>
          <w:rFonts w:eastAsiaTheme="minorEastAsia"/>
        </w:rPr>
        <w:t xml:space="preserve"> is the emissions per unit energy consumed by drivetrain </w:t>
      </w:r>
      <w:r w:rsidRPr="00C27B31">
        <w:rPr>
          <w:rFonts w:eastAsiaTheme="minorEastAsia"/>
          <w:i/>
        </w:rPr>
        <w:t>j</w:t>
      </w:r>
      <w:r>
        <w:rPr>
          <w:rFonts w:eastAsiaTheme="minorEastAsia"/>
        </w:rPr>
        <w:t xml:space="preserve"> (which depends on the fuel used)</w:t>
      </w:r>
    </w:p>
    <w:p w:rsidR="00527257" w:rsidRDefault="00527257" w:rsidP="00527257">
      <w:pPr>
        <w:rPr>
          <w:rFonts w:eastAsiaTheme="minorEastAsia"/>
        </w:rPr>
      </w:pPr>
    </w:p>
    <w:p w:rsidR="00527257" w:rsidRDefault="00527257" w:rsidP="00527257">
      <w:pPr>
        <w:rPr>
          <w:rFonts w:eastAsiaTheme="minorEastAsia"/>
        </w:rPr>
      </w:pPr>
      <w:r>
        <w:rPr>
          <w:rFonts w:eastAsiaTheme="minorEastAsia"/>
        </w:rPr>
        <w:t xml:space="preserve">Total annualised vehicle costs in 2050, </w:t>
      </w:r>
      <w:r w:rsidRPr="000812D5">
        <w:rPr>
          <w:rFonts w:eastAsiaTheme="minorEastAsia"/>
          <w:i/>
        </w:rPr>
        <w:t>C</w:t>
      </w:r>
      <w:r>
        <w:rPr>
          <w:rFonts w:eastAsiaTheme="minorEastAsia"/>
        </w:rPr>
        <w:t xml:space="preserve">, are calculated, for the chosen discount rate </w:t>
      </w:r>
      <w:r w:rsidRPr="000812D5">
        <w:rPr>
          <w:rFonts w:eastAsiaTheme="minorEastAsia"/>
          <w:i/>
        </w:rPr>
        <w:t>d</w:t>
      </w:r>
      <w:r>
        <w:rPr>
          <w:rFonts w:eastAsiaTheme="minorEastAsia"/>
        </w:rPr>
        <w:t>, as follows:</w:t>
      </w:r>
    </w:p>
    <w:p w:rsidR="00527257" w:rsidRPr="000812D5" w:rsidRDefault="00527257" w:rsidP="00527257">
      <w:pPr>
        <w:ind w:firstLine="720"/>
        <w:rPr>
          <w:rFonts w:eastAsiaTheme="minorEastAsia"/>
        </w:rPr>
      </w:pPr>
      <m:oMath>
        <m:r>
          <w:rPr>
            <w:rFonts w:ascii="Cambria Math" w:hAnsi="Cambria Math"/>
          </w:rPr>
          <m:t>C=</m:t>
        </m:r>
        <m:nary>
          <m:naryPr>
            <m:chr m:val="∑"/>
            <m:limLoc m:val="subSup"/>
            <m:supHide m:val="1"/>
            <m:ctrlPr>
              <w:rPr>
                <w:rFonts w:ascii="Cambria Math" w:hAnsi="Cambria Math"/>
                <w:i/>
              </w:rPr>
            </m:ctrlPr>
          </m:naryPr>
          <m:sub>
            <m:r>
              <w:rPr>
                <w:rFonts w:ascii="Cambria Math" w:hAnsi="Cambria Math"/>
              </w:rPr>
              <m:t>i</m:t>
            </m:r>
          </m:sub>
          <m:sup/>
          <m:e>
            <m:nary>
              <m:naryPr>
                <m:chr m:val="∑"/>
                <m:limLoc m:val="subSup"/>
                <m:supHide m:val="1"/>
                <m:ctrlPr>
                  <w:rPr>
                    <w:rFonts w:ascii="Cambria Math" w:hAnsi="Cambria Math"/>
                    <w:i/>
                  </w:rPr>
                </m:ctrlPr>
              </m:naryPr>
              <m:sub>
                <m:r>
                  <w:rPr>
                    <w:rFonts w:ascii="Cambria Math" w:hAnsi="Cambria Math"/>
                  </w:rPr>
                  <m:t>j</m:t>
                </m:r>
              </m:sub>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sSub>
                      <m:sSubPr>
                        <m:ctrlPr>
                          <w:rPr>
                            <w:rFonts w:ascii="Cambria Math" w:hAnsi="Cambria Math"/>
                            <w:i/>
                          </w:rPr>
                        </m:ctrlPr>
                      </m:sSubPr>
                      <m:e>
                        <m:r>
                          <w:rPr>
                            <w:rFonts w:ascii="Cambria Math" w:hAnsi="Cambria Math"/>
                          </w:rPr>
                          <m:t>s</m:t>
                        </m:r>
                      </m:e>
                      <m:sub>
                        <m:r>
                          <w:rPr>
                            <w:rFonts w:ascii="Cambria Math" w:hAnsi="Cambria Math"/>
                          </w:rPr>
                          <m:t>i,j</m:t>
                        </m:r>
                      </m:sub>
                    </m:sSub>
                    <m:d>
                      <m:dPr>
                        <m:begChr m:val="["/>
                        <m:endChr m:val="]"/>
                        <m:ctrlPr>
                          <w:rPr>
                            <w:rFonts w:ascii="Cambria Math" w:hAnsi="Cambria Math"/>
                            <w:i/>
                          </w:rPr>
                        </m:ctrlPr>
                      </m:dPr>
                      <m:e>
                        <m:r>
                          <w:rPr>
                            <w:rFonts w:ascii="Cambria Math" w:hAnsi="Cambria Math"/>
                          </w:rPr>
                          <m:t>PMT</m:t>
                        </m:r>
                        <m:d>
                          <m:dPr>
                            <m:ctrlPr>
                              <w:rPr>
                                <w:rFonts w:ascii="Cambria Math" w:hAnsi="Cambria Math"/>
                                <w:i/>
                              </w:rPr>
                            </m:ctrlPr>
                          </m:dPr>
                          <m:e>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i,j</m:t>
                            </m:r>
                          </m:sub>
                        </m:sSub>
                      </m:e>
                    </m:d>
                  </m:e>
                </m:d>
              </m:e>
            </m:nary>
          </m:e>
        </m:nary>
      </m:oMath>
      <w:r w:rsidR="00F63618">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(2)</w:t>
      </w:r>
    </w:p>
    <w:p w:rsidR="00527257" w:rsidRDefault="00527257" w:rsidP="00527257">
      <w:pPr>
        <w:rPr>
          <w:rFonts w:eastAsiaTheme="minorEastAsia"/>
        </w:rPr>
      </w:pPr>
      <w:r>
        <w:rPr>
          <w:rFonts w:eastAsiaTheme="minorEastAsia"/>
        </w:rPr>
        <w:t>where:</w:t>
      </w:r>
    </w:p>
    <w:p w:rsidR="00527257" w:rsidRDefault="00527257" w:rsidP="00527257">
      <w:pPr>
        <w:spacing w:line="240" w:lineRule="auto"/>
        <w:contextualSpacing/>
        <w:rPr>
          <w:rFonts w:eastAsiaTheme="minorEastAsia"/>
          <w:i/>
        </w:rPr>
      </w:pPr>
      <w:r>
        <w:rPr>
          <w:rFonts w:eastAsiaTheme="minorEastAsia"/>
        </w:rPr>
        <w:t xml:space="preserve">- </w:t>
      </w:r>
      <w:r w:rsidRPr="0002640B">
        <w:rPr>
          <w:rFonts w:eastAsiaTheme="minorEastAsia"/>
          <w:i/>
        </w:rPr>
        <w:t>p</w:t>
      </w:r>
      <w:r w:rsidRPr="0002640B">
        <w:rPr>
          <w:rFonts w:eastAsiaTheme="minorEastAsia"/>
          <w:i/>
          <w:vertAlign w:val="subscript"/>
        </w:rPr>
        <w:t xml:space="preserve">i </w:t>
      </w:r>
      <w:r>
        <w:rPr>
          <w:rFonts w:eastAsiaTheme="minorEastAsia"/>
        </w:rPr>
        <w:t xml:space="preserve">is the population of vehicle type </w:t>
      </w:r>
      <w:r w:rsidRPr="0002640B">
        <w:rPr>
          <w:rFonts w:eastAsiaTheme="minorEastAsia"/>
          <w:i/>
        </w:rPr>
        <w:t>i</w:t>
      </w:r>
    </w:p>
    <w:p w:rsidR="00527257" w:rsidRDefault="00527257" w:rsidP="00527257">
      <w:pPr>
        <w:spacing w:line="240" w:lineRule="auto"/>
        <w:contextualSpacing/>
        <w:rPr>
          <w:rFonts w:eastAsiaTheme="minorEastAsia"/>
          <w:i/>
        </w:rPr>
      </w:pPr>
      <w:r>
        <w:rPr>
          <w:rFonts w:eastAsiaTheme="minorEastAsia"/>
          <w:i/>
        </w:rPr>
        <w:t xml:space="preserve">- </w:t>
      </w:r>
      <w:r w:rsidRPr="0002640B">
        <w:rPr>
          <w:rFonts w:eastAsiaTheme="minorEastAsia"/>
          <w:i/>
        </w:rPr>
        <w:t>s</w:t>
      </w:r>
      <w:r w:rsidRPr="0002640B">
        <w:rPr>
          <w:rFonts w:eastAsiaTheme="minorEastAsia"/>
          <w:i/>
        </w:rPr>
        <w:softHyphen/>
      </w:r>
      <w:r w:rsidRPr="0002640B">
        <w:rPr>
          <w:rFonts w:eastAsiaTheme="minorEastAsia"/>
          <w:i/>
          <w:vertAlign w:val="subscript"/>
        </w:rPr>
        <w:t>i</w:t>
      </w:r>
      <w:r>
        <w:rPr>
          <w:rFonts w:eastAsiaTheme="minorEastAsia"/>
          <w:i/>
          <w:vertAlign w:val="subscript"/>
        </w:rPr>
        <w:t>,j</w:t>
      </w:r>
      <w:r>
        <w:rPr>
          <w:rFonts w:eastAsiaTheme="minorEastAsia"/>
          <w:vertAlign w:val="subscript"/>
        </w:rPr>
        <w:t xml:space="preserve"> </w:t>
      </w:r>
      <w:r w:rsidRPr="0002640B">
        <w:rPr>
          <w:rFonts w:eastAsiaTheme="minorEastAsia"/>
        </w:rPr>
        <w:t xml:space="preserve">is the share of </w:t>
      </w:r>
      <w:r>
        <w:rPr>
          <w:rFonts w:eastAsiaTheme="minorEastAsia"/>
          <w:vertAlign w:val="subscript"/>
        </w:rPr>
        <w:t xml:space="preserve"> </w:t>
      </w:r>
      <w:r>
        <w:rPr>
          <w:rFonts w:eastAsiaTheme="minorEastAsia"/>
        </w:rPr>
        <w:t xml:space="preserve">drivetrain type </w:t>
      </w:r>
      <w:r w:rsidRPr="00C27B31">
        <w:rPr>
          <w:rFonts w:eastAsiaTheme="minorEastAsia"/>
          <w:i/>
        </w:rPr>
        <w:t>j</w:t>
      </w:r>
      <w:r>
        <w:rPr>
          <w:rFonts w:eastAsiaTheme="minorEastAsia"/>
          <w:i/>
        </w:rPr>
        <w:t xml:space="preserve"> </w:t>
      </w:r>
      <w:r>
        <w:rPr>
          <w:rFonts w:eastAsiaTheme="minorEastAsia"/>
        </w:rPr>
        <w:t xml:space="preserve">for vehicle type </w:t>
      </w:r>
      <w:r w:rsidRPr="00C27B31">
        <w:rPr>
          <w:rFonts w:eastAsiaTheme="minorEastAsia"/>
          <w:i/>
        </w:rPr>
        <w:t>i</w:t>
      </w:r>
    </w:p>
    <w:p w:rsidR="00044C36" w:rsidRPr="00B9741D" w:rsidRDefault="00044C36" w:rsidP="00527257">
      <w:pPr>
        <w:spacing w:line="240" w:lineRule="auto"/>
        <w:contextualSpacing/>
        <w:rPr>
          <w:rFonts w:eastAsiaTheme="minorEastAsia"/>
          <w:i/>
        </w:rPr>
      </w:pPr>
      <w:r>
        <w:rPr>
          <w:rFonts w:eastAsiaTheme="minorEastAsia"/>
          <w:i/>
        </w:rPr>
        <w:t>- PMT is the Microsoft Excel in-built function for a constant loan repayment rate</w:t>
      </w:r>
    </w:p>
    <w:p w:rsidR="00527257" w:rsidRDefault="00527257" w:rsidP="00527257">
      <w:pPr>
        <w:spacing w:line="240" w:lineRule="auto"/>
        <w:contextualSpacing/>
        <w:rPr>
          <w:rFonts w:eastAsiaTheme="minorEastAsia"/>
        </w:rPr>
      </w:pPr>
      <w:r>
        <w:rPr>
          <w:rFonts w:eastAsiaTheme="minorEastAsia"/>
        </w:rPr>
        <w:t xml:space="preserve">- </w:t>
      </w:r>
      <w:r w:rsidRPr="001E2019">
        <w:rPr>
          <w:rFonts w:eastAsiaTheme="minorEastAsia"/>
          <w:i/>
        </w:rPr>
        <w:t>P</w:t>
      </w:r>
      <w:r w:rsidRPr="001E2019">
        <w:rPr>
          <w:rFonts w:eastAsiaTheme="minorEastAsia"/>
          <w:i/>
          <w:vertAlign w:val="subscript"/>
        </w:rPr>
        <w:t>i,j</w:t>
      </w:r>
      <w:r>
        <w:rPr>
          <w:rFonts w:eastAsiaTheme="minorEastAsia"/>
        </w:rPr>
        <w:t xml:space="preserve"> is the purchase cost of vehicle type </w:t>
      </w:r>
      <w:r w:rsidRPr="001E2019">
        <w:rPr>
          <w:rFonts w:eastAsiaTheme="minorEastAsia"/>
          <w:i/>
        </w:rPr>
        <w:t>i</w:t>
      </w:r>
      <w:r>
        <w:rPr>
          <w:rFonts w:eastAsiaTheme="minorEastAsia"/>
        </w:rPr>
        <w:t xml:space="preserve"> and drivetrain type </w:t>
      </w:r>
      <w:r w:rsidRPr="001E2019">
        <w:rPr>
          <w:rFonts w:eastAsiaTheme="minorEastAsia"/>
          <w:i/>
        </w:rPr>
        <w:t>j</w:t>
      </w:r>
    </w:p>
    <w:p w:rsidR="00527257" w:rsidRPr="001E2019" w:rsidRDefault="00527257" w:rsidP="00527257">
      <w:pPr>
        <w:spacing w:line="240" w:lineRule="auto"/>
        <w:contextualSpacing/>
        <w:rPr>
          <w:rFonts w:eastAsiaTheme="minorEastAsia"/>
        </w:rPr>
      </w:pPr>
      <w:r>
        <w:rPr>
          <w:rFonts w:eastAsiaTheme="minorEastAsia"/>
        </w:rPr>
        <w:t xml:space="preserve">- </w:t>
      </w:r>
      <w:r w:rsidRPr="001E2019">
        <w:rPr>
          <w:rFonts w:eastAsiaTheme="minorEastAsia"/>
          <w:i/>
        </w:rPr>
        <w:t>n</w:t>
      </w:r>
      <w:r w:rsidRPr="001E2019">
        <w:rPr>
          <w:rFonts w:eastAsiaTheme="minorEastAsia"/>
          <w:i/>
          <w:vertAlign w:val="subscript"/>
        </w:rPr>
        <w:t>i</w:t>
      </w:r>
      <w:r>
        <w:rPr>
          <w:rFonts w:eastAsiaTheme="minorEastAsia"/>
        </w:rPr>
        <w:t xml:space="preserve"> is the lifetime of vehicle type </w:t>
      </w:r>
      <w:r>
        <w:rPr>
          <w:rFonts w:eastAsiaTheme="minorEastAsia"/>
          <w:i/>
        </w:rPr>
        <w:t xml:space="preserve">i </w:t>
      </w:r>
      <w:r>
        <w:rPr>
          <w:rFonts w:eastAsiaTheme="minorEastAsia"/>
        </w:rPr>
        <w:t>(assumed uniform across drivetrains)</w:t>
      </w:r>
    </w:p>
    <w:p w:rsidR="00527257" w:rsidRDefault="00527257" w:rsidP="00527257">
      <w:pPr>
        <w:spacing w:line="240" w:lineRule="auto"/>
        <w:contextualSpacing/>
        <w:rPr>
          <w:rFonts w:eastAsiaTheme="minorEastAsia"/>
        </w:rPr>
      </w:pPr>
      <w:r>
        <w:rPr>
          <w:rFonts w:eastAsiaTheme="minorEastAsia"/>
        </w:rPr>
        <w:t xml:space="preserve">- </w:t>
      </w:r>
      <w:r w:rsidRPr="00B9741D">
        <w:rPr>
          <w:rFonts w:eastAsiaTheme="minorEastAsia"/>
          <w:i/>
        </w:rPr>
        <w:t>d</w:t>
      </w:r>
      <w:r>
        <w:rPr>
          <w:rFonts w:eastAsiaTheme="minorEastAsia"/>
        </w:rPr>
        <w:t xml:space="preserve"> is the discount rate (uniformly applied to all vehicle and drivetrain types)</w:t>
      </w:r>
    </w:p>
    <w:p w:rsidR="00527257" w:rsidRDefault="00527257" w:rsidP="00527257">
      <w:pPr>
        <w:spacing w:line="240" w:lineRule="auto"/>
        <w:contextualSpacing/>
        <w:rPr>
          <w:rFonts w:eastAsiaTheme="minorEastAsia"/>
          <w:i/>
        </w:rPr>
      </w:pPr>
      <w:r>
        <w:rPr>
          <w:rFonts w:eastAsiaTheme="minorEastAsia"/>
        </w:rPr>
        <w:t xml:space="preserve">- </w:t>
      </w:r>
      <w:r w:rsidRPr="00B8453F">
        <w:rPr>
          <w:rFonts w:eastAsiaTheme="minorEastAsia"/>
          <w:i/>
        </w:rPr>
        <w:t>m</w:t>
      </w:r>
      <w:r w:rsidRPr="00B8453F">
        <w:rPr>
          <w:rFonts w:eastAsiaTheme="minorEastAsia"/>
          <w:i/>
          <w:vertAlign w:val="subscript"/>
        </w:rPr>
        <w:t>i,j</w:t>
      </w:r>
      <w:r>
        <w:rPr>
          <w:rFonts w:eastAsiaTheme="minorEastAsia"/>
          <w:i/>
          <w:vertAlign w:val="subscript"/>
        </w:rPr>
        <w:t xml:space="preserve"> </w:t>
      </w:r>
      <w:r>
        <w:rPr>
          <w:rFonts w:eastAsiaTheme="minorEastAsia"/>
        </w:rPr>
        <w:t xml:space="preserve">is the annual operation and maintenance cost of vehicle type </w:t>
      </w:r>
      <w:r w:rsidRPr="001E2019">
        <w:rPr>
          <w:rFonts w:eastAsiaTheme="minorEastAsia"/>
          <w:i/>
        </w:rPr>
        <w:t>i</w:t>
      </w:r>
      <w:r>
        <w:rPr>
          <w:rFonts w:eastAsiaTheme="minorEastAsia"/>
        </w:rPr>
        <w:t xml:space="preserve"> and drivetrain type </w:t>
      </w:r>
      <w:r w:rsidRPr="001E2019">
        <w:rPr>
          <w:rFonts w:eastAsiaTheme="minorEastAsia"/>
          <w:i/>
        </w:rPr>
        <w:t>j</w:t>
      </w:r>
    </w:p>
    <w:p w:rsidR="00527257" w:rsidRDefault="00527257" w:rsidP="00527257">
      <w:pPr>
        <w:spacing w:line="240" w:lineRule="auto"/>
        <w:contextualSpacing/>
        <w:rPr>
          <w:rFonts w:eastAsiaTheme="minorEastAsia"/>
        </w:rPr>
      </w:pPr>
    </w:p>
    <w:p w:rsidR="00527257" w:rsidRDefault="00527257" w:rsidP="00527257">
      <w:pPr>
        <w:rPr>
          <w:rFonts w:eastAsiaTheme="minorEastAsia"/>
        </w:rPr>
      </w:pPr>
      <w:r>
        <w:rPr>
          <w:rFonts w:eastAsiaTheme="minorEastAsia"/>
        </w:rPr>
        <w:t xml:space="preserve">Total fuel costs in 2050, </w:t>
      </w:r>
      <w:r w:rsidRPr="001E2019">
        <w:rPr>
          <w:rFonts w:eastAsiaTheme="minorEastAsia"/>
          <w:i/>
        </w:rPr>
        <w:t>F</w:t>
      </w:r>
      <w:r>
        <w:rPr>
          <w:rFonts w:eastAsiaTheme="minorEastAsia"/>
        </w:rPr>
        <w:t>, are calculated as follows:</w:t>
      </w:r>
    </w:p>
    <w:p w:rsidR="00527257" w:rsidRPr="00B75D7E" w:rsidRDefault="00527257" w:rsidP="00527257">
      <w:pPr>
        <w:ind w:firstLine="720"/>
        <w:rPr>
          <w:rFonts w:eastAsiaTheme="minorEastAsia"/>
        </w:rPr>
      </w:pPr>
      <m:oMath>
        <m:r>
          <w:rPr>
            <w:rFonts w:ascii="Cambria Math" w:hAnsi="Cambria Math"/>
          </w:rPr>
          <m:t>F=</m:t>
        </m:r>
        <m:nary>
          <m:naryPr>
            <m:chr m:val="∑"/>
            <m:limLoc m:val="subSup"/>
            <m:supHide m:val="1"/>
            <m:ctrlPr>
              <w:rPr>
                <w:rFonts w:ascii="Cambria Math" w:hAnsi="Cambria Math"/>
                <w:i/>
              </w:rPr>
            </m:ctrlPr>
          </m:naryPr>
          <m:sub>
            <m:r>
              <w:rPr>
                <w:rFonts w:ascii="Cambria Math" w:hAnsi="Cambria Math"/>
              </w:rPr>
              <m:t>i</m:t>
            </m:r>
          </m:sub>
          <m:sup/>
          <m:e>
            <m:nary>
              <m:naryPr>
                <m:chr m:val="∑"/>
                <m:limLoc m:val="subSup"/>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a</m:t>
                    </m:r>
                  </m:e>
                  <m:sub>
                    <m:r>
                      <w:rPr>
                        <w:rFonts w:ascii="Cambria Math" w:hAnsi="Cambria Math"/>
                      </w:rPr>
                      <m:t>i</m:t>
                    </m:r>
                  </m:sub>
                </m:sSub>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e</m:t>
                    </m:r>
                  </m:e>
                  <m:sub>
                    <m:r>
                      <w:rPr>
                        <w:rFonts w:ascii="Cambria Math" w:hAnsi="Cambria Math"/>
                      </w:rPr>
                      <m:t>i,j</m:t>
                    </m:r>
                  </m:sub>
                </m:sSub>
                <m:sSub>
                  <m:sSubPr>
                    <m:ctrlPr>
                      <w:rPr>
                        <w:rFonts w:ascii="Cambria Math" w:hAnsi="Cambria Math"/>
                        <w:i/>
                      </w:rPr>
                    </m:ctrlPr>
                  </m:sSubPr>
                  <m:e>
                    <m:r>
                      <w:rPr>
                        <w:rFonts w:ascii="Cambria Math" w:hAnsi="Cambria Math"/>
                      </w:rPr>
                      <m:t>c</m:t>
                    </m:r>
                  </m:e>
                  <m:sub>
                    <m:r>
                      <w:rPr>
                        <w:rFonts w:ascii="Cambria Math" w:hAnsi="Cambria Math"/>
                      </w:rPr>
                      <m:t>j</m:t>
                    </m:r>
                  </m:sub>
                </m:sSub>
              </m:e>
            </m:nary>
          </m:e>
        </m:nary>
        <m:r>
          <w:rPr>
            <w:rFonts w:ascii="Cambria Math" w:hAnsi="Cambria Math"/>
          </w:rPr>
          <m:t xml:space="preserve"> </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(3)</w:t>
      </w:r>
    </w:p>
    <w:p w:rsidR="00527257" w:rsidRDefault="00527257" w:rsidP="00527257">
      <w:pPr>
        <w:rPr>
          <w:rFonts w:eastAsiaTheme="minorEastAsia"/>
        </w:rPr>
      </w:pPr>
      <w:r>
        <w:rPr>
          <w:rFonts w:eastAsiaTheme="minorEastAsia"/>
        </w:rPr>
        <w:t>where:</w:t>
      </w:r>
    </w:p>
    <w:p w:rsidR="00527257" w:rsidRDefault="00527257" w:rsidP="000A3D69">
      <w:pPr>
        <w:spacing w:line="240" w:lineRule="auto"/>
        <w:contextualSpacing/>
        <w:rPr>
          <w:rFonts w:eastAsiaTheme="minorEastAsia"/>
          <w:i/>
        </w:rPr>
      </w:pPr>
      <w:r>
        <w:rPr>
          <w:rFonts w:eastAsiaTheme="minorEastAsia"/>
        </w:rPr>
        <w:t xml:space="preserve">- </w:t>
      </w:r>
      <w:r w:rsidRPr="0002640B">
        <w:rPr>
          <w:rFonts w:eastAsiaTheme="minorEastAsia"/>
          <w:i/>
        </w:rPr>
        <w:t>p</w:t>
      </w:r>
      <w:r w:rsidRPr="0002640B">
        <w:rPr>
          <w:rFonts w:eastAsiaTheme="minorEastAsia"/>
          <w:i/>
          <w:vertAlign w:val="subscript"/>
        </w:rPr>
        <w:t xml:space="preserve">i </w:t>
      </w:r>
      <w:r>
        <w:rPr>
          <w:rFonts w:eastAsiaTheme="minorEastAsia"/>
        </w:rPr>
        <w:t xml:space="preserve">is the population of vehicle type </w:t>
      </w:r>
      <w:r w:rsidRPr="0002640B">
        <w:rPr>
          <w:rFonts w:eastAsiaTheme="minorEastAsia"/>
          <w:i/>
        </w:rPr>
        <w:t>i</w:t>
      </w:r>
    </w:p>
    <w:p w:rsidR="00527257" w:rsidRPr="00F17813" w:rsidRDefault="00527257" w:rsidP="000A3D69">
      <w:pPr>
        <w:spacing w:line="240" w:lineRule="auto"/>
        <w:contextualSpacing/>
        <w:rPr>
          <w:rFonts w:eastAsiaTheme="minorEastAsia"/>
        </w:rPr>
      </w:pPr>
      <w:r>
        <w:rPr>
          <w:rFonts w:eastAsiaTheme="minorEastAsia"/>
        </w:rPr>
        <w:t xml:space="preserve">- </w:t>
      </w:r>
      <w:r w:rsidRPr="00F17813">
        <w:rPr>
          <w:rFonts w:eastAsiaTheme="minorEastAsia"/>
          <w:i/>
        </w:rPr>
        <w:t>a</w:t>
      </w:r>
      <w:r w:rsidRPr="00F17813">
        <w:rPr>
          <w:rFonts w:eastAsiaTheme="minorEastAsia"/>
          <w:i/>
          <w:vertAlign w:val="subscript"/>
        </w:rPr>
        <w:t>i</w:t>
      </w:r>
      <w:r>
        <w:rPr>
          <w:rFonts w:eastAsiaTheme="minorEastAsia"/>
        </w:rPr>
        <w:t xml:space="preserve"> is activity for vehicle type </w:t>
      </w:r>
      <w:r>
        <w:rPr>
          <w:rFonts w:eastAsiaTheme="minorEastAsia"/>
          <w:i/>
        </w:rPr>
        <w:t xml:space="preserve">i </w:t>
      </w:r>
      <w:r>
        <w:rPr>
          <w:rFonts w:eastAsiaTheme="minorEastAsia"/>
        </w:rPr>
        <w:t>in 2050</w:t>
      </w:r>
    </w:p>
    <w:p w:rsidR="00527257" w:rsidRDefault="00527257" w:rsidP="000A3D69">
      <w:pPr>
        <w:spacing w:line="240" w:lineRule="auto"/>
        <w:contextualSpacing/>
        <w:rPr>
          <w:rFonts w:eastAsiaTheme="minorEastAsia"/>
          <w:i/>
        </w:rPr>
      </w:pPr>
      <w:r>
        <w:rPr>
          <w:rFonts w:eastAsiaTheme="minorEastAsia"/>
          <w:i/>
        </w:rPr>
        <w:t xml:space="preserve">- </w:t>
      </w:r>
      <w:r w:rsidRPr="0002640B">
        <w:rPr>
          <w:rFonts w:eastAsiaTheme="minorEastAsia"/>
          <w:i/>
        </w:rPr>
        <w:t>s</w:t>
      </w:r>
      <w:r w:rsidRPr="0002640B">
        <w:rPr>
          <w:rFonts w:eastAsiaTheme="minorEastAsia"/>
          <w:i/>
        </w:rPr>
        <w:softHyphen/>
      </w:r>
      <w:r w:rsidRPr="0002640B">
        <w:rPr>
          <w:rFonts w:eastAsiaTheme="minorEastAsia"/>
          <w:i/>
          <w:vertAlign w:val="subscript"/>
        </w:rPr>
        <w:t>i</w:t>
      </w:r>
      <w:r>
        <w:rPr>
          <w:rFonts w:eastAsiaTheme="minorEastAsia"/>
          <w:i/>
          <w:vertAlign w:val="subscript"/>
        </w:rPr>
        <w:t>,j</w:t>
      </w:r>
      <w:r>
        <w:rPr>
          <w:rFonts w:eastAsiaTheme="minorEastAsia"/>
          <w:vertAlign w:val="subscript"/>
        </w:rPr>
        <w:t xml:space="preserve"> </w:t>
      </w:r>
      <w:r w:rsidRPr="0002640B">
        <w:rPr>
          <w:rFonts w:eastAsiaTheme="minorEastAsia"/>
        </w:rPr>
        <w:t xml:space="preserve">is the share of </w:t>
      </w:r>
      <w:r>
        <w:rPr>
          <w:rFonts w:eastAsiaTheme="minorEastAsia"/>
          <w:vertAlign w:val="subscript"/>
        </w:rPr>
        <w:t xml:space="preserve"> </w:t>
      </w:r>
      <w:r>
        <w:rPr>
          <w:rFonts w:eastAsiaTheme="minorEastAsia"/>
        </w:rPr>
        <w:t xml:space="preserve">drivetrain type </w:t>
      </w:r>
      <w:r w:rsidRPr="00C27B31">
        <w:rPr>
          <w:rFonts w:eastAsiaTheme="minorEastAsia"/>
          <w:i/>
        </w:rPr>
        <w:t>j</w:t>
      </w:r>
      <w:r>
        <w:rPr>
          <w:rFonts w:eastAsiaTheme="minorEastAsia"/>
          <w:i/>
        </w:rPr>
        <w:t xml:space="preserve"> </w:t>
      </w:r>
      <w:r>
        <w:rPr>
          <w:rFonts w:eastAsiaTheme="minorEastAsia"/>
        </w:rPr>
        <w:t xml:space="preserve">for vehicle type </w:t>
      </w:r>
      <w:r w:rsidRPr="00C27B31">
        <w:rPr>
          <w:rFonts w:eastAsiaTheme="minorEastAsia"/>
          <w:i/>
        </w:rPr>
        <w:t>i</w:t>
      </w:r>
    </w:p>
    <w:p w:rsidR="00527257" w:rsidRDefault="00527257" w:rsidP="000A3D69">
      <w:pPr>
        <w:spacing w:line="240" w:lineRule="auto"/>
        <w:contextualSpacing/>
        <w:rPr>
          <w:rFonts w:eastAsiaTheme="minorEastAsia"/>
        </w:rPr>
      </w:pPr>
      <w:r>
        <w:rPr>
          <w:rFonts w:eastAsiaTheme="minorEastAsia"/>
          <w:i/>
        </w:rPr>
        <w:t>-</w:t>
      </w:r>
      <w:r>
        <w:rPr>
          <w:rFonts w:eastAsiaTheme="minorEastAsia"/>
        </w:rPr>
        <w:t xml:space="preserve"> </w:t>
      </w:r>
      <w:r w:rsidRPr="00F17813">
        <w:rPr>
          <w:rFonts w:eastAsiaTheme="minorEastAsia"/>
          <w:i/>
        </w:rPr>
        <w:t>e</w:t>
      </w:r>
      <w:r w:rsidRPr="00F17813">
        <w:rPr>
          <w:rFonts w:eastAsiaTheme="minorEastAsia"/>
          <w:i/>
          <w:vertAlign w:val="subscript"/>
        </w:rPr>
        <w:t>i,j</w:t>
      </w:r>
      <w:r>
        <w:rPr>
          <w:rFonts w:eastAsiaTheme="minorEastAsia"/>
        </w:rPr>
        <w:t xml:space="preserve"> is energy use per unit activity for vehicle type </w:t>
      </w:r>
      <w:r w:rsidRPr="00F17813">
        <w:rPr>
          <w:rFonts w:eastAsiaTheme="minorEastAsia"/>
          <w:i/>
        </w:rPr>
        <w:t>i</w:t>
      </w:r>
      <w:r>
        <w:rPr>
          <w:rFonts w:eastAsiaTheme="minorEastAsia"/>
        </w:rPr>
        <w:t xml:space="preserve"> and drivetrain </w:t>
      </w:r>
      <w:r w:rsidRPr="00F17813">
        <w:rPr>
          <w:rFonts w:eastAsiaTheme="minorEastAsia"/>
          <w:i/>
        </w:rPr>
        <w:t>j</w:t>
      </w:r>
      <w:r>
        <w:rPr>
          <w:rFonts w:eastAsiaTheme="minorEastAsia"/>
        </w:rPr>
        <w:t xml:space="preserve"> in 2050</w:t>
      </w:r>
    </w:p>
    <w:p w:rsidR="00527257" w:rsidRPr="00C27B31" w:rsidRDefault="00527257" w:rsidP="000A3D69">
      <w:pPr>
        <w:spacing w:line="240" w:lineRule="auto"/>
        <w:contextualSpacing/>
        <w:rPr>
          <w:rFonts w:eastAsiaTheme="minorEastAsia"/>
        </w:rPr>
      </w:pPr>
      <w:r>
        <w:rPr>
          <w:rFonts w:eastAsiaTheme="minorEastAsia"/>
        </w:rPr>
        <w:t xml:space="preserve">- </w:t>
      </w:r>
      <w:r w:rsidRPr="00F17813">
        <w:rPr>
          <w:rFonts w:eastAsiaTheme="minorEastAsia"/>
          <w:i/>
        </w:rPr>
        <w:t>c</w:t>
      </w:r>
      <w:r w:rsidRPr="00F17813">
        <w:rPr>
          <w:rFonts w:eastAsiaTheme="minorEastAsia"/>
          <w:i/>
          <w:vertAlign w:val="subscript"/>
        </w:rPr>
        <w:t>j</w:t>
      </w:r>
      <w:r>
        <w:rPr>
          <w:rFonts w:eastAsiaTheme="minorEastAsia"/>
        </w:rPr>
        <w:t xml:space="preserve"> is the fuel cost per unit energy for drivetrain </w:t>
      </w:r>
      <w:r w:rsidRPr="00C27B31">
        <w:rPr>
          <w:rFonts w:eastAsiaTheme="minorEastAsia"/>
          <w:i/>
        </w:rPr>
        <w:t>j</w:t>
      </w:r>
      <w:r>
        <w:rPr>
          <w:rFonts w:eastAsiaTheme="minorEastAsia"/>
        </w:rPr>
        <w:t xml:space="preserve"> (which depends on the fuel used)</w:t>
      </w:r>
    </w:p>
    <w:p w:rsidR="00527257" w:rsidRDefault="00527257" w:rsidP="00527257">
      <w:pPr>
        <w:rPr>
          <w:rFonts w:eastAsiaTheme="minorEastAsia"/>
        </w:rPr>
      </w:pPr>
    </w:p>
    <w:p w:rsidR="00527257" w:rsidRDefault="00527257" w:rsidP="00527257">
      <w:r>
        <w:t xml:space="preserve">The emissions savings and cost differential decomposition are only calculated for 2050. For each vehicle type </w:t>
      </w:r>
      <w:r w:rsidRPr="00763892">
        <w:rPr>
          <w:i/>
        </w:rPr>
        <w:t>i</w:t>
      </w:r>
      <w:r>
        <w:t>, CO</w:t>
      </w:r>
      <w:r w:rsidRPr="00763892">
        <w:rPr>
          <w:vertAlign w:val="subscript"/>
        </w:rPr>
        <w:t>2</w:t>
      </w:r>
      <w:r>
        <w:t xml:space="preserve"> emissions </w:t>
      </w:r>
      <w:r w:rsidRPr="00763892">
        <w:rPr>
          <w:i/>
        </w:rPr>
        <w:t>E</w:t>
      </w:r>
      <w:r w:rsidRPr="00763892">
        <w:rPr>
          <w:i/>
          <w:vertAlign w:val="subscript"/>
        </w:rPr>
        <w:t>i</w:t>
      </w:r>
      <w:r>
        <w:t xml:space="preserve"> in 2050 are given by:</w:t>
      </w:r>
    </w:p>
    <w:p w:rsidR="00527257" w:rsidRPr="00763892" w:rsidRDefault="00312F87" w:rsidP="00527257">
      <w:pPr>
        <w:ind w:firstLine="720"/>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eastAsia="Times New Roman" w:hAnsi="Cambria Math"/>
          </w:rPr>
          <m:t>=</m:t>
        </m:r>
        <m:nary>
          <m:naryPr>
            <m:chr m:val="∑"/>
            <m:limLoc m:val="subSup"/>
            <m:supHide m:val="1"/>
            <m:ctrlPr>
              <w:rPr>
                <w:rFonts w:ascii="Cambria Math" w:eastAsia="Times New Roman" w:hAnsi="Cambria Math"/>
                <w:i/>
              </w:rPr>
            </m:ctrlPr>
          </m:naryPr>
          <m:sub>
            <m:r>
              <w:rPr>
                <w:rFonts w:ascii="Cambria Math" w:eastAsia="Times New Roman" w:hAnsi="Cambria Math"/>
              </w:rPr>
              <m:t>j</m:t>
            </m:r>
          </m:sub>
          <m:sup/>
          <m:e>
            <m:sSub>
              <m:sSubPr>
                <m:ctrlPr>
                  <w:rPr>
                    <w:rFonts w:ascii="Cambria Math" w:eastAsia="Times New Roman" w:hAnsi="Cambria Math"/>
                    <w:i/>
                  </w:rPr>
                </m:ctrlPr>
              </m:sSubPr>
              <m:e>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p</m:t>
                        </m:r>
                      </m:e>
                      <m:sub>
                        <m:r>
                          <w:rPr>
                            <w:rFonts w:ascii="Cambria Math" w:eastAsia="Times New Roman" w:hAnsi="Cambria Math"/>
                          </w:rPr>
                          <m:t>i</m:t>
                        </m:r>
                      </m:sub>
                    </m:sSub>
                    <m:r>
                      <w:rPr>
                        <w:rFonts w:ascii="Cambria Math" w:eastAsia="Times New Roman" w:hAnsi="Cambria Math"/>
                      </w:rPr>
                      <m:t>a</m:t>
                    </m:r>
                  </m:e>
                  <m:sub>
                    <m:r>
                      <w:rPr>
                        <w:rFonts w:ascii="Cambria Math" w:eastAsia="Times New Roman" w:hAnsi="Cambria Math"/>
                      </w:rPr>
                      <m:t>i</m:t>
                    </m:r>
                  </m:sub>
                </m:sSub>
                <m:r>
                  <w:rPr>
                    <w:rFonts w:ascii="Cambria Math" w:eastAsia="Times New Roman" w:hAnsi="Cambria Math"/>
                  </w:rPr>
                  <m:t>s</m:t>
                </m:r>
              </m:e>
              <m:sub>
                <m:r>
                  <w:rPr>
                    <w:rFonts w:ascii="Cambria Math" w:eastAsia="Times New Roman" w:hAnsi="Cambria Math"/>
                  </w:rPr>
                  <m:t>i,j</m:t>
                </m:r>
              </m:sub>
            </m:sSub>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i,j</m:t>
                </m:r>
              </m:sub>
            </m:sSub>
            <m:sSub>
              <m:sSubPr>
                <m:ctrlPr>
                  <w:rPr>
                    <w:rFonts w:ascii="Cambria Math" w:eastAsia="Times New Roman" w:hAnsi="Cambria Math"/>
                    <w:i/>
                  </w:rPr>
                </m:ctrlPr>
              </m:sSubPr>
              <m:e>
                <m:r>
                  <w:rPr>
                    <w:rFonts w:ascii="Cambria Math" w:eastAsia="Times New Roman" w:hAnsi="Cambria Math"/>
                  </w:rPr>
                  <m:t>f</m:t>
                </m:r>
              </m:e>
              <m:sub>
                <m:r>
                  <w:rPr>
                    <w:rFonts w:ascii="Cambria Math" w:eastAsia="Times New Roman" w:hAnsi="Cambria Math"/>
                  </w:rPr>
                  <m:t>j</m:t>
                </m:r>
              </m:sub>
            </m:sSub>
          </m:e>
        </m:nary>
      </m:oMath>
      <w:r w:rsidR="00527257">
        <w:rPr>
          <w:rFonts w:eastAsiaTheme="minorEastAsia"/>
        </w:rPr>
        <w:t xml:space="preserve"> </w:t>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t>(4)</w:t>
      </w:r>
    </w:p>
    <w:p w:rsidR="00527257" w:rsidRDefault="00527257" w:rsidP="00527257">
      <w:pPr>
        <w:rPr>
          <w:rFonts w:eastAsiaTheme="minorEastAsia"/>
        </w:rPr>
      </w:pPr>
      <w:r>
        <w:rPr>
          <w:rFonts w:eastAsiaTheme="minorEastAsia"/>
        </w:rPr>
        <w:t xml:space="preserve">It follows that each component can be assigned a share of the total emissions difference between the business-as-usual scenario for each vehicle type </w:t>
      </w:r>
      <w:r w:rsidRPr="00A5317E">
        <w:rPr>
          <w:rFonts w:eastAsiaTheme="minorEastAsia"/>
          <w:i/>
        </w:rPr>
        <w:t>i</w:t>
      </w:r>
      <w:r>
        <w:rPr>
          <w:rFonts w:eastAsiaTheme="minorEastAsia"/>
        </w:rPr>
        <w:t xml:space="preserve">, </w:t>
      </w:r>
      <w:r w:rsidRPr="00763892">
        <w:rPr>
          <w:rFonts w:eastAsiaTheme="minorEastAsia"/>
          <w:i/>
        </w:rPr>
        <w:t>E</w:t>
      </w:r>
      <w:r w:rsidRPr="00763892">
        <w:rPr>
          <w:rFonts w:eastAsiaTheme="minorEastAsia"/>
          <w:i/>
          <w:vertAlign w:val="subscript"/>
        </w:rPr>
        <w:t>i</w:t>
      </w:r>
      <w:r w:rsidRPr="00763892">
        <w:rPr>
          <w:rFonts w:eastAsiaTheme="minorEastAsia"/>
          <w:i/>
          <w:vertAlign w:val="superscript"/>
        </w:rPr>
        <w:t>BAU</w:t>
      </w:r>
      <w:r>
        <w:rPr>
          <w:rFonts w:eastAsiaTheme="minorEastAsia"/>
        </w:rPr>
        <w:t xml:space="preserve"> and the low-carbon scenario </w:t>
      </w:r>
      <w:r w:rsidRPr="00763892">
        <w:rPr>
          <w:rFonts w:eastAsiaTheme="minorEastAsia"/>
          <w:i/>
        </w:rPr>
        <w:t>E</w:t>
      </w:r>
      <w:r w:rsidRPr="00763892">
        <w:rPr>
          <w:rFonts w:eastAsiaTheme="minorEastAsia"/>
          <w:i/>
          <w:vertAlign w:val="subscript"/>
        </w:rPr>
        <w:t>i</w:t>
      </w:r>
      <w:r w:rsidRPr="00763892">
        <w:rPr>
          <w:rFonts w:eastAsiaTheme="minorEastAsia"/>
          <w:i/>
          <w:vertAlign w:val="superscript"/>
        </w:rPr>
        <w:t>LC</w:t>
      </w:r>
      <w:r>
        <w:rPr>
          <w:rFonts w:eastAsiaTheme="minorEastAsia"/>
        </w:rPr>
        <w:t>, as follows:</w:t>
      </w:r>
    </w:p>
    <w:p w:rsidR="00527257" w:rsidRPr="00763892" w:rsidRDefault="00527257" w:rsidP="00527257">
      <w:pPr>
        <w:pStyle w:val="ListParagraph"/>
        <w:numPr>
          <w:ilvl w:val="0"/>
          <w:numId w:val="4"/>
        </w:numPr>
      </w:pPr>
      <w:r w:rsidRPr="00763892">
        <w:rPr>
          <w:rFonts w:eastAsiaTheme="minorEastAsia"/>
        </w:rPr>
        <w:t xml:space="preserve">Population </w:t>
      </w:r>
      <w:r w:rsidRPr="00763892">
        <w:rPr>
          <w:rFonts w:eastAsiaTheme="minorEastAsia"/>
          <w:i/>
        </w:rPr>
        <w:t>p</w:t>
      </w:r>
      <w:r w:rsidRPr="00763892">
        <w:rPr>
          <w:rFonts w:eastAsiaTheme="minorEastAsia"/>
          <w:i/>
          <w:vertAlign w:val="subscript"/>
        </w:rPr>
        <w:t>i</w:t>
      </w:r>
      <w:r w:rsidRPr="00763892">
        <w:rPr>
          <w:rFonts w:eastAsiaTheme="minorEastAsia"/>
        </w:rPr>
        <w:t xml:space="preserve"> and activity </w:t>
      </w:r>
      <w:r w:rsidRPr="00763892">
        <w:rPr>
          <w:rFonts w:eastAsiaTheme="minorEastAsia"/>
          <w:i/>
        </w:rPr>
        <w:t>a</w:t>
      </w:r>
      <w:r w:rsidRPr="00763892">
        <w:rPr>
          <w:rFonts w:eastAsiaTheme="minorEastAsia"/>
          <w:i/>
          <w:vertAlign w:val="subscript"/>
        </w:rPr>
        <w:t>i</w:t>
      </w:r>
      <w:r w:rsidRPr="00763892">
        <w:rPr>
          <w:rFonts w:eastAsiaTheme="minorEastAsia"/>
        </w:rPr>
        <w:t xml:space="preserve"> is held constant between scenarios, so emissions reductions are </w:t>
      </w:r>
      <w:r>
        <w:rPr>
          <w:rFonts w:eastAsiaTheme="minorEastAsia"/>
        </w:rPr>
        <w:t xml:space="preserve">not </w:t>
      </w:r>
      <w:r w:rsidRPr="00763892">
        <w:rPr>
          <w:rFonts w:eastAsiaTheme="minorEastAsia"/>
        </w:rPr>
        <w:t xml:space="preserve">allocated to these factors. </w:t>
      </w:r>
    </w:p>
    <w:p w:rsidR="00527257" w:rsidRPr="00763892" w:rsidRDefault="00527257" w:rsidP="00527257">
      <w:pPr>
        <w:pStyle w:val="ListParagraph"/>
        <w:numPr>
          <w:ilvl w:val="0"/>
          <w:numId w:val="4"/>
        </w:numPr>
      </w:pPr>
      <w:r>
        <w:rPr>
          <w:rFonts w:eastAsiaTheme="minorEastAsia"/>
        </w:rPr>
        <w:t xml:space="preserve">The emissions difference due to a change in share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 s </m:t>
            </m:r>
          </m:sub>
        </m:sSub>
      </m:oMath>
      <w:r>
        <w:rPr>
          <w:rFonts w:eastAsiaTheme="minorEastAsia"/>
        </w:rPr>
        <w:t>, is given by:</w:t>
      </w:r>
    </w:p>
    <w:p w:rsidR="00527257" w:rsidRDefault="00527257" w:rsidP="00527257">
      <w:pPr>
        <w:ind w:left="1080" w:firstLine="360"/>
      </w:pPr>
      <m:oMath>
        <m:r>
          <w:rPr>
            <w:rFonts w:ascii="Cambria Math" w:eastAsiaTheme="minorEastAsia" w:hAnsi="Cambria Math"/>
          </w:rPr>
          <w:lastRenderedPageBreak/>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 s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BAU</m:t>
                    </m:r>
                  </m:sup>
                </m:sSubSup>
              </m:den>
            </m:f>
          </m:e>
        </m:nary>
      </m:oMath>
      <w:r>
        <w:t xml:space="preserve"> </w:t>
      </w:r>
      <w:r>
        <w:tab/>
      </w:r>
      <w:r>
        <w:tab/>
      </w:r>
      <w:r>
        <w:tab/>
      </w:r>
      <w:r>
        <w:tab/>
      </w:r>
      <w:r>
        <w:tab/>
        <w:t>(5)</w:t>
      </w:r>
    </w:p>
    <w:p w:rsidR="00527257" w:rsidRDefault="000A3D69" w:rsidP="00527257">
      <w:pPr>
        <w:ind w:firstLine="709"/>
      </w:pPr>
      <w:r>
        <w:t>w</w:t>
      </w:r>
      <w:r w:rsidR="00527257">
        <w:t>here:</w:t>
      </w:r>
    </w:p>
    <w:p w:rsidR="00527257" w:rsidRPr="00342C12" w:rsidRDefault="00312F87" w:rsidP="00527257">
      <w:pPr>
        <w:pStyle w:val="ListParagraph"/>
        <w:numPr>
          <w:ilvl w:val="0"/>
          <w:numId w:val="6"/>
        </w:num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emissions from vehicle type </w:t>
      </w:r>
      <w:r w:rsidR="00527257" w:rsidRPr="00342C12">
        <w:rPr>
          <w:rFonts w:eastAsiaTheme="minorEastAsia"/>
          <w:i/>
        </w:rPr>
        <w:t>i</w:t>
      </w:r>
      <w:r w:rsidR="00527257">
        <w:rPr>
          <w:rFonts w:eastAsiaTheme="minorEastAsia"/>
        </w:rPr>
        <w:t xml:space="preserve"> and drivetrain type </w:t>
      </w:r>
      <w:r w:rsidR="00527257" w:rsidRPr="00342C12">
        <w:rPr>
          <w:rFonts w:eastAsiaTheme="minorEastAsia"/>
          <w:i/>
        </w:rPr>
        <w:t>j</w:t>
      </w:r>
      <w:r w:rsidR="00527257">
        <w:rPr>
          <w:rFonts w:eastAsiaTheme="minorEastAsia"/>
        </w:rPr>
        <w:t xml:space="preserve"> in the low-carbon and business-as-usual scenarios respectively.</w:t>
      </w:r>
    </w:p>
    <w:p w:rsidR="00527257" w:rsidRPr="00342C12" w:rsidRDefault="00312F87" w:rsidP="00527257">
      <w:pPr>
        <w:pStyle w:val="ListParagraph"/>
        <w:numPr>
          <w:ilvl w:val="0"/>
          <w:numId w:val="6"/>
        </w:numPr>
      </w:p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shares (of the total number of vehicle type </w:t>
      </w:r>
      <w:r w:rsidR="00527257" w:rsidRPr="00342C12">
        <w:rPr>
          <w:rFonts w:eastAsiaTheme="minorEastAsia"/>
          <w:i/>
        </w:rPr>
        <w:t>i</w:t>
      </w:r>
      <w:r w:rsidR="00527257">
        <w:rPr>
          <w:rFonts w:eastAsiaTheme="minorEastAsia"/>
        </w:rPr>
        <w:t xml:space="preserve">) of vehicle type </w:t>
      </w:r>
      <w:r w:rsidR="00527257" w:rsidRPr="00342C12">
        <w:rPr>
          <w:rFonts w:eastAsiaTheme="minorEastAsia"/>
          <w:i/>
        </w:rPr>
        <w:t>i</w:t>
      </w:r>
      <w:r w:rsidR="00527257">
        <w:rPr>
          <w:rFonts w:eastAsiaTheme="minorEastAsia"/>
        </w:rPr>
        <w:t xml:space="preserve"> and drivetrain type </w:t>
      </w:r>
      <w:r w:rsidR="00527257" w:rsidRPr="00342C12">
        <w:rPr>
          <w:rFonts w:eastAsiaTheme="minorEastAsia"/>
          <w:i/>
        </w:rPr>
        <w:t>j</w:t>
      </w:r>
      <w:r w:rsidR="00527257">
        <w:rPr>
          <w:rFonts w:eastAsiaTheme="minorEastAsia"/>
        </w:rPr>
        <w:t xml:space="preserve">  in the low-carbon and business-as-usual scenarios respectively.</w:t>
      </w:r>
    </w:p>
    <w:p w:rsidR="00527257" w:rsidRPr="008516EC" w:rsidRDefault="00527257" w:rsidP="00527257">
      <w:pPr>
        <w:pStyle w:val="ListParagraph"/>
        <w:ind w:left="1429"/>
      </w:pPr>
    </w:p>
    <w:p w:rsidR="00527257" w:rsidRPr="008516EC" w:rsidRDefault="00527257" w:rsidP="00527257">
      <w:pPr>
        <w:pStyle w:val="ListParagraph"/>
        <w:numPr>
          <w:ilvl w:val="0"/>
          <w:numId w:val="4"/>
        </w:numPr>
      </w:pPr>
      <w:r>
        <w:rPr>
          <w:rFonts w:eastAsiaTheme="minorEastAsia"/>
        </w:rPr>
        <w:t xml:space="preserve">The emissions difference due to a change in energy intensity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i,s </m:t>
            </m:r>
          </m:sub>
        </m:sSub>
      </m:oMath>
      <w:r>
        <w:rPr>
          <w:rFonts w:eastAsiaTheme="minorEastAsia"/>
        </w:rPr>
        <w:t>, is given by:</w:t>
      </w:r>
    </w:p>
    <w:p w:rsidR="00527257" w:rsidRDefault="00527257" w:rsidP="00527257">
      <w:pPr>
        <w:ind w:left="1080" w:firstLine="360"/>
        <w:rPr>
          <w:rFonts w:eastAsiaTheme="minorEastAsia"/>
        </w:rPr>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i,e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BAU</m:t>
                    </m:r>
                  </m:sup>
                </m:sSubSup>
              </m:den>
            </m:f>
          </m:e>
        </m:nary>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(6)</w:t>
      </w:r>
    </w:p>
    <w:p w:rsidR="00527257" w:rsidRDefault="000A3D69" w:rsidP="00527257">
      <w:pPr>
        <w:ind w:firstLine="709"/>
      </w:pPr>
      <w:r>
        <w:t>w</w:t>
      </w:r>
      <w:r w:rsidR="00527257">
        <w:t>here:</w:t>
      </w:r>
    </w:p>
    <w:p w:rsidR="00527257" w:rsidRDefault="00312F87" w:rsidP="00527257">
      <w:pPr>
        <w:pStyle w:val="ListParagraph"/>
        <w:numPr>
          <w:ilvl w:val="0"/>
          <w:numId w:val="6"/>
        </w:num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and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oMath>
      <w:r w:rsidR="00527257" w:rsidRPr="00342C12">
        <w:rPr>
          <w:rFonts w:eastAsiaTheme="minorEastAsia"/>
        </w:rPr>
        <w:t xml:space="preserve">are the </w:t>
      </w:r>
      <w:r w:rsidR="00527257">
        <w:rPr>
          <w:rFonts w:eastAsiaTheme="minorEastAsia"/>
        </w:rPr>
        <w:t>energy intensity</w:t>
      </w:r>
      <w:r w:rsidR="00527257" w:rsidRPr="00342C12">
        <w:rPr>
          <w:rFonts w:eastAsiaTheme="minorEastAsia"/>
        </w:rPr>
        <w:t xml:space="preserve"> of vehicle type </w:t>
      </w:r>
      <w:r w:rsidR="00527257" w:rsidRPr="00342C12">
        <w:rPr>
          <w:rFonts w:eastAsiaTheme="minorEastAsia"/>
          <w:i/>
        </w:rPr>
        <w:t>i</w:t>
      </w:r>
      <w:r w:rsidR="00527257" w:rsidRPr="00342C12">
        <w:rPr>
          <w:rFonts w:eastAsiaTheme="minorEastAsia"/>
        </w:rPr>
        <w:t xml:space="preserve"> and drivetrain type </w:t>
      </w:r>
      <w:r w:rsidR="00527257" w:rsidRPr="00342C12">
        <w:rPr>
          <w:rFonts w:eastAsiaTheme="minorEastAsia"/>
          <w:i/>
        </w:rPr>
        <w:t>j</w:t>
      </w:r>
      <w:r w:rsidR="00527257" w:rsidRPr="00342C12">
        <w:rPr>
          <w:rFonts w:eastAsiaTheme="minorEastAsia"/>
        </w:rPr>
        <w:t xml:space="preserve">  in the low-carbon and business-as-usual scenarios respectively</w:t>
      </w:r>
      <w:r w:rsidR="00527257">
        <w:rPr>
          <w:rFonts w:eastAsiaTheme="minorEastAsia"/>
        </w:rPr>
        <w:t>.</w:t>
      </w:r>
    </w:p>
    <w:p w:rsidR="00527257" w:rsidRPr="00342C12" w:rsidRDefault="00527257" w:rsidP="00527257">
      <w:pPr>
        <w:pStyle w:val="ListParagraph"/>
        <w:ind w:left="1429"/>
        <w:rPr>
          <w:rFonts w:eastAsiaTheme="minorEastAsia"/>
        </w:rPr>
      </w:pPr>
    </w:p>
    <w:p w:rsidR="00527257" w:rsidRPr="008516EC" w:rsidRDefault="00527257" w:rsidP="00527257">
      <w:pPr>
        <w:pStyle w:val="ListParagraph"/>
        <w:numPr>
          <w:ilvl w:val="0"/>
          <w:numId w:val="4"/>
        </w:numPr>
      </w:pPr>
      <w:r>
        <w:rPr>
          <w:rFonts w:eastAsiaTheme="minorEastAsia"/>
        </w:rPr>
        <w:t xml:space="preserve">The emissions difference due to a change in specific emissions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i,f </m:t>
            </m:r>
          </m:sub>
        </m:sSub>
      </m:oMath>
      <w:r>
        <w:rPr>
          <w:rFonts w:eastAsiaTheme="minorEastAsia"/>
        </w:rPr>
        <w:t>, is given by:</w:t>
      </w:r>
    </w:p>
    <w:p w:rsidR="00527257" w:rsidRDefault="00527257" w:rsidP="00527257">
      <w:pPr>
        <w:ind w:left="1080" w:firstLine="360"/>
        <w:rPr>
          <w:rFonts w:eastAsiaTheme="minorEastAsia"/>
        </w:rPr>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 xml:space="preserve">i,f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i,j</m:t>
                    </m:r>
                  </m:sub>
                  <m:sup>
                    <m:r>
                      <w:rPr>
                        <w:rFonts w:ascii="Cambria Math" w:eastAsiaTheme="minorEastAsia" w:hAnsi="Cambria Math"/>
                      </w:rPr>
                      <m:t>BAU</m:t>
                    </m:r>
                  </m:sup>
                </m:sSubSup>
              </m:den>
            </m:f>
          </m:e>
        </m:nary>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(7)</w:t>
      </w:r>
    </w:p>
    <w:p w:rsidR="00527257" w:rsidRDefault="000A3D69" w:rsidP="00527257">
      <w:pPr>
        <w:ind w:firstLine="709"/>
      </w:pPr>
      <w:r>
        <w:t>w</w:t>
      </w:r>
      <w:r w:rsidR="00527257">
        <w:t>here:</w:t>
      </w:r>
    </w:p>
    <w:p w:rsidR="00527257" w:rsidRPr="00342C12" w:rsidRDefault="00312F87" w:rsidP="00527257">
      <w:pPr>
        <w:pStyle w:val="ListParagraph"/>
        <w:numPr>
          <w:ilvl w:val="0"/>
          <w:numId w:val="6"/>
        </w:num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and </w:t>
      </w:r>
      <m:oMath>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i,j</m:t>
            </m:r>
          </m:sub>
          <m:sup>
            <m:r>
              <w:rPr>
                <w:rFonts w:ascii="Cambria Math" w:eastAsiaTheme="minorEastAsia" w:hAnsi="Cambria Math"/>
              </w:rPr>
              <m:t xml:space="preserve">BAU </m:t>
            </m:r>
          </m:sup>
        </m:sSubSup>
      </m:oMath>
      <w:r w:rsidR="00527257" w:rsidRPr="00342C12">
        <w:rPr>
          <w:rFonts w:eastAsiaTheme="minorEastAsia"/>
        </w:rPr>
        <w:t xml:space="preserve">are the </w:t>
      </w:r>
      <w:r w:rsidR="00527257">
        <w:rPr>
          <w:rFonts w:eastAsiaTheme="minorEastAsia"/>
        </w:rPr>
        <w:t>emissions intensity</w:t>
      </w:r>
      <w:r w:rsidR="00527257" w:rsidRPr="00342C12">
        <w:rPr>
          <w:rFonts w:eastAsiaTheme="minorEastAsia"/>
        </w:rPr>
        <w:t xml:space="preserve"> </w:t>
      </w:r>
      <w:r w:rsidR="00527257">
        <w:rPr>
          <w:rFonts w:eastAsiaTheme="minorEastAsia"/>
        </w:rPr>
        <w:t xml:space="preserve">(i.e. emissions per unit energy use) </w:t>
      </w:r>
      <w:r w:rsidR="00527257" w:rsidRPr="00342C12">
        <w:rPr>
          <w:rFonts w:eastAsiaTheme="minorEastAsia"/>
        </w:rPr>
        <w:t xml:space="preserve">of vehicle type </w:t>
      </w:r>
      <w:r w:rsidR="00527257" w:rsidRPr="00342C12">
        <w:rPr>
          <w:rFonts w:eastAsiaTheme="minorEastAsia"/>
          <w:i/>
        </w:rPr>
        <w:t>i</w:t>
      </w:r>
      <w:r w:rsidR="00527257" w:rsidRPr="00342C12">
        <w:rPr>
          <w:rFonts w:eastAsiaTheme="minorEastAsia"/>
        </w:rPr>
        <w:t xml:space="preserve"> and drivetrain type </w:t>
      </w:r>
      <w:r w:rsidR="00527257" w:rsidRPr="00342C12">
        <w:rPr>
          <w:rFonts w:eastAsiaTheme="minorEastAsia"/>
          <w:i/>
        </w:rPr>
        <w:t>j</w:t>
      </w:r>
      <w:r w:rsidR="00527257" w:rsidRPr="00342C12">
        <w:rPr>
          <w:rFonts w:eastAsiaTheme="minorEastAsia"/>
        </w:rPr>
        <w:t xml:space="preserve">  in the low-carbon and business-as-usual scenarios respectively</w:t>
      </w:r>
      <w:r w:rsidR="00527257">
        <w:rPr>
          <w:rFonts w:eastAsiaTheme="minorEastAsia"/>
        </w:rPr>
        <w:t>.</w:t>
      </w:r>
    </w:p>
    <w:p w:rsidR="00527257" w:rsidRPr="000F523A" w:rsidRDefault="00527257" w:rsidP="00527257">
      <w:r>
        <w:t xml:space="preserve">For each vehicle type </w:t>
      </w:r>
      <w:r w:rsidRPr="00763892">
        <w:rPr>
          <w:i/>
        </w:rPr>
        <w:t>i</w:t>
      </w:r>
      <w:r>
        <w:t xml:space="preserve">, total annual cost in 2050, </w:t>
      </w:r>
      <w:r>
        <w:rPr>
          <w:i/>
        </w:rPr>
        <w:t>T</w:t>
      </w:r>
      <w:r w:rsidRPr="00800DB5">
        <w:rPr>
          <w:i/>
          <w:vertAlign w:val="subscript"/>
        </w:rPr>
        <w:t>i</w:t>
      </w:r>
      <w:r>
        <w:rPr>
          <w:i/>
        </w:rPr>
        <w:t>,</w:t>
      </w:r>
      <w:r>
        <w:t xml:space="preserve"> is given by the sum of the annualised purchase and maintenance cost, </w:t>
      </w:r>
      <w:r w:rsidRPr="000F523A">
        <w:rPr>
          <w:i/>
        </w:rPr>
        <w:t>C</w:t>
      </w:r>
      <w:r w:rsidRPr="000F523A">
        <w:rPr>
          <w:i/>
          <w:vertAlign w:val="subscript"/>
        </w:rPr>
        <w:t>i</w:t>
      </w:r>
      <w:r>
        <w:rPr>
          <w:i/>
        </w:rPr>
        <w:t xml:space="preserve">, </w:t>
      </w:r>
      <w:r>
        <w:t xml:space="preserve">and annual fuel cost, </w:t>
      </w:r>
      <w:r w:rsidRPr="000F523A">
        <w:rPr>
          <w:i/>
        </w:rPr>
        <w:t>F</w:t>
      </w:r>
      <w:r w:rsidRPr="000F523A">
        <w:rPr>
          <w:i/>
          <w:vertAlign w:val="subscript"/>
        </w:rPr>
        <w:t>i</w:t>
      </w:r>
      <w:r>
        <w:t>:</w:t>
      </w:r>
    </w:p>
    <w:p w:rsidR="00527257" w:rsidRPr="00763892" w:rsidRDefault="00312F87" w:rsidP="00527257">
      <w:pPr>
        <w:ind w:firstLine="720"/>
        <w:rPr>
          <w:rFonts w:eastAsiaTheme="minorEastAsia"/>
        </w:rPr>
      </w:pPr>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F</m:t>
            </m:r>
          </m:e>
          <m:sub>
            <m:r>
              <w:rPr>
                <w:rFonts w:ascii="Cambria Math" w:eastAsia="Times New Roman" w:hAnsi="Cambria Math"/>
              </w:rPr>
              <m:t>i</m:t>
            </m:r>
          </m:sub>
        </m:sSub>
        <m:r>
          <w:rPr>
            <w:rFonts w:ascii="Cambria Math" w:eastAsia="Times New Roman" w:hAnsi="Cambria Math"/>
          </w:rPr>
          <m:t>=</m:t>
        </m:r>
        <m:nary>
          <m:naryPr>
            <m:chr m:val="∑"/>
            <m:limLoc m:val="subSup"/>
            <m:supHide m:val="1"/>
            <m:ctrlPr>
              <w:rPr>
                <w:rFonts w:ascii="Cambria Math" w:eastAsia="Times New Roman" w:hAnsi="Cambria Math"/>
                <w:i/>
              </w:rPr>
            </m:ctrlPr>
          </m:naryPr>
          <m:sub>
            <m:r>
              <w:rPr>
                <w:rFonts w:ascii="Cambria Math" w:eastAsia="Times New Roman" w:hAnsi="Cambria Math"/>
              </w:rPr>
              <m:t>j</m:t>
            </m:r>
          </m:sub>
          <m:sup/>
          <m:e>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p</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i,j</m:t>
                    </m:r>
                  </m:sub>
                </m:sSub>
                <m:r>
                  <w:rPr>
                    <w:rFonts w:ascii="Cambria Math" w:eastAsia="Times New Roman" w:hAnsi="Cambria Math"/>
                  </w:rPr>
                  <m:t>C</m:t>
                </m:r>
              </m:e>
              <m:sub>
                <m:r>
                  <w:rPr>
                    <w:rFonts w:ascii="Cambria Math" w:eastAsia="Times New Roman" w:hAnsi="Cambria Math"/>
                  </w:rPr>
                  <m:t>i,j</m:t>
                </m:r>
              </m:sub>
            </m:sSub>
          </m:e>
        </m:nary>
        <m:r>
          <w:rPr>
            <w:rFonts w:ascii="Cambria Math" w:eastAsia="Times New Roman" w:hAnsi="Cambria Math"/>
          </w:rPr>
          <m:t>+</m:t>
        </m:r>
        <m:nary>
          <m:naryPr>
            <m:chr m:val="∑"/>
            <m:limLoc m:val="subSup"/>
            <m:supHide m:val="1"/>
            <m:ctrlPr>
              <w:rPr>
                <w:rFonts w:ascii="Cambria Math" w:eastAsia="Times New Roman" w:hAnsi="Cambria Math"/>
                <w:i/>
              </w:rPr>
            </m:ctrlPr>
          </m:naryPr>
          <m:sub>
            <m:r>
              <w:rPr>
                <w:rFonts w:ascii="Cambria Math" w:eastAsia="Times New Roman" w:hAnsi="Cambria Math"/>
              </w:rPr>
              <m:t>j</m:t>
            </m:r>
          </m:sub>
          <m:sup/>
          <m:e>
            <m:sSub>
              <m:sSubPr>
                <m:ctrlPr>
                  <w:rPr>
                    <w:rFonts w:ascii="Cambria Math" w:eastAsia="Times New Roman" w:hAnsi="Cambria Math"/>
                    <w:i/>
                  </w:rPr>
                </m:ctrlPr>
              </m:sSubPr>
              <m:e>
                <m:r>
                  <w:rPr>
                    <w:rFonts w:ascii="Cambria Math" w:eastAsia="Times New Roman" w:hAnsi="Cambria Math"/>
                  </w:rPr>
                  <m:t>p</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i,j</m:t>
                </m:r>
              </m:sub>
            </m:sSub>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i,j</m:t>
                </m:r>
              </m:sub>
            </m:sSub>
          </m:e>
        </m:nary>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j</m:t>
            </m:r>
          </m:sub>
        </m:sSub>
      </m:oMath>
      <w:r w:rsidR="00527257">
        <w:rPr>
          <w:rFonts w:eastAsiaTheme="minorEastAsia"/>
        </w:rPr>
        <w:t xml:space="preserve"> </w:t>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r>
      <w:r w:rsidR="00527257">
        <w:rPr>
          <w:rFonts w:eastAsiaTheme="minorEastAsia"/>
        </w:rPr>
        <w:tab/>
        <w:t>(8)</w:t>
      </w:r>
    </w:p>
    <w:p w:rsidR="00527257" w:rsidRDefault="00527257" w:rsidP="00527257">
      <w:pPr>
        <w:rPr>
          <w:rFonts w:eastAsiaTheme="minorEastAsia"/>
        </w:rPr>
      </w:pPr>
      <w:r>
        <w:rPr>
          <w:rFonts w:eastAsiaTheme="minorEastAsia"/>
        </w:rPr>
        <w:t xml:space="preserve">As with allocation of emissions, each component can be assigned a share of the total cost difference between the business-as-usual cost for each vehicle type </w:t>
      </w:r>
      <w:r w:rsidRPr="00A5317E">
        <w:rPr>
          <w:rFonts w:eastAsiaTheme="minorEastAsia"/>
          <w:i/>
        </w:rPr>
        <w:t>i</w:t>
      </w:r>
      <w:r>
        <w:rPr>
          <w:rFonts w:eastAsiaTheme="minorEastAsia"/>
        </w:rPr>
        <w:t xml:space="preserve">, </w:t>
      </w:r>
      <w:r>
        <w:rPr>
          <w:rFonts w:eastAsiaTheme="minorEastAsia"/>
          <w:i/>
        </w:rPr>
        <w:t>T</w:t>
      </w:r>
      <w:r w:rsidRPr="00763892">
        <w:rPr>
          <w:rFonts w:eastAsiaTheme="minorEastAsia"/>
          <w:i/>
          <w:vertAlign w:val="subscript"/>
        </w:rPr>
        <w:t>i</w:t>
      </w:r>
      <w:r w:rsidRPr="00763892">
        <w:rPr>
          <w:rFonts w:eastAsiaTheme="minorEastAsia"/>
          <w:i/>
          <w:vertAlign w:val="superscript"/>
        </w:rPr>
        <w:t>BAU</w:t>
      </w:r>
      <w:r>
        <w:rPr>
          <w:rFonts w:eastAsiaTheme="minorEastAsia"/>
        </w:rPr>
        <w:t xml:space="preserve"> and the low-carbon scenario cost, </w:t>
      </w:r>
      <w:r>
        <w:rPr>
          <w:rFonts w:eastAsiaTheme="minorEastAsia"/>
          <w:i/>
        </w:rPr>
        <w:t>T</w:t>
      </w:r>
      <w:r w:rsidRPr="00763892">
        <w:rPr>
          <w:rFonts w:eastAsiaTheme="minorEastAsia"/>
          <w:i/>
          <w:vertAlign w:val="subscript"/>
        </w:rPr>
        <w:t>i</w:t>
      </w:r>
      <w:r w:rsidRPr="00763892">
        <w:rPr>
          <w:rFonts w:eastAsiaTheme="minorEastAsia"/>
          <w:i/>
          <w:vertAlign w:val="superscript"/>
        </w:rPr>
        <w:t>LC</w:t>
      </w:r>
      <w:r>
        <w:rPr>
          <w:rFonts w:eastAsiaTheme="minorEastAsia"/>
        </w:rPr>
        <w:t>, as follows:</w:t>
      </w:r>
    </w:p>
    <w:p w:rsidR="00527257" w:rsidRPr="00763892" w:rsidRDefault="00527257" w:rsidP="00527257">
      <w:pPr>
        <w:pStyle w:val="ListParagraph"/>
        <w:numPr>
          <w:ilvl w:val="0"/>
          <w:numId w:val="4"/>
        </w:numPr>
      </w:pPr>
      <w:r w:rsidRPr="00763892">
        <w:rPr>
          <w:rFonts w:eastAsiaTheme="minorEastAsia"/>
        </w:rPr>
        <w:t xml:space="preserve">Population </w:t>
      </w:r>
      <w:r w:rsidRPr="00763892">
        <w:rPr>
          <w:rFonts w:eastAsiaTheme="minorEastAsia"/>
          <w:i/>
        </w:rPr>
        <w:t>p</w:t>
      </w:r>
      <w:r w:rsidRPr="00763892">
        <w:rPr>
          <w:rFonts w:eastAsiaTheme="minorEastAsia"/>
          <w:i/>
          <w:vertAlign w:val="subscript"/>
        </w:rPr>
        <w:t>i</w:t>
      </w:r>
      <w:r w:rsidRPr="00763892">
        <w:rPr>
          <w:rFonts w:eastAsiaTheme="minorEastAsia"/>
        </w:rPr>
        <w:t xml:space="preserve"> and activity </w:t>
      </w:r>
      <w:r w:rsidRPr="00763892">
        <w:rPr>
          <w:rFonts w:eastAsiaTheme="minorEastAsia"/>
          <w:i/>
        </w:rPr>
        <w:t>a</w:t>
      </w:r>
      <w:r w:rsidRPr="00763892">
        <w:rPr>
          <w:rFonts w:eastAsiaTheme="minorEastAsia"/>
          <w:i/>
          <w:vertAlign w:val="subscript"/>
        </w:rPr>
        <w:t>i</w:t>
      </w:r>
      <w:r w:rsidRPr="00763892">
        <w:rPr>
          <w:rFonts w:eastAsiaTheme="minorEastAsia"/>
        </w:rPr>
        <w:t xml:space="preserve"> is held constant between scenarios, so emissions reductions are </w:t>
      </w:r>
      <w:r>
        <w:rPr>
          <w:rFonts w:eastAsiaTheme="minorEastAsia"/>
        </w:rPr>
        <w:t xml:space="preserve">not </w:t>
      </w:r>
      <w:r w:rsidRPr="00763892">
        <w:rPr>
          <w:rFonts w:eastAsiaTheme="minorEastAsia"/>
        </w:rPr>
        <w:t xml:space="preserve">allocated to these factors. </w:t>
      </w:r>
    </w:p>
    <w:p w:rsidR="00527257" w:rsidRPr="00763892" w:rsidRDefault="00527257" w:rsidP="00527257">
      <w:pPr>
        <w:pStyle w:val="ListParagraph"/>
        <w:numPr>
          <w:ilvl w:val="0"/>
          <w:numId w:val="4"/>
        </w:numPr>
      </w:pPr>
      <w:r>
        <w:rPr>
          <w:rFonts w:eastAsiaTheme="minorEastAsia"/>
        </w:rPr>
        <w:t xml:space="preserve">The annualised purchase and maintenance cost difference between the business-as-usual scenario, </w:t>
      </w:r>
      <w:r w:rsidRPr="00BB36AC">
        <w:rPr>
          <w:rFonts w:eastAsiaTheme="minorEastAsia"/>
          <w:i/>
        </w:rPr>
        <w:t>C</w:t>
      </w:r>
      <w:r w:rsidRPr="00BB36AC">
        <w:rPr>
          <w:rFonts w:eastAsiaTheme="minorEastAsia"/>
          <w:i/>
          <w:vertAlign w:val="subscript"/>
        </w:rPr>
        <w:t>i</w:t>
      </w:r>
      <w:r w:rsidRPr="00BB36AC">
        <w:rPr>
          <w:rFonts w:eastAsiaTheme="minorEastAsia"/>
          <w:i/>
          <w:vertAlign w:val="superscript"/>
        </w:rPr>
        <w:t>BAU</w:t>
      </w:r>
      <w:r>
        <w:rPr>
          <w:rFonts w:eastAsiaTheme="minorEastAsia"/>
          <w:i/>
        </w:rPr>
        <w:t>,</w:t>
      </w:r>
      <w:r>
        <w:rPr>
          <w:rFonts w:eastAsiaTheme="minorEastAsia"/>
          <w:i/>
          <w:vertAlign w:val="superscript"/>
        </w:rPr>
        <w:t xml:space="preserve"> </w:t>
      </w:r>
      <w:r>
        <w:rPr>
          <w:rFonts w:eastAsiaTheme="minorEastAsia"/>
          <w:vertAlign w:val="superscript"/>
        </w:rPr>
        <w:t xml:space="preserve"> </w:t>
      </w:r>
      <w:r w:rsidRPr="00BB36AC">
        <w:rPr>
          <w:rFonts w:eastAsiaTheme="minorEastAsia"/>
        </w:rPr>
        <w:t>and the low-carbon scenario</w:t>
      </w:r>
      <w:r>
        <w:rPr>
          <w:rFonts w:eastAsiaTheme="minorEastAsia"/>
        </w:rPr>
        <w:t xml:space="preserve">, </w:t>
      </w:r>
      <w:r>
        <w:rPr>
          <w:rFonts w:eastAsiaTheme="minorEastAsia"/>
          <w:i/>
        </w:rPr>
        <w:t>C</w:t>
      </w:r>
      <w:r>
        <w:rPr>
          <w:rFonts w:eastAsiaTheme="minorEastAsia"/>
          <w:i/>
          <w:vertAlign w:val="subscript"/>
        </w:rPr>
        <w:t>i</w:t>
      </w:r>
      <w:r>
        <w:rPr>
          <w:rFonts w:eastAsiaTheme="minorEastAsia"/>
          <w:i/>
          <w:vertAlign w:val="superscript"/>
        </w:rPr>
        <w:t>LC</w:t>
      </w:r>
      <w:r>
        <w:rPr>
          <w:rFonts w:eastAsiaTheme="minorEastAsia"/>
          <w:i/>
        </w:rPr>
        <w:t xml:space="preserve">,  </w:t>
      </w:r>
      <w:r w:rsidRPr="00BB36AC">
        <w:rPr>
          <w:rFonts w:eastAsiaTheme="minorEastAsia"/>
        </w:rPr>
        <w:t xml:space="preserve">depends solely on the difference in </w:t>
      </w:r>
      <w:r>
        <w:rPr>
          <w:rFonts w:eastAsiaTheme="minorEastAsia"/>
        </w:rPr>
        <w:t xml:space="preserve">share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 xml:space="preserve">i, s </m:t>
            </m:r>
          </m:sub>
        </m:sSub>
      </m:oMath>
      <w:r>
        <w:rPr>
          <w:rFonts w:eastAsiaTheme="minorEastAsia"/>
          <w:i/>
        </w:rPr>
        <w:t>,</w:t>
      </w:r>
      <w:r>
        <w:rPr>
          <w:rFonts w:eastAsiaTheme="minorEastAsia"/>
        </w:rPr>
        <w:t xml:space="preserve"> as given by:</w:t>
      </w:r>
    </w:p>
    <w:p w:rsidR="00527257" w:rsidRDefault="00527257" w:rsidP="00527257">
      <w:pPr>
        <w:ind w:left="1080" w:firstLine="360"/>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 xml:space="preserve">i, s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BAU</m:t>
                    </m:r>
                  </m:sup>
                </m:sSubSup>
              </m:den>
            </m:f>
          </m:e>
        </m:nary>
      </m:oMath>
      <w:r>
        <w:t xml:space="preserve"> </w:t>
      </w:r>
      <w:r>
        <w:tab/>
      </w:r>
      <w:r>
        <w:tab/>
      </w:r>
      <w:r>
        <w:tab/>
      </w:r>
      <w:r>
        <w:tab/>
      </w:r>
      <w:r>
        <w:tab/>
        <w:t>(9)</w:t>
      </w:r>
    </w:p>
    <w:p w:rsidR="00527257" w:rsidRDefault="000A3D69" w:rsidP="00527257">
      <w:pPr>
        <w:ind w:firstLine="709"/>
      </w:pPr>
      <w:r>
        <w:t>w</w:t>
      </w:r>
      <w:r w:rsidR="00527257">
        <w:t>here:</w:t>
      </w:r>
    </w:p>
    <w:p w:rsidR="00527257" w:rsidRDefault="00312F87" w:rsidP="00527257">
      <w:pPr>
        <w:pStyle w:val="ListParagraph"/>
        <w:numPr>
          <w:ilvl w:val="0"/>
          <w:numId w:val="6"/>
        </w:num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and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BAU </m:t>
            </m:r>
          </m:sup>
        </m:sSubSup>
      </m:oMath>
      <w:r w:rsidR="00527257" w:rsidRPr="00342C12">
        <w:rPr>
          <w:rFonts w:eastAsiaTheme="minorEastAsia"/>
        </w:rPr>
        <w:t xml:space="preserve">are the </w:t>
      </w:r>
      <w:r w:rsidR="00527257">
        <w:rPr>
          <w:rFonts w:eastAsiaTheme="minorEastAsia"/>
        </w:rPr>
        <w:t>2050 annualised purchase and maintenance cost</w:t>
      </w:r>
      <w:r w:rsidR="00527257" w:rsidRPr="00342C12">
        <w:rPr>
          <w:rFonts w:eastAsiaTheme="minorEastAsia"/>
        </w:rPr>
        <w:t xml:space="preserve"> of vehicle type </w:t>
      </w:r>
      <w:r w:rsidR="00527257" w:rsidRPr="00342C12">
        <w:rPr>
          <w:rFonts w:eastAsiaTheme="minorEastAsia"/>
          <w:i/>
        </w:rPr>
        <w:t>i</w:t>
      </w:r>
      <w:r w:rsidR="00527257" w:rsidRPr="00342C12">
        <w:rPr>
          <w:rFonts w:eastAsiaTheme="minorEastAsia"/>
        </w:rPr>
        <w:t xml:space="preserve"> and drivetrain type </w:t>
      </w:r>
      <w:r w:rsidR="00527257" w:rsidRPr="00342C12">
        <w:rPr>
          <w:rFonts w:eastAsiaTheme="minorEastAsia"/>
          <w:i/>
        </w:rPr>
        <w:t>j</w:t>
      </w:r>
      <w:r w:rsidR="00527257" w:rsidRPr="00342C12">
        <w:rPr>
          <w:rFonts w:eastAsiaTheme="minorEastAsia"/>
        </w:rPr>
        <w:t xml:space="preserve">  in the low-carbon and business-as-usual scenarios respectively</w:t>
      </w:r>
      <w:r w:rsidR="00527257">
        <w:rPr>
          <w:rFonts w:eastAsiaTheme="minorEastAsia"/>
        </w:rPr>
        <w:t>.</w:t>
      </w:r>
    </w:p>
    <w:p w:rsidR="00527257" w:rsidRPr="00342C12" w:rsidRDefault="00527257" w:rsidP="00527257">
      <w:pPr>
        <w:pStyle w:val="ListParagraph"/>
        <w:ind w:left="1429"/>
        <w:rPr>
          <w:rFonts w:eastAsiaTheme="minorEastAsia"/>
        </w:rPr>
      </w:pPr>
    </w:p>
    <w:p w:rsidR="00527257" w:rsidRPr="00BB36AC" w:rsidRDefault="00527257" w:rsidP="00527257">
      <w:pPr>
        <w:pStyle w:val="ListParagraph"/>
        <w:numPr>
          <w:ilvl w:val="0"/>
          <w:numId w:val="4"/>
        </w:numPr>
      </w:pPr>
      <w:r>
        <w:rPr>
          <w:rFonts w:eastAsiaTheme="minorEastAsia"/>
        </w:rPr>
        <w:t xml:space="preserve">The annual fuel cost difference between the business-as-usual scenario, </w:t>
      </w:r>
      <w:r w:rsidRPr="00BB36AC">
        <w:rPr>
          <w:rFonts w:eastAsiaTheme="minorEastAsia"/>
          <w:i/>
        </w:rPr>
        <w:t>T</w:t>
      </w:r>
      <w:r w:rsidRPr="00BB36AC">
        <w:rPr>
          <w:rFonts w:eastAsiaTheme="minorEastAsia"/>
          <w:i/>
          <w:vertAlign w:val="subscript"/>
        </w:rPr>
        <w:t>i</w:t>
      </w:r>
      <w:r w:rsidRPr="00BB36AC">
        <w:rPr>
          <w:rFonts w:eastAsiaTheme="minorEastAsia"/>
          <w:i/>
          <w:vertAlign w:val="superscript"/>
        </w:rPr>
        <w:t>BAU</w:t>
      </w:r>
      <w:r>
        <w:rPr>
          <w:rFonts w:eastAsiaTheme="minorEastAsia"/>
          <w:i/>
        </w:rPr>
        <w:t>,</w:t>
      </w:r>
      <w:r>
        <w:rPr>
          <w:rFonts w:eastAsiaTheme="minorEastAsia"/>
          <w:i/>
          <w:vertAlign w:val="superscript"/>
        </w:rPr>
        <w:t xml:space="preserve"> </w:t>
      </w:r>
      <w:r>
        <w:rPr>
          <w:rFonts w:eastAsiaTheme="minorEastAsia"/>
          <w:vertAlign w:val="superscript"/>
        </w:rPr>
        <w:t xml:space="preserve"> </w:t>
      </w:r>
      <w:r w:rsidRPr="00BB36AC">
        <w:rPr>
          <w:rFonts w:eastAsiaTheme="minorEastAsia"/>
        </w:rPr>
        <w:t>and the low-carbon scenario</w:t>
      </w:r>
      <w:r>
        <w:rPr>
          <w:rFonts w:eastAsiaTheme="minorEastAsia"/>
        </w:rPr>
        <w:t xml:space="preserve">, </w:t>
      </w:r>
      <w:r>
        <w:rPr>
          <w:rFonts w:eastAsiaTheme="minorEastAsia"/>
          <w:i/>
        </w:rPr>
        <w:t>T</w:t>
      </w:r>
      <w:r>
        <w:rPr>
          <w:rFonts w:eastAsiaTheme="minorEastAsia"/>
          <w:i/>
          <w:vertAlign w:val="subscript"/>
        </w:rPr>
        <w:t>i</w:t>
      </w:r>
      <w:r>
        <w:rPr>
          <w:rFonts w:eastAsiaTheme="minorEastAsia"/>
          <w:i/>
          <w:vertAlign w:val="superscript"/>
        </w:rPr>
        <w:t>LC</w:t>
      </w:r>
      <w:r>
        <w:rPr>
          <w:rFonts w:eastAsiaTheme="minorEastAsia"/>
          <w:i/>
        </w:rPr>
        <w:t xml:space="preserve">,  </w:t>
      </w:r>
      <w:r>
        <w:rPr>
          <w:rFonts w:eastAsiaTheme="minorEastAsia"/>
        </w:rPr>
        <w:t>is the sum of:</w:t>
      </w:r>
    </w:p>
    <w:p w:rsidR="00527257" w:rsidRPr="00BB36AC" w:rsidRDefault="00527257" w:rsidP="00527257">
      <w:pPr>
        <w:pStyle w:val="ListParagraph"/>
        <w:numPr>
          <w:ilvl w:val="1"/>
          <w:numId w:val="4"/>
        </w:numPr>
      </w:pPr>
      <w:r w:rsidRPr="00BB36AC">
        <w:rPr>
          <w:rFonts w:eastAsiaTheme="minorEastAsia"/>
        </w:rPr>
        <w:t xml:space="preserve">the difference in </w:t>
      </w:r>
      <w:r>
        <w:rPr>
          <w:rFonts w:eastAsiaTheme="minorEastAsia"/>
        </w:rPr>
        <w:t xml:space="preserve">cost resulting from a change in the share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 s </m:t>
            </m:r>
          </m:sub>
        </m:sSub>
      </m:oMath>
      <w:r>
        <w:rPr>
          <w:rFonts w:eastAsiaTheme="minorEastAsia"/>
          <w:i/>
        </w:rPr>
        <w:t>,</w:t>
      </w:r>
      <w:r>
        <w:rPr>
          <w:rFonts w:eastAsiaTheme="minorEastAsia"/>
        </w:rPr>
        <w:t xml:space="preserve"> as given by:</w:t>
      </w:r>
    </w:p>
    <w:p w:rsidR="00527257" w:rsidRPr="00BB36AC" w:rsidRDefault="00527257" w:rsidP="00527257">
      <w:pPr>
        <w:pStyle w:val="ListParagraph"/>
        <w:ind w:left="1440"/>
      </w:pPr>
    </w:p>
    <w:p w:rsidR="00527257" w:rsidRPr="000A3D69" w:rsidRDefault="00527257" w:rsidP="000A3D69">
      <w:pPr>
        <w:pStyle w:val="ListParagraph"/>
        <w:ind w:firstLine="720"/>
        <w:rPr>
          <w:rFonts w:eastAsiaTheme="minorEastAsia"/>
        </w:rPr>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i,s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BAU</m:t>
                    </m:r>
                  </m:sup>
                </m:sSubSup>
              </m:den>
            </m:f>
          </m:e>
        </m:nary>
      </m:oMath>
      <w:r w:rsidRPr="00BB36AC">
        <w:rPr>
          <w:rFonts w:eastAsiaTheme="minorEastAsia"/>
        </w:rPr>
        <w:t xml:space="preserve"> </w:t>
      </w:r>
      <w:r w:rsidR="000A3D69">
        <w:rPr>
          <w:rFonts w:eastAsiaTheme="minorEastAsia"/>
        </w:rPr>
        <w:tab/>
      </w:r>
      <w:r w:rsidR="000A3D69">
        <w:rPr>
          <w:rFonts w:eastAsiaTheme="minorEastAsia"/>
        </w:rPr>
        <w:tab/>
      </w:r>
      <w:r w:rsidR="000A3D69">
        <w:rPr>
          <w:rFonts w:eastAsiaTheme="minorEastAsia"/>
        </w:rPr>
        <w:tab/>
      </w:r>
      <w:r w:rsidR="000A3D69">
        <w:rPr>
          <w:rFonts w:eastAsiaTheme="minorEastAsia"/>
        </w:rPr>
        <w:tab/>
      </w:r>
      <w:r w:rsidR="000A3D69">
        <w:rPr>
          <w:rFonts w:eastAsiaTheme="minorEastAsia"/>
        </w:rPr>
        <w:tab/>
        <w:t>(10)</w:t>
      </w:r>
    </w:p>
    <w:p w:rsidR="00527257" w:rsidRDefault="000A3D69" w:rsidP="00527257">
      <w:pPr>
        <w:ind w:left="709" w:firstLine="720"/>
      </w:pPr>
      <w:r>
        <w:t>w</w:t>
      </w:r>
      <w:r w:rsidR="00527257">
        <w:t>here:</w:t>
      </w:r>
    </w:p>
    <w:p w:rsidR="00527257" w:rsidRPr="00342C12" w:rsidRDefault="00312F87" w:rsidP="00527257">
      <w:pPr>
        <w:pStyle w:val="ListParagraph"/>
        <w:numPr>
          <w:ilvl w:val="1"/>
          <w:numId w:val="7"/>
        </w:numPr>
      </w:pPr>
      <m:oMath>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annual 2050 fuel costs for each vehicle type </w:t>
      </w:r>
      <w:r w:rsidR="00527257" w:rsidRPr="00342C12">
        <w:rPr>
          <w:rFonts w:eastAsiaTheme="minorEastAsia"/>
          <w:i/>
        </w:rPr>
        <w:t>i</w:t>
      </w:r>
      <w:r w:rsidR="00527257">
        <w:rPr>
          <w:rFonts w:eastAsiaTheme="minorEastAsia"/>
        </w:rPr>
        <w:t xml:space="preserve"> and drivetrain type </w:t>
      </w:r>
      <w:r w:rsidR="00527257" w:rsidRPr="00342C12">
        <w:rPr>
          <w:rFonts w:eastAsiaTheme="minorEastAsia"/>
          <w:i/>
        </w:rPr>
        <w:t>j</w:t>
      </w:r>
      <w:r w:rsidR="00527257">
        <w:rPr>
          <w:rFonts w:eastAsiaTheme="minorEastAsia"/>
        </w:rPr>
        <w:t xml:space="preserve"> in the low-carbon and business-as-usual scenarios respectively.</w:t>
      </w:r>
    </w:p>
    <w:p w:rsidR="00527257" w:rsidRPr="00342C12" w:rsidRDefault="00312F87" w:rsidP="00527257">
      <w:pPr>
        <w:pStyle w:val="ListParagraph"/>
        <w:numPr>
          <w:ilvl w:val="1"/>
          <w:numId w:val="7"/>
        </w:numPr>
      </w:p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shares (of the total number of vehicle type </w:t>
      </w:r>
      <w:r w:rsidR="00527257" w:rsidRPr="00342C12">
        <w:rPr>
          <w:rFonts w:eastAsiaTheme="minorEastAsia"/>
          <w:i/>
        </w:rPr>
        <w:t>i</w:t>
      </w:r>
      <w:r w:rsidR="00527257">
        <w:rPr>
          <w:rFonts w:eastAsiaTheme="minorEastAsia"/>
        </w:rPr>
        <w:t xml:space="preserve">) of vehicle type </w:t>
      </w:r>
      <w:r w:rsidR="00527257" w:rsidRPr="00342C12">
        <w:rPr>
          <w:rFonts w:eastAsiaTheme="minorEastAsia"/>
          <w:i/>
        </w:rPr>
        <w:t>i</w:t>
      </w:r>
      <w:r w:rsidR="00527257">
        <w:rPr>
          <w:rFonts w:eastAsiaTheme="minorEastAsia"/>
        </w:rPr>
        <w:t xml:space="preserve"> and drivetrain type </w:t>
      </w:r>
      <w:r w:rsidR="00527257" w:rsidRPr="00342C12">
        <w:rPr>
          <w:rFonts w:eastAsiaTheme="minorEastAsia"/>
          <w:i/>
        </w:rPr>
        <w:t>j</w:t>
      </w:r>
      <w:r w:rsidR="00527257">
        <w:rPr>
          <w:rFonts w:eastAsiaTheme="minorEastAsia"/>
        </w:rPr>
        <w:t xml:space="preserve">  in the low-carbon and business-as-usual scenarios respectively.</w:t>
      </w:r>
    </w:p>
    <w:p w:rsidR="00527257" w:rsidRPr="00BB36AC" w:rsidRDefault="00527257" w:rsidP="00527257">
      <w:pPr>
        <w:pStyle w:val="ListParagraph"/>
        <w:ind w:firstLine="720"/>
        <w:rPr>
          <w:rFonts w:eastAsiaTheme="minorEastAsia"/>
        </w:rPr>
      </w:pPr>
    </w:p>
    <w:p w:rsidR="00527257" w:rsidRPr="00BB36AC" w:rsidRDefault="00527257" w:rsidP="00527257">
      <w:pPr>
        <w:pStyle w:val="ListParagraph"/>
        <w:numPr>
          <w:ilvl w:val="1"/>
          <w:numId w:val="4"/>
        </w:numPr>
      </w:pPr>
      <w:r w:rsidRPr="00BB36AC">
        <w:rPr>
          <w:rFonts w:eastAsiaTheme="minorEastAsia"/>
        </w:rPr>
        <w:t xml:space="preserve">the difference in </w:t>
      </w:r>
      <w:r>
        <w:rPr>
          <w:rFonts w:eastAsiaTheme="minorEastAsia"/>
        </w:rPr>
        <w:t xml:space="preserve">cost resulting from a change in energy intensity of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 e </m:t>
            </m:r>
          </m:sub>
        </m:sSub>
      </m:oMath>
      <w:r>
        <w:rPr>
          <w:rFonts w:eastAsiaTheme="minorEastAsia"/>
          <w:i/>
        </w:rPr>
        <w:t>,</w:t>
      </w:r>
      <w:r>
        <w:rPr>
          <w:rFonts w:eastAsiaTheme="minorEastAsia"/>
        </w:rPr>
        <w:t xml:space="preserve"> as given by:</w:t>
      </w:r>
    </w:p>
    <w:p w:rsidR="00527257" w:rsidRPr="00BB36AC" w:rsidRDefault="00527257" w:rsidP="00527257">
      <w:pPr>
        <w:pStyle w:val="ListParagraph"/>
        <w:ind w:left="1440"/>
      </w:pPr>
    </w:p>
    <w:p w:rsidR="00527257" w:rsidRDefault="00527257" w:rsidP="00527257">
      <w:pPr>
        <w:pStyle w:val="ListParagraph"/>
        <w:ind w:firstLine="720"/>
        <w:rPr>
          <w:rFonts w:eastAsiaTheme="minorEastAsia"/>
        </w:rPr>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i,e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BAU</m:t>
                    </m:r>
                  </m:sup>
                </m:sSubSup>
              </m:den>
            </m:f>
          </m:e>
        </m:nary>
      </m:oMath>
      <w:r w:rsidRPr="00BB36AC">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(11)</w:t>
      </w:r>
    </w:p>
    <w:p w:rsidR="00527257" w:rsidRDefault="000A3D69" w:rsidP="00527257">
      <w:pPr>
        <w:ind w:left="709" w:firstLine="720"/>
      </w:pPr>
      <w:r>
        <w:t>w</w:t>
      </w:r>
      <w:r w:rsidR="00527257">
        <w:t>here:</w:t>
      </w:r>
    </w:p>
    <w:p w:rsidR="00527257" w:rsidRPr="00342C12" w:rsidRDefault="00312F87" w:rsidP="00527257">
      <w:pPr>
        <w:pStyle w:val="ListParagraph"/>
        <w:numPr>
          <w:ilvl w:val="1"/>
          <w:numId w:val="7"/>
        </w:num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energy intensity of vehicle type </w:t>
      </w:r>
      <w:r w:rsidR="00527257" w:rsidRPr="00342C12">
        <w:rPr>
          <w:rFonts w:eastAsiaTheme="minorEastAsia"/>
          <w:i/>
        </w:rPr>
        <w:t>i</w:t>
      </w:r>
      <w:r w:rsidR="00527257">
        <w:rPr>
          <w:rFonts w:eastAsiaTheme="minorEastAsia"/>
        </w:rPr>
        <w:t xml:space="preserve"> and drivetrain type </w:t>
      </w:r>
      <w:r w:rsidR="00527257" w:rsidRPr="00342C12">
        <w:rPr>
          <w:rFonts w:eastAsiaTheme="minorEastAsia"/>
          <w:i/>
        </w:rPr>
        <w:t>j</w:t>
      </w:r>
      <w:r w:rsidR="00527257">
        <w:rPr>
          <w:rFonts w:eastAsiaTheme="minorEastAsia"/>
        </w:rPr>
        <w:t xml:space="preserve">  in the low-carbon and business-as-usual scenarios respectively.</w:t>
      </w:r>
    </w:p>
    <w:p w:rsidR="00527257" w:rsidRPr="00342C12" w:rsidRDefault="00527257" w:rsidP="00527257">
      <w:pPr>
        <w:pStyle w:val="ListParagraph"/>
        <w:ind w:left="2149"/>
      </w:pPr>
    </w:p>
    <w:p w:rsidR="00527257" w:rsidRPr="00BB36AC" w:rsidRDefault="00527257" w:rsidP="00527257">
      <w:pPr>
        <w:pStyle w:val="ListParagraph"/>
        <w:numPr>
          <w:ilvl w:val="1"/>
          <w:numId w:val="4"/>
        </w:numPr>
      </w:pPr>
      <w:r w:rsidRPr="00BB36AC">
        <w:rPr>
          <w:rFonts w:eastAsiaTheme="minorEastAsia"/>
        </w:rPr>
        <w:t xml:space="preserve">the difference in </w:t>
      </w:r>
      <w:r>
        <w:rPr>
          <w:rFonts w:eastAsiaTheme="minorEastAsia"/>
        </w:rPr>
        <w:t xml:space="preserve">cost resulting from a change in unit fuel cost for each drivetrain type </w:t>
      </w:r>
      <w:r w:rsidRPr="00763892">
        <w:rPr>
          <w:rFonts w:eastAsiaTheme="minorEastAsia"/>
          <w:i/>
        </w:rPr>
        <w:t xml:space="preserve">j,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 c </m:t>
            </m:r>
          </m:sub>
        </m:sSub>
      </m:oMath>
      <w:r>
        <w:rPr>
          <w:rFonts w:eastAsiaTheme="minorEastAsia"/>
          <w:i/>
        </w:rPr>
        <w:t>,</w:t>
      </w:r>
      <w:r>
        <w:rPr>
          <w:rFonts w:eastAsiaTheme="minorEastAsia"/>
        </w:rPr>
        <w:t xml:space="preserve"> as given by:</w:t>
      </w:r>
    </w:p>
    <w:p w:rsidR="00527257" w:rsidRPr="00BB36AC" w:rsidRDefault="00527257" w:rsidP="00527257">
      <w:pPr>
        <w:pStyle w:val="ListParagraph"/>
        <w:ind w:left="1440"/>
      </w:pPr>
    </w:p>
    <w:p w:rsidR="00527257" w:rsidRDefault="00527257" w:rsidP="00527257">
      <w:pPr>
        <w:pStyle w:val="ListParagraph"/>
        <w:ind w:firstLine="720"/>
        <w:rPr>
          <w:rFonts w:eastAsiaTheme="minorEastAsia"/>
        </w:rPr>
      </w:pP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 xml:space="preserve">i,c </m:t>
            </m:r>
          </m:sub>
        </m:sSub>
        <m:r>
          <w:rPr>
            <w:rFonts w:ascii="Cambria Math" w:eastAsiaTheme="minorEastAsia" w:hAnsi="Cambria Math"/>
          </w:rPr>
          <m:t xml:space="preserve">= </m:t>
        </m:r>
        <m:nary>
          <m:naryPr>
            <m:chr m:val="∑"/>
            <m:limLoc m:val="subSup"/>
            <m:supHide m:val="1"/>
            <m:ctrlPr>
              <w:rPr>
                <w:rFonts w:ascii="Cambria Math" w:eastAsiaTheme="minorEastAsia" w:hAnsi="Cambria Math"/>
                <w:i/>
              </w:rPr>
            </m:ctrlPr>
          </m:naryPr>
          <m:sub>
            <m:r>
              <w:rPr>
                <w:rFonts w:ascii="Cambria Math" w:eastAsiaTheme="minorEastAsia" w:hAnsi="Cambria Math"/>
              </w:rPr>
              <m:t>j</m:t>
            </m:r>
          </m:sub>
          <m:sup/>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num>
              <m:den>
                <m:sSup>
                  <m:sSupPr>
                    <m:ctrlPr>
                      <w:rPr>
                        <w:rFonts w:ascii="Cambria Math" w:hAnsi="Cambria Math"/>
                        <w:i/>
                      </w:rPr>
                    </m:ctrlPr>
                  </m:sSupPr>
                  <m:e>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LC </m:t>
                            </m:r>
                          </m:sup>
                        </m:sSubSup>
                      </m:e>
                    </m:func>
                  </m:e>
                  <m:sup>
                    <m:r>
                      <w:rPr>
                        <w:rFonts w:ascii="Cambria Math" w:eastAsiaTheme="minorEastAsia" w:hAnsi="Cambria Math"/>
                      </w:rPr>
                      <m:t xml:space="preserve"> </m:t>
                    </m:r>
                  </m:sup>
                </m:sSup>
                <m:r>
                  <w:rPr>
                    <w:rFonts w:ascii="Cambria Math" w:eastAsiaTheme="minorEastAsia" w:hAnsi="Cambria Math"/>
                  </w:rPr>
                  <m:t xml:space="preserve">- </m:t>
                </m:r>
                <m:func>
                  <m:funcPr>
                    <m:ctrlPr>
                      <w:rPr>
                        <w:rFonts w:ascii="Cambria Math" w:eastAsiaTheme="minorEastAsia" w:hAnsi="Cambria Math"/>
                        <w:i/>
                      </w:rPr>
                    </m:ctrlPr>
                  </m:funcPr>
                  <m:fName>
                    <m:r>
                      <m:rPr>
                        <m:sty m:val="p"/>
                      </m:rPr>
                      <w:rPr>
                        <w:rFonts w:ascii="Cambria Math" w:eastAsiaTheme="minorEastAsia" w:hAnsi="Cambria Math"/>
                      </w:rPr>
                      <m:t>ln</m:t>
                    </m:r>
                  </m:fName>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i,j</m:t>
                        </m:r>
                      </m:sub>
                      <m:sup>
                        <m:r>
                          <w:rPr>
                            <w:rFonts w:ascii="Cambria Math" w:eastAsiaTheme="minorEastAsia" w:hAnsi="Cambria Math"/>
                          </w:rPr>
                          <m:t xml:space="preserve">BAU </m:t>
                        </m:r>
                      </m:sup>
                    </m:sSubSup>
                  </m:e>
                </m:func>
              </m:den>
            </m:f>
            <m:r>
              <w:rPr>
                <w:rFonts w:ascii="Cambria Math" w:eastAsiaTheme="minorEastAsia" w:hAnsi="Cambria Math"/>
              </w:rPr>
              <m:t xml:space="preserve">*ln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j</m:t>
                    </m:r>
                  </m:sub>
                  <m:sup>
                    <m:r>
                      <w:rPr>
                        <w:rFonts w:ascii="Cambria Math" w:eastAsiaTheme="minorEastAsia" w:hAnsi="Cambria Math"/>
                      </w:rPr>
                      <m:t>LC</m:t>
                    </m:r>
                  </m:sup>
                </m:sSubSup>
              </m:num>
              <m:den>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j</m:t>
                    </m:r>
                  </m:sub>
                  <m:sup>
                    <m:r>
                      <w:rPr>
                        <w:rFonts w:ascii="Cambria Math" w:eastAsiaTheme="minorEastAsia" w:hAnsi="Cambria Math"/>
                      </w:rPr>
                      <m:t>BAU</m:t>
                    </m:r>
                  </m:sup>
                </m:sSubSup>
              </m:den>
            </m:f>
          </m:e>
        </m:nary>
      </m:oMath>
      <w:r w:rsidRPr="00BB36AC">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(12)</w:t>
      </w:r>
    </w:p>
    <w:p w:rsidR="00527257" w:rsidRDefault="000A3D69" w:rsidP="00527257">
      <w:pPr>
        <w:ind w:left="709" w:firstLine="720"/>
      </w:pPr>
      <w:r>
        <w:t>w</w:t>
      </w:r>
      <w:r w:rsidR="00527257">
        <w:t>here:</w:t>
      </w:r>
    </w:p>
    <w:p w:rsidR="00527257" w:rsidRPr="00342C12" w:rsidRDefault="00312F87" w:rsidP="00527257">
      <w:pPr>
        <w:pStyle w:val="ListParagraph"/>
        <w:numPr>
          <w:ilvl w:val="1"/>
          <w:numId w:val="7"/>
        </w:numPr>
      </w:pP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LC </m:t>
            </m:r>
          </m:sup>
        </m:sSubSup>
      </m:oMath>
      <w:r w:rsidR="00527257" w:rsidRPr="00342C12">
        <w:rPr>
          <w:rFonts w:eastAsiaTheme="minorEastAsia"/>
        </w:rPr>
        <w:t xml:space="preserve"> </w:t>
      </w:r>
      <w:r w:rsidR="00527257">
        <w:rPr>
          <w:rFonts w:eastAsiaTheme="minorEastAsia"/>
        </w:rPr>
        <w:t xml:space="preserve">and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 xml:space="preserve">BAU </m:t>
            </m:r>
          </m:sup>
        </m:sSubSup>
      </m:oMath>
      <w:r w:rsidR="00527257">
        <w:rPr>
          <w:rFonts w:eastAsiaTheme="minorEastAsia"/>
        </w:rPr>
        <w:t xml:space="preserve">are the unit fuel cost for drivetrain type </w:t>
      </w:r>
      <w:r w:rsidR="00527257" w:rsidRPr="00342C12">
        <w:rPr>
          <w:rFonts w:eastAsiaTheme="minorEastAsia"/>
          <w:i/>
        </w:rPr>
        <w:t>j</w:t>
      </w:r>
      <w:r w:rsidR="00527257">
        <w:rPr>
          <w:rFonts w:eastAsiaTheme="minorEastAsia"/>
        </w:rPr>
        <w:t xml:space="preserve"> (which depends solely on the drivetrain, rather than vehicle type) in the low-carbon and business-as-usual scenarios respectively.</w:t>
      </w:r>
    </w:p>
    <w:p w:rsidR="00527257" w:rsidRDefault="00527257" w:rsidP="00527257">
      <w:r>
        <w:t>As Kesicki (2013) notes</w:t>
      </w:r>
      <w:r w:rsidR="000A3D69">
        <w:t xml:space="preserve"> </w:t>
      </w:r>
      <w:r w:rsidR="00E6341B" w:rsidRPr="00A35086">
        <w:rPr>
          <w:rFonts w:ascii="Calibri" w:hAnsi="Calibri"/>
        </w:rPr>
        <w:t>[29]</w:t>
      </w:r>
      <w:r>
        <w:t xml:space="preserve">, the LMDI methodology assigns emissions reductions to </w:t>
      </w:r>
      <w:r w:rsidR="0002533B">
        <w:t>ICE</w:t>
      </w:r>
      <w:r>
        <w:t xml:space="preserve"> vehicles as a result of their reduced share in the low-carbon scenario when compared to the business-as-usual scenario (according to equation 5 above). By contrast, </w:t>
      </w:r>
      <w:r w:rsidR="0002533B">
        <w:t>low-carbon</w:t>
      </w:r>
      <w:r>
        <w:t xml:space="preserve"> vehicles, which increase their share of the ve</w:t>
      </w:r>
      <w:r w:rsidR="00514686">
        <w:t>hicle stock when comparing the low-carbon</w:t>
      </w:r>
      <w:r>
        <w:t xml:space="preserve"> with the </w:t>
      </w:r>
      <w:r w:rsidR="00514686">
        <w:rPr>
          <w:rFonts w:ascii="Calibri" w:eastAsia="Times New Roman" w:hAnsi="Calibri"/>
        </w:rPr>
        <w:t>business-as-usual</w:t>
      </w:r>
      <w:r>
        <w:t xml:space="preserve"> scenario, have an emissions increase assigned to them. The figure of interest, however, is the emissions reduction achieved as a result of substituting the </w:t>
      </w:r>
      <w:r w:rsidR="0002533B">
        <w:t>low-carbon</w:t>
      </w:r>
      <w:r>
        <w:t xml:space="preserve"> fuel vehicle for the </w:t>
      </w:r>
      <w:r w:rsidR="0002533B">
        <w:t>ICE</w:t>
      </w:r>
      <w:r>
        <w:t xml:space="preserve"> vehicle. Hence, it is </w:t>
      </w:r>
      <w:r>
        <w:lastRenderedPageBreak/>
        <w:t xml:space="preserve">necessary to assign a share of emissions reductions associated with the reduced share of </w:t>
      </w:r>
      <w:r w:rsidR="0002533B">
        <w:t>ICE</w:t>
      </w:r>
      <w:r>
        <w:t xml:space="preserve"> vehicles to the </w:t>
      </w:r>
      <w:r w:rsidR="0002533B">
        <w:t>low-carbon</w:t>
      </w:r>
      <w:r>
        <w:t xml:space="preserve"> vehicles. This is done through a two-stage redistribution protocol:</w:t>
      </w:r>
    </w:p>
    <w:p w:rsidR="00527257" w:rsidRDefault="00527257" w:rsidP="00527257">
      <w:pPr>
        <w:pStyle w:val="ListParagraph"/>
        <w:numPr>
          <w:ilvl w:val="0"/>
          <w:numId w:val="5"/>
        </w:numPr>
      </w:pPr>
      <w:r>
        <w:t xml:space="preserve">Within </w:t>
      </w:r>
      <w:r w:rsidR="0002533B">
        <w:t>ICE</w:t>
      </w:r>
      <w:r>
        <w:t xml:space="preserve"> vehicles, if there is an increase in the number of natural gas (</w:t>
      </w:r>
      <w:r w:rsidR="00570474">
        <w:t>liquefied petroleum gas</w:t>
      </w:r>
      <w:r>
        <w:t xml:space="preserve"> and/or </w:t>
      </w:r>
      <w:r w:rsidR="00570474">
        <w:t>compressed natural gas</w:t>
      </w:r>
      <w:r>
        <w:t xml:space="preserve">) vehicles </w:t>
      </w:r>
      <w:r w:rsidR="00514686">
        <w:t xml:space="preserve">when comparing the low-carbon to the </w:t>
      </w:r>
      <w:r w:rsidR="00514686">
        <w:rPr>
          <w:rFonts w:ascii="Calibri" w:eastAsia="Times New Roman" w:hAnsi="Calibri"/>
        </w:rPr>
        <w:t>business-as-usual</w:t>
      </w:r>
      <w:r>
        <w:t xml:space="preserve"> scenario, then it is assumed that these increase their share at the expense of </w:t>
      </w:r>
      <w:r w:rsidR="0002533B">
        <w:t>ICE</w:t>
      </w:r>
      <w:r>
        <w:t xml:space="preserve"> gasoline and diesel vehicles. As such, they are assigned a share of the total emissions reduction resulting from the reduced share of gasoline and diesel ICE vehicles, as follows (using </w:t>
      </w:r>
      <w:r w:rsidR="00570474">
        <w:t>liquefied petroleum gas</w:t>
      </w:r>
      <w:r>
        <w:t xml:space="preserve"> vehicles as an example):</w:t>
      </w:r>
    </w:p>
    <w:p w:rsidR="00527257" w:rsidRDefault="00527257" w:rsidP="00527257">
      <w:pPr>
        <w:pStyle w:val="ListParagraph"/>
      </w:pPr>
    </w:p>
    <w:p w:rsidR="00527257" w:rsidRDefault="00527257" w:rsidP="00527257">
      <w:pPr>
        <w:pStyle w:val="ListParagraph"/>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i,LPG, s</m:t>
            </m:r>
          </m:sub>
        </m:sSub>
        <m:r>
          <w:rPr>
            <w:rFonts w:ascii="Cambria Math" w:eastAsiaTheme="minorEastAsia" w:hAnsi="Cambria Math"/>
          </w:rPr>
          <m:t xml:space="preserve">=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i,LPG</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i,LPG</m:t>
                </m:r>
              </m:sub>
              <m:sup>
                <m:r>
                  <w:rPr>
                    <w:rFonts w:ascii="Cambria Math" w:eastAsiaTheme="minorEastAsia" w:hAnsi="Cambria Math"/>
                  </w:rPr>
                  <m:t xml:space="preserve">BAU </m:t>
                </m:r>
              </m:sup>
            </m:sSubSup>
          </m:num>
          <m:den>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BAU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LC </m:t>
                </m:r>
              </m:sup>
            </m:sSubSup>
          </m:den>
        </m:f>
        <m:r>
          <w:rPr>
            <w:rFonts w:ascii="Cambria Math" w:eastAsiaTheme="minorEastAsia" w:hAnsi="Cambria Math"/>
          </w:rPr>
          <m:t>* ∆</m:t>
        </m:r>
        <m:sSub>
          <m:sSubPr>
            <m:ctrlPr>
              <w:rPr>
                <w:rFonts w:ascii="Cambria Math" w:hAnsi="Cambria Math"/>
                <w:i/>
              </w:rPr>
            </m:ctrlPr>
          </m:sSubPr>
          <m:e>
            <m:r>
              <w:rPr>
                <w:rFonts w:ascii="Cambria Math" w:eastAsiaTheme="minorEastAsia" w:hAnsi="Cambria Math"/>
              </w:rPr>
              <m:t>E</m:t>
            </m:r>
          </m:e>
          <m:sub>
            <m:r>
              <w:rPr>
                <w:rFonts w:ascii="Cambria Math" w:eastAsiaTheme="minorEastAsia" w:hAnsi="Cambria Math"/>
              </w:rPr>
              <m:t>i, ICE</m:t>
            </m:r>
            <m:d>
              <m:dPr>
                <m:ctrlPr>
                  <w:rPr>
                    <w:rFonts w:ascii="Cambria Math" w:eastAsiaTheme="minorEastAsia" w:hAnsi="Cambria Math"/>
                    <w:i/>
                  </w:rPr>
                </m:ctrlPr>
              </m:dPr>
              <m:e>
                <m:r>
                  <w:rPr>
                    <w:rFonts w:ascii="Cambria Math" w:eastAsiaTheme="minorEastAsia" w:hAnsi="Cambria Math"/>
                  </w:rPr>
                  <m:t>G&amp;D</m:t>
                </m:r>
              </m:e>
            </m:d>
            <m:r>
              <w:rPr>
                <w:rFonts w:ascii="Cambria Math" w:eastAsiaTheme="minorEastAsia" w:hAnsi="Cambria Math"/>
              </w:rPr>
              <m:t xml:space="preserve">, s </m:t>
            </m:r>
          </m:sub>
        </m:sSub>
      </m:oMath>
      <w:r>
        <w:t xml:space="preserve"> </w:t>
      </w:r>
      <w:r>
        <w:tab/>
      </w:r>
      <w:r>
        <w:tab/>
      </w:r>
      <w:r>
        <w:tab/>
      </w:r>
      <w:r>
        <w:tab/>
        <w:t>(13)</w:t>
      </w:r>
    </w:p>
    <w:p w:rsidR="00527257" w:rsidRDefault="00527257" w:rsidP="00527257">
      <w:pPr>
        <w:pStyle w:val="ListParagraph"/>
      </w:pPr>
    </w:p>
    <w:p w:rsidR="00527257" w:rsidRDefault="000A3D69" w:rsidP="00527257">
      <w:pPr>
        <w:pStyle w:val="ListParagraph"/>
      </w:pPr>
      <w:r>
        <w:t>w</w:t>
      </w:r>
      <w:r w:rsidR="00527257">
        <w:t>here:</w:t>
      </w:r>
    </w:p>
    <w:p w:rsidR="00527257" w:rsidRPr="00D65937" w:rsidRDefault="00527257" w:rsidP="000A3D69">
      <w:pPr>
        <w:pStyle w:val="ListParagraph"/>
        <w:numPr>
          <w:ilvl w:val="0"/>
          <w:numId w:val="4"/>
        </w:numPr>
        <w:ind w:left="1080"/>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i,LPG, s</m:t>
            </m:r>
          </m:sub>
        </m:sSub>
      </m:oMath>
      <w:r>
        <w:rPr>
          <w:rFonts w:eastAsiaTheme="minorEastAsia"/>
        </w:rPr>
        <w:t xml:space="preserve"> denotes the change in emissions which is redistributed to </w:t>
      </w:r>
      <w:r w:rsidR="00570474">
        <w:t>liquefied petroleum gas</w:t>
      </w:r>
      <w:r>
        <w:rPr>
          <w:rFonts w:eastAsiaTheme="minorEastAsia"/>
        </w:rPr>
        <w:t xml:space="preserve"> vehicles from gasoline and diesel ICE vehicles.</w:t>
      </w:r>
    </w:p>
    <w:p w:rsidR="00527257" w:rsidRPr="00D65937" w:rsidRDefault="00312F87" w:rsidP="000A3D69">
      <w:pPr>
        <w:pStyle w:val="ListParagraph"/>
        <w:numPr>
          <w:ilvl w:val="0"/>
          <w:numId w:val="4"/>
        </w:numPr>
        <w:ind w:left="1080"/>
      </w:pPr>
      <m:oMath>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i,LPG</m:t>
            </m:r>
          </m:sub>
          <m:sup>
            <m:r>
              <w:rPr>
                <w:rFonts w:ascii="Cambria Math" w:eastAsiaTheme="minorEastAsia" w:hAnsi="Cambria Math"/>
              </w:rPr>
              <m:t xml:space="preserve">LC </m:t>
            </m:r>
          </m:sup>
        </m:sSubSup>
        <m:r>
          <m:rPr>
            <m:sty m:val="p"/>
          </m:rPr>
          <w:rPr>
            <w:rFonts w:ascii="Cambria Math" w:eastAsiaTheme="minorEastAsia" w:hAnsi="Cambria Math"/>
          </w:rPr>
          <m:t xml:space="preserve"> and</m:t>
        </m:r>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i,LPG</m:t>
            </m:r>
          </m:sub>
          <m:sup>
            <m:r>
              <w:rPr>
                <w:rFonts w:ascii="Cambria Math" w:eastAsiaTheme="minorEastAsia" w:hAnsi="Cambria Math"/>
              </w:rPr>
              <m:t xml:space="preserve">BAU </m:t>
            </m:r>
          </m:sup>
        </m:sSubSup>
      </m:oMath>
      <w:r w:rsidR="00527257">
        <w:rPr>
          <w:rFonts w:eastAsiaTheme="minorEastAsia"/>
        </w:rPr>
        <w:t xml:space="preserve"> denote the </w:t>
      </w:r>
      <w:r w:rsidR="00514686">
        <w:rPr>
          <w:rFonts w:eastAsiaTheme="minorEastAsia"/>
        </w:rPr>
        <w:t xml:space="preserve">number of </w:t>
      </w:r>
      <w:r w:rsidR="00570474">
        <w:t>liquefied petroleum gas</w:t>
      </w:r>
      <w:r w:rsidR="00514686">
        <w:rPr>
          <w:rFonts w:eastAsiaTheme="minorEastAsia"/>
        </w:rPr>
        <w:t xml:space="preserve"> vehicles in the low-carbon</w:t>
      </w:r>
      <w:r w:rsidR="00527257">
        <w:rPr>
          <w:rFonts w:eastAsiaTheme="minorEastAsia"/>
        </w:rPr>
        <w:t xml:space="preserve"> and </w:t>
      </w:r>
      <w:r w:rsidR="00514686">
        <w:rPr>
          <w:rFonts w:eastAsiaTheme="minorEastAsia"/>
        </w:rPr>
        <w:t>business-as-usual</w:t>
      </w:r>
      <w:r w:rsidR="00527257">
        <w:rPr>
          <w:rFonts w:eastAsiaTheme="minorEastAsia"/>
        </w:rPr>
        <w:t xml:space="preserve"> scenarios respectively.</w:t>
      </w:r>
    </w:p>
    <w:p w:rsidR="00527257" w:rsidRPr="00D65937" w:rsidRDefault="00312F87" w:rsidP="000A3D69">
      <w:pPr>
        <w:pStyle w:val="ListParagraph"/>
        <w:numPr>
          <w:ilvl w:val="0"/>
          <w:numId w:val="4"/>
        </w:numPr>
        <w:ind w:left="1080"/>
      </w:pPr>
      <m:oMath>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LC </m:t>
            </m:r>
          </m:sup>
        </m:sSubSup>
        <m:r>
          <m:rPr>
            <m:sty m:val="p"/>
          </m:rPr>
          <w:rPr>
            <w:rFonts w:ascii="Cambria Math" w:eastAsiaTheme="minorEastAsia" w:hAnsi="Cambria Math"/>
          </w:rPr>
          <m:t xml:space="preserve"> and</m:t>
        </m:r>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BAU </m:t>
            </m:r>
          </m:sup>
        </m:sSubSup>
      </m:oMath>
      <w:r w:rsidR="00527257">
        <w:rPr>
          <w:rFonts w:eastAsiaTheme="minorEastAsia"/>
        </w:rPr>
        <w:t xml:space="preserve"> denote the number of gasoline and diesel ICE vehicles in the </w:t>
      </w:r>
      <w:r w:rsidR="00514686">
        <w:rPr>
          <w:rFonts w:eastAsiaTheme="minorEastAsia"/>
        </w:rPr>
        <w:t>low-carbon</w:t>
      </w:r>
      <w:r w:rsidR="00527257">
        <w:rPr>
          <w:rFonts w:eastAsiaTheme="minorEastAsia"/>
        </w:rPr>
        <w:t xml:space="preserve"> and</w:t>
      </w:r>
      <w:r w:rsidR="00514686">
        <w:rPr>
          <w:rFonts w:eastAsiaTheme="minorEastAsia"/>
        </w:rPr>
        <w:t xml:space="preserve"> </w:t>
      </w:r>
      <w:r w:rsidR="00514686">
        <w:rPr>
          <w:rFonts w:ascii="Calibri" w:eastAsia="Times New Roman" w:hAnsi="Calibri"/>
        </w:rPr>
        <w:t>business-as-usual</w:t>
      </w:r>
      <w:r w:rsidR="00527257">
        <w:rPr>
          <w:rFonts w:eastAsiaTheme="minorEastAsia"/>
        </w:rPr>
        <w:t xml:space="preserve"> scenarios respectively</w:t>
      </w:r>
    </w:p>
    <w:p w:rsidR="00527257" w:rsidRPr="00D65937" w:rsidRDefault="00527257" w:rsidP="000A3D69">
      <w:pPr>
        <w:pStyle w:val="ListParagraph"/>
        <w:numPr>
          <w:ilvl w:val="0"/>
          <w:numId w:val="4"/>
        </w:numPr>
        <w:ind w:left="1080"/>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m:t>
            </m:r>
          </m:e>
          <m:sub>
            <m:r>
              <w:rPr>
                <w:rFonts w:ascii="Cambria Math" w:eastAsiaTheme="minorEastAsia" w:hAnsi="Cambria Math"/>
              </w:rPr>
              <m:t>i, ICE</m:t>
            </m:r>
            <m:d>
              <m:dPr>
                <m:ctrlPr>
                  <w:rPr>
                    <w:rFonts w:ascii="Cambria Math" w:eastAsiaTheme="minorEastAsia" w:hAnsi="Cambria Math"/>
                    <w:i/>
                  </w:rPr>
                </m:ctrlPr>
              </m:dPr>
              <m:e>
                <m:r>
                  <w:rPr>
                    <w:rFonts w:ascii="Cambria Math" w:eastAsiaTheme="minorEastAsia" w:hAnsi="Cambria Math"/>
                  </w:rPr>
                  <m:t>G&amp;D</m:t>
                </m:r>
              </m:e>
            </m:d>
            <m:r>
              <w:rPr>
                <w:rFonts w:ascii="Cambria Math" w:eastAsiaTheme="minorEastAsia" w:hAnsi="Cambria Math"/>
              </w:rPr>
              <m:t xml:space="preserve">, s </m:t>
            </m:r>
          </m:sub>
        </m:sSub>
      </m:oMath>
      <w:r>
        <w:rPr>
          <w:rFonts w:eastAsiaTheme="minorEastAsia"/>
        </w:rPr>
        <w:t xml:space="preserve">denotes the change in emissions resulting from the change in the share of gasoline and diesel ICE vehicles when comparing the </w:t>
      </w:r>
      <w:r w:rsidR="00514686">
        <w:rPr>
          <w:rFonts w:ascii="Calibri" w:eastAsia="Times New Roman" w:hAnsi="Calibri"/>
        </w:rPr>
        <w:t>business-as-usual</w:t>
      </w:r>
      <w:r w:rsidR="00514686">
        <w:rPr>
          <w:rFonts w:eastAsiaTheme="minorEastAsia"/>
        </w:rPr>
        <w:t xml:space="preserve"> and low-carbon</w:t>
      </w:r>
      <w:r>
        <w:rPr>
          <w:rFonts w:eastAsiaTheme="minorEastAsia"/>
        </w:rPr>
        <w:t xml:space="preserve"> scenarios.</w:t>
      </w:r>
    </w:p>
    <w:p w:rsidR="00527257" w:rsidRDefault="00527257" w:rsidP="000A3D69">
      <w:pPr>
        <w:ind w:left="709"/>
      </w:pPr>
      <w:r>
        <w:t xml:space="preserve">The resulting emissions reductions allocated to </w:t>
      </w:r>
      <w:r w:rsidR="00570474">
        <w:t>liquefied petroleum gas</w:t>
      </w:r>
      <w:r>
        <w:t xml:space="preserve"> vehicles are then subtracted from the emissions reductions assigned to the gasoline and diesel ICE vehicles, in proportion to the relative change in the number of gasoline and diesel ICE vehicles. Hence, the redistribution of emissions reductions away from gasoline ICE vehicles is given as follows:</w:t>
      </w:r>
    </w:p>
    <w:p w:rsidR="00527257" w:rsidRDefault="00527257" w:rsidP="00527257">
      <w:pPr>
        <w:ind w:firstLine="720"/>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i,ICE(G), s</m:t>
            </m:r>
          </m:sub>
        </m:sSub>
        <m:r>
          <w:rPr>
            <w:rFonts w:ascii="Cambria Math" w:eastAsiaTheme="minorEastAsia" w:hAnsi="Cambria Math"/>
          </w:rPr>
          <m:t xml:space="preserve">=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m:t>
                </m:r>
              </m:sub>
              <m:sup>
                <m:r>
                  <w:rPr>
                    <w:rFonts w:ascii="Cambria Math" w:eastAsiaTheme="minorEastAsia" w:hAnsi="Cambria Math"/>
                  </w:rPr>
                  <m:t xml:space="preserve">BAU </m:t>
                </m:r>
              </m:sup>
            </m:sSubSup>
          </m:num>
          <m:den>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BAU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i,ICE(G&amp;D)</m:t>
                </m:r>
              </m:sub>
              <m:sup>
                <m:r>
                  <w:rPr>
                    <w:rFonts w:ascii="Cambria Math" w:eastAsiaTheme="minorEastAsia" w:hAnsi="Cambria Math"/>
                  </w:rPr>
                  <m:t xml:space="preserve">LC </m:t>
                </m:r>
              </m:sup>
            </m:sSubSup>
          </m:den>
        </m:f>
        <m:r>
          <w:rPr>
            <w:rFonts w:ascii="Cambria Math" w:eastAsiaTheme="minorEastAsia" w:hAnsi="Cambria Math"/>
          </w:rPr>
          <m:t>* ∆</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 xml:space="preserve">i, LPG, s </m:t>
            </m:r>
          </m:sub>
        </m:sSub>
      </m:oMath>
      <w:r>
        <w:t xml:space="preserve"> </w:t>
      </w:r>
      <w:r>
        <w:tab/>
      </w:r>
      <w:r>
        <w:tab/>
      </w:r>
      <w:r>
        <w:tab/>
      </w:r>
      <w:r>
        <w:tab/>
        <w:t>(14)</w:t>
      </w:r>
    </w:p>
    <w:p w:rsidR="00527257" w:rsidRDefault="000A3D69" w:rsidP="00527257">
      <w:pPr>
        <w:pStyle w:val="ListParagraph"/>
      </w:pPr>
      <w:r>
        <w:t>w</w:t>
      </w:r>
      <w:r w:rsidR="00527257">
        <w:t>here:</w:t>
      </w:r>
    </w:p>
    <w:p w:rsidR="00527257" w:rsidRPr="00D65937" w:rsidRDefault="00527257" w:rsidP="00527257">
      <w:pPr>
        <w:pStyle w:val="ListParagraph"/>
        <w:numPr>
          <w:ilvl w:val="1"/>
          <w:numId w:val="8"/>
        </w:numPr>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i,ICE(G), s</m:t>
            </m:r>
          </m:sub>
        </m:sSub>
      </m:oMath>
      <w:r>
        <w:rPr>
          <w:rFonts w:eastAsiaTheme="minorEastAsia"/>
        </w:rPr>
        <w:t xml:space="preserve"> denotes the change in emissions allocated to ICE gasoline vehicles (as a result of their change in vehicle share when comparing the </w:t>
      </w:r>
      <w:r w:rsidR="00514686">
        <w:rPr>
          <w:rFonts w:eastAsiaTheme="minorEastAsia"/>
        </w:rPr>
        <w:t>low-carbon</w:t>
      </w:r>
      <w:r>
        <w:rPr>
          <w:rFonts w:eastAsiaTheme="minorEastAsia"/>
        </w:rPr>
        <w:t xml:space="preserve"> and </w:t>
      </w:r>
      <w:r w:rsidR="00514686">
        <w:rPr>
          <w:rFonts w:eastAsiaTheme="minorEastAsia"/>
        </w:rPr>
        <w:t>business-as-usual</w:t>
      </w:r>
      <w:r>
        <w:rPr>
          <w:rFonts w:eastAsiaTheme="minorEastAsia"/>
        </w:rPr>
        <w:t xml:space="preserve"> scenarios) which is redistributed to </w:t>
      </w:r>
      <w:r w:rsidR="00570474">
        <w:t>liquefied petroleum gas</w:t>
      </w:r>
      <w:r>
        <w:rPr>
          <w:rFonts w:eastAsiaTheme="minorEastAsia"/>
        </w:rPr>
        <w:t xml:space="preserve"> vehicles.</w:t>
      </w:r>
    </w:p>
    <w:p w:rsidR="00527257" w:rsidRPr="00D65937" w:rsidRDefault="00312F87" w:rsidP="00527257">
      <w:pPr>
        <w:pStyle w:val="ListParagraph"/>
        <w:numPr>
          <w:ilvl w:val="1"/>
          <w:numId w:val="8"/>
        </w:numPr>
      </w:pPr>
      <m:oMath>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m:t>
            </m:r>
          </m:sub>
          <m:sup>
            <m:r>
              <w:rPr>
                <w:rFonts w:ascii="Cambria Math" w:eastAsiaTheme="minorEastAsia" w:hAnsi="Cambria Math"/>
              </w:rPr>
              <m:t xml:space="preserve">LC </m:t>
            </m:r>
          </m:sup>
        </m:sSubSup>
        <m:r>
          <m:rPr>
            <m:sty m:val="p"/>
          </m:rPr>
          <w:rPr>
            <w:rFonts w:ascii="Cambria Math" w:eastAsiaTheme="minorEastAsia" w:hAnsi="Cambria Math"/>
          </w:rPr>
          <m:t xml:space="preserve"> and</m:t>
        </m:r>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i,ICE(G)</m:t>
            </m:r>
          </m:sub>
          <m:sup>
            <m:r>
              <w:rPr>
                <w:rFonts w:ascii="Cambria Math" w:eastAsiaTheme="minorEastAsia" w:hAnsi="Cambria Math"/>
              </w:rPr>
              <m:t xml:space="preserve">BAU </m:t>
            </m:r>
          </m:sup>
        </m:sSubSup>
      </m:oMath>
      <w:r w:rsidR="00527257">
        <w:rPr>
          <w:rFonts w:eastAsiaTheme="minorEastAsia"/>
        </w:rPr>
        <w:t xml:space="preserve"> denote the number of ICE gasoline vehicles in the </w:t>
      </w:r>
      <w:r w:rsidR="00514686">
        <w:rPr>
          <w:rFonts w:eastAsiaTheme="minorEastAsia"/>
        </w:rPr>
        <w:t>low-carbon</w:t>
      </w:r>
      <w:r w:rsidR="00527257">
        <w:rPr>
          <w:rFonts w:eastAsiaTheme="minorEastAsia"/>
        </w:rPr>
        <w:t xml:space="preserve"> and </w:t>
      </w:r>
      <w:r w:rsidR="00514686">
        <w:rPr>
          <w:rFonts w:ascii="Calibri" w:eastAsia="Times New Roman" w:hAnsi="Calibri"/>
        </w:rPr>
        <w:t>business-as-usual</w:t>
      </w:r>
      <w:r w:rsidR="00527257">
        <w:rPr>
          <w:rFonts w:eastAsiaTheme="minorEastAsia"/>
        </w:rPr>
        <w:t xml:space="preserve"> scenarios respectively.</w:t>
      </w:r>
    </w:p>
    <w:p w:rsidR="00527257" w:rsidRDefault="00527257" w:rsidP="00527257">
      <w:pPr>
        <w:pStyle w:val="ListParagraph"/>
      </w:pPr>
    </w:p>
    <w:p w:rsidR="00527257" w:rsidRDefault="00527257" w:rsidP="00527257">
      <w:pPr>
        <w:pStyle w:val="ListParagraph"/>
      </w:pPr>
      <w:r>
        <w:t xml:space="preserve">If there is a reduction in the number of natural gas vehicles when comparing the </w:t>
      </w:r>
      <w:r w:rsidR="00514686">
        <w:t>low-carbon</w:t>
      </w:r>
      <w:r>
        <w:t xml:space="preserve"> with the </w:t>
      </w:r>
      <w:r w:rsidR="00514686">
        <w:rPr>
          <w:rFonts w:ascii="Calibri" w:eastAsia="Times New Roman" w:hAnsi="Calibri"/>
        </w:rPr>
        <w:t>business-as-usual</w:t>
      </w:r>
      <w:r>
        <w:t xml:space="preserve"> scenario, then it is assumed that the reduction in emissions that is associated with this reduction in the number of gas vehicles is distributed to the other </w:t>
      </w:r>
      <w:r w:rsidR="0002533B">
        <w:t xml:space="preserve">low-carbon </w:t>
      </w:r>
      <w:r>
        <w:t xml:space="preserve">vehicles, as explained in stage 2 of the redistribution protocol directly below. </w:t>
      </w:r>
    </w:p>
    <w:p w:rsidR="00527257" w:rsidRPr="00D65937" w:rsidRDefault="00527257" w:rsidP="00527257">
      <w:pPr>
        <w:pStyle w:val="ListParagraph"/>
      </w:pPr>
    </w:p>
    <w:p w:rsidR="00527257" w:rsidRDefault="00527257" w:rsidP="00527257">
      <w:pPr>
        <w:pStyle w:val="ListParagraph"/>
        <w:numPr>
          <w:ilvl w:val="0"/>
          <w:numId w:val="5"/>
        </w:numPr>
      </w:pPr>
      <w:r>
        <w:t xml:space="preserve">After the redistribution (where relevant) of natural gas vehicle emissions to gasoline and diesel ICE vehicles, </w:t>
      </w:r>
      <w:r w:rsidR="0002533B">
        <w:t>ICE</w:t>
      </w:r>
      <w:r>
        <w:t xml:space="preserve"> vehicle emissions reductions are redistributed to alternative fuel vehicles as follows:</w:t>
      </w:r>
    </w:p>
    <w:p w:rsidR="00527257" w:rsidRDefault="00527257" w:rsidP="00527257">
      <w:pPr>
        <w:pStyle w:val="ListParagraph"/>
        <w:numPr>
          <w:ilvl w:val="1"/>
          <w:numId w:val="5"/>
        </w:numPr>
      </w:pPr>
      <w:r>
        <w:lastRenderedPageBreak/>
        <w:t xml:space="preserve">Each diesel hybrid vehicle drivetrain (mild, full and plug-in) is allocated a portion of the emissions reductions that are assigned to diesel ICE vehicles as a result of the reduction in their share. The diesel ICE vehicle emissions reductions redistributed to each diesel hybrid drivetrain is calculated as follows (using mild diesel hybrids as an example): </w:t>
      </w:r>
    </w:p>
    <w:p w:rsidR="00527257" w:rsidRDefault="00527257" w:rsidP="00527257">
      <w:pPr>
        <w:ind w:left="720" w:firstLine="720"/>
        <w:rPr>
          <w:rFonts w:eastAsiaTheme="minorEastAsia"/>
        </w:rPr>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i,MHybrid(D), s</m:t>
            </m:r>
          </m:sub>
        </m:sSub>
        <m:r>
          <w:rPr>
            <w:rFonts w:ascii="Cambria Math" w:eastAsiaTheme="minorEastAsia" w:hAnsi="Cambria Math"/>
          </w:rPr>
          <m:t xml:space="preserve">= </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i,MHybrid(D)</m:t>
                </m:r>
              </m:sub>
              <m:sup>
                <m:r>
                  <w:rPr>
                    <w:rFonts w:ascii="Cambria Math" w:eastAsiaTheme="minorEastAsia" w:hAnsi="Cambria Math"/>
                  </w:rPr>
                  <m:t xml:space="preserve">LC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i,MHybrid(D)</m:t>
                </m:r>
              </m:sub>
              <m:sup>
                <m:r>
                  <w:rPr>
                    <w:rFonts w:ascii="Cambria Math" w:eastAsiaTheme="minorEastAsia" w:hAnsi="Cambria Math"/>
                  </w:rPr>
                  <m:t xml:space="preserve">BAU </m:t>
                </m:r>
              </m:sup>
            </m:sSubSup>
          </m:num>
          <m:den>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i,ICE(D)</m:t>
                </m:r>
              </m:sub>
              <m:sup>
                <m:r>
                  <w:rPr>
                    <w:rFonts w:ascii="Cambria Math" w:eastAsiaTheme="minorEastAsia" w:hAnsi="Cambria Math"/>
                  </w:rPr>
                  <m:t xml:space="preserve">BAU </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i,ICE(D)</m:t>
                </m:r>
              </m:sub>
              <m:sup>
                <m:r>
                  <w:rPr>
                    <w:rFonts w:ascii="Cambria Math" w:eastAsiaTheme="minorEastAsia" w:hAnsi="Cambria Math"/>
                  </w:rPr>
                  <m:t xml:space="preserve">LC </m:t>
                </m:r>
              </m:sup>
            </m:sSubSup>
          </m:den>
        </m:f>
        <m:r>
          <w:rPr>
            <w:rFonts w:ascii="Cambria Math" w:eastAsiaTheme="minorEastAsia" w:hAnsi="Cambria Math"/>
          </w:rPr>
          <m:t>* ∆</m:t>
        </m:r>
        <m:sSub>
          <m:sSubPr>
            <m:ctrlPr>
              <w:rPr>
                <w:rFonts w:ascii="Cambria Math" w:hAnsi="Cambria Math"/>
                <w:i/>
              </w:rPr>
            </m:ctrlPr>
          </m:sSubPr>
          <m:e>
            <m:r>
              <w:rPr>
                <w:rFonts w:ascii="Cambria Math" w:eastAsiaTheme="minorEastAsia" w:hAnsi="Cambria Math"/>
              </w:rPr>
              <m:t>E</m:t>
            </m:r>
          </m:e>
          <m:sub>
            <m:r>
              <w:rPr>
                <w:rFonts w:ascii="Cambria Math" w:eastAsiaTheme="minorEastAsia" w:hAnsi="Cambria Math"/>
              </w:rPr>
              <m:t xml:space="preserve">i,ICE(D), s </m:t>
            </m:r>
          </m:sub>
        </m:sSub>
      </m:oMath>
      <w:r>
        <w:rPr>
          <w:rFonts w:eastAsiaTheme="minorEastAsia"/>
        </w:rPr>
        <w:tab/>
      </w:r>
      <w:r>
        <w:rPr>
          <w:rFonts w:eastAsiaTheme="minorEastAsia"/>
        </w:rPr>
        <w:tab/>
        <w:t>(15)</w:t>
      </w:r>
    </w:p>
    <w:p w:rsidR="00527257" w:rsidRDefault="00527257" w:rsidP="00527257">
      <w:pPr>
        <w:pStyle w:val="ListParagraph"/>
        <w:ind w:left="1440"/>
      </w:pPr>
      <w:r>
        <w:t>Where:</w:t>
      </w:r>
    </w:p>
    <w:p w:rsidR="00527257" w:rsidRPr="00342C12" w:rsidRDefault="00527257" w:rsidP="00527257">
      <w:pPr>
        <w:pStyle w:val="ListParagraph"/>
        <w:numPr>
          <w:ilvl w:val="1"/>
          <w:numId w:val="8"/>
        </w:numPr>
        <w:ind w:left="2160"/>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E(R)</m:t>
            </m:r>
          </m:e>
          <m:sub>
            <m:r>
              <w:rPr>
                <w:rFonts w:ascii="Cambria Math" w:eastAsiaTheme="minorEastAsia" w:hAnsi="Cambria Math"/>
              </w:rPr>
              <m:t>i,MHybrid(D), s</m:t>
            </m:r>
          </m:sub>
        </m:sSub>
      </m:oMath>
      <w:r>
        <w:rPr>
          <w:rFonts w:eastAsiaTheme="minorEastAsia"/>
        </w:rPr>
        <w:t xml:space="preserve"> denotes the emissions change redistributed to mild hybrid diesel vehicles from from ICE diesel vehicles (as a result of their change in vehicle share when comparing the </w:t>
      </w:r>
      <w:r w:rsidR="00514686">
        <w:rPr>
          <w:rFonts w:eastAsiaTheme="minorEastAsia"/>
        </w:rPr>
        <w:t>low-carbon</w:t>
      </w:r>
      <w:r>
        <w:rPr>
          <w:rFonts w:eastAsiaTheme="minorEastAsia"/>
        </w:rPr>
        <w:t xml:space="preserve"> and </w:t>
      </w:r>
      <w:r w:rsidR="00514686">
        <w:rPr>
          <w:rFonts w:ascii="Calibri" w:eastAsia="Times New Roman" w:hAnsi="Calibri"/>
        </w:rPr>
        <w:t>business-as-usual</w:t>
      </w:r>
      <w:r>
        <w:rPr>
          <w:rFonts w:eastAsiaTheme="minorEastAsia"/>
        </w:rPr>
        <w:t xml:space="preserve"> scenarios), for each vehicle type </w:t>
      </w:r>
      <w:r w:rsidRPr="00342C12">
        <w:rPr>
          <w:rFonts w:eastAsiaTheme="minorEastAsia"/>
          <w:i/>
        </w:rPr>
        <w:t>i</w:t>
      </w:r>
      <w:r>
        <w:rPr>
          <w:rFonts w:eastAsiaTheme="minorEastAsia"/>
        </w:rPr>
        <w:t>.</w:t>
      </w:r>
    </w:p>
    <w:p w:rsidR="00527257" w:rsidRPr="00D65937" w:rsidRDefault="00527257" w:rsidP="00527257">
      <w:pPr>
        <w:pStyle w:val="ListParagraph"/>
        <w:numPr>
          <w:ilvl w:val="1"/>
          <w:numId w:val="8"/>
        </w:numPr>
        <w:ind w:left="2160"/>
      </w:pPr>
      <m:oMath>
        <m:r>
          <w:rPr>
            <w:rFonts w:ascii="Cambria Math" w:eastAsiaTheme="minorEastAsia" w:hAnsi="Cambria Math"/>
          </w:rPr>
          <m:t>∆</m:t>
        </m:r>
        <m:sSub>
          <m:sSubPr>
            <m:ctrlPr>
              <w:rPr>
                <w:rFonts w:ascii="Cambria Math" w:hAnsi="Cambria Math"/>
                <w:i/>
              </w:rPr>
            </m:ctrlPr>
          </m:sSubPr>
          <m:e>
            <m:r>
              <w:rPr>
                <w:rFonts w:ascii="Cambria Math" w:eastAsiaTheme="minorEastAsia" w:hAnsi="Cambria Math"/>
              </w:rPr>
              <m:t>E</m:t>
            </m:r>
          </m:e>
          <m:sub>
            <m:r>
              <w:rPr>
                <w:rFonts w:ascii="Cambria Math" w:eastAsiaTheme="minorEastAsia" w:hAnsi="Cambria Math"/>
              </w:rPr>
              <m:t>i,ICE(D), s</m:t>
            </m:r>
          </m:sub>
        </m:sSub>
      </m:oMath>
      <w:r>
        <w:rPr>
          <w:rFonts w:eastAsiaTheme="minorEastAsia"/>
        </w:rPr>
        <w:t xml:space="preserve"> denotes the change in emissions allocated to ICE diesel vehicles as a result of their change in vehicle share when comparing the </w:t>
      </w:r>
      <w:r w:rsidR="00514686">
        <w:rPr>
          <w:rFonts w:eastAsiaTheme="minorEastAsia"/>
        </w:rPr>
        <w:t>low-carbon</w:t>
      </w:r>
      <w:r>
        <w:rPr>
          <w:rFonts w:eastAsiaTheme="minorEastAsia"/>
        </w:rPr>
        <w:t xml:space="preserve"> and </w:t>
      </w:r>
      <w:r w:rsidR="00514686">
        <w:rPr>
          <w:rFonts w:ascii="Calibri" w:eastAsia="Times New Roman" w:hAnsi="Calibri"/>
        </w:rPr>
        <w:t>business-as-usual</w:t>
      </w:r>
      <w:r>
        <w:rPr>
          <w:rFonts w:eastAsiaTheme="minorEastAsia"/>
        </w:rPr>
        <w:t xml:space="preserve"> scenarios.</w:t>
      </w:r>
    </w:p>
    <w:p w:rsidR="00527257" w:rsidRPr="00342C12" w:rsidRDefault="00312F87" w:rsidP="00527257">
      <w:pPr>
        <w:pStyle w:val="ListParagraph"/>
        <w:numPr>
          <w:ilvl w:val="1"/>
          <w:numId w:val="8"/>
        </w:numPr>
        <w:ind w:left="2160"/>
      </w:pPr>
      <m:oMath>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i,MHybrid(D)</m:t>
            </m:r>
          </m:sub>
          <m:sup>
            <m:r>
              <w:rPr>
                <w:rFonts w:ascii="Cambria Math" w:eastAsiaTheme="minorEastAsia" w:hAnsi="Cambria Math"/>
              </w:rPr>
              <m:t xml:space="preserve">LC </m:t>
            </m:r>
          </m:sup>
        </m:sSubSup>
        <m:r>
          <m:rPr>
            <m:sty m:val="p"/>
          </m:rPr>
          <w:rPr>
            <w:rFonts w:ascii="Cambria Math" w:eastAsiaTheme="minorEastAsia" w:hAnsi="Cambria Math"/>
          </w:rPr>
          <m:t xml:space="preserve"> and</m:t>
        </m:r>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i,MHybrid(D)</m:t>
            </m:r>
          </m:sub>
          <m:sup>
            <m:r>
              <w:rPr>
                <w:rFonts w:ascii="Cambria Math" w:eastAsiaTheme="minorEastAsia" w:hAnsi="Cambria Math"/>
              </w:rPr>
              <m:t xml:space="preserve">BAU </m:t>
            </m:r>
          </m:sup>
        </m:sSubSup>
      </m:oMath>
      <w:r w:rsidR="00527257">
        <w:rPr>
          <w:rFonts w:eastAsiaTheme="minorEastAsia"/>
        </w:rPr>
        <w:t xml:space="preserve"> denote the number of mild hybrid diesel vehicles in the </w:t>
      </w:r>
      <w:r w:rsidR="00514686">
        <w:rPr>
          <w:rFonts w:eastAsiaTheme="minorEastAsia"/>
        </w:rPr>
        <w:t>low-carbon</w:t>
      </w:r>
      <w:r w:rsidR="00527257">
        <w:rPr>
          <w:rFonts w:eastAsiaTheme="minorEastAsia"/>
        </w:rPr>
        <w:t xml:space="preserve"> and </w:t>
      </w:r>
      <w:r w:rsidR="00514686">
        <w:rPr>
          <w:rFonts w:ascii="Calibri" w:eastAsia="Times New Roman" w:hAnsi="Calibri"/>
        </w:rPr>
        <w:t>business-as-usual</w:t>
      </w:r>
      <w:r w:rsidR="00527257">
        <w:rPr>
          <w:rFonts w:eastAsiaTheme="minorEastAsia"/>
        </w:rPr>
        <w:t xml:space="preserve"> scenarios respectively., for each vehicle type </w:t>
      </w:r>
      <w:r w:rsidR="00527257" w:rsidRPr="00342C12">
        <w:rPr>
          <w:rFonts w:eastAsiaTheme="minorEastAsia"/>
          <w:i/>
        </w:rPr>
        <w:t>i</w:t>
      </w:r>
      <w:r w:rsidR="00527257">
        <w:rPr>
          <w:rFonts w:eastAsiaTheme="minorEastAsia"/>
          <w:i/>
        </w:rPr>
        <w:t>.</w:t>
      </w:r>
    </w:p>
    <w:p w:rsidR="00527257" w:rsidRPr="00D65937" w:rsidRDefault="00312F87" w:rsidP="00527257">
      <w:pPr>
        <w:pStyle w:val="ListParagraph"/>
        <w:numPr>
          <w:ilvl w:val="1"/>
          <w:numId w:val="8"/>
        </w:numPr>
        <w:ind w:left="2160"/>
      </w:pPr>
      <m:oMath>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i,ICE(D)</m:t>
            </m:r>
          </m:sub>
          <m:sup>
            <m:r>
              <w:rPr>
                <w:rFonts w:ascii="Cambria Math" w:eastAsiaTheme="minorEastAsia" w:hAnsi="Cambria Math"/>
              </w:rPr>
              <m:t xml:space="preserve">LC </m:t>
            </m:r>
          </m:sup>
        </m:sSubSup>
        <m:r>
          <m:rPr>
            <m:sty m:val="p"/>
          </m:rPr>
          <w:rPr>
            <w:rFonts w:ascii="Cambria Math" w:eastAsiaTheme="minorEastAsia" w:hAnsi="Cambria Math"/>
          </w:rPr>
          <m:t xml:space="preserve"> and</m:t>
        </m:r>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n</m:t>
            </m:r>
          </m:e>
          <m:sub>
            <m:r>
              <w:rPr>
                <w:rFonts w:ascii="Cambria Math" w:eastAsiaTheme="minorEastAsia" w:hAnsi="Cambria Math"/>
              </w:rPr>
              <m:t>i,ICE(D)</m:t>
            </m:r>
          </m:sub>
          <m:sup>
            <m:r>
              <w:rPr>
                <w:rFonts w:ascii="Cambria Math" w:eastAsiaTheme="minorEastAsia" w:hAnsi="Cambria Math"/>
              </w:rPr>
              <m:t xml:space="preserve">BAU </m:t>
            </m:r>
          </m:sup>
        </m:sSubSup>
      </m:oMath>
      <w:r w:rsidR="00527257" w:rsidRPr="00342C12">
        <w:rPr>
          <w:rFonts w:eastAsiaTheme="minorEastAsia"/>
        </w:rPr>
        <w:t xml:space="preserve"> denote the number </w:t>
      </w:r>
      <w:r w:rsidR="00514686">
        <w:rPr>
          <w:rFonts w:eastAsiaTheme="minorEastAsia"/>
        </w:rPr>
        <w:t>of ICE diesel vehicles in the low-carbon</w:t>
      </w:r>
      <w:r w:rsidR="00527257" w:rsidRPr="00342C12">
        <w:rPr>
          <w:rFonts w:eastAsiaTheme="minorEastAsia"/>
        </w:rPr>
        <w:t xml:space="preserve"> and </w:t>
      </w:r>
      <w:r w:rsidR="00514686">
        <w:rPr>
          <w:rFonts w:ascii="Calibri" w:eastAsia="Times New Roman" w:hAnsi="Calibri"/>
        </w:rPr>
        <w:t>business-as-usual</w:t>
      </w:r>
      <w:r w:rsidR="00527257" w:rsidRPr="00342C12">
        <w:rPr>
          <w:rFonts w:eastAsiaTheme="minorEastAsia"/>
        </w:rPr>
        <w:t xml:space="preserve"> scenarios respectively, for vehicle type </w:t>
      </w:r>
      <w:r w:rsidR="00527257" w:rsidRPr="00342C12">
        <w:rPr>
          <w:rFonts w:eastAsiaTheme="minorEastAsia"/>
          <w:i/>
        </w:rPr>
        <w:t>i.</w:t>
      </w:r>
    </w:p>
    <w:p w:rsidR="00527257" w:rsidRDefault="00527257" w:rsidP="00527257">
      <w:pPr>
        <w:pStyle w:val="ListParagraph"/>
        <w:ind w:left="1440"/>
      </w:pPr>
    </w:p>
    <w:p w:rsidR="00527257" w:rsidRDefault="00527257" w:rsidP="00527257">
      <w:pPr>
        <w:pStyle w:val="ListParagraph"/>
        <w:numPr>
          <w:ilvl w:val="1"/>
          <w:numId w:val="5"/>
        </w:numPr>
      </w:pPr>
      <w:r>
        <w:t>Gasoline hybrid vehicles are allocated a portion of the emissions reductions assigned to gasoline ICE vehicles as a result of the reduction in their share, in the same way as for diesel hybrids.</w:t>
      </w:r>
    </w:p>
    <w:p w:rsidR="00527257" w:rsidRDefault="00527257" w:rsidP="00527257">
      <w:pPr>
        <w:pStyle w:val="ListParagraph"/>
        <w:numPr>
          <w:ilvl w:val="1"/>
          <w:numId w:val="5"/>
        </w:numPr>
      </w:pPr>
      <w:r>
        <w:t xml:space="preserve">After allocating ICE diesel and gasoline vehicle emissions reductions to diesel and gasoline hybrids as described in steps a and b, the remaining emissions reductions allocated to gasoline and diesel ICE vehicles as a result of their decreased share, plus emissions reductions assigned to natural gas vehicles (in the case that their share does not increase when comparing the </w:t>
      </w:r>
      <w:r w:rsidR="00514686">
        <w:t>low-carbon</w:t>
      </w:r>
      <w:r>
        <w:t xml:space="preserve"> to </w:t>
      </w:r>
      <w:r w:rsidR="00514686">
        <w:rPr>
          <w:rFonts w:ascii="Calibri" w:eastAsia="Times New Roman" w:hAnsi="Calibri"/>
        </w:rPr>
        <w:t>business-as-usual</w:t>
      </w:r>
      <w:r>
        <w:t xml:space="preserve"> scenario) are allocated to </w:t>
      </w:r>
      <w:r w:rsidR="00C3785D">
        <w:t>fuel cell and electric vehicle</w:t>
      </w:r>
      <w:r>
        <w:t xml:space="preserve">s, in proportion to their relative increase in vehicle share when comparing the </w:t>
      </w:r>
      <w:r w:rsidR="00514686">
        <w:t>low-carbon</w:t>
      </w:r>
      <w:r>
        <w:t xml:space="preserve"> to the </w:t>
      </w:r>
      <w:r w:rsidR="00514686">
        <w:rPr>
          <w:rFonts w:ascii="Calibri" w:eastAsia="Times New Roman" w:hAnsi="Calibri"/>
        </w:rPr>
        <w:t>business-as-usual</w:t>
      </w:r>
      <w:r>
        <w:t xml:space="preserve"> scenario. </w:t>
      </w:r>
    </w:p>
    <w:p w:rsidR="00527257" w:rsidRDefault="00527257" w:rsidP="00527257">
      <w:pPr>
        <w:pStyle w:val="ListParagraph"/>
        <w:ind w:left="1440"/>
      </w:pPr>
    </w:p>
    <w:p w:rsidR="00527257" w:rsidRDefault="00527257" w:rsidP="00527257">
      <w:pPr>
        <w:pStyle w:val="ListParagraph"/>
      </w:pPr>
      <w:r>
        <w:t xml:space="preserve">The same principle of redistribution (and the same two-stage protocol) is used to assign to the </w:t>
      </w:r>
      <w:r w:rsidR="0002533B">
        <w:t>low-carbon</w:t>
      </w:r>
      <w:r>
        <w:t xml:space="preserve"> vehicles the decrease in costs that results from a decrease in the share of </w:t>
      </w:r>
      <w:r w:rsidR="0002533B">
        <w:t>ICE</w:t>
      </w:r>
      <w:r>
        <w:t xml:space="preserve"> vehicles (when comparing the </w:t>
      </w:r>
      <w:r w:rsidR="00514686">
        <w:t>low-carbon</w:t>
      </w:r>
      <w:r>
        <w:t xml:space="preserve"> to </w:t>
      </w:r>
      <w:r w:rsidR="00514686">
        <w:rPr>
          <w:rFonts w:ascii="Calibri" w:eastAsia="Times New Roman" w:hAnsi="Calibri"/>
        </w:rPr>
        <w:t>business-as-usual</w:t>
      </w:r>
      <w:r>
        <w:t xml:space="preserve"> scenario).</w:t>
      </w:r>
    </w:p>
    <w:p w:rsidR="00527257" w:rsidRDefault="00527257" w:rsidP="00527257">
      <w:pPr>
        <w:pStyle w:val="ListParagraph"/>
      </w:pPr>
    </w:p>
    <w:p w:rsidR="00527257" w:rsidRPr="000812D5" w:rsidRDefault="00527257" w:rsidP="00527257">
      <w:pPr>
        <w:pStyle w:val="ListParagraph"/>
      </w:pPr>
      <w:r>
        <w:t xml:space="preserve">Once the appropriate emissions and cost differences between the </w:t>
      </w:r>
      <w:r w:rsidR="00514686">
        <w:rPr>
          <w:rFonts w:ascii="Calibri" w:eastAsia="Times New Roman" w:hAnsi="Calibri"/>
        </w:rPr>
        <w:t>business-as-usual</w:t>
      </w:r>
      <w:r>
        <w:t xml:space="preserve"> and </w:t>
      </w:r>
      <w:r w:rsidR="00514686">
        <w:t>low-carbon</w:t>
      </w:r>
      <w:r>
        <w:t xml:space="preserve"> scenarios have been allocated to each vehicle drivetrain type, the marginal abatement cost can be calculated simply as the cost change divided by the emissions change. </w:t>
      </w:r>
    </w:p>
    <w:p w:rsidR="00D57A5D" w:rsidRPr="00D57A5D" w:rsidRDefault="00D57A5D" w:rsidP="00D57A5D"/>
    <w:p w:rsidR="00D57A5D" w:rsidRDefault="00D57A5D" w:rsidP="00D57A5D">
      <w:pPr>
        <w:pStyle w:val="Heading2"/>
      </w:pPr>
    </w:p>
    <w:p w:rsidR="000A3D69" w:rsidRDefault="000A3D69">
      <w:pPr>
        <w:rPr>
          <w:rFonts w:asciiTheme="majorHAnsi" w:eastAsiaTheme="majorEastAsia" w:hAnsiTheme="majorHAnsi" w:cstheme="majorBidi"/>
          <w:color w:val="2E74B5" w:themeColor="accent1" w:themeShade="BF"/>
          <w:sz w:val="26"/>
          <w:szCs w:val="26"/>
        </w:rPr>
      </w:pPr>
      <w:r>
        <w:br w:type="page"/>
      </w:r>
    </w:p>
    <w:p w:rsidR="00D57A5D" w:rsidRPr="00D57A5D" w:rsidRDefault="00D57A5D" w:rsidP="00D57A5D">
      <w:pPr>
        <w:pStyle w:val="Heading2"/>
      </w:pPr>
      <w:r w:rsidRPr="00D57A5D">
        <w:lastRenderedPageBreak/>
        <w:t>Annex B - Vehicle cost assumptions</w:t>
      </w:r>
    </w:p>
    <w:tbl>
      <w:tblPr>
        <w:tblW w:w="9244"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3"/>
        <w:gridCol w:w="1275"/>
        <w:gridCol w:w="1134"/>
        <w:gridCol w:w="1134"/>
        <w:gridCol w:w="4678"/>
      </w:tblGrid>
      <w:tr w:rsidR="00D57A5D" w:rsidTr="000A3D69">
        <w:trPr>
          <w:trHeight w:val="290"/>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Vehicle type</w:t>
            </w: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 xml:space="preserve">Drivetrain </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290397" w:rsidP="00527257">
            <w:pPr>
              <w:autoSpaceDE w:val="0"/>
              <w:autoSpaceDN w:val="0"/>
              <w:adjustRightInd w:val="0"/>
              <w:spacing w:after="0" w:line="240" w:lineRule="auto"/>
              <w:rPr>
                <w:rFonts w:ascii="Calibri" w:hAnsi="Calibri" w:cs="Calibri"/>
                <w:b/>
                <w:color w:val="000000"/>
                <w:sz w:val="18"/>
                <w:szCs w:val="18"/>
              </w:rPr>
            </w:pPr>
            <w:r>
              <w:rPr>
                <w:rFonts w:ascii="Calibri" w:hAnsi="Calibri" w:cs="Calibri"/>
                <w:b/>
                <w:color w:val="000000"/>
                <w:sz w:val="18"/>
                <w:szCs w:val="18"/>
              </w:rPr>
              <w:t>Purchase</w:t>
            </w:r>
            <w:r w:rsidR="00D57A5D" w:rsidRPr="00D57A5D">
              <w:rPr>
                <w:rFonts w:ascii="Calibri" w:hAnsi="Calibri" w:cs="Calibri"/>
                <w:b/>
                <w:color w:val="000000"/>
                <w:sz w:val="18"/>
                <w:szCs w:val="18"/>
              </w:rPr>
              <w:t xml:space="preserve"> cost</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O&amp;M cost</w:t>
            </w: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 xml:space="preserve">Assumptions </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Car</w:t>
            </w: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FCV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£17,505</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£1,477</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53"/>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£22,944</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£1,145</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Mild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Additional </w:t>
            </w:r>
            <w:r w:rsidR="00290397">
              <w:rPr>
                <w:rFonts w:ascii="Calibri" w:hAnsi="Calibri" w:cs="Calibri"/>
                <w:color w:val="000000"/>
                <w:sz w:val="18"/>
                <w:szCs w:val="18"/>
              </w:rPr>
              <w:t>purchase</w:t>
            </w:r>
            <w:r w:rsidRPr="00D57A5D">
              <w:rPr>
                <w:rFonts w:ascii="Calibri" w:hAnsi="Calibri" w:cs="Calibri"/>
                <w:color w:val="000000"/>
                <w:sz w:val="18"/>
                <w:szCs w:val="18"/>
              </w:rPr>
              <w:t xml:space="preserve"> cost above </w:t>
            </w:r>
            <w:r w:rsidR="0002533B">
              <w:rPr>
                <w:rFonts w:ascii="Calibri" w:hAnsi="Calibri" w:cs="Calibri"/>
                <w:color w:val="000000"/>
                <w:sz w:val="18"/>
                <w:szCs w:val="18"/>
              </w:rPr>
              <w:t>ICE</w:t>
            </w:r>
            <w:r w:rsidR="0002533B" w:rsidRPr="00D57A5D">
              <w:rPr>
                <w:rFonts w:ascii="Calibri" w:hAnsi="Calibri" w:cs="Calibri"/>
                <w:color w:val="000000"/>
                <w:sz w:val="18"/>
                <w:szCs w:val="18"/>
              </w:rPr>
              <w:t xml:space="preserve"> </w:t>
            </w:r>
            <w:r w:rsidRPr="00D57A5D">
              <w:rPr>
                <w:rFonts w:ascii="Calibri" w:hAnsi="Calibri" w:cs="Calibri"/>
                <w:color w:val="000000"/>
                <w:sz w:val="18"/>
                <w:szCs w:val="18"/>
              </w:rPr>
              <w:t>assumed as 1/3</w:t>
            </w:r>
            <w:r w:rsidRPr="00D57A5D">
              <w:rPr>
                <w:rFonts w:ascii="Calibri" w:hAnsi="Calibri" w:cs="Calibri"/>
                <w:color w:val="000000"/>
                <w:sz w:val="18"/>
                <w:szCs w:val="18"/>
                <w:vertAlign w:val="superscript"/>
              </w:rPr>
              <w:t>rd</w:t>
            </w:r>
            <w:r w:rsidRPr="00D57A5D">
              <w:rPr>
                <w:rFonts w:ascii="Calibri" w:hAnsi="Calibri" w:cs="Calibri"/>
                <w:color w:val="000000"/>
                <w:sz w:val="18"/>
                <w:szCs w:val="18"/>
              </w:rPr>
              <w:t xml:space="preserve"> of difference between </w:t>
            </w:r>
            <w:r w:rsidR="0002533B">
              <w:rPr>
                <w:rFonts w:ascii="Calibri" w:hAnsi="Calibri" w:cs="Calibri"/>
                <w:color w:val="000000"/>
                <w:sz w:val="18"/>
                <w:szCs w:val="18"/>
              </w:rPr>
              <w:t>ICE</w:t>
            </w:r>
            <w:r w:rsidRPr="00D57A5D">
              <w:rPr>
                <w:rFonts w:ascii="Calibri" w:hAnsi="Calibri" w:cs="Calibri"/>
                <w:color w:val="000000"/>
                <w:sz w:val="18"/>
                <w:szCs w:val="18"/>
              </w:rPr>
              <w:t xml:space="preserve"> and Plug-in HEV.</w:t>
            </w:r>
          </w:p>
          <w:p w:rsidR="00D57A5D" w:rsidRPr="00D57A5D" w:rsidRDefault="00D57A5D" w:rsidP="0002533B">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saving over </w:t>
            </w:r>
            <w:r w:rsidR="0002533B">
              <w:rPr>
                <w:rFonts w:ascii="Calibri" w:hAnsi="Calibri" w:cs="Calibri"/>
                <w:color w:val="000000"/>
                <w:sz w:val="18"/>
                <w:szCs w:val="18"/>
              </w:rPr>
              <w:t>ICE</w:t>
            </w:r>
            <w:r w:rsidR="0002533B" w:rsidRPr="00D57A5D">
              <w:rPr>
                <w:rFonts w:ascii="Calibri" w:hAnsi="Calibri" w:cs="Calibri"/>
                <w:color w:val="000000"/>
                <w:sz w:val="18"/>
                <w:szCs w:val="18"/>
              </w:rPr>
              <w:t xml:space="preserve"> </w:t>
            </w:r>
            <w:r w:rsidRPr="00D57A5D">
              <w:rPr>
                <w:rFonts w:ascii="Calibri" w:hAnsi="Calibri" w:cs="Calibri"/>
                <w:color w:val="000000"/>
                <w:sz w:val="18"/>
                <w:szCs w:val="18"/>
              </w:rPr>
              <w:t>assumed as 1/3</w:t>
            </w:r>
            <w:r w:rsidRPr="00D57A5D">
              <w:rPr>
                <w:rFonts w:ascii="Calibri" w:hAnsi="Calibri" w:cs="Calibri"/>
                <w:color w:val="000000"/>
                <w:sz w:val="18"/>
                <w:szCs w:val="18"/>
                <w:vertAlign w:val="superscript"/>
              </w:rPr>
              <w:t>rd</w:t>
            </w:r>
            <w:r w:rsidRPr="00D57A5D">
              <w:rPr>
                <w:rFonts w:ascii="Calibri" w:hAnsi="Calibri" w:cs="Calibri"/>
                <w:color w:val="000000"/>
                <w:sz w:val="18"/>
                <w:szCs w:val="18"/>
              </w:rPr>
              <w:t xml:space="preserve"> cost saving of Plug-in HEV over </w:t>
            </w:r>
            <w:r w:rsidR="0002533B">
              <w:rPr>
                <w:rFonts w:ascii="Calibri" w:hAnsi="Calibri" w:cs="Calibri"/>
                <w:color w:val="000000"/>
                <w:sz w:val="18"/>
                <w:szCs w:val="18"/>
              </w:rPr>
              <w:t>ICE</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Full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Additional cost above </w:t>
            </w:r>
            <w:r w:rsidR="0002533B">
              <w:rPr>
                <w:rFonts w:ascii="Calibri" w:hAnsi="Calibri" w:cs="Calibri"/>
                <w:color w:val="000000"/>
                <w:sz w:val="18"/>
                <w:szCs w:val="18"/>
              </w:rPr>
              <w:t>ICE</w:t>
            </w:r>
            <w:r w:rsidRPr="00D57A5D">
              <w:rPr>
                <w:rFonts w:ascii="Calibri" w:hAnsi="Calibri" w:cs="Calibri"/>
                <w:color w:val="000000"/>
                <w:sz w:val="18"/>
                <w:szCs w:val="18"/>
              </w:rPr>
              <w:t xml:space="preserve"> assumed as 2/3</w:t>
            </w:r>
            <w:r w:rsidRPr="00D57A5D">
              <w:rPr>
                <w:rFonts w:ascii="Calibri" w:hAnsi="Calibri" w:cs="Calibri"/>
                <w:color w:val="000000"/>
                <w:sz w:val="18"/>
                <w:szCs w:val="18"/>
                <w:vertAlign w:val="superscript"/>
              </w:rPr>
              <w:t>rd</w:t>
            </w:r>
            <w:r w:rsidRPr="00D57A5D">
              <w:rPr>
                <w:rFonts w:ascii="Calibri" w:hAnsi="Calibri" w:cs="Calibri"/>
                <w:color w:val="000000"/>
                <w:sz w:val="18"/>
                <w:szCs w:val="18"/>
              </w:rPr>
              <w:t xml:space="preserve"> of difference between </w:t>
            </w:r>
            <w:r w:rsidR="0002533B">
              <w:rPr>
                <w:rFonts w:ascii="Calibri" w:hAnsi="Calibri" w:cs="Calibri"/>
                <w:color w:val="000000"/>
                <w:sz w:val="18"/>
                <w:szCs w:val="18"/>
              </w:rPr>
              <w:t>ICE</w:t>
            </w:r>
            <w:r w:rsidRPr="00D57A5D">
              <w:rPr>
                <w:rFonts w:ascii="Calibri" w:hAnsi="Calibri" w:cs="Calibri"/>
                <w:color w:val="000000"/>
                <w:sz w:val="18"/>
                <w:szCs w:val="18"/>
              </w:rPr>
              <w:t xml:space="preserve"> and Plug-in HEV</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Plug-in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£16,685</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£1,451</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Average of range given in source</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02533B"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00D57A5D" w:rsidRPr="00D57A5D">
              <w:rPr>
                <w:rFonts w:ascii="Calibri" w:hAnsi="Calibri" w:cs="Calibri"/>
                <w:color w:val="000000"/>
                <w:sz w:val="18"/>
                <w:szCs w:val="18"/>
              </w:rPr>
              <w:t xml:space="preserve"> diesel/</w:t>
            </w:r>
            <w:r>
              <w:rPr>
                <w:rFonts w:ascii="Calibri" w:hAnsi="Calibri" w:cs="Calibri"/>
                <w:color w:val="000000"/>
                <w:sz w:val="18"/>
                <w:szCs w:val="18"/>
              </w:rPr>
              <w:t xml:space="preserve"> </w:t>
            </w:r>
            <w:r w:rsidR="00D57A5D" w:rsidRPr="00D57A5D">
              <w:rPr>
                <w:rFonts w:ascii="Calibri" w:hAnsi="Calibri" w:cs="Calibri"/>
                <w:color w:val="000000"/>
                <w:sz w:val="18"/>
                <w:szCs w:val="18"/>
              </w:rPr>
              <w:t>gas</w:t>
            </w:r>
            <w:r>
              <w:rPr>
                <w:rFonts w:ascii="Calibri" w:hAnsi="Calibri" w:cs="Calibri"/>
                <w:color w:val="000000"/>
                <w:sz w:val="18"/>
                <w:szCs w:val="18"/>
              </w:rPr>
              <w:t>oline</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£14,247</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£1,535</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Average of range given in source</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02533B"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Pr="00D57A5D">
              <w:rPr>
                <w:rFonts w:ascii="Calibri" w:hAnsi="Calibri" w:cs="Calibri"/>
                <w:color w:val="000000"/>
                <w:sz w:val="18"/>
                <w:szCs w:val="18"/>
              </w:rPr>
              <w:t xml:space="preserve"> </w:t>
            </w:r>
            <w:r w:rsidR="00D57A5D" w:rsidRPr="00D57A5D">
              <w:rPr>
                <w:rFonts w:ascii="Calibri" w:hAnsi="Calibri" w:cs="Calibri"/>
                <w:color w:val="000000"/>
                <w:sz w:val="18"/>
                <w:szCs w:val="18"/>
              </w:rPr>
              <w:t>CNG</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290397"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Purchase</w:t>
            </w:r>
            <w:r w:rsidR="00D57A5D" w:rsidRPr="00D57A5D">
              <w:rPr>
                <w:rFonts w:ascii="Calibri" w:hAnsi="Calibri" w:cs="Calibri"/>
                <w:color w:val="000000"/>
                <w:sz w:val="18"/>
                <w:szCs w:val="18"/>
              </w:rPr>
              <w:t xml:space="preserve"> cost assumed 10% higher </w:t>
            </w:r>
            <w:r>
              <w:rPr>
                <w:rFonts w:ascii="Calibri" w:hAnsi="Calibri" w:cs="Calibri"/>
                <w:color w:val="000000"/>
                <w:sz w:val="18"/>
                <w:szCs w:val="18"/>
              </w:rPr>
              <w:t>purchase</w:t>
            </w:r>
            <w:r w:rsidR="00D57A5D" w:rsidRPr="00D57A5D">
              <w:rPr>
                <w:rFonts w:ascii="Calibri" w:hAnsi="Calibri" w:cs="Calibri"/>
                <w:color w:val="000000"/>
                <w:sz w:val="18"/>
                <w:szCs w:val="18"/>
              </w:rPr>
              <w:t xml:space="preserve"> cost than </w:t>
            </w:r>
            <w:r w:rsidR="003B35DC">
              <w:rPr>
                <w:rFonts w:ascii="Calibri" w:hAnsi="Calibri" w:cs="Calibri"/>
                <w:color w:val="000000"/>
                <w:sz w:val="18"/>
                <w:szCs w:val="18"/>
              </w:rPr>
              <w:t>ICE</w:t>
            </w:r>
            <w:r w:rsidR="00D57A5D"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00D57A5D" w:rsidRPr="00D57A5D">
              <w:rPr>
                <w:rFonts w:ascii="Calibri" w:hAnsi="Calibri" w:cs="Calibri"/>
                <w:color w:val="000000"/>
                <w:sz w:val="18"/>
                <w:szCs w:val="18"/>
              </w:rPr>
              <w:t>, based on ETSAP (2010).</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assumed the same as </w:t>
            </w:r>
            <w:r w:rsidR="003B35DC">
              <w:rPr>
                <w:rFonts w:ascii="Calibri" w:hAnsi="Calibri" w:cs="Calibri"/>
                <w:color w:val="000000"/>
                <w:sz w:val="18"/>
                <w:szCs w:val="18"/>
              </w:rPr>
              <w:t>ICE</w:t>
            </w:r>
            <w:r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Pr="00D57A5D">
              <w:rPr>
                <w:rFonts w:ascii="Calibri" w:hAnsi="Calibri" w:cs="Calibri"/>
                <w:color w:val="000000"/>
                <w:sz w:val="18"/>
                <w:szCs w:val="18"/>
              </w:rPr>
              <w:t>.</w:t>
            </w:r>
          </w:p>
        </w:tc>
      </w:tr>
      <w:tr w:rsidR="00D57A5D" w:rsidTr="000A3D69">
        <w:trPr>
          <w:trHeight w:val="285"/>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02533B"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Pr="00D57A5D">
              <w:rPr>
                <w:rFonts w:ascii="Calibri" w:hAnsi="Calibri" w:cs="Calibri"/>
                <w:color w:val="000000"/>
                <w:sz w:val="18"/>
                <w:szCs w:val="18"/>
              </w:rPr>
              <w:t xml:space="preserve"> </w:t>
            </w:r>
            <w:r w:rsidR="00D57A5D" w:rsidRPr="00D57A5D">
              <w:rPr>
                <w:rFonts w:ascii="Calibri" w:hAnsi="Calibri" w:cs="Calibri"/>
                <w:color w:val="000000"/>
                <w:sz w:val="18"/>
                <w:szCs w:val="18"/>
              </w:rPr>
              <w:t>LPG</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290397"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Purchase</w:t>
            </w:r>
            <w:r w:rsidR="00D57A5D" w:rsidRPr="00D57A5D">
              <w:rPr>
                <w:rFonts w:ascii="Calibri" w:hAnsi="Calibri" w:cs="Calibri"/>
                <w:color w:val="000000"/>
                <w:sz w:val="18"/>
                <w:szCs w:val="18"/>
              </w:rPr>
              <w:t xml:space="preserve"> cost assumed 10% higher </w:t>
            </w:r>
            <w:r>
              <w:rPr>
                <w:rFonts w:ascii="Calibri" w:hAnsi="Calibri" w:cs="Calibri"/>
                <w:color w:val="000000"/>
                <w:sz w:val="18"/>
                <w:szCs w:val="18"/>
              </w:rPr>
              <w:t>purchase</w:t>
            </w:r>
            <w:r w:rsidR="00D57A5D" w:rsidRPr="00D57A5D">
              <w:rPr>
                <w:rFonts w:ascii="Calibri" w:hAnsi="Calibri" w:cs="Calibri"/>
                <w:color w:val="000000"/>
                <w:sz w:val="18"/>
                <w:szCs w:val="18"/>
              </w:rPr>
              <w:t xml:space="preserve"> cost than </w:t>
            </w:r>
            <w:r w:rsidR="0002533B">
              <w:rPr>
                <w:rFonts w:ascii="Calibri" w:hAnsi="Calibri" w:cs="Calibri"/>
                <w:color w:val="000000"/>
                <w:sz w:val="18"/>
                <w:szCs w:val="18"/>
              </w:rPr>
              <w:t>ICE</w:t>
            </w:r>
            <w:r w:rsidR="00D57A5D" w:rsidRPr="00D57A5D">
              <w:rPr>
                <w:rFonts w:ascii="Calibri" w:hAnsi="Calibri" w:cs="Calibri"/>
                <w:color w:val="000000"/>
                <w:sz w:val="18"/>
                <w:szCs w:val="18"/>
              </w:rPr>
              <w:t xml:space="preserve"> diesel/gas</w:t>
            </w:r>
            <w:r w:rsidR="0002533B">
              <w:rPr>
                <w:rFonts w:ascii="Calibri" w:hAnsi="Calibri" w:cs="Calibri"/>
                <w:color w:val="000000"/>
                <w:sz w:val="18"/>
                <w:szCs w:val="18"/>
              </w:rPr>
              <w:t>oline</w:t>
            </w:r>
            <w:r w:rsidR="00D57A5D" w:rsidRPr="00D57A5D">
              <w:rPr>
                <w:rFonts w:ascii="Calibri" w:hAnsi="Calibri" w:cs="Calibri"/>
                <w:color w:val="000000"/>
                <w:sz w:val="18"/>
                <w:szCs w:val="18"/>
              </w:rPr>
              <w:t>, based on ETSAP (2010)</w:t>
            </w:r>
            <w:r w:rsidR="000A3D69">
              <w:rPr>
                <w:rFonts w:ascii="Calibri" w:hAnsi="Calibri" w:cs="Calibri"/>
                <w:color w:val="000000"/>
                <w:sz w:val="18"/>
                <w:szCs w:val="18"/>
              </w:rPr>
              <w:t xml:space="preserve"> </w:t>
            </w:r>
            <w:r w:rsidR="00E6341B" w:rsidRPr="00A35086">
              <w:rPr>
                <w:rFonts w:ascii="Calibri" w:hAnsi="Calibri"/>
              </w:rPr>
              <w:t>[33]</w:t>
            </w:r>
            <w:r w:rsidR="00D57A5D" w:rsidRPr="00D57A5D">
              <w:rPr>
                <w:rFonts w:ascii="Calibri" w:hAnsi="Calibri" w:cs="Calibri"/>
                <w:color w:val="000000"/>
                <w:sz w:val="18"/>
                <w:szCs w:val="18"/>
              </w:rPr>
              <w:t>.</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assumed the same as </w:t>
            </w:r>
            <w:r w:rsidR="0002533B">
              <w:rPr>
                <w:rFonts w:ascii="Calibri" w:hAnsi="Calibri" w:cs="Calibri"/>
                <w:color w:val="000000"/>
                <w:sz w:val="18"/>
                <w:szCs w:val="18"/>
              </w:rPr>
              <w:t>ICE</w:t>
            </w:r>
            <w:r w:rsidR="0002533B" w:rsidRPr="00D57A5D">
              <w:rPr>
                <w:rFonts w:ascii="Calibri" w:hAnsi="Calibri" w:cs="Calibri"/>
                <w:color w:val="000000"/>
                <w:sz w:val="18"/>
                <w:szCs w:val="18"/>
              </w:rPr>
              <w:t xml:space="preserve"> </w:t>
            </w:r>
            <w:r w:rsidRPr="00D57A5D">
              <w:rPr>
                <w:rFonts w:ascii="Calibri" w:hAnsi="Calibri" w:cs="Calibri"/>
                <w:color w:val="000000"/>
                <w:sz w:val="18"/>
                <w:szCs w:val="18"/>
              </w:rPr>
              <w:t>diesel/gas</w:t>
            </w:r>
            <w:r w:rsidR="0002533B">
              <w:rPr>
                <w:rFonts w:ascii="Calibri" w:hAnsi="Calibri" w:cs="Calibri"/>
                <w:color w:val="000000"/>
                <w:sz w:val="18"/>
                <w:szCs w:val="18"/>
              </w:rPr>
              <w:t>oline</w:t>
            </w:r>
            <w:r w:rsidRPr="00D57A5D">
              <w:rPr>
                <w:rFonts w:ascii="Calibri" w:hAnsi="Calibri" w:cs="Calibri"/>
                <w:color w:val="000000"/>
                <w:sz w:val="18"/>
                <w:szCs w:val="18"/>
              </w:rPr>
              <w:t>.</w:t>
            </w: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Source:</w:t>
            </w:r>
          </w:p>
        </w:tc>
        <w:tc>
          <w:tcPr>
            <w:tcW w:w="8221" w:type="dxa"/>
            <w:gridSpan w:val="4"/>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http://2050-calculator-tool-wiki.decc.gov.uk/pages/63 (using MARKAL 3.26)</w:t>
            </w: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AD2AE3" w:rsidP="00527257">
            <w:pPr>
              <w:autoSpaceDE w:val="0"/>
              <w:autoSpaceDN w:val="0"/>
              <w:adjustRightInd w:val="0"/>
              <w:spacing w:after="0" w:line="240" w:lineRule="auto"/>
              <w:rPr>
                <w:rFonts w:ascii="Calibri" w:hAnsi="Calibri" w:cs="Calibri"/>
                <w:b/>
                <w:color w:val="000000"/>
                <w:sz w:val="18"/>
                <w:szCs w:val="18"/>
              </w:rPr>
            </w:pPr>
            <w:r>
              <w:rPr>
                <w:rFonts w:ascii="Calibri" w:hAnsi="Calibri" w:cs="Calibri"/>
                <w:b/>
                <w:color w:val="000000"/>
                <w:sz w:val="18"/>
                <w:szCs w:val="18"/>
              </w:rPr>
              <w:t>H</w:t>
            </w:r>
            <w:r w:rsidRPr="00AD2AE3">
              <w:rPr>
                <w:rFonts w:ascii="Calibri" w:hAnsi="Calibri" w:cs="Calibri"/>
                <w:b/>
                <w:color w:val="000000"/>
                <w:sz w:val="18"/>
                <w:szCs w:val="18"/>
              </w:rPr>
              <w:t>eavy-duty truck</w:t>
            </w:r>
            <w:r>
              <w:rPr>
                <w:rFonts w:ascii="Calibri" w:hAnsi="Calibri" w:cs="Calibri"/>
                <w:b/>
                <w:color w:val="000000"/>
                <w:sz w:val="18"/>
                <w:szCs w:val="18"/>
              </w:rPr>
              <w:t>s</w:t>
            </w: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FCV</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£63,563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£11,825</w:t>
            </w: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EV</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£63,563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£11,825</w:t>
            </w: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Mild HEV</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£63,463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Additional </w:t>
            </w:r>
            <w:r w:rsidR="00290397">
              <w:rPr>
                <w:rFonts w:ascii="Calibri" w:hAnsi="Calibri" w:cs="Calibri"/>
                <w:color w:val="000000"/>
                <w:sz w:val="18"/>
                <w:szCs w:val="18"/>
              </w:rPr>
              <w:t>purchase</w:t>
            </w:r>
            <w:r w:rsidRPr="00D57A5D">
              <w:rPr>
                <w:rFonts w:ascii="Calibri" w:hAnsi="Calibri" w:cs="Calibri"/>
                <w:color w:val="000000"/>
                <w:sz w:val="18"/>
                <w:szCs w:val="18"/>
              </w:rPr>
              <w:t xml:space="preserve"> cost above </w:t>
            </w:r>
            <w:r w:rsidR="0002533B">
              <w:rPr>
                <w:rFonts w:ascii="Calibri" w:hAnsi="Calibri" w:cs="Calibri"/>
                <w:color w:val="000000"/>
                <w:sz w:val="18"/>
                <w:szCs w:val="18"/>
              </w:rPr>
              <w:t>ICE</w:t>
            </w:r>
            <w:r w:rsidRPr="00D57A5D">
              <w:rPr>
                <w:rFonts w:ascii="Calibri" w:hAnsi="Calibri" w:cs="Calibri"/>
                <w:color w:val="000000"/>
                <w:sz w:val="18"/>
                <w:szCs w:val="18"/>
              </w:rPr>
              <w:t xml:space="preserve"> assumed as 1/3rd of difference between </w:t>
            </w:r>
            <w:r w:rsidR="0002533B">
              <w:rPr>
                <w:rFonts w:ascii="Calibri" w:hAnsi="Calibri" w:cs="Calibri"/>
                <w:color w:val="000000"/>
                <w:sz w:val="18"/>
                <w:szCs w:val="18"/>
              </w:rPr>
              <w:t>ICE</w:t>
            </w:r>
            <w:r w:rsidRPr="00D57A5D">
              <w:rPr>
                <w:rFonts w:ascii="Calibri" w:hAnsi="Calibri" w:cs="Calibri"/>
                <w:color w:val="000000"/>
                <w:sz w:val="18"/>
                <w:szCs w:val="18"/>
              </w:rPr>
              <w:t xml:space="preserve"> and Plug-in HEV.</w:t>
            </w:r>
          </w:p>
          <w:p w:rsidR="00D57A5D" w:rsidRPr="00D57A5D" w:rsidRDefault="00D57A5D" w:rsidP="0002533B">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saving over </w:t>
            </w:r>
            <w:r w:rsidR="0002533B">
              <w:rPr>
                <w:rFonts w:ascii="Calibri" w:hAnsi="Calibri" w:cs="Calibri"/>
                <w:color w:val="000000"/>
                <w:sz w:val="18"/>
                <w:szCs w:val="18"/>
              </w:rPr>
              <w:t>ICE</w:t>
            </w:r>
            <w:r w:rsidRPr="00D57A5D">
              <w:rPr>
                <w:rFonts w:ascii="Calibri" w:hAnsi="Calibri" w:cs="Calibri"/>
                <w:color w:val="000000"/>
                <w:sz w:val="18"/>
                <w:szCs w:val="18"/>
              </w:rPr>
              <w:t xml:space="preserve"> assumed as 1/3rd cost saving of Plug-in HEV over </w:t>
            </w:r>
            <w:r w:rsidR="0002533B">
              <w:rPr>
                <w:rFonts w:ascii="Calibri" w:hAnsi="Calibri" w:cs="Calibri"/>
                <w:color w:val="000000"/>
                <w:sz w:val="18"/>
                <w:szCs w:val="18"/>
              </w:rPr>
              <w:t>ICE</w:t>
            </w:r>
            <w:r w:rsidR="0002533B" w:rsidRPr="00D57A5D">
              <w:rPr>
                <w:rFonts w:ascii="Calibri" w:hAnsi="Calibri" w:cs="Calibri"/>
                <w:color w:val="000000"/>
                <w:sz w:val="18"/>
                <w:szCs w:val="18"/>
              </w:rPr>
              <w:t xml:space="preserve"> </w:t>
            </w: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Full HEV</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£63,463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Additional cost above </w:t>
            </w:r>
            <w:r w:rsidR="0002533B">
              <w:rPr>
                <w:rFonts w:ascii="Calibri" w:hAnsi="Calibri" w:cs="Calibri"/>
                <w:color w:val="000000"/>
                <w:sz w:val="18"/>
                <w:szCs w:val="18"/>
              </w:rPr>
              <w:t>ICE</w:t>
            </w:r>
            <w:r w:rsidRPr="00D57A5D">
              <w:rPr>
                <w:rFonts w:ascii="Calibri" w:hAnsi="Calibri" w:cs="Calibri"/>
                <w:color w:val="000000"/>
                <w:sz w:val="18"/>
                <w:szCs w:val="18"/>
              </w:rPr>
              <w:t xml:space="preserve"> assumed as 2/3rd of difference between </w:t>
            </w:r>
            <w:r w:rsidR="0002533B">
              <w:rPr>
                <w:rFonts w:ascii="Calibri" w:hAnsi="Calibri" w:cs="Calibri"/>
                <w:color w:val="000000"/>
                <w:sz w:val="18"/>
                <w:szCs w:val="18"/>
              </w:rPr>
              <w:t>ICE</w:t>
            </w:r>
            <w:r w:rsidRPr="00D57A5D">
              <w:rPr>
                <w:rFonts w:ascii="Calibri" w:hAnsi="Calibri" w:cs="Calibri"/>
                <w:color w:val="000000"/>
                <w:sz w:val="18"/>
                <w:szCs w:val="18"/>
              </w:rPr>
              <w:t xml:space="preserve"> and Plug-in HEV</w:t>
            </w: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Plug-in HEV</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£63,463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tcPr>
          <w:p w:rsidR="00D57A5D" w:rsidRPr="00D57A5D" w:rsidRDefault="003B35DC"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Pr="00D57A5D">
              <w:rPr>
                <w:rFonts w:ascii="Calibri" w:hAnsi="Calibri" w:cs="Calibri"/>
                <w:color w:val="000000"/>
                <w:sz w:val="18"/>
                <w:szCs w:val="18"/>
              </w:rPr>
              <w:t xml:space="preserve"> </w:t>
            </w:r>
            <w:r w:rsidR="00D57A5D" w:rsidRPr="00D57A5D">
              <w:rPr>
                <w:rFonts w:ascii="Calibri" w:hAnsi="Calibri" w:cs="Calibri"/>
                <w:color w:val="000000"/>
                <w:sz w:val="18"/>
                <w:szCs w:val="18"/>
              </w:rPr>
              <w:t>diesel/</w:t>
            </w:r>
            <w:r>
              <w:rPr>
                <w:rFonts w:ascii="Calibri" w:hAnsi="Calibri" w:cs="Calibri"/>
                <w:color w:val="000000"/>
                <w:sz w:val="18"/>
                <w:szCs w:val="18"/>
              </w:rPr>
              <w:t xml:space="preserve"> </w:t>
            </w:r>
            <w:r w:rsidR="00D57A5D" w:rsidRPr="00D57A5D">
              <w:rPr>
                <w:rFonts w:ascii="Calibri" w:hAnsi="Calibri" w:cs="Calibri"/>
                <w:color w:val="000000"/>
                <w:sz w:val="18"/>
                <w:szCs w:val="18"/>
              </w:rPr>
              <w:t>gas</w:t>
            </w:r>
            <w:r>
              <w:rPr>
                <w:rFonts w:ascii="Calibri" w:hAnsi="Calibri" w:cs="Calibri"/>
                <w:color w:val="000000"/>
                <w:sz w:val="18"/>
                <w:szCs w:val="18"/>
              </w:rPr>
              <w:t>oline</w:t>
            </w:r>
          </w:p>
        </w:tc>
        <w:tc>
          <w:tcPr>
            <w:tcW w:w="1134"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£63,363</w:t>
            </w:r>
          </w:p>
        </w:tc>
        <w:tc>
          <w:tcPr>
            <w:tcW w:w="1134" w:type="dxa"/>
            <w:tcBorders>
              <w:top w:val="single" w:sz="4" w:space="0" w:color="auto"/>
              <w:left w:val="single" w:sz="4" w:space="0" w:color="auto"/>
              <w:bottom w:val="single" w:sz="4" w:space="0" w:color="auto"/>
              <w:right w:val="single" w:sz="4" w:space="0" w:color="auto"/>
            </w:tcBorders>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£15,000</w:t>
            </w:r>
          </w:p>
        </w:tc>
        <w:tc>
          <w:tcPr>
            <w:tcW w:w="467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Source:</w:t>
            </w:r>
          </w:p>
        </w:tc>
        <w:tc>
          <w:tcPr>
            <w:tcW w:w="8221" w:type="dxa"/>
            <w:gridSpan w:val="4"/>
            <w:tcBorders>
              <w:top w:val="single" w:sz="4" w:space="0" w:color="auto"/>
              <w:left w:val="single" w:sz="4" w:space="0" w:color="auto"/>
              <w:bottom w:val="single" w:sz="4" w:space="0" w:color="auto"/>
              <w:right w:val="single" w:sz="4" w:space="0" w:color="auto"/>
            </w:tcBorders>
          </w:tcPr>
          <w:p w:rsidR="00D57A5D" w:rsidRPr="00D57A5D" w:rsidRDefault="000A3D69" w:rsidP="000A3D69">
            <w:pPr>
              <w:autoSpaceDE w:val="0"/>
              <w:autoSpaceDN w:val="0"/>
              <w:adjustRightInd w:val="0"/>
              <w:spacing w:after="0" w:line="240" w:lineRule="auto"/>
              <w:rPr>
                <w:rFonts w:ascii="Calibri" w:hAnsi="Calibri" w:cs="Calibri"/>
                <w:color w:val="000000"/>
                <w:sz w:val="18"/>
                <w:szCs w:val="18"/>
              </w:rPr>
            </w:pPr>
            <w:r>
              <w:rPr>
                <w:sz w:val="18"/>
                <w:szCs w:val="18"/>
              </w:rPr>
              <w:t xml:space="preserve">DECC (n.d.) </w:t>
            </w:r>
            <w:r w:rsidR="00E6341B" w:rsidRPr="00A35086">
              <w:rPr>
                <w:rFonts w:ascii="Calibri" w:hAnsi="Calibri"/>
              </w:rPr>
              <w:t>[32]</w:t>
            </w:r>
            <w:r>
              <w:rPr>
                <w:sz w:val="18"/>
                <w:szCs w:val="18"/>
              </w:rPr>
              <w:t xml:space="preserve"> </w:t>
            </w:r>
            <w:r w:rsidRPr="00D57A5D">
              <w:rPr>
                <w:rFonts w:ascii="Calibri" w:hAnsi="Calibri" w:cs="Calibri"/>
                <w:color w:val="000000"/>
                <w:sz w:val="18"/>
                <w:szCs w:val="18"/>
              </w:rPr>
              <w:t>(using MARKAL 3.26</w:t>
            </w:r>
            <w:r>
              <w:rPr>
                <w:rFonts w:ascii="Calibri" w:hAnsi="Calibri" w:cs="Calibri"/>
                <w:color w:val="000000"/>
                <w:sz w:val="18"/>
                <w:szCs w:val="18"/>
              </w:rPr>
              <w:t xml:space="preserve"> data costs</w:t>
            </w:r>
            <w:r w:rsidRPr="00D57A5D">
              <w:rPr>
                <w:rFonts w:ascii="Calibri" w:hAnsi="Calibri" w:cs="Calibri"/>
                <w:color w:val="000000"/>
                <w:sz w:val="18"/>
                <w:szCs w:val="18"/>
              </w:rPr>
              <w:t>)</w:t>
            </w:r>
            <w:r w:rsidR="00AD6B61">
              <w:rPr>
                <w:rFonts w:ascii="Calibri" w:hAnsi="Calibri" w:cs="Calibri"/>
                <w:color w:val="000000"/>
                <w:sz w:val="18"/>
                <w:szCs w:val="18"/>
              </w:rPr>
              <w:t xml:space="preserve"> figures in UK GBP (£)</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Heavy duty Buses</w:t>
            </w: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FCV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£187,266</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£20,154</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53"/>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£205,266</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£19,897</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Mild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Additional </w:t>
            </w:r>
            <w:r w:rsidR="00290397">
              <w:rPr>
                <w:rFonts w:ascii="Calibri" w:hAnsi="Calibri" w:cs="Calibri"/>
                <w:color w:val="000000"/>
                <w:sz w:val="18"/>
                <w:szCs w:val="18"/>
              </w:rPr>
              <w:t>purchase</w:t>
            </w:r>
            <w:r w:rsidRPr="00D57A5D">
              <w:rPr>
                <w:rFonts w:ascii="Calibri" w:hAnsi="Calibri" w:cs="Calibri"/>
                <w:color w:val="000000"/>
                <w:sz w:val="18"/>
                <w:szCs w:val="18"/>
              </w:rPr>
              <w:t xml:space="preserve"> cost above </w:t>
            </w:r>
            <w:r w:rsidR="0002533B">
              <w:rPr>
                <w:rFonts w:ascii="Calibri" w:hAnsi="Calibri" w:cs="Calibri"/>
                <w:color w:val="000000"/>
                <w:sz w:val="18"/>
                <w:szCs w:val="18"/>
              </w:rPr>
              <w:t>ICE</w:t>
            </w:r>
            <w:r w:rsidRPr="00D57A5D">
              <w:rPr>
                <w:rFonts w:ascii="Calibri" w:hAnsi="Calibri" w:cs="Calibri"/>
                <w:color w:val="000000"/>
                <w:sz w:val="18"/>
                <w:szCs w:val="18"/>
              </w:rPr>
              <w:t xml:space="preserve"> assumed as 1/3</w:t>
            </w:r>
            <w:r w:rsidRPr="00D57A5D">
              <w:rPr>
                <w:rFonts w:ascii="Calibri" w:hAnsi="Calibri" w:cs="Calibri"/>
                <w:color w:val="000000"/>
                <w:sz w:val="18"/>
                <w:szCs w:val="18"/>
                <w:vertAlign w:val="superscript"/>
              </w:rPr>
              <w:t>rd</w:t>
            </w:r>
            <w:r w:rsidRPr="00D57A5D">
              <w:rPr>
                <w:rFonts w:ascii="Calibri" w:hAnsi="Calibri" w:cs="Calibri"/>
                <w:color w:val="000000"/>
                <w:sz w:val="18"/>
                <w:szCs w:val="18"/>
              </w:rPr>
              <w:t xml:space="preserve"> of difference between </w:t>
            </w:r>
            <w:r w:rsidR="0002533B">
              <w:rPr>
                <w:rFonts w:ascii="Calibri" w:hAnsi="Calibri" w:cs="Calibri"/>
                <w:color w:val="000000"/>
                <w:sz w:val="18"/>
                <w:szCs w:val="18"/>
              </w:rPr>
              <w:t>ICE</w:t>
            </w:r>
            <w:r w:rsidRPr="00D57A5D">
              <w:rPr>
                <w:rFonts w:ascii="Calibri" w:hAnsi="Calibri" w:cs="Calibri"/>
                <w:color w:val="000000"/>
                <w:sz w:val="18"/>
                <w:szCs w:val="18"/>
              </w:rPr>
              <w:t xml:space="preserve"> and Plug-in HEV.</w:t>
            </w:r>
          </w:p>
          <w:p w:rsidR="00D57A5D" w:rsidRPr="00D57A5D" w:rsidRDefault="00D57A5D" w:rsidP="0002533B">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saving over </w:t>
            </w:r>
            <w:r w:rsidR="0002533B">
              <w:rPr>
                <w:rFonts w:ascii="Calibri" w:hAnsi="Calibri" w:cs="Calibri"/>
                <w:color w:val="000000"/>
                <w:sz w:val="18"/>
                <w:szCs w:val="18"/>
              </w:rPr>
              <w:t>ICE</w:t>
            </w:r>
            <w:r w:rsidR="0002533B" w:rsidRPr="00D57A5D">
              <w:rPr>
                <w:rFonts w:ascii="Calibri" w:hAnsi="Calibri" w:cs="Calibri"/>
                <w:color w:val="000000"/>
                <w:sz w:val="18"/>
                <w:szCs w:val="18"/>
              </w:rPr>
              <w:t xml:space="preserve"> </w:t>
            </w:r>
            <w:r w:rsidRPr="00D57A5D">
              <w:rPr>
                <w:rFonts w:ascii="Calibri" w:hAnsi="Calibri" w:cs="Calibri"/>
                <w:color w:val="000000"/>
                <w:sz w:val="18"/>
                <w:szCs w:val="18"/>
              </w:rPr>
              <w:t>assumed as 1/3</w:t>
            </w:r>
            <w:r w:rsidRPr="00D57A5D">
              <w:rPr>
                <w:rFonts w:ascii="Calibri" w:hAnsi="Calibri" w:cs="Calibri"/>
                <w:color w:val="000000"/>
                <w:sz w:val="18"/>
                <w:szCs w:val="18"/>
                <w:vertAlign w:val="superscript"/>
              </w:rPr>
              <w:t>rd</w:t>
            </w:r>
            <w:r w:rsidRPr="00D57A5D">
              <w:rPr>
                <w:rFonts w:ascii="Calibri" w:hAnsi="Calibri" w:cs="Calibri"/>
                <w:color w:val="000000"/>
                <w:sz w:val="18"/>
                <w:szCs w:val="18"/>
              </w:rPr>
              <w:t xml:space="preserve"> cost saving of Plug-in HEV over </w:t>
            </w:r>
            <w:r w:rsidR="0002533B">
              <w:rPr>
                <w:rFonts w:ascii="Calibri" w:hAnsi="Calibri" w:cs="Calibri"/>
                <w:color w:val="000000"/>
                <w:sz w:val="18"/>
                <w:szCs w:val="18"/>
              </w:rPr>
              <w:t>ICE</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Full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02533B"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Additional cost above ICE</w:t>
            </w:r>
            <w:r w:rsidR="00D57A5D" w:rsidRPr="00D57A5D">
              <w:rPr>
                <w:rFonts w:ascii="Calibri" w:hAnsi="Calibri" w:cs="Calibri"/>
                <w:color w:val="000000"/>
                <w:sz w:val="18"/>
                <w:szCs w:val="18"/>
              </w:rPr>
              <w:t xml:space="preserve"> assumed as 2/3</w:t>
            </w:r>
            <w:r w:rsidR="00D57A5D" w:rsidRPr="00D57A5D">
              <w:rPr>
                <w:rFonts w:ascii="Calibri" w:hAnsi="Calibri" w:cs="Calibri"/>
                <w:color w:val="000000"/>
                <w:sz w:val="18"/>
                <w:szCs w:val="18"/>
                <w:vertAlign w:val="superscript"/>
              </w:rPr>
              <w:t>rd</w:t>
            </w:r>
            <w:r w:rsidR="00D57A5D" w:rsidRPr="00D57A5D">
              <w:rPr>
                <w:rFonts w:ascii="Calibri" w:hAnsi="Calibri" w:cs="Calibri"/>
                <w:color w:val="000000"/>
                <w:sz w:val="18"/>
                <w:szCs w:val="18"/>
              </w:rPr>
              <w:t xml:space="preserve"> of difference between </w:t>
            </w:r>
            <w:r>
              <w:rPr>
                <w:rFonts w:ascii="Calibri" w:hAnsi="Calibri" w:cs="Calibri"/>
                <w:color w:val="000000"/>
                <w:sz w:val="18"/>
                <w:szCs w:val="18"/>
              </w:rPr>
              <w:t>ICE</w:t>
            </w:r>
            <w:r w:rsidR="00D57A5D" w:rsidRPr="00D57A5D">
              <w:rPr>
                <w:rFonts w:ascii="Calibri" w:hAnsi="Calibri" w:cs="Calibri"/>
                <w:color w:val="000000"/>
                <w:sz w:val="18"/>
                <w:szCs w:val="18"/>
              </w:rPr>
              <w:t xml:space="preserve"> and Plug-in HEV</w:t>
            </w: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Plug-in HEV</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£179,843</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£24,766</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3B35DC"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00D57A5D" w:rsidRPr="00D57A5D">
              <w:rPr>
                <w:rFonts w:ascii="Calibri" w:hAnsi="Calibri" w:cs="Calibri"/>
                <w:color w:val="000000"/>
                <w:sz w:val="18"/>
                <w:szCs w:val="18"/>
              </w:rPr>
              <w:t xml:space="preserve"> diesel/</w:t>
            </w:r>
            <w:r>
              <w:rPr>
                <w:rFonts w:ascii="Calibri" w:hAnsi="Calibri" w:cs="Calibri"/>
                <w:color w:val="000000"/>
                <w:sz w:val="18"/>
                <w:szCs w:val="18"/>
              </w:rPr>
              <w:t xml:space="preserve"> </w:t>
            </w:r>
            <w:r w:rsidR="00D57A5D" w:rsidRPr="00D57A5D">
              <w:rPr>
                <w:rFonts w:ascii="Calibri" w:hAnsi="Calibri" w:cs="Calibri"/>
                <w:color w:val="000000"/>
                <w:sz w:val="18"/>
                <w:szCs w:val="18"/>
              </w:rPr>
              <w:t>gas</w:t>
            </w:r>
            <w:r>
              <w:rPr>
                <w:rFonts w:ascii="Calibri" w:hAnsi="Calibri" w:cs="Calibri"/>
                <w:color w:val="000000"/>
                <w:sz w:val="18"/>
                <w:szCs w:val="18"/>
              </w:rPr>
              <w:t>oline</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£168,377</w:t>
            </w:r>
          </w:p>
        </w:tc>
        <w:tc>
          <w:tcPr>
            <w:tcW w:w="1134" w:type="dxa"/>
            <w:vAlign w:val="bottom"/>
          </w:tcPr>
          <w:p w:rsidR="00D57A5D" w:rsidRPr="00D57A5D" w:rsidRDefault="00D57A5D" w:rsidP="00527257">
            <w:pPr>
              <w:jc w:val="right"/>
              <w:rPr>
                <w:rFonts w:ascii="Calibri" w:hAnsi="Calibri" w:cs="Calibri"/>
                <w:color w:val="000000"/>
                <w:sz w:val="18"/>
                <w:szCs w:val="18"/>
              </w:rPr>
            </w:pPr>
            <w:r w:rsidRPr="00D57A5D">
              <w:rPr>
                <w:rFonts w:ascii="Calibri" w:hAnsi="Calibri" w:cs="Calibri"/>
                <w:color w:val="000000"/>
                <w:sz w:val="18"/>
                <w:szCs w:val="18"/>
              </w:rPr>
              <w:t>£24,766</w:t>
            </w:r>
          </w:p>
        </w:tc>
        <w:tc>
          <w:tcPr>
            <w:tcW w:w="467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r>
      <w:tr w:rsidR="00D57A5D" w:rsidTr="000A3D69">
        <w:trPr>
          <w:trHeight w:val="290"/>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3B35DC"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r w:rsidR="00D57A5D" w:rsidRPr="00D57A5D">
              <w:rPr>
                <w:rFonts w:ascii="Calibri" w:hAnsi="Calibri" w:cs="Calibri"/>
                <w:color w:val="000000"/>
                <w:sz w:val="18"/>
                <w:szCs w:val="18"/>
              </w:rPr>
              <w:t xml:space="preserve"> CNG</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290397"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Purchase</w:t>
            </w:r>
            <w:r w:rsidR="00D57A5D" w:rsidRPr="00D57A5D">
              <w:rPr>
                <w:rFonts w:ascii="Calibri" w:hAnsi="Calibri" w:cs="Calibri"/>
                <w:color w:val="000000"/>
                <w:sz w:val="18"/>
                <w:szCs w:val="18"/>
              </w:rPr>
              <w:t xml:space="preserve"> cost assumed 10% higher </w:t>
            </w:r>
            <w:r>
              <w:rPr>
                <w:rFonts w:ascii="Calibri" w:hAnsi="Calibri" w:cs="Calibri"/>
                <w:color w:val="000000"/>
                <w:sz w:val="18"/>
                <w:szCs w:val="18"/>
              </w:rPr>
              <w:t>purchase</w:t>
            </w:r>
            <w:r w:rsidR="00D57A5D" w:rsidRPr="00D57A5D">
              <w:rPr>
                <w:rFonts w:ascii="Calibri" w:hAnsi="Calibri" w:cs="Calibri"/>
                <w:color w:val="000000"/>
                <w:sz w:val="18"/>
                <w:szCs w:val="18"/>
              </w:rPr>
              <w:t xml:space="preserve"> cost than </w:t>
            </w:r>
            <w:r w:rsidR="003B35DC">
              <w:rPr>
                <w:rFonts w:ascii="Calibri" w:hAnsi="Calibri" w:cs="Calibri"/>
                <w:color w:val="000000"/>
                <w:sz w:val="18"/>
                <w:szCs w:val="18"/>
              </w:rPr>
              <w:t>ICE</w:t>
            </w:r>
            <w:r w:rsidR="00D57A5D"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00D57A5D" w:rsidRPr="00D57A5D">
              <w:rPr>
                <w:rFonts w:ascii="Calibri" w:hAnsi="Calibri" w:cs="Calibri"/>
                <w:color w:val="000000"/>
                <w:sz w:val="18"/>
                <w:szCs w:val="18"/>
              </w:rPr>
              <w:t>, based on ETSAP (2010)</w:t>
            </w:r>
            <w:r w:rsidR="000A3D69">
              <w:rPr>
                <w:rFonts w:ascii="Calibri" w:hAnsi="Calibri" w:cs="Calibri"/>
                <w:color w:val="000000"/>
                <w:sz w:val="18"/>
                <w:szCs w:val="18"/>
              </w:rPr>
              <w:t xml:space="preserve"> </w:t>
            </w:r>
            <w:r w:rsidR="00E6341B" w:rsidRPr="00A35086">
              <w:rPr>
                <w:rFonts w:ascii="Calibri" w:hAnsi="Calibri"/>
              </w:rPr>
              <w:t>[33]</w:t>
            </w:r>
            <w:r w:rsidR="00D57A5D" w:rsidRPr="00D57A5D">
              <w:rPr>
                <w:rFonts w:ascii="Calibri" w:hAnsi="Calibri" w:cs="Calibri"/>
                <w:color w:val="000000"/>
                <w:sz w:val="18"/>
                <w:szCs w:val="18"/>
              </w:rPr>
              <w:t>.</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assumed the same as </w:t>
            </w:r>
            <w:r w:rsidR="003B35DC">
              <w:rPr>
                <w:rFonts w:ascii="Calibri" w:hAnsi="Calibri" w:cs="Calibri"/>
                <w:color w:val="000000"/>
                <w:sz w:val="18"/>
                <w:szCs w:val="18"/>
              </w:rPr>
              <w:t>ICE</w:t>
            </w:r>
            <w:r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Pr="00D57A5D">
              <w:rPr>
                <w:rFonts w:ascii="Calibri" w:hAnsi="Calibri" w:cs="Calibri"/>
                <w:color w:val="000000"/>
                <w:sz w:val="18"/>
                <w:szCs w:val="18"/>
              </w:rPr>
              <w:t>.</w:t>
            </w:r>
          </w:p>
        </w:tc>
      </w:tr>
      <w:tr w:rsidR="00D57A5D" w:rsidTr="000A3D69">
        <w:trPr>
          <w:trHeight w:val="285"/>
        </w:trPr>
        <w:tc>
          <w:tcPr>
            <w:tcW w:w="1023"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275" w:type="dxa"/>
          </w:tcPr>
          <w:p w:rsidR="00D57A5D" w:rsidRPr="00D57A5D" w:rsidRDefault="003B35DC"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ICE</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LPG</w:t>
            </w:r>
          </w:p>
        </w:tc>
        <w:tc>
          <w:tcPr>
            <w:tcW w:w="1134"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1134" w:type="dxa"/>
            <w:vAlign w:val="bottom"/>
          </w:tcPr>
          <w:p w:rsidR="00D57A5D" w:rsidRPr="00D57A5D" w:rsidRDefault="00D57A5D" w:rsidP="00527257">
            <w:pPr>
              <w:jc w:val="right"/>
              <w:rPr>
                <w:rFonts w:ascii="Calibri" w:hAnsi="Calibri" w:cs="Calibri"/>
                <w:color w:val="000000"/>
                <w:sz w:val="18"/>
                <w:szCs w:val="18"/>
              </w:rPr>
            </w:pPr>
          </w:p>
        </w:tc>
        <w:tc>
          <w:tcPr>
            <w:tcW w:w="4678" w:type="dxa"/>
          </w:tcPr>
          <w:p w:rsidR="00D57A5D" w:rsidRPr="00D57A5D" w:rsidRDefault="00290397"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Purchase</w:t>
            </w:r>
            <w:r w:rsidR="00D57A5D" w:rsidRPr="00D57A5D">
              <w:rPr>
                <w:rFonts w:ascii="Calibri" w:hAnsi="Calibri" w:cs="Calibri"/>
                <w:color w:val="000000"/>
                <w:sz w:val="18"/>
                <w:szCs w:val="18"/>
              </w:rPr>
              <w:t xml:space="preserve"> cost assumed 10% higher </w:t>
            </w:r>
            <w:r>
              <w:rPr>
                <w:rFonts w:ascii="Calibri" w:hAnsi="Calibri" w:cs="Calibri"/>
                <w:color w:val="000000"/>
                <w:sz w:val="18"/>
                <w:szCs w:val="18"/>
              </w:rPr>
              <w:t xml:space="preserve">purchase </w:t>
            </w:r>
            <w:r w:rsidR="00D57A5D" w:rsidRPr="00D57A5D">
              <w:rPr>
                <w:rFonts w:ascii="Calibri" w:hAnsi="Calibri" w:cs="Calibri"/>
                <w:color w:val="000000"/>
                <w:sz w:val="18"/>
                <w:szCs w:val="18"/>
              </w:rPr>
              <w:t xml:space="preserve">cost than </w:t>
            </w:r>
            <w:r w:rsidR="003B35DC">
              <w:rPr>
                <w:rFonts w:ascii="Calibri" w:hAnsi="Calibri" w:cs="Calibri"/>
                <w:color w:val="000000"/>
                <w:sz w:val="18"/>
                <w:szCs w:val="18"/>
              </w:rPr>
              <w:t>ICE</w:t>
            </w:r>
            <w:r w:rsidR="00D57A5D"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00D57A5D" w:rsidRPr="00D57A5D">
              <w:rPr>
                <w:rFonts w:ascii="Calibri" w:hAnsi="Calibri" w:cs="Calibri"/>
                <w:color w:val="000000"/>
                <w:sz w:val="18"/>
                <w:szCs w:val="18"/>
              </w:rPr>
              <w:t>, based on ETSAP (2010)</w:t>
            </w:r>
            <w:r w:rsidR="000A3D69">
              <w:rPr>
                <w:rFonts w:ascii="Calibri" w:hAnsi="Calibri" w:cs="Calibri"/>
                <w:color w:val="000000"/>
                <w:sz w:val="18"/>
                <w:szCs w:val="18"/>
              </w:rPr>
              <w:t xml:space="preserve"> </w:t>
            </w:r>
            <w:r w:rsidR="00E6341B" w:rsidRPr="00A35086">
              <w:rPr>
                <w:rFonts w:ascii="Calibri" w:hAnsi="Calibri"/>
              </w:rPr>
              <w:t>[33]</w:t>
            </w:r>
            <w:r w:rsidR="00D57A5D" w:rsidRPr="00D57A5D">
              <w:rPr>
                <w:rFonts w:ascii="Calibri" w:hAnsi="Calibri" w:cs="Calibri"/>
                <w:color w:val="000000"/>
                <w:sz w:val="18"/>
                <w:szCs w:val="18"/>
              </w:rPr>
              <w:t>.</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O&amp;M cost assumed the same as </w:t>
            </w:r>
            <w:r w:rsidR="003B35DC">
              <w:rPr>
                <w:rFonts w:ascii="Calibri" w:hAnsi="Calibri" w:cs="Calibri"/>
                <w:color w:val="000000"/>
                <w:sz w:val="18"/>
                <w:szCs w:val="18"/>
              </w:rPr>
              <w:t>ICE</w:t>
            </w:r>
            <w:r w:rsidRPr="00D57A5D">
              <w:rPr>
                <w:rFonts w:ascii="Calibri" w:hAnsi="Calibri" w:cs="Calibri"/>
                <w:color w:val="000000"/>
                <w:sz w:val="18"/>
                <w:szCs w:val="18"/>
              </w:rPr>
              <w:t xml:space="preserve"> diesel/gas</w:t>
            </w:r>
            <w:r w:rsidR="003B35DC">
              <w:rPr>
                <w:rFonts w:ascii="Calibri" w:hAnsi="Calibri" w:cs="Calibri"/>
                <w:color w:val="000000"/>
                <w:sz w:val="18"/>
                <w:szCs w:val="18"/>
              </w:rPr>
              <w:t>oline</w:t>
            </w:r>
            <w:r w:rsidRPr="00D57A5D">
              <w:rPr>
                <w:rFonts w:ascii="Calibri" w:hAnsi="Calibri" w:cs="Calibri"/>
                <w:color w:val="000000"/>
                <w:sz w:val="18"/>
                <w:szCs w:val="18"/>
              </w:rPr>
              <w:t>.</w:t>
            </w:r>
          </w:p>
        </w:tc>
      </w:tr>
      <w:tr w:rsidR="00D57A5D" w:rsidTr="000A3D69">
        <w:trPr>
          <w:trHeight w:val="285"/>
        </w:trPr>
        <w:tc>
          <w:tcPr>
            <w:tcW w:w="1023"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lastRenderedPageBreak/>
              <w:t>Source:</w:t>
            </w:r>
          </w:p>
        </w:tc>
        <w:tc>
          <w:tcPr>
            <w:tcW w:w="8221" w:type="dxa"/>
            <w:gridSpan w:val="4"/>
            <w:tcBorders>
              <w:top w:val="single" w:sz="4" w:space="0" w:color="auto"/>
              <w:left w:val="single" w:sz="4" w:space="0" w:color="auto"/>
              <w:bottom w:val="single" w:sz="4" w:space="0" w:color="auto"/>
              <w:right w:val="single" w:sz="4" w:space="0" w:color="auto"/>
            </w:tcBorders>
          </w:tcPr>
          <w:p w:rsidR="00D57A5D" w:rsidRPr="00D57A5D" w:rsidRDefault="000A3D69" w:rsidP="00527257">
            <w:pPr>
              <w:autoSpaceDE w:val="0"/>
              <w:autoSpaceDN w:val="0"/>
              <w:adjustRightInd w:val="0"/>
              <w:spacing w:after="0" w:line="240" w:lineRule="auto"/>
              <w:rPr>
                <w:rFonts w:ascii="Calibri" w:hAnsi="Calibri" w:cs="Calibri"/>
                <w:color w:val="000000"/>
                <w:sz w:val="18"/>
                <w:szCs w:val="18"/>
              </w:rPr>
            </w:pPr>
            <w:r>
              <w:rPr>
                <w:sz w:val="18"/>
                <w:szCs w:val="18"/>
              </w:rPr>
              <w:t xml:space="preserve">DECC (n.d.) </w:t>
            </w:r>
            <w:r w:rsidR="00E6341B" w:rsidRPr="00A35086">
              <w:rPr>
                <w:rFonts w:ascii="Calibri" w:hAnsi="Calibri"/>
              </w:rPr>
              <w:t>[32]</w:t>
            </w:r>
            <w:r>
              <w:rPr>
                <w:sz w:val="18"/>
                <w:szCs w:val="18"/>
              </w:rPr>
              <w:t xml:space="preserve"> </w:t>
            </w:r>
            <w:r w:rsidRPr="00D57A5D">
              <w:rPr>
                <w:rFonts w:ascii="Calibri" w:hAnsi="Calibri" w:cs="Calibri"/>
                <w:color w:val="000000"/>
                <w:sz w:val="18"/>
                <w:szCs w:val="18"/>
              </w:rPr>
              <w:t>(using MARKAL 3.26</w:t>
            </w:r>
            <w:r>
              <w:rPr>
                <w:rFonts w:ascii="Calibri" w:hAnsi="Calibri" w:cs="Calibri"/>
                <w:color w:val="000000"/>
                <w:sz w:val="18"/>
                <w:szCs w:val="18"/>
              </w:rPr>
              <w:t xml:space="preserve"> data costs</w:t>
            </w:r>
            <w:r w:rsidRPr="00D57A5D">
              <w:rPr>
                <w:rFonts w:ascii="Calibri" w:hAnsi="Calibri" w:cs="Calibri"/>
                <w:color w:val="000000"/>
                <w:sz w:val="18"/>
                <w:szCs w:val="18"/>
              </w:rPr>
              <w:t>)</w:t>
            </w:r>
            <w:r w:rsidR="00AD6B61">
              <w:rPr>
                <w:rFonts w:ascii="Calibri" w:hAnsi="Calibri" w:cs="Calibri"/>
                <w:color w:val="000000"/>
                <w:sz w:val="18"/>
                <w:szCs w:val="18"/>
              </w:rPr>
              <w:t xml:space="preserve"> figures in UK GBP (£)</w:t>
            </w:r>
          </w:p>
        </w:tc>
      </w:tr>
    </w:tbl>
    <w:p w:rsidR="000A3D69" w:rsidRDefault="000A3D69" w:rsidP="00D57A5D"/>
    <w:p w:rsidR="00D57A5D" w:rsidRDefault="00D57A5D" w:rsidP="00D57A5D">
      <w:r>
        <w:t>Other vehicle assumptions:</w:t>
      </w:r>
    </w:p>
    <w:tbl>
      <w:tblPr>
        <w:tblW w:w="9244"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
        <w:gridCol w:w="1417"/>
        <w:gridCol w:w="6379"/>
      </w:tblGrid>
      <w:tr w:rsidR="00D57A5D" w:rsidTr="00527257">
        <w:trPr>
          <w:trHeight w:val="290"/>
        </w:trPr>
        <w:tc>
          <w:tcPr>
            <w:tcW w:w="1448" w:type="dxa"/>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Vehicle type</w:t>
            </w:r>
          </w:p>
        </w:tc>
        <w:tc>
          <w:tcPr>
            <w:tcW w:w="1417" w:type="dxa"/>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Cost assumption</w:t>
            </w:r>
          </w:p>
        </w:tc>
        <w:tc>
          <w:tcPr>
            <w:tcW w:w="6379" w:type="dxa"/>
          </w:tcPr>
          <w:p w:rsidR="00D57A5D" w:rsidRPr="00D57A5D" w:rsidRDefault="00D57A5D" w:rsidP="00527257">
            <w:pPr>
              <w:autoSpaceDE w:val="0"/>
              <w:autoSpaceDN w:val="0"/>
              <w:adjustRightInd w:val="0"/>
              <w:spacing w:after="0" w:line="240" w:lineRule="auto"/>
              <w:rPr>
                <w:rFonts w:ascii="Calibri" w:hAnsi="Calibri" w:cs="Calibri"/>
                <w:b/>
                <w:color w:val="000000"/>
                <w:sz w:val="18"/>
                <w:szCs w:val="18"/>
              </w:rPr>
            </w:pPr>
            <w:r w:rsidRPr="00D57A5D">
              <w:rPr>
                <w:rFonts w:ascii="Calibri" w:hAnsi="Calibri" w:cs="Calibri"/>
                <w:b/>
                <w:color w:val="000000"/>
                <w:sz w:val="18"/>
                <w:szCs w:val="18"/>
              </w:rPr>
              <w:t>Basis</w:t>
            </w:r>
          </w:p>
        </w:tc>
      </w:tr>
      <w:tr w:rsidR="00D57A5D" w:rsidTr="00527257">
        <w:trPr>
          <w:trHeight w:val="290"/>
        </w:trPr>
        <w:tc>
          <w:tcPr>
            <w:tcW w:w="1448" w:type="dxa"/>
          </w:tcPr>
          <w:p w:rsidR="00D57A5D" w:rsidRPr="00D57A5D" w:rsidRDefault="00AD2AE3"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Medium-duty trucks</w:t>
            </w:r>
          </w:p>
        </w:tc>
        <w:tc>
          <w:tcPr>
            <w:tcW w:w="1417" w:type="dxa"/>
          </w:tcPr>
          <w:p w:rsidR="00D57A5D" w:rsidRPr="00D57A5D" w:rsidRDefault="00D57A5D" w:rsidP="00C3785D">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All costs 75% of </w:t>
            </w:r>
            <w:r w:rsidR="00C3785D">
              <w:rPr>
                <w:rFonts w:ascii="Calibri" w:hAnsi="Calibri" w:cs="Calibri"/>
                <w:color w:val="000000"/>
                <w:sz w:val="18"/>
                <w:szCs w:val="18"/>
              </w:rPr>
              <w:t>heavy-duty trucks</w:t>
            </w:r>
          </w:p>
        </w:tc>
        <w:tc>
          <w:tcPr>
            <w:tcW w:w="6379" w:type="dxa"/>
          </w:tcPr>
          <w:p w:rsidR="00D57A5D" w:rsidRPr="00D57A5D" w:rsidRDefault="00D57A5D" w:rsidP="00AD2AE3">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Interpolation between </w:t>
            </w:r>
            <w:r w:rsidR="00AD2AE3">
              <w:rPr>
                <w:rFonts w:ascii="Calibri" w:hAnsi="Calibri" w:cs="Calibri"/>
                <w:color w:val="000000"/>
                <w:sz w:val="18"/>
                <w:szCs w:val="18"/>
              </w:rPr>
              <w:t>heavy-duty and light-duty trucks</w:t>
            </w:r>
          </w:p>
        </w:tc>
      </w:tr>
      <w:tr w:rsidR="00D57A5D" w:rsidTr="00527257">
        <w:trPr>
          <w:trHeight w:val="290"/>
        </w:trPr>
        <w:tc>
          <w:tcPr>
            <w:tcW w:w="1448" w:type="dxa"/>
          </w:tcPr>
          <w:p w:rsidR="00D57A5D" w:rsidRPr="00D57A5D" w:rsidRDefault="00AD2AE3"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Light-duty trucks</w:t>
            </w:r>
          </w:p>
        </w:tc>
        <w:tc>
          <w:tcPr>
            <w:tcW w:w="1417"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All costs 50% of </w:t>
            </w:r>
            <w:r w:rsidR="00C3785D">
              <w:rPr>
                <w:rFonts w:ascii="Calibri" w:hAnsi="Calibri" w:cs="Calibri"/>
                <w:color w:val="000000"/>
                <w:sz w:val="18"/>
                <w:szCs w:val="18"/>
              </w:rPr>
              <w:t>heavy-duty trucks</w:t>
            </w:r>
          </w:p>
        </w:tc>
        <w:tc>
          <w:tcPr>
            <w:tcW w:w="6379" w:type="dxa"/>
          </w:tcPr>
          <w:p w:rsidR="00D57A5D" w:rsidRPr="000A3D69" w:rsidRDefault="00312F87" w:rsidP="000A3D69">
            <w:pPr>
              <w:pStyle w:val="FreeFormA"/>
              <w:rPr>
                <w:rFonts w:ascii="Arial" w:hAnsi="Arial"/>
                <w:sz w:val="18"/>
                <w:szCs w:val="18"/>
              </w:rPr>
            </w:pPr>
            <w:hyperlink r:id="rId21" w:history="1">
              <w:r w:rsidR="000A3D69" w:rsidRPr="00DD5CF2">
                <w:rPr>
                  <w:rStyle w:val="Hyperlink"/>
                  <w:rFonts w:ascii="Arial" w:hAnsi="Arial"/>
                  <w:sz w:val="18"/>
                  <w:szCs w:val="18"/>
                </w:rPr>
                <w:t>http://www.commercialtrucktrader.com/</w:t>
              </w:r>
            </w:hyperlink>
            <w:r w:rsidR="000A3D69">
              <w:rPr>
                <w:rFonts w:ascii="Arial" w:hAnsi="Arial"/>
                <w:sz w:val="18"/>
                <w:szCs w:val="18"/>
              </w:rPr>
              <w:t xml:space="preserve"> </w:t>
            </w:r>
            <w:r w:rsidR="00C3785D">
              <w:rPr>
                <w:rFonts w:ascii="Calibri" w:hAnsi="Calibri" w:cs="Calibri"/>
                <w:sz w:val="18"/>
                <w:szCs w:val="18"/>
              </w:rPr>
              <w:t>Suggests light-</w:t>
            </w:r>
            <w:r w:rsidR="00D57A5D" w:rsidRPr="00D57A5D">
              <w:rPr>
                <w:rFonts w:ascii="Calibri" w:hAnsi="Calibri" w:cs="Calibri"/>
                <w:sz w:val="18"/>
                <w:szCs w:val="18"/>
              </w:rPr>
              <w:t>duty trucks about $50,000 compared to about $100,000 for heavy duty trucks</w:t>
            </w:r>
          </w:p>
        </w:tc>
      </w:tr>
      <w:tr w:rsidR="00D57A5D" w:rsidTr="00527257">
        <w:trPr>
          <w:trHeight w:val="290"/>
        </w:trPr>
        <w:tc>
          <w:tcPr>
            <w:tcW w:w="1448" w:type="dxa"/>
          </w:tcPr>
          <w:p w:rsidR="00D57A5D" w:rsidRPr="00D57A5D" w:rsidRDefault="00AD2AE3" w:rsidP="00527257">
            <w:pPr>
              <w:autoSpaceDE w:val="0"/>
              <w:autoSpaceDN w:val="0"/>
              <w:adjustRightInd w:val="0"/>
              <w:spacing w:after="0" w:line="240" w:lineRule="auto"/>
              <w:rPr>
                <w:rFonts w:ascii="Calibri" w:hAnsi="Calibri" w:cs="Calibri"/>
                <w:color w:val="000000"/>
                <w:sz w:val="18"/>
                <w:szCs w:val="18"/>
              </w:rPr>
            </w:pPr>
            <w:r>
              <w:rPr>
                <w:rFonts w:ascii="Calibri" w:hAnsi="Calibri" w:cs="Calibri"/>
                <w:color w:val="000000"/>
                <w:sz w:val="18"/>
                <w:szCs w:val="18"/>
              </w:rPr>
              <w:t>Mini-trucks</w:t>
            </w:r>
          </w:p>
        </w:tc>
        <w:tc>
          <w:tcPr>
            <w:tcW w:w="1417"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All costs 33% of </w:t>
            </w:r>
            <w:r w:rsidR="00C3785D">
              <w:rPr>
                <w:rFonts w:ascii="Calibri" w:hAnsi="Calibri" w:cs="Calibri"/>
                <w:color w:val="000000"/>
                <w:sz w:val="18"/>
                <w:szCs w:val="18"/>
              </w:rPr>
              <w:t>heavy-duty trucks</w:t>
            </w:r>
          </w:p>
        </w:tc>
        <w:tc>
          <w:tcPr>
            <w:tcW w:w="6379" w:type="dxa"/>
          </w:tcPr>
          <w:p w:rsidR="00D57A5D" w:rsidRPr="000A3D69" w:rsidRDefault="00312F87" w:rsidP="000A3D69">
            <w:pPr>
              <w:pStyle w:val="FreeFormA"/>
              <w:rPr>
                <w:rFonts w:ascii="Arial" w:hAnsi="Arial"/>
                <w:sz w:val="18"/>
                <w:szCs w:val="18"/>
              </w:rPr>
            </w:pPr>
            <w:hyperlink r:id="rId22" w:history="1">
              <w:r w:rsidR="000A3D69" w:rsidRPr="00DD5CF2">
                <w:rPr>
                  <w:rStyle w:val="Hyperlink"/>
                  <w:rFonts w:ascii="Arial" w:hAnsi="Arial"/>
                  <w:sz w:val="18"/>
                  <w:szCs w:val="18"/>
                </w:rPr>
                <w:t>http://www.commercialtrucktrader.com/</w:t>
              </w:r>
            </w:hyperlink>
            <w:r w:rsidR="000A3D69">
              <w:rPr>
                <w:rFonts w:ascii="Arial" w:hAnsi="Arial"/>
                <w:sz w:val="18"/>
                <w:szCs w:val="18"/>
              </w:rPr>
              <w:t xml:space="preserve"> </w:t>
            </w:r>
            <w:r w:rsidR="00D57A5D" w:rsidRPr="00D57A5D">
              <w:rPr>
                <w:rFonts w:ascii="Calibri" w:hAnsi="Calibri" w:cs="Calibri"/>
                <w:sz w:val="18"/>
                <w:szCs w:val="18"/>
              </w:rPr>
              <w:t xml:space="preserve">Cheapest of light trucks are $30-35,000, compared to $100,000 for </w:t>
            </w:r>
            <w:r w:rsidR="00C3785D">
              <w:rPr>
                <w:rFonts w:ascii="Calibri" w:hAnsi="Calibri" w:cs="Calibri"/>
                <w:sz w:val="18"/>
                <w:szCs w:val="18"/>
              </w:rPr>
              <w:t>heavy-duty trucks</w:t>
            </w:r>
          </w:p>
        </w:tc>
      </w:tr>
      <w:tr w:rsidR="00D57A5D" w:rsidTr="00527257">
        <w:trPr>
          <w:trHeight w:val="285"/>
        </w:trPr>
        <w:tc>
          <w:tcPr>
            <w:tcW w:w="1448"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Light Duty Bus</w:t>
            </w:r>
          </w:p>
        </w:tc>
        <w:tc>
          <w:tcPr>
            <w:tcW w:w="1417" w:type="dxa"/>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LDB costs are 40% of HDB costs</w:t>
            </w:r>
          </w:p>
        </w:tc>
        <w:tc>
          <w:tcPr>
            <w:tcW w:w="6379" w:type="dxa"/>
          </w:tcPr>
          <w:p w:rsidR="00D57A5D" w:rsidRPr="000A3D69" w:rsidRDefault="00312F87" w:rsidP="00527257">
            <w:pPr>
              <w:autoSpaceDE w:val="0"/>
              <w:autoSpaceDN w:val="0"/>
              <w:adjustRightInd w:val="0"/>
              <w:spacing w:after="0" w:line="240" w:lineRule="auto"/>
              <w:rPr>
                <w:color w:val="0563C1" w:themeColor="hyperlink"/>
                <w:sz w:val="18"/>
                <w:szCs w:val="18"/>
                <w:u w:val="single"/>
              </w:rPr>
            </w:pPr>
            <w:hyperlink r:id="rId23" w:history="1">
              <w:r w:rsidR="000A3D69" w:rsidRPr="00DD5CF2">
                <w:rPr>
                  <w:rStyle w:val="Hyperlink"/>
                  <w:sz w:val="18"/>
                  <w:szCs w:val="18"/>
                </w:rPr>
                <w:t>http://www.alibaba.com/showroom/15-passenger-mini-bus.html</w:t>
              </w:r>
            </w:hyperlink>
            <w:r w:rsidR="000A3D69">
              <w:rPr>
                <w:rStyle w:val="Hyperlink"/>
                <w:sz w:val="18"/>
                <w:szCs w:val="18"/>
              </w:rPr>
              <w:t xml:space="preserve"> </w:t>
            </w:r>
            <w:r w:rsidR="00D57A5D" w:rsidRPr="00D57A5D">
              <w:rPr>
                <w:sz w:val="18"/>
                <w:szCs w:val="18"/>
              </w:rPr>
              <w:t>Suggests minibuses are of the order $20,000 in China, compared to about $50,000 for coaches:</w:t>
            </w:r>
            <w:hyperlink r:id="rId24" w:history="1">
              <w:r w:rsidR="00D57A5D" w:rsidRPr="00D57A5D">
                <w:rPr>
                  <w:rStyle w:val="Hyperlink"/>
                  <w:rFonts w:ascii="Calibri" w:hAnsi="Calibri" w:cs="Calibri"/>
                  <w:sz w:val="18"/>
                  <w:szCs w:val="18"/>
                </w:rPr>
                <w:t>http://www.alibaba.com/trade/search?fsb=y&amp;IndexArea=product_en&amp;CatId=&amp;SearchText=coach</w:t>
              </w:r>
            </w:hyperlink>
            <w:r w:rsidR="00D57A5D" w:rsidRPr="00D57A5D">
              <w:rPr>
                <w:rFonts w:ascii="Calibri" w:hAnsi="Calibri" w:cs="Calibri"/>
                <w:color w:val="000000"/>
                <w:sz w:val="18"/>
                <w:szCs w:val="18"/>
              </w:rPr>
              <w:t xml:space="preserve"> </w:t>
            </w:r>
          </w:p>
        </w:tc>
      </w:tr>
      <w:tr w:rsidR="00D57A5D" w:rsidTr="00527257">
        <w:trPr>
          <w:trHeight w:val="285"/>
        </w:trPr>
        <w:tc>
          <w:tcPr>
            <w:tcW w:w="144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Minivan</w:t>
            </w:r>
          </w:p>
        </w:tc>
        <w:tc>
          <w:tcPr>
            <w:tcW w:w="1417"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50% higher than car</w:t>
            </w:r>
          </w:p>
        </w:tc>
        <w:tc>
          <w:tcPr>
            <w:tcW w:w="6379"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 xml:space="preserve">Assuming a vehicle type like Honda Odyssey at $27-40,000 compared to medium car prices of $20,000. </w:t>
            </w:r>
            <w:hyperlink r:id="rId25" w:history="1">
              <w:r w:rsidRPr="00D57A5D">
                <w:rPr>
                  <w:rStyle w:val="Hyperlink"/>
                  <w:sz w:val="18"/>
                  <w:szCs w:val="18"/>
                </w:rPr>
                <w:t>http://usnews.rankingsandreviews.com/cars-trucks/Honda_Odyssey/</w:t>
              </w:r>
            </w:hyperlink>
          </w:p>
        </w:tc>
      </w:tr>
      <w:tr w:rsidR="00D57A5D" w:rsidTr="00527257">
        <w:trPr>
          <w:trHeight w:val="285"/>
        </w:trPr>
        <w:tc>
          <w:tcPr>
            <w:tcW w:w="1448"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Motorcycle</w:t>
            </w:r>
          </w:p>
        </w:tc>
        <w:tc>
          <w:tcPr>
            <w:tcW w:w="1417" w:type="dxa"/>
            <w:tcBorders>
              <w:top w:val="single" w:sz="4" w:space="0" w:color="auto"/>
              <w:left w:val="single" w:sz="4" w:space="0" w:color="auto"/>
              <w:bottom w:val="single" w:sz="4" w:space="0" w:color="auto"/>
              <w:right w:val="single" w:sz="4" w:space="0" w:color="auto"/>
            </w:tcBorders>
          </w:tcPr>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50% of car</w:t>
            </w:r>
          </w:p>
          <w:p w:rsidR="00D57A5D" w:rsidRPr="00D57A5D" w:rsidRDefault="00D57A5D" w:rsidP="00527257">
            <w:pPr>
              <w:autoSpaceDE w:val="0"/>
              <w:autoSpaceDN w:val="0"/>
              <w:adjustRightInd w:val="0"/>
              <w:spacing w:after="0" w:line="240" w:lineRule="auto"/>
              <w:rPr>
                <w:rFonts w:ascii="Calibri" w:hAnsi="Calibri" w:cs="Calibri"/>
                <w:color w:val="000000"/>
                <w:sz w:val="18"/>
                <w:szCs w:val="18"/>
              </w:rPr>
            </w:pPr>
          </w:p>
        </w:tc>
        <w:tc>
          <w:tcPr>
            <w:tcW w:w="6379" w:type="dxa"/>
            <w:tcBorders>
              <w:top w:val="single" w:sz="4" w:space="0" w:color="auto"/>
              <w:left w:val="single" w:sz="4" w:space="0" w:color="auto"/>
              <w:bottom w:val="single" w:sz="4" w:space="0" w:color="auto"/>
              <w:right w:val="single" w:sz="4" w:space="0" w:color="auto"/>
            </w:tcBorders>
          </w:tcPr>
          <w:p w:rsidR="00D57A5D" w:rsidRPr="00D57A5D" w:rsidRDefault="00D57A5D" w:rsidP="000A3D69">
            <w:pPr>
              <w:autoSpaceDE w:val="0"/>
              <w:autoSpaceDN w:val="0"/>
              <w:adjustRightInd w:val="0"/>
              <w:spacing w:after="0" w:line="240" w:lineRule="auto"/>
              <w:rPr>
                <w:rFonts w:ascii="Calibri" w:hAnsi="Calibri" w:cs="Calibri"/>
                <w:color w:val="000000"/>
                <w:sz w:val="18"/>
                <w:szCs w:val="18"/>
              </w:rPr>
            </w:pPr>
            <w:r w:rsidRPr="00D57A5D">
              <w:rPr>
                <w:rFonts w:ascii="Calibri" w:hAnsi="Calibri" w:cs="Calibri"/>
                <w:color w:val="000000"/>
                <w:sz w:val="18"/>
                <w:szCs w:val="18"/>
              </w:rPr>
              <w:t>Own assumption.</w:t>
            </w:r>
          </w:p>
        </w:tc>
      </w:tr>
    </w:tbl>
    <w:p w:rsidR="00C3785D" w:rsidRPr="00C3785D" w:rsidRDefault="00C3785D" w:rsidP="00C3785D">
      <w:pPr>
        <w:rPr>
          <w:i/>
          <w:sz w:val="18"/>
          <w:szCs w:val="18"/>
        </w:rPr>
      </w:pPr>
      <w:r w:rsidRPr="00C3785D">
        <w:rPr>
          <w:i/>
          <w:sz w:val="18"/>
          <w:szCs w:val="18"/>
        </w:rPr>
        <w:t>Notes:</w:t>
      </w:r>
      <w:r>
        <w:rPr>
          <w:i/>
          <w:sz w:val="18"/>
          <w:szCs w:val="18"/>
        </w:rPr>
        <w:t xml:space="preserve"> EV = Electric Vehicle, FCV = Fuel Cell Vehicle; HEV = Hybrid Electric Vehicle; ICE = Internal Combustion Vehicle; LPG = Liquefied Petroleum Gas; CNG = Compressed Natural Gas</w:t>
      </w:r>
      <w:r w:rsidR="00290397">
        <w:rPr>
          <w:i/>
          <w:sz w:val="18"/>
          <w:szCs w:val="18"/>
        </w:rPr>
        <w:t>; O&amp;M = Operation and Maintenance</w:t>
      </w:r>
      <w:r w:rsidRPr="00C3785D">
        <w:rPr>
          <w:i/>
          <w:sz w:val="18"/>
          <w:szCs w:val="18"/>
        </w:rPr>
        <w:t xml:space="preserve"> </w:t>
      </w:r>
    </w:p>
    <w:p w:rsidR="00C3785D" w:rsidRPr="00C3785D" w:rsidRDefault="00D57A5D" w:rsidP="00C3785D">
      <w:pPr>
        <w:pStyle w:val="Heading2"/>
      </w:pPr>
      <w:r>
        <w:br w:type="page"/>
      </w:r>
    </w:p>
    <w:p w:rsidR="00D57A5D" w:rsidRDefault="00D57A5D" w:rsidP="00D57A5D">
      <w:pPr>
        <w:pStyle w:val="Heading2"/>
      </w:pPr>
      <w:r>
        <w:lastRenderedPageBreak/>
        <w:t>References</w:t>
      </w:r>
    </w:p>
    <w:p w:rsidR="00E6341B" w:rsidRDefault="00E6341B" w:rsidP="00A35086">
      <w:pPr>
        <w:pStyle w:val="Bibliography"/>
      </w:pPr>
      <w:r>
        <w:t>[1]</w:t>
      </w:r>
      <w:r>
        <w:tab/>
        <w:t xml:space="preserve"> PBL Netherlands Environmental Assessment Agency, European Commission Joint Research Centre. Trends in Global CO2 Emissions - 2013 Report. 2013.</w:t>
      </w:r>
    </w:p>
    <w:p w:rsidR="00E6341B" w:rsidRDefault="00E6341B" w:rsidP="00A35086">
      <w:pPr>
        <w:pStyle w:val="Bibliography"/>
      </w:pPr>
      <w:r>
        <w:t>[2]</w:t>
      </w:r>
      <w:r>
        <w:tab/>
        <w:t xml:space="preserve"> International Energy Agency. CO2 emissions from fuel combustion - 2013 edition. OECD / IEA; 2013.</w:t>
      </w:r>
    </w:p>
    <w:p w:rsidR="00E6341B" w:rsidRDefault="00E6341B" w:rsidP="00A35086">
      <w:pPr>
        <w:pStyle w:val="Bibliography"/>
      </w:pPr>
      <w:r>
        <w:t>[3]</w:t>
      </w:r>
      <w:r>
        <w:tab/>
        <w:t xml:space="preserve"> International Energy Agency. World Energy Outlook 2013. OECD / IEA; 2013.</w:t>
      </w:r>
    </w:p>
    <w:p w:rsidR="00E6341B" w:rsidRDefault="00E6341B" w:rsidP="00A35086">
      <w:pPr>
        <w:pStyle w:val="Bibliography"/>
      </w:pPr>
      <w:r>
        <w:t>[4]</w:t>
      </w:r>
      <w:r>
        <w:tab/>
        <w:t xml:space="preserve"> China Association of Automobile Manufacturers. The sales and production of passenger cars enjoyed a significant year-on-year growth 2014. http://www.caam.org.cn/AutomotivesStatistics/20140711/1405124350.html.</w:t>
      </w:r>
    </w:p>
    <w:p w:rsidR="00E6341B" w:rsidRDefault="00E6341B" w:rsidP="00A35086">
      <w:pPr>
        <w:pStyle w:val="Bibliography"/>
      </w:pPr>
      <w:r>
        <w:t>[5]</w:t>
      </w:r>
      <w:r>
        <w:tab/>
        <w:t xml:space="preserve"> Ou X, Zhang X, Chang S. Scenario analysis on alternative fuel/vehicle for China’s future road transport: Life-cycle energy demand and GHG emissions. Energy Policy 2010;38:3943–56.</w:t>
      </w:r>
    </w:p>
    <w:p w:rsidR="00E6341B" w:rsidRDefault="00E6341B" w:rsidP="00A35086">
      <w:pPr>
        <w:pStyle w:val="Bibliography"/>
      </w:pPr>
      <w:r>
        <w:t>[6]</w:t>
      </w:r>
      <w:r>
        <w:tab/>
        <w:t xml:space="preserve"> Huo H, Wang M. Modeling future vehicle sales and stock in China. Energy Policy 2012;43:17–29. doi:10.1016/j.enpol.2011.09.063.</w:t>
      </w:r>
    </w:p>
    <w:p w:rsidR="00E6341B" w:rsidRDefault="00E6341B" w:rsidP="00A35086">
      <w:pPr>
        <w:pStyle w:val="Bibliography"/>
      </w:pPr>
      <w:r>
        <w:t>[7]</w:t>
      </w:r>
      <w:r>
        <w:tab/>
        <w:t xml:space="preserve"> Wang M, Huo H, Johnson L, He D. Projection of Chinese Motor Vehicle Growth, Oil Demand, and CO2 Emissions Through 2050 2006.</w:t>
      </w:r>
    </w:p>
    <w:p w:rsidR="00E6341B" w:rsidRDefault="00E6341B" w:rsidP="00A35086">
      <w:pPr>
        <w:pStyle w:val="Bibliography"/>
      </w:pPr>
      <w:r>
        <w:t>[8]</w:t>
      </w:r>
      <w:r>
        <w:tab/>
        <w:t xml:space="preserve"> Intergovernmental Panel on Climate Change. Climate Change 2014: Mitigation of Climate Change (Working Group III of the Fifth Assessment Report). United Nations; 2014.</w:t>
      </w:r>
    </w:p>
    <w:p w:rsidR="00E6341B" w:rsidRDefault="00E6341B" w:rsidP="00A35086">
      <w:pPr>
        <w:pStyle w:val="Bibliography"/>
      </w:pPr>
      <w:r>
        <w:t>[9]</w:t>
      </w:r>
      <w:r>
        <w:tab/>
        <w:t xml:space="preserve"> Huo H, Wang M, Zhang X, He K, Gong H, Jiang K, et al. Projection of energy use and greenhouse gas emissions by motor vehicles in China: Policy options and impacts. Energy Policy 2012;43:37–48. doi:10.1016/j.enpol.2011.09.065.</w:t>
      </w:r>
    </w:p>
    <w:p w:rsidR="00E6341B" w:rsidRDefault="00E6341B" w:rsidP="00A35086">
      <w:pPr>
        <w:pStyle w:val="Bibliography"/>
      </w:pPr>
      <w:r>
        <w:t>[10]</w:t>
      </w:r>
      <w:r>
        <w:tab/>
        <w:t xml:space="preserve"> He L-Y, Chen Y. Thou shalt drive electric and hybrid vehicles: Scenario analysis on energy saving and emission mitigation for road transportation sector in China. Transp Policy 2013;25:30–40. doi:10.1016/j.tranpol.2012.11.006.</w:t>
      </w:r>
    </w:p>
    <w:p w:rsidR="00E6341B" w:rsidRDefault="00E6341B" w:rsidP="00A35086">
      <w:pPr>
        <w:pStyle w:val="Bibliography"/>
      </w:pPr>
      <w:r>
        <w:t>[11]</w:t>
      </w:r>
      <w:r>
        <w:tab/>
        <w:t xml:space="preserve"> Hao H, Wang H, Yi R. Hybrid modeling of China’s vehicle ownership and projection through 2050. Energy 2011;36:1351–61. doi:10.1016/j.energy.2010.10.055.</w:t>
      </w:r>
    </w:p>
    <w:p w:rsidR="00E6341B" w:rsidRDefault="00E6341B" w:rsidP="00A35086">
      <w:pPr>
        <w:pStyle w:val="Bibliography"/>
      </w:pPr>
      <w:r>
        <w:t>[12]</w:t>
      </w:r>
      <w:r>
        <w:tab/>
        <w:t xml:space="preserve"> Wang Y, Teter J, Sperling D. China’s soaring vehicle population: Even greater than forecasted? Energy Policy 2011;39:3296–306. doi:10.1016/j.enpol.2011.03.020.</w:t>
      </w:r>
    </w:p>
    <w:p w:rsidR="00E6341B" w:rsidRDefault="00E6341B" w:rsidP="00A35086">
      <w:pPr>
        <w:pStyle w:val="Bibliography"/>
      </w:pPr>
      <w:r>
        <w:t>[13]</w:t>
      </w:r>
      <w:r>
        <w:tab/>
        <w:t xml:space="preserve"> Kejun J, Qiang L, Xing Z, Xiulian H. Technology roadmap for low carbon society in China. J Renew Sustain Energy 2010;2:031008. doi:10.1063/1.3458415.</w:t>
      </w:r>
    </w:p>
    <w:p w:rsidR="00E6341B" w:rsidRDefault="00E6341B" w:rsidP="00A35086">
      <w:pPr>
        <w:pStyle w:val="Bibliography"/>
      </w:pPr>
      <w:r>
        <w:t>[14]</w:t>
      </w:r>
      <w:r>
        <w:tab/>
        <w:t xml:space="preserve"> Energy Storage China. Electric vehicle technology development  “12th Five Year Plan” Special Plan 2014. http://www.escn.com.cn/news/show-170984.html.</w:t>
      </w:r>
    </w:p>
    <w:p w:rsidR="00E6341B" w:rsidRDefault="00E6341B" w:rsidP="00A35086">
      <w:pPr>
        <w:pStyle w:val="Bibliography"/>
      </w:pPr>
      <w:r>
        <w:t>[15]</w:t>
      </w:r>
      <w:r>
        <w:tab/>
        <w:t xml:space="preserve"> Chinese Academy of Sciences. Energy Science &amp; Technology in China: A Roadmap to 2050. Springer; Science Press Beijing; 2009.</w:t>
      </w:r>
    </w:p>
    <w:p w:rsidR="00E6341B" w:rsidRDefault="00E6341B" w:rsidP="00A35086">
      <w:pPr>
        <w:pStyle w:val="Bibliography"/>
      </w:pPr>
      <w:r>
        <w:t>[16]</w:t>
      </w:r>
      <w:r>
        <w:tab/>
        <w:t xml:space="preserve"> ICCT. Global Comparison of Passenger Car and Light-commercial Vehicle Fuel Economy/GHG Emissions Standards 2014.</w:t>
      </w:r>
    </w:p>
    <w:p w:rsidR="00E6341B" w:rsidRDefault="00E6341B" w:rsidP="00A35086">
      <w:pPr>
        <w:pStyle w:val="Bibliography"/>
      </w:pPr>
      <w:r>
        <w:t>[17]</w:t>
      </w:r>
      <w:r>
        <w:tab/>
        <w:t xml:space="preserve"> Sorrentino M, Rizzo G, Sorrentino L. A study aimed at assessing the potential impact of vehicle electrification on grid infrastructure and road-traffic green house emissions. Appl Energy 2014;120:31–40. doi:10.1016/j.apenergy.2014.01.040.</w:t>
      </w:r>
    </w:p>
    <w:p w:rsidR="00E6341B" w:rsidRDefault="00E6341B" w:rsidP="00A35086">
      <w:pPr>
        <w:pStyle w:val="Bibliography"/>
      </w:pPr>
      <w:r>
        <w:t>[18]</w:t>
      </w:r>
      <w:r>
        <w:tab/>
        <w:t xml:space="preserve"> Ou X, Zhang Q, Zhang X, Zhang X. China’ New Energy Passenger Vehicle Development Scenario Analysis Based on Life Time Cost Modelling. Low Carbon Econ 2013;4:71–9. doi:http://dx.doi.org/10.4236/lce.2013.42008.</w:t>
      </w:r>
    </w:p>
    <w:p w:rsidR="00E6341B" w:rsidRDefault="00E6341B" w:rsidP="00A35086">
      <w:pPr>
        <w:pStyle w:val="Bibliography"/>
      </w:pPr>
      <w:r>
        <w:t>[19]</w:t>
      </w:r>
      <w:r>
        <w:tab/>
        <w:t xml:space="preserve"> Jiang K, Hu X, Liu Q, Zhuang X. Low-Carbon Economy Scenario Studies up to 2050. Energy Research Institute, NDRC; 2009.</w:t>
      </w:r>
    </w:p>
    <w:p w:rsidR="00E6341B" w:rsidRDefault="00E6341B" w:rsidP="00A35086">
      <w:pPr>
        <w:pStyle w:val="Bibliography"/>
      </w:pPr>
      <w:r>
        <w:t>[20]</w:t>
      </w:r>
      <w:r>
        <w:tab/>
        <w:t xml:space="preserve"> International Energy Agency. Energy Technology Perspectives 2012 Pathways to a Clean Energy System. IEA ; OECD; 2012.</w:t>
      </w:r>
    </w:p>
    <w:p w:rsidR="00E6341B" w:rsidRDefault="00E6341B" w:rsidP="00A35086">
      <w:pPr>
        <w:pStyle w:val="Bibliography"/>
      </w:pPr>
      <w:r>
        <w:t>[21]</w:t>
      </w:r>
      <w:r>
        <w:tab/>
        <w:t xml:space="preserve"> Energy Research Institute, China. China 2050 Pathways (online calculator tool) 2012. http://2050pathway-en.chinaenergyoutlook.org/pathways/11101101101110110101101011110110111101101110111111111011110111011111111100111/primary_energy_chart.</w:t>
      </w:r>
    </w:p>
    <w:p w:rsidR="00E6341B" w:rsidRDefault="00E6341B" w:rsidP="00A35086">
      <w:pPr>
        <w:pStyle w:val="Bibliography"/>
      </w:pPr>
      <w:r>
        <w:lastRenderedPageBreak/>
        <w:t>[22]</w:t>
      </w:r>
      <w:r>
        <w:tab/>
        <w:t xml:space="preserve"> Zhou N, Fridley D, Khanna NZ, Ke J, McNeil M, Levine M. China’s energy and emissions outlook to 2050: Perspectives from bottom-up energy end-use model. Energy Policy 2013;53:51–62. doi:10.1016/j.enpol.2012.09.065.</w:t>
      </w:r>
    </w:p>
    <w:p w:rsidR="00E6341B" w:rsidRDefault="00E6341B" w:rsidP="00A35086">
      <w:pPr>
        <w:pStyle w:val="Bibliography"/>
      </w:pPr>
      <w:r>
        <w:t>[23]</w:t>
      </w:r>
      <w:r>
        <w:tab/>
        <w:t xml:space="preserve"> Su W, Chow M-Y. Computational intelligence-based energy management for a large-scale PHEV/PEV enabled municipal parking deck. Appl Energy 2012;96:171–82. doi:10.1016/j.apenergy.2011.11.088.</w:t>
      </w:r>
    </w:p>
    <w:p w:rsidR="00E6341B" w:rsidRDefault="00E6341B" w:rsidP="00A35086">
      <w:pPr>
        <w:pStyle w:val="Bibliography"/>
      </w:pPr>
      <w:r>
        <w:t>[24]</w:t>
      </w:r>
      <w:r>
        <w:tab/>
        <w:t xml:space="preserve"> Luo Z, Hu Z, Song Y, Xu Z, Lu H. Optimal Coordination of Plug-In Electric Vehicles in Power Grids With Cost-Benefit Analysis #x2014;Part I: Enabling Techniques. IEEE Trans Power Syst 2013;28:3546–55. doi:10.1109/TPWRS.2013.2262318.</w:t>
      </w:r>
    </w:p>
    <w:p w:rsidR="00E6341B" w:rsidRDefault="00E6341B" w:rsidP="00A35086">
      <w:pPr>
        <w:pStyle w:val="Bibliography"/>
      </w:pPr>
      <w:r>
        <w:t>[25]</w:t>
      </w:r>
      <w:r>
        <w:tab/>
        <w:t xml:space="preserve"> Schmidt J, Eisel M, Kolbe LM. Assessing the potential of different charging strategies for electric vehicle fleets in closed transport systems. Energy Policy 2014;74:179–89. doi:10.1016/j.enpol.2014.08.008.</w:t>
      </w:r>
    </w:p>
    <w:p w:rsidR="00E6341B" w:rsidRDefault="00E6341B" w:rsidP="00A35086">
      <w:pPr>
        <w:pStyle w:val="Bibliography"/>
      </w:pPr>
      <w:r>
        <w:t>[26]</w:t>
      </w:r>
      <w:r>
        <w:tab/>
        <w:t xml:space="preserve"> Cai H, Jia X, Chiu ASF, Hu X, Xu M. Siting public electric vehicle charging stations in Beijing using big-data informed travel patterns of the taxi fleet. Transp Res Part Transp Environ 2014;33:39–46. doi:10.1016/j.trd.2014.09.003.</w:t>
      </w:r>
    </w:p>
    <w:p w:rsidR="00E6341B" w:rsidRDefault="00E6341B" w:rsidP="00A35086">
      <w:pPr>
        <w:pStyle w:val="Bibliography"/>
      </w:pPr>
      <w:r>
        <w:t>[27]</w:t>
      </w:r>
      <w:r>
        <w:tab/>
        <w:t xml:space="preserve"> Luo Z, Hu Z, Song Y, Xu Z, Lu H. Optimal Coordination of Plug-in Electric Vehicles in Power Grids With Cost-Benefit Analysis #x2014;Part II: A Case Study in China. IEEE Trans Power Syst 2013;28:3556–65. doi:10.1109/TPWRS.2013.2252028.</w:t>
      </w:r>
    </w:p>
    <w:p w:rsidR="00E6341B" w:rsidRDefault="00E6341B" w:rsidP="00A35086">
      <w:pPr>
        <w:pStyle w:val="Bibliography"/>
      </w:pPr>
      <w:r>
        <w:t>[28]</w:t>
      </w:r>
      <w:r>
        <w:tab/>
        <w:t xml:space="preserve"> Ang BW, Zhang FQ, Choi K-H. Factorizing changes in energy and environmental indicators through decomposition. Energy 1998;23:489–95. doi:10.1016/S0360-5442(98)00016-4.</w:t>
      </w:r>
    </w:p>
    <w:p w:rsidR="00E6341B" w:rsidRDefault="00E6341B" w:rsidP="00A35086">
      <w:pPr>
        <w:pStyle w:val="Bibliography"/>
      </w:pPr>
      <w:r>
        <w:t>[29]</w:t>
      </w:r>
      <w:r>
        <w:tab/>
        <w:t xml:space="preserve"> Kesicki F. Marginal Abatement Cost Curves: Combining Energy System Modelling and Decomposition Analysis. Environ Model Assess 2013;18:27–37. doi:10.1007/s10666-012-9330-6.</w:t>
      </w:r>
    </w:p>
    <w:p w:rsidR="00E6341B" w:rsidRDefault="00E6341B" w:rsidP="00A35086">
      <w:pPr>
        <w:pStyle w:val="Bibliography"/>
      </w:pPr>
      <w:r>
        <w:t>[30]</w:t>
      </w:r>
      <w:r>
        <w:tab/>
        <w:t xml:space="preserve"> Kesicki F, Ekins P. Marginal abatement cost curves: a call for caution. Clim Policy 2012;12:219–36. doi:10.1080/14693062.2011.582347.</w:t>
      </w:r>
    </w:p>
    <w:p w:rsidR="00E6341B" w:rsidRDefault="00E6341B" w:rsidP="00A35086">
      <w:pPr>
        <w:pStyle w:val="Bibliography"/>
      </w:pPr>
      <w:r>
        <w:t>[31]</w:t>
      </w:r>
      <w:r>
        <w:tab/>
        <w:t xml:space="preserve"> Yan X, Crookes RJ. Reduction potentials of energy demand and GHG emissions in China’s road transport sector. Energy Policy 2009;37:658–68. doi:10.1016/j.enpol.2008.10.008.</w:t>
      </w:r>
    </w:p>
    <w:p w:rsidR="00E6341B" w:rsidRDefault="00E6341B" w:rsidP="00A35086">
      <w:pPr>
        <w:pStyle w:val="Bibliography"/>
      </w:pPr>
      <w:r>
        <w:t>[32]</w:t>
      </w:r>
      <w:r>
        <w:tab/>
        <w:t xml:space="preserve"> Department of Energy and Climate Change, UK. 2050 Calculator Wiki n.d. http://2050-calculator-tool-wiki.decc.gov.uk/pages/1.</w:t>
      </w:r>
    </w:p>
    <w:p w:rsidR="00E6341B" w:rsidRDefault="00E6341B" w:rsidP="00A35086">
      <w:pPr>
        <w:pStyle w:val="Bibliography"/>
      </w:pPr>
      <w:r>
        <w:t>[33]</w:t>
      </w:r>
      <w:r>
        <w:tab/>
        <w:t xml:space="preserve"> Energy Technology Systems Analysis Programme. ETSAP Energy demand technology notes - transport 2010. http://www.iea-etsap.org/Energy_Technologies/Energy_Demand.asp.</w:t>
      </w:r>
    </w:p>
    <w:p w:rsidR="00E6341B" w:rsidRDefault="00E6341B" w:rsidP="00A35086">
      <w:pPr>
        <w:pStyle w:val="Bibliography"/>
      </w:pPr>
      <w:r>
        <w:t>[34]</w:t>
      </w:r>
      <w:r>
        <w:tab/>
        <w:t xml:space="preserve"> Shah N, Vallejo L, Cockerill T, Gambhir A, Heyes A, Hills T, et al. Halving Global CO2 by 2050: Technologies and Costs 2013.</w:t>
      </w:r>
    </w:p>
    <w:p w:rsidR="00E6341B" w:rsidRDefault="00E6341B" w:rsidP="00A35086">
      <w:pPr>
        <w:pStyle w:val="Bibliography"/>
      </w:pPr>
      <w:r>
        <w:t>[35]</w:t>
      </w:r>
      <w:r>
        <w:tab/>
        <w:t xml:space="preserve"> Committee on Climate Change. Building a low-carbon economy - the UK’s contribution to tackling climate change 2008.</w:t>
      </w:r>
    </w:p>
    <w:p w:rsidR="00232DE8" w:rsidRPr="004814E7" w:rsidRDefault="00232DE8" w:rsidP="00A35086">
      <w:pPr>
        <w:pStyle w:val="Bibliography"/>
      </w:pPr>
    </w:p>
    <w:sectPr w:rsidR="00232DE8" w:rsidRPr="004814E7" w:rsidSect="00D6650A">
      <w:footerReference w:type="default" r:id="rId2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F87" w:rsidRDefault="00312F87" w:rsidP="00E831DA">
      <w:pPr>
        <w:spacing w:after="0" w:line="240" w:lineRule="auto"/>
      </w:pPr>
      <w:r>
        <w:separator/>
      </w:r>
    </w:p>
  </w:endnote>
  <w:endnote w:type="continuationSeparator" w:id="0">
    <w:p w:rsidR="00312F87" w:rsidRDefault="00312F87" w:rsidP="00E8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534457"/>
      <w:docPartObj>
        <w:docPartGallery w:val="Page Numbers (Bottom of Page)"/>
        <w:docPartUnique/>
      </w:docPartObj>
    </w:sdtPr>
    <w:sdtEndPr>
      <w:rPr>
        <w:noProof/>
      </w:rPr>
    </w:sdtEndPr>
    <w:sdtContent>
      <w:p w:rsidR="00EC13C6" w:rsidRDefault="00EC13C6">
        <w:pPr>
          <w:pStyle w:val="Footer"/>
          <w:jc w:val="center"/>
        </w:pPr>
        <w:r>
          <w:fldChar w:fldCharType="begin"/>
        </w:r>
        <w:r>
          <w:instrText xml:space="preserve"> PAGE   \* MERGEFORMAT </w:instrText>
        </w:r>
        <w:r>
          <w:fldChar w:fldCharType="separate"/>
        </w:r>
        <w:r w:rsidR="00A35086">
          <w:rPr>
            <w:noProof/>
          </w:rPr>
          <w:t>1</w:t>
        </w:r>
        <w:r>
          <w:rPr>
            <w:noProof/>
          </w:rPr>
          <w:fldChar w:fldCharType="end"/>
        </w:r>
      </w:p>
    </w:sdtContent>
  </w:sdt>
  <w:p w:rsidR="00EC13C6" w:rsidRDefault="00EC13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F87" w:rsidRDefault="00312F87" w:rsidP="00E831DA">
      <w:pPr>
        <w:spacing w:after="0" w:line="240" w:lineRule="auto"/>
      </w:pPr>
      <w:r>
        <w:separator/>
      </w:r>
    </w:p>
  </w:footnote>
  <w:footnote w:type="continuationSeparator" w:id="0">
    <w:p w:rsidR="00312F87" w:rsidRDefault="00312F87" w:rsidP="00E831DA">
      <w:pPr>
        <w:spacing w:after="0" w:line="240" w:lineRule="auto"/>
      </w:pPr>
      <w:r>
        <w:continuationSeparator/>
      </w:r>
    </w:p>
  </w:footnote>
  <w:footnote w:id="1">
    <w:p w:rsidR="00EC13C6" w:rsidRDefault="00EC13C6">
      <w:pPr>
        <w:pStyle w:val="FootnoteText"/>
      </w:pPr>
      <w:r w:rsidRPr="006779B8">
        <w:rPr>
          <w:rStyle w:val="FootnoteReference"/>
        </w:rPr>
        <w:footnoteRef/>
      </w:r>
      <w:r>
        <w:t xml:space="preserve"> This model is based in Microsoft Excel and does not contain any macros or specific visual basic code.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5410C"/>
    <w:multiLevelType w:val="hybridMultilevel"/>
    <w:tmpl w:val="DBA048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3118B2"/>
    <w:multiLevelType w:val="hybridMultilevel"/>
    <w:tmpl w:val="1812B848"/>
    <w:lvl w:ilvl="0" w:tplc="AFF612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BF4319"/>
    <w:multiLevelType w:val="hybridMultilevel"/>
    <w:tmpl w:val="0F6E6330"/>
    <w:lvl w:ilvl="0" w:tplc="015227DA">
      <w:numFmt w:val="bullet"/>
      <w:lvlText w:val="-"/>
      <w:lvlJc w:val="left"/>
      <w:pPr>
        <w:ind w:left="720" w:hanging="360"/>
      </w:pPr>
      <w:rPr>
        <w:rFonts w:ascii="Calibri" w:eastAsiaTheme="minorEastAsia"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F13776"/>
    <w:multiLevelType w:val="hybridMultilevel"/>
    <w:tmpl w:val="B66A7B58"/>
    <w:lvl w:ilvl="0" w:tplc="015227DA">
      <w:numFmt w:val="bullet"/>
      <w:lvlText w:val="-"/>
      <w:lvlJc w:val="left"/>
      <w:pPr>
        <w:ind w:left="1429" w:hanging="360"/>
      </w:pPr>
      <w:rPr>
        <w:rFonts w:ascii="Calibri" w:eastAsiaTheme="minorEastAsia" w:hAnsi="Calibri" w:cstheme="minorBidi"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nsid w:val="38C04EFB"/>
    <w:multiLevelType w:val="hybridMultilevel"/>
    <w:tmpl w:val="ABC674FE"/>
    <w:lvl w:ilvl="0" w:tplc="1402CDC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8BD0A13"/>
    <w:multiLevelType w:val="hybridMultilevel"/>
    <w:tmpl w:val="47C6C59E"/>
    <w:lvl w:ilvl="0" w:tplc="015227DA">
      <w:numFmt w:val="bullet"/>
      <w:lvlText w:val="-"/>
      <w:lvlJc w:val="left"/>
      <w:pPr>
        <w:ind w:left="1429" w:hanging="360"/>
      </w:pPr>
      <w:rPr>
        <w:rFonts w:ascii="Calibri" w:eastAsiaTheme="minorEastAsia" w:hAnsi="Calibri" w:cstheme="minorBidi" w:hint="default"/>
      </w:rPr>
    </w:lvl>
    <w:lvl w:ilvl="1" w:tplc="08090005">
      <w:start w:val="1"/>
      <w:numFmt w:val="bullet"/>
      <w:lvlText w:val=""/>
      <w:lvlJc w:val="left"/>
      <w:pPr>
        <w:ind w:left="2149" w:hanging="360"/>
      </w:pPr>
      <w:rPr>
        <w:rFonts w:ascii="Wingdings" w:hAnsi="Wingdings"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6F2950C2"/>
    <w:multiLevelType w:val="hybridMultilevel"/>
    <w:tmpl w:val="5E7C2574"/>
    <w:lvl w:ilvl="0" w:tplc="F2762D3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3512B4A"/>
    <w:multiLevelType w:val="hybridMultilevel"/>
    <w:tmpl w:val="EFCAB61C"/>
    <w:lvl w:ilvl="0" w:tplc="015227DA">
      <w:numFmt w:val="bullet"/>
      <w:lvlText w:val="-"/>
      <w:lvlJc w:val="left"/>
      <w:pPr>
        <w:ind w:left="720" w:hanging="360"/>
      </w:pPr>
      <w:rPr>
        <w:rFonts w:ascii="Calibri" w:eastAsiaTheme="minorEastAsia" w:hAnsi="Calibri" w:cstheme="minorBidi"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2"/>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28B"/>
    <w:rsid w:val="000063B3"/>
    <w:rsid w:val="0002533B"/>
    <w:rsid w:val="00025D54"/>
    <w:rsid w:val="000320D2"/>
    <w:rsid w:val="00044C36"/>
    <w:rsid w:val="00050DB4"/>
    <w:rsid w:val="00052E92"/>
    <w:rsid w:val="0006167A"/>
    <w:rsid w:val="00085278"/>
    <w:rsid w:val="00087421"/>
    <w:rsid w:val="000A3AF4"/>
    <w:rsid w:val="000A3D69"/>
    <w:rsid w:val="000B116A"/>
    <w:rsid w:val="000B24FD"/>
    <w:rsid w:val="000D1AB4"/>
    <w:rsid w:val="000D7A17"/>
    <w:rsid w:val="00113326"/>
    <w:rsid w:val="00115120"/>
    <w:rsid w:val="001166AA"/>
    <w:rsid w:val="00136C26"/>
    <w:rsid w:val="00142151"/>
    <w:rsid w:val="00144EAE"/>
    <w:rsid w:val="00172C87"/>
    <w:rsid w:val="00177531"/>
    <w:rsid w:val="00177D85"/>
    <w:rsid w:val="001905FB"/>
    <w:rsid w:val="001A14F4"/>
    <w:rsid w:val="001B2536"/>
    <w:rsid w:val="001B716A"/>
    <w:rsid w:val="001C085C"/>
    <w:rsid w:val="001C34C0"/>
    <w:rsid w:val="001D5CCA"/>
    <w:rsid w:val="001E641F"/>
    <w:rsid w:val="00210388"/>
    <w:rsid w:val="00217414"/>
    <w:rsid w:val="00223E3B"/>
    <w:rsid w:val="00232DE8"/>
    <w:rsid w:val="00253472"/>
    <w:rsid w:val="00265894"/>
    <w:rsid w:val="002717FD"/>
    <w:rsid w:val="00290397"/>
    <w:rsid w:val="002A094B"/>
    <w:rsid w:val="002A5F18"/>
    <w:rsid w:val="002A5F6F"/>
    <w:rsid w:val="002B4EAF"/>
    <w:rsid w:val="002C09F8"/>
    <w:rsid w:val="002C33BA"/>
    <w:rsid w:val="002C76E9"/>
    <w:rsid w:val="002D5865"/>
    <w:rsid w:val="002E3414"/>
    <w:rsid w:val="002F200D"/>
    <w:rsid w:val="003102CF"/>
    <w:rsid w:val="00311B0E"/>
    <w:rsid w:val="00312F87"/>
    <w:rsid w:val="0031339F"/>
    <w:rsid w:val="00320F3B"/>
    <w:rsid w:val="00321FA5"/>
    <w:rsid w:val="0032680B"/>
    <w:rsid w:val="003560A7"/>
    <w:rsid w:val="00363D77"/>
    <w:rsid w:val="00371769"/>
    <w:rsid w:val="003721F3"/>
    <w:rsid w:val="00384CC9"/>
    <w:rsid w:val="00392192"/>
    <w:rsid w:val="003A3A91"/>
    <w:rsid w:val="003B35DC"/>
    <w:rsid w:val="003D2D57"/>
    <w:rsid w:val="003E47CB"/>
    <w:rsid w:val="00404C7E"/>
    <w:rsid w:val="004156CB"/>
    <w:rsid w:val="0042028A"/>
    <w:rsid w:val="00420CA1"/>
    <w:rsid w:val="00423303"/>
    <w:rsid w:val="00423BBF"/>
    <w:rsid w:val="00447AD2"/>
    <w:rsid w:val="00457A05"/>
    <w:rsid w:val="00457A62"/>
    <w:rsid w:val="0046002F"/>
    <w:rsid w:val="00463007"/>
    <w:rsid w:val="004651C3"/>
    <w:rsid w:val="00475143"/>
    <w:rsid w:val="004814E7"/>
    <w:rsid w:val="00481627"/>
    <w:rsid w:val="0048233C"/>
    <w:rsid w:val="004845FD"/>
    <w:rsid w:val="004C1F14"/>
    <w:rsid w:val="004C1F2E"/>
    <w:rsid w:val="004D0B1C"/>
    <w:rsid w:val="004E753A"/>
    <w:rsid w:val="004F44EE"/>
    <w:rsid w:val="004F79DD"/>
    <w:rsid w:val="00500453"/>
    <w:rsid w:val="00504D2F"/>
    <w:rsid w:val="005070EC"/>
    <w:rsid w:val="00514686"/>
    <w:rsid w:val="005232AF"/>
    <w:rsid w:val="00527257"/>
    <w:rsid w:val="005276D7"/>
    <w:rsid w:val="0053044C"/>
    <w:rsid w:val="00532286"/>
    <w:rsid w:val="00540746"/>
    <w:rsid w:val="00547F72"/>
    <w:rsid w:val="00554E36"/>
    <w:rsid w:val="00555676"/>
    <w:rsid w:val="00566EA4"/>
    <w:rsid w:val="00567B78"/>
    <w:rsid w:val="00570474"/>
    <w:rsid w:val="005713CD"/>
    <w:rsid w:val="00573926"/>
    <w:rsid w:val="005807C1"/>
    <w:rsid w:val="00594C95"/>
    <w:rsid w:val="0059664E"/>
    <w:rsid w:val="005B04B6"/>
    <w:rsid w:val="005B4B89"/>
    <w:rsid w:val="005D54B6"/>
    <w:rsid w:val="005E4755"/>
    <w:rsid w:val="006041EE"/>
    <w:rsid w:val="00624DA4"/>
    <w:rsid w:val="00627B0E"/>
    <w:rsid w:val="006305E4"/>
    <w:rsid w:val="00637643"/>
    <w:rsid w:val="0064535D"/>
    <w:rsid w:val="006479F3"/>
    <w:rsid w:val="00660112"/>
    <w:rsid w:val="00672DB3"/>
    <w:rsid w:val="006779B8"/>
    <w:rsid w:val="00692166"/>
    <w:rsid w:val="006940CC"/>
    <w:rsid w:val="006B6611"/>
    <w:rsid w:val="006C4073"/>
    <w:rsid w:val="006C78A8"/>
    <w:rsid w:val="006D7CD0"/>
    <w:rsid w:val="006E54E1"/>
    <w:rsid w:val="006E60C3"/>
    <w:rsid w:val="00703A17"/>
    <w:rsid w:val="00707AB3"/>
    <w:rsid w:val="007262FE"/>
    <w:rsid w:val="007355CE"/>
    <w:rsid w:val="00736DB0"/>
    <w:rsid w:val="007607F4"/>
    <w:rsid w:val="00767199"/>
    <w:rsid w:val="00770238"/>
    <w:rsid w:val="00770307"/>
    <w:rsid w:val="00780E9D"/>
    <w:rsid w:val="007B2347"/>
    <w:rsid w:val="007B3690"/>
    <w:rsid w:val="007C182D"/>
    <w:rsid w:val="007D09C8"/>
    <w:rsid w:val="007F335B"/>
    <w:rsid w:val="007F5D76"/>
    <w:rsid w:val="00817681"/>
    <w:rsid w:val="008240B4"/>
    <w:rsid w:val="008264B9"/>
    <w:rsid w:val="0083756F"/>
    <w:rsid w:val="00846C89"/>
    <w:rsid w:val="00851AD8"/>
    <w:rsid w:val="00896AAE"/>
    <w:rsid w:val="00897C14"/>
    <w:rsid w:val="008B0458"/>
    <w:rsid w:val="008D0213"/>
    <w:rsid w:val="008E2FD9"/>
    <w:rsid w:val="008E57D4"/>
    <w:rsid w:val="0090150E"/>
    <w:rsid w:val="00912407"/>
    <w:rsid w:val="0091653D"/>
    <w:rsid w:val="0092497A"/>
    <w:rsid w:val="0092797A"/>
    <w:rsid w:val="00931EA2"/>
    <w:rsid w:val="00955BB8"/>
    <w:rsid w:val="00963297"/>
    <w:rsid w:val="00972CD3"/>
    <w:rsid w:val="0098354F"/>
    <w:rsid w:val="0098591D"/>
    <w:rsid w:val="00991E4F"/>
    <w:rsid w:val="009A0444"/>
    <w:rsid w:val="009A6AF0"/>
    <w:rsid w:val="009B6469"/>
    <w:rsid w:val="009C1783"/>
    <w:rsid w:val="009C3A5B"/>
    <w:rsid w:val="009D099C"/>
    <w:rsid w:val="009D6761"/>
    <w:rsid w:val="009D7CEF"/>
    <w:rsid w:val="009F057E"/>
    <w:rsid w:val="009F11BA"/>
    <w:rsid w:val="009F39C9"/>
    <w:rsid w:val="009F5415"/>
    <w:rsid w:val="00A0168A"/>
    <w:rsid w:val="00A05D03"/>
    <w:rsid w:val="00A35086"/>
    <w:rsid w:val="00A36545"/>
    <w:rsid w:val="00A36BDE"/>
    <w:rsid w:val="00A42333"/>
    <w:rsid w:val="00A44A33"/>
    <w:rsid w:val="00A56A61"/>
    <w:rsid w:val="00A71022"/>
    <w:rsid w:val="00A71BC0"/>
    <w:rsid w:val="00A73EF2"/>
    <w:rsid w:val="00A7512D"/>
    <w:rsid w:val="00A7651E"/>
    <w:rsid w:val="00A83652"/>
    <w:rsid w:val="00A96720"/>
    <w:rsid w:val="00AA3961"/>
    <w:rsid w:val="00AB3D18"/>
    <w:rsid w:val="00AB495D"/>
    <w:rsid w:val="00AC29D2"/>
    <w:rsid w:val="00AD2AE3"/>
    <w:rsid w:val="00AD6B61"/>
    <w:rsid w:val="00AE193C"/>
    <w:rsid w:val="00B0333E"/>
    <w:rsid w:val="00B076C7"/>
    <w:rsid w:val="00B131AE"/>
    <w:rsid w:val="00B16358"/>
    <w:rsid w:val="00B45E8A"/>
    <w:rsid w:val="00B55540"/>
    <w:rsid w:val="00B65110"/>
    <w:rsid w:val="00B71B48"/>
    <w:rsid w:val="00B727E5"/>
    <w:rsid w:val="00B80DA4"/>
    <w:rsid w:val="00B82B74"/>
    <w:rsid w:val="00B901B3"/>
    <w:rsid w:val="00B94CD2"/>
    <w:rsid w:val="00BA01D4"/>
    <w:rsid w:val="00BB395F"/>
    <w:rsid w:val="00BD18D4"/>
    <w:rsid w:val="00BD42EA"/>
    <w:rsid w:val="00BD690C"/>
    <w:rsid w:val="00C05385"/>
    <w:rsid w:val="00C12645"/>
    <w:rsid w:val="00C14DA1"/>
    <w:rsid w:val="00C239F8"/>
    <w:rsid w:val="00C34217"/>
    <w:rsid w:val="00C3785D"/>
    <w:rsid w:val="00C37ABB"/>
    <w:rsid w:val="00C46113"/>
    <w:rsid w:val="00C6194F"/>
    <w:rsid w:val="00C66FD2"/>
    <w:rsid w:val="00C71D28"/>
    <w:rsid w:val="00C750C5"/>
    <w:rsid w:val="00C75D5D"/>
    <w:rsid w:val="00C7688F"/>
    <w:rsid w:val="00C779F2"/>
    <w:rsid w:val="00C81712"/>
    <w:rsid w:val="00C86718"/>
    <w:rsid w:val="00C92C19"/>
    <w:rsid w:val="00CB091F"/>
    <w:rsid w:val="00CC7858"/>
    <w:rsid w:val="00CF3228"/>
    <w:rsid w:val="00CF394C"/>
    <w:rsid w:val="00D041C2"/>
    <w:rsid w:val="00D57A5D"/>
    <w:rsid w:val="00D61149"/>
    <w:rsid w:val="00D633A5"/>
    <w:rsid w:val="00D6650A"/>
    <w:rsid w:val="00D73A87"/>
    <w:rsid w:val="00D843E3"/>
    <w:rsid w:val="00D869E8"/>
    <w:rsid w:val="00D96DAB"/>
    <w:rsid w:val="00DB6995"/>
    <w:rsid w:val="00DC328B"/>
    <w:rsid w:val="00DC524D"/>
    <w:rsid w:val="00DD0E8A"/>
    <w:rsid w:val="00DD1C83"/>
    <w:rsid w:val="00DF0436"/>
    <w:rsid w:val="00DF7DAF"/>
    <w:rsid w:val="00E00E5D"/>
    <w:rsid w:val="00E25ED2"/>
    <w:rsid w:val="00E56702"/>
    <w:rsid w:val="00E5782F"/>
    <w:rsid w:val="00E62252"/>
    <w:rsid w:val="00E6341B"/>
    <w:rsid w:val="00E71BFA"/>
    <w:rsid w:val="00E76AEB"/>
    <w:rsid w:val="00E831DA"/>
    <w:rsid w:val="00E928A2"/>
    <w:rsid w:val="00EA7AD2"/>
    <w:rsid w:val="00EB3D61"/>
    <w:rsid w:val="00EB6B85"/>
    <w:rsid w:val="00EB7227"/>
    <w:rsid w:val="00EC13C6"/>
    <w:rsid w:val="00EF0F68"/>
    <w:rsid w:val="00F0138C"/>
    <w:rsid w:val="00F03BB1"/>
    <w:rsid w:val="00F10283"/>
    <w:rsid w:val="00F15E1B"/>
    <w:rsid w:val="00F26593"/>
    <w:rsid w:val="00F3055D"/>
    <w:rsid w:val="00F444B2"/>
    <w:rsid w:val="00F51894"/>
    <w:rsid w:val="00F537F2"/>
    <w:rsid w:val="00F60C1A"/>
    <w:rsid w:val="00F63618"/>
    <w:rsid w:val="00F830A0"/>
    <w:rsid w:val="00F94EDD"/>
    <w:rsid w:val="00FB2050"/>
    <w:rsid w:val="00FC16D9"/>
    <w:rsid w:val="00FC5AB3"/>
    <w:rsid w:val="00FD0D41"/>
    <w:rsid w:val="00FE2335"/>
    <w:rsid w:val="00FF4EDD"/>
    <w:rsid w:val="00FF5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5DC297-6C32-48C9-9CEC-68AA55D9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78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78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8A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C78A8"/>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44EAE"/>
    <w:pPr>
      <w:ind w:left="720"/>
      <w:contextualSpacing/>
    </w:pPr>
  </w:style>
  <w:style w:type="paragraph" w:styleId="BalloonText">
    <w:name w:val="Balloon Text"/>
    <w:basedOn w:val="Normal"/>
    <w:link w:val="BalloonTextChar"/>
    <w:uiPriority w:val="99"/>
    <w:semiHidden/>
    <w:unhideWhenUsed/>
    <w:rsid w:val="009A0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444"/>
    <w:rPr>
      <w:rFonts w:ascii="Tahoma" w:hAnsi="Tahoma" w:cs="Tahoma"/>
      <w:sz w:val="16"/>
      <w:szCs w:val="16"/>
    </w:rPr>
  </w:style>
  <w:style w:type="table" w:styleId="TableGrid">
    <w:name w:val="Table Grid"/>
    <w:basedOn w:val="TableNormal"/>
    <w:uiPriority w:val="39"/>
    <w:rsid w:val="00931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831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1DA"/>
    <w:rPr>
      <w:sz w:val="20"/>
      <w:szCs w:val="20"/>
    </w:rPr>
  </w:style>
  <w:style w:type="character" w:styleId="FootnoteReference">
    <w:name w:val="footnote reference"/>
    <w:basedOn w:val="DefaultParagraphFont"/>
    <w:uiPriority w:val="99"/>
    <w:semiHidden/>
    <w:unhideWhenUsed/>
    <w:rsid w:val="00E831DA"/>
    <w:rPr>
      <w:vertAlign w:val="superscript"/>
    </w:rPr>
  </w:style>
  <w:style w:type="character" w:styleId="Hyperlink">
    <w:name w:val="Hyperlink"/>
    <w:basedOn w:val="DefaultParagraphFont"/>
    <w:uiPriority w:val="99"/>
    <w:unhideWhenUsed/>
    <w:rsid w:val="00E831DA"/>
    <w:rPr>
      <w:color w:val="0563C1" w:themeColor="hyperlink"/>
      <w:u w:val="single"/>
    </w:rPr>
  </w:style>
  <w:style w:type="paragraph" w:customStyle="1" w:styleId="BodyA">
    <w:name w:val="Body A"/>
    <w:rsid w:val="001E641F"/>
    <w:pPr>
      <w:spacing w:after="0" w:line="240" w:lineRule="auto"/>
    </w:pPr>
    <w:rPr>
      <w:rFonts w:ascii="Helvetica" w:eastAsia="ヒラギノ角ゴ Pro W3" w:hAnsi="Helvetica" w:cs="Times New Roman"/>
      <w:color w:val="000000"/>
      <w:szCs w:val="20"/>
      <w:lang w:val="en-US" w:eastAsia="en-GB"/>
    </w:rPr>
  </w:style>
  <w:style w:type="paragraph" w:styleId="Bibliography">
    <w:name w:val="Bibliography"/>
    <w:basedOn w:val="Normal"/>
    <w:next w:val="Normal"/>
    <w:uiPriority w:val="37"/>
    <w:unhideWhenUsed/>
    <w:rsid w:val="00232DE8"/>
    <w:pPr>
      <w:tabs>
        <w:tab w:val="left" w:pos="504"/>
      </w:tabs>
      <w:spacing w:after="0" w:line="240" w:lineRule="auto"/>
      <w:ind w:left="504" w:hanging="504"/>
    </w:pPr>
  </w:style>
  <w:style w:type="character" w:styleId="FollowedHyperlink">
    <w:name w:val="FollowedHyperlink"/>
    <w:basedOn w:val="DefaultParagraphFont"/>
    <w:uiPriority w:val="99"/>
    <w:semiHidden/>
    <w:unhideWhenUsed/>
    <w:rsid w:val="009D7CEF"/>
    <w:rPr>
      <w:color w:val="954F72" w:themeColor="followedHyperlink"/>
      <w:u w:val="single"/>
    </w:rPr>
  </w:style>
  <w:style w:type="paragraph" w:styleId="NormalWeb">
    <w:name w:val="Normal (Web)"/>
    <w:basedOn w:val="Normal"/>
    <w:uiPriority w:val="99"/>
    <w:semiHidden/>
    <w:unhideWhenUsed/>
    <w:rsid w:val="00C71D28"/>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FreeFormA">
    <w:name w:val="Free Form A"/>
    <w:rsid w:val="00D57A5D"/>
    <w:pPr>
      <w:spacing w:after="0" w:line="240" w:lineRule="auto"/>
    </w:pPr>
    <w:rPr>
      <w:rFonts w:ascii="Helvetica" w:eastAsia="ヒラギノ角ゴ Pro W3" w:hAnsi="Helvetica" w:cs="Times New Roman"/>
      <w:color w:val="000000"/>
      <w:sz w:val="24"/>
      <w:szCs w:val="20"/>
      <w:lang w:val="en-US" w:eastAsia="en-GB"/>
    </w:rPr>
  </w:style>
  <w:style w:type="paragraph" w:styleId="Header">
    <w:name w:val="header"/>
    <w:basedOn w:val="Normal"/>
    <w:link w:val="HeaderChar"/>
    <w:uiPriority w:val="99"/>
    <w:unhideWhenUsed/>
    <w:rsid w:val="005B0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4B6"/>
  </w:style>
  <w:style w:type="paragraph" w:styleId="Footer">
    <w:name w:val="footer"/>
    <w:basedOn w:val="Normal"/>
    <w:link w:val="FooterChar"/>
    <w:uiPriority w:val="99"/>
    <w:unhideWhenUsed/>
    <w:rsid w:val="005B0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4B6"/>
  </w:style>
  <w:style w:type="character" w:styleId="LineNumber">
    <w:name w:val="line number"/>
    <w:basedOn w:val="DefaultParagraphFont"/>
    <w:uiPriority w:val="99"/>
    <w:semiHidden/>
    <w:unhideWhenUsed/>
    <w:rsid w:val="005B04B6"/>
  </w:style>
  <w:style w:type="paragraph" w:styleId="PlainText">
    <w:name w:val="Plain Text"/>
    <w:basedOn w:val="Normal"/>
    <w:link w:val="PlainTextChar"/>
    <w:uiPriority w:val="99"/>
    <w:semiHidden/>
    <w:unhideWhenUsed/>
    <w:rsid w:val="002B4EA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2B4EAF"/>
    <w:rPr>
      <w:rFonts w:ascii="Calibri" w:hAnsi="Calibri" w:cs="Consolas"/>
      <w:szCs w:val="21"/>
    </w:rPr>
  </w:style>
  <w:style w:type="character" w:customStyle="1" w:styleId="st">
    <w:name w:val="st"/>
    <w:basedOn w:val="DefaultParagraphFont"/>
    <w:rsid w:val="005E4755"/>
  </w:style>
  <w:style w:type="character" w:customStyle="1" w:styleId="location">
    <w:name w:val="location"/>
    <w:basedOn w:val="DefaultParagraphFont"/>
    <w:rsid w:val="005E4755"/>
  </w:style>
  <w:style w:type="character" w:styleId="EndnoteReference">
    <w:name w:val="endnote reference"/>
    <w:basedOn w:val="DefaultParagraphFont"/>
    <w:uiPriority w:val="99"/>
    <w:semiHidden/>
    <w:unhideWhenUsed/>
    <w:rsid w:val="001B71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48509">
      <w:bodyDiv w:val="1"/>
      <w:marLeft w:val="0"/>
      <w:marRight w:val="0"/>
      <w:marTop w:val="0"/>
      <w:marBottom w:val="0"/>
      <w:divBdr>
        <w:top w:val="none" w:sz="0" w:space="0" w:color="auto"/>
        <w:left w:val="none" w:sz="0" w:space="0" w:color="auto"/>
        <w:bottom w:val="none" w:sz="0" w:space="0" w:color="auto"/>
        <w:right w:val="none" w:sz="0" w:space="0" w:color="auto"/>
      </w:divBdr>
    </w:div>
    <w:div w:id="571349550">
      <w:bodyDiv w:val="1"/>
      <w:marLeft w:val="0"/>
      <w:marRight w:val="0"/>
      <w:marTop w:val="0"/>
      <w:marBottom w:val="0"/>
      <w:divBdr>
        <w:top w:val="none" w:sz="0" w:space="0" w:color="auto"/>
        <w:left w:val="none" w:sz="0" w:space="0" w:color="auto"/>
        <w:bottom w:val="none" w:sz="0" w:space="0" w:color="auto"/>
        <w:right w:val="none" w:sz="0" w:space="0" w:color="auto"/>
      </w:divBdr>
    </w:div>
    <w:div w:id="1377242883">
      <w:bodyDiv w:val="1"/>
      <w:marLeft w:val="0"/>
      <w:marRight w:val="0"/>
      <w:marTop w:val="0"/>
      <w:marBottom w:val="0"/>
      <w:divBdr>
        <w:top w:val="none" w:sz="0" w:space="0" w:color="auto"/>
        <w:left w:val="none" w:sz="0" w:space="0" w:color="auto"/>
        <w:bottom w:val="none" w:sz="0" w:space="0" w:color="auto"/>
        <w:right w:val="none" w:sz="0" w:space="0" w:color="auto"/>
      </w:divBdr>
    </w:div>
    <w:div w:id="17767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mbhir@imperial.ac.uk" TargetMode="Externa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ommercialtrucktrader.com/" TargetMode="Externa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hyperlink" Target="http://usnews.rankingsandreviews.com/cars-trucks/Honda_Odyssey/"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www.avoid.uk.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botas@imperial.ac.uk" TargetMode="External"/><Relationship Id="rId24" Type="http://schemas.openxmlformats.org/officeDocument/2006/relationships/hyperlink" Target="http://www.alibaba.com/trade/search?fsb=y&amp;IndexArea=product_en&amp;CatId=&amp;SearchText=coach"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alibaba.com/showroom/15-passenger-mini-bus.html" TargetMode="External"/><Relationship Id="rId28" Type="http://schemas.openxmlformats.org/officeDocument/2006/relationships/theme" Target="theme/theme1.xml"/><Relationship Id="rId10" Type="http://schemas.openxmlformats.org/officeDocument/2006/relationships/hyperlink" Target="mailto:tongdanlu@gmail.com" TargetMode="Externa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mailto:lawrence.tse@imperial.ac.uk" TargetMode="External"/><Relationship Id="rId14" Type="http://schemas.openxmlformats.org/officeDocument/2006/relationships/image" Target="media/image3.emf"/><Relationship Id="rId22" Type="http://schemas.openxmlformats.org/officeDocument/2006/relationships/hyperlink" Target="http://www.commercialtrucktrader.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FE075-B513-4DA2-9ABD-3F54B0E6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10328</Words>
  <Characters>58871</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69061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Ajay Gambhir</dc:creator>
  <cp:lastModifiedBy>Ajay Gambhir</cp:lastModifiedBy>
  <cp:revision>2</cp:revision>
  <dcterms:created xsi:type="dcterms:W3CDTF">2014-12-10T23:09:00Z</dcterms:created>
  <dcterms:modified xsi:type="dcterms:W3CDTF">2014-12-10T23:09:00Z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zotero-version="4.0.21.5-beta.r7+9219100"&gt;&lt;session id="0RyDal6l"/&gt;&lt;style id="http://www.zotero.org/styles/applied-energy" hasBibliography="1" bibliographyStyleHasBeenSet="1"/&gt;&lt;prefs&gt;&lt;pref name="fieldType" value="Field"/&gt;&lt;pref name="</vt:lpwstr>
  </property>
  <property fmtid="{D5CDD505-2E9C-101B-9397-08002B2CF9AE}" pid="3" name="ZOTERO_PREF_2">
    <vt:lpwstr>storeReferences" value="true"/&gt;&lt;pref name="automaticJournalAbbreviations" value="true"/&gt;&lt;pref name="noteType" value="0"/&gt;&lt;/prefs&gt;&lt;/data&gt;</vt:lpwstr>
  </property>
</Properties>
</file>